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9E212" w14:textId="1DE5C308" w:rsidR="002D5625" w:rsidRPr="00FB02B5" w:rsidRDefault="002D5625" w:rsidP="002D5625">
      <w:pPr>
        <w:keepNext/>
        <w:spacing w:before="120" w:after="120" w:line="480" w:lineRule="auto"/>
        <w:jc w:val="center"/>
        <w:outlineLvl w:val="0"/>
        <w:rPr>
          <w:rFonts w:eastAsia="Times New Roman"/>
          <w:b/>
          <w:bCs/>
          <w:kern w:val="28"/>
          <w:sz w:val="24"/>
          <w:szCs w:val="24"/>
          <w:lang w:val="en-GB"/>
        </w:rPr>
      </w:pPr>
      <w:bookmarkStart w:id="0" w:name="_GoBack"/>
      <w:bookmarkEnd w:id="0"/>
      <w:r w:rsidRPr="00FB02B5">
        <w:rPr>
          <w:rFonts w:eastAsia="Times New Roman"/>
          <w:b/>
          <w:bCs/>
          <w:kern w:val="28"/>
          <w:sz w:val="24"/>
          <w:szCs w:val="24"/>
        </w:rPr>
        <w:t xml:space="preserve">Local and systemic immunity </w:t>
      </w:r>
      <w:r w:rsidR="00924E99" w:rsidRPr="00FB02B5">
        <w:rPr>
          <w:rFonts w:eastAsia="Times New Roman"/>
          <w:b/>
          <w:bCs/>
          <w:kern w:val="28"/>
          <w:sz w:val="24"/>
          <w:szCs w:val="24"/>
        </w:rPr>
        <w:t xml:space="preserve">against RSV </w:t>
      </w:r>
      <w:r w:rsidRPr="00FB02B5">
        <w:rPr>
          <w:rFonts w:eastAsia="Times New Roman"/>
          <w:b/>
          <w:bCs/>
          <w:kern w:val="28"/>
          <w:sz w:val="24"/>
          <w:szCs w:val="24"/>
        </w:rPr>
        <w:t>induced by a novel intranasal vaccine (</w:t>
      </w:r>
      <w:proofErr w:type="spellStart"/>
      <w:r w:rsidRPr="00FB02B5">
        <w:rPr>
          <w:rFonts w:eastAsia="Times New Roman"/>
          <w:b/>
          <w:bCs/>
          <w:kern w:val="28"/>
          <w:sz w:val="24"/>
          <w:szCs w:val="24"/>
        </w:rPr>
        <w:t>SynGEM</w:t>
      </w:r>
      <w:proofErr w:type="spellEnd"/>
      <w:r w:rsidRPr="00FB02B5">
        <w:rPr>
          <w:rFonts w:eastAsia="Times New Roman"/>
          <w:b/>
          <w:bCs/>
          <w:kern w:val="28"/>
          <w:sz w:val="24"/>
          <w:szCs w:val="24"/>
        </w:rPr>
        <w:t>)</w:t>
      </w:r>
    </w:p>
    <w:p w14:paraId="4CA2B54A" w14:textId="77777777" w:rsidR="002D5625" w:rsidRPr="002D5625" w:rsidRDefault="002D5625" w:rsidP="002D5625">
      <w:pPr>
        <w:keepNext/>
        <w:spacing w:before="120" w:after="120" w:line="480" w:lineRule="auto"/>
        <w:outlineLvl w:val="0"/>
        <w:rPr>
          <w:rFonts w:eastAsia="Times New Roman"/>
          <w:b/>
          <w:bCs/>
          <w:kern w:val="28"/>
          <w:sz w:val="24"/>
          <w:szCs w:val="24"/>
        </w:rPr>
      </w:pPr>
    </w:p>
    <w:p w14:paraId="0CB8D357" w14:textId="4DBE56AF" w:rsidR="001F3726" w:rsidRPr="001F3726" w:rsidRDefault="009D04AD" w:rsidP="001F3726">
      <w:pPr>
        <w:keepNext/>
        <w:spacing w:before="120" w:after="120" w:line="480" w:lineRule="auto"/>
        <w:outlineLvl w:val="0"/>
        <w:rPr>
          <w:rFonts w:eastAsia="Times New Roman"/>
          <w:bCs/>
          <w:kern w:val="28"/>
          <w:sz w:val="24"/>
          <w:szCs w:val="24"/>
        </w:rPr>
      </w:pPr>
      <w:r w:rsidRPr="00FB02B5">
        <w:rPr>
          <w:rFonts w:eastAsia="Times New Roman"/>
          <w:b/>
          <w:bCs/>
          <w:kern w:val="28"/>
          <w:sz w:val="24"/>
          <w:szCs w:val="24"/>
        </w:rPr>
        <w:t>Short r</w:t>
      </w:r>
      <w:r w:rsidR="001F3726" w:rsidRPr="00FB02B5">
        <w:rPr>
          <w:rFonts w:eastAsia="Times New Roman"/>
          <w:b/>
          <w:bCs/>
          <w:kern w:val="28"/>
          <w:sz w:val="24"/>
          <w:szCs w:val="24"/>
        </w:rPr>
        <w:t xml:space="preserve">unning </w:t>
      </w:r>
      <w:r w:rsidRPr="00FB02B5">
        <w:rPr>
          <w:rFonts w:eastAsia="Times New Roman"/>
          <w:b/>
          <w:bCs/>
          <w:kern w:val="28"/>
          <w:sz w:val="24"/>
          <w:szCs w:val="24"/>
        </w:rPr>
        <w:t>head</w:t>
      </w:r>
      <w:r w:rsidR="001F3726" w:rsidRPr="00FB02B5">
        <w:rPr>
          <w:rFonts w:eastAsia="Times New Roman"/>
          <w:b/>
          <w:bCs/>
          <w:kern w:val="28"/>
          <w:sz w:val="24"/>
          <w:szCs w:val="24"/>
        </w:rPr>
        <w:t>:</w:t>
      </w:r>
      <w:r w:rsidR="001F3726">
        <w:rPr>
          <w:rFonts w:eastAsia="Times New Roman"/>
          <w:bCs/>
          <w:kern w:val="28"/>
          <w:sz w:val="24"/>
          <w:szCs w:val="24"/>
        </w:rPr>
        <w:t xml:space="preserve"> </w:t>
      </w:r>
      <w:r w:rsidR="00E13652">
        <w:rPr>
          <w:rFonts w:eastAsia="Times New Roman"/>
          <w:bCs/>
          <w:kern w:val="28"/>
          <w:sz w:val="24"/>
          <w:szCs w:val="24"/>
        </w:rPr>
        <w:t>Particulate nasal</w:t>
      </w:r>
      <w:r w:rsidR="009329A8">
        <w:rPr>
          <w:rFonts w:eastAsia="Times New Roman"/>
          <w:bCs/>
          <w:kern w:val="28"/>
          <w:sz w:val="24"/>
          <w:szCs w:val="24"/>
        </w:rPr>
        <w:t xml:space="preserve"> vaccine </w:t>
      </w:r>
      <w:r w:rsidR="001F3726" w:rsidRPr="001F3726">
        <w:rPr>
          <w:rFonts w:eastAsia="Times New Roman"/>
          <w:bCs/>
          <w:kern w:val="28"/>
          <w:sz w:val="24"/>
          <w:szCs w:val="24"/>
        </w:rPr>
        <w:t xml:space="preserve">induces </w:t>
      </w:r>
      <w:r w:rsidR="00EE24C5" w:rsidRPr="006E4DF6">
        <w:rPr>
          <w:rFonts w:eastAsia="Times New Roman"/>
          <w:bCs/>
          <w:color w:val="000000" w:themeColor="text1"/>
          <w:kern w:val="28"/>
          <w:sz w:val="24"/>
          <w:szCs w:val="24"/>
        </w:rPr>
        <w:t>durable</w:t>
      </w:r>
      <w:r w:rsidR="00E13652" w:rsidRPr="00D55C96">
        <w:rPr>
          <w:rFonts w:eastAsia="Times New Roman"/>
          <w:bCs/>
          <w:color w:val="FF0000"/>
          <w:kern w:val="28"/>
          <w:sz w:val="24"/>
          <w:szCs w:val="24"/>
        </w:rPr>
        <w:t xml:space="preserve"> </w:t>
      </w:r>
      <w:r w:rsidR="009329A8">
        <w:rPr>
          <w:rFonts w:eastAsia="Times New Roman"/>
          <w:bCs/>
          <w:kern w:val="28"/>
          <w:sz w:val="24"/>
          <w:szCs w:val="24"/>
        </w:rPr>
        <w:t>immune responses</w:t>
      </w:r>
    </w:p>
    <w:p w14:paraId="05362C34" w14:textId="2C1626FC" w:rsidR="001F3726" w:rsidRDefault="009D04AD" w:rsidP="002D5625">
      <w:pPr>
        <w:spacing w:before="120" w:line="480" w:lineRule="auto"/>
        <w:rPr>
          <w:rFonts w:eastAsia="Times New Roman"/>
          <w:sz w:val="24"/>
          <w:szCs w:val="24"/>
        </w:rPr>
      </w:pPr>
      <w:r w:rsidRPr="00103F63">
        <w:rPr>
          <w:rFonts w:eastAsia="Times New Roman"/>
          <w:b/>
          <w:sz w:val="24"/>
          <w:szCs w:val="24"/>
        </w:rPr>
        <w:t>Descriptor number:</w:t>
      </w:r>
      <w:r w:rsidRPr="00FB02B5">
        <w:rPr>
          <w:rFonts w:eastAsia="Times New Roman"/>
          <w:sz w:val="24"/>
          <w:szCs w:val="24"/>
        </w:rPr>
        <w:t xml:space="preserve"> </w:t>
      </w:r>
      <w:r w:rsidR="001F5D97" w:rsidRPr="00FB02B5">
        <w:rPr>
          <w:rFonts w:eastAsia="Times New Roman"/>
          <w:sz w:val="24"/>
          <w:szCs w:val="24"/>
        </w:rPr>
        <w:t>7.18 Mucosal Immunity of the Respiratory Tract</w:t>
      </w:r>
    </w:p>
    <w:p w14:paraId="1BBB3821" w14:textId="1ECC1D74" w:rsidR="00170A15" w:rsidRPr="009B57AA" w:rsidRDefault="00103F63" w:rsidP="002D5625">
      <w:pPr>
        <w:spacing w:before="120" w:line="480" w:lineRule="auto"/>
        <w:rPr>
          <w:color w:val="000000" w:themeColor="text1"/>
        </w:rPr>
      </w:pPr>
      <w:r w:rsidRPr="009B57AA">
        <w:rPr>
          <w:rFonts w:eastAsia="Times New Roman"/>
          <w:b/>
          <w:color w:val="000000" w:themeColor="text1"/>
          <w:sz w:val="24"/>
          <w:szCs w:val="24"/>
        </w:rPr>
        <w:t>Impact on clinical medicine and basic science:</w:t>
      </w:r>
      <w:r w:rsidR="00F20713" w:rsidRPr="009B57AA">
        <w:rPr>
          <w:color w:val="000000" w:themeColor="text1"/>
        </w:rPr>
        <w:t xml:space="preserve"> </w:t>
      </w:r>
    </w:p>
    <w:p w14:paraId="1792B027" w14:textId="525B0EC7" w:rsidR="00C7397E" w:rsidRPr="009B57AA" w:rsidRDefault="00C7397E" w:rsidP="002D5625">
      <w:pPr>
        <w:spacing w:before="120" w:line="480" w:lineRule="auto"/>
        <w:rPr>
          <w:rFonts w:eastAsia="Times New Roman"/>
          <w:color w:val="000000" w:themeColor="text1"/>
          <w:sz w:val="24"/>
          <w:szCs w:val="24"/>
        </w:rPr>
      </w:pPr>
      <w:r w:rsidRPr="009B57AA">
        <w:rPr>
          <w:rFonts w:eastAsia="Times New Roman"/>
          <w:color w:val="000000" w:themeColor="text1"/>
          <w:sz w:val="24"/>
          <w:szCs w:val="24"/>
        </w:rPr>
        <w:t xml:space="preserve">This study provides proof-of-concept that long-lasting anti-RSV antibodies can be induced </w:t>
      </w:r>
      <w:r w:rsidR="00A70664" w:rsidRPr="009B57AA">
        <w:rPr>
          <w:rFonts w:eastAsia="Times New Roman"/>
          <w:color w:val="000000" w:themeColor="text1"/>
          <w:sz w:val="24"/>
          <w:szCs w:val="24"/>
        </w:rPr>
        <w:t xml:space="preserve">in adults </w:t>
      </w:r>
      <w:r w:rsidRPr="009B57AA">
        <w:rPr>
          <w:rFonts w:eastAsia="Times New Roman"/>
          <w:color w:val="000000" w:themeColor="text1"/>
          <w:sz w:val="24"/>
          <w:szCs w:val="24"/>
        </w:rPr>
        <w:t xml:space="preserve">if </w:t>
      </w:r>
      <w:r w:rsidR="00A70664" w:rsidRPr="009B57AA">
        <w:rPr>
          <w:rFonts w:eastAsia="Times New Roman"/>
          <w:color w:val="000000" w:themeColor="text1"/>
          <w:sz w:val="24"/>
          <w:szCs w:val="24"/>
        </w:rPr>
        <w:t xml:space="preserve">viral </w:t>
      </w:r>
      <w:r w:rsidRPr="009B57AA">
        <w:rPr>
          <w:rFonts w:eastAsia="Times New Roman"/>
          <w:color w:val="000000" w:themeColor="text1"/>
          <w:sz w:val="24"/>
          <w:szCs w:val="24"/>
        </w:rPr>
        <w:t xml:space="preserve">antigen is delivered </w:t>
      </w:r>
      <w:r w:rsidR="00A70664" w:rsidRPr="009B57AA">
        <w:rPr>
          <w:rFonts w:eastAsia="Times New Roman"/>
          <w:color w:val="000000" w:themeColor="text1"/>
          <w:sz w:val="24"/>
          <w:szCs w:val="24"/>
        </w:rPr>
        <w:t>without the</w:t>
      </w:r>
      <w:r w:rsidRPr="009B57AA">
        <w:rPr>
          <w:rFonts w:eastAsia="Times New Roman"/>
          <w:color w:val="000000" w:themeColor="text1"/>
          <w:sz w:val="24"/>
          <w:szCs w:val="24"/>
        </w:rPr>
        <w:t xml:space="preserve"> immunomodulation </w:t>
      </w:r>
      <w:r w:rsidR="00E13652" w:rsidRPr="009B57AA">
        <w:rPr>
          <w:rFonts w:eastAsia="Times New Roman"/>
          <w:color w:val="000000" w:themeColor="text1"/>
          <w:sz w:val="24"/>
          <w:szCs w:val="24"/>
        </w:rPr>
        <w:t xml:space="preserve">apparent during live </w:t>
      </w:r>
      <w:r w:rsidR="00A70664" w:rsidRPr="009B57AA">
        <w:rPr>
          <w:rFonts w:eastAsia="Times New Roman"/>
          <w:color w:val="000000" w:themeColor="text1"/>
          <w:sz w:val="24"/>
          <w:szCs w:val="24"/>
        </w:rPr>
        <w:t>RSV infection</w:t>
      </w:r>
      <w:r w:rsidRPr="009B57AA">
        <w:rPr>
          <w:rFonts w:eastAsia="Times New Roman"/>
          <w:color w:val="000000" w:themeColor="text1"/>
          <w:sz w:val="24"/>
          <w:szCs w:val="24"/>
        </w:rPr>
        <w:t xml:space="preserve">. </w:t>
      </w:r>
      <w:r w:rsidR="00A70664" w:rsidRPr="009B57AA">
        <w:rPr>
          <w:rFonts w:eastAsia="Times New Roman"/>
          <w:color w:val="000000" w:themeColor="text1"/>
          <w:sz w:val="24"/>
          <w:szCs w:val="24"/>
        </w:rPr>
        <w:t>T</w:t>
      </w:r>
      <w:r w:rsidRPr="009B57AA">
        <w:rPr>
          <w:rFonts w:eastAsia="Times New Roman"/>
          <w:color w:val="000000" w:themeColor="text1"/>
          <w:sz w:val="24"/>
          <w:szCs w:val="24"/>
        </w:rPr>
        <w:t xml:space="preserve">he intranasal </w:t>
      </w:r>
      <w:r w:rsidR="00A70664" w:rsidRPr="009B57AA">
        <w:rPr>
          <w:rFonts w:eastAsia="Times New Roman"/>
          <w:color w:val="000000" w:themeColor="text1"/>
          <w:sz w:val="24"/>
          <w:szCs w:val="24"/>
        </w:rPr>
        <w:t xml:space="preserve">bacterium-like particle </w:t>
      </w:r>
      <w:r w:rsidRPr="009B57AA">
        <w:rPr>
          <w:rFonts w:eastAsia="Times New Roman"/>
          <w:color w:val="000000" w:themeColor="text1"/>
          <w:sz w:val="24"/>
          <w:szCs w:val="24"/>
        </w:rPr>
        <w:t xml:space="preserve">vaccine </w:t>
      </w:r>
      <w:r w:rsidR="00E13652" w:rsidRPr="009B57AA">
        <w:rPr>
          <w:rFonts w:eastAsia="Times New Roman"/>
          <w:color w:val="000000" w:themeColor="text1"/>
          <w:sz w:val="24"/>
          <w:szCs w:val="24"/>
        </w:rPr>
        <w:t>formulation that we used was</w:t>
      </w:r>
      <w:r w:rsidRPr="009B57AA">
        <w:rPr>
          <w:rFonts w:eastAsia="Times New Roman"/>
          <w:color w:val="000000" w:themeColor="text1"/>
          <w:sz w:val="24"/>
          <w:szCs w:val="24"/>
        </w:rPr>
        <w:t xml:space="preserve"> well-tolerated and </w:t>
      </w:r>
      <w:r w:rsidR="00E13652" w:rsidRPr="009B57AA">
        <w:rPr>
          <w:rFonts w:eastAsia="Times New Roman"/>
          <w:color w:val="000000" w:themeColor="text1"/>
          <w:sz w:val="24"/>
          <w:szCs w:val="24"/>
        </w:rPr>
        <w:t xml:space="preserve">could </w:t>
      </w:r>
      <w:r w:rsidRPr="009B57AA">
        <w:rPr>
          <w:rFonts w:eastAsia="Times New Roman"/>
          <w:color w:val="000000" w:themeColor="text1"/>
          <w:sz w:val="24"/>
          <w:szCs w:val="24"/>
        </w:rPr>
        <w:t>potential</w:t>
      </w:r>
      <w:r w:rsidR="00E13652" w:rsidRPr="009B57AA">
        <w:rPr>
          <w:rFonts w:eastAsia="Times New Roman"/>
          <w:color w:val="000000" w:themeColor="text1"/>
          <w:sz w:val="24"/>
          <w:szCs w:val="24"/>
        </w:rPr>
        <w:t>ly be adapted for other respiratory</w:t>
      </w:r>
      <w:r w:rsidRPr="009B57AA">
        <w:rPr>
          <w:rFonts w:eastAsia="Times New Roman"/>
          <w:color w:val="000000" w:themeColor="text1"/>
          <w:sz w:val="24"/>
          <w:szCs w:val="24"/>
        </w:rPr>
        <w:t xml:space="preserve"> pathogens.</w:t>
      </w:r>
    </w:p>
    <w:p w14:paraId="0878E725" w14:textId="77777777" w:rsidR="007219E2" w:rsidRDefault="007219E2" w:rsidP="002D5625">
      <w:pPr>
        <w:spacing w:before="120" w:line="480" w:lineRule="auto"/>
        <w:rPr>
          <w:rFonts w:eastAsia="Times New Roman"/>
          <w:b/>
          <w:sz w:val="24"/>
          <w:szCs w:val="24"/>
        </w:rPr>
      </w:pPr>
    </w:p>
    <w:p w14:paraId="1911AF2D" w14:textId="77777777" w:rsidR="002D5625" w:rsidRPr="002D5625" w:rsidRDefault="002D5625" w:rsidP="002D5625">
      <w:pPr>
        <w:spacing w:before="120" w:line="480" w:lineRule="auto"/>
        <w:rPr>
          <w:rFonts w:eastAsia="Times New Roman"/>
          <w:sz w:val="24"/>
          <w:szCs w:val="24"/>
        </w:rPr>
      </w:pPr>
      <w:r w:rsidRPr="002D5625">
        <w:rPr>
          <w:rFonts w:eastAsia="Times New Roman"/>
          <w:b/>
          <w:sz w:val="24"/>
          <w:szCs w:val="24"/>
        </w:rPr>
        <w:t>Authors:</w:t>
      </w:r>
      <w:r w:rsidRPr="002D5625">
        <w:rPr>
          <w:rFonts w:eastAsia="Times New Roman"/>
          <w:sz w:val="24"/>
          <w:szCs w:val="24"/>
        </w:rPr>
        <w:t xml:space="preserve">  </w:t>
      </w:r>
    </w:p>
    <w:p w14:paraId="59B4FD79" w14:textId="5309AD85" w:rsidR="00924E99" w:rsidRPr="00A25972" w:rsidRDefault="00924E99" w:rsidP="00924E99">
      <w:pPr>
        <w:pStyle w:val="Teaser"/>
        <w:spacing w:line="480" w:lineRule="auto"/>
      </w:pPr>
      <w:r w:rsidRPr="004324A5">
        <w:t>Stephanie Ascough</w:t>
      </w:r>
      <w:r w:rsidRPr="004324A5">
        <w:rPr>
          <w:vertAlign w:val="superscript"/>
        </w:rPr>
        <w:t>1,2</w:t>
      </w:r>
      <w:r w:rsidRPr="004324A5">
        <w:t>†, Iris Vlachantoni</w:t>
      </w:r>
      <w:r w:rsidRPr="004324A5">
        <w:rPr>
          <w:vertAlign w:val="superscript"/>
        </w:rPr>
        <w:t>2</w:t>
      </w:r>
      <w:r w:rsidRPr="004324A5">
        <w:t>†, Mohini Kalyan</w:t>
      </w:r>
      <w:r w:rsidRPr="004324A5">
        <w:rPr>
          <w:vertAlign w:val="superscript"/>
        </w:rPr>
        <w:t>1,2</w:t>
      </w:r>
      <w:r w:rsidRPr="004324A5">
        <w:t>, Bert-Jan Haijema</w:t>
      </w:r>
      <w:r w:rsidRPr="004324A5">
        <w:rPr>
          <w:vertAlign w:val="superscript"/>
        </w:rPr>
        <w:t>3</w:t>
      </w:r>
      <w:r w:rsidRPr="004324A5">
        <w:t xml:space="preserve">, </w:t>
      </w:r>
      <w:proofErr w:type="spellStart"/>
      <w:r w:rsidRPr="004324A5">
        <w:t>Sanna</w:t>
      </w:r>
      <w:proofErr w:type="spellEnd"/>
      <w:r w:rsidRPr="004324A5">
        <w:t xml:space="preserve"> Wallin</w:t>
      </w:r>
      <w:r>
        <w:t>-Weber</w:t>
      </w:r>
      <w:r w:rsidRPr="004324A5">
        <w:rPr>
          <w:vertAlign w:val="superscript"/>
        </w:rPr>
        <w:t>3</w:t>
      </w:r>
      <w:r w:rsidRPr="004324A5">
        <w:t xml:space="preserve">, </w:t>
      </w:r>
      <w:proofErr w:type="spellStart"/>
      <w:r w:rsidRPr="004324A5">
        <w:t>Margriet</w:t>
      </w:r>
      <w:proofErr w:type="spellEnd"/>
      <w:r w:rsidRPr="004324A5">
        <w:t xml:space="preserve"> Dijkstra</w:t>
      </w:r>
      <w:r>
        <w:t>-Tiekstra</w:t>
      </w:r>
      <w:r w:rsidRPr="004324A5">
        <w:rPr>
          <w:vertAlign w:val="superscript"/>
        </w:rPr>
        <w:t>3</w:t>
      </w:r>
      <w:r w:rsidRPr="004324A5">
        <w:t>, Muhammad S Ahmed</w:t>
      </w:r>
      <w:r w:rsidRPr="004324A5">
        <w:rPr>
          <w:vertAlign w:val="superscript"/>
        </w:rPr>
        <w:t>4</w:t>
      </w:r>
      <w:r w:rsidRPr="004324A5">
        <w:t xml:space="preserve">, </w:t>
      </w:r>
      <w:r w:rsidR="00FA2C21">
        <w:t>Maarten van Roosmalen</w:t>
      </w:r>
      <w:r w:rsidR="00FA2C21">
        <w:rPr>
          <w:vertAlign w:val="superscript"/>
        </w:rPr>
        <w:t>3</w:t>
      </w:r>
      <w:r w:rsidR="00FA2C21">
        <w:t xml:space="preserve">, </w:t>
      </w:r>
      <w:r w:rsidRPr="004324A5">
        <w:t>Roberto Grimaldi</w:t>
      </w:r>
      <w:r w:rsidRPr="004324A5">
        <w:rPr>
          <w:vertAlign w:val="superscript"/>
        </w:rPr>
        <w:t>3</w:t>
      </w:r>
      <w:r w:rsidRPr="004324A5">
        <w:t xml:space="preserve">, </w:t>
      </w:r>
      <w:proofErr w:type="spellStart"/>
      <w:r w:rsidRPr="004324A5">
        <w:t>Qibo</w:t>
      </w:r>
      <w:proofErr w:type="spellEnd"/>
      <w:r w:rsidRPr="004324A5">
        <w:t xml:space="preserve"> Zhang</w:t>
      </w:r>
      <w:r w:rsidRPr="004324A5">
        <w:rPr>
          <w:vertAlign w:val="superscript"/>
        </w:rPr>
        <w:t>4</w:t>
      </w:r>
      <w:r w:rsidRPr="004324A5">
        <w:t xml:space="preserve">, </w:t>
      </w:r>
      <w:proofErr w:type="spellStart"/>
      <w:r w:rsidRPr="004324A5">
        <w:t>Kees</w:t>
      </w:r>
      <w:proofErr w:type="spellEnd"/>
      <w:r w:rsidRPr="004324A5">
        <w:t xml:space="preserve"> Leenhouts</w:t>
      </w:r>
      <w:r w:rsidRPr="004324A5">
        <w:rPr>
          <w:vertAlign w:val="superscript"/>
        </w:rPr>
        <w:t>3</w:t>
      </w:r>
      <w:r w:rsidRPr="004324A5">
        <w:t>, Peter J Openshaw</w:t>
      </w:r>
      <w:r w:rsidRPr="004324A5">
        <w:rPr>
          <w:vertAlign w:val="superscript"/>
        </w:rPr>
        <w:t>2</w:t>
      </w:r>
      <w:r w:rsidRPr="00A25972">
        <w:t xml:space="preserve">* </w:t>
      </w:r>
      <w:r w:rsidR="001F5D97">
        <w:t>and</w:t>
      </w:r>
      <w:r w:rsidRPr="00A25972">
        <w:t xml:space="preserve"> Christopher Chiu</w:t>
      </w:r>
      <w:r w:rsidRPr="00A25972">
        <w:rPr>
          <w:vertAlign w:val="superscript"/>
        </w:rPr>
        <w:t>1</w:t>
      </w:r>
      <w:r w:rsidRPr="00A25972">
        <w:t>*</w:t>
      </w:r>
    </w:p>
    <w:p w14:paraId="259B9BD9" w14:textId="77777777" w:rsidR="002D5625" w:rsidRPr="002D5625" w:rsidRDefault="002D5625" w:rsidP="002D5625">
      <w:pPr>
        <w:spacing w:before="120" w:line="480" w:lineRule="auto"/>
        <w:rPr>
          <w:rFonts w:eastAsia="Times New Roman"/>
          <w:b/>
          <w:sz w:val="24"/>
          <w:szCs w:val="24"/>
        </w:rPr>
      </w:pPr>
    </w:p>
    <w:p w14:paraId="5DB69551" w14:textId="77777777" w:rsidR="002D5625" w:rsidRPr="002D5625" w:rsidRDefault="002D5625" w:rsidP="002D5625">
      <w:pPr>
        <w:spacing w:before="120" w:line="480" w:lineRule="auto"/>
        <w:rPr>
          <w:rFonts w:eastAsia="Times New Roman"/>
          <w:b/>
          <w:sz w:val="24"/>
          <w:szCs w:val="24"/>
        </w:rPr>
      </w:pPr>
      <w:r w:rsidRPr="002D5625">
        <w:rPr>
          <w:rFonts w:eastAsia="Times New Roman"/>
          <w:b/>
          <w:sz w:val="24"/>
          <w:szCs w:val="24"/>
        </w:rPr>
        <w:t>Affiliations:</w:t>
      </w:r>
    </w:p>
    <w:p w14:paraId="408B3B30"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vertAlign w:val="superscript"/>
        </w:rPr>
        <w:t>1</w:t>
      </w:r>
      <w:r w:rsidRPr="002D5625">
        <w:rPr>
          <w:rFonts w:eastAsia="Times New Roman"/>
          <w:sz w:val="24"/>
          <w:szCs w:val="24"/>
        </w:rPr>
        <w:t xml:space="preserve"> Section of Infectious Diseases and Immunity, Department of Medicine, Imperial College London, UK.</w:t>
      </w:r>
    </w:p>
    <w:p w14:paraId="386A7675" w14:textId="77777777" w:rsidR="002D5625" w:rsidRPr="002D5625" w:rsidRDefault="002D5625" w:rsidP="002D5625">
      <w:pPr>
        <w:spacing w:before="120" w:line="480" w:lineRule="auto"/>
        <w:rPr>
          <w:rFonts w:eastAsia="Times New Roman"/>
          <w:sz w:val="24"/>
          <w:szCs w:val="24"/>
          <w:vertAlign w:val="superscript"/>
        </w:rPr>
      </w:pPr>
      <w:r w:rsidRPr="002D5625">
        <w:rPr>
          <w:rFonts w:eastAsia="Times New Roman"/>
          <w:sz w:val="24"/>
          <w:szCs w:val="24"/>
          <w:vertAlign w:val="superscript"/>
        </w:rPr>
        <w:t xml:space="preserve">2 </w:t>
      </w:r>
      <w:r w:rsidRPr="002D5625">
        <w:rPr>
          <w:rFonts w:eastAsia="Times New Roman"/>
          <w:sz w:val="24"/>
          <w:szCs w:val="24"/>
        </w:rPr>
        <w:t>Section of Respiratory Infections, National Heart and Lung Institute, Imperial College London, UK.</w:t>
      </w:r>
      <w:r w:rsidRPr="002D5625">
        <w:rPr>
          <w:rFonts w:eastAsia="Times New Roman"/>
          <w:sz w:val="24"/>
          <w:szCs w:val="24"/>
          <w:vertAlign w:val="superscript"/>
        </w:rPr>
        <w:t xml:space="preserve"> </w:t>
      </w:r>
    </w:p>
    <w:p w14:paraId="674F2E0F"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vertAlign w:val="superscript"/>
        </w:rPr>
        <w:lastRenderedPageBreak/>
        <w:t>3</w:t>
      </w:r>
      <w:r w:rsidRPr="002D5625">
        <w:rPr>
          <w:rFonts w:eastAsia="Times New Roman"/>
          <w:sz w:val="24"/>
          <w:szCs w:val="24"/>
        </w:rPr>
        <w:t xml:space="preserve"> </w:t>
      </w:r>
      <w:proofErr w:type="spellStart"/>
      <w:r w:rsidRPr="002D5625">
        <w:rPr>
          <w:rFonts w:eastAsia="Times New Roman"/>
          <w:sz w:val="24"/>
          <w:szCs w:val="24"/>
        </w:rPr>
        <w:t>Mucosis</w:t>
      </w:r>
      <w:proofErr w:type="spellEnd"/>
      <w:r w:rsidRPr="002D5625">
        <w:rPr>
          <w:rFonts w:eastAsia="Times New Roman"/>
          <w:sz w:val="24"/>
          <w:szCs w:val="24"/>
        </w:rPr>
        <w:t xml:space="preserve"> B.V., represented by trustee Mr. Holtz LLM, Bout </w:t>
      </w:r>
      <w:proofErr w:type="spellStart"/>
      <w:r w:rsidRPr="002D5625">
        <w:rPr>
          <w:rFonts w:eastAsia="Times New Roman"/>
          <w:sz w:val="24"/>
          <w:szCs w:val="24"/>
        </w:rPr>
        <w:t>Advocaten</w:t>
      </w:r>
      <w:proofErr w:type="spellEnd"/>
      <w:r w:rsidRPr="002D5625">
        <w:rPr>
          <w:rFonts w:eastAsia="Times New Roman"/>
          <w:sz w:val="24"/>
          <w:szCs w:val="24"/>
        </w:rPr>
        <w:t xml:space="preserve">, Groningen and </w:t>
      </w:r>
      <w:proofErr w:type="spellStart"/>
      <w:r w:rsidRPr="002D5625">
        <w:rPr>
          <w:rFonts w:eastAsia="Times New Roman"/>
          <w:sz w:val="24"/>
          <w:szCs w:val="24"/>
        </w:rPr>
        <w:t>Virtuvax</w:t>
      </w:r>
      <w:proofErr w:type="spellEnd"/>
      <w:r w:rsidRPr="002D5625">
        <w:rPr>
          <w:rFonts w:eastAsia="Times New Roman"/>
          <w:sz w:val="24"/>
          <w:szCs w:val="24"/>
        </w:rPr>
        <w:t xml:space="preserve"> B.V., The Netherlands.</w:t>
      </w:r>
    </w:p>
    <w:p w14:paraId="63A6E132"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vertAlign w:val="superscript"/>
        </w:rPr>
        <w:t>4</w:t>
      </w:r>
      <w:r w:rsidRPr="002D5625">
        <w:rPr>
          <w:rFonts w:eastAsia="Times New Roman"/>
          <w:sz w:val="24"/>
          <w:szCs w:val="24"/>
        </w:rPr>
        <w:t xml:space="preserve"> Department of Clinical Infection, Microbiology and Immunology, University of Liverpool, UK.</w:t>
      </w:r>
    </w:p>
    <w:p w14:paraId="141A1CA6" w14:textId="77777777" w:rsidR="002D5625" w:rsidRPr="002D5625" w:rsidRDefault="002D5625" w:rsidP="002D5625">
      <w:pPr>
        <w:spacing w:before="120" w:line="480" w:lineRule="auto"/>
        <w:rPr>
          <w:rFonts w:eastAsia="Times New Roman"/>
          <w:sz w:val="24"/>
          <w:szCs w:val="24"/>
        </w:rPr>
      </w:pPr>
    </w:p>
    <w:p w14:paraId="48C9CBD8"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†These authors contributed equally to this work.</w:t>
      </w:r>
    </w:p>
    <w:p w14:paraId="009DF883"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 These authors contributed equally to this work.</w:t>
      </w:r>
    </w:p>
    <w:p w14:paraId="4753614D" w14:textId="77777777" w:rsidR="002D5625" w:rsidRPr="002D5625" w:rsidRDefault="002D5625" w:rsidP="002D5625">
      <w:pPr>
        <w:spacing w:before="120" w:line="480" w:lineRule="auto"/>
        <w:rPr>
          <w:rFonts w:eastAsia="Times New Roman"/>
          <w:sz w:val="24"/>
          <w:szCs w:val="24"/>
        </w:rPr>
      </w:pPr>
    </w:p>
    <w:p w14:paraId="64C8AB27" w14:textId="29A515E1" w:rsidR="002D5625" w:rsidRPr="009B57AA" w:rsidRDefault="00534A26" w:rsidP="002D5625">
      <w:pPr>
        <w:spacing w:before="120" w:line="480" w:lineRule="auto"/>
        <w:rPr>
          <w:rFonts w:eastAsia="Times New Roman"/>
          <w:b/>
          <w:sz w:val="24"/>
          <w:szCs w:val="24"/>
        </w:rPr>
      </w:pPr>
      <w:r w:rsidRPr="009B57AA">
        <w:rPr>
          <w:rFonts w:eastAsia="Times New Roman"/>
          <w:b/>
          <w:sz w:val="24"/>
          <w:szCs w:val="24"/>
        </w:rPr>
        <w:t>Correspond</w:t>
      </w:r>
      <w:r w:rsidR="001F5D97" w:rsidRPr="009B57AA">
        <w:rPr>
          <w:rFonts w:eastAsia="Times New Roman"/>
          <w:b/>
          <w:sz w:val="24"/>
          <w:szCs w:val="24"/>
        </w:rPr>
        <w:t>ing authors:</w:t>
      </w:r>
      <w:r w:rsidR="002D5625" w:rsidRPr="009B57AA">
        <w:rPr>
          <w:rFonts w:eastAsia="Times New Roman"/>
          <w:b/>
          <w:sz w:val="24"/>
          <w:szCs w:val="24"/>
        </w:rPr>
        <w:t xml:space="preserve"> </w:t>
      </w:r>
    </w:p>
    <w:p w14:paraId="015AD6DB" w14:textId="4B733BD3" w:rsidR="002D5625" w:rsidRPr="002D5625" w:rsidRDefault="00D3032D" w:rsidP="002D5625">
      <w:pPr>
        <w:spacing w:before="120" w:line="480" w:lineRule="auto"/>
        <w:rPr>
          <w:rFonts w:eastAsia="Times New Roman"/>
          <w:sz w:val="24"/>
          <w:szCs w:val="24"/>
        </w:rPr>
      </w:pPr>
      <w:r>
        <w:rPr>
          <w:rFonts w:eastAsia="Times New Roman"/>
          <w:sz w:val="24"/>
          <w:szCs w:val="24"/>
        </w:rPr>
        <w:t xml:space="preserve">Dr </w:t>
      </w:r>
      <w:r w:rsidR="002D5625" w:rsidRPr="002D5625">
        <w:rPr>
          <w:rFonts w:eastAsia="Times New Roman"/>
          <w:sz w:val="24"/>
          <w:szCs w:val="24"/>
        </w:rPr>
        <w:t>Christopher Chiu</w:t>
      </w:r>
    </w:p>
    <w:p w14:paraId="14F14150"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Section of Infectious Diseases and Immunity, Imperial College London, Hammersmith Campus</w:t>
      </w:r>
    </w:p>
    <w:p w14:paraId="066364EC"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Du Cane Road, London W12 0NN, United Kingdom</w:t>
      </w:r>
    </w:p>
    <w:p w14:paraId="2E235BF5"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 xml:space="preserve">Email: </w:t>
      </w:r>
      <w:hyperlink r:id="rId8" w:history="1">
        <w:r w:rsidRPr="002D5625">
          <w:rPr>
            <w:rFonts w:eastAsia="Times New Roman"/>
            <w:color w:val="0000FF"/>
            <w:sz w:val="24"/>
            <w:szCs w:val="24"/>
            <w:u w:val="single"/>
          </w:rPr>
          <w:t>c.chiu@imperial.ac.uk</w:t>
        </w:r>
      </w:hyperlink>
    </w:p>
    <w:p w14:paraId="1D8B9A43" w14:textId="7781D91E" w:rsidR="002D5625" w:rsidRPr="002D5625" w:rsidRDefault="00D3032D" w:rsidP="002D5625">
      <w:pPr>
        <w:spacing w:before="120" w:line="480" w:lineRule="auto"/>
        <w:rPr>
          <w:rFonts w:eastAsia="Times New Roman"/>
          <w:sz w:val="24"/>
          <w:szCs w:val="24"/>
        </w:rPr>
      </w:pPr>
      <w:r>
        <w:rPr>
          <w:rFonts w:eastAsia="Times New Roman"/>
          <w:sz w:val="24"/>
          <w:szCs w:val="24"/>
        </w:rPr>
        <w:t xml:space="preserve">Professor </w:t>
      </w:r>
      <w:r w:rsidR="002D5625" w:rsidRPr="002D5625">
        <w:rPr>
          <w:rFonts w:eastAsia="Times New Roman"/>
          <w:sz w:val="24"/>
          <w:szCs w:val="24"/>
        </w:rPr>
        <w:t>Peter Openshaw</w:t>
      </w:r>
    </w:p>
    <w:p w14:paraId="0FA9CCC7"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National Heart and Lung Institute, Imperial College London, St Mary’s Campus</w:t>
      </w:r>
    </w:p>
    <w:p w14:paraId="0021B49E"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Norfolk Place, London W2 0PG, United Kingdom</w:t>
      </w:r>
    </w:p>
    <w:p w14:paraId="281AC3B7" w14:textId="77777777" w:rsidR="002D5625" w:rsidRPr="002D5625" w:rsidRDefault="002D5625" w:rsidP="002D5625">
      <w:pPr>
        <w:spacing w:before="120" w:line="480" w:lineRule="auto"/>
        <w:rPr>
          <w:rFonts w:eastAsia="Times New Roman"/>
          <w:sz w:val="24"/>
          <w:szCs w:val="24"/>
        </w:rPr>
      </w:pPr>
      <w:r w:rsidRPr="002D5625">
        <w:rPr>
          <w:rFonts w:eastAsia="Times New Roman"/>
          <w:sz w:val="24"/>
          <w:szCs w:val="24"/>
        </w:rPr>
        <w:t xml:space="preserve">Email: </w:t>
      </w:r>
      <w:hyperlink r:id="rId9" w:history="1">
        <w:r w:rsidRPr="002D5625">
          <w:rPr>
            <w:rFonts w:eastAsia="Times New Roman"/>
            <w:color w:val="0000FF"/>
            <w:sz w:val="24"/>
            <w:szCs w:val="24"/>
            <w:u w:val="single"/>
          </w:rPr>
          <w:t>p.openshaw@imperial.ac.uk</w:t>
        </w:r>
      </w:hyperlink>
    </w:p>
    <w:p w14:paraId="47141A56" w14:textId="77777777" w:rsidR="009D04AD" w:rsidRDefault="009D04AD" w:rsidP="009D04AD">
      <w:pPr>
        <w:spacing w:line="480" w:lineRule="auto"/>
        <w:rPr>
          <w:rFonts w:eastAsia="Times New Roman"/>
          <w:b/>
          <w:sz w:val="24"/>
          <w:szCs w:val="24"/>
        </w:rPr>
      </w:pPr>
    </w:p>
    <w:p w14:paraId="40F67830" w14:textId="0A52C0F0" w:rsidR="009D04AD" w:rsidRDefault="009D04AD" w:rsidP="009D04AD">
      <w:pPr>
        <w:spacing w:line="480" w:lineRule="auto"/>
        <w:rPr>
          <w:rFonts w:eastAsia="Times New Roman"/>
          <w:b/>
          <w:sz w:val="24"/>
          <w:szCs w:val="24"/>
        </w:rPr>
      </w:pPr>
      <w:r>
        <w:rPr>
          <w:rFonts w:eastAsia="Times New Roman"/>
          <w:b/>
          <w:sz w:val="24"/>
          <w:szCs w:val="24"/>
        </w:rPr>
        <w:t>Authors Contributions</w:t>
      </w:r>
      <w:r w:rsidR="009B57AA">
        <w:rPr>
          <w:rFonts w:eastAsia="Times New Roman"/>
          <w:b/>
          <w:sz w:val="24"/>
          <w:szCs w:val="24"/>
        </w:rPr>
        <w:t>:</w:t>
      </w:r>
    </w:p>
    <w:p w14:paraId="4A6DA0BB" w14:textId="6EC4B598" w:rsidR="009D04AD" w:rsidRPr="005C26A9" w:rsidRDefault="009D04AD" w:rsidP="009D04AD">
      <w:pPr>
        <w:spacing w:line="480" w:lineRule="auto"/>
        <w:jc w:val="both"/>
        <w:rPr>
          <w:rFonts w:eastAsia="Times New Roman"/>
          <w:sz w:val="24"/>
          <w:szCs w:val="24"/>
        </w:rPr>
      </w:pPr>
      <w:r w:rsidRPr="005C26A9">
        <w:rPr>
          <w:rFonts w:eastAsia="Times New Roman"/>
          <w:sz w:val="24"/>
          <w:szCs w:val="24"/>
        </w:rPr>
        <w:t xml:space="preserve">CC, PJO, QZ, </w:t>
      </w:r>
      <w:proofErr w:type="spellStart"/>
      <w:r w:rsidR="00733350">
        <w:rPr>
          <w:rFonts w:eastAsia="Times New Roman"/>
          <w:sz w:val="24"/>
          <w:szCs w:val="24"/>
        </w:rPr>
        <w:t>MvR</w:t>
      </w:r>
      <w:proofErr w:type="spellEnd"/>
      <w:r w:rsidR="00733350">
        <w:rPr>
          <w:rFonts w:eastAsia="Times New Roman"/>
          <w:sz w:val="24"/>
          <w:szCs w:val="24"/>
        </w:rPr>
        <w:t xml:space="preserve">, </w:t>
      </w:r>
      <w:r w:rsidRPr="005C26A9">
        <w:rPr>
          <w:rFonts w:eastAsia="Times New Roman"/>
          <w:sz w:val="24"/>
          <w:szCs w:val="24"/>
        </w:rPr>
        <w:t>RG, BJH and KL designed and conceived the study; CC and IV supervised and carried out the clinical study; SA, MK, SW, MD</w:t>
      </w:r>
      <w:r w:rsidR="00733350">
        <w:rPr>
          <w:rFonts w:eastAsia="Times New Roman"/>
          <w:sz w:val="24"/>
          <w:szCs w:val="24"/>
        </w:rPr>
        <w:t>T,</w:t>
      </w:r>
      <w:r w:rsidRPr="005C26A9">
        <w:rPr>
          <w:rFonts w:eastAsia="Times New Roman"/>
          <w:sz w:val="24"/>
          <w:szCs w:val="24"/>
        </w:rPr>
        <w:t xml:space="preserve"> MSA</w:t>
      </w:r>
      <w:r w:rsidR="00733350">
        <w:rPr>
          <w:rFonts w:eastAsia="Times New Roman"/>
          <w:sz w:val="24"/>
          <w:szCs w:val="24"/>
        </w:rPr>
        <w:t xml:space="preserve"> and </w:t>
      </w:r>
      <w:proofErr w:type="spellStart"/>
      <w:r w:rsidR="00733350">
        <w:rPr>
          <w:rFonts w:eastAsia="Times New Roman"/>
          <w:sz w:val="24"/>
          <w:szCs w:val="24"/>
        </w:rPr>
        <w:t>MvR</w:t>
      </w:r>
      <w:proofErr w:type="spellEnd"/>
      <w:r w:rsidRPr="005C26A9">
        <w:rPr>
          <w:rFonts w:eastAsia="Times New Roman"/>
          <w:sz w:val="24"/>
          <w:szCs w:val="24"/>
        </w:rPr>
        <w:t xml:space="preserve"> performed the laboratory </w:t>
      </w:r>
      <w:r w:rsidRPr="005C26A9">
        <w:rPr>
          <w:rFonts w:eastAsia="Times New Roman"/>
          <w:sz w:val="24"/>
          <w:szCs w:val="24"/>
        </w:rPr>
        <w:lastRenderedPageBreak/>
        <w:t>experiments; CC, PJO, SA and IV wrote the manuscript; all authors reviewed the manuscript prior to submission.</w:t>
      </w:r>
    </w:p>
    <w:p w14:paraId="21E40BF8" w14:textId="220C2BEA" w:rsidR="00170A15" w:rsidRDefault="00170A15" w:rsidP="002D5625">
      <w:pPr>
        <w:spacing w:before="120" w:line="480" w:lineRule="auto"/>
        <w:rPr>
          <w:rFonts w:eastAsia="Times New Roman"/>
          <w:sz w:val="24"/>
          <w:szCs w:val="24"/>
        </w:rPr>
      </w:pPr>
    </w:p>
    <w:p w14:paraId="245C660E" w14:textId="77777777" w:rsidR="00170A15" w:rsidRPr="00E876EC" w:rsidRDefault="00170A15" w:rsidP="002D5625">
      <w:pPr>
        <w:spacing w:before="120" w:line="480" w:lineRule="auto"/>
        <w:rPr>
          <w:rFonts w:eastAsia="Times New Roman"/>
          <w:b/>
          <w:sz w:val="24"/>
          <w:szCs w:val="24"/>
        </w:rPr>
      </w:pPr>
      <w:r w:rsidRPr="00E876EC">
        <w:rPr>
          <w:rFonts w:eastAsia="Times New Roman"/>
          <w:b/>
          <w:sz w:val="24"/>
          <w:szCs w:val="24"/>
        </w:rPr>
        <w:t>Sources of support:</w:t>
      </w:r>
    </w:p>
    <w:p w14:paraId="25D3090E" w14:textId="62B11331" w:rsidR="002D5625" w:rsidRDefault="00170A15" w:rsidP="002D5625">
      <w:pPr>
        <w:spacing w:before="120" w:line="480" w:lineRule="auto"/>
        <w:rPr>
          <w:rFonts w:eastAsia="Times New Roman"/>
          <w:sz w:val="24"/>
          <w:szCs w:val="24"/>
        </w:rPr>
      </w:pPr>
      <w:r>
        <w:rPr>
          <w:rFonts w:eastAsia="Times New Roman"/>
          <w:sz w:val="24"/>
          <w:szCs w:val="24"/>
        </w:rPr>
        <w:t xml:space="preserve">This research was </w:t>
      </w:r>
      <w:r w:rsidRPr="00170A15">
        <w:rPr>
          <w:rFonts w:eastAsia="Times New Roman"/>
          <w:sz w:val="24"/>
          <w:szCs w:val="24"/>
        </w:rPr>
        <w:t xml:space="preserve">funded by a </w:t>
      </w:r>
      <w:proofErr w:type="spellStart"/>
      <w:r w:rsidRPr="00170A15">
        <w:rPr>
          <w:rFonts w:eastAsia="Times New Roman"/>
          <w:sz w:val="24"/>
          <w:szCs w:val="24"/>
        </w:rPr>
        <w:t>Wellcome</w:t>
      </w:r>
      <w:proofErr w:type="spellEnd"/>
      <w:r w:rsidRPr="00170A15">
        <w:rPr>
          <w:rFonts w:eastAsia="Times New Roman"/>
          <w:sz w:val="24"/>
          <w:szCs w:val="24"/>
        </w:rPr>
        <w:t xml:space="preserve"> Trust Translation Award (Ref. WT108516)</w:t>
      </w:r>
      <w:r>
        <w:rPr>
          <w:rFonts w:eastAsia="Times New Roman"/>
          <w:sz w:val="24"/>
          <w:szCs w:val="24"/>
        </w:rPr>
        <w:t xml:space="preserve">. </w:t>
      </w:r>
      <w:r w:rsidRPr="00170A15">
        <w:rPr>
          <w:rFonts w:eastAsia="Times New Roman"/>
          <w:sz w:val="24"/>
          <w:szCs w:val="24"/>
        </w:rPr>
        <w:t>PJO is additionally supported by an NIHR Senior Investigator Award.</w:t>
      </w:r>
    </w:p>
    <w:p w14:paraId="3E3A3CC1" w14:textId="02745C33" w:rsidR="00170A15" w:rsidRDefault="00170A15" w:rsidP="002D5625">
      <w:pPr>
        <w:spacing w:before="120" w:line="480" w:lineRule="auto"/>
        <w:rPr>
          <w:rFonts w:eastAsia="Times New Roman"/>
          <w:b/>
          <w:sz w:val="24"/>
          <w:szCs w:val="24"/>
        </w:rPr>
      </w:pPr>
      <w:r w:rsidRPr="00E876EC">
        <w:rPr>
          <w:rFonts w:eastAsia="Times New Roman"/>
          <w:b/>
          <w:sz w:val="24"/>
          <w:szCs w:val="24"/>
        </w:rPr>
        <w:t>Word count:</w:t>
      </w:r>
      <w:r>
        <w:rPr>
          <w:rFonts w:eastAsia="Times New Roman"/>
          <w:b/>
          <w:sz w:val="24"/>
          <w:szCs w:val="24"/>
        </w:rPr>
        <w:t xml:space="preserve"> (</w:t>
      </w:r>
      <w:r w:rsidR="00AA03A7">
        <w:rPr>
          <w:rFonts w:eastAsia="Times New Roman"/>
          <w:b/>
          <w:sz w:val="24"/>
          <w:szCs w:val="24"/>
        </w:rPr>
        <w:t>4043</w:t>
      </w:r>
      <w:r>
        <w:rPr>
          <w:rFonts w:eastAsia="Times New Roman"/>
          <w:b/>
          <w:sz w:val="24"/>
          <w:szCs w:val="24"/>
        </w:rPr>
        <w:t>)</w:t>
      </w:r>
    </w:p>
    <w:p w14:paraId="7D2820F4" w14:textId="77777777" w:rsidR="00C35BC8" w:rsidRDefault="00C35BC8" w:rsidP="002D5625">
      <w:pPr>
        <w:spacing w:before="120" w:line="480" w:lineRule="auto"/>
        <w:rPr>
          <w:rFonts w:eastAsia="Times New Roman"/>
          <w:b/>
          <w:sz w:val="24"/>
          <w:szCs w:val="24"/>
        </w:rPr>
        <w:sectPr w:rsidR="00C35BC8" w:rsidSect="00844D43">
          <w:footerReference w:type="first" r:id="rId10"/>
          <w:pgSz w:w="12240" w:h="15840"/>
          <w:pgMar w:top="1418" w:right="1418" w:bottom="1418" w:left="1418" w:header="431" w:footer="720" w:gutter="0"/>
          <w:lnNumType w:countBy="1" w:restart="continuous"/>
          <w:cols w:space="720"/>
          <w:titlePg/>
          <w:docGrid w:linePitch="360"/>
        </w:sectPr>
      </w:pPr>
    </w:p>
    <w:p w14:paraId="2114100A" w14:textId="214832E9" w:rsidR="002D5625" w:rsidRDefault="00170A15" w:rsidP="002D5625">
      <w:pPr>
        <w:pStyle w:val="Paragraph"/>
        <w:spacing w:line="480" w:lineRule="auto"/>
        <w:ind w:firstLine="0"/>
        <w:jc w:val="both"/>
        <w:rPr>
          <w:b/>
          <w:lang w:val="en-GB"/>
        </w:rPr>
      </w:pPr>
      <w:r w:rsidRPr="00E876EC">
        <w:rPr>
          <w:b/>
          <w:lang w:val="en-GB"/>
        </w:rPr>
        <w:lastRenderedPageBreak/>
        <w:t>Abstract</w:t>
      </w:r>
    </w:p>
    <w:p w14:paraId="2B897B3F" w14:textId="34742C73" w:rsidR="00E876EC" w:rsidRDefault="00E876EC" w:rsidP="002D5625">
      <w:pPr>
        <w:pStyle w:val="Paragraph"/>
        <w:spacing w:line="480" w:lineRule="auto"/>
        <w:ind w:firstLine="0"/>
        <w:jc w:val="both"/>
        <w:rPr>
          <w:b/>
          <w:lang w:val="en-GB"/>
        </w:rPr>
      </w:pPr>
      <w:r>
        <w:rPr>
          <w:b/>
          <w:lang w:val="en-GB"/>
        </w:rPr>
        <w:t>Rationale:</w:t>
      </w:r>
    </w:p>
    <w:p w14:paraId="13AAEF94" w14:textId="0225FCED" w:rsidR="00E876EC" w:rsidRPr="003D46A9" w:rsidRDefault="00E876EC" w:rsidP="002D5625">
      <w:pPr>
        <w:pStyle w:val="Paragraph"/>
        <w:spacing w:line="480" w:lineRule="auto"/>
        <w:ind w:firstLine="0"/>
        <w:jc w:val="both"/>
        <w:rPr>
          <w:lang w:val="en-GB"/>
        </w:rPr>
      </w:pPr>
      <w:r w:rsidRPr="003D46A9">
        <w:rPr>
          <w:lang w:val="en-GB"/>
        </w:rPr>
        <w:t>Needle-free intranasal vaccines offer major potential advantages, especially against pathogens entering via mucosal surfaces. As yet, there is no effective vaccine against respiratory syncytial virus (RSV), a ubiquitous pathogen of global importance that preferentially infects respiratory epithelial cells</w:t>
      </w:r>
      <w:r w:rsidR="00E13652">
        <w:rPr>
          <w:lang w:val="en-GB"/>
        </w:rPr>
        <w:t xml:space="preserve">; </w:t>
      </w:r>
      <w:r w:rsidRPr="003D46A9">
        <w:rPr>
          <w:lang w:val="en-GB"/>
        </w:rPr>
        <w:t>new strategies are urgently required.</w:t>
      </w:r>
    </w:p>
    <w:p w14:paraId="5449F621" w14:textId="7A4AA3D6" w:rsidR="00E876EC" w:rsidRDefault="00E876EC" w:rsidP="002D5625">
      <w:pPr>
        <w:pStyle w:val="Paragraph"/>
        <w:spacing w:line="480" w:lineRule="auto"/>
        <w:ind w:firstLine="0"/>
        <w:jc w:val="both"/>
        <w:rPr>
          <w:b/>
          <w:lang w:val="en-GB"/>
        </w:rPr>
      </w:pPr>
      <w:r>
        <w:rPr>
          <w:b/>
          <w:lang w:val="en-GB"/>
        </w:rPr>
        <w:t>Objectives:</w:t>
      </w:r>
    </w:p>
    <w:p w14:paraId="1FB5B42B" w14:textId="510652AD" w:rsidR="00E876EC" w:rsidRPr="003D46A9" w:rsidRDefault="00E876EC" w:rsidP="002D5625">
      <w:pPr>
        <w:pStyle w:val="Paragraph"/>
        <w:spacing w:line="480" w:lineRule="auto"/>
        <w:ind w:firstLine="0"/>
        <w:jc w:val="both"/>
        <w:rPr>
          <w:lang w:val="en-GB"/>
        </w:rPr>
      </w:pPr>
      <w:r w:rsidRPr="003D46A9">
        <w:rPr>
          <w:lang w:val="en-GB"/>
        </w:rPr>
        <w:t>Here, we report the safety and immunogenicity of a novel mucosal RSV F protein vaccine linked to an immunostimulatory bacterium-like particle (BLP).</w:t>
      </w:r>
    </w:p>
    <w:p w14:paraId="34B76280" w14:textId="63B18425" w:rsidR="00E876EC" w:rsidRDefault="00E876EC" w:rsidP="002D5625">
      <w:pPr>
        <w:pStyle w:val="Paragraph"/>
        <w:spacing w:line="480" w:lineRule="auto"/>
        <w:ind w:firstLine="0"/>
        <w:jc w:val="both"/>
        <w:rPr>
          <w:b/>
          <w:lang w:val="en-GB"/>
        </w:rPr>
      </w:pPr>
      <w:r>
        <w:rPr>
          <w:b/>
          <w:lang w:val="en-GB"/>
        </w:rPr>
        <w:t>Methods:</w:t>
      </w:r>
    </w:p>
    <w:p w14:paraId="18CDA054" w14:textId="62A8E5E7" w:rsidR="00E876EC" w:rsidRPr="006E4DF6" w:rsidRDefault="003D46A9" w:rsidP="002D5625">
      <w:pPr>
        <w:pStyle w:val="Paragraph"/>
        <w:spacing w:line="480" w:lineRule="auto"/>
        <w:ind w:firstLine="0"/>
        <w:jc w:val="both"/>
        <w:rPr>
          <w:color w:val="000000" w:themeColor="text1"/>
          <w:lang w:val="en-GB"/>
        </w:rPr>
      </w:pPr>
      <w:r w:rsidRPr="003D46A9">
        <w:rPr>
          <w:lang w:val="en-GB"/>
        </w:rPr>
        <w:t xml:space="preserve">In this phase I, randomised, double-blind placebo-controlled trial, 48 healthy volunteers aged 18-49 years were randomly assigned to receive placebo or </w:t>
      </w:r>
      <w:proofErr w:type="spellStart"/>
      <w:r w:rsidRPr="003D46A9">
        <w:rPr>
          <w:lang w:val="en-GB"/>
        </w:rPr>
        <w:t>SynGEM</w:t>
      </w:r>
      <w:proofErr w:type="spellEnd"/>
      <w:r w:rsidRPr="003D46A9">
        <w:rPr>
          <w:lang w:val="en-GB"/>
        </w:rPr>
        <w:t xml:space="preserve"> (low- or high-dose) intranasally by prime-boost administration.  The primary outcome was safety and tolerability, with secondary objectives assessing </w:t>
      </w:r>
      <w:r w:rsidR="004F3D49">
        <w:rPr>
          <w:lang w:val="en-GB"/>
        </w:rPr>
        <w:t>virus-</w:t>
      </w:r>
      <w:r w:rsidR="004F3D49" w:rsidRPr="006E4DF6">
        <w:rPr>
          <w:color w:val="000000" w:themeColor="text1"/>
          <w:lang w:val="en-GB"/>
        </w:rPr>
        <w:t xml:space="preserve">specific </w:t>
      </w:r>
      <w:r w:rsidR="00D13989" w:rsidRPr="006E4DF6">
        <w:rPr>
          <w:color w:val="000000" w:themeColor="text1"/>
          <w:lang w:val="en-GB"/>
        </w:rPr>
        <w:t>immunogenicity</w:t>
      </w:r>
      <w:r w:rsidRPr="006E4DF6">
        <w:rPr>
          <w:color w:val="000000" w:themeColor="text1"/>
          <w:lang w:val="en-GB"/>
        </w:rPr>
        <w:t xml:space="preserve">. </w:t>
      </w:r>
    </w:p>
    <w:p w14:paraId="2C276319" w14:textId="269EC7C6" w:rsidR="00E876EC" w:rsidRDefault="00E876EC" w:rsidP="002D5625">
      <w:pPr>
        <w:pStyle w:val="Paragraph"/>
        <w:spacing w:line="480" w:lineRule="auto"/>
        <w:ind w:firstLine="0"/>
        <w:jc w:val="both"/>
        <w:rPr>
          <w:b/>
          <w:lang w:val="en-GB"/>
        </w:rPr>
      </w:pPr>
      <w:r>
        <w:rPr>
          <w:b/>
          <w:lang w:val="en-GB"/>
        </w:rPr>
        <w:t>Measurements and Main Results:</w:t>
      </w:r>
    </w:p>
    <w:p w14:paraId="238C6DAA" w14:textId="0488B26D" w:rsidR="00E876EC" w:rsidRPr="003D46A9" w:rsidRDefault="003D46A9" w:rsidP="002D5625">
      <w:pPr>
        <w:pStyle w:val="Paragraph"/>
        <w:spacing w:line="480" w:lineRule="auto"/>
        <w:ind w:firstLine="0"/>
        <w:jc w:val="both"/>
        <w:rPr>
          <w:lang w:val="en-GB"/>
        </w:rPr>
      </w:pPr>
      <w:r w:rsidRPr="002711F9">
        <w:t xml:space="preserve">There </w:t>
      </w:r>
      <w:r>
        <w:t>were</w:t>
      </w:r>
      <w:r w:rsidRPr="002711F9">
        <w:t xml:space="preserve"> no significant differences in </w:t>
      </w:r>
      <w:r>
        <w:t xml:space="preserve">adverse events </w:t>
      </w:r>
      <w:r w:rsidRPr="002711F9">
        <w:t xml:space="preserve">between </w:t>
      </w:r>
      <w:r>
        <w:t>placebo and vaccinated</w:t>
      </w:r>
      <w:r w:rsidRPr="002711F9">
        <w:t xml:space="preserve"> groups</w:t>
      </w:r>
      <w:r>
        <w:t xml:space="preserve">. </w:t>
      </w:r>
      <w:proofErr w:type="spellStart"/>
      <w:r w:rsidRPr="003D46A9">
        <w:rPr>
          <w:lang w:val="en-GB"/>
        </w:rPr>
        <w:t>SynGEM</w:t>
      </w:r>
      <w:proofErr w:type="spellEnd"/>
      <w:r w:rsidRPr="003D46A9">
        <w:rPr>
          <w:lang w:val="en-GB"/>
        </w:rPr>
        <w:t xml:space="preserve"> induced systemic </w:t>
      </w:r>
      <w:proofErr w:type="spellStart"/>
      <w:r w:rsidRPr="003D46A9">
        <w:rPr>
          <w:lang w:val="en-GB"/>
        </w:rPr>
        <w:t>plasmablast</w:t>
      </w:r>
      <w:proofErr w:type="spellEnd"/>
      <w:r w:rsidRPr="003D46A9">
        <w:rPr>
          <w:lang w:val="en-GB"/>
        </w:rPr>
        <w:t xml:space="preserve"> responses and significant, durable increases in RSV-specific serum antibody in healthy seropositive adults. Volunteers given low-dose </w:t>
      </w:r>
      <w:proofErr w:type="spellStart"/>
      <w:r w:rsidRPr="003D46A9">
        <w:rPr>
          <w:lang w:val="en-GB"/>
        </w:rPr>
        <w:t>SynGEM</w:t>
      </w:r>
      <w:proofErr w:type="spellEnd"/>
      <w:r w:rsidRPr="003D46A9">
        <w:rPr>
          <w:lang w:val="en-GB"/>
        </w:rPr>
        <w:t xml:space="preserve"> (140 µg F, 2mg BLP) required a boost at day 28 to achieve plateau responses</w:t>
      </w:r>
      <w:r w:rsidR="00FB762B">
        <w:rPr>
          <w:lang w:val="en-GB"/>
        </w:rPr>
        <w:t xml:space="preserve"> </w:t>
      </w:r>
      <w:r w:rsidR="00FB762B" w:rsidRPr="0074371D">
        <w:rPr>
          <w:color w:val="000000" w:themeColor="text1"/>
          <w:lang w:val="en-GB"/>
        </w:rPr>
        <w:t>with a maximum fold-change of 2.</w:t>
      </w:r>
      <w:r w:rsidR="009A64BC" w:rsidRPr="0074371D">
        <w:rPr>
          <w:color w:val="000000" w:themeColor="text1"/>
          <w:lang w:val="en-GB"/>
        </w:rPr>
        <w:t>4</w:t>
      </w:r>
      <w:r w:rsidRPr="0074371D">
        <w:rPr>
          <w:color w:val="000000" w:themeColor="text1"/>
          <w:lang w:val="en-GB"/>
        </w:rPr>
        <w:t xml:space="preserve">, whereas high-dose recipients (350 µg F, 5mg BLP) achieved plateau responses </w:t>
      </w:r>
      <w:r w:rsidR="00FB762B" w:rsidRPr="0074371D">
        <w:rPr>
          <w:color w:val="000000" w:themeColor="text1"/>
          <w:lang w:val="en-GB"/>
        </w:rPr>
        <w:t>with a fold-change of</w:t>
      </w:r>
      <w:r w:rsidR="009A64BC" w:rsidRPr="0074371D">
        <w:rPr>
          <w:color w:val="000000" w:themeColor="text1"/>
          <w:lang w:val="en-GB"/>
        </w:rPr>
        <w:t xml:space="preserve"> 1.5</w:t>
      </w:r>
      <w:r w:rsidR="00FB762B" w:rsidRPr="0074371D">
        <w:rPr>
          <w:color w:val="000000" w:themeColor="text1"/>
          <w:lang w:val="en-GB"/>
        </w:rPr>
        <w:t xml:space="preserve"> after first vaccination </w:t>
      </w:r>
      <w:r w:rsidRPr="0074371D">
        <w:rPr>
          <w:color w:val="000000" w:themeColor="text1"/>
          <w:lang w:val="en-GB"/>
        </w:rPr>
        <w:t>that remained elevated up to 180 days post-vaccination irrespective of further boosting. Palivizumab-like antibod</w:t>
      </w:r>
      <w:r w:rsidR="00D13989" w:rsidRPr="0074371D">
        <w:rPr>
          <w:color w:val="000000" w:themeColor="text1"/>
          <w:lang w:val="en-GB"/>
        </w:rPr>
        <w:t>ies</w:t>
      </w:r>
      <w:r w:rsidRPr="0074371D">
        <w:rPr>
          <w:color w:val="000000" w:themeColor="text1"/>
          <w:lang w:val="en-GB"/>
        </w:rPr>
        <w:t xml:space="preserve"> were consistently induced, but </w:t>
      </w:r>
      <w:r w:rsidR="00FB762B" w:rsidRPr="0074371D">
        <w:rPr>
          <w:color w:val="000000" w:themeColor="text1"/>
          <w:lang w:val="en-GB"/>
        </w:rPr>
        <w:t xml:space="preserve">F </w:t>
      </w:r>
      <w:r w:rsidR="00FB762B" w:rsidRPr="0074371D">
        <w:rPr>
          <w:color w:val="000000" w:themeColor="text1"/>
          <w:lang w:val="en-GB"/>
        </w:rPr>
        <w:lastRenderedPageBreak/>
        <w:t xml:space="preserve">protein site </w:t>
      </w:r>
      <w:r w:rsidR="00FB762B" w:rsidRPr="0074371D">
        <w:rPr>
          <w:color w:val="000000" w:themeColor="text1"/>
          <w:lang w:val="en-GB"/>
        </w:rPr>
        <w:sym w:font="Symbol" w:char="F0C6"/>
      </w:r>
      <w:r w:rsidR="00FB762B" w:rsidRPr="0074371D">
        <w:rPr>
          <w:color w:val="000000" w:themeColor="text1"/>
          <w:lang w:val="en-GB"/>
        </w:rPr>
        <w:t>-specific</w:t>
      </w:r>
      <w:r w:rsidR="00C457AE" w:rsidRPr="0074371D">
        <w:rPr>
          <w:color w:val="000000" w:themeColor="text1"/>
          <w:lang w:val="en-GB"/>
        </w:rPr>
        <w:t xml:space="preserve"> antibodies were not detected and </w:t>
      </w:r>
      <w:r w:rsidRPr="003D46A9">
        <w:rPr>
          <w:lang w:val="en-GB"/>
        </w:rPr>
        <w:t xml:space="preserve">virus-specific nasal IgA responses were heterogeneous, with strongest responses in individuals with lower pre-existing antibody levels. </w:t>
      </w:r>
    </w:p>
    <w:p w14:paraId="72AE5FD1" w14:textId="4BFBBDBE" w:rsidR="00E876EC" w:rsidRDefault="00E876EC" w:rsidP="002D5625">
      <w:pPr>
        <w:pStyle w:val="Paragraph"/>
        <w:spacing w:line="480" w:lineRule="auto"/>
        <w:ind w:firstLine="0"/>
        <w:jc w:val="both"/>
        <w:rPr>
          <w:b/>
          <w:lang w:val="en-GB"/>
        </w:rPr>
      </w:pPr>
      <w:r>
        <w:rPr>
          <w:b/>
          <w:lang w:val="en-GB"/>
        </w:rPr>
        <w:t>Conclusions:</w:t>
      </w:r>
    </w:p>
    <w:p w14:paraId="3462C3BB" w14:textId="4BBDAEBA" w:rsidR="00E876EC" w:rsidRPr="00E876EC" w:rsidRDefault="003D46A9" w:rsidP="002D5625">
      <w:pPr>
        <w:pStyle w:val="Paragraph"/>
        <w:spacing w:line="480" w:lineRule="auto"/>
        <w:ind w:firstLine="0"/>
        <w:jc w:val="both"/>
        <w:rPr>
          <w:b/>
          <w:lang w:val="en-GB"/>
        </w:rPr>
      </w:pPr>
      <w:proofErr w:type="spellStart"/>
      <w:r w:rsidRPr="00170A15">
        <w:rPr>
          <w:lang w:val="en-GB"/>
        </w:rPr>
        <w:t>SynGEM</w:t>
      </w:r>
      <w:proofErr w:type="spellEnd"/>
      <w:r w:rsidRPr="00170A15">
        <w:rPr>
          <w:lang w:val="en-GB"/>
        </w:rPr>
        <w:t xml:space="preserve"> is thus the first non-replicating intranasal RSV subunit vaccine to induce persistent antibody responses in human volunteers.</w:t>
      </w:r>
    </w:p>
    <w:p w14:paraId="1E0A46F9" w14:textId="31BC7A60" w:rsidR="00170A15" w:rsidRDefault="00170A15" w:rsidP="002D5625">
      <w:pPr>
        <w:pStyle w:val="Paragraph"/>
        <w:spacing w:line="480" w:lineRule="auto"/>
        <w:ind w:firstLine="0"/>
        <w:jc w:val="both"/>
        <w:rPr>
          <w:lang w:val="en-GB"/>
        </w:rPr>
      </w:pPr>
      <w:r w:rsidRPr="00E876EC">
        <w:rPr>
          <w:b/>
          <w:lang w:val="en-GB"/>
        </w:rPr>
        <w:t>Abstract word count:</w:t>
      </w:r>
      <w:r>
        <w:rPr>
          <w:lang w:val="en-GB"/>
        </w:rPr>
        <w:t xml:space="preserve"> </w:t>
      </w:r>
      <w:r w:rsidR="007C33D9">
        <w:rPr>
          <w:lang w:val="en-GB"/>
        </w:rPr>
        <w:t>250</w:t>
      </w:r>
    </w:p>
    <w:p w14:paraId="32D2A6CD" w14:textId="2C29038D" w:rsidR="008F60D6" w:rsidRDefault="00F20713" w:rsidP="002D5625">
      <w:pPr>
        <w:pStyle w:val="Paragraph"/>
        <w:spacing w:line="480" w:lineRule="auto"/>
        <w:ind w:firstLine="0"/>
        <w:jc w:val="both"/>
        <w:rPr>
          <w:lang w:val="en-GB"/>
        </w:rPr>
      </w:pPr>
      <w:r w:rsidRPr="006156C3">
        <w:rPr>
          <w:b/>
          <w:lang w:val="en-GB"/>
        </w:rPr>
        <w:t>Key words:</w:t>
      </w:r>
      <w:r>
        <w:rPr>
          <w:lang w:val="en-GB"/>
        </w:rPr>
        <w:t xml:space="preserve"> </w:t>
      </w:r>
      <w:r w:rsidRPr="00F20713">
        <w:rPr>
          <w:lang w:val="en-GB"/>
        </w:rPr>
        <w:t>Mucosal</w:t>
      </w:r>
      <w:r>
        <w:rPr>
          <w:lang w:val="en-GB"/>
        </w:rPr>
        <w:t>,</w:t>
      </w:r>
      <w:r w:rsidRPr="00F20713">
        <w:rPr>
          <w:lang w:val="en-GB"/>
        </w:rPr>
        <w:t xml:space="preserve"> Respiratory</w:t>
      </w:r>
      <w:r>
        <w:rPr>
          <w:lang w:val="en-GB"/>
        </w:rPr>
        <w:t>, Virus, Clinical Trial, Immunology</w:t>
      </w:r>
    </w:p>
    <w:p w14:paraId="7BE2DB23" w14:textId="77777777" w:rsidR="00F20713" w:rsidRDefault="00F20713" w:rsidP="002D5625">
      <w:pPr>
        <w:pStyle w:val="Paragraph"/>
        <w:spacing w:line="480" w:lineRule="auto"/>
        <w:ind w:firstLine="0"/>
        <w:jc w:val="both"/>
        <w:rPr>
          <w:lang w:val="en-GB"/>
        </w:rPr>
      </w:pPr>
    </w:p>
    <w:p w14:paraId="2EF09FCE" w14:textId="69D5DE86" w:rsidR="008F60D6" w:rsidRDefault="008F60D6" w:rsidP="002D5625">
      <w:pPr>
        <w:pStyle w:val="Paragraph"/>
        <w:spacing w:line="480" w:lineRule="auto"/>
        <w:ind w:firstLine="0"/>
        <w:jc w:val="both"/>
        <w:rPr>
          <w:b/>
          <w:lang w:val="en-GB"/>
        </w:rPr>
      </w:pPr>
      <w:r w:rsidRPr="00E876EC">
        <w:rPr>
          <w:b/>
          <w:lang w:val="en-GB"/>
        </w:rPr>
        <w:t>At a glance commentary</w:t>
      </w:r>
    </w:p>
    <w:p w14:paraId="1815D41E" w14:textId="331CD3A4" w:rsidR="008F60D6" w:rsidRDefault="008F60D6" w:rsidP="002D5625">
      <w:pPr>
        <w:pStyle w:val="Paragraph"/>
        <w:spacing w:line="480" w:lineRule="auto"/>
        <w:ind w:firstLine="0"/>
        <w:jc w:val="both"/>
        <w:rPr>
          <w:b/>
          <w:lang w:val="en-GB"/>
        </w:rPr>
      </w:pPr>
      <w:r>
        <w:rPr>
          <w:b/>
          <w:lang w:val="en-GB"/>
        </w:rPr>
        <w:t>Scientific Knowledge on the subject:</w:t>
      </w:r>
    </w:p>
    <w:p w14:paraId="4D932526" w14:textId="4BDD0F61" w:rsidR="00BC2DE4" w:rsidRDefault="00BC2DE4" w:rsidP="00E876EC">
      <w:pPr>
        <w:pStyle w:val="Paragraph"/>
        <w:spacing w:line="480" w:lineRule="auto"/>
        <w:ind w:firstLine="0"/>
        <w:jc w:val="both"/>
        <w:rPr>
          <w:lang w:val="en-GB"/>
        </w:rPr>
      </w:pPr>
      <w:r w:rsidRPr="00E876EC">
        <w:rPr>
          <w:lang w:val="en-GB"/>
        </w:rPr>
        <w:t xml:space="preserve">Respiratory syncytial virus (RSV) is a major global pathogen, especially affecting young children and older adults. Studies of natural and experimental infection indicate that mucosal antibodies are associated with protection from infection </w:t>
      </w:r>
      <w:r w:rsidR="00C7397E">
        <w:rPr>
          <w:lang w:val="en-GB"/>
        </w:rPr>
        <w:t>but after RSV infection, these are short-lived, likely due to viral immunomodulation</w:t>
      </w:r>
      <w:r w:rsidRPr="00E876EC">
        <w:rPr>
          <w:lang w:val="en-GB"/>
        </w:rPr>
        <w:t>. Despite the clear advantages of needle-free vaccines, the only currently available intranasal vaccine (live attenuated influenza vaccine) is known to be ineffective in adults with pre-existing immunity</w:t>
      </w:r>
      <w:r>
        <w:rPr>
          <w:lang w:val="en-GB"/>
        </w:rPr>
        <w:t xml:space="preserve">. </w:t>
      </w:r>
    </w:p>
    <w:p w14:paraId="1079A874" w14:textId="07506736" w:rsidR="00BC2DE4" w:rsidRPr="00BC2DE4" w:rsidRDefault="00BC2DE4" w:rsidP="00E876EC">
      <w:pPr>
        <w:pStyle w:val="Paragraph"/>
        <w:spacing w:line="480" w:lineRule="auto"/>
        <w:ind w:firstLine="0"/>
        <w:jc w:val="both"/>
        <w:rPr>
          <w:b/>
          <w:lang w:val="en-GB"/>
        </w:rPr>
      </w:pPr>
      <w:r w:rsidRPr="00E876EC">
        <w:rPr>
          <w:b/>
          <w:lang w:val="en-GB"/>
        </w:rPr>
        <w:t>What this study adds to the field:</w:t>
      </w:r>
    </w:p>
    <w:p w14:paraId="2F0ACD2C" w14:textId="2A04F618" w:rsidR="00BC2DE4" w:rsidRPr="00E876EC" w:rsidRDefault="00C7397E" w:rsidP="00BC2DE4">
      <w:pPr>
        <w:pStyle w:val="Paragraph"/>
        <w:spacing w:line="480" w:lineRule="auto"/>
        <w:ind w:firstLine="0"/>
        <w:jc w:val="both"/>
        <w:rPr>
          <w:lang w:val="en-GB"/>
        </w:rPr>
      </w:pPr>
      <w:r>
        <w:rPr>
          <w:lang w:val="en-GB"/>
        </w:rPr>
        <w:t xml:space="preserve">In this </w:t>
      </w:r>
      <w:r w:rsidR="00BC2DE4" w:rsidRPr="00E876EC">
        <w:rPr>
          <w:lang w:val="en-GB"/>
        </w:rPr>
        <w:t>first-in-human phase I randomised controlled trial</w:t>
      </w:r>
      <w:r>
        <w:rPr>
          <w:lang w:val="en-GB"/>
        </w:rPr>
        <w:t>,</w:t>
      </w:r>
      <w:r w:rsidR="00BC2DE4" w:rsidRPr="00E876EC">
        <w:rPr>
          <w:lang w:val="en-GB"/>
        </w:rPr>
        <w:t xml:space="preserve"> </w:t>
      </w:r>
      <w:proofErr w:type="spellStart"/>
      <w:r w:rsidR="00BC2DE4" w:rsidRPr="00E876EC">
        <w:rPr>
          <w:lang w:val="en-GB"/>
        </w:rPr>
        <w:t>SynGEM</w:t>
      </w:r>
      <w:proofErr w:type="spellEnd"/>
      <w:r w:rsidR="00BC2DE4" w:rsidRPr="00E876EC">
        <w:rPr>
          <w:lang w:val="en-GB"/>
        </w:rPr>
        <w:t xml:space="preserve"> </w:t>
      </w:r>
      <w:r>
        <w:rPr>
          <w:lang w:val="en-GB"/>
        </w:rPr>
        <w:t>(</w:t>
      </w:r>
      <w:r w:rsidR="00BC2DE4" w:rsidRPr="00E876EC">
        <w:rPr>
          <w:lang w:val="en-GB"/>
        </w:rPr>
        <w:t>a novel subunit intranasal vaccine comprising empty bacteria-like particles (BLP) linked with the surface glycoprotein F from RSV</w:t>
      </w:r>
      <w:r>
        <w:rPr>
          <w:lang w:val="en-GB"/>
        </w:rPr>
        <w:t xml:space="preserve">) </w:t>
      </w:r>
      <w:r w:rsidR="00DA1B86">
        <w:rPr>
          <w:lang w:val="en-GB"/>
        </w:rPr>
        <w:t>is shown to be</w:t>
      </w:r>
      <w:r w:rsidR="00BC2DE4" w:rsidRPr="00E876EC">
        <w:rPr>
          <w:lang w:val="en-GB"/>
        </w:rPr>
        <w:t xml:space="preserve"> safe and immunogenic in healthy adult</w:t>
      </w:r>
      <w:r w:rsidR="00DA1B86">
        <w:rPr>
          <w:lang w:val="en-GB"/>
        </w:rPr>
        <w:t>s</w:t>
      </w:r>
      <w:r w:rsidR="00BC2DE4" w:rsidRPr="00E876EC">
        <w:rPr>
          <w:lang w:val="en-GB"/>
        </w:rPr>
        <w:t xml:space="preserve"> despite high pre-existing antibody levels</w:t>
      </w:r>
      <w:r>
        <w:rPr>
          <w:lang w:val="en-GB"/>
        </w:rPr>
        <w:t>.</w:t>
      </w:r>
      <w:r w:rsidR="00BC2DE4" w:rsidRPr="00E876EC">
        <w:rPr>
          <w:lang w:val="en-GB"/>
        </w:rPr>
        <w:t xml:space="preserve"> </w:t>
      </w:r>
      <w:r>
        <w:rPr>
          <w:lang w:val="en-GB"/>
        </w:rPr>
        <w:t xml:space="preserve">F protein-BLP </w:t>
      </w:r>
      <w:r w:rsidR="00BC2DE4" w:rsidRPr="00E876EC">
        <w:rPr>
          <w:lang w:val="en-GB"/>
        </w:rPr>
        <w:t xml:space="preserve">rapidly </w:t>
      </w:r>
      <w:r w:rsidR="00DA1B86">
        <w:rPr>
          <w:lang w:val="en-GB"/>
        </w:rPr>
        <w:t>induces</w:t>
      </w:r>
      <w:r w:rsidR="00DA1B86" w:rsidRPr="00E876EC">
        <w:rPr>
          <w:lang w:val="en-GB"/>
        </w:rPr>
        <w:t xml:space="preserve"> </w:t>
      </w:r>
      <w:r w:rsidR="00BC2DE4" w:rsidRPr="00E876EC">
        <w:rPr>
          <w:lang w:val="en-GB"/>
        </w:rPr>
        <w:t xml:space="preserve">RSV-specific systemic and local nasal immune responses </w:t>
      </w:r>
      <w:r w:rsidR="00BC2DE4" w:rsidRPr="00E876EC">
        <w:rPr>
          <w:lang w:val="en-GB"/>
        </w:rPr>
        <w:lastRenderedPageBreak/>
        <w:t xml:space="preserve">that </w:t>
      </w:r>
      <w:r w:rsidR="00DA1B86">
        <w:rPr>
          <w:lang w:val="en-GB"/>
        </w:rPr>
        <w:t>are</w:t>
      </w:r>
      <w:r w:rsidR="00DA1B86" w:rsidRPr="00E876EC">
        <w:rPr>
          <w:lang w:val="en-GB"/>
        </w:rPr>
        <w:t xml:space="preserve"> </w:t>
      </w:r>
      <w:r w:rsidR="00BC2DE4" w:rsidRPr="00E876EC">
        <w:rPr>
          <w:lang w:val="en-GB"/>
        </w:rPr>
        <w:t>more long-lasting than after natural infection</w:t>
      </w:r>
      <w:r w:rsidR="000B4689">
        <w:rPr>
          <w:lang w:val="en-GB"/>
        </w:rPr>
        <w:t xml:space="preserve">, </w:t>
      </w:r>
      <w:r w:rsidR="000B4689" w:rsidRPr="0074371D">
        <w:rPr>
          <w:color w:val="000000" w:themeColor="text1"/>
          <w:lang w:val="en-GB"/>
        </w:rPr>
        <w:t>although antibodies unique to prefusion F protein were undetected and fold-changes were modest</w:t>
      </w:r>
      <w:r w:rsidR="00BC2DE4" w:rsidRPr="0074371D">
        <w:rPr>
          <w:color w:val="000000" w:themeColor="text1"/>
          <w:lang w:val="en-GB"/>
        </w:rPr>
        <w:t>.</w:t>
      </w:r>
      <w:r w:rsidR="00BC2DE4" w:rsidRPr="0074371D">
        <w:rPr>
          <w:b/>
          <w:color w:val="000000" w:themeColor="text1"/>
          <w:lang w:val="en-GB"/>
        </w:rPr>
        <w:t xml:space="preserve"> </w:t>
      </w:r>
      <w:proofErr w:type="spellStart"/>
      <w:r w:rsidR="00BC2DE4" w:rsidRPr="00E876EC">
        <w:rPr>
          <w:lang w:val="en-GB"/>
        </w:rPr>
        <w:t>SynGEM</w:t>
      </w:r>
      <w:proofErr w:type="spellEnd"/>
      <w:r w:rsidR="00BC2DE4" w:rsidRPr="00E876EC">
        <w:rPr>
          <w:lang w:val="en-GB"/>
        </w:rPr>
        <w:t xml:space="preserve"> is therefore the first non-replicating intranasal RSV vaccine to induce persistent local and systemic antibodies and the BLP platform has wide potential applications where mucosal immunity is desired.</w:t>
      </w:r>
    </w:p>
    <w:p w14:paraId="43CB7D93" w14:textId="2D932778" w:rsidR="00E876EC" w:rsidRDefault="00E876EC" w:rsidP="002D5625">
      <w:pPr>
        <w:pStyle w:val="Paragraph"/>
        <w:spacing w:line="480" w:lineRule="auto"/>
        <w:ind w:firstLine="0"/>
        <w:jc w:val="both"/>
        <w:rPr>
          <w:lang w:val="en-GB"/>
        </w:rPr>
      </w:pPr>
      <w:r w:rsidRPr="00DC1DC0">
        <w:rPr>
          <w:b/>
          <w:lang w:val="en-GB"/>
        </w:rPr>
        <w:t>Commentary word count:</w:t>
      </w:r>
      <w:r>
        <w:rPr>
          <w:lang w:val="en-GB"/>
        </w:rPr>
        <w:t xml:space="preserve"> </w:t>
      </w:r>
      <w:r w:rsidR="009B57AA">
        <w:rPr>
          <w:lang w:val="en-GB"/>
        </w:rPr>
        <w:t>161</w:t>
      </w:r>
    </w:p>
    <w:p w14:paraId="2FCD4675" w14:textId="77777777" w:rsidR="00E876EC" w:rsidRDefault="00E876EC" w:rsidP="002D5625">
      <w:pPr>
        <w:pStyle w:val="Paragraph"/>
        <w:spacing w:line="480" w:lineRule="auto"/>
        <w:ind w:firstLine="0"/>
        <w:jc w:val="both"/>
        <w:rPr>
          <w:lang w:val="en-GB"/>
        </w:rPr>
      </w:pPr>
    </w:p>
    <w:p w14:paraId="32F9256D" w14:textId="6FD2BDBA" w:rsidR="002D5625" w:rsidRDefault="00FB02B5" w:rsidP="002D5625">
      <w:pPr>
        <w:pStyle w:val="Paragraph"/>
        <w:spacing w:line="480" w:lineRule="auto"/>
        <w:ind w:firstLine="0"/>
        <w:jc w:val="both"/>
        <w:rPr>
          <w:lang w:val="en-GB"/>
        </w:rPr>
      </w:pPr>
      <w:r>
        <w:rPr>
          <w:lang w:val="en-GB"/>
        </w:rPr>
        <w:t xml:space="preserve">This article has an online data supplement, which is accessible from this issue’s table of content online at </w:t>
      </w:r>
      <w:hyperlink r:id="rId11" w:history="1">
        <w:r w:rsidRPr="007055CE">
          <w:rPr>
            <w:rStyle w:val="Hyperlink"/>
            <w:lang w:val="en-GB"/>
          </w:rPr>
          <w:t>www.atsjournals.org</w:t>
        </w:r>
      </w:hyperlink>
    </w:p>
    <w:p w14:paraId="3E9E3A91" w14:textId="5739AA2F" w:rsidR="00DC1DC0" w:rsidRDefault="00DC1DC0">
      <w:pPr>
        <w:rPr>
          <w:rFonts w:eastAsia="Times New Roman"/>
          <w:sz w:val="24"/>
          <w:szCs w:val="24"/>
          <w:lang w:val="en-GB"/>
        </w:rPr>
      </w:pPr>
      <w:r>
        <w:rPr>
          <w:lang w:val="en-GB"/>
        </w:rPr>
        <w:br w:type="page"/>
      </w:r>
    </w:p>
    <w:p w14:paraId="1BF6E86D" w14:textId="4FF98892" w:rsidR="002D5625" w:rsidRPr="002D5625" w:rsidRDefault="002D5625" w:rsidP="008E288B">
      <w:pPr>
        <w:pStyle w:val="Paragraph"/>
        <w:spacing w:line="480" w:lineRule="auto"/>
        <w:ind w:firstLine="0"/>
        <w:jc w:val="both"/>
        <w:rPr>
          <w:b/>
          <w:lang w:val="en-GB"/>
        </w:rPr>
      </w:pPr>
      <w:r w:rsidRPr="002D5625">
        <w:rPr>
          <w:b/>
          <w:lang w:val="en-GB"/>
        </w:rPr>
        <w:lastRenderedPageBreak/>
        <w:t>Introduction</w:t>
      </w:r>
    </w:p>
    <w:p w14:paraId="532F5C0A" w14:textId="3686B60D" w:rsidR="008E288B" w:rsidRPr="00FA6555" w:rsidRDefault="008E288B" w:rsidP="008E288B">
      <w:pPr>
        <w:pStyle w:val="Paragraph"/>
        <w:spacing w:line="480" w:lineRule="auto"/>
        <w:ind w:firstLine="0"/>
        <w:jc w:val="both"/>
        <w:rPr>
          <w:lang w:val="en-GB"/>
        </w:rPr>
      </w:pPr>
      <w:r w:rsidRPr="00FA6555">
        <w:rPr>
          <w:lang w:val="en-GB"/>
        </w:rPr>
        <w:t xml:space="preserve">Needle-free intranasal vaccines have </w:t>
      </w:r>
      <w:r w:rsidR="0022385E">
        <w:rPr>
          <w:lang w:val="en-GB"/>
        </w:rPr>
        <w:t>major</w:t>
      </w:r>
      <w:r w:rsidR="0022385E" w:rsidRPr="00FA6555">
        <w:rPr>
          <w:lang w:val="en-GB"/>
        </w:rPr>
        <w:t xml:space="preserve"> </w:t>
      </w:r>
      <w:r w:rsidRPr="00FA6555">
        <w:rPr>
          <w:lang w:val="en-GB"/>
        </w:rPr>
        <w:t>advantages over parenteral preparations</w:t>
      </w:r>
      <w:r w:rsidR="0022385E">
        <w:rPr>
          <w:lang w:val="en-GB"/>
        </w:rPr>
        <w:t>, including</w:t>
      </w:r>
      <w:r w:rsidRPr="00FA6555">
        <w:rPr>
          <w:lang w:val="en-GB"/>
        </w:rPr>
        <w:t xml:space="preserve"> public acceptability, reduced risk of complications, </w:t>
      </w:r>
      <w:r w:rsidR="0022385E">
        <w:rPr>
          <w:lang w:val="en-GB"/>
        </w:rPr>
        <w:t>and</w:t>
      </w:r>
      <w:r w:rsidR="0036284B" w:rsidRPr="00FA6555">
        <w:rPr>
          <w:lang w:val="en-GB"/>
        </w:rPr>
        <w:t>,</w:t>
      </w:r>
      <w:r w:rsidRPr="00FA6555">
        <w:rPr>
          <w:lang w:val="en-GB"/>
        </w:rPr>
        <w:t xml:space="preserve"> </w:t>
      </w:r>
      <w:r w:rsidR="0036284B" w:rsidRPr="00FA6555">
        <w:rPr>
          <w:lang w:val="en-GB"/>
        </w:rPr>
        <w:t xml:space="preserve">importantly, </w:t>
      </w:r>
      <w:r w:rsidRPr="00FA6555">
        <w:rPr>
          <w:lang w:val="en-GB"/>
        </w:rPr>
        <w:t>inducing local immune responses directed to the primary site of pathogen entry. However, existing intranasal vaccines are exclusively live attenuated agents that</w:t>
      </w:r>
      <w:r w:rsidR="0036284B" w:rsidRPr="00FA6555">
        <w:rPr>
          <w:lang w:val="en-GB"/>
        </w:rPr>
        <w:t xml:space="preserve"> have poor efficacy in adults and</w:t>
      </w:r>
      <w:r w:rsidRPr="00FA6555">
        <w:rPr>
          <w:lang w:val="en-GB"/>
        </w:rPr>
        <w:t xml:space="preserve"> must be balanced between immunogenicity and over-attenuation</w:t>
      </w:r>
      <w:r w:rsidR="00360BB9">
        <w:rPr>
          <w:lang w:val="en-GB"/>
        </w:rPr>
        <w:t xml:space="preserve"> </w:t>
      </w:r>
      <w:r w:rsidRPr="00FA6555">
        <w:rPr>
          <w:lang w:val="en-GB"/>
        </w:rPr>
        <w:fldChar w:fldCharType="begin"/>
      </w:r>
      <w:r w:rsidR="00094A1B">
        <w:rPr>
          <w:lang w:val="en-GB"/>
        </w:rPr>
        <w:instrText xml:space="preserve"> ADDIN ZOTERO_ITEM CSL_CITATION {"citationID":"e7eFqTc1","properties":{"formattedCitation":"(1, 2)","plainCitation":"(1, 2)","noteIndex":0},"citationItems":[{"id":"35rDZLyI/ISTsCTU6","uris":["http://zotero.org/users/837702/items/AKMLQ7NU"],"uri":["http://zotero.org/users/837702/items/AKMLQ7NU"],"itemData":{"id":12783,"type":"article-journal","title":"Genetic stability determinants of temperature sensitive, live attenuated respiratory syncytial virus vaccine candidates","container-title":"Virus Research","page":"9-15","volume":"115","issue":"1","source":"ScienceDirect","abstract":"An intranasally delivered, live attenuated, temperature sensitive (ts) respiratory syncytial virus vaccine candidate, rA2cp248/404/1030ΔSH, exhibits a low level of genetic instability in clinical studies, in contrast to the relatively high stability of two similar candidates, cpts248/404 and rA2cp248/404ΔSH. The latter strains, containing two ts mutations (248ts and 404ts), are partially growth restricted at 37°C, whereas, rA2cp248/404/1030ΔSH contains an additional ts mutation (1030ts) that increases attenuation and partially restricts virus growth at 35°C. Since the maximum human airway temperature is 35.5°C, we investigated whether growth restriction at 35°C contributes to genetic instability of rA2cp248/404/1030ΔSH in vitro. We conducted in vitro passage studies with the three strains at 32°C (a fully permissive growth temperature) and 35°C (restrictive for only rA2cp248/404/1030ΔSH). Instability of the ts phenotype was observed only in rA2cp248/404/1030ΔSH passaged at 35°C, and corresponded with reversion at the 248ts or 1030ts mutation sites, as observed in clinical studies. This study indicates that ts mutations that partially restrict replication at physiologic temperatures may contribute to genetic instability of viruses in vivo. In vitro passage studies performed at appropriate temperatures can be used to assess genetic stability and to prioritize ts vaccine candidates for clinical evaluation.","DOI":"10.1016/j.virusres.2005.06.013","ISSN":"0168-1702","journalAbbreviation":"Virus Research","author":[{"family":"Lin","given":"Yen-Huei"},{"family":"Deatly","given":"Anne M."},{"family":"Chen","given":"Wei"},{"family":"Miller","given":"Lynn Z."},{"family":"Lerch","given":"Robert"},{"family":"Sidhu","given":"Mohinderjit S."},{"family":"Udem","given":"Stephen A."},{"family":"Randolph","given":"Valerie B."}],"issued":{"date-parts":[["2006",1,1]]}},"locator":"200"},{"id":"35rDZLyI/heYok6pq","uris":["http://zotero.org/users/837702/items/GPTDZIJA"],"uri":["http://zotero.org/users/837702/items/GPTDZIJA"],"itemData":{"id":12737,"type":"article-journal","title":"Live Respiratory Syncytial Virus (RSV) Vaccine Candidate Containing Stabilized Temperature-Sensitivity Mutations Is Highly Attenuated in RSV-Seronegative Infants and Children","container-title":"The Journal of Infectious Diseases","page":"1338-1346","volume":"217","issue":"9","source":"PubMed","abstract":"Background: Respiratory syncytial virus (RSV) is the most important viral cause of severe respiratory illness in young children and lacks a vaccine. RSV cold-passage/stabilized 2 (RSVcps2) is a modification of a previously evaluated vaccine candidate in which 2 major attenuating mutations have been stabilized against deattenuation.\nMethods: RSV-seronegative 6-24-month-old children received an intranasal dose of 105.3 plaque-forming units (PFU) of RSVcps2 (n = 34) or placebo (n = 16) (International Maternal Pediatric Adolescent AIDS Clinical Trials protocol P1114 and companion protocol CIR285). RSV serum neutralizing antibody titers before and 56 days after vaccination, vaccine virus infectivity (defined as vaccine virus shedding detectable in nasal wash and/or a ≥4-fold rise in serum antibodies), reactogenicity, and genetic stability were assessed. During the following RSV transmission season, participants were monitored for respiratory illness, with serum antibody titers measured before and after the season.\nResults: A total of 85% of vaccinees were infected with RSVcps2 (median peak titer, 0.5 log10 PFU/mL by culture and 2.9 log10 copies/mL by polymerase chain reaction analysis); 77% shed vaccine virus, and 59% developed a ≥4-fold rise in RSV-serum neutralizing antibody titers. Respiratory tract and/or febrile illness occurred at the same rate (50%) in the vaccine and placebo groups. Deattenuation was not detected at either of 2 stabilized mutation sites.\nConclusions: RSVcps2 was well tolerated and moderately immunogenic and had increased genetic stability in 6-24-month-old RSV-seronegative children.\nClinical Trials Registration: NCT01852266 and NCT01968083.","DOI":"10.1093/infdis/jiy066","ISSN":"1537-6613","note":"PMID: 29509929\nPMCID: PMC5894088","journalAbbreviation":"J. Infect. Dis.","language":"eng","author":[{"family":"Buchholz","given":"Ursula J."},{"family":"Cunningham","given":"Coleen K."},{"family":"Muresan","given":"Petronella"},{"family":"Gnanashanmugam","given":"Devasena"},{"family":"Sato","given":"Paul"},{"family":"Siberry","given":"George K."},{"family":"Rexroad","given":"Vivian"},{"family":"Valentine","given":"Megan"},{"family":"Perlowski","given":"Charlotte"},{"family":"Schappell","given":"Elizabeth"},{"family":"Thumar","given":"Bhagvinji"},{"family":"Luongo","given":"Cindy"},{"family":"Barr","given":"Emily"},{"family":"Aziz","given":"Mariam"},{"family":"Yogev","given":"Ram"},{"family":"Spector","given":"Stephen A."},{"family":"Collins","given":"Peter L."},{"family":"McFarland","given":"Elizabeth J."},{"family":"Karron","given":"Ruth A."},{"literal":"International Maternal Pediatric Adolescent AIDS Clinical Trials (IMPAACT) P1114 Study Team"}],"issued":{"date-parts":[["2018",4,11]]}}}],"schema":"https://github.com/citation-style-language/schema/raw/master/csl-citation.json"} </w:instrText>
      </w:r>
      <w:r w:rsidRPr="00FA6555">
        <w:rPr>
          <w:lang w:val="en-GB"/>
        </w:rPr>
        <w:fldChar w:fldCharType="separate"/>
      </w:r>
      <w:r w:rsidR="00094A1B" w:rsidRPr="00094A1B">
        <w:t>(1, 2)</w:t>
      </w:r>
      <w:r w:rsidRPr="00FA6555">
        <w:rPr>
          <w:lang w:val="en-GB"/>
        </w:rPr>
        <w:fldChar w:fldCharType="end"/>
      </w:r>
      <w:r w:rsidR="00BC0D6F">
        <w:rPr>
          <w:lang w:val="en-GB"/>
        </w:rPr>
        <w:t>.</w:t>
      </w:r>
      <w:r w:rsidRPr="00FA6555">
        <w:rPr>
          <w:lang w:val="en-GB"/>
        </w:rPr>
        <w:t xml:space="preserve"> Subunit intranasal vaccines might offer an effective alternative, but none have </w:t>
      </w:r>
      <w:r w:rsidR="00634631" w:rsidRPr="00FA6555">
        <w:rPr>
          <w:lang w:val="en-GB"/>
        </w:rPr>
        <w:t>yet</w:t>
      </w:r>
      <w:r w:rsidRPr="00FA6555">
        <w:rPr>
          <w:lang w:val="en-GB"/>
        </w:rPr>
        <w:t xml:space="preserve"> found a place on the market.</w:t>
      </w:r>
    </w:p>
    <w:p w14:paraId="5AEACB2A" w14:textId="0B31BB78" w:rsidR="008E288B" w:rsidRPr="00FA6555" w:rsidRDefault="008E288B" w:rsidP="008E288B">
      <w:pPr>
        <w:pStyle w:val="Paragraph"/>
        <w:spacing w:line="480" w:lineRule="auto"/>
        <w:ind w:firstLine="0"/>
        <w:jc w:val="both"/>
        <w:rPr>
          <w:lang w:val="en-GB"/>
        </w:rPr>
      </w:pPr>
      <w:r w:rsidRPr="00FA6555">
        <w:rPr>
          <w:lang w:val="en-GB"/>
        </w:rPr>
        <w:t xml:space="preserve">Respiratory syncytial virus (RSV) is a major global pathogen </w:t>
      </w:r>
      <w:r w:rsidR="0022385E">
        <w:rPr>
          <w:lang w:val="en-GB"/>
        </w:rPr>
        <w:t>especially important</w:t>
      </w:r>
      <w:r w:rsidRPr="00FA6555">
        <w:rPr>
          <w:lang w:val="en-GB"/>
        </w:rPr>
        <w:t xml:space="preserve"> in infancy and old age. In children </w:t>
      </w:r>
      <w:r w:rsidR="0022385E">
        <w:rPr>
          <w:lang w:val="en-GB"/>
        </w:rPr>
        <w:t>&lt;</w:t>
      </w:r>
      <w:r w:rsidRPr="00FA6555">
        <w:rPr>
          <w:lang w:val="en-GB"/>
        </w:rPr>
        <w:t xml:space="preserve">5 years, it causes around 3 million severe cases, </w:t>
      </w:r>
      <w:r w:rsidR="00634631" w:rsidRPr="00FA6555">
        <w:rPr>
          <w:lang w:val="en-GB"/>
        </w:rPr>
        <w:t>mostly</w:t>
      </w:r>
      <w:r w:rsidRPr="00FA6555">
        <w:rPr>
          <w:lang w:val="en-GB"/>
        </w:rPr>
        <w:t xml:space="preserve"> in the developing world</w:t>
      </w:r>
      <w:r w:rsidR="00360BB9">
        <w:rPr>
          <w:lang w:val="en-GB"/>
        </w:rPr>
        <w:t xml:space="preserve"> </w:t>
      </w:r>
      <w:r w:rsidRPr="00FA6555">
        <w:rPr>
          <w:lang w:val="en-GB"/>
        </w:rPr>
        <w:fldChar w:fldCharType="begin"/>
      </w:r>
      <w:r w:rsidR="00094A1B">
        <w:rPr>
          <w:lang w:val="en-GB"/>
        </w:rPr>
        <w:instrText xml:space="preserve"> ADDIN ZOTERO_ITEM CSL_CITATION {"citationID":"g65ji0xX","properties":{"formattedCitation":"(3, 4)","plainCitation":"(3, 4)","noteIndex":0},"citationItems":[{"id":"35rDZLyI/mirD5Zms","uris":["http://zotero.org/users/837702/items/9JT368B3"],"uri":["http://zotero.org/users/837702/items/9JT368B3"],"itemData":{"id":9416,"type":"article-journal","title":"Global, regional, and national disease burden estimates of acute lower respiratory infections due to respiratory syncytial virus in young children in 2015: a systematic review and modelling study","container-title":"The Lancet","page":"946-958","volume":"390","issue":"10098","source":"ScienceDirect","abstract":"Summary\nWe have previously estimated that respiratory syncytial virus (RSV) was associated with 22% of all episodes of (severe) acute lower respiratory infection (ALRI) resulting in 55 000 to 199 000 deaths in children younger than 5 years in 2005. In the past 5 years, major research activity on RSV has yielded substantial new data from developing countries. With a considerably expanded dataset from a large international collaboration, we aimed to estimate the global incidence, hospital admission rate, and mortality from RSV-ALRI episodes in young children in 2015. We estimated the incidence and hospital admission rate of RSV-associated ALRI (RSV-ALRI) in children younger than 5 years stratified by age and World Bank income regions from a systematic review of studies published between Jan 1, 1995, and Dec 31, 2016, and unpublished data from 76 high quality population-based studies. We estimated the RSV-ALRI incidence for 132 developing countries using a risk factor-based model and 2015 population estimates. We estimated the in-hospital RSV-ALRI mortality by combining in-hospital case fatality ratios with hospital admission estimates from hospital-based (published and unpublished) studies. We also estimated overall RSV-ALRI mortality by identifying studies reporting monthly data for ALRI mortality in the community and RSV activity. We estimated that globally in 2015, 33·1 million (uncertainty range [UR] 21·6–50·3) episodes of RSV-ALRI, resulted in about 3·2 million (2·7–3·8) hospital admissions, and 59 600 (48 000–74 500) in-hospital deaths in children younger than 5 years. In children younger than 6 months, 1·4 million (UR 1·2–1·7) hospital admissions, and 27 300 (UR 20 700–36 200) in-hospital deaths were due to RSV-ALRI. We also estimated that the overall RSV-ALRI mortality could be as high as 118 200 (UR 94 600–149 400). Incidence and mortality varied substantially from year to year in any given population. Globally, RSV is a common cause of childhood ALRI and a major cause of hospital admissions in young children, resulting in a substantial burden on health-care services. About 45% of hospital admissions and in-hospital deaths due to RSV-ALRI occur in children younger than 6 months. An effective maternal RSV vaccine or monoclonal antibody could have a substantial effect on disease burden in this age group. The Bill &amp; Melinda Gates Foundation.","DOI":"10.1016/S0140-6736(17)30938-8","ISSN":"0140-6736","shortTitle":"Global, regional, and national disease burden estimates of acute lower respiratory infections due to respiratory syncytial virus in young children in 2015","journalAbbreviation":"The Lancet","author":[{"family":"Shi","given":"Ting"},{"family":"McAllister","given":"David A"},{"family":"O'Brien","given":"Katherine L"},{"family":"Simoes","given":"Eric A F"},{"family":"Madhi","given":"Shabir A"},{"family":"Gessner","given":"Bradford D"},{"family":"Polack","given":"Fernando P"},{"family":"Balsells","given":"Evelyn"},{"family":"Acacio","given":"Sozinho"},{"family":"Aguayo","given":"Claudia"},{"family":"Alassani","given":"Issifou"},{"family":"Ali","given":"Asad"},{"family":"Antonio","given":"Martin"},{"family":"Awasthi","given":"Shally"},{"family":"Awori","given":"Juliet O"},{"family":"Azziz-Baumgartner","given":"Eduardo"},{"family":"Baggett","given":"Henry C"},{"family":"Baillie","given":"Vicky L"},{"family":"Balmaseda","given":"Angel"},{"family":"Barahona","given":"Alfredo"},{"family":"Basnet","given":"Sudha"},{"family":"Bassat","given":"Quique"},{"family":"Basualdo","given":"Wilma"},{"family":"Bigogo","given":"Godfrey"},{"family":"Bont","given":"Louis"},{"family":"Breiman","given":"Robert F"},{"family":"Brooks","given":"W Abdullah"},{"family":"Broor","given":"Shobha"},{"family":"Bruce","given":"Nigel"},{"family":"Bruden","given":"Dana"},{"family":"Buchy","given":"Philippe"},{"family":"Campbell","given":"Stuart"},{"family":"Carosone-Link","given":"Phyllis"},{"family":"Chadha","given":"Mandeep"},{"family":"Chipeta","given":"James"},{"family":"Chou","given":"Monidarin"},{"family":"Clara","given":"Wilfrido"},{"family":"Cohen","given":"Cheryl"},{"family":"Cuellar","given":"Elizabeth","non-dropping-particle":"de"},{"family":"Dang","given":"Duc-Anh"},{"family":"Dash-yandag","given":"Budragchaagiin"},{"family":"Deloria-Knoll","given":"Maria"},{"family":"Dherani","given":"Mukesh"},{"family":"Eap","given":"Tekchheng"},{"family":"Ebruke","given":"Bernard E"},{"family":"Echavarria","given":"Marcela"},{"family":"Freitas Lázaro Emediato","given":"Carla Cecília","non-dropping-particle":"de"},{"family":"Fasce","given":"Rodrigo A"},{"family":"Feikin","given":"Daniel R"},{"family":"Feng","given":"Luzhao"},{"family":"Gentile","given":"Angela"},{"family":"Gordon","given":"Aubree"},{"family":"Goswami","given":"Doli"},{"family":"Goyet","given":"Sophie"},{"family":"Groome","given":"Michelle"},{"family":"Halasa","given":"Natasha"},{"family":"Hirve","given":"Siddhivinayak"},{"family":"Homaira","given":"Nusrat"},{"family":"Howie","given":"Stephen R C"},{"family":"Jara","given":"Jorge"},{"family":"Jroundi","given":"Imane"},{"family":"Kartasasmita","given":"Cissy B"},{"family":"Khuri-Bulos","given":"Najwa"},{"family":"Kotloff","given":"Karen L"},{"family":"Krishnan","given":"Anand"},{"family":"Libster","given":"Romina"},{"family":"Lopez","given":"Olga"},{"family":"Lucero","given":"Marilla G"},{"family":"Lucion","given":"Florencia"},{"family":"Lupisan","given":"Socorro P"},{"family":"Marcone","given":"Debora N"},{"family":"McCracken","given":"John P"},{"family":"Mejia","given":"Mario"},{"family":"Moisi","given":"Jennifer C"},{"family":"Montgomery","given":"Joel M"},{"family":"Moore","given":"David P"},{"family":"Moraleda","given":"Cinta"},{"family":"Moyes","given":"Jocelyn"},{"family":"Munywoki","given":"Patrick"},{"family":"Mutyara","given":"Kuswandewi"},{"family":"Nicol","given":"Mark P"},{"family":"Nokes","given":"D James"},{"family":"Nymadawa","given":"Pagbajabyn"},{"family":"Costa Oliveira","given":"Maria Tereza","non-dropping-particle":"da"},{"family":"Oshitani","given":"Histoshi"},{"family":"Pandey","given":"Nitin"},{"family":"Paranhos-Baccalà","given":"Gláucia"},{"family":"Phillips","given":"Lia N"},{"family":"Picot","given":"Valentina Sanchez"},{"family":"Rahman","given":"Mustafizur"},{"family":"Rakoto-Andrianarivelo","given":"Mala"},{"family":"Rasmussen","given":"Zeba A"},{"family":"Rath","given":"Barbara A"},{"family":"Robinson","given":"Annick"},{"family":"Romero","given":"Candice"},{"family":"Russomando","given":"Graciela"},{"family":"Salimi","given":"Vahid"},{"family":"Sawatwong","given":"Pongpun"},{"family":"Scheltema","given":"Nienke"},{"family":"Schweiger","given":"Brunhilde"},{"family":"Scott","given":"J Anthony G"},{"family":"Seidenberg","given":"Phil"},{"family":"Shen","given":"Kunling"},{"family":"Singleton","given":"Rosalyn"},{"family":"Sotomayor","given":"Viviana"},{"family":"Strand","given":"Tor A"},{"family":"Sutanto","given":"Agustinus"},{"family":"Sylla","given":"Mariam"},{"family":"Tapia","given":"Milagritos D"},{"family":"Thamthitiwat","given":"Somsak"},{"family":"Thomas","given":"Elizabeth D"},{"family":"Tokarz","given":"Rafal"},{"family":"Turner","given":"Claudia"},{"family":"Venter","given":"Marietjie"},{"family":"Waicharoen","given":"Sunthareeya"},{"family":"Wang","given":"Jianwei"},{"family":"Watthanaworawit","given":"Wanitda"},{"family":"Yoshida","given":"Lay-Myint"},{"family":"Yu","given":"Hongjie"},{"family":"Zar","given":"Heather J"},{"family":"Campbell","given":"Harry"},{"family":"Nair","given":"Harish"}],"issued":{"date-parts":[["2017",9,2]]}}},{"id":"35rDZLyI/Z7jKnUtE","uris":["http://zotero.org/users/837702/items/IX3RV3JC"],"uri":["http://zotero.org/users/837702/items/IX3RV3JC"],"itemData":{"id":9470,"type":"article-journal","title":"Global respiratory syncytial virus-associated mortality in young children (RSV GOLD): a retrospective case series","container-title":"The Lancet. Global Health","page":"e984-e991","volume":"5","issue":"10","source":"PubMed","abstract":"BACKGROUND: Respiratory syncytial virus (RSV) infection is an important cause of pneumonia mortality in young children. However, clinical data for fatal RSV infection are scarce. We aimed to identify clinical and socioeconomic characteristics of children aged younger than 5 years with RSV-related mortality using individual patient data.\nMETHODS: In this retrospective case series, we developed an online questionnaire to obtain individual patient data for clinical and socioeconomic characteristics of children aged younger than 5 years who died with community-acquired RSV infection between Jan 1, 1995, and Oct 31, 2015, through leading research groups for child pneumonia identified through a comprehensive literature search and existing research networks. For the literature search, we searched PubMed for articles published up to Feb 3, 2015, using the key terms \"RSV\", \"respiratory syncytial virus\", or \"respiratory syncytial viral\" combined with \"mortality\", \"fatality\", \"death\", \"died\", \"deaths\", or \"CFR\" for articles published in English. We invited researchers and clinicians identified to participate between Nov 1, 2014, and Oct 31, 2015. We calculated descriptive statistics for all variables.\nFINDINGS: We studied 358 children with RSV-related in-hospital death from 23 countries across the world, with data contributed from 31 research groups. 117 (33%) children were from low-income or lower middle-income countries, 77 (22%) were from upper middle-income countries, and 164 (46%) were from high-income countries. 190 (53%) were male. Data for comorbidities were missing for some children in low-income and middle-income countries. Available data showed that comorbidities were present in at least 33 (28%) children from low-income or lower middle-income countries, 36 (47%) from upper middle-income countries, and 114 (70%) from high-income countries. Median age for RSV-related deaths was 5·0 months (IQR 2·3-11·0) in low-income or lower middle-income countries, 4·0 years (2·0-10·0) in upper middle-income countries, and 7·0 years (3·6-16·8) in high-income countries.\nINTERPRETATION: This study is the first large case series of children who died with community-acquired RSV infection. A substantial proportion of children with RSV-related death had comorbidities. Our results show that perinatal immunisation strategies for children aged younger than 6 months could have a substantial impact on RSV-related child mortality in low-income and middle-income countries.\nFUNDING: Bill &amp; Melinda Gates Foundation.","DOI":"10.1016/S2214-109X(17)30344-3","ISSN":"2214-109X","note":"PMID: 28911764\nPMCID: PMC5599304","shortTitle":"Global respiratory syncytial virus-associated mortality in young children (RSV GOLD)","journalAbbreviation":"Lancet Glob Health","language":"eng","author":[{"family":"Scheltema","given":"Nienke M."},{"family":"Gentile","given":"Angela"},{"family":"Lucion","given":"Florencia"},{"family":"Nokes","given":"D. James"},{"family":"Munywoki","given":"Patrick K."},{"family":"Madhi","given":"Shabir A."},{"family":"Groome","given":"Michelle J."},{"family":"Cohen","given":"Cheryl"},{"family":"Moyes","given":"Jocelyn"},{"family":"Thorburn","given":"Kentigern"},{"family":"Thamthitiwat","given":"Somsak"},{"family":"Oshitani","given":"Hitoshi"},{"family":"Lupisan","given":"Socorro P."},{"family":"Gordon","given":"Aubree"},{"family":"Sánchez","given":"José F."},{"family":"O'Brien","given":"Katherine L."},{"literal":"PERCH Study Group"},{"family":"Gessner","given":"Bradford D."},{"family":"Sutanto","given":"Agustinus"},{"family":"Mejias","given":"Asuncion"},{"family":"Ramilo","given":"Octavio"},{"family":"Khuri-Bulos","given":"Najwa"},{"family":"Halasa","given":"Natasha"},{"family":"Paris","given":"Fernanda","non-dropping-particle":"de-"},{"family":"Pires","given":"Márcia Rosane"},{"family":"Spaeder","given":"Michael C."},{"family":"Paes","given":"Bosco A."},{"family":"Simões","given":"Eric A. F."},{"family":"Leung","given":"Ting F."},{"family":"Costa Oliveira","given":"Maria Tereza","non-dropping-particle":"da"},{"family":"Freitas Lázaro Emediato","given":"Carla Cecília","non-dropping-particle":"de"},{"family":"Bassat","given":"Quique"},{"family":"Butt","given":"Warwick"},{"family":"Chi","given":"Hsin"},{"family":"Aamir","given":"Uzma Bashir"},{"family":"Ali","given":"Asad"},{"family":"Lucero","given":"Marilla G."},{"family":"Fasce","given":"Rodrigo A."},{"family":"Lopez","given":"Olga"},{"family":"Rath","given":"Barbara A."},{"family":"Polack","given":"Fernando P."},{"family":"Papenburg","given":"Jesse"},{"family":"Roglić","given":"Srđan"},{"family":"Ito","given":"Hisato"},{"family":"Goka","given":"Edward A."},{"family":"Grobbee","given":"Diederick E."},{"family":"Nair","given":"Harish"},{"family":"Bont","given":"Louis J."}],"issued":{"date-parts":[["2017",10]]}}}],"schema":"https://github.com/citation-style-language/schema/raw/master/csl-citation.json"} </w:instrText>
      </w:r>
      <w:r w:rsidRPr="00FA6555">
        <w:rPr>
          <w:lang w:val="en-GB"/>
        </w:rPr>
        <w:fldChar w:fldCharType="separate"/>
      </w:r>
      <w:r w:rsidR="00094A1B" w:rsidRPr="00094A1B">
        <w:t>(3, 4)</w:t>
      </w:r>
      <w:r w:rsidRPr="00FA6555">
        <w:rPr>
          <w:lang w:val="en-GB"/>
        </w:rPr>
        <w:fldChar w:fldCharType="end"/>
      </w:r>
      <w:r w:rsidR="00BC0D6F">
        <w:rPr>
          <w:lang w:val="en-GB"/>
        </w:rPr>
        <w:t>.</w:t>
      </w:r>
      <w:r w:rsidRPr="00FA6555">
        <w:rPr>
          <w:lang w:val="en-GB"/>
        </w:rPr>
        <w:t xml:space="preserve"> It </w:t>
      </w:r>
      <w:r w:rsidR="00634631" w:rsidRPr="00FA6555">
        <w:rPr>
          <w:lang w:val="en-GB"/>
        </w:rPr>
        <w:t>is also</w:t>
      </w:r>
      <w:r w:rsidRPr="00FA6555">
        <w:rPr>
          <w:lang w:val="en-GB"/>
        </w:rPr>
        <w:t xml:space="preserve"> responsible for ~10% of pneumonia admissions </w:t>
      </w:r>
      <w:r w:rsidR="00634631" w:rsidRPr="00FA6555">
        <w:rPr>
          <w:lang w:val="en-GB"/>
        </w:rPr>
        <w:t>in older adults with</w:t>
      </w:r>
      <w:r w:rsidRPr="00FA6555">
        <w:rPr>
          <w:lang w:val="en-GB"/>
        </w:rPr>
        <w:t xml:space="preserve"> attributable mortality </w:t>
      </w:r>
      <w:r w:rsidR="0022385E">
        <w:rPr>
          <w:lang w:val="en-GB"/>
        </w:rPr>
        <w:t>up to</w:t>
      </w:r>
      <w:r w:rsidRPr="00FA6555">
        <w:rPr>
          <w:lang w:val="en-GB"/>
        </w:rPr>
        <w:t xml:space="preserve"> 5%</w:t>
      </w:r>
      <w:r w:rsidR="00360BB9">
        <w:rPr>
          <w:lang w:val="en-GB"/>
        </w:rPr>
        <w:t xml:space="preserve"> </w:t>
      </w:r>
      <w:r w:rsidRPr="00FA6555">
        <w:rPr>
          <w:lang w:val="en-GB"/>
        </w:rPr>
        <w:fldChar w:fldCharType="begin"/>
      </w:r>
      <w:r w:rsidR="00094A1B">
        <w:rPr>
          <w:lang w:val="en-GB"/>
        </w:rPr>
        <w:instrText xml:space="preserve"> ADDIN ZOTERO_ITEM CSL_CITATION {"citationID":"pvINf0wj","properties":{"formattedCitation":"(5, 6)","plainCitation":"(5, 6)","noteIndex":0},"citationItems":[{"id":"35rDZLyI/OrdjVwWs","uris":["http://zotero.org/users/837702/items/4SSBVFAM"],"uri":["http://zotero.org/users/837702/items/4SSBVFAM"],"itemData":{"id":188,"type":"article-journal","title":"Respiratory syncytial virus infection in adults.","container-title":"Clin Microbiol Rev","page":"371-84","volume":"13","abstract":"Respiratory syncytial virus (RSV) is now recognized as a significant problem in certain adult populations. These include the elderly, persons with cardiopulmonary diseases, and immunocompromised hosts. Epidemiological evidence indicates that the impact of RSV in older adults may be similar to that of nonpandemic influenza. In addition, RSV has been found to cause 2 to 5% of adult community-acquired pneumonias. Attack rates in nursing homes are approximately 5 to 10% per year, with significant rates of pneumonia (10 to 20%) and death (2 to 5%). Clinical features may be difficult to distinguish from those of influenza but include nasal congestion, cough, wheezing, and low-grade fever. Bone marrow transplant patients prior to marrow engraftment are at highest risk for pneumonia and death. Diagnosis of RSV infection in adults is difficult because viral culture and antigen detection are insensitive, presumably due to low viral titers in nasal secretions, but early bronchoscopy is valuable in immunosuppressed patients. Treatment of RSV in the elderly is largely supportive, whereas early therapy with ribavirin and intravenous gamma globulin is associated with improved survival in immunocompromised persons. An effective RSV vaccine has not yet been developed, and thus prevention of RSV infection is limited to standard infection control practices such as hand washing and the use of gowns and gloves.","ISSN":"0893-8512","note":"3","shortTitle":"Respiratory syncytial virus infection in adults.","author":[{"family":"Falsey","given":"AR"},{"family":"Walsh","given":"EE"}],"issued":{"date-parts":[["2000"]]}}},{"id":"35rDZLyI/drFPcWsf","uris":["http://zotero.org/users/837702/items/IHJEERNV"],"uri":["http://zotero.org/users/837702/items/IHJEERNV"],"itemData":{"id":9270,"type":"article-journal","title":"The epidemiology of medically attended respiratory syncytial virus in older adults in the United States: A systematic review","container-title":"PloS One","page":"e0182321","volume":"12","issue":"8","source":"PubMed","abstract":"OBJECTIVE: This review was undertaken to assess the historical evidence of the disease incidence and burden of laboratory-confirmed respiratory syncytial virus (RSV) in medically attended older adults.\nDESIGN: A qualitative systematic literature review was performed; no statistical synthesis of the data was planned, in anticipation of expected heterogeneity across studies in this population.\nMETHODS: A literature search of PubMed, Embase, and the Cochrane Library was conducted for studies of medically attended RSV in older adults (≥ 50 years) published in the last 15 years. Two independent reviewers screened titles and abstracts based on predefined inclusion and exclusion criteria.\nRESULTS: From 10 studies reporting incidence proportions, RSV may be the causative agent in up to 12% of medically attended acute respiratory illness in older adults unselected for comorbidities, with variations in clinical setting and by year. In multiple studies, medically attended-RSV incidence among older adults not selected for having underlying health conditions increased with increasing age. Of prospectively followed lung transplant recipients, 16% tested positive for RSV. In hospitalized adults with chronic cardiopulmonary diseases, 8% to 13% were infected with RSV during winter seasons (8%-13%) or metapneumovirus season (8%). Hospitalizations for RSV in older adults typically lasted 3 to 6 days, with substantial proportions requiring intensive care unit admission and mechanical ventilation. Among older adults hospitalized with RSV, the mortality rate was 6% to 8%.\nCONCLUSIONS: Protection of older adults against RSV could reduce respiratory-related burden, especially as age increases and the prevalence of comorbidities (especially cardiopulmonary comorbidities) grows.","DOI":"10.1371/journal.pone.0182321","ISSN":"1932-6203","note":"PMID: 28797053\nPMCID: PMC5552193","shortTitle":"The epidemiology of medically attended respiratory syncytial virus in older adults in the United States","journalAbbreviation":"PLoS ONE","language":"eng","author":[{"family":"Colosia","given":"Ann D."},{"family":"Yang","given":"Jin"},{"family":"Hillson","given":"Eric"},{"family":"Mauskopf","given":"Josephine"},{"family":"Copley-Merriman","given":"Catherine"},{"family":"Shinde","given":"Vivek"},{"family":"Stoddard","given":"Jeffrey"}],"issued":{"date-parts":[["2017"]]}}}],"schema":"https://github.com/citation-style-language/schema/raw/master/csl-citation.json"} </w:instrText>
      </w:r>
      <w:r w:rsidRPr="00FA6555">
        <w:rPr>
          <w:lang w:val="en-GB"/>
        </w:rPr>
        <w:fldChar w:fldCharType="separate"/>
      </w:r>
      <w:r w:rsidR="00094A1B" w:rsidRPr="00094A1B">
        <w:t>(5, 6)</w:t>
      </w:r>
      <w:r w:rsidRPr="00FA6555">
        <w:rPr>
          <w:lang w:val="en-GB"/>
        </w:rPr>
        <w:fldChar w:fldCharType="end"/>
      </w:r>
      <w:r w:rsidR="00BC0D6F">
        <w:rPr>
          <w:lang w:val="en-GB"/>
        </w:rPr>
        <w:t>.</w:t>
      </w:r>
      <w:r w:rsidRPr="00FA6555">
        <w:rPr>
          <w:lang w:val="en-GB"/>
        </w:rPr>
        <w:t xml:space="preserve"> Despite the clinical need, no effective RSV vaccine yet exists</w:t>
      </w:r>
      <w:r w:rsidR="00360BB9">
        <w:rPr>
          <w:lang w:val="en-GB"/>
        </w:rPr>
        <w:t xml:space="preserve"> </w:t>
      </w:r>
      <w:r w:rsidRPr="00FA6555">
        <w:rPr>
          <w:lang w:val="en-GB"/>
        </w:rPr>
        <w:fldChar w:fldCharType="begin"/>
      </w:r>
      <w:r w:rsidR="00094A1B">
        <w:rPr>
          <w:lang w:val="en-GB"/>
        </w:rPr>
        <w:instrText xml:space="preserve"> ADDIN ZOTERO_ITEM CSL_CITATION {"citationID":"Np9B1wpC","properties":{"formattedCitation":"(7)","plainCitation":"(7)","noteIndex":0},"citationItems":[{"id":"35rDZLyI/qtgVUYIf","uris":["http://zotero.org/users/837702/items/KI9MJURK"],"uri":["http://zotero.org/users/837702/items/KI9MJURK"],"itemData":{"id":7102,"type":"article-journal","title":"Current concepts and progress in RSV vaccine development","container-title":"Expert Review of Vaccines","page":"333-344","volume":"13","issue":"3","source":"informahealthcare.com (Atypon)","abstract":"Respiratory syncytial virus (RSV) disease is an important cause of morbidity and mortality in children and debilitated adults and remains one of the major global unmet challenges for vaccine development. Several immunological issues have delayed the development of vaccines, especially the poorly protective response to natural infection and the enhancement of disease following administration of formalin inactivated vaccines during trials conducted in the 1960s. Advances in knowledge of the immune system, of the virus and its antigenic properties combined with new vaccine technologies are now injecting new hope into the field and have given rise to many promising vaccine approaches. Some of these may be optimal for use in children, while others may be more appropriate for pregnant women or vulnerable older adults. With a multi-pronged approach to prevention, we propose that it may be possible to destabilise community circulation of RSV and thus to significantly lessen the impact of RSV disease.","DOI":"10.1586/14760584.2014.878653","ISSN":"1476-0584","journalAbbreviation":"Expert Review of Vaccines","author":[{"family":"Guvenel","given":"Aleks K"},{"family":"Chiu","given":"Christopher"},{"family":"Openshaw","given":"Peter JM"}],"issued":{"date-parts":[["2014",1,9]]}}}],"schema":"https://github.com/citation-style-language/schema/raw/master/csl-citation.json"} </w:instrText>
      </w:r>
      <w:r w:rsidRPr="00FA6555">
        <w:rPr>
          <w:lang w:val="en-GB"/>
        </w:rPr>
        <w:fldChar w:fldCharType="separate"/>
      </w:r>
      <w:r w:rsidR="00094A1B" w:rsidRPr="00094A1B">
        <w:t>(7)</w:t>
      </w:r>
      <w:r w:rsidRPr="00FA6555">
        <w:rPr>
          <w:lang w:val="en-GB"/>
        </w:rPr>
        <w:fldChar w:fldCharType="end"/>
      </w:r>
      <w:r w:rsidR="00BC0D6F">
        <w:rPr>
          <w:lang w:val="en-GB"/>
        </w:rPr>
        <w:t>.</w:t>
      </w:r>
      <w:r w:rsidRPr="00FA6555">
        <w:rPr>
          <w:lang w:val="en-GB"/>
        </w:rPr>
        <w:t xml:space="preserve"> Inadequate understanding of protective immunity against RSV means that vaccine development continues to carry major risks, as demonstrated b</w:t>
      </w:r>
      <w:r w:rsidR="0036284B" w:rsidRPr="00FA6555">
        <w:rPr>
          <w:lang w:val="en-GB"/>
        </w:rPr>
        <w:t xml:space="preserve">y recent </w:t>
      </w:r>
      <w:r w:rsidR="0022385E">
        <w:rPr>
          <w:lang w:val="en-GB"/>
        </w:rPr>
        <w:t>negative phase III clinical trials</w:t>
      </w:r>
      <w:r w:rsidR="00360BB9">
        <w:rPr>
          <w:lang w:val="en-GB"/>
        </w:rPr>
        <w:t xml:space="preserve"> </w:t>
      </w:r>
      <w:r w:rsidRPr="00FA6555">
        <w:rPr>
          <w:lang w:val="en-GB"/>
        </w:rPr>
        <w:fldChar w:fldCharType="begin"/>
      </w:r>
      <w:r w:rsidR="00094A1B">
        <w:rPr>
          <w:lang w:val="en-GB"/>
        </w:rPr>
        <w:instrText xml:space="preserve"> ADDIN ZOTERO_ITEM CSL_CITATION {"citationID":"7hdrpmSx","properties":{"formattedCitation":"(8)","plainCitation":"(8)","noteIndex":0},"citationItems":[{"id":"35rDZLyI/NHlKH3vc","uris":["http://zotero.org/users/837702/items/MANZ36S7"],"uri":["http://zotero.org/users/837702/items/MANZ36S7"],"itemData":{"id":9571,"type":"article-journal","title":"An Adjuvanted, Postfusion F Protein–Based Vaccine Did Not Prevent Respiratory Syncytial Virus Illness in Older Adults","container-title":"The Journal of Infectious Diseases","page":"1362-1370","volume":"216","issue":"11","source":"academic.oup.com","abstract":"BackgroundRespiratory syncytial virus (RSV) is an important cause of illness in older adults. This study assessed efficacy of a vaccine for prevention of RSV-associated acute respiratory illness (ARI), defined by specified symptoms with virologic confirmation.MethodsThis phase 2b study evaluated RSV postfusion F protein (120 µg) with glucopyranosyl lipid adjuvant (5 µg) in 2% stable emulsion. Subjects aged ≥60 years were randomly assigned at a ratio of 1:1 to receive vaccine or placebo (all received inactivated influenza vaccine). Ill subjects recorded symptoms and provided blood and nasal swab samples.ResultsIn the per-protocol population (n = 1894), the incidence of RSV-associated ARI occurring ≥14 days after dosing was 1.7% and 1.6% in the vaccine and placebo groups, respectively, for a vaccine efficacy (VE) of –7.1% (90% confidence interval [CI], –106.9%–44.3%). Efficacy was not observed in secondary analyses that included seroresponse to nonvaccine RSV antigens (VE, 8.9%; 90% CI, –28.5%–35.4%) or symptoms combined with seroresponse (VE, 10.0%; 90% CI, –45.4%–44.4%). On day 29, 92.9% of vaccinees had an anti-F immunoglobulin G antibody seroresponse. Overall, 48.5% and 30.9% of RSV vaccine recipients reported local and systemic solicited symptoms, respectively.ConclusionThe RSV vaccine was immunogenic but did not protect older adults from RSV illness.Clinical Trials RegistrationNCT02508194.","DOI":"10.1093/infdis/jix503","ISSN":"0022-1899","journalAbbreviation":"J Infect Dis","language":"en","author":[{"family":"Falloon","given":"Judith"},{"family":"Yu","given":"Jing"},{"family":"Esser","given":"Mark T."},{"family":"Villafana","given":"Tonya"},{"family":"Yu","given":"Li"},{"family":"Dubovsky","given":"Filip"},{"family":"Takas","given":"Therese"},{"family":"Levin","given":"Myron J."},{"family":"Falsey","given":"Ann R."}],"issued":{"date-parts":[["2017",12,12]]}}}],"schema":"https://github.com/citation-style-language/schema/raw/master/csl-citation.json"} </w:instrText>
      </w:r>
      <w:r w:rsidRPr="00FA6555">
        <w:rPr>
          <w:lang w:val="en-GB"/>
        </w:rPr>
        <w:fldChar w:fldCharType="separate"/>
      </w:r>
      <w:r w:rsidR="00094A1B" w:rsidRPr="00094A1B">
        <w:t>(8)</w:t>
      </w:r>
      <w:r w:rsidRPr="00FA6555">
        <w:rPr>
          <w:lang w:val="en-GB"/>
        </w:rPr>
        <w:fldChar w:fldCharType="end"/>
      </w:r>
      <w:r w:rsidR="00BC0D6F">
        <w:rPr>
          <w:lang w:val="en-GB"/>
        </w:rPr>
        <w:t>.</w:t>
      </w:r>
      <w:r w:rsidRPr="00FA6555">
        <w:rPr>
          <w:lang w:val="en-GB"/>
        </w:rPr>
        <w:t xml:space="preserve"> Novel vaccination strategies are therefore urgently required.</w:t>
      </w:r>
    </w:p>
    <w:p w14:paraId="7B225D91" w14:textId="4B11B870" w:rsidR="008E288B" w:rsidRPr="00FA6555" w:rsidRDefault="008E288B" w:rsidP="008E288B">
      <w:pPr>
        <w:pStyle w:val="Paragraph"/>
        <w:spacing w:line="480" w:lineRule="auto"/>
        <w:ind w:firstLine="0"/>
        <w:jc w:val="both"/>
        <w:rPr>
          <w:lang w:val="en-GB"/>
        </w:rPr>
      </w:pPr>
      <w:r w:rsidRPr="00FA6555">
        <w:rPr>
          <w:lang w:val="en-GB"/>
        </w:rPr>
        <w:t xml:space="preserve">Studies </w:t>
      </w:r>
      <w:r w:rsidR="00FA6555" w:rsidRPr="00FA6555">
        <w:rPr>
          <w:lang w:val="en-GB"/>
        </w:rPr>
        <w:t>in</w:t>
      </w:r>
      <w:r w:rsidRPr="00FA6555">
        <w:rPr>
          <w:lang w:val="en-GB"/>
        </w:rPr>
        <w:t xml:space="preserve"> experimentally-infected volunteers indicate that </w:t>
      </w:r>
      <w:r w:rsidR="00FA6555" w:rsidRPr="00FA6555">
        <w:rPr>
          <w:lang w:val="en-GB"/>
        </w:rPr>
        <w:t>reduced infection risk</w:t>
      </w:r>
      <w:r w:rsidR="00524541">
        <w:rPr>
          <w:lang w:val="en-GB"/>
        </w:rPr>
        <w:t xml:space="preserve"> with RSV</w:t>
      </w:r>
      <w:r w:rsidR="00FA6555" w:rsidRPr="00FA6555">
        <w:rPr>
          <w:lang w:val="en-GB"/>
        </w:rPr>
        <w:t xml:space="preserve"> is most closely associated with </w:t>
      </w:r>
      <w:r w:rsidR="00634631" w:rsidRPr="00FA6555">
        <w:rPr>
          <w:lang w:val="en-GB"/>
        </w:rPr>
        <w:t xml:space="preserve">mucosal </w:t>
      </w:r>
      <w:r w:rsidRPr="00FA6555">
        <w:rPr>
          <w:lang w:val="en-GB"/>
        </w:rPr>
        <w:t>secretory IgA (s-IgA)</w:t>
      </w:r>
      <w:r w:rsidR="00360BB9">
        <w:rPr>
          <w:lang w:val="en-GB"/>
        </w:rPr>
        <w:t xml:space="preserve"> </w:t>
      </w:r>
      <w:r w:rsidRPr="00FA6555">
        <w:rPr>
          <w:lang w:val="en-GB"/>
        </w:rPr>
        <w:fldChar w:fldCharType="begin"/>
      </w:r>
      <w:r w:rsidR="00094A1B">
        <w:rPr>
          <w:lang w:val="en-GB"/>
        </w:rPr>
        <w:instrText xml:space="preserve"> ADDIN ZOTERO_ITEM CSL_CITATION {"citationID":"JHzGT3zX","properties":{"formattedCitation":"(9)","plainCitation":"(9)","noteIndex":0},"citationItems":[{"id":375,"uris":["http://zotero.org/groups/2179633/items/JYZ4YDXV"],"uri":["http://zotero.org/groups/2179633/items/JYZ4YDXV"],"itemData":{"id":375,"type":"article-journal","title":"Impaired Antibody-mediated Protection and Defective IgA B-Cell Memory in Experimental Infection of Adults with Respiratory Syncytial Virus","container-title":"American Journal of Respiratory and Critical Care Medicine","page":"1040-1049","volume":"191","issue":"9","source":"atsjournals.org (Atypon)","abstract":"Rationale: Despite relative antigenic stability, respiratory syncytial virus (RSV) reinfects throughout life. After more than 40 years of research, no effective human vaccine exists and correlates of protection remain poorly defined. Most current vaccine candidates seek to induce high levels of RSV-specific serum neutralizing antibodies, which are associated with reduced RSV-related hospitalization rates in observational studies but may not actually prevent infection.Objectives: To characterize correlates of protection from infection and the generation of RSV-specific humoral memory to promote effective vaccine development.Methods: We inoculated 61 healthy adults with live RSV and studied protection from infection by serum and mucosal antibody. We analyzed RSV-specific peripheral blood plasmablast and memory B-cell frequencies and antibody longevity.Measurements and Main Results: Despite moderately high levels of preexisting serum antibody, 34 (56%) became infected, of whom 23 (68%) developed symptomatic colds. Prior RSV-specific nasal IgA correlated significantly more strongly with protection from polymerase chain reaction–confirmed infection than serum neutralizing antibody. Increases in virus-specific antibody titers were variable and transient in infected subjects but correlated with plasmablasts that peaked around Day 10. During convalescence, only IgG (and no IgA) RSV-specific memory B cells were detectable in peripheral blood. This contrasted with natural influenza infection, in which virus-specific IgA memory B cells were readily recovered.Conclusions: This observed specific defect in IgA memory may partly explain the ability of RSV to cause recurrent symptomatic infections. If so, vaccines able to induce durable RSV-specific IgA responses may be more protective than those generating systemic antibody alone.","DOI":"10.1164/rccm.201412-2256OC","ISSN":"1073-449X","journalAbbreviation":"Am J Respir Crit Care Med","author":[{"family":"Habibi","given":"Maximillian S."},{"family":"Jozwik","given":"Agnieszka"},{"family":"Makris","given":"Spyridon"},{"family":"Dunning","given":"Jake"},{"family":"Paras","given":"Allan"},{"family":"DeVincenzo","given":"John P."},{"family":"Haan","given":"Cornelis A. M.","non-dropping-particle":"de"},{"family":"Wrammert","given":"Jens"},{"family":"Openshaw","given":"Peter J. M."},{"family":"Chiu","given":"Christopher"}],"issued":{"date-parts":[["2015",3,2]]}}}],"schema":"https://github.com/citation-style-language/schema/raw/master/csl-citation.json"} </w:instrText>
      </w:r>
      <w:r w:rsidRPr="00FA6555">
        <w:rPr>
          <w:lang w:val="en-GB"/>
        </w:rPr>
        <w:fldChar w:fldCharType="separate"/>
      </w:r>
      <w:r w:rsidR="00094A1B" w:rsidRPr="00094A1B">
        <w:t>(9)</w:t>
      </w:r>
      <w:r w:rsidRPr="00FA6555">
        <w:rPr>
          <w:lang w:val="en-GB"/>
        </w:rPr>
        <w:fldChar w:fldCharType="end"/>
      </w:r>
      <w:r w:rsidR="00360BB9">
        <w:rPr>
          <w:lang w:val="en-GB"/>
        </w:rPr>
        <w:t>.</w:t>
      </w:r>
      <w:r w:rsidRPr="00FA6555">
        <w:rPr>
          <w:lang w:val="en-GB"/>
        </w:rPr>
        <w:t xml:space="preserve"> IgA is actively transported across the respiratory epithelium and is therefore found at high levels in both upper and lower airways, mediating immune exclusion and sterilizing protection</w:t>
      </w:r>
      <w:r w:rsidR="00360BB9">
        <w:rPr>
          <w:lang w:val="en-GB"/>
        </w:rPr>
        <w:t xml:space="preserve"> </w:t>
      </w:r>
      <w:r w:rsidRPr="00FA6555">
        <w:rPr>
          <w:lang w:val="en-GB"/>
        </w:rPr>
        <w:fldChar w:fldCharType="begin"/>
      </w:r>
      <w:r w:rsidR="00094A1B">
        <w:rPr>
          <w:lang w:val="en-GB"/>
        </w:rPr>
        <w:instrText xml:space="preserve"> ADDIN ZOTERO_ITEM CSL_CITATION {"citationID":"46NUvr9b","properties":{"formattedCitation":"(10)","plainCitation":"(10)","noteIndex":0},"citationItems":[{"id":"35rDZLyI/pnAUAGYR","uris":["http://zotero.org/users/837702/items/Q9TXM7TT"],"uri":["http://zotero.org/users/837702/items/Q9TXM7TT"],"itemData":{"id":9288,"type":"article-journal","title":"Functional and structural characteristics of secretory IgA antibodies elicited by mucosal vaccines against influenza virus","container-title":"Vaccine","page":"5297-5302","volume":"35","issue":"39","source":"ScienceDirect","abstract":"Mucosal tissues are major targets for pathogens. The secretions covering mucosal surfaces contain several types of molecules that protect the host from infection. Among these, mucosal immunoglobulins, including secretory IgA (S-IgA) antibodies, are the major contributor to pathogen-specific immune responses. IgA is the primary antibody class found in many external secretions and has unique structural and functional features not observed in other antibody classes. Recently, extensive efforts have been made to develop novel vaccines that induce immunity via the mucosal route. S-IgA is a key molecule that underpins the mechanism of action of these mucosal vaccines. Thus, precise characterization of S-IgA induced by mucosal vaccines is important, if the latter are to be used successfully in a clinical setting. Intensive studies identified the fundamental characteristics of S-IgA, which was first discovered almost half a century ago. However, S-IgA itself has not gained much attention of late, despite its importance to mucosal immunity; therefore, some important questions remain. This review summarizes the current understanding of the molecular characteristics of S-IgA and its role in intranasal mucosal vaccines against influenza virus infection.","DOI":"10.1016/j.vaccine.2017.07.093","ISSN":"0264-410X","journalAbbreviation":"Vaccine","author":[{"family":"Suzuki","given":"Tadaki"},{"family":"Ainai","given":"Akira"},{"family":"Hasegawa","given":"Hideki"}],"issued":{"date-parts":[["2017",9,18]]}}}],"schema":"https://github.com/citation-style-language/schema/raw/master/csl-citation.json"} </w:instrText>
      </w:r>
      <w:r w:rsidRPr="00FA6555">
        <w:rPr>
          <w:lang w:val="en-GB"/>
        </w:rPr>
        <w:fldChar w:fldCharType="separate"/>
      </w:r>
      <w:r w:rsidR="00094A1B" w:rsidRPr="00094A1B">
        <w:t>(10)</w:t>
      </w:r>
      <w:r w:rsidRPr="00FA6555">
        <w:rPr>
          <w:lang w:val="en-GB"/>
        </w:rPr>
        <w:fldChar w:fldCharType="end"/>
      </w:r>
      <w:r w:rsidR="00BC0D6F">
        <w:rPr>
          <w:lang w:val="en-GB"/>
        </w:rPr>
        <w:t>.</w:t>
      </w:r>
      <w:r w:rsidRPr="00FA6555">
        <w:rPr>
          <w:lang w:val="en-GB"/>
        </w:rPr>
        <w:t xml:space="preserve"> </w:t>
      </w:r>
      <w:r w:rsidR="00634631" w:rsidRPr="00FA6555">
        <w:rPr>
          <w:lang w:val="en-GB"/>
        </w:rPr>
        <w:t>M</w:t>
      </w:r>
      <w:r w:rsidRPr="00FA6555">
        <w:rPr>
          <w:lang w:val="en-GB"/>
        </w:rPr>
        <w:t xml:space="preserve">ucosal vaccine delivery </w:t>
      </w:r>
      <w:r w:rsidR="00634631" w:rsidRPr="00FA6555">
        <w:rPr>
          <w:lang w:val="en-GB"/>
        </w:rPr>
        <w:t xml:space="preserve">may </w:t>
      </w:r>
      <w:r w:rsidRPr="00FA6555">
        <w:rPr>
          <w:lang w:val="en-GB"/>
        </w:rPr>
        <w:t>preferentially induc</w:t>
      </w:r>
      <w:r w:rsidR="00634631" w:rsidRPr="00FA6555">
        <w:rPr>
          <w:lang w:val="en-GB"/>
        </w:rPr>
        <w:t>e</w:t>
      </w:r>
      <w:r w:rsidRPr="00FA6555">
        <w:rPr>
          <w:lang w:val="en-GB"/>
        </w:rPr>
        <w:t xml:space="preserve"> </w:t>
      </w:r>
      <w:r w:rsidR="00634631" w:rsidRPr="00FA6555">
        <w:rPr>
          <w:lang w:val="en-GB"/>
        </w:rPr>
        <w:t>these antibodies</w:t>
      </w:r>
      <w:r w:rsidRPr="00FA6555">
        <w:rPr>
          <w:lang w:val="en-GB"/>
        </w:rPr>
        <w:t>.</w:t>
      </w:r>
      <w:r w:rsidR="00634631" w:rsidRPr="00FA6555">
        <w:rPr>
          <w:lang w:val="en-GB"/>
        </w:rPr>
        <w:t xml:space="preserve"> </w:t>
      </w:r>
      <w:proofErr w:type="spellStart"/>
      <w:r w:rsidRPr="00FA6555">
        <w:rPr>
          <w:lang w:val="en-GB"/>
        </w:rPr>
        <w:t>SynGEM</w:t>
      </w:r>
      <w:proofErr w:type="spellEnd"/>
      <w:r w:rsidRPr="00FA6555">
        <w:rPr>
          <w:lang w:val="en-GB"/>
        </w:rPr>
        <w:t xml:space="preserve"> is a novel subunit vaccine designed for intranasal administration, </w:t>
      </w:r>
      <w:r w:rsidRPr="0074371D">
        <w:rPr>
          <w:color w:val="000000" w:themeColor="text1"/>
          <w:lang w:val="en-GB"/>
        </w:rPr>
        <w:t>comprising RSV F protein linked to a</w:t>
      </w:r>
      <w:r w:rsidR="00524541" w:rsidRPr="0074371D">
        <w:rPr>
          <w:color w:val="000000" w:themeColor="text1"/>
          <w:lang w:val="en-GB"/>
        </w:rPr>
        <w:t xml:space="preserve"> peptidoglycan</w:t>
      </w:r>
      <w:r w:rsidRPr="0074371D">
        <w:rPr>
          <w:color w:val="000000" w:themeColor="text1"/>
          <w:lang w:val="en-GB"/>
        </w:rPr>
        <w:t xml:space="preserve"> bacterium-like particle (BLP) derived from </w:t>
      </w:r>
      <w:r w:rsidRPr="0074371D">
        <w:rPr>
          <w:i/>
          <w:color w:val="000000" w:themeColor="text1"/>
          <w:lang w:val="en-GB"/>
        </w:rPr>
        <w:t>Lactococcus lactis</w:t>
      </w:r>
      <w:r w:rsidR="00360BB9" w:rsidRPr="0074371D">
        <w:rPr>
          <w:i/>
          <w:color w:val="000000" w:themeColor="text1"/>
          <w:lang w:val="en-GB"/>
        </w:rPr>
        <w:t xml:space="preserve"> </w:t>
      </w:r>
      <w:r w:rsidRPr="00FA6555">
        <w:rPr>
          <w:i/>
          <w:lang w:val="en-GB"/>
        </w:rPr>
        <w:fldChar w:fldCharType="begin"/>
      </w:r>
      <w:r w:rsidR="00094A1B">
        <w:rPr>
          <w:i/>
          <w:lang w:val="en-GB"/>
        </w:rPr>
        <w:instrText xml:space="preserve"> ADDIN ZOTERO_ITEM CSL_CITATION {"citationID":"9JU1AETp","properties":{"formattedCitation":"(11)","plainCitation":"(11)","noteIndex":0},"citationItems":[{"id":"35rDZLyI/ebtVCQWL","uris":["http://zotero.org/users/837702/items/IFR7E8Z9"],"uri":["http://zotero.org/users/837702/items/IFR7E8Z9"],"itemData":{"id":6271,"type":"article-journal","title":"A Protective and Safe Intranasal RSV Vaccine Based on a Recombinant Prefusion-Like Form of the F Protein Bound to Bacterium-Like Particles","container-title":"PLoS ONE","page":"e71072","volume":"8","issue":"8","source":"PLoS Journals","abstract":"Respiratory syncytial virus (RSV) is an important cause of respiratory tract disease in infants and the elderly. Currently, no licensed vaccine against RSV is available. Here we describe the development of a safe and effective intranasal subunit vaccine that is based on recombinant fusion (F) protein bound to the surface of immunostimulatory bacterium-like particles (BLPs) derived from the food-grade bacterium Lactococcus lactis. Different variants of F were analyzed with respect to their conformation and reactivity with neutralizing antibodies, assuming that F proteins mimicking the metastable prefusion form of RSV F expose a more extensive and relevant epitope repertoire than F proteins corresponding to the postfusion structure. Our results indicate that the recombinant soluble ectodomain of RSV F readily adopts a postfusion conformation, generation of which cannot be prevented by C-terminal addition of a trimerization motif, but whose formation is prevented by mutation of the two furin cleavage sites in F. While the putative postfusion form of F is recognized well by the monoclonal antibody Palivizumab, this is much less so for the more potently neutralizing, prefusion-specific antibodies D25 and AM22. Both addition of the trimerization motif and mutation of the furin cleavage sites increased the reactivity of F with D25 and AM22, with the highest reactivity being observed for F proteins in which both these features were combined. Intranasal vaccination of mice or cotton rats with BLPs loaded with this latter prefusion-like F protein (BLP-F), resulted in the potent induction of F-specific immunoglobulins and in significantly decreased virus titers in the lungs upon RSV challenge. Moreover, and in contrast to animals vaccinated with formalin-inactivated RSV, animals that received BLP-F exhibited high levels of F-specific secretory IgA in the nose and RSV-neutralizing antibodies in sera, but did not show symptoms of enhanced disease after challenge with RSV.","DOI":"10.1371/journal.pone.0071072","journalAbbreviation":"PLoS ONE","author":[{"family":"Rigter","given":"Alan"},{"family":"Widjaja","given":"Ivy"},{"family":"Versantvoort","given":"Hanneke"},{"family":"Coenjaerts","given":"Frank E. J."},{"family":"Roosmalen","given":"Maarten","non-dropping-particle":"van"},{"family":"Leenhouts","given":"Kees"},{"family":"Rottier","given":"Peter J. M."},{"family":"Haijema","given":"Bert Jan"},{"family":"Haan","given":"Cornelis A. M.","non-dropping-particle":"de"}],"issued":{"date-parts":[["2013",8,12]]}}}],"schema":"https://github.com/citation-style-language/schema/raw/master/csl-citation.json"} </w:instrText>
      </w:r>
      <w:r w:rsidRPr="00FA6555">
        <w:rPr>
          <w:i/>
          <w:lang w:val="en-GB"/>
        </w:rPr>
        <w:fldChar w:fldCharType="separate"/>
      </w:r>
      <w:r w:rsidR="00094A1B" w:rsidRPr="00094A1B">
        <w:t>(11)</w:t>
      </w:r>
      <w:r w:rsidRPr="00FA6555">
        <w:rPr>
          <w:i/>
          <w:lang w:val="en-GB"/>
        </w:rPr>
        <w:fldChar w:fldCharType="end"/>
      </w:r>
      <w:r w:rsidR="00BC0D6F">
        <w:rPr>
          <w:lang w:val="en-GB"/>
        </w:rPr>
        <w:t>.</w:t>
      </w:r>
      <w:r w:rsidRPr="00FA6555">
        <w:rPr>
          <w:lang w:val="en-GB"/>
        </w:rPr>
        <w:t xml:space="preserve"> F protein is highly conserved </w:t>
      </w:r>
      <w:r w:rsidR="00634631" w:rsidRPr="00FA6555">
        <w:rPr>
          <w:lang w:val="en-GB"/>
        </w:rPr>
        <w:t>across RSV strains</w:t>
      </w:r>
      <w:r w:rsidR="00360BB9">
        <w:rPr>
          <w:lang w:val="en-GB"/>
        </w:rPr>
        <w:t xml:space="preserve"> </w:t>
      </w:r>
      <w:r w:rsidRPr="00FA6555">
        <w:rPr>
          <w:lang w:val="en-GB"/>
        </w:rPr>
        <w:fldChar w:fldCharType="begin"/>
      </w:r>
      <w:r w:rsidR="00094A1B">
        <w:rPr>
          <w:lang w:val="en-GB"/>
        </w:rPr>
        <w:instrText xml:space="preserve"> ADDIN ZOTERO_ITEM CSL_CITATION {"citationID":"Fqi0eSLV","properties":{"formattedCitation":"(12)","plainCitation":"(12)","noteIndex":0},"citationItems":[{"id":"35rDZLyI/sXLW0U0T","uris":["http://zotero.org/users/837702/items/S9ZXYQ5G"],"uri":["http://zotero.org/users/837702/items/S9ZXYQ5G"],"itemData":{"id":12787,"type":"article-journal","title":"Structure and Function of RSV Surface Glycoproteins","container-title":"Current topics in microbiology and immunology","page":"83-104","volume":"372","source":"PubMed Central","abstract":"The two major glycoproteins on the surface of the RSV virion, the attachment glycoprotein (G) and the fusion (F) glycoprotein, control the initial phases of infection. G targets the ciliated cells of the airways, and F causes the virion membrane to fuse with a target cell membrane. The F protein is the major target for antiviral drug development, and both G and F glycoproteins are the antigens targeted by neutralizing antibodies induced by infection. In this chapter we review the structure and function of the RSV surface glycoproteins, including recent X-ray crystallographic data of the F glycoprotein in its pre- and postfusion conformations, and discuss how this information informs antigen selection and vaccine development.","DOI":"10.1007/978-3-642-38919-1_4","ISSN":"0070-217X","note":"PMID: 24362685\nPMCID: PMC4211642","journalAbbreviation":"Curr Top Microbiol Immunol","author":[{"family":"McLellan","given":"Jason S."},{"family":"Ray","given":"William C."},{"family":"Peeples","given":"Mark E."}],"issued":{"date-parts":[["2013"]]}}}],"schema":"https://github.com/citation-style-language/schema/raw/master/csl-citation.json"} </w:instrText>
      </w:r>
      <w:r w:rsidRPr="00FA6555">
        <w:rPr>
          <w:lang w:val="en-GB"/>
        </w:rPr>
        <w:fldChar w:fldCharType="separate"/>
      </w:r>
      <w:r w:rsidR="00094A1B" w:rsidRPr="00094A1B">
        <w:t>(12)</w:t>
      </w:r>
      <w:r w:rsidRPr="00FA6555">
        <w:rPr>
          <w:lang w:val="en-GB"/>
        </w:rPr>
        <w:fldChar w:fldCharType="end"/>
      </w:r>
      <w:r w:rsidR="00BC0D6F">
        <w:rPr>
          <w:lang w:val="en-GB"/>
        </w:rPr>
        <w:t>,</w:t>
      </w:r>
      <w:r w:rsidRPr="00FA6555">
        <w:rPr>
          <w:lang w:val="en-GB"/>
        </w:rPr>
        <w:t xml:space="preserve"> and is the target of </w:t>
      </w:r>
      <w:r w:rsidR="00634631" w:rsidRPr="00FA6555">
        <w:rPr>
          <w:lang w:val="en-GB"/>
        </w:rPr>
        <w:t>the</w:t>
      </w:r>
      <w:r w:rsidRPr="00FA6555">
        <w:rPr>
          <w:lang w:val="en-GB"/>
        </w:rPr>
        <w:t xml:space="preserve"> licensed protective monoclonal antibody </w:t>
      </w:r>
      <w:r w:rsidR="00634631" w:rsidRPr="00FA6555">
        <w:rPr>
          <w:lang w:val="en-GB"/>
        </w:rPr>
        <w:t>palivizumab</w:t>
      </w:r>
      <w:r w:rsidR="00DC2271" w:rsidRPr="00FA6555">
        <w:rPr>
          <w:lang w:val="en-GB"/>
        </w:rPr>
        <w:t>, making it the preferred antigenic target</w:t>
      </w:r>
      <w:r w:rsidRPr="00FA6555">
        <w:rPr>
          <w:lang w:val="en-GB"/>
        </w:rPr>
        <w:t xml:space="preserve">. </w:t>
      </w:r>
      <w:r w:rsidR="00DC2271" w:rsidRPr="00FA6555">
        <w:rPr>
          <w:lang w:val="en-GB"/>
        </w:rPr>
        <w:t>Its</w:t>
      </w:r>
      <w:r w:rsidRPr="00FA6555">
        <w:rPr>
          <w:lang w:val="en-GB"/>
        </w:rPr>
        <w:t xml:space="preserve"> pre-fusion conformation (pre-F), which predominates on infectious virions, </w:t>
      </w:r>
      <w:r w:rsidRPr="00FA6555">
        <w:rPr>
          <w:lang w:val="en-GB"/>
        </w:rPr>
        <w:lastRenderedPageBreak/>
        <w:t>displays a distinct antigenic site (site Ø) preferentially targeted by the most potent neutralizing antibodies</w:t>
      </w:r>
      <w:r w:rsidR="00360BB9">
        <w:rPr>
          <w:lang w:val="en-GB"/>
        </w:rPr>
        <w:t xml:space="preserve"> </w:t>
      </w:r>
      <w:r w:rsidRPr="00FA6555">
        <w:rPr>
          <w:lang w:val="en-GB"/>
        </w:rPr>
        <w:fldChar w:fldCharType="begin"/>
      </w:r>
      <w:r w:rsidR="00094A1B">
        <w:rPr>
          <w:lang w:val="en-GB"/>
        </w:rPr>
        <w:instrText xml:space="preserve"> ADDIN ZOTERO_ITEM CSL_CITATION {"citationID":"ewt97S6u","properties":{"formattedCitation":"(13)","plainCitation":"(13)","noteIndex":0},"citationItems":[{"id":"35rDZLyI/vO56qFYY","uris":["http://zotero.org/users/837702/items/TAHBIB2I"],"uri":["http://zotero.org/users/837702/items/TAHBIB2I"],"itemData":{"id":8111,"type":"article-journal","title":"Prefusion F–specific antibodies determine the magnitude of RSV neutralizing activity in human sera","container-title":"Science Translational Medicine","page":"309ra162-309ra162","volume":"7","issue":"309","source":"stm.sciencemag.org","abstract":"Neutralizing RSV\nRespiratory syncytial virus (RSV) infection causes cold-like symptoms in healthy adults but may be deadly in infants and other high-risk populations. However, no vaccine is currently available for RSV. Ngwuta et al. report that antibodies against an antigen site found in the RSV fusion glycoprotein (F) constitute most of the neutralizing antibody response in infected individuals. This site is found in the prefusion but not the postfusion form of the glycoprotein, suggesting that vaccines should be targeted to the prefusion version of this protein.\nRespiratory syncytial virus (RSV) is estimated to claim more lives among infants &lt;1 year old than any other single pathogen, except malaria, and poses a substantial global health burden. Viral entry is mediated by a type I fusion glycoprotein (F) that transitions from a metastable prefusion (pre-F) to a stable postfusion (post-F) trimer. A highly neutralization-sensitive epitope, antigenic site Ø, is found only on pre-F. We determined what fraction of neutralizing (NT) activity in human sera is dependent on antibodies specific for antigenic site Ø or other antigenic sites on F in healthy subjects from ages 7 to 93 years. Adsorption of individual sera with stabilized pre-F protein removed &gt;90% of NT activity and depleted binding antibodies to both F conformations. In contrast, adsorption with post-F removed ~30% of NT activity, and binding antibodies to pre-F were retained. These findings were consistent across all age groups. Protein competition neutralization assays with pre-F mutants in which sites Ø or II were altered to knock out binding of antibodies to the corresponding sites showed that these sites accounted for ~35 and &lt;10% of NT activity, respectively. Binding competition assays with monoclonal antibodies (mAbs) indicated that the amount of site Ø–specific antibodies correlated with NT activity, whereas the magnitude of binding competed by site II mAbs did not correlate with neutralization. Our results indicate that RSV NT activity in human sera is primarily derived from pre-F–specific antibodies, and therefore, inducing or boosting NT activity by vaccination will be facilitated by using pre-F antigens that preserve site Ø.\nAntibodies to the prefusion conformation of the RSV F glycoprotein neutralize natural infection.\nAntibodies to the prefusion conformation of the RSV F glycoprotein neutralize natural infection.","DOI":"10.1126/scitranslmed.aac4241","ISSN":"1946-6234, 1946-6242","note":"PMID: 26468324","language":"en","author":[{"family":"Ngwuta","given":"Joan O."},{"family":"Chen","given":"Man"},{"family":"Modjarrad","given":"Kayvon"},{"family":"Joyce","given":"M. Gordon"},{"family":"Kanekiyo","given":"Masaru"},{"family":"Kumar","given":"Azad"},{"family":"Yassine","given":"Hadi M."},{"family":"Moin","given":"Syed M."},{"family":"Killikelly","given":"April M."},{"family":"Chuang","given":"Gwo-Yu"},{"family":"Druz","given":"Aliaksandr"},{"family":"Georgiev","given":"Ivelin S."},{"family":"Rundlet","given":"Emily J."},{"family":"Sastry","given":"Mallika"},{"family":"Stewart-Jones","given":"Guillaume B. E."},{"family":"Yang","given":"Yongping"},{"family":"Zhang","given":"Baoshan"},{"family":"Nason","given":"Martha C."},{"family":"Capella","given":"Cristina"},{"family":"Peeples","given":"Mark E."},{"family":"Ledgerwood","given":"Julie E."},{"family":"McLellan","given":"Jason S."},{"family":"Kwong","given":"Peter D."},{"family":"Graham","given":"Barney S."}],"issued":{"date-parts":[["2015",10,14]]}}}],"schema":"https://github.com/citation-style-language/schema/raw/master/csl-citation.json"} </w:instrText>
      </w:r>
      <w:r w:rsidRPr="00FA6555">
        <w:rPr>
          <w:lang w:val="en-GB"/>
        </w:rPr>
        <w:fldChar w:fldCharType="separate"/>
      </w:r>
      <w:r w:rsidR="00094A1B" w:rsidRPr="00094A1B">
        <w:t>(13)</w:t>
      </w:r>
      <w:r w:rsidRPr="00FA6555">
        <w:rPr>
          <w:lang w:val="en-GB"/>
        </w:rPr>
        <w:fldChar w:fldCharType="end"/>
      </w:r>
      <w:r w:rsidR="00BC0D6F">
        <w:rPr>
          <w:lang w:val="en-GB"/>
        </w:rPr>
        <w:t>.</w:t>
      </w:r>
      <w:r w:rsidRPr="00FA6555">
        <w:rPr>
          <w:lang w:val="en-GB"/>
        </w:rPr>
        <w:t xml:space="preserve"> </w:t>
      </w:r>
      <w:proofErr w:type="spellStart"/>
      <w:r w:rsidRPr="00FA6555">
        <w:rPr>
          <w:lang w:val="en-GB"/>
        </w:rPr>
        <w:t>SynGEM</w:t>
      </w:r>
      <w:proofErr w:type="spellEnd"/>
      <w:r w:rsidRPr="00FA6555">
        <w:rPr>
          <w:lang w:val="en-GB"/>
        </w:rPr>
        <w:t xml:space="preserve"> </w:t>
      </w:r>
      <w:r w:rsidR="00D43460">
        <w:rPr>
          <w:lang w:val="en-GB"/>
        </w:rPr>
        <w:t>therefore incorporates an F protein with mutations to</w:t>
      </w:r>
      <w:r w:rsidR="00A27E26" w:rsidRPr="00FA6555">
        <w:rPr>
          <w:lang w:val="en-GB"/>
        </w:rPr>
        <w:t xml:space="preserve"> maintain</w:t>
      </w:r>
      <w:r w:rsidRPr="00FA6555">
        <w:rPr>
          <w:lang w:val="en-GB"/>
        </w:rPr>
        <w:t xml:space="preserve"> a pre-fusion conformation</w:t>
      </w:r>
      <w:r w:rsidR="00AA117D" w:rsidRPr="00FA6555">
        <w:rPr>
          <w:lang w:val="en-GB"/>
        </w:rPr>
        <w:t xml:space="preserve">, </w:t>
      </w:r>
      <w:r w:rsidR="00FA6555" w:rsidRPr="00FA6555">
        <w:rPr>
          <w:lang w:val="en-GB"/>
        </w:rPr>
        <w:t>while</w:t>
      </w:r>
      <w:r w:rsidR="00AA117D" w:rsidRPr="00FA6555">
        <w:rPr>
          <w:lang w:val="en-GB"/>
        </w:rPr>
        <w:t xml:space="preserve"> </w:t>
      </w:r>
      <w:r w:rsidR="00FA6555" w:rsidRPr="00FA6555">
        <w:rPr>
          <w:lang w:val="en-GB"/>
        </w:rPr>
        <w:t>BLP-conjugation enhance</w:t>
      </w:r>
      <w:r w:rsidR="00D43460">
        <w:rPr>
          <w:lang w:val="en-GB"/>
        </w:rPr>
        <w:t>s</w:t>
      </w:r>
      <w:r w:rsidR="00FA6555" w:rsidRPr="00FA6555">
        <w:rPr>
          <w:lang w:val="en-GB"/>
        </w:rPr>
        <w:t xml:space="preserve"> mucosal stimulation via </w:t>
      </w:r>
      <w:r w:rsidR="00AA117D" w:rsidRPr="00FA6555">
        <w:rPr>
          <w:lang w:val="en-GB"/>
        </w:rPr>
        <w:t xml:space="preserve">TLR2-dependent </w:t>
      </w:r>
      <w:proofErr w:type="spellStart"/>
      <w:r w:rsidR="00AA117D" w:rsidRPr="00FA6555">
        <w:rPr>
          <w:lang w:val="en-GB"/>
        </w:rPr>
        <w:t>adjuvant</w:t>
      </w:r>
      <w:r w:rsidR="00D43460">
        <w:rPr>
          <w:lang w:val="en-GB"/>
        </w:rPr>
        <w:t>ation</w:t>
      </w:r>
      <w:proofErr w:type="spellEnd"/>
      <w:r w:rsidR="00360BB9">
        <w:rPr>
          <w:lang w:val="en-GB"/>
        </w:rPr>
        <w:t xml:space="preserve"> </w:t>
      </w:r>
      <w:r w:rsidRPr="00FA6555">
        <w:rPr>
          <w:lang w:val="en-GB"/>
        </w:rPr>
        <w:fldChar w:fldCharType="begin"/>
      </w:r>
      <w:r w:rsidR="00094A1B">
        <w:rPr>
          <w:lang w:val="en-GB"/>
        </w:rPr>
        <w:instrText xml:space="preserve"> ADDIN ZOTERO_ITEM CSL_CITATION {"citationID":"QiyLSeZg","properties":{"formattedCitation":"(11)","plainCitation":"(11)","noteIndex":0},"citationItems":[{"id":"35rDZLyI/ebtVCQWL","uris":["http://zotero.org/users/837702/items/IFR7E8Z9"],"uri":["http://zotero.org/users/837702/items/IFR7E8Z9"],"itemData":{"id":6271,"type":"article-journal","title":"A Protective and Safe Intranasal RSV Vaccine Based on a Recombinant Prefusion-Like Form of the F Protein Bound to Bacterium-Like Particles","container-title":"PLoS ONE","page":"e71072","volume":"8","issue":"8","source":"PLoS Journals","abstract":"Respiratory syncytial virus (RSV) is an important cause of respiratory tract disease in infants and the elderly. Currently, no licensed vaccine against RSV is available. Here we describe the development of a safe and effective intranasal subunit vaccine that is based on recombinant fusion (F) protein bound to the surface of immunostimulatory bacterium-like particles (BLPs) derived from the food-grade bacterium Lactococcus lactis. Different variants of F were analyzed with respect to their conformation and reactivity with neutralizing antibodies, assuming that F proteins mimicking the metastable prefusion form of RSV F expose a more extensive and relevant epitope repertoire than F proteins corresponding to the postfusion structure. Our results indicate that the recombinant soluble ectodomain of RSV F readily adopts a postfusion conformation, generation of which cannot be prevented by C-terminal addition of a trimerization motif, but whose formation is prevented by mutation of the two furin cleavage sites in F. While the putative postfusion form of F is recognized well by the monoclonal antibody Palivizumab, this is much less so for the more potently neutralizing, prefusion-specific antibodies D25 and AM22. Both addition of the trimerization motif and mutation of the furin cleavage sites increased the reactivity of F with D25 and AM22, with the highest reactivity being observed for F proteins in which both these features were combined. Intranasal vaccination of mice or cotton rats with BLPs loaded with this latter prefusion-like F protein (BLP-F), resulted in the potent induction of F-specific immunoglobulins and in significantly decreased virus titers in the lungs upon RSV challenge. Moreover, and in contrast to animals vaccinated with formalin-inactivated RSV, animals that received BLP-F exhibited high levels of F-specific secretory IgA in the nose and RSV-neutralizing antibodies in sera, but did not show symptoms of enhanced disease after challenge with RSV.","DOI":"10.1371/journal.pone.0071072","journalAbbreviation":"PLoS ONE","author":[{"family":"Rigter","given":"Alan"},{"family":"Widjaja","given":"Ivy"},{"family":"Versantvoort","given":"Hanneke"},{"family":"Coenjaerts","given":"Frank E. J."},{"family":"Roosmalen","given":"Maarten","non-dropping-particle":"van"},{"family":"Leenhouts","given":"Kees"},{"family":"Rottier","given":"Peter J. M."},{"family":"Haijema","given":"Bert Jan"},{"family":"Haan","given":"Cornelis A. M.","non-dropping-particle":"de"}],"issued":{"date-parts":[["2013",8,12]]}}}],"schema":"https://github.com/citation-style-language/schema/raw/master/csl-citation.json"} </w:instrText>
      </w:r>
      <w:r w:rsidRPr="00FA6555">
        <w:rPr>
          <w:lang w:val="en-GB"/>
        </w:rPr>
        <w:fldChar w:fldCharType="separate"/>
      </w:r>
      <w:r w:rsidR="00094A1B" w:rsidRPr="00094A1B">
        <w:t>(11)</w:t>
      </w:r>
      <w:r w:rsidRPr="00FA6555">
        <w:rPr>
          <w:lang w:val="en-GB"/>
        </w:rPr>
        <w:fldChar w:fldCharType="end"/>
      </w:r>
      <w:r w:rsidR="00BC0D6F">
        <w:rPr>
          <w:lang w:val="en-GB"/>
        </w:rPr>
        <w:t>.</w:t>
      </w:r>
      <w:r w:rsidRPr="00FA6555">
        <w:rPr>
          <w:lang w:val="en-GB"/>
        </w:rPr>
        <w:t xml:space="preserve"> </w:t>
      </w:r>
    </w:p>
    <w:p w14:paraId="706C6E72" w14:textId="5D325F89" w:rsidR="008E288B" w:rsidRPr="00FA6555" w:rsidRDefault="008E288B" w:rsidP="008E288B">
      <w:pPr>
        <w:pStyle w:val="Paragraph"/>
        <w:spacing w:line="480" w:lineRule="auto"/>
        <w:ind w:firstLine="0"/>
        <w:jc w:val="both"/>
        <w:rPr>
          <w:lang w:val="en-GB"/>
        </w:rPr>
      </w:pPr>
      <w:r w:rsidRPr="00FA6555">
        <w:rPr>
          <w:lang w:val="en-GB"/>
        </w:rPr>
        <w:t xml:space="preserve">Pre-clinical studies using </w:t>
      </w:r>
      <w:proofErr w:type="spellStart"/>
      <w:r w:rsidRPr="00FA6555">
        <w:rPr>
          <w:lang w:val="en-GB"/>
        </w:rPr>
        <w:t>SynGEM</w:t>
      </w:r>
      <w:proofErr w:type="spellEnd"/>
      <w:r w:rsidRPr="00FA6555">
        <w:rPr>
          <w:lang w:val="en-GB"/>
        </w:rPr>
        <w:t xml:space="preserve"> showed induction of high levels of both systemic and mucosal antibodies</w:t>
      </w:r>
      <w:r w:rsidR="00360BB9">
        <w:rPr>
          <w:lang w:val="en-GB"/>
        </w:rPr>
        <w:t xml:space="preserve"> </w:t>
      </w:r>
      <w:r w:rsidRPr="00FA6555">
        <w:rPr>
          <w:lang w:val="en-GB"/>
        </w:rPr>
        <w:fldChar w:fldCharType="begin"/>
      </w:r>
      <w:r w:rsidR="00094A1B">
        <w:rPr>
          <w:lang w:val="en-GB"/>
        </w:rPr>
        <w:instrText xml:space="preserve"> ADDIN ZOTERO_ITEM CSL_CITATION {"citationID":"Hj32IcYj","properties":{"formattedCitation":"(11)","plainCitation":"(11)","noteIndex":0},"citationItems":[{"id":"35rDZLyI/ebtVCQWL","uris":["http://zotero.org/users/837702/items/IFR7E8Z9"],"uri":["http://zotero.org/users/837702/items/IFR7E8Z9"],"itemData":{"id":6271,"type":"article-journal","title":"A Protective and Safe Intranasal RSV Vaccine Based on a Recombinant Prefusion-Like Form of the F Protein Bound to Bacterium-Like Particles","container-title":"PLoS ONE","page":"e71072","volume":"8","issue":"8","source":"PLoS Journals","abstract":"Respiratory syncytial virus (RSV) is an important cause of respiratory tract disease in infants and the elderly. Currently, no licensed vaccine against RSV is available. Here we describe the development of a safe and effective intranasal subunit vaccine that is based on recombinant fusion (F) protein bound to the surface of immunostimulatory bacterium-like particles (BLPs) derived from the food-grade bacterium Lactococcus lactis. Different variants of F were analyzed with respect to their conformation and reactivity with neutralizing antibodies, assuming that F proteins mimicking the metastable prefusion form of RSV F expose a more extensive and relevant epitope repertoire than F proteins corresponding to the postfusion structure. Our results indicate that the recombinant soluble ectodomain of RSV F readily adopts a postfusion conformation, generation of which cannot be prevented by C-terminal addition of a trimerization motif, but whose formation is prevented by mutation of the two furin cleavage sites in F. While the putative postfusion form of F is recognized well by the monoclonal antibody Palivizumab, this is much less so for the more potently neutralizing, prefusion-specific antibodies D25 and AM22. Both addition of the trimerization motif and mutation of the furin cleavage sites increased the reactivity of F with D25 and AM22, with the highest reactivity being observed for F proteins in which both these features were combined. Intranasal vaccination of mice or cotton rats with BLPs loaded with this latter prefusion-like F protein (BLP-F), resulted in the potent induction of F-specific immunoglobulins and in significantly decreased virus titers in the lungs upon RSV challenge. Moreover, and in contrast to animals vaccinated with formalin-inactivated RSV, animals that received BLP-F exhibited high levels of F-specific secretory IgA in the nose and RSV-neutralizing antibodies in sera, but did not show symptoms of enhanced disease after challenge with RSV.","DOI":"10.1371/journal.pone.0071072","journalAbbreviation":"PLoS ONE","author":[{"family":"Rigter","given":"Alan"},{"family":"Widjaja","given":"Ivy"},{"family":"Versantvoort","given":"Hanneke"},{"family":"Coenjaerts","given":"Frank E. J."},{"family":"Roosmalen","given":"Maarten","non-dropping-particle":"van"},{"family":"Leenhouts","given":"Kees"},{"family":"Rottier","given":"Peter J. M."},{"family":"Haijema","given":"Bert Jan"},{"family":"Haan","given":"Cornelis A. M.","non-dropping-particle":"de"}],"issued":{"date-parts":[["2013",8,12]]}}}],"schema":"https://github.com/citation-style-language/schema/raw/master/csl-citation.json"} </w:instrText>
      </w:r>
      <w:r w:rsidRPr="00FA6555">
        <w:rPr>
          <w:lang w:val="en-GB"/>
        </w:rPr>
        <w:fldChar w:fldCharType="separate"/>
      </w:r>
      <w:r w:rsidR="00094A1B" w:rsidRPr="00094A1B">
        <w:t>(11)</w:t>
      </w:r>
      <w:r w:rsidRPr="00FA6555">
        <w:rPr>
          <w:lang w:val="en-GB"/>
        </w:rPr>
        <w:fldChar w:fldCharType="end"/>
      </w:r>
      <w:r w:rsidR="00BC0D6F">
        <w:rPr>
          <w:lang w:val="en-GB"/>
        </w:rPr>
        <w:t>.</w:t>
      </w:r>
      <w:r w:rsidRPr="00FA6555">
        <w:rPr>
          <w:lang w:val="en-GB"/>
        </w:rPr>
        <w:t xml:space="preserve"> We now present the findings </w:t>
      </w:r>
      <w:r w:rsidR="00C609FE" w:rsidRPr="00FA6555">
        <w:rPr>
          <w:lang w:val="en-GB"/>
        </w:rPr>
        <w:t xml:space="preserve">of </w:t>
      </w:r>
      <w:r w:rsidR="00AB4DFA">
        <w:rPr>
          <w:lang w:val="en-GB"/>
        </w:rPr>
        <w:t>the</w:t>
      </w:r>
      <w:r w:rsidRPr="00FA6555">
        <w:rPr>
          <w:lang w:val="en-GB"/>
        </w:rPr>
        <w:t xml:space="preserve"> first-in-human placebo-controlled phase I clinical trial of </w:t>
      </w:r>
      <w:proofErr w:type="spellStart"/>
      <w:r w:rsidRPr="00FA6555">
        <w:rPr>
          <w:lang w:val="en-GB"/>
        </w:rPr>
        <w:t>SynGEM</w:t>
      </w:r>
      <w:proofErr w:type="spellEnd"/>
      <w:r w:rsidR="00AB4DFA">
        <w:rPr>
          <w:lang w:val="en-GB"/>
        </w:rPr>
        <w:t xml:space="preserve"> </w:t>
      </w:r>
      <w:r w:rsidR="00AB4DFA" w:rsidRPr="0074371D">
        <w:rPr>
          <w:color w:val="000000" w:themeColor="text1"/>
        </w:rPr>
        <w:t>(clinicaltrials.gov identifier NCT02958540)</w:t>
      </w:r>
      <w:r w:rsidR="001A45A7" w:rsidRPr="0074371D">
        <w:rPr>
          <w:color w:val="000000" w:themeColor="text1"/>
          <w:lang w:val="en-GB"/>
        </w:rPr>
        <w:t>,</w:t>
      </w:r>
      <w:r w:rsidRPr="0074371D">
        <w:rPr>
          <w:color w:val="000000" w:themeColor="text1"/>
          <w:lang w:val="en-GB"/>
        </w:rPr>
        <w:t xml:space="preserve"> </w:t>
      </w:r>
      <w:r w:rsidR="001A45A7" w:rsidRPr="0074371D">
        <w:rPr>
          <w:color w:val="000000" w:themeColor="text1"/>
          <w:lang w:val="en-GB"/>
        </w:rPr>
        <w:t xml:space="preserve">the </w:t>
      </w:r>
      <w:r w:rsidR="00CC2C08">
        <w:rPr>
          <w:lang w:val="en-GB"/>
        </w:rPr>
        <w:t xml:space="preserve">aim of </w:t>
      </w:r>
      <w:r w:rsidR="001A45A7">
        <w:rPr>
          <w:lang w:val="en-GB"/>
        </w:rPr>
        <w:t>which</w:t>
      </w:r>
      <w:r w:rsidR="00CC2C08">
        <w:rPr>
          <w:lang w:val="en-GB"/>
        </w:rPr>
        <w:t xml:space="preserve"> </w:t>
      </w:r>
      <w:r w:rsidR="00422F1A">
        <w:rPr>
          <w:lang w:val="en-GB"/>
        </w:rPr>
        <w:t>was</w:t>
      </w:r>
      <w:r w:rsidR="00CC2C08">
        <w:rPr>
          <w:lang w:val="en-GB"/>
        </w:rPr>
        <w:t xml:space="preserve"> to assess the safety and tolerability of the vaccine in humans and analyse the levels of</w:t>
      </w:r>
      <w:r w:rsidR="00422F1A">
        <w:rPr>
          <w:lang w:val="en-GB"/>
        </w:rPr>
        <w:t xml:space="preserve"> </w:t>
      </w:r>
      <w:r w:rsidRPr="00FA6555">
        <w:rPr>
          <w:lang w:val="en-GB"/>
        </w:rPr>
        <w:t>serum anti-RSV IgG</w:t>
      </w:r>
      <w:r w:rsidR="00524541">
        <w:rPr>
          <w:lang w:val="en-GB"/>
        </w:rPr>
        <w:t>,</w:t>
      </w:r>
      <w:r w:rsidRPr="00FA6555">
        <w:rPr>
          <w:lang w:val="en-GB"/>
        </w:rPr>
        <w:t xml:space="preserve"> </w:t>
      </w:r>
      <w:r w:rsidR="00CC2C08">
        <w:rPr>
          <w:lang w:val="en-GB"/>
        </w:rPr>
        <w:t xml:space="preserve">nasal IgA </w:t>
      </w:r>
      <w:r w:rsidRPr="00FA6555">
        <w:rPr>
          <w:lang w:val="en-GB"/>
        </w:rPr>
        <w:t xml:space="preserve">and </w:t>
      </w:r>
      <w:r w:rsidR="00FA6555" w:rsidRPr="00FA6555">
        <w:rPr>
          <w:lang w:val="en-GB"/>
        </w:rPr>
        <w:t>B</w:t>
      </w:r>
      <w:r w:rsidRPr="00FA6555">
        <w:rPr>
          <w:lang w:val="en-GB"/>
        </w:rPr>
        <w:t xml:space="preserve"> cell responses</w:t>
      </w:r>
      <w:r w:rsidR="00CC2C08">
        <w:rPr>
          <w:lang w:val="en-GB"/>
        </w:rPr>
        <w:t>.</w:t>
      </w:r>
      <w:r w:rsidRPr="00FA6555">
        <w:rPr>
          <w:lang w:val="en-GB"/>
        </w:rPr>
        <w:t xml:space="preserve"> </w:t>
      </w:r>
    </w:p>
    <w:p w14:paraId="0AD6057A" w14:textId="77777777" w:rsidR="008E288B" w:rsidRPr="00FA6555" w:rsidRDefault="008E288B" w:rsidP="008E288B">
      <w:pPr>
        <w:pStyle w:val="Paragraph"/>
        <w:spacing w:line="480" w:lineRule="auto"/>
        <w:ind w:firstLine="0"/>
        <w:jc w:val="both"/>
        <w:rPr>
          <w:b/>
          <w:lang w:val="en-GB"/>
        </w:rPr>
      </w:pPr>
    </w:p>
    <w:p w14:paraId="4F9CC8C0" w14:textId="723C2A56" w:rsidR="008E288B" w:rsidRPr="00FA6555" w:rsidRDefault="008E288B" w:rsidP="008E288B">
      <w:pPr>
        <w:pStyle w:val="Paragraph"/>
        <w:spacing w:line="480" w:lineRule="auto"/>
        <w:ind w:firstLine="0"/>
        <w:jc w:val="both"/>
        <w:rPr>
          <w:b/>
          <w:lang w:val="en-GB"/>
        </w:rPr>
      </w:pPr>
      <w:r w:rsidRPr="00FA6555">
        <w:rPr>
          <w:b/>
          <w:lang w:val="en-GB"/>
        </w:rPr>
        <w:t>Methods</w:t>
      </w:r>
    </w:p>
    <w:p w14:paraId="4CCE46C4" w14:textId="77777777" w:rsidR="008E288B" w:rsidRPr="00FA6555" w:rsidRDefault="008E288B" w:rsidP="008E288B">
      <w:pPr>
        <w:pStyle w:val="Paragraph"/>
        <w:spacing w:line="480" w:lineRule="auto"/>
        <w:ind w:firstLine="0"/>
        <w:jc w:val="both"/>
        <w:rPr>
          <w:i/>
          <w:lang w:val="en-GB"/>
        </w:rPr>
      </w:pPr>
      <w:r w:rsidRPr="00FA6555">
        <w:rPr>
          <w:i/>
          <w:lang w:val="en-GB"/>
        </w:rPr>
        <w:t>Study design</w:t>
      </w:r>
    </w:p>
    <w:p w14:paraId="58243FD3" w14:textId="76F999C3" w:rsidR="008E288B" w:rsidRPr="0074371D" w:rsidRDefault="00B03A65" w:rsidP="000361A5">
      <w:pPr>
        <w:pStyle w:val="Paragraph"/>
        <w:spacing w:line="480" w:lineRule="auto"/>
        <w:jc w:val="both"/>
        <w:rPr>
          <w:color w:val="000000" w:themeColor="text1"/>
        </w:rPr>
      </w:pPr>
      <w:r w:rsidRPr="00B03A65">
        <w:t xml:space="preserve">Healthy volunteers were recruited to take part in the double-blind placebo-controlled study, MUC-SynGEM-001, according to the inclusion and exclusion criteria in Table </w:t>
      </w:r>
      <w:r w:rsidR="009B57AA">
        <w:t>E</w:t>
      </w:r>
      <w:r w:rsidRPr="00B03A65">
        <w:t xml:space="preserve">1 (clinicaltrials.gov identifier NCT02958540). Forty-eight volunteers received either placebo (phosphate buffered saline (PBS) + 2.5% glycerol) or </w:t>
      </w:r>
      <w:proofErr w:type="spellStart"/>
      <w:r w:rsidRPr="00B03A65">
        <w:t>SynGEM</w:t>
      </w:r>
      <w:proofErr w:type="spellEnd"/>
      <w:r w:rsidRPr="00B03A65">
        <w:t xml:space="preserve"> vaccine administered intranasally (125µl per nostril)</w:t>
      </w:r>
      <w:r w:rsidR="008473F0">
        <w:t xml:space="preserve"> at a ratio of 1:</w:t>
      </w:r>
      <w:r w:rsidR="000361A5">
        <w:t>3</w:t>
      </w:r>
      <w:r w:rsidRPr="00B03A65">
        <w:t xml:space="preserve">. </w:t>
      </w:r>
      <w:r w:rsidR="000361A5">
        <w:tab/>
      </w:r>
      <w:r w:rsidR="009C2269" w:rsidRPr="0074371D">
        <w:rPr>
          <w:color w:val="000000" w:themeColor="text1"/>
        </w:rPr>
        <w:t xml:space="preserve">Heat and acid </w:t>
      </w:r>
      <w:r w:rsidR="00381F7D" w:rsidRPr="0074371D">
        <w:rPr>
          <w:color w:val="000000" w:themeColor="text1"/>
        </w:rPr>
        <w:t xml:space="preserve">were </w:t>
      </w:r>
      <w:r w:rsidR="009C2269" w:rsidRPr="0074371D">
        <w:rPr>
          <w:color w:val="000000" w:themeColor="text1"/>
        </w:rPr>
        <w:t>used to treat</w:t>
      </w:r>
      <w:r w:rsidR="00A95B7B" w:rsidRPr="0074371D">
        <w:rPr>
          <w:color w:val="000000" w:themeColor="text1"/>
        </w:rPr>
        <w:t xml:space="preserve"> non-recombinant Gram positive </w:t>
      </w:r>
      <w:r w:rsidR="00A95B7B" w:rsidRPr="0074371D">
        <w:rPr>
          <w:i/>
          <w:color w:val="000000" w:themeColor="text1"/>
        </w:rPr>
        <w:t>Lactococcus lactis</w:t>
      </w:r>
      <w:r w:rsidR="009C2269" w:rsidRPr="0074371D">
        <w:rPr>
          <w:i/>
          <w:color w:val="000000" w:themeColor="text1"/>
        </w:rPr>
        <w:t>,</w:t>
      </w:r>
      <w:r w:rsidR="009C2269" w:rsidRPr="0074371D">
        <w:rPr>
          <w:color w:val="000000" w:themeColor="text1"/>
        </w:rPr>
        <w:t xml:space="preserve"> degrading internal proteins and other </w:t>
      </w:r>
      <w:r w:rsidR="00381F7D" w:rsidRPr="0074371D">
        <w:rPr>
          <w:color w:val="000000" w:themeColor="text1"/>
        </w:rPr>
        <w:t xml:space="preserve">bacterial </w:t>
      </w:r>
      <w:r w:rsidR="009C2269" w:rsidRPr="0074371D">
        <w:rPr>
          <w:color w:val="000000" w:themeColor="text1"/>
        </w:rPr>
        <w:t xml:space="preserve">components to leave particles with bacteria-like shape and size made up of peptidoglycan alone. Addition of a </w:t>
      </w:r>
      <w:proofErr w:type="spellStart"/>
      <w:r w:rsidR="009C2269" w:rsidRPr="0074371D">
        <w:rPr>
          <w:color w:val="000000" w:themeColor="text1"/>
        </w:rPr>
        <w:t>Protan</w:t>
      </w:r>
      <w:proofErr w:type="spellEnd"/>
      <w:r w:rsidR="009C2269" w:rsidRPr="0074371D">
        <w:rPr>
          <w:color w:val="000000" w:themeColor="text1"/>
        </w:rPr>
        <w:t xml:space="preserve"> tag to the recombinant RSV F protein allowed </w:t>
      </w:r>
      <w:r w:rsidR="00381F7D" w:rsidRPr="0074371D">
        <w:rPr>
          <w:color w:val="000000" w:themeColor="text1"/>
        </w:rPr>
        <w:t xml:space="preserve">covalent </w:t>
      </w:r>
      <w:r w:rsidR="009C2269" w:rsidRPr="0074371D">
        <w:rPr>
          <w:color w:val="000000" w:themeColor="text1"/>
        </w:rPr>
        <w:t xml:space="preserve">binding to the peptidoglycan shell </w:t>
      </w:r>
      <w:r w:rsidR="00381F7D" w:rsidRPr="0074371D">
        <w:rPr>
          <w:color w:val="000000" w:themeColor="text1"/>
        </w:rPr>
        <w:t xml:space="preserve">on mixing </w:t>
      </w:r>
      <w:r w:rsidR="009C2269" w:rsidRPr="0074371D">
        <w:rPr>
          <w:color w:val="000000" w:themeColor="text1"/>
        </w:rPr>
        <w:t xml:space="preserve">to form </w:t>
      </w:r>
      <w:proofErr w:type="spellStart"/>
      <w:r w:rsidR="009C2269" w:rsidRPr="0074371D">
        <w:rPr>
          <w:color w:val="000000" w:themeColor="text1"/>
        </w:rPr>
        <w:t>SynGEM</w:t>
      </w:r>
      <w:proofErr w:type="spellEnd"/>
      <w:r w:rsidR="009C2269" w:rsidRPr="0074371D">
        <w:rPr>
          <w:color w:val="000000" w:themeColor="text1"/>
        </w:rPr>
        <w:t xml:space="preserve">. </w:t>
      </w:r>
      <w:r w:rsidRPr="00B03A65">
        <w:t xml:space="preserve">The vaccine was given at 2 dose levels; a low dose, containing 140 µg of F protein and 2mg of BLP, and a high dose containing 350 µg of F protein and 5mg of BLP.  </w:t>
      </w:r>
      <w:r w:rsidRPr="00B03A65">
        <w:lastRenderedPageBreak/>
        <w:t>These were administered according to a prime-boost schedule with the boost vaccination at 28 days post-prime.</w:t>
      </w:r>
      <w:r w:rsidR="00FD677D" w:rsidRPr="00FD677D">
        <w:t xml:space="preserve"> </w:t>
      </w:r>
      <w:r w:rsidR="000361A5" w:rsidRPr="0074371D">
        <w:rPr>
          <w:color w:val="000000" w:themeColor="text1"/>
        </w:rPr>
        <w:t xml:space="preserve">The sample size of 18 </w:t>
      </w:r>
      <w:proofErr w:type="spellStart"/>
      <w:r w:rsidR="000361A5" w:rsidRPr="0074371D">
        <w:rPr>
          <w:color w:val="000000" w:themeColor="text1"/>
        </w:rPr>
        <w:t>vaccinees</w:t>
      </w:r>
      <w:proofErr w:type="spellEnd"/>
      <w:r w:rsidR="000361A5" w:rsidRPr="0074371D">
        <w:rPr>
          <w:color w:val="000000" w:themeColor="text1"/>
        </w:rPr>
        <w:t xml:space="preserve"> at each dose level was computed from the binomial distribution to result in a 98% probability of one or more adverse events being observed with a true adverse event incidence of 20%, and 84% probability with a true incidence of 10%. </w:t>
      </w:r>
      <w:r w:rsidR="004D40CD" w:rsidRPr="0074371D">
        <w:rPr>
          <w:color w:val="000000" w:themeColor="text1"/>
        </w:rPr>
        <w:t xml:space="preserve">Blood and nasal lavage were collected at study visits up to 180 days after first dosing. Nasal lavage was performed </w:t>
      </w:r>
      <w:r w:rsidR="0042492C" w:rsidRPr="0074371D">
        <w:rPr>
          <w:color w:val="000000" w:themeColor="text1"/>
        </w:rPr>
        <w:t xml:space="preserve">as previously described (9) </w:t>
      </w:r>
      <w:r w:rsidR="004D40CD" w:rsidRPr="0074371D">
        <w:rPr>
          <w:color w:val="000000" w:themeColor="text1"/>
        </w:rPr>
        <w:t xml:space="preserve">by </w:t>
      </w:r>
      <w:r w:rsidR="000A6237" w:rsidRPr="0074371D">
        <w:rPr>
          <w:color w:val="000000" w:themeColor="text1"/>
        </w:rPr>
        <w:t xml:space="preserve">introducing 5mL of normal saline into each nostril using a syringe attached to a nasal olive attachment and washing by alternately withdrawing and advancing the plunger of the syringe 10 times while maintaining a tight seal with the nostril. </w:t>
      </w:r>
      <w:r w:rsidR="000361A5" w:rsidRPr="0074371D">
        <w:rPr>
          <w:color w:val="000000" w:themeColor="text1"/>
        </w:rPr>
        <w:t>The s</w:t>
      </w:r>
      <w:r w:rsidR="00D71EEC" w:rsidRPr="0074371D">
        <w:rPr>
          <w:color w:val="000000" w:themeColor="text1"/>
        </w:rPr>
        <w:t xml:space="preserve">tudy </w:t>
      </w:r>
      <w:r w:rsidR="006D2D16" w:rsidRPr="0074371D">
        <w:rPr>
          <w:color w:val="000000" w:themeColor="text1"/>
        </w:rPr>
        <w:t xml:space="preserve">was overseen </w:t>
      </w:r>
      <w:r w:rsidR="00D71EEC" w:rsidRPr="0074371D">
        <w:rPr>
          <w:color w:val="000000" w:themeColor="text1"/>
        </w:rPr>
        <w:t xml:space="preserve">by an independent </w:t>
      </w:r>
      <w:r w:rsidR="006D2D16" w:rsidRPr="0074371D">
        <w:rPr>
          <w:color w:val="000000" w:themeColor="text1"/>
        </w:rPr>
        <w:t>Data Safety Monitoring Committee</w:t>
      </w:r>
      <w:r w:rsidR="00D71EEC" w:rsidRPr="0074371D">
        <w:rPr>
          <w:color w:val="000000" w:themeColor="text1"/>
        </w:rPr>
        <w:t>.</w:t>
      </w:r>
      <w:r w:rsidR="00866B97" w:rsidRPr="0074371D">
        <w:rPr>
          <w:color w:val="000000" w:themeColor="text1"/>
        </w:rPr>
        <w:t xml:space="preserve"> </w:t>
      </w:r>
    </w:p>
    <w:p w14:paraId="7E71F206" w14:textId="163E3EDA" w:rsidR="008E288B" w:rsidRPr="0074371D" w:rsidRDefault="008E288B" w:rsidP="008E288B">
      <w:pPr>
        <w:pStyle w:val="Paragraph"/>
        <w:spacing w:line="480" w:lineRule="auto"/>
        <w:ind w:firstLine="0"/>
        <w:jc w:val="both"/>
        <w:rPr>
          <w:color w:val="000000" w:themeColor="text1"/>
          <w:lang w:val="en-GB"/>
        </w:rPr>
      </w:pPr>
    </w:p>
    <w:p w14:paraId="41C86786" w14:textId="77777777" w:rsidR="00D71EEC" w:rsidRPr="0074371D" w:rsidRDefault="00D71EEC" w:rsidP="00D71EEC">
      <w:pPr>
        <w:pStyle w:val="Paragraph"/>
        <w:spacing w:line="480" w:lineRule="auto"/>
        <w:ind w:firstLine="0"/>
        <w:jc w:val="both"/>
        <w:rPr>
          <w:i/>
          <w:color w:val="000000" w:themeColor="text1"/>
          <w:lang w:val="en-GB"/>
        </w:rPr>
      </w:pPr>
      <w:r w:rsidRPr="0074371D">
        <w:rPr>
          <w:i/>
          <w:color w:val="000000" w:themeColor="text1"/>
          <w:lang w:val="en-GB"/>
        </w:rPr>
        <w:t>Randomisation and masking</w:t>
      </w:r>
    </w:p>
    <w:p w14:paraId="4038454A" w14:textId="77777777" w:rsidR="00D71EEC" w:rsidRPr="0074371D" w:rsidRDefault="00D71EEC" w:rsidP="00D71EEC">
      <w:pPr>
        <w:pStyle w:val="Paragraph"/>
        <w:spacing w:line="480" w:lineRule="auto"/>
        <w:ind w:firstLine="0"/>
        <w:jc w:val="both"/>
        <w:rPr>
          <w:color w:val="000000" w:themeColor="text1"/>
          <w:lang w:val="en-GB"/>
        </w:rPr>
      </w:pPr>
      <w:r w:rsidRPr="0074371D">
        <w:rPr>
          <w:color w:val="000000" w:themeColor="text1"/>
          <w:lang w:val="en-GB"/>
        </w:rPr>
        <w:t xml:space="preserve">Dose cohort allocation was sequential to the low- and then high-dose group. Participants were assigned to receive either </w:t>
      </w:r>
      <w:proofErr w:type="spellStart"/>
      <w:r w:rsidRPr="0074371D">
        <w:rPr>
          <w:color w:val="000000" w:themeColor="text1"/>
          <w:lang w:val="en-GB"/>
        </w:rPr>
        <w:t>SynGEM</w:t>
      </w:r>
      <w:proofErr w:type="spellEnd"/>
      <w:r w:rsidRPr="0074371D">
        <w:rPr>
          <w:color w:val="000000" w:themeColor="text1"/>
          <w:lang w:val="en-GB"/>
        </w:rPr>
        <w:t xml:space="preserve"> vaccine or an identical placebo by block randomisation; at each dose level, sentinel cohorts were randomised in the ratio of 1:1 in 2 blocks of 2 and remaining participants were randomised in the ratio of 4:1 in 8 blocks of 5, via a randomly generated sequence using an integer seed in the range 21-2147483649. An unmasked research nurse (with no subsequent involvement in participant follow-up) prepared and administered the vaccine in a masked syringe with </w:t>
      </w:r>
      <w:proofErr w:type="spellStart"/>
      <w:r w:rsidRPr="0074371D">
        <w:rPr>
          <w:color w:val="000000" w:themeColor="text1"/>
          <w:lang w:val="en-GB"/>
        </w:rPr>
        <w:t>Vaxinator</w:t>
      </w:r>
      <w:proofErr w:type="spellEnd"/>
      <w:r w:rsidRPr="0074371D">
        <w:rPr>
          <w:color w:val="000000" w:themeColor="text1"/>
          <w:lang w:val="en-GB"/>
        </w:rPr>
        <w:t xml:space="preserve"> device. Investigators and participants were masked to vaccine allocation until 28 days after boost vaccination. Laboratory staff were blinded for all time points (including days 120 and 180). Sealed opaque envelopes were provided for emergency code break, but none were used.</w:t>
      </w:r>
    </w:p>
    <w:p w14:paraId="6CFE0004" w14:textId="77777777" w:rsidR="00D71EEC" w:rsidRPr="0074371D" w:rsidRDefault="00D71EEC" w:rsidP="008E288B">
      <w:pPr>
        <w:pStyle w:val="Paragraph"/>
        <w:spacing w:line="480" w:lineRule="auto"/>
        <w:ind w:firstLine="0"/>
        <w:jc w:val="both"/>
        <w:rPr>
          <w:color w:val="000000" w:themeColor="text1"/>
          <w:lang w:val="en-GB"/>
        </w:rPr>
      </w:pPr>
    </w:p>
    <w:p w14:paraId="745EB927" w14:textId="340FE90A" w:rsidR="008E288B" w:rsidRPr="00FA6555" w:rsidRDefault="008C4DCE" w:rsidP="008E288B">
      <w:pPr>
        <w:pStyle w:val="Paragraph"/>
        <w:spacing w:line="480" w:lineRule="auto"/>
        <w:ind w:firstLine="0"/>
        <w:jc w:val="both"/>
        <w:rPr>
          <w:i/>
          <w:lang w:val="en-GB"/>
        </w:rPr>
      </w:pPr>
      <w:r>
        <w:rPr>
          <w:i/>
          <w:lang w:val="en-GB"/>
        </w:rPr>
        <w:lastRenderedPageBreak/>
        <w:t>Antibody assays</w:t>
      </w:r>
    </w:p>
    <w:p w14:paraId="4E31FC06" w14:textId="594918FC" w:rsidR="008E288B" w:rsidRDefault="008E288B" w:rsidP="008C4DCE">
      <w:pPr>
        <w:pStyle w:val="Paragraph"/>
        <w:spacing w:line="480" w:lineRule="auto"/>
        <w:ind w:firstLine="0"/>
        <w:jc w:val="both"/>
        <w:rPr>
          <w:lang w:val="en-GB"/>
        </w:rPr>
      </w:pPr>
      <w:r w:rsidRPr="00FA6555">
        <w:rPr>
          <w:lang w:val="en-GB"/>
        </w:rPr>
        <w:t xml:space="preserve">Anti-RSV IgG and IgA antibodies were measured using stabilized pre-fusion or </w:t>
      </w:r>
      <w:proofErr w:type="spellStart"/>
      <w:r w:rsidRPr="00FA6555">
        <w:rPr>
          <w:lang w:val="en-GB"/>
        </w:rPr>
        <w:t>unstabilized</w:t>
      </w:r>
      <w:proofErr w:type="spellEnd"/>
      <w:r w:rsidRPr="00FA6555">
        <w:rPr>
          <w:lang w:val="en-GB"/>
        </w:rPr>
        <w:t xml:space="preserve"> F protein or Ga (from RSV A) or Gb protein (from RSV B) in ELISA assays as previously described</w:t>
      </w:r>
      <w:r w:rsidR="00360BB9">
        <w:rPr>
          <w:lang w:val="en-GB"/>
        </w:rPr>
        <w:t xml:space="preserve"> </w:t>
      </w:r>
      <w:r w:rsidRPr="00FA6555">
        <w:rPr>
          <w:lang w:val="en-GB"/>
        </w:rPr>
        <w:fldChar w:fldCharType="begin"/>
      </w:r>
      <w:r w:rsidR="00094A1B">
        <w:rPr>
          <w:lang w:val="en-GB"/>
        </w:rPr>
        <w:instrText xml:space="preserve"> ADDIN ZOTERO_ITEM CSL_CITATION {"citationID":"JdwTQAJI","properties":{"formattedCitation":"(9)","plainCitation":"(9)","noteIndex":0},"citationItems":[{"id":375,"uris":["http://zotero.org/groups/2179633/items/JYZ4YDXV"],"uri":["http://zotero.org/groups/2179633/items/JYZ4YDXV"],"itemData":{"id":375,"type":"article-journal","title":"Impaired Antibody-mediated Protection and Defective IgA B-Cell Memory in Experimental Infection of Adults with Respiratory Syncytial Virus","container-title":"American Journal of Respiratory and Critical Care Medicine","page":"1040-1049","volume":"191","issue":"9","source":"atsjournals.org (Atypon)","abstract":"Rationale: Despite relative antigenic stability, respiratory syncytial virus (RSV) reinfects throughout life. After more than 40 years of research, no effective human vaccine exists and correlates of protection remain poorly defined. Most current vaccine candidates seek to induce high levels of RSV-specific serum neutralizing antibodies, which are associated with reduced RSV-related hospitalization rates in observational studies but may not actually prevent infection.Objectives: To characterize correlates of protection from infection and the generation of RSV-specific humoral memory to promote effective vaccine development.Methods: We inoculated 61 healthy adults with live RSV and studied protection from infection by serum and mucosal antibody. We analyzed RSV-specific peripheral blood plasmablast and memory B-cell frequencies and antibody longevity.Measurements and Main Results: Despite moderately high levels of preexisting serum antibody, 34 (56%) became infected, of whom 23 (68%) developed symptomatic colds. Prior RSV-specific nasal IgA correlated significantly more strongly with protection from polymerase chain reaction–confirmed infection than serum neutralizing antibody. Increases in virus-specific antibody titers were variable and transient in infected subjects but correlated with plasmablasts that peaked around Day 10. During convalescence, only IgG (and no IgA) RSV-specific memory B cells were detectable in peripheral blood. This contrasted with natural influenza infection, in which virus-specific IgA memory B cells were readily recovered.Conclusions: This observed specific defect in IgA memory may partly explain the ability of RSV to cause recurrent symptomatic infections. If so, vaccines able to induce durable RSV-specific IgA responses may be more protective than those generating systemic antibody alone.","DOI":"10.1164/rccm.201412-2256OC","ISSN":"1073-449X","journalAbbreviation":"Am J Respir Crit Care Med","author":[{"family":"Habibi","given":"Maximillian S."},{"family":"Jozwik","given":"Agnieszka"},{"family":"Makris","given":"Spyridon"},{"family":"Dunning","given":"Jake"},{"family":"Paras","given":"Allan"},{"family":"DeVincenzo","given":"John P."},{"family":"Haan","given":"Cornelis A. M.","non-dropping-particle":"de"},{"family":"Wrammert","given":"Jens"},{"family":"Openshaw","given":"Peter J. M."},{"family":"Chiu","given":"Christopher"}],"issued":{"date-parts":[["2015",3,2]]}}}],"schema":"https://github.com/citation-style-language/schema/raw/master/csl-citation.json"} </w:instrText>
      </w:r>
      <w:r w:rsidRPr="00FA6555">
        <w:rPr>
          <w:lang w:val="en-GB"/>
        </w:rPr>
        <w:fldChar w:fldCharType="separate"/>
      </w:r>
      <w:r w:rsidR="00094A1B" w:rsidRPr="00094A1B">
        <w:t>(9)</w:t>
      </w:r>
      <w:r w:rsidRPr="00FA6555">
        <w:rPr>
          <w:lang w:val="en-GB"/>
        </w:rPr>
        <w:fldChar w:fldCharType="end"/>
      </w:r>
      <w:r w:rsidR="00BC0D6F">
        <w:rPr>
          <w:lang w:val="en-GB"/>
        </w:rPr>
        <w:t>.</w:t>
      </w:r>
      <w:r w:rsidRPr="00FA6555">
        <w:rPr>
          <w:lang w:val="en-GB"/>
        </w:rPr>
        <w:t xml:space="preserve"> </w:t>
      </w:r>
      <w:r w:rsidR="008C4DCE" w:rsidRPr="00DB582F">
        <w:rPr>
          <w:lang w:val="en-GB"/>
        </w:rPr>
        <w:t>Serum</w:t>
      </w:r>
      <w:r w:rsidRPr="00FA6555">
        <w:rPr>
          <w:lang w:val="en-GB"/>
        </w:rPr>
        <w:t xml:space="preserve"> plaque reduction neutralization </w:t>
      </w:r>
      <w:proofErr w:type="spellStart"/>
      <w:r w:rsidRPr="00FA6555">
        <w:rPr>
          <w:lang w:val="en-GB"/>
        </w:rPr>
        <w:t>titer</w:t>
      </w:r>
      <w:proofErr w:type="spellEnd"/>
      <w:r w:rsidRPr="00FA6555">
        <w:rPr>
          <w:lang w:val="en-GB"/>
        </w:rPr>
        <w:t xml:space="preserve"> (PRNT) assays </w:t>
      </w:r>
      <w:r w:rsidR="008C4DCE">
        <w:rPr>
          <w:lang w:val="en-GB"/>
        </w:rPr>
        <w:t xml:space="preserve">were </w:t>
      </w:r>
      <w:r w:rsidRPr="00FA6555">
        <w:rPr>
          <w:lang w:val="en-GB"/>
        </w:rPr>
        <w:t xml:space="preserve">performed at </w:t>
      </w:r>
      <w:proofErr w:type="spellStart"/>
      <w:r w:rsidRPr="00FA6555">
        <w:rPr>
          <w:lang w:val="en-GB"/>
        </w:rPr>
        <w:t>Viroclinics</w:t>
      </w:r>
      <w:proofErr w:type="spellEnd"/>
      <w:r w:rsidRPr="00FA6555">
        <w:rPr>
          <w:lang w:val="en-GB"/>
        </w:rPr>
        <w:t xml:space="preserve"> Biosciences, Rotterdam, The Netherlands, as previously described</w:t>
      </w:r>
      <w:r w:rsidR="00360BB9">
        <w:rPr>
          <w:lang w:val="en-GB"/>
        </w:rPr>
        <w:t xml:space="preserve"> </w:t>
      </w:r>
      <w:r w:rsidRPr="00FA6555">
        <w:rPr>
          <w:lang w:val="en-GB"/>
        </w:rPr>
        <w:fldChar w:fldCharType="begin"/>
      </w:r>
      <w:r w:rsidR="00094A1B">
        <w:rPr>
          <w:lang w:val="en-GB"/>
        </w:rPr>
        <w:instrText xml:space="preserve"> ADDIN ZOTERO_ITEM CSL_CITATION {"citationID":"0zZP08jI","properties":{"formattedCitation":"(14)","plainCitation":"(14)","noteIndex":0},"citationItems":[{"id":"35rDZLyI/qJEY0Yrw","uris":["http://zotero.org/users/837702/items/Z3WQIE33"],"uri":["http://zotero.org/users/837702/items/Z3WQIE33"],"itemData":{"id":2216,"type":"article-journal","title":"Group and genotype specific neutralising antibody responses against respiratory syncytial virus (RSV) in infants and young children with severe pneumonia","container-title":"Journal of Infectious Diseases","source":"jid.oxfordjournals.org","URL":"http://jid.oxfordjournals.org/content/early/2012/11/20/infdis.jis700","DOI":"10.1093/infdis/jis700","ISSN":"0022-1899, 1537-6613","journalAbbreviation":"J Infect Dis.","language":"en","author":[{"family":"Sande","given":"Charles J."},{"family":"Mutunga","given":"Martin N."},{"family":"Medley","given":"Graham F."},{"family":"Cane","given":"Patricia A."},{"family":"Nokes","given":"D. James"}],"issued":{"date-parts":[["2012",11,21]]},"accessed":{"date-parts":[["2012",11,27]]}}}],"schema":"https://github.com/citation-style-language/schema/raw/master/csl-citation.json"} </w:instrText>
      </w:r>
      <w:r w:rsidRPr="00FA6555">
        <w:rPr>
          <w:lang w:val="en-GB"/>
        </w:rPr>
        <w:fldChar w:fldCharType="separate"/>
      </w:r>
      <w:r w:rsidR="00094A1B" w:rsidRPr="00094A1B">
        <w:t>(14)</w:t>
      </w:r>
      <w:r w:rsidRPr="00FA6555">
        <w:rPr>
          <w:lang w:val="en-GB"/>
        </w:rPr>
        <w:fldChar w:fldCharType="end"/>
      </w:r>
      <w:r w:rsidR="00BC0D6F">
        <w:rPr>
          <w:lang w:val="en-GB"/>
        </w:rPr>
        <w:t>.</w:t>
      </w:r>
      <w:r w:rsidRPr="00FA6555">
        <w:rPr>
          <w:lang w:val="en-GB"/>
        </w:rPr>
        <w:t xml:space="preserve"> Palivizumab- and D25-competing antibodies were quantified in serum by competition ELISA. </w:t>
      </w:r>
      <w:r w:rsidR="008C4DCE">
        <w:rPr>
          <w:lang w:val="en-GB"/>
        </w:rPr>
        <w:t xml:space="preserve">See online data supplement for additional detail. </w:t>
      </w:r>
    </w:p>
    <w:p w14:paraId="2CFFBEC3" w14:textId="77777777" w:rsidR="008C4DCE" w:rsidRPr="00FA6555" w:rsidRDefault="008C4DCE" w:rsidP="00DB582F">
      <w:pPr>
        <w:pStyle w:val="Paragraph"/>
        <w:spacing w:line="480" w:lineRule="auto"/>
        <w:ind w:firstLine="0"/>
        <w:jc w:val="both"/>
        <w:rPr>
          <w:lang w:val="en-GB"/>
        </w:rPr>
      </w:pPr>
    </w:p>
    <w:p w14:paraId="6E9E6066" w14:textId="64505D1A" w:rsidR="008E288B" w:rsidRPr="00FA6555" w:rsidRDefault="008C4DCE" w:rsidP="008E288B">
      <w:pPr>
        <w:pStyle w:val="Paragraph"/>
        <w:spacing w:line="480" w:lineRule="auto"/>
        <w:ind w:firstLine="0"/>
        <w:jc w:val="both"/>
        <w:rPr>
          <w:i/>
          <w:lang w:val="en-GB"/>
        </w:rPr>
      </w:pPr>
      <w:r>
        <w:rPr>
          <w:i/>
          <w:lang w:val="en-GB"/>
        </w:rPr>
        <w:t>Antibody-secreting cell quantification</w:t>
      </w:r>
    </w:p>
    <w:p w14:paraId="4CE50A50" w14:textId="09FB29FD" w:rsidR="008E288B" w:rsidRPr="00FA6555" w:rsidRDefault="008C4DCE" w:rsidP="008E288B">
      <w:pPr>
        <w:pStyle w:val="Paragraph"/>
        <w:spacing w:line="480" w:lineRule="auto"/>
        <w:ind w:firstLine="0"/>
        <w:jc w:val="both"/>
        <w:rPr>
          <w:lang w:val="en-GB"/>
        </w:rPr>
      </w:pPr>
      <w:r w:rsidRPr="00FA6555">
        <w:rPr>
          <w:lang w:val="en-GB"/>
        </w:rPr>
        <w:t xml:space="preserve">Flow cytometry analysis was performed using heparinized whole blood with anti-CD19 FITC, anti-CD27 APC, anti-CD38 PE and anti-CD3/anti-CD20 both on PE-CF594 (BD Biosciences) run on a </w:t>
      </w:r>
      <w:proofErr w:type="spellStart"/>
      <w:r w:rsidRPr="00FA6555">
        <w:rPr>
          <w:lang w:val="en-GB"/>
        </w:rPr>
        <w:t>Fortessa</w:t>
      </w:r>
      <w:proofErr w:type="spellEnd"/>
      <w:r w:rsidRPr="00FA6555">
        <w:rPr>
          <w:lang w:val="en-GB"/>
        </w:rPr>
        <w:t xml:space="preserve"> flow cytometer (BD Biosciences) and </w:t>
      </w:r>
      <w:proofErr w:type="spellStart"/>
      <w:r w:rsidRPr="00FA6555">
        <w:rPr>
          <w:lang w:val="en-GB"/>
        </w:rPr>
        <w:t>analyzed</w:t>
      </w:r>
      <w:proofErr w:type="spellEnd"/>
      <w:r w:rsidRPr="00FA6555">
        <w:rPr>
          <w:lang w:val="en-GB"/>
        </w:rPr>
        <w:t xml:space="preserve"> with </w:t>
      </w:r>
      <w:proofErr w:type="spellStart"/>
      <w:r w:rsidRPr="00FA6555">
        <w:rPr>
          <w:lang w:val="en-GB"/>
        </w:rPr>
        <w:t>FlowJo</w:t>
      </w:r>
      <w:proofErr w:type="spellEnd"/>
      <w:r w:rsidRPr="00FA6555">
        <w:rPr>
          <w:lang w:val="en-GB"/>
        </w:rPr>
        <w:t xml:space="preserve"> software. </w:t>
      </w:r>
      <w:r>
        <w:rPr>
          <w:lang w:val="en-GB"/>
        </w:rPr>
        <w:t>A</w:t>
      </w:r>
      <w:r w:rsidR="008E288B" w:rsidRPr="00FA6555">
        <w:rPr>
          <w:lang w:val="en-GB"/>
        </w:rPr>
        <w:t xml:space="preserve">ntibody-secreting cells (ASCs) were quantified using enzyme-linked </w:t>
      </w:r>
      <w:proofErr w:type="spellStart"/>
      <w:r w:rsidR="008E288B" w:rsidRPr="00FA6555">
        <w:rPr>
          <w:lang w:val="en-GB"/>
        </w:rPr>
        <w:t>immunospot</w:t>
      </w:r>
      <w:proofErr w:type="spellEnd"/>
      <w:r w:rsidR="008E288B" w:rsidRPr="00FA6555">
        <w:rPr>
          <w:lang w:val="en-GB"/>
        </w:rPr>
        <w:t xml:space="preserve"> (ELISpot) assays as previously described</w:t>
      </w:r>
      <w:r w:rsidR="00360BB9">
        <w:rPr>
          <w:lang w:val="en-GB"/>
        </w:rPr>
        <w:t xml:space="preserve"> </w:t>
      </w:r>
      <w:r w:rsidR="008E288B" w:rsidRPr="00FA6555">
        <w:rPr>
          <w:lang w:val="en-GB"/>
        </w:rPr>
        <w:fldChar w:fldCharType="begin"/>
      </w:r>
      <w:r w:rsidR="00094A1B">
        <w:rPr>
          <w:lang w:val="en-GB"/>
        </w:rPr>
        <w:instrText xml:space="preserve"> ADDIN ZOTERO_ITEM CSL_CITATION {"citationID":"JdIlBDjR","properties":{"formattedCitation":"(15)","plainCitation":"(15)","noteIndex":0},"citationItems":[{"id":"35rDZLyI/BwcohFLe","uris":["http://zotero.org/users/837702/items/N7G57DKF"],"uri":["http://zotero.org/users/837702/items/N7G57DKF"],"itemData":{"id":8182,"type":"article-journal","title":"Enzyme-linked immunospot assays for direct ex vivo measurement of vaccine-induced human humoral immune responses in blood","container-title":"Nature Protocols","page":"1073-1087","volume":"8","issue":"6","source":"www.nature.com","abstract":"The enzyme-linked immunospot (ELISPOT) assay was originally developed to enumerate antigen-specific antibody-secreting cells (ASCs), and has subsequently been adapted for various applications, including the detection cytokine-secreting cells. Owing to its exceptionally high sensitivity, the ELISPOT has proven to be especially useful for detecting discrete populations of active cells (e.g., antigen-specific cells). Because of its versatility, the ELISPOT assay is used for a wide range of applications, including clonal analyses of immune responses after vaccination or after immunotherapy. Here we describe standard protocols for the detection of human ASCs specific to virtually any vaccine antigen after enrichment of circulating plasmablasts. In addition, a protocol is described for the measurement of mucosal ASC responses after prior immunomagnetic enrichment of mucosally derived blood lymphocytes. The protocols described allow rapid (</w:instrText>
      </w:r>
      <w:r w:rsidR="00094A1B">
        <w:rPr>
          <w:rFonts w:ascii="Cambria Math" w:hAnsi="Cambria Math" w:cs="Cambria Math"/>
          <w:lang w:val="en-GB"/>
        </w:rPr>
        <w:instrText>∼</w:instrText>
      </w:r>
      <w:r w:rsidR="00094A1B">
        <w:rPr>
          <w:lang w:val="en-GB"/>
        </w:rPr>
        <w:instrText xml:space="preserve">6–8 h) detection of specific ASCs in small (1–2 ml) samples of blood and can be performed in resource-poor settings.","DOI":"10.1038/nprot.2013.058","ISSN":"1754-2189","journalAbbreviation":"Nat. Protocols","language":"en","author":[{"family":"Saletti","given":"Giulietta"},{"family":"Çuburu","given":"Nicolas"},{"family":"Yang","given":"Jae Seung"},{"family":"Dey","given":"Ayan"},{"family":"Czerkinsky","given":"Cecil"}],"issued":{"date-parts":[["2013",6]]}}}],"schema":"https://github.com/citation-style-language/schema/raw/master/csl-citation.json"} </w:instrText>
      </w:r>
      <w:r w:rsidR="008E288B" w:rsidRPr="00FA6555">
        <w:rPr>
          <w:lang w:val="en-GB"/>
        </w:rPr>
        <w:fldChar w:fldCharType="separate"/>
      </w:r>
      <w:r w:rsidR="00094A1B" w:rsidRPr="00094A1B">
        <w:t>(15)</w:t>
      </w:r>
      <w:r w:rsidR="008E288B" w:rsidRPr="00FA6555">
        <w:rPr>
          <w:lang w:val="en-GB"/>
        </w:rPr>
        <w:fldChar w:fldCharType="end"/>
      </w:r>
      <w:r w:rsidR="00BC0D6F">
        <w:rPr>
          <w:lang w:val="en-GB"/>
        </w:rPr>
        <w:t>.</w:t>
      </w:r>
      <w:r w:rsidR="008E288B" w:rsidRPr="00FA6555">
        <w:rPr>
          <w:lang w:val="en-GB"/>
        </w:rPr>
        <w:t xml:space="preserve"> Spots were counted using an automated ELISpot reader (AID), and results expressed as spot forming cells per million PBMCs.</w:t>
      </w:r>
    </w:p>
    <w:p w14:paraId="09C97037" w14:textId="77777777" w:rsidR="008E288B" w:rsidRPr="00FA6555" w:rsidRDefault="008E288B" w:rsidP="008E288B">
      <w:pPr>
        <w:pStyle w:val="Paragraph"/>
        <w:spacing w:line="480" w:lineRule="auto"/>
        <w:jc w:val="both"/>
        <w:rPr>
          <w:lang w:val="en-GB"/>
        </w:rPr>
      </w:pPr>
    </w:p>
    <w:p w14:paraId="64F35D7C" w14:textId="77777777" w:rsidR="008E288B" w:rsidRPr="00FA6555" w:rsidRDefault="008E288B" w:rsidP="008E288B">
      <w:pPr>
        <w:pStyle w:val="Paragraph"/>
        <w:spacing w:line="480" w:lineRule="auto"/>
        <w:ind w:firstLine="0"/>
        <w:jc w:val="both"/>
        <w:rPr>
          <w:i/>
          <w:lang w:val="en-GB"/>
        </w:rPr>
      </w:pPr>
      <w:r w:rsidRPr="00FA6555">
        <w:rPr>
          <w:i/>
          <w:lang w:val="en-GB"/>
        </w:rPr>
        <w:t xml:space="preserve">Measurement of antibodies and cytokines in </w:t>
      </w:r>
      <w:proofErr w:type="spellStart"/>
      <w:r w:rsidRPr="00FA6555">
        <w:rPr>
          <w:i/>
          <w:lang w:val="en-GB"/>
        </w:rPr>
        <w:t>adenotonsillar</w:t>
      </w:r>
      <w:proofErr w:type="spellEnd"/>
      <w:r w:rsidRPr="00FA6555">
        <w:rPr>
          <w:i/>
          <w:lang w:val="en-GB"/>
        </w:rPr>
        <w:t xml:space="preserve"> cell culture supernatants</w:t>
      </w:r>
    </w:p>
    <w:p w14:paraId="74C9ED2E" w14:textId="02FC18B4" w:rsidR="008E288B" w:rsidRPr="00FA6555" w:rsidRDefault="004F536C" w:rsidP="008E288B">
      <w:pPr>
        <w:pStyle w:val="Paragraph"/>
        <w:spacing w:line="480" w:lineRule="auto"/>
        <w:ind w:firstLine="0"/>
        <w:jc w:val="both"/>
        <w:rPr>
          <w:lang w:val="en-GB"/>
        </w:rPr>
      </w:pPr>
      <w:proofErr w:type="spellStart"/>
      <w:r w:rsidRPr="0074371D">
        <w:rPr>
          <w:color w:val="000000" w:themeColor="text1"/>
          <w:lang w:val="en-GB"/>
        </w:rPr>
        <w:t>Adenotonsillar</w:t>
      </w:r>
      <w:proofErr w:type="spellEnd"/>
      <w:r w:rsidRPr="0074371D">
        <w:rPr>
          <w:color w:val="000000" w:themeColor="text1"/>
          <w:lang w:val="en-GB"/>
        </w:rPr>
        <w:t xml:space="preserve"> tissues were obtained from a separate </w:t>
      </w:r>
      <w:r w:rsidR="001E530D" w:rsidRPr="0074371D">
        <w:rPr>
          <w:color w:val="000000" w:themeColor="text1"/>
          <w:lang w:val="en-GB"/>
        </w:rPr>
        <w:t xml:space="preserve">cohort </w:t>
      </w:r>
      <w:r w:rsidRPr="0074371D">
        <w:rPr>
          <w:color w:val="000000" w:themeColor="text1"/>
          <w:lang w:val="en-GB"/>
        </w:rPr>
        <w:t>of non-vaccinated patients undergoing elective tonsillectomy</w:t>
      </w:r>
      <w:r w:rsidR="001E530D" w:rsidRPr="0074371D">
        <w:rPr>
          <w:color w:val="000000" w:themeColor="text1"/>
          <w:lang w:val="en-GB"/>
        </w:rPr>
        <w:t xml:space="preserve"> from whom informed consent was obtained </w:t>
      </w:r>
      <w:r w:rsidR="001E530D" w:rsidRPr="00FA6555">
        <w:rPr>
          <w:lang w:val="en-GB"/>
        </w:rPr>
        <w:t>(</w:t>
      </w:r>
      <w:r w:rsidR="001E530D">
        <w:rPr>
          <w:lang w:val="en-GB"/>
        </w:rPr>
        <w:t xml:space="preserve">ethics </w:t>
      </w:r>
      <w:r w:rsidR="001E530D" w:rsidRPr="00FA6555">
        <w:rPr>
          <w:lang w:val="en-GB"/>
        </w:rPr>
        <w:t>reference 14/SS/1058)</w:t>
      </w:r>
      <w:r w:rsidRPr="004F536C">
        <w:rPr>
          <w:color w:val="FF0000"/>
          <w:lang w:val="en-GB"/>
        </w:rPr>
        <w:t xml:space="preserve">. </w:t>
      </w:r>
      <w:r w:rsidR="008E288B" w:rsidRPr="00FA6555">
        <w:rPr>
          <w:lang w:val="en-GB"/>
        </w:rPr>
        <w:t xml:space="preserve">Mononuclear cells (MNC) were isolated from </w:t>
      </w:r>
      <w:proofErr w:type="spellStart"/>
      <w:r w:rsidR="008E288B" w:rsidRPr="00FA6555">
        <w:rPr>
          <w:lang w:val="en-GB"/>
        </w:rPr>
        <w:t>adenotonsillar</w:t>
      </w:r>
      <w:proofErr w:type="spellEnd"/>
      <w:r w:rsidR="008E288B" w:rsidRPr="00FA6555">
        <w:rPr>
          <w:lang w:val="en-GB"/>
        </w:rPr>
        <w:t xml:space="preserve"> tissues and cultured, </w:t>
      </w:r>
      <w:r w:rsidR="00D62D32">
        <w:rPr>
          <w:lang w:val="en-GB"/>
        </w:rPr>
        <w:t xml:space="preserve">as </w:t>
      </w:r>
      <w:r w:rsidR="008E288B" w:rsidRPr="00FA6555">
        <w:rPr>
          <w:lang w:val="en-GB"/>
        </w:rPr>
        <w:t>described previously</w:t>
      </w:r>
      <w:r w:rsidR="00360BB9">
        <w:rPr>
          <w:lang w:val="en-GB"/>
        </w:rPr>
        <w:t xml:space="preserve"> </w:t>
      </w:r>
      <w:r w:rsidR="008E288B" w:rsidRPr="00FA6555">
        <w:rPr>
          <w:lang w:val="en-GB"/>
        </w:rPr>
        <w:fldChar w:fldCharType="begin"/>
      </w:r>
      <w:r w:rsidR="00094A1B">
        <w:rPr>
          <w:lang w:val="en-GB"/>
        </w:rPr>
        <w:instrText xml:space="preserve"> ADDIN ZOTERO_ITEM CSL_CITATION {"citationID":"bbSvYQbe","properties":{"formattedCitation":"(16)","plainCitation":"(16)","noteIndex":0},"citationItems":[{"id":"35rDZLyI/2O6RL65W","uris":["http://zotero.org/users/837702/items/4BKF7SYM"],"uri":["http://zotero.org/users/837702/items/4BKF7SYM"],"itemData":{"id":12818,"type":"article-journal","title":"Activation and Induction of Antigen-Specific T Follicular Helper Cells Play a Critical Role in Live-Attenuated Influenza Vaccine-Induced Human Mucosal Anti-influenza Antibody Response","container-title":"Journal of Virology","page":"e00114-18","volume":"92","issue":"11","source":"jvi.asm.org","abstract":"There is increasing interest recently in developing intranasal vaccines against respiratory tract infections. The antibody response is critical for vaccine-induced protection, and T follicular helper cells (TFH) are considered important for mediating the antibody response. Most data supporting the role for TFH in the antibody response are from animal studies, and direct evidence from humans is limited, apart from the presence of TFH-like cells in blood. We studied the activation and induction of TFH and their role in the anti-influenza antibody response induced by a live-attenuated influenza vaccine (LAIV) in human nasopharynx-associated lymphoid tissue (NALT). TFH activation in adenotonsillar tissues was analyzed by flow cytometry, and anti-hemagglutinin (anti-HA) antibodies were examined following LAIV stimulation of tonsillar mononuclear cells (MNC). Induction of antigen-specific TFH by LAIV was studied by flow cytometry analysis of induced TFH and CD154 expression. LAIV induced TFH proliferation, which correlated with anti-HA antibody production, and TFH were shown to be critical for the antibody response. Induction of TFH from naive T cells by LAIV was shown in newly induced TFH expressing BCL6 and CD21, followed by the detection of anti-HA antibodies. Antigen specificity of LAIV-induced TFH was demonstrated by expression of the antigen-specific T cell activation marker CD154 upon challenge by H1N1 virus antigen or HA. LAIV-induced TFH differentiation was inhibited by BCL6, interleukin-21 (IL-21), ICOS, and CD40 signaling blocking, and that diminished anti-HA antibody production. In conclusion, we demonstrated the induction by LAIV of antigen-specific TFH in human NALT that provide critical support for the anti-influenza antibody response. Promoting antigen-specific TFH in NALT by use of intranasal vaccines may provide an effective vaccination strategy against respiratory infections in humans.\nIMPORTANCE Airway infections, such as influenza, are common in humans. Intranasal vaccination has been considered a biologically relevant and effective way of immunization against airway infection. The vaccine-induced antibody response is crucial for protection against infection. Recent data from animal studies suggest that one type of T cells, TFH, are important for the antibody response. However, data on whether TFH-mediated help for antibody production operates in humans are limited due to the lack of access to human immune tissue containing TFH. In this study, we demonstrate the induction of TFH in human immune tissue, providing critical support for the anti-influenza antibody response, by use of an intranasal influenza vaccine. Our findings provide direct evidence that TFH play a critical role in vaccine-induced immunity in humans and suggest a novel strategy for promoting such cells by use of intranasal vaccines against respiratory infections.","DOI":"10.1128/JVI.00114-18","ISSN":"0022-538X, 1098-5514","note":"PMID: 29563292","journalAbbreviation":"J. Virol.","language":"en","author":[{"family":"Aljurayyan","given":"Abdullah"},{"family":"Puksuriwong","given":"Suttida"},{"family":"Ahmed","given":"Muhammad"},{"family":"Sharma","given":"Ravi"},{"family":"Krishnan","given":"Madhan"},{"family":"Sood","given":"Salil"},{"family":"Davies","given":"Katherine"},{"family":"Rajashekar","given":"Devika"},{"family":"Leong","given":"Sam"},{"family":"McNamara","given":"Paul S."},{"family":"Gordon","given":"Stephen"},{"family":"Zhang","given":"Qibo"}],"issued":{"date-parts":[["2018",6,1]]}}}],"schema":"https://github.com/citation-style-language/schema/raw/master/csl-citation.json"} </w:instrText>
      </w:r>
      <w:r w:rsidR="008E288B" w:rsidRPr="00FA6555">
        <w:rPr>
          <w:lang w:val="en-GB"/>
        </w:rPr>
        <w:fldChar w:fldCharType="separate"/>
      </w:r>
      <w:r w:rsidR="00094A1B" w:rsidRPr="00094A1B">
        <w:t>(16)</w:t>
      </w:r>
      <w:r w:rsidR="008E288B" w:rsidRPr="00FA6555">
        <w:rPr>
          <w:lang w:val="en-GB"/>
        </w:rPr>
        <w:fldChar w:fldCharType="end"/>
      </w:r>
      <w:r w:rsidR="00BC0D6F">
        <w:rPr>
          <w:lang w:val="en-GB"/>
        </w:rPr>
        <w:t>.</w:t>
      </w:r>
      <w:r w:rsidR="008E288B" w:rsidRPr="00FA6555">
        <w:rPr>
          <w:lang w:val="en-GB"/>
        </w:rPr>
        <w:t xml:space="preserve"> </w:t>
      </w:r>
      <w:proofErr w:type="spellStart"/>
      <w:r w:rsidR="008E288B" w:rsidRPr="00FA6555">
        <w:rPr>
          <w:lang w:val="en-GB"/>
        </w:rPr>
        <w:t>Adenotonsillar</w:t>
      </w:r>
      <w:proofErr w:type="spellEnd"/>
      <w:r w:rsidR="008E288B" w:rsidRPr="00FA6555">
        <w:rPr>
          <w:lang w:val="en-GB"/>
        </w:rPr>
        <w:t xml:space="preserve"> MNC were co-cultured with </w:t>
      </w:r>
      <w:proofErr w:type="spellStart"/>
      <w:r w:rsidR="008E288B" w:rsidRPr="00FA6555">
        <w:rPr>
          <w:lang w:val="en-GB"/>
        </w:rPr>
        <w:t>SynGEM</w:t>
      </w:r>
      <w:proofErr w:type="spellEnd"/>
      <w:r w:rsidR="008E288B" w:rsidRPr="00FA6555">
        <w:rPr>
          <w:lang w:val="en-GB"/>
        </w:rPr>
        <w:t xml:space="preserve"> BLP-F with F-protein concentration at 1µg/mL or 5µg/mL, BLP alone (25µg/mL) and F-Protein alone (1µg/mL) or </w:t>
      </w:r>
      <w:r w:rsidR="008E288B" w:rsidRPr="00FA6555">
        <w:rPr>
          <w:lang w:val="en-GB"/>
        </w:rPr>
        <w:lastRenderedPageBreak/>
        <w:t>medium. Cell culture supernatants were harvested at day 12 and F protein-specific antibodies were measured by ELISA as described previously</w:t>
      </w:r>
      <w:r w:rsidR="00360BB9">
        <w:rPr>
          <w:lang w:val="en-GB"/>
        </w:rPr>
        <w:t xml:space="preserve"> </w:t>
      </w:r>
      <w:r w:rsidR="008E288B" w:rsidRPr="00FA6555">
        <w:rPr>
          <w:lang w:val="en-GB"/>
        </w:rPr>
        <w:fldChar w:fldCharType="begin"/>
      </w:r>
      <w:r w:rsidR="00094A1B">
        <w:rPr>
          <w:lang w:val="en-GB"/>
        </w:rPr>
        <w:instrText xml:space="preserve"> ADDIN ZOTERO_ITEM CSL_CITATION {"citationID":"pRwsUnIH","properties":{"formattedCitation":"(17)","plainCitation":"(17)","noteIndex":0},"citationItems":[{"id":"35rDZLyI/K0AsLm2R","uris":["http://zotero.org/users/837702/items/ITBBFFE9"],"uri":["http://zotero.org/users/837702/items/ITBBFFE9"],"itemData":{"id":8178,"type":"article-journal","title":"Activation of cross-reactive mucosal T and B cell responses in human nasopharynx-associated lymphoid tissue in vitro by Modified Vaccinia Ankara-vectored influenza vaccines","container-title":"Vaccine","page":"1688-1695","volume":"34","issue":"14","source":"ScienceDirect","abstract":"Recent efforts have been focused on the development of vaccines that could induce broad immunity against influenza virus, either through T cell responses to conserved internal antigens or B cell response to cross-reactive haemagglutinin (HA). We studied the capacity of Modified Vaccinia Ankara (MVA)-vectored influenza vaccines to induce cross-reactive immunity to influenza virus in human nasopharynx-associated lymphoid tissue (NALT) in vitro. Adenotonsillar cells were isolated and stimulated with MVA vaccines expressing either conserved nucleoprotein (NP) and matrix protein 1 (M1) (MVA-NP-M1) or pandemic H1N1 HA (MVA-pdmH1HA). The MVA vaccine uptake and expression, and T and B cell responses were analyzed. MVA-vectored vaccines were highly efficient infecting NALT and vaccine antigens were highly expressed by B cells. MVA-NP-M1 elicited T cell response with greater numbers of IFNγ-producing CD4+ T cells and tissue-resident memory T cells than controls. MVA-pdmH1HA induced cross-reactive anti-HA antibodies to a number of influenza subtypes, in an age-dependent manner. The cross-reactive antibodies include anti-avian H5N1 and mainly target HA2 domain. Conclusion: MVA vaccines are efficient in infecting NALT and the vaccine antigen is highly expressed by B cells. MVA vaccines expressing conserved influenza antigens induce cross-reactive T and B cell responses in human NALT in vitro, suggesting the potential as mucosal vaccines for broader immunity against influenza.","DOI":"10.1016/j.vaccine.2016.02.028","ISSN":"0264-410X","journalAbbreviation":"Vaccine","author":[{"family":"Mullin","given":"Jennifer"},{"family":"Ahmed","given":"Muhammed S."},{"family":"Sharma","given":"Ravi"},{"family":"Upile","given":"Navdeep"},{"family":"Beer","given":"Helen"},{"family":"Achar","given":"Priya"},{"family":"Puksuriwong","given":"Suttida"},{"family":"Ferrara","given":"Francesca"},{"family":"Temperton","given":"Nigel"},{"family":"McNamara","given":"Paul"},{"family":"Lambe","given":"Teresa"},{"family":"Gilbert","given":"Sarah C."},{"family":"Zhang","given":"Qibo"}],"issued":{"date-parts":[["2016",3,29]]}}}],"schema":"https://github.com/citation-style-language/schema/raw/master/csl-citation.json"} </w:instrText>
      </w:r>
      <w:r w:rsidR="008E288B" w:rsidRPr="00FA6555">
        <w:rPr>
          <w:lang w:val="en-GB"/>
        </w:rPr>
        <w:fldChar w:fldCharType="separate"/>
      </w:r>
      <w:r w:rsidR="00094A1B" w:rsidRPr="00094A1B">
        <w:t>(17)</w:t>
      </w:r>
      <w:r w:rsidR="008E288B" w:rsidRPr="00FA6555">
        <w:rPr>
          <w:lang w:val="en-GB"/>
        </w:rPr>
        <w:fldChar w:fldCharType="end"/>
      </w:r>
      <w:r w:rsidR="00BC0D6F">
        <w:rPr>
          <w:lang w:val="en-GB"/>
        </w:rPr>
        <w:t>.</w:t>
      </w:r>
      <w:r w:rsidR="008E288B" w:rsidRPr="00FA6555">
        <w:rPr>
          <w:lang w:val="en-GB"/>
        </w:rPr>
        <w:t xml:space="preserve"> </w:t>
      </w:r>
    </w:p>
    <w:p w14:paraId="019D02B6" w14:textId="6C5AD3FC" w:rsidR="008E288B" w:rsidRPr="00FA6555" w:rsidRDefault="008E288B" w:rsidP="008E288B">
      <w:pPr>
        <w:pStyle w:val="Paragraph"/>
        <w:spacing w:line="480" w:lineRule="auto"/>
        <w:ind w:firstLine="0"/>
        <w:jc w:val="both"/>
        <w:rPr>
          <w:lang w:val="en-GB"/>
        </w:rPr>
      </w:pPr>
      <w:r w:rsidRPr="00FA6555">
        <w:rPr>
          <w:lang w:val="en-GB"/>
        </w:rPr>
        <w:t xml:space="preserve">Following stimulation of </w:t>
      </w:r>
      <w:proofErr w:type="spellStart"/>
      <w:r w:rsidRPr="00FA6555">
        <w:rPr>
          <w:lang w:val="en-GB"/>
        </w:rPr>
        <w:t>adenotonsillar</w:t>
      </w:r>
      <w:proofErr w:type="spellEnd"/>
      <w:r w:rsidRPr="00FA6555">
        <w:rPr>
          <w:lang w:val="en-GB"/>
        </w:rPr>
        <w:t xml:space="preserve"> MNC for 3 days with the </w:t>
      </w:r>
      <w:proofErr w:type="spellStart"/>
      <w:r w:rsidRPr="00FA6555">
        <w:rPr>
          <w:lang w:val="en-GB"/>
        </w:rPr>
        <w:t>SynGEM</w:t>
      </w:r>
      <w:proofErr w:type="spellEnd"/>
      <w:r w:rsidRPr="00FA6555">
        <w:rPr>
          <w:lang w:val="en-GB"/>
        </w:rPr>
        <w:t xml:space="preserve"> BLP-F </w:t>
      </w:r>
      <w:r w:rsidR="0099115C">
        <w:rPr>
          <w:lang w:val="en-GB"/>
        </w:rPr>
        <w:t>(</w:t>
      </w:r>
      <w:r w:rsidRPr="00FA6555">
        <w:rPr>
          <w:lang w:val="en-GB"/>
        </w:rPr>
        <w:t>5µg/mL</w:t>
      </w:r>
      <w:r w:rsidR="0099115C">
        <w:rPr>
          <w:lang w:val="en-GB"/>
        </w:rPr>
        <w:t>)</w:t>
      </w:r>
      <w:r w:rsidRPr="00FA6555">
        <w:rPr>
          <w:lang w:val="en-GB"/>
        </w:rPr>
        <w:t xml:space="preserve">, culture supernatants were </w:t>
      </w:r>
      <w:r w:rsidR="0099115C">
        <w:rPr>
          <w:lang w:val="en-GB"/>
        </w:rPr>
        <w:t>analysed</w:t>
      </w:r>
      <w:r w:rsidRPr="00FA6555">
        <w:rPr>
          <w:lang w:val="en-GB"/>
        </w:rPr>
        <w:t xml:space="preserve"> using cytometric bead array </w:t>
      </w:r>
      <w:r w:rsidR="008A4889">
        <w:rPr>
          <w:lang w:val="en-GB"/>
        </w:rPr>
        <w:t>for</w:t>
      </w:r>
      <w:r w:rsidRPr="00FA6555">
        <w:rPr>
          <w:lang w:val="en-GB"/>
        </w:rPr>
        <w:t xml:space="preserve"> cytokines (</w:t>
      </w:r>
      <w:proofErr w:type="spellStart"/>
      <w:r w:rsidRPr="00FA6555">
        <w:rPr>
          <w:lang w:val="en-GB"/>
        </w:rPr>
        <w:t>LEGENDplexTM</w:t>
      </w:r>
      <w:proofErr w:type="spellEnd"/>
      <w:r w:rsidRPr="00FA6555">
        <w:rPr>
          <w:lang w:val="en-GB"/>
        </w:rPr>
        <w:t xml:space="preserve">, </w:t>
      </w:r>
      <w:proofErr w:type="spellStart"/>
      <w:r w:rsidRPr="00FA6555">
        <w:rPr>
          <w:lang w:val="en-GB"/>
        </w:rPr>
        <w:t>Biolegend</w:t>
      </w:r>
      <w:proofErr w:type="spellEnd"/>
      <w:r w:rsidRPr="00FA6555">
        <w:rPr>
          <w:lang w:val="en-GB"/>
        </w:rPr>
        <w:t xml:space="preserve">, UK) following manufacturer’s instructions. T cell responses in </w:t>
      </w:r>
      <w:proofErr w:type="spellStart"/>
      <w:r w:rsidRPr="00FA6555">
        <w:rPr>
          <w:lang w:val="en-GB"/>
        </w:rPr>
        <w:t>adenotonsillar</w:t>
      </w:r>
      <w:proofErr w:type="spellEnd"/>
      <w:r w:rsidRPr="00FA6555">
        <w:rPr>
          <w:lang w:val="en-GB"/>
        </w:rPr>
        <w:t xml:space="preserve"> MNC were </w:t>
      </w:r>
      <w:proofErr w:type="spellStart"/>
      <w:r w:rsidRPr="00FA6555">
        <w:rPr>
          <w:lang w:val="en-GB"/>
        </w:rPr>
        <w:t>analyzed</w:t>
      </w:r>
      <w:proofErr w:type="spellEnd"/>
      <w:r w:rsidRPr="00FA6555">
        <w:rPr>
          <w:lang w:val="en-GB"/>
        </w:rPr>
        <w:t xml:space="preserve"> by </w:t>
      </w:r>
      <w:proofErr w:type="spellStart"/>
      <w:r w:rsidRPr="00FA6555">
        <w:rPr>
          <w:lang w:val="en-GB"/>
        </w:rPr>
        <w:t>Carboxyfluorescein</w:t>
      </w:r>
      <w:proofErr w:type="spellEnd"/>
      <w:r w:rsidRPr="00FA6555">
        <w:rPr>
          <w:lang w:val="en-GB"/>
        </w:rPr>
        <w:t xml:space="preserve"> </w:t>
      </w:r>
      <w:proofErr w:type="spellStart"/>
      <w:r w:rsidRPr="00FA6555">
        <w:rPr>
          <w:lang w:val="en-GB"/>
        </w:rPr>
        <w:t>succinimidyl</w:t>
      </w:r>
      <w:proofErr w:type="spellEnd"/>
      <w:r w:rsidRPr="00FA6555">
        <w:rPr>
          <w:lang w:val="en-GB"/>
        </w:rPr>
        <w:t xml:space="preserve"> ester (CFSE) (Molecular Probes, UK) labelling as previously described</w:t>
      </w:r>
      <w:r w:rsidR="00360BB9">
        <w:rPr>
          <w:lang w:val="en-GB"/>
        </w:rPr>
        <w:t xml:space="preserve"> </w:t>
      </w:r>
      <w:r w:rsidRPr="00FA6555">
        <w:rPr>
          <w:lang w:val="en-GB"/>
        </w:rPr>
        <w:fldChar w:fldCharType="begin"/>
      </w:r>
      <w:r w:rsidR="00094A1B">
        <w:rPr>
          <w:lang w:val="en-GB"/>
        </w:rPr>
        <w:instrText xml:space="preserve"> ADDIN ZOTERO_ITEM CSL_CITATION {"citationID":"LFRT2nGu","properties":{"formattedCitation":"(16, 18)","plainCitation":"(16, 18)","noteIndex":0},"citationItems":[{"id":"35rDZLyI/2O6RL65W","uris":["http://zotero.org/users/837702/items/4BKF7SYM"],"uri":["http://zotero.org/users/837702/items/4BKF7SYM"],"itemData":{"id":12818,"type":"article-journal","title":"Activation and Induction of Antigen-Specific T Follicular Helper Cells Play a Critical Role in Live-Attenuated Influenza Vaccine-Induced Human Mucosal Anti-influenza Antibody Response","container-title":"Journal of Virology","page":"e00114-18","volume":"92","issue":"11","source":"jvi.asm.org","abstract":"There is increasing interest recently in developing intranasal vaccines against respiratory tract infections. The antibody response is critical for vaccine-induced protection, and T follicular helper cells (TFH) are considered important for mediating the antibody response. Most data supporting the role for TFH in the antibody response are from animal studies, and direct evidence from humans is limited, apart from the presence of TFH-like cells in blood. We studied the activation and induction of TFH and their role in the anti-influenza antibody response induced by a live-attenuated influenza vaccine (LAIV) in human nasopharynx-associated lymphoid tissue (NALT). TFH activation in adenotonsillar tissues was analyzed by flow cytometry, and anti-hemagglutinin (anti-HA) antibodies were examined following LAIV stimulation of tonsillar mononuclear cells (MNC). Induction of antigen-specific TFH by LAIV was studied by flow cytometry analysis of induced TFH and CD154 expression. LAIV induced TFH proliferation, which correlated with anti-HA antibody production, and TFH were shown to be critical for the antibody response. Induction of TFH from naive T cells by LAIV was shown in newly induced TFH expressing BCL6 and CD21, followed by the detection of anti-HA antibodies. Antigen specificity of LAIV-induced TFH was demonstrated by expression of the antigen-specific T cell activation marker CD154 upon challenge by H1N1 virus antigen or HA. LAIV-induced TFH differentiation was inhibited by BCL6, interleukin-21 (IL-21), ICOS, and CD40 signaling blocking, and that diminished anti-HA antibody production. In conclusion, we demonstrated the induction by LAIV of antigen-specific TFH in human NALT that provide critical support for the anti-influenza antibody response. Promoting antigen-specific TFH in NALT by use of intranasal vaccines may provide an effective vaccination strategy against respiratory infections in humans.\nIMPORTANCE Airway infections, such as influenza, are common in humans. Intranasal vaccination has been considered a biologically relevant and effective way of immunization against airway infection. The vaccine-induced antibody response is crucial for protection against infection. Recent data from animal studies suggest that one type of T cells, TFH, are important for the antibody response. However, data on whether TFH-mediated help for antibody production operates in humans are limited due to the lack of access to human immune tissue containing TFH. In this study, we demonstrate the induction of TFH in human immune tissue, providing critical support for the anti-influenza antibody response, by use of an intranasal influenza vaccine. Our findings provide direct evidence that TFH play a critical role in vaccine-induced immunity in humans and suggest a novel strategy for promoting such cells by use of intranasal vaccines against respiratory infections.","DOI":"10.1128/JVI.00114-18","ISSN":"0022-538X, 1098-5514","note":"PMID: 29563292","journalAbbreviation":"J. Virol.","language":"en","author":[{"family":"Aljurayyan","given":"Abdullah"},{"family":"Puksuriwong","given":"Suttida"},{"family":"Ahmed","given":"Muhammad"},{"family":"Sharma","given":"Ravi"},{"family":"Krishnan","given":"Madhan"},{"family":"Sood","given":"Salil"},{"family":"Davies","given":"Katherine"},{"family":"Rajashekar","given":"Devika"},{"family":"Leong","given":"Sam"},{"family":"McNamara","given":"Paul S."},{"family":"Gordon","given":"Stephen"},{"family":"Zhang","given":"Qibo"}],"issued":{"date-parts":[["2018",6,1]]}}},{"id":"35rDZLyI/JdRo8JQY","uris":["http://zotero.org/users/837702/items/VMZHPP55"],"uri":["http://zotero.org/users/837702/items/VMZHPP55"],"itemData":{"id":12828,"type":"article-journal","title":"Activation of memory Th17 cells by domain 4 pneumolysin in human nasopharynx-associated lymphoid tissue and its association with pneumococcal carriage","container-title":"Mucosal Immunology","page":"705-717","volume":"7","issue":"3","source":"www.nature.com","abstract":"Pneumococcal carriage is common in children that may account for the high incidence of disease in this age group. Recent studies in animals suggest an important role for CD4+ T cells, T helper type 17 (Th17) cells in particular, in pneumococcal clearance. Whether this Th17-mediated mechanism operates in humans and what pneumococcal components activate Th17 are unknown. We investigated the ability of domain 4 pneumolysin (D4Ply) to activate CD4+ T cells including Th17 in human nasopharynx-associated lymphoid tissue (NALT) and peripheral blood. We show that D4Ply elicited a prominent CD4+ T-cell proliferative response. More importantly, D4Ply elicited a significant memory Th17 response in NALT, and a moderate response in peripheral blood mononuclear cells (PBMCs). This D4Ply-elicited memory Th17 response was more marked in carriage− than in carriage+ children in both NALT and PBMCs. In contrast, no difference was shown in D4Ply-induced Th1 response between the two groups. We also show D4Ply activated human monocytes and murine macrophages that was in part dependent on Toll-like receptor 4 (TLR-4). Our results support a protective role of Th17 against pneumococcal carriage in human nasopharynx, and identify a novel property of D4Ply to activate Th17 in NALT that may offer an attractive vaccine candidate in intranasal immunization against pneumococcal infection.","DOI":"10.1038/mi.2013.89","ISSN":"1935-3456","language":"en","author":[{"family":"Gray","given":"C."},{"family":"Ahmed","given":"M. S."},{"family":"Mubarak","given":"A."},{"family":"Kasbekar","given":"A. V."},{"family":"Derbyshire","given":"S."},{"family":"McCormick","given":"M. S."},{"family":"Mughal","given":"M. K."},{"family":"McNamara","given":"P. S."},{"family":"Mitchell","given":"T."},{"family":"Zhang","given":"Q."}],"issued":{"date-parts":[["2014",5]]}}}],"schema":"https://github.com/citation-style-language/schema/raw/master/csl-citation.json"} </w:instrText>
      </w:r>
      <w:r w:rsidRPr="00FA6555">
        <w:rPr>
          <w:lang w:val="en-GB"/>
        </w:rPr>
        <w:fldChar w:fldCharType="separate"/>
      </w:r>
      <w:r w:rsidR="00094A1B" w:rsidRPr="00094A1B">
        <w:t>(16, 18)</w:t>
      </w:r>
      <w:r w:rsidRPr="00FA6555">
        <w:rPr>
          <w:lang w:val="en-GB"/>
        </w:rPr>
        <w:fldChar w:fldCharType="end"/>
      </w:r>
      <w:r w:rsidR="00BC0D6F">
        <w:rPr>
          <w:lang w:val="en-GB"/>
        </w:rPr>
        <w:t>.</w:t>
      </w:r>
      <w:r w:rsidRPr="00FA6555">
        <w:rPr>
          <w:lang w:val="en-GB"/>
        </w:rPr>
        <w:t xml:space="preserve"> </w:t>
      </w:r>
    </w:p>
    <w:p w14:paraId="7F7DC379" w14:textId="77777777" w:rsidR="008E288B" w:rsidRPr="00FA6555" w:rsidRDefault="008E288B" w:rsidP="00FC269C">
      <w:pPr>
        <w:pStyle w:val="Paragraph"/>
        <w:spacing w:line="480" w:lineRule="auto"/>
        <w:ind w:firstLine="0"/>
        <w:jc w:val="both"/>
        <w:rPr>
          <w:lang w:val="en-GB"/>
        </w:rPr>
      </w:pPr>
    </w:p>
    <w:p w14:paraId="16C1047A" w14:textId="77777777" w:rsidR="008E288B" w:rsidRPr="00FA6555" w:rsidRDefault="008E288B" w:rsidP="008E288B">
      <w:pPr>
        <w:pStyle w:val="Paragraph"/>
        <w:spacing w:line="480" w:lineRule="auto"/>
        <w:ind w:firstLine="0"/>
        <w:jc w:val="both"/>
        <w:rPr>
          <w:i/>
          <w:lang w:val="en-GB"/>
        </w:rPr>
      </w:pPr>
      <w:r w:rsidRPr="00FA6555">
        <w:rPr>
          <w:i/>
          <w:lang w:val="en-GB"/>
        </w:rPr>
        <w:t>Statistical analysis</w:t>
      </w:r>
    </w:p>
    <w:p w14:paraId="05D58395" w14:textId="609592E5" w:rsidR="008E288B" w:rsidRPr="00FA6555" w:rsidRDefault="008E288B" w:rsidP="008E288B">
      <w:pPr>
        <w:pStyle w:val="Paragraph"/>
        <w:spacing w:line="480" w:lineRule="auto"/>
        <w:ind w:firstLine="0"/>
        <w:jc w:val="both"/>
        <w:rPr>
          <w:lang w:val="en-GB"/>
        </w:rPr>
      </w:pPr>
      <w:r w:rsidRPr="00FA6555">
        <w:rPr>
          <w:lang w:val="en-GB"/>
        </w:rPr>
        <w:t xml:space="preserve">Data analyses and graphs were produced using the software R and </w:t>
      </w:r>
      <w:proofErr w:type="spellStart"/>
      <w:r w:rsidRPr="00FA6555">
        <w:rPr>
          <w:lang w:val="en-GB"/>
        </w:rPr>
        <w:t>Graphpad</w:t>
      </w:r>
      <w:proofErr w:type="spellEnd"/>
      <w:r w:rsidRPr="00FA6555">
        <w:rPr>
          <w:lang w:val="en-GB"/>
        </w:rPr>
        <w:t xml:space="preserve"> Prism. </w:t>
      </w:r>
      <w:r w:rsidR="00FD677D" w:rsidRPr="00FD677D">
        <w:rPr>
          <w:lang w:val="en-GB"/>
        </w:rPr>
        <w:t>Additional detail</w:t>
      </w:r>
      <w:r w:rsidR="00FD677D">
        <w:rPr>
          <w:lang w:val="en-GB"/>
        </w:rPr>
        <w:t>s</w:t>
      </w:r>
      <w:r w:rsidR="00FD677D" w:rsidRPr="00FD677D">
        <w:rPr>
          <w:lang w:val="en-GB"/>
        </w:rPr>
        <w:t xml:space="preserve"> on the </w:t>
      </w:r>
      <w:r w:rsidR="00FD677D">
        <w:rPr>
          <w:lang w:val="en-GB"/>
        </w:rPr>
        <w:t>s</w:t>
      </w:r>
      <w:r w:rsidR="00FD677D" w:rsidRPr="00FD677D">
        <w:rPr>
          <w:lang w:val="en-GB"/>
        </w:rPr>
        <w:t>tatistical analysis</w:t>
      </w:r>
      <w:r w:rsidR="00FD677D">
        <w:rPr>
          <w:lang w:val="en-GB"/>
        </w:rPr>
        <w:t xml:space="preserve"> </w:t>
      </w:r>
      <w:r w:rsidR="00FD677D" w:rsidRPr="00FD677D">
        <w:rPr>
          <w:lang w:val="en-GB"/>
        </w:rPr>
        <w:t xml:space="preserve">is provided in an online data supplement. </w:t>
      </w:r>
    </w:p>
    <w:p w14:paraId="18F0A188" w14:textId="77777777" w:rsidR="008E288B" w:rsidRPr="00FA6555" w:rsidRDefault="008E288B" w:rsidP="008E288B">
      <w:pPr>
        <w:pStyle w:val="Paragraph"/>
        <w:spacing w:before="0" w:line="480" w:lineRule="auto"/>
        <w:ind w:firstLine="0"/>
        <w:jc w:val="both"/>
        <w:rPr>
          <w:b/>
          <w:lang w:val="en-GB"/>
        </w:rPr>
      </w:pPr>
    </w:p>
    <w:p w14:paraId="6271AE0E" w14:textId="77777777" w:rsidR="008E288B" w:rsidRPr="00FA6555" w:rsidRDefault="008E288B" w:rsidP="008E288B">
      <w:pPr>
        <w:pStyle w:val="Paragraph"/>
        <w:spacing w:line="480" w:lineRule="auto"/>
        <w:ind w:firstLine="0"/>
        <w:rPr>
          <w:lang w:val="en-GB"/>
        </w:rPr>
      </w:pPr>
      <w:r w:rsidRPr="00FA6555">
        <w:rPr>
          <w:b/>
          <w:lang w:val="en-GB"/>
        </w:rPr>
        <w:t>Results</w:t>
      </w:r>
      <w:r w:rsidRPr="00FA6555">
        <w:rPr>
          <w:lang w:val="en-GB"/>
        </w:rPr>
        <w:t xml:space="preserve"> </w:t>
      </w:r>
    </w:p>
    <w:p w14:paraId="757B1150" w14:textId="77777777" w:rsidR="002E6F92" w:rsidRPr="002E6F92" w:rsidRDefault="002E6F92" w:rsidP="002E6F92">
      <w:pPr>
        <w:spacing w:before="120" w:line="480" w:lineRule="auto"/>
        <w:jc w:val="both"/>
        <w:rPr>
          <w:rFonts w:eastAsia="Times New Roman"/>
          <w:i/>
          <w:sz w:val="24"/>
          <w:szCs w:val="24"/>
        </w:rPr>
      </w:pPr>
      <w:proofErr w:type="spellStart"/>
      <w:r w:rsidRPr="002E6F92">
        <w:rPr>
          <w:rFonts w:eastAsia="Times New Roman"/>
          <w:i/>
          <w:sz w:val="24"/>
          <w:szCs w:val="24"/>
        </w:rPr>
        <w:t>SynGEM</w:t>
      </w:r>
      <w:proofErr w:type="spellEnd"/>
      <w:r w:rsidRPr="002E6F92">
        <w:rPr>
          <w:rFonts w:eastAsia="Times New Roman"/>
          <w:i/>
          <w:sz w:val="24"/>
          <w:szCs w:val="24"/>
        </w:rPr>
        <w:t xml:space="preserve"> vaccination is generally safe and well tolerated</w:t>
      </w:r>
    </w:p>
    <w:p w14:paraId="32BD7836" w14:textId="376F8619" w:rsidR="008E288B" w:rsidRPr="00FA6555" w:rsidRDefault="008E288B" w:rsidP="008E288B">
      <w:pPr>
        <w:pStyle w:val="Paragraph"/>
        <w:spacing w:line="480" w:lineRule="auto"/>
        <w:ind w:firstLine="0"/>
        <w:jc w:val="both"/>
        <w:rPr>
          <w:lang w:val="en-GB"/>
        </w:rPr>
      </w:pPr>
      <w:r w:rsidRPr="00FA6555">
        <w:rPr>
          <w:lang w:val="en-GB"/>
        </w:rPr>
        <w:t xml:space="preserve">Seventy-nine individuals were potentially eligible after pre-screening (Figure </w:t>
      </w:r>
      <w:r w:rsidR="00DB582F">
        <w:rPr>
          <w:lang w:val="en-GB"/>
        </w:rPr>
        <w:t>E</w:t>
      </w:r>
      <w:r w:rsidRPr="00FA6555">
        <w:rPr>
          <w:lang w:val="en-GB"/>
        </w:rPr>
        <w:t xml:space="preserve">1). Of these, 48 were recruited according to protocol-defined inclusion and exclusion criteria (Table </w:t>
      </w:r>
      <w:r w:rsidR="00DB582F">
        <w:rPr>
          <w:lang w:val="en-GB"/>
        </w:rPr>
        <w:t>E</w:t>
      </w:r>
      <w:r w:rsidRPr="00FA6555">
        <w:rPr>
          <w:lang w:val="en-GB"/>
        </w:rPr>
        <w:t>1).</w:t>
      </w:r>
    </w:p>
    <w:p w14:paraId="29B97142" w14:textId="2791A3F6" w:rsidR="008E288B" w:rsidRDefault="008E288B" w:rsidP="008E288B">
      <w:pPr>
        <w:pStyle w:val="Paragraph"/>
        <w:spacing w:line="480" w:lineRule="auto"/>
        <w:ind w:firstLine="0"/>
        <w:jc w:val="both"/>
        <w:rPr>
          <w:lang w:val="en-GB"/>
        </w:rPr>
      </w:pPr>
      <w:r w:rsidRPr="00FA6555">
        <w:rPr>
          <w:lang w:val="en-GB"/>
        </w:rPr>
        <w:t xml:space="preserve">No significant differences were found in demographics, baseline medical history or physical examination among the </w:t>
      </w:r>
      <w:r w:rsidR="008C4DCE">
        <w:rPr>
          <w:lang w:val="en-GB"/>
        </w:rPr>
        <w:t>vaccinated or placebo groups (Table 1)</w:t>
      </w:r>
      <w:r w:rsidRPr="00FA6555">
        <w:rPr>
          <w:lang w:val="en-GB"/>
        </w:rPr>
        <w:t xml:space="preserve">. </w:t>
      </w:r>
      <w:r w:rsidR="008C4DCE">
        <w:rPr>
          <w:lang w:val="en-GB"/>
        </w:rPr>
        <w:t>At each dose level</w:t>
      </w:r>
      <w:r w:rsidRPr="00FA6555">
        <w:rPr>
          <w:lang w:val="en-GB"/>
        </w:rPr>
        <w:t>, 2 sequential sentinel cohorts of two subjects each were recruited initially, “prime”-vaccinated and followed up for three days post-dosing</w:t>
      </w:r>
      <w:r w:rsidRPr="0074371D">
        <w:rPr>
          <w:color w:val="000000" w:themeColor="text1"/>
          <w:lang w:val="en-GB"/>
        </w:rPr>
        <w:t xml:space="preserve">. No </w:t>
      </w:r>
      <w:r w:rsidR="00EA2153" w:rsidRPr="0074371D">
        <w:rPr>
          <w:color w:val="000000" w:themeColor="text1"/>
          <w:lang w:val="en-GB"/>
        </w:rPr>
        <w:t xml:space="preserve">pre-defined </w:t>
      </w:r>
      <w:r w:rsidRPr="0074371D">
        <w:rPr>
          <w:color w:val="000000" w:themeColor="text1"/>
          <w:lang w:val="en-GB"/>
        </w:rPr>
        <w:t xml:space="preserve">pausing rules </w:t>
      </w:r>
      <w:r w:rsidR="00EA2153" w:rsidRPr="0074371D">
        <w:rPr>
          <w:color w:val="000000" w:themeColor="text1"/>
          <w:lang w:val="en-GB"/>
        </w:rPr>
        <w:t xml:space="preserve">(Table 2) </w:t>
      </w:r>
      <w:r w:rsidRPr="00FA6555">
        <w:rPr>
          <w:lang w:val="en-GB"/>
        </w:rPr>
        <w:t xml:space="preserve">were </w:t>
      </w:r>
      <w:r w:rsidR="00EA2153" w:rsidRPr="00FA6555">
        <w:rPr>
          <w:lang w:val="en-GB"/>
        </w:rPr>
        <w:t>met and</w:t>
      </w:r>
      <w:r w:rsidRPr="00FA6555">
        <w:rPr>
          <w:lang w:val="en-GB"/>
        </w:rPr>
        <w:t xml:space="preserve"> recruitment was subsequently extended to the remaining twenty subjects in each dose-level group. </w:t>
      </w:r>
      <w:r w:rsidR="00EA2153" w:rsidRPr="00FA6555">
        <w:rPr>
          <w:lang w:val="en-GB"/>
        </w:rPr>
        <w:t xml:space="preserve">All pre-defined study endpoints were adhered to (Table </w:t>
      </w:r>
      <w:r w:rsidR="00EA2153">
        <w:rPr>
          <w:lang w:val="en-GB"/>
        </w:rPr>
        <w:t>E2</w:t>
      </w:r>
      <w:r w:rsidR="00EA2153" w:rsidRPr="00FA6555">
        <w:rPr>
          <w:lang w:val="en-GB"/>
        </w:rPr>
        <w:t xml:space="preserve">). </w:t>
      </w:r>
      <w:r w:rsidRPr="00FA6555">
        <w:rPr>
          <w:lang w:val="en-GB"/>
        </w:rPr>
        <w:t xml:space="preserve">Over the course of the study, no significant differences </w:t>
      </w:r>
      <w:r w:rsidRPr="00FA6555">
        <w:rPr>
          <w:lang w:val="en-GB"/>
        </w:rPr>
        <w:lastRenderedPageBreak/>
        <w:t xml:space="preserve">were seen in routine </w:t>
      </w:r>
      <w:proofErr w:type="spellStart"/>
      <w:r w:rsidRPr="00FA6555">
        <w:rPr>
          <w:lang w:val="en-GB"/>
        </w:rPr>
        <w:t>hematology</w:t>
      </w:r>
      <w:proofErr w:type="spellEnd"/>
      <w:r w:rsidRPr="00FA6555">
        <w:rPr>
          <w:lang w:val="en-GB"/>
        </w:rPr>
        <w:t xml:space="preserve"> and biochemistry blood tests between vaccinated and placebo groups (Table </w:t>
      </w:r>
      <w:r w:rsidR="0066505D">
        <w:rPr>
          <w:lang w:val="en-GB"/>
        </w:rPr>
        <w:t>E</w:t>
      </w:r>
      <w:r w:rsidR="00EA2153">
        <w:rPr>
          <w:lang w:val="en-GB"/>
        </w:rPr>
        <w:t>3</w:t>
      </w:r>
      <w:r w:rsidRPr="00FA6555">
        <w:rPr>
          <w:lang w:val="en-GB"/>
        </w:rPr>
        <w:t xml:space="preserve">). </w:t>
      </w:r>
    </w:p>
    <w:p w14:paraId="2D0DFE8F" w14:textId="72301CFD" w:rsidR="008E288B" w:rsidRPr="00FA6555" w:rsidRDefault="008E288B" w:rsidP="008E288B">
      <w:pPr>
        <w:pStyle w:val="Paragraph"/>
        <w:spacing w:line="480" w:lineRule="auto"/>
        <w:ind w:firstLine="0"/>
        <w:jc w:val="both"/>
        <w:rPr>
          <w:lang w:val="en-GB"/>
        </w:rPr>
      </w:pPr>
      <w:r w:rsidRPr="00FA6555">
        <w:rPr>
          <w:lang w:val="en-GB"/>
        </w:rPr>
        <w:t>Five participants presented with respiratory tract symptoms at their vaccination or follow-up visits. On the basis of PCR-confirmed rhinovirus infection, boost vaccination was delayed by 3 days in 1 participant and withheld in another. Two additional participants described upper respiratory tract symptoms leading to delayed boost vaccination by 3 days.</w:t>
      </w:r>
      <w:r w:rsidR="00497896">
        <w:rPr>
          <w:lang w:val="en-GB"/>
        </w:rPr>
        <w:t xml:space="preserve"> O</w:t>
      </w:r>
      <w:r w:rsidRPr="00FA6555">
        <w:rPr>
          <w:lang w:val="en-GB"/>
        </w:rPr>
        <w:t xml:space="preserve">ne subject was diagnosed with influenza A infection shortly after boosting. </w:t>
      </w:r>
      <w:r w:rsidR="006D1123">
        <w:rPr>
          <w:lang w:val="en-GB"/>
        </w:rPr>
        <w:t>The</w:t>
      </w:r>
      <w:r w:rsidRPr="00FA6555">
        <w:rPr>
          <w:lang w:val="en-GB"/>
        </w:rPr>
        <w:t xml:space="preserve"> severe sore throat reported as a serious adverse event (SAE) </w:t>
      </w:r>
      <w:r w:rsidR="006D1123">
        <w:rPr>
          <w:lang w:val="en-GB"/>
        </w:rPr>
        <w:t>in this participant was</w:t>
      </w:r>
      <w:r w:rsidR="006D1123" w:rsidRPr="00FA6555">
        <w:rPr>
          <w:lang w:val="en-GB"/>
        </w:rPr>
        <w:t xml:space="preserve"> </w:t>
      </w:r>
      <w:r w:rsidRPr="00FA6555">
        <w:rPr>
          <w:lang w:val="en-GB"/>
        </w:rPr>
        <w:t xml:space="preserve">temporally associated with the PCR-confirmed infection and therefore considered unrelated to the study vaccine. </w:t>
      </w:r>
    </w:p>
    <w:p w14:paraId="0CEB8A1F" w14:textId="3AD50B8C" w:rsidR="008E288B" w:rsidRPr="00FA6555" w:rsidRDefault="006D1123" w:rsidP="008E288B">
      <w:pPr>
        <w:pStyle w:val="Paragraph"/>
        <w:spacing w:line="480" w:lineRule="auto"/>
        <w:ind w:firstLine="0"/>
        <w:jc w:val="both"/>
        <w:rPr>
          <w:lang w:val="en-GB"/>
        </w:rPr>
      </w:pPr>
      <w:r>
        <w:rPr>
          <w:lang w:val="en-GB"/>
        </w:rPr>
        <w:t>O</w:t>
      </w:r>
      <w:r w:rsidR="008E288B" w:rsidRPr="00FA6555">
        <w:rPr>
          <w:lang w:val="en-GB"/>
        </w:rPr>
        <w:t>ne other SAE was noted, with</w:t>
      </w:r>
      <w:r w:rsidR="00497896">
        <w:rPr>
          <w:lang w:val="en-GB"/>
        </w:rPr>
        <w:t xml:space="preserve"> a participant </w:t>
      </w:r>
      <w:r w:rsidR="008E288B" w:rsidRPr="00FA6555">
        <w:rPr>
          <w:lang w:val="en-GB"/>
        </w:rPr>
        <w:t xml:space="preserve">describing moderate pulsatile tinnitus and mild unilateral hearing loss manifesting 16 days after prime vaccination. This was not reported by the participant until after they had undergone boost vaccination. The participant was assessed by an ENT specialist but no clear </w:t>
      </w:r>
      <w:r w:rsidR="00497896">
        <w:rPr>
          <w:lang w:val="en-GB"/>
        </w:rPr>
        <w:t>a</w:t>
      </w:r>
      <w:r w:rsidR="008E288B" w:rsidRPr="00FA6555">
        <w:rPr>
          <w:lang w:val="en-GB"/>
        </w:rPr>
        <w:t>etiology was determined. Due to the timing of onset, the SAE was considered possibly related to the vaccine but symptoms persisted unchanged to the end of follow-up.</w:t>
      </w:r>
    </w:p>
    <w:p w14:paraId="4E7D0643" w14:textId="2A8E5862" w:rsidR="006D1123" w:rsidRPr="00FA6555" w:rsidRDefault="006D1123" w:rsidP="006D1123">
      <w:pPr>
        <w:pStyle w:val="Paragraph"/>
        <w:spacing w:line="480" w:lineRule="auto"/>
        <w:ind w:firstLine="0"/>
        <w:jc w:val="both"/>
        <w:rPr>
          <w:lang w:val="en-GB"/>
        </w:rPr>
      </w:pPr>
      <w:r w:rsidRPr="00FA6555">
        <w:rPr>
          <w:lang w:val="en-GB"/>
        </w:rPr>
        <w:t xml:space="preserve">Other adverse events were most commonly local site reactions typical of intranasal administration (Tables </w:t>
      </w:r>
      <w:r w:rsidR="0066505D">
        <w:rPr>
          <w:lang w:val="en-GB"/>
        </w:rPr>
        <w:t>E</w:t>
      </w:r>
      <w:r w:rsidRPr="00FA6555">
        <w:rPr>
          <w:lang w:val="en-GB"/>
        </w:rPr>
        <w:t xml:space="preserve">5 &amp; </w:t>
      </w:r>
      <w:r w:rsidR="0066505D">
        <w:rPr>
          <w:lang w:val="en-GB"/>
        </w:rPr>
        <w:t>E</w:t>
      </w:r>
      <w:r w:rsidRPr="00FA6555">
        <w:rPr>
          <w:lang w:val="en-GB"/>
        </w:rPr>
        <w:t xml:space="preserve">6). These events were all self-limiting and mild to moderate in severity. </w:t>
      </w:r>
      <w:r w:rsidRPr="0074371D">
        <w:rPr>
          <w:color w:val="000000" w:themeColor="text1"/>
          <w:lang w:val="en-GB"/>
        </w:rPr>
        <w:t>Four subjects in the low dose</w:t>
      </w:r>
      <w:r w:rsidR="00C53210" w:rsidRPr="0074371D">
        <w:rPr>
          <w:color w:val="000000" w:themeColor="text1"/>
          <w:lang w:val="en-GB"/>
        </w:rPr>
        <w:t xml:space="preserve"> (22</w:t>
      </w:r>
      <w:r w:rsidR="00481638" w:rsidRPr="0074371D">
        <w:rPr>
          <w:color w:val="000000" w:themeColor="text1"/>
          <w:lang w:val="en-GB"/>
        </w:rPr>
        <w:t>·</w:t>
      </w:r>
      <w:r w:rsidR="00C53210" w:rsidRPr="0074371D">
        <w:rPr>
          <w:color w:val="000000" w:themeColor="text1"/>
          <w:lang w:val="en-GB"/>
        </w:rPr>
        <w:t>2%)</w:t>
      </w:r>
      <w:r w:rsidRPr="0074371D">
        <w:rPr>
          <w:color w:val="000000" w:themeColor="text1"/>
          <w:lang w:val="en-GB"/>
        </w:rPr>
        <w:t xml:space="preserve">, one in the high dose group </w:t>
      </w:r>
      <w:r w:rsidR="00C53210" w:rsidRPr="0074371D">
        <w:rPr>
          <w:color w:val="000000" w:themeColor="text1"/>
          <w:lang w:val="en-GB"/>
        </w:rPr>
        <w:t>(5</w:t>
      </w:r>
      <w:r w:rsidR="00481638" w:rsidRPr="0074371D">
        <w:rPr>
          <w:color w:val="000000" w:themeColor="text1"/>
          <w:lang w:val="en-GB"/>
        </w:rPr>
        <w:t>·</w:t>
      </w:r>
      <w:r w:rsidR="00C53210" w:rsidRPr="0074371D">
        <w:rPr>
          <w:color w:val="000000" w:themeColor="text1"/>
          <w:lang w:val="en-GB"/>
        </w:rPr>
        <w:t xml:space="preserve">.5%) </w:t>
      </w:r>
      <w:r w:rsidRPr="0074371D">
        <w:rPr>
          <w:color w:val="000000" w:themeColor="text1"/>
          <w:lang w:val="en-GB"/>
        </w:rPr>
        <w:t xml:space="preserve">and four in the placebo group </w:t>
      </w:r>
      <w:r w:rsidR="00C53210" w:rsidRPr="0074371D">
        <w:rPr>
          <w:color w:val="000000" w:themeColor="text1"/>
          <w:lang w:val="en-GB"/>
        </w:rPr>
        <w:t>(33</w:t>
      </w:r>
      <w:r w:rsidR="00481638" w:rsidRPr="0074371D">
        <w:rPr>
          <w:color w:val="000000" w:themeColor="text1"/>
          <w:lang w:val="en-GB"/>
        </w:rPr>
        <w:t>·</w:t>
      </w:r>
      <w:r w:rsidR="00C53210" w:rsidRPr="0074371D">
        <w:rPr>
          <w:color w:val="000000" w:themeColor="text1"/>
          <w:lang w:val="en-GB"/>
        </w:rPr>
        <w:t xml:space="preserve">3%) </w:t>
      </w:r>
      <w:r w:rsidRPr="0074371D">
        <w:rPr>
          <w:color w:val="000000" w:themeColor="text1"/>
          <w:lang w:val="en-GB"/>
        </w:rPr>
        <w:t>reported AEs within 1 hour of dosing</w:t>
      </w:r>
      <w:r w:rsidR="00C53210" w:rsidRPr="0074371D">
        <w:rPr>
          <w:color w:val="000000" w:themeColor="text1"/>
          <w:lang w:val="en-GB"/>
        </w:rPr>
        <w:t xml:space="preserve"> with no significant differences between groups (relative risk </w:t>
      </w:r>
      <w:r w:rsidR="003F08D1" w:rsidRPr="0074371D">
        <w:rPr>
          <w:color w:val="000000" w:themeColor="text1"/>
          <w:lang w:val="en-GB"/>
        </w:rPr>
        <w:t xml:space="preserve">compared with placebo </w:t>
      </w:r>
      <w:r w:rsidR="00C53210" w:rsidRPr="0074371D">
        <w:rPr>
          <w:color w:val="000000" w:themeColor="text1"/>
          <w:lang w:val="en-GB"/>
        </w:rPr>
        <w:t>RR</w:t>
      </w:r>
      <w:r w:rsidR="008222A9" w:rsidRPr="0074371D">
        <w:rPr>
          <w:color w:val="000000" w:themeColor="text1"/>
          <w:lang w:val="en-GB"/>
        </w:rPr>
        <w:t xml:space="preserve"> </w:t>
      </w:r>
      <w:r w:rsidR="00C53210" w:rsidRPr="0074371D">
        <w:rPr>
          <w:color w:val="000000" w:themeColor="text1"/>
          <w:lang w:val="en-GB"/>
        </w:rPr>
        <w:t xml:space="preserve">[95% confidence interval </w:t>
      </w:r>
      <w:r w:rsidR="00481638" w:rsidRPr="0074371D">
        <w:rPr>
          <w:color w:val="000000" w:themeColor="text1"/>
          <w:lang w:val="en-GB"/>
        </w:rPr>
        <w:t>(</w:t>
      </w:r>
      <w:r w:rsidR="00C53210" w:rsidRPr="0074371D">
        <w:rPr>
          <w:color w:val="000000" w:themeColor="text1"/>
          <w:lang w:val="en-GB"/>
        </w:rPr>
        <w:t>CI</w:t>
      </w:r>
      <w:r w:rsidR="00481638" w:rsidRPr="0074371D">
        <w:rPr>
          <w:color w:val="000000" w:themeColor="text1"/>
          <w:lang w:val="en-GB"/>
        </w:rPr>
        <w:t>)</w:t>
      </w:r>
      <w:r w:rsidR="00C53210" w:rsidRPr="0074371D">
        <w:rPr>
          <w:color w:val="000000" w:themeColor="text1"/>
          <w:lang w:val="en-GB"/>
        </w:rPr>
        <w:t>]: low-dose 1</w:t>
      </w:r>
      <w:r w:rsidR="00481638" w:rsidRPr="0074371D">
        <w:rPr>
          <w:color w:val="000000" w:themeColor="text1"/>
          <w:lang w:val="en-GB"/>
        </w:rPr>
        <w:t>·</w:t>
      </w:r>
      <w:r w:rsidR="00C53210" w:rsidRPr="0074371D">
        <w:rPr>
          <w:color w:val="000000" w:themeColor="text1"/>
          <w:lang w:val="en-GB"/>
        </w:rPr>
        <w:t>0 [0</w:t>
      </w:r>
      <w:r w:rsidR="00481638" w:rsidRPr="0074371D">
        <w:rPr>
          <w:color w:val="000000" w:themeColor="text1"/>
          <w:lang w:val="en-GB"/>
        </w:rPr>
        <w:t>·</w:t>
      </w:r>
      <w:r w:rsidR="00C53210" w:rsidRPr="0074371D">
        <w:rPr>
          <w:color w:val="000000" w:themeColor="text1"/>
          <w:lang w:val="en-GB"/>
        </w:rPr>
        <w:t>29-3</w:t>
      </w:r>
      <w:r w:rsidR="00481638" w:rsidRPr="0074371D">
        <w:rPr>
          <w:color w:val="000000" w:themeColor="text1"/>
          <w:lang w:val="en-GB"/>
        </w:rPr>
        <w:t>·</w:t>
      </w:r>
      <w:r w:rsidR="00C53210" w:rsidRPr="0074371D">
        <w:rPr>
          <w:color w:val="000000" w:themeColor="text1"/>
          <w:lang w:val="en-GB"/>
        </w:rPr>
        <w:t>39]; high-dose 0</w:t>
      </w:r>
      <w:r w:rsidR="00481638" w:rsidRPr="0074371D">
        <w:rPr>
          <w:color w:val="000000" w:themeColor="text1"/>
          <w:lang w:val="en-GB"/>
        </w:rPr>
        <w:t>·</w:t>
      </w:r>
      <w:r w:rsidR="00C53210" w:rsidRPr="0074371D">
        <w:rPr>
          <w:color w:val="000000" w:themeColor="text1"/>
          <w:lang w:val="en-GB"/>
        </w:rPr>
        <w:t>25 [0</w:t>
      </w:r>
      <w:r w:rsidR="00481638" w:rsidRPr="0074371D">
        <w:rPr>
          <w:color w:val="000000" w:themeColor="text1"/>
          <w:lang w:val="en-GB"/>
        </w:rPr>
        <w:t>·</w:t>
      </w:r>
      <w:r w:rsidR="00C53210" w:rsidRPr="0074371D">
        <w:rPr>
          <w:color w:val="000000" w:themeColor="text1"/>
          <w:lang w:val="en-GB"/>
        </w:rPr>
        <w:t>03-2</w:t>
      </w:r>
      <w:r w:rsidR="00481638" w:rsidRPr="0074371D">
        <w:rPr>
          <w:color w:val="000000" w:themeColor="text1"/>
          <w:lang w:val="en-GB"/>
        </w:rPr>
        <w:t>·</w:t>
      </w:r>
      <w:r w:rsidR="00C53210" w:rsidRPr="0074371D">
        <w:rPr>
          <w:color w:val="000000" w:themeColor="text1"/>
          <w:lang w:val="en-GB"/>
        </w:rPr>
        <w:t>02]</w:t>
      </w:r>
      <w:r w:rsidR="00C7146B" w:rsidRPr="0074371D">
        <w:rPr>
          <w:color w:val="000000" w:themeColor="text1"/>
          <w:lang w:val="en-GB"/>
        </w:rPr>
        <w:t>; Chi-square test for trend p=0</w:t>
      </w:r>
      <w:r w:rsidR="00481638" w:rsidRPr="0074371D">
        <w:rPr>
          <w:color w:val="000000" w:themeColor="text1"/>
          <w:lang w:val="en-GB"/>
        </w:rPr>
        <w:t>·</w:t>
      </w:r>
      <w:r w:rsidR="00C7146B" w:rsidRPr="0074371D">
        <w:rPr>
          <w:color w:val="000000" w:themeColor="text1"/>
          <w:lang w:val="en-GB"/>
        </w:rPr>
        <w:t>051</w:t>
      </w:r>
      <w:r w:rsidR="00C53210" w:rsidRPr="0074371D">
        <w:rPr>
          <w:color w:val="000000" w:themeColor="text1"/>
          <w:lang w:val="en-GB"/>
        </w:rPr>
        <w:t>)</w:t>
      </w:r>
      <w:r w:rsidRPr="0074371D">
        <w:rPr>
          <w:color w:val="000000" w:themeColor="text1"/>
          <w:lang w:val="en-GB"/>
        </w:rPr>
        <w:t xml:space="preserve">(Table </w:t>
      </w:r>
      <w:r w:rsidR="0066505D" w:rsidRPr="0074371D">
        <w:rPr>
          <w:color w:val="000000" w:themeColor="text1"/>
          <w:lang w:val="en-GB"/>
        </w:rPr>
        <w:t>E</w:t>
      </w:r>
      <w:r w:rsidR="00C53210" w:rsidRPr="0074371D">
        <w:rPr>
          <w:color w:val="000000" w:themeColor="text1"/>
          <w:lang w:val="en-GB"/>
        </w:rPr>
        <w:t>5)</w:t>
      </w:r>
      <w:r w:rsidRPr="0074371D">
        <w:rPr>
          <w:color w:val="000000" w:themeColor="text1"/>
          <w:lang w:val="en-GB"/>
        </w:rPr>
        <w:t xml:space="preserve">. </w:t>
      </w:r>
      <w:r w:rsidRPr="00FA6555">
        <w:rPr>
          <w:lang w:val="en-GB"/>
        </w:rPr>
        <w:t xml:space="preserve">During the follow-up period, most participants reported </w:t>
      </w:r>
      <w:r>
        <w:rPr>
          <w:lang w:val="en-GB"/>
        </w:rPr>
        <w:t>at least one</w:t>
      </w:r>
      <w:r w:rsidRPr="00FA6555">
        <w:rPr>
          <w:lang w:val="en-GB"/>
        </w:rPr>
        <w:t xml:space="preserve"> solicited local AE (15 (83·3%) in the low dose group; 15 (83·3%) in the high dose group; and 10 (83·3%) in the placebo group)</w:t>
      </w:r>
      <w:r w:rsidR="00C53210">
        <w:rPr>
          <w:lang w:val="en-GB"/>
        </w:rPr>
        <w:t>.</w:t>
      </w:r>
      <w:r w:rsidRPr="00FA6555">
        <w:rPr>
          <w:lang w:val="en-GB"/>
        </w:rPr>
        <w:t xml:space="preserve"> </w:t>
      </w:r>
      <w:r w:rsidR="00C53210">
        <w:rPr>
          <w:lang w:val="en-GB"/>
        </w:rPr>
        <w:t>Again</w:t>
      </w:r>
      <w:r w:rsidRPr="00FA6555">
        <w:rPr>
          <w:lang w:val="en-GB"/>
        </w:rPr>
        <w:t xml:space="preserve"> there were no </w:t>
      </w:r>
      <w:r w:rsidRPr="00FA6555">
        <w:rPr>
          <w:lang w:val="en-GB"/>
        </w:rPr>
        <w:lastRenderedPageBreak/>
        <w:t>significant differences between the groups (</w:t>
      </w:r>
      <w:r>
        <w:rPr>
          <w:lang w:val="en-GB"/>
        </w:rPr>
        <w:t xml:space="preserve">low-dose </w:t>
      </w:r>
      <w:r w:rsidR="00C53210">
        <w:rPr>
          <w:lang w:val="en-GB"/>
        </w:rPr>
        <w:t xml:space="preserve">RR </w:t>
      </w:r>
      <w:r>
        <w:rPr>
          <w:lang w:val="en-GB"/>
        </w:rPr>
        <w:t xml:space="preserve">1.0 [0.72-1.39]; high-dose </w:t>
      </w:r>
      <w:r w:rsidR="00C53210">
        <w:rPr>
          <w:lang w:val="en-GB"/>
        </w:rPr>
        <w:t xml:space="preserve">RR </w:t>
      </w:r>
      <w:r>
        <w:rPr>
          <w:lang w:val="en-GB"/>
        </w:rPr>
        <w:t>1.0 [0.72-1.39]</w:t>
      </w:r>
      <w:r w:rsidR="00326E63">
        <w:rPr>
          <w:lang w:val="en-GB"/>
        </w:rPr>
        <w:t xml:space="preserve">; </w:t>
      </w:r>
      <w:r w:rsidR="00326E63" w:rsidRPr="0074371D">
        <w:rPr>
          <w:color w:val="000000" w:themeColor="text1"/>
          <w:lang w:val="en-GB"/>
        </w:rPr>
        <w:t>Chi-square test for trend p&gt;0</w:t>
      </w:r>
      <w:r w:rsidR="00481638" w:rsidRPr="0074371D">
        <w:rPr>
          <w:color w:val="000000" w:themeColor="text1"/>
          <w:lang w:val="en-GB"/>
        </w:rPr>
        <w:t>·</w:t>
      </w:r>
      <w:proofErr w:type="gramStart"/>
      <w:r w:rsidR="00326E63" w:rsidRPr="0074371D">
        <w:rPr>
          <w:color w:val="000000" w:themeColor="text1"/>
          <w:lang w:val="en-GB"/>
        </w:rPr>
        <w:t>99</w:t>
      </w:r>
      <w:r>
        <w:rPr>
          <w:lang w:val="en-GB"/>
        </w:rPr>
        <w:t>)(</w:t>
      </w:r>
      <w:proofErr w:type="gramEnd"/>
      <w:r w:rsidRPr="00FA6555">
        <w:rPr>
          <w:lang w:val="en-GB"/>
        </w:rPr>
        <w:t xml:space="preserve">Table </w:t>
      </w:r>
      <w:r w:rsidR="0066505D">
        <w:rPr>
          <w:lang w:val="en-GB"/>
        </w:rPr>
        <w:t>E</w:t>
      </w:r>
      <w:r w:rsidR="00C53210">
        <w:rPr>
          <w:lang w:val="en-GB"/>
        </w:rPr>
        <w:t>6</w:t>
      </w:r>
      <w:r w:rsidRPr="00FA6555">
        <w:rPr>
          <w:lang w:val="en-GB"/>
        </w:rPr>
        <w:t>). Moderate AEs were recorded for the 3 participants who had concurrent rhinovirus or influenza infection. The median duration of post-vaccination symptoms was 1·25 days (range 1-7 days).</w:t>
      </w:r>
    </w:p>
    <w:p w14:paraId="2D6612C8" w14:textId="63FA4F47" w:rsidR="006D1123" w:rsidRPr="00FA6555" w:rsidRDefault="006D1123" w:rsidP="006D1123">
      <w:pPr>
        <w:pStyle w:val="Paragraph"/>
        <w:spacing w:line="480" w:lineRule="auto"/>
        <w:ind w:firstLine="0"/>
        <w:jc w:val="both"/>
        <w:rPr>
          <w:lang w:val="en-GB"/>
        </w:rPr>
      </w:pPr>
      <w:r w:rsidRPr="00FA6555">
        <w:rPr>
          <w:lang w:val="en-GB"/>
        </w:rPr>
        <w:t>Solicited systemic AEs were reported by 16 (88·9%) subjects in the low dose</w:t>
      </w:r>
      <w:r>
        <w:rPr>
          <w:lang w:val="en-GB"/>
        </w:rPr>
        <w:t xml:space="preserve"> (</w:t>
      </w:r>
      <w:r w:rsidRPr="0074371D">
        <w:rPr>
          <w:color w:val="000000" w:themeColor="text1"/>
          <w:lang w:val="en-GB"/>
        </w:rPr>
        <w:t xml:space="preserve">RR </w:t>
      </w:r>
      <w:r w:rsidR="00E9217E" w:rsidRPr="0074371D">
        <w:rPr>
          <w:color w:val="000000" w:themeColor="text1"/>
          <w:lang w:val="en-GB"/>
        </w:rPr>
        <w:t>1</w:t>
      </w:r>
      <w:r w:rsidR="00481638" w:rsidRPr="0074371D">
        <w:rPr>
          <w:color w:val="000000" w:themeColor="text1"/>
          <w:lang w:val="en-GB"/>
        </w:rPr>
        <w:t>·</w:t>
      </w:r>
      <w:r w:rsidR="00E9217E" w:rsidRPr="0074371D">
        <w:rPr>
          <w:color w:val="000000" w:themeColor="text1"/>
          <w:lang w:val="en-GB"/>
        </w:rPr>
        <w:t>19</w:t>
      </w:r>
      <w:r w:rsidRPr="0074371D">
        <w:rPr>
          <w:color w:val="000000" w:themeColor="text1"/>
          <w:lang w:val="en-GB"/>
        </w:rPr>
        <w:t xml:space="preserve"> [0</w:t>
      </w:r>
      <w:r w:rsidR="00481638" w:rsidRPr="0074371D">
        <w:rPr>
          <w:color w:val="000000" w:themeColor="text1"/>
          <w:lang w:val="en-GB"/>
        </w:rPr>
        <w:t>·</w:t>
      </w:r>
      <w:r w:rsidR="00E9217E" w:rsidRPr="0074371D">
        <w:rPr>
          <w:color w:val="000000" w:themeColor="text1"/>
          <w:lang w:val="en-GB"/>
        </w:rPr>
        <w:t>82</w:t>
      </w:r>
      <w:r w:rsidRPr="0074371D">
        <w:rPr>
          <w:color w:val="000000" w:themeColor="text1"/>
          <w:lang w:val="en-GB"/>
        </w:rPr>
        <w:t>-1</w:t>
      </w:r>
      <w:r w:rsidR="00481638" w:rsidRPr="0074371D">
        <w:rPr>
          <w:color w:val="000000" w:themeColor="text1"/>
          <w:lang w:val="en-GB"/>
        </w:rPr>
        <w:t>·</w:t>
      </w:r>
      <w:r w:rsidR="00E9217E" w:rsidRPr="0074371D">
        <w:rPr>
          <w:color w:val="000000" w:themeColor="text1"/>
          <w:lang w:val="en-GB"/>
        </w:rPr>
        <w:t>71</w:t>
      </w:r>
      <w:r w:rsidRPr="0074371D">
        <w:rPr>
          <w:color w:val="000000" w:themeColor="text1"/>
          <w:lang w:val="en-GB"/>
        </w:rPr>
        <w:t xml:space="preserve">]); 13 (72·2%) subjects in the high dose (RR </w:t>
      </w:r>
      <w:r w:rsidR="003F08D1" w:rsidRPr="0074371D">
        <w:rPr>
          <w:color w:val="000000" w:themeColor="text1"/>
          <w:lang w:val="en-GB"/>
        </w:rPr>
        <w:t>0</w:t>
      </w:r>
      <w:r w:rsidR="00481638" w:rsidRPr="0074371D">
        <w:rPr>
          <w:color w:val="000000" w:themeColor="text1"/>
          <w:lang w:val="en-GB"/>
        </w:rPr>
        <w:t>·</w:t>
      </w:r>
      <w:r w:rsidR="003F08D1" w:rsidRPr="0074371D">
        <w:rPr>
          <w:color w:val="000000" w:themeColor="text1"/>
          <w:lang w:val="en-GB"/>
        </w:rPr>
        <w:t>96</w:t>
      </w:r>
      <w:r w:rsidRPr="0074371D">
        <w:rPr>
          <w:color w:val="000000" w:themeColor="text1"/>
          <w:lang w:val="en-GB"/>
        </w:rPr>
        <w:t xml:space="preserve"> [0</w:t>
      </w:r>
      <w:r w:rsidR="00481638" w:rsidRPr="0074371D">
        <w:rPr>
          <w:color w:val="000000" w:themeColor="text1"/>
          <w:lang w:val="en-GB"/>
        </w:rPr>
        <w:t>·</w:t>
      </w:r>
      <w:r w:rsidRPr="0074371D">
        <w:rPr>
          <w:color w:val="000000" w:themeColor="text1"/>
          <w:lang w:val="en-GB"/>
        </w:rPr>
        <w:t>.</w:t>
      </w:r>
      <w:r w:rsidR="003F08D1" w:rsidRPr="0074371D">
        <w:rPr>
          <w:color w:val="000000" w:themeColor="text1"/>
          <w:lang w:val="en-GB"/>
        </w:rPr>
        <w:t>62</w:t>
      </w:r>
      <w:r w:rsidRPr="0074371D">
        <w:rPr>
          <w:color w:val="000000" w:themeColor="text1"/>
          <w:lang w:val="en-GB"/>
        </w:rPr>
        <w:t>-1</w:t>
      </w:r>
      <w:r w:rsidR="00481638" w:rsidRPr="0074371D">
        <w:rPr>
          <w:color w:val="000000" w:themeColor="text1"/>
          <w:lang w:val="en-GB"/>
        </w:rPr>
        <w:t>·</w:t>
      </w:r>
      <w:r w:rsidR="003F08D1" w:rsidRPr="0074371D">
        <w:rPr>
          <w:color w:val="000000" w:themeColor="text1"/>
          <w:lang w:val="en-GB"/>
        </w:rPr>
        <w:t>49</w:t>
      </w:r>
      <w:r w:rsidRPr="0074371D">
        <w:rPr>
          <w:color w:val="000000" w:themeColor="text1"/>
          <w:lang w:val="en-GB"/>
        </w:rPr>
        <w:t>]);</w:t>
      </w:r>
      <w:r w:rsidRPr="003F08D1">
        <w:rPr>
          <w:color w:val="FF0000"/>
          <w:lang w:val="en-GB"/>
        </w:rPr>
        <w:t xml:space="preserve"> </w:t>
      </w:r>
      <w:r w:rsidRPr="00FA6555">
        <w:rPr>
          <w:lang w:val="en-GB"/>
        </w:rPr>
        <w:t xml:space="preserve">and 9 (75·0%) subjects in the placebo group (Table </w:t>
      </w:r>
      <w:r w:rsidR="0066505D">
        <w:rPr>
          <w:lang w:val="en-GB"/>
        </w:rPr>
        <w:t>E</w:t>
      </w:r>
      <w:r w:rsidR="00EA2153">
        <w:rPr>
          <w:lang w:val="en-GB"/>
        </w:rPr>
        <w:t>5</w:t>
      </w:r>
      <w:r w:rsidRPr="00FA6555">
        <w:rPr>
          <w:lang w:val="en-GB"/>
        </w:rPr>
        <w:t>). Again, there were no significant differences between groups and no increase in AEs after boost compared with prime</w:t>
      </w:r>
      <w:r w:rsidR="00326E63">
        <w:rPr>
          <w:lang w:val="en-GB"/>
        </w:rPr>
        <w:t xml:space="preserve"> (</w:t>
      </w:r>
      <w:r w:rsidR="00326E63" w:rsidRPr="0074371D">
        <w:rPr>
          <w:color w:val="000000" w:themeColor="text1"/>
          <w:lang w:val="en-GB"/>
        </w:rPr>
        <w:t>Chi-square test for trend p=0</w:t>
      </w:r>
      <w:r w:rsidR="00481638" w:rsidRPr="0074371D">
        <w:rPr>
          <w:color w:val="000000" w:themeColor="text1"/>
          <w:lang w:val="en-GB"/>
        </w:rPr>
        <w:t>·</w:t>
      </w:r>
      <w:r w:rsidR="00326E63" w:rsidRPr="0074371D">
        <w:rPr>
          <w:color w:val="000000" w:themeColor="text1"/>
          <w:lang w:val="en-GB"/>
        </w:rPr>
        <w:t>73)</w:t>
      </w:r>
      <w:r w:rsidRPr="0074371D">
        <w:rPr>
          <w:color w:val="000000" w:themeColor="text1"/>
          <w:lang w:val="en-GB"/>
        </w:rPr>
        <w:t xml:space="preserve">. </w:t>
      </w:r>
      <w:r w:rsidRPr="00FA6555">
        <w:rPr>
          <w:lang w:val="en-GB"/>
        </w:rPr>
        <w:t>Severe solicited systemi</w:t>
      </w:r>
      <w:r>
        <w:rPr>
          <w:lang w:val="en-GB"/>
        </w:rPr>
        <w:t xml:space="preserve">c AEs were reported only in those with </w:t>
      </w:r>
      <w:r w:rsidRPr="00FA6555">
        <w:rPr>
          <w:lang w:val="en-GB"/>
        </w:rPr>
        <w:t xml:space="preserve">concomitant viral infections. Therefore, with the caveat of a single SAE of uncertain </w:t>
      </w:r>
      <w:r>
        <w:rPr>
          <w:lang w:val="en-GB"/>
        </w:rPr>
        <w:t>a</w:t>
      </w:r>
      <w:r w:rsidRPr="00FA6555">
        <w:rPr>
          <w:lang w:val="en-GB"/>
        </w:rPr>
        <w:t xml:space="preserve">etiology, </w:t>
      </w:r>
      <w:proofErr w:type="spellStart"/>
      <w:r w:rsidRPr="00FA6555">
        <w:rPr>
          <w:lang w:val="en-GB"/>
        </w:rPr>
        <w:t>SynGEM</w:t>
      </w:r>
      <w:proofErr w:type="spellEnd"/>
      <w:r w:rsidRPr="00FA6555">
        <w:rPr>
          <w:lang w:val="en-GB"/>
        </w:rPr>
        <w:t xml:space="preserve"> was generally safe and well-tolerated.</w:t>
      </w:r>
    </w:p>
    <w:p w14:paraId="516F769C" w14:textId="77777777" w:rsidR="008E288B" w:rsidRDefault="008E288B" w:rsidP="008E288B">
      <w:pPr>
        <w:pStyle w:val="Paragraph"/>
        <w:spacing w:line="480" w:lineRule="auto"/>
        <w:jc w:val="both"/>
        <w:rPr>
          <w:lang w:val="en-GB"/>
        </w:rPr>
      </w:pPr>
    </w:p>
    <w:p w14:paraId="691D6AA4" w14:textId="77777777" w:rsidR="002E6F92" w:rsidRPr="002E6F92" w:rsidRDefault="002E6F92" w:rsidP="002E6F92">
      <w:pPr>
        <w:spacing w:before="120" w:line="480" w:lineRule="auto"/>
        <w:jc w:val="both"/>
        <w:rPr>
          <w:rFonts w:eastAsia="Times New Roman"/>
          <w:i/>
          <w:sz w:val="24"/>
          <w:szCs w:val="24"/>
        </w:rPr>
      </w:pPr>
      <w:proofErr w:type="spellStart"/>
      <w:r w:rsidRPr="002E6F92">
        <w:rPr>
          <w:rFonts w:eastAsia="Times New Roman"/>
          <w:i/>
          <w:sz w:val="24"/>
          <w:szCs w:val="24"/>
        </w:rPr>
        <w:t>SynGEM</w:t>
      </w:r>
      <w:proofErr w:type="spellEnd"/>
      <w:r w:rsidRPr="002E6F92">
        <w:rPr>
          <w:rFonts w:eastAsia="Times New Roman"/>
          <w:i/>
          <w:sz w:val="24"/>
          <w:szCs w:val="24"/>
        </w:rPr>
        <w:t xml:space="preserve"> significantly boosts F protein-specific serum IgG</w:t>
      </w:r>
    </w:p>
    <w:p w14:paraId="1D47D99A" w14:textId="0BCB30EB" w:rsidR="008E288B" w:rsidRPr="00FA6555" w:rsidRDefault="008E288B" w:rsidP="008E288B">
      <w:pPr>
        <w:pStyle w:val="Paragraph"/>
        <w:spacing w:line="480" w:lineRule="auto"/>
        <w:ind w:firstLine="0"/>
        <w:jc w:val="both"/>
        <w:rPr>
          <w:lang w:val="en-GB"/>
        </w:rPr>
      </w:pPr>
      <w:r w:rsidRPr="00FA6555">
        <w:rPr>
          <w:lang w:val="en-GB"/>
        </w:rPr>
        <w:t>Since the study period overlapped with the local RSV season, natural</w:t>
      </w:r>
      <w:r w:rsidR="00D669F1">
        <w:rPr>
          <w:lang w:val="en-GB"/>
        </w:rPr>
        <w:t xml:space="preserve"> RSV</w:t>
      </w:r>
      <w:r w:rsidRPr="00FA6555">
        <w:rPr>
          <w:lang w:val="en-GB"/>
        </w:rPr>
        <w:t xml:space="preserve"> infection was assessed by measuring seroconversion of </w:t>
      </w:r>
      <w:r w:rsidR="00D669F1">
        <w:rPr>
          <w:lang w:val="en-GB"/>
        </w:rPr>
        <w:t xml:space="preserve">RSV </w:t>
      </w:r>
      <w:r w:rsidRPr="00FA6555">
        <w:rPr>
          <w:lang w:val="en-GB"/>
        </w:rPr>
        <w:t>G-specific IgG levels</w:t>
      </w:r>
      <w:r w:rsidR="00CF5264">
        <w:rPr>
          <w:lang w:val="en-GB"/>
        </w:rPr>
        <w:t xml:space="preserve"> </w:t>
      </w:r>
      <w:r w:rsidR="00CF5264" w:rsidRPr="0074371D">
        <w:rPr>
          <w:color w:val="000000" w:themeColor="text1"/>
          <w:lang w:val="en-GB"/>
        </w:rPr>
        <w:t>as well as multiplex respiratory viral PCR of nasal lavage if participants attended with suggestive symptoms</w:t>
      </w:r>
      <w:r w:rsidRPr="0074371D">
        <w:rPr>
          <w:color w:val="000000" w:themeColor="text1"/>
          <w:lang w:val="en-GB"/>
        </w:rPr>
        <w:t>.</w:t>
      </w:r>
      <w:r w:rsidR="00CF5264" w:rsidRPr="0074371D">
        <w:rPr>
          <w:color w:val="000000" w:themeColor="text1"/>
          <w:lang w:val="en-GB"/>
        </w:rPr>
        <w:t xml:space="preserve"> No RSV infections were detected by PCR</w:t>
      </w:r>
      <w:r w:rsidRPr="0074371D">
        <w:rPr>
          <w:color w:val="000000" w:themeColor="text1"/>
          <w:lang w:val="en-GB"/>
        </w:rPr>
        <w:t xml:space="preserve"> </w:t>
      </w:r>
      <w:r w:rsidR="00CF5264" w:rsidRPr="0074371D">
        <w:rPr>
          <w:color w:val="000000" w:themeColor="text1"/>
          <w:lang w:val="en-GB"/>
        </w:rPr>
        <w:t>but a</w:t>
      </w:r>
      <w:r w:rsidR="006974EE" w:rsidRPr="0074371D">
        <w:rPr>
          <w:color w:val="000000" w:themeColor="text1"/>
          <w:lang w:val="en-GB"/>
        </w:rPr>
        <w:t xml:space="preserve"> total of</w:t>
      </w:r>
      <w:r w:rsidRPr="0074371D">
        <w:rPr>
          <w:color w:val="000000" w:themeColor="text1"/>
          <w:lang w:val="en-GB"/>
        </w:rPr>
        <w:t xml:space="preserve"> </w:t>
      </w:r>
      <w:r w:rsidR="006974EE" w:rsidRPr="0074371D">
        <w:rPr>
          <w:color w:val="000000" w:themeColor="text1"/>
          <w:lang w:val="en-GB"/>
        </w:rPr>
        <w:t xml:space="preserve">7 </w:t>
      </w:r>
      <w:r w:rsidRPr="0074371D">
        <w:rPr>
          <w:color w:val="000000" w:themeColor="text1"/>
          <w:lang w:val="en-GB"/>
        </w:rPr>
        <w:t xml:space="preserve">participants seroconverted </w:t>
      </w:r>
      <w:r w:rsidR="00CF5264" w:rsidRPr="0074371D">
        <w:rPr>
          <w:color w:val="000000" w:themeColor="text1"/>
          <w:lang w:val="en-GB"/>
        </w:rPr>
        <w:t xml:space="preserve">with G protein-specific responses </w:t>
      </w:r>
      <w:r w:rsidR="006974EE" w:rsidRPr="0074371D">
        <w:rPr>
          <w:color w:val="000000" w:themeColor="text1"/>
          <w:lang w:val="en-GB"/>
        </w:rPr>
        <w:t>during the study period</w:t>
      </w:r>
      <w:r w:rsidRPr="0074371D">
        <w:rPr>
          <w:color w:val="000000" w:themeColor="text1"/>
          <w:lang w:val="en-GB"/>
        </w:rPr>
        <w:t xml:space="preserve">, suggestive of natural infection (Figure </w:t>
      </w:r>
      <w:r w:rsidR="0066505D" w:rsidRPr="0074371D">
        <w:rPr>
          <w:color w:val="000000" w:themeColor="text1"/>
          <w:lang w:val="en-GB"/>
        </w:rPr>
        <w:t>E</w:t>
      </w:r>
      <w:r w:rsidRPr="0074371D">
        <w:rPr>
          <w:color w:val="000000" w:themeColor="text1"/>
          <w:lang w:val="en-GB"/>
        </w:rPr>
        <w:t xml:space="preserve">2). </w:t>
      </w:r>
      <w:r w:rsidRPr="00FA6555">
        <w:rPr>
          <w:lang w:val="en-GB"/>
        </w:rPr>
        <w:t xml:space="preserve">Measurements from these individuals at time-points </w:t>
      </w:r>
      <w:r w:rsidR="008222A9">
        <w:rPr>
          <w:lang w:val="en-GB"/>
        </w:rPr>
        <w:t>after G protein seroconversion</w:t>
      </w:r>
      <w:r w:rsidRPr="00FA6555">
        <w:rPr>
          <w:lang w:val="en-GB"/>
        </w:rPr>
        <w:t xml:space="preserve"> were excluded from subsequent analysis to avoid over-estimation of antibody </w:t>
      </w:r>
      <w:proofErr w:type="spellStart"/>
      <w:r w:rsidRPr="00FA6555">
        <w:rPr>
          <w:lang w:val="en-GB"/>
        </w:rPr>
        <w:t>titers</w:t>
      </w:r>
      <w:proofErr w:type="spellEnd"/>
      <w:r w:rsidRPr="00FA6555">
        <w:rPr>
          <w:lang w:val="en-GB"/>
        </w:rPr>
        <w:t xml:space="preserve"> by infection-induced immune responses.</w:t>
      </w:r>
    </w:p>
    <w:p w14:paraId="6873B1B3" w14:textId="71CC0C9D" w:rsidR="008E288B" w:rsidRPr="0074371D" w:rsidRDefault="008E288B" w:rsidP="008E288B">
      <w:pPr>
        <w:pStyle w:val="Paragraph"/>
        <w:spacing w:line="480" w:lineRule="auto"/>
        <w:ind w:firstLine="0"/>
        <w:jc w:val="both"/>
        <w:rPr>
          <w:color w:val="000000" w:themeColor="text1"/>
          <w:lang w:val="en-GB"/>
        </w:rPr>
      </w:pPr>
      <w:r w:rsidRPr="00FA6555">
        <w:rPr>
          <w:lang w:val="en-GB"/>
        </w:rPr>
        <w:t xml:space="preserve">F-specific serum IgG </w:t>
      </w:r>
      <w:proofErr w:type="spellStart"/>
      <w:r w:rsidRPr="00FA6555">
        <w:rPr>
          <w:lang w:val="en-GB"/>
        </w:rPr>
        <w:t>titers</w:t>
      </w:r>
      <w:proofErr w:type="spellEnd"/>
      <w:r w:rsidRPr="00FA6555">
        <w:rPr>
          <w:lang w:val="en-GB"/>
        </w:rPr>
        <w:t xml:space="preserve"> over the course of the study were measured by ELISA with </w:t>
      </w:r>
      <w:proofErr w:type="spellStart"/>
      <w:r w:rsidRPr="00FA6555">
        <w:rPr>
          <w:lang w:val="en-GB"/>
        </w:rPr>
        <w:t>unstabilized</w:t>
      </w:r>
      <w:proofErr w:type="spellEnd"/>
      <w:r w:rsidRPr="00FA6555">
        <w:rPr>
          <w:lang w:val="en-GB"/>
        </w:rPr>
        <w:t xml:space="preserve"> F protein as coating antigen. Pre-vaccination, all individuals already had moderate-to-high levels </w:t>
      </w:r>
      <w:r w:rsidRPr="0074371D">
        <w:rPr>
          <w:color w:val="000000" w:themeColor="text1"/>
          <w:lang w:val="en-GB"/>
        </w:rPr>
        <w:lastRenderedPageBreak/>
        <w:t xml:space="preserve">of anti-F IgG (low-dose geometric mean </w:t>
      </w:r>
      <w:proofErr w:type="spellStart"/>
      <w:r w:rsidRPr="0074371D">
        <w:rPr>
          <w:color w:val="000000" w:themeColor="text1"/>
          <w:lang w:val="en-GB"/>
        </w:rPr>
        <w:t>titer</w:t>
      </w:r>
      <w:proofErr w:type="spellEnd"/>
      <w:r w:rsidRPr="0074371D">
        <w:rPr>
          <w:color w:val="000000" w:themeColor="text1"/>
          <w:lang w:val="en-GB"/>
        </w:rPr>
        <w:t xml:space="preserve"> (GMT) </w:t>
      </w:r>
      <w:r w:rsidR="007B5CC7" w:rsidRPr="0074371D">
        <w:rPr>
          <w:color w:val="000000" w:themeColor="text1"/>
          <w:lang w:val="en-GB"/>
        </w:rPr>
        <w:t xml:space="preserve">[95% confidence interval (CI)] </w:t>
      </w:r>
      <w:r w:rsidRPr="0074371D">
        <w:rPr>
          <w:color w:val="000000" w:themeColor="text1"/>
          <w:lang w:val="en-GB"/>
        </w:rPr>
        <w:t xml:space="preserve">8·1 </w:t>
      </w:r>
      <w:r w:rsidR="007B5CC7" w:rsidRPr="0074371D">
        <w:rPr>
          <w:color w:val="000000" w:themeColor="text1"/>
          <w:lang w:val="en-GB"/>
        </w:rPr>
        <w:t>[7·5-8·7]</w:t>
      </w:r>
      <w:r w:rsidRPr="0074371D">
        <w:rPr>
          <w:color w:val="000000" w:themeColor="text1"/>
          <w:lang w:val="en-GB"/>
        </w:rPr>
        <w:t>; high-dose GMT 8·</w:t>
      </w:r>
      <w:r w:rsidR="007B5CC7" w:rsidRPr="0074371D">
        <w:rPr>
          <w:color w:val="000000" w:themeColor="text1"/>
          <w:lang w:val="en-GB"/>
        </w:rPr>
        <w:t>5</w:t>
      </w:r>
      <w:r w:rsidR="00B65841" w:rsidRPr="0074371D">
        <w:rPr>
          <w:color w:val="000000" w:themeColor="text1"/>
          <w:lang w:val="en-GB"/>
        </w:rPr>
        <w:t xml:space="preserve"> </w:t>
      </w:r>
      <w:r w:rsidR="007B5CC7" w:rsidRPr="0074371D">
        <w:rPr>
          <w:color w:val="000000" w:themeColor="text1"/>
          <w:lang w:val="en-GB"/>
        </w:rPr>
        <w:t>[8</w:t>
      </w:r>
      <w:r w:rsidR="001427FE" w:rsidRPr="0074371D">
        <w:rPr>
          <w:color w:val="000000" w:themeColor="text1"/>
          <w:lang w:val="en-GB"/>
        </w:rPr>
        <w:t>·</w:t>
      </w:r>
      <w:r w:rsidR="007B5CC7" w:rsidRPr="0074371D">
        <w:rPr>
          <w:color w:val="000000" w:themeColor="text1"/>
          <w:lang w:val="en-GB"/>
        </w:rPr>
        <w:t>1-8</w:t>
      </w:r>
      <w:r w:rsidR="001427FE" w:rsidRPr="0074371D">
        <w:rPr>
          <w:color w:val="000000" w:themeColor="text1"/>
          <w:lang w:val="en-GB"/>
        </w:rPr>
        <w:t>·</w:t>
      </w:r>
      <w:r w:rsidR="007B5CC7" w:rsidRPr="0074371D">
        <w:rPr>
          <w:color w:val="000000" w:themeColor="text1"/>
          <w:lang w:val="en-GB"/>
        </w:rPr>
        <w:t>9]</w:t>
      </w:r>
      <w:r w:rsidRPr="0074371D">
        <w:rPr>
          <w:color w:val="000000" w:themeColor="text1"/>
          <w:lang w:val="en-GB"/>
        </w:rPr>
        <w:t>; placebo GMT 8·1</w:t>
      </w:r>
      <w:r w:rsidR="001427FE" w:rsidRPr="0074371D">
        <w:rPr>
          <w:color w:val="000000" w:themeColor="text1"/>
          <w:lang w:val="en-GB"/>
        </w:rPr>
        <w:t xml:space="preserve"> [7·6-8·7]</w:t>
      </w:r>
      <w:r w:rsidR="00D669F1" w:rsidRPr="0074371D">
        <w:rPr>
          <w:color w:val="000000" w:themeColor="text1"/>
          <w:lang w:val="en-GB"/>
        </w:rPr>
        <w:t>)</w:t>
      </w:r>
      <w:r w:rsidRPr="0074371D">
        <w:rPr>
          <w:color w:val="000000" w:themeColor="text1"/>
          <w:lang w:val="en-GB"/>
        </w:rPr>
        <w:t xml:space="preserve">(Figure 1). There was a trend towards average baseline anti-F IgG being higher in the high-dose group (Mann Whitney test, placebo vs. high </w:t>
      </w:r>
      <w:r w:rsidR="00D669F1" w:rsidRPr="0074371D">
        <w:rPr>
          <w:color w:val="000000" w:themeColor="text1"/>
          <w:lang w:val="en-GB"/>
        </w:rPr>
        <w:t>p=</w:t>
      </w:r>
      <w:r w:rsidRPr="0074371D">
        <w:rPr>
          <w:color w:val="000000" w:themeColor="text1"/>
          <w:lang w:val="en-GB"/>
        </w:rPr>
        <w:t>0·2804; placebo vs. low = 0·8841; high vs. low = 0·2173)</w:t>
      </w:r>
      <w:r w:rsidR="00144E36" w:rsidRPr="0074371D">
        <w:rPr>
          <w:color w:val="000000" w:themeColor="text1"/>
          <w:lang w:val="en-GB"/>
        </w:rPr>
        <w:t xml:space="preserve"> </w:t>
      </w:r>
      <w:r w:rsidRPr="0074371D">
        <w:rPr>
          <w:color w:val="000000" w:themeColor="text1"/>
          <w:lang w:val="en-GB"/>
        </w:rPr>
        <w:t>(Figure 1A &amp; 1B).</w:t>
      </w:r>
    </w:p>
    <w:p w14:paraId="3975082E" w14:textId="33A04171" w:rsidR="008E288B" w:rsidRPr="0074371D" w:rsidRDefault="008E288B" w:rsidP="008E288B">
      <w:pPr>
        <w:pStyle w:val="Paragraph"/>
        <w:spacing w:line="480" w:lineRule="auto"/>
        <w:ind w:firstLine="0"/>
        <w:jc w:val="both"/>
        <w:rPr>
          <w:color w:val="000000" w:themeColor="text1"/>
          <w:lang w:val="en-GB"/>
        </w:rPr>
      </w:pPr>
      <w:r w:rsidRPr="0074371D">
        <w:rPr>
          <w:color w:val="000000" w:themeColor="text1"/>
          <w:lang w:val="en-GB"/>
        </w:rPr>
        <w:t xml:space="preserve">Following vaccination, anti-F IgG </w:t>
      </w:r>
      <w:r w:rsidR="00D669F1" w:rsidRPr="0074371D">
        <w:rPr>
          <w:color w:val="000000" w:themeColor="text1"/>
          <w:lang w:val="en-GB"/>
        </w:rPr>
        <w:t>titres</w:t>
      </w:r>
      <w:r w:rsidRPr="0074371D">
        <w:rPr>
          <w:color w:val="000000" w:themeColor="text1"/>
          <w:lang w:val="en-GB"/>
        </w:rPr>
        <w:t xml:space="preserve"> of both </w:t>
      </w:r>
      <w:r w:rsidR="00D669F1" w:rsidRPr="0074371D">
        <w:rPr>
          <w:color w:val="000000" w:themeColor="text1"/>
          <w:lang w:val="en-GB"/>
        </w:rPr>
        <w:t>dosing</w:t>
      </w:r>
      <w:r w:rsidRPr="0074371D">
        <w:rPr>
          <w:color w:val="000000" w:themeColor="text1"/>
          <w:lang w:val="en-GB"/>
        </w:rPr>
        <w:t xml:space="preserve"> groups increased significantly after the first dose; </w:t>
      </w:r>
      <w:r w:rsidR="00D669F1" w:rsidRPr="0074371D">
        <w:rPr>
          <w:color w:val="000000" w:themeColor="text1"/>
          <w:lang w:val="en-GB"/>
        </w:rPr>
        <w:t xml:space="preserve">from </w:t>
      </w:r>
      <w:r w:rsidRPr="0074371D">
        <w:rPr>
          <w:color w:val="000000" w:themeColor="text1"/>
          <w:lang w:val="en-GB"/>
        </w:rPr>
        <w:t>GMT 8·1 to GMT 8·</w:t>
      </w:r>
      <w:r w:rsidR="001427FE" w:rsidRPr="0074371D">
        <w:rPr>
          <w:color w:val="000000" w:themeColor="text1"/>
          <w:lang w:val="en-GB"/>
        </w:rPr>
        <w:t xml:space="preserve">5 </w:t>
      </w:r>
      <w:r w:rsidR="00D669F1" w:rsidRPr="0074371D">
        <w:rPr>
          <w:color w:val="000000" w:themeColor="text1"/>
          <w:lang w:val="en-GB"/>
        </w:rPr>
        <w:t>(low-dose</w:t>
      </w:r>
      <w:r w:rsidRPr="0074371D">
        <w:rPr>
          <w:color w:val="000000" w:themeColor="text1"/>
          <w:lang w:val="en-GB"/>
        </w:rPr>
        <w:t>, p=0·0005</w:t>
      </w:r>
      <w:r w:rsidR="00D669F1" w:rsidRPr="0074371D">
        <w:rPr>
          <w:color w:val="000000" w:themeColor="text1"/>
          <w:lang w:val="en-GB"/>
        </w:rPr>
        <w:t>)</w:t>
      </w:r>
      <w:r w:rsidRPr="0074371D">
        <w:rPr>
          <w:color w:val="000000" w:themeColor="text1"/>
          <w:lang w:val="en-GB"/>
        </w:rPr>
        <w:t>(Figure 1C &amp; 1D) and GMT 8·</w:t>
      </w:r>
      <w:r w:rsidR="001427FE" w:rsidRPr="0074371D">
        <w:rPr>
          <w:color w:val="000000" w:themeColor="text1"/>
          <w:lang w:val="en-GB"/>
        </w:rPr>
        <w:t xml:space="preserve">5 </w:t>
      </w:r>
      <w:r w:rsidRPr="0074371D">
        <w:rPr>
          <w:color w:val="000000" w:themeColor="text1"/>
          <w:lang w:val="en-GB"/>
        </w:rPr>
        <w:t xml:space="preserve">to GMT </w:t>
      </w:r>
      <w:r w:rsidR="001427FE" w:rsidRPr="0074371D">
        <w:rPr>
          <w:color w:val="000000" w:themeColor="text1"/>
          <w:lang w:val="en-GB"/>
        </w:rPr>
        <w:t>9·0</w:t>
      </w:r>
      <w:r w:rsidRPr="0074371D">
        <w:rPr>
          <w:color w:val="000000" w:themeColor="text1"/>
          <w:lang w:val="en-GB"/>
        </w:rPr>
        <w:t xml:space="preserve"> </w:t>
      </w:r>
      <w:r w:rsidR="00D669F1" w:rsidRPr="0074371D">
        <w:rPr>
          <w:color w:val="000000" w:themeColor="text1"/>
          <w:lang w:val="en-GB"/>
        </w:rPr>
        <w:t>(high-dose</w:t>
      </w:r>
      <w:r w:rsidRPr="0074371D">
        <w:rPr>
          <w:color w:val="000000" w:themeColor="text1"/>
          <w:lang w:val="en-GB"/>
        </w:rPr>
        <w:t>, p&lt;0·0001)(Figure 1E &amp; 1F). In the low-dose group, this incremented further on boost vaccination (GMT 8·</w:t>
      </w:r>
      <w:r w:rsidR="005A2BCC" w:rsidRPr="0074371D">
        <w:rPr>
          <w:color w:val="000000" w:themeColor="text1"/>
          <w:lang w:val="en-GB"/>
        </w:rPr>
        <w:t xml:space="preserve">5 </w:t>
      </w:r>
      <w:r w:rsidRPr="0074371D">
        <w:rPr>
          <w:color w:val="000000" w:themeColor="text1"/>
          <w:lang w:val="en-GB"/>
        </w:rPr>
        <w:t>at day 28 to GMT 8·</w:t>
      </w:r>
      <w:r w:rsidR="005A2BCC" w:rsidRPr="0074371D">
        <w:rPr>
          <w:color w:val="000000" w:themeColor="text1"/>
          <w:lang w:val="en-GB"/>
        </w:rPr>
        <w:t xml:space="preserve">8 </w:t>
      </w:r>
      <w:r w:rsidRPr="0074371D">
        <w:rPr>
          <w:color w:val="000000" w:themeColor="text1"/>
          <w:lang w:val="en-GB"/>
        </w:rPr>
        <w:t>on day 56, p=0·0108). Interestingly, anti-F IgG levels continued to increment to GMT 9·</w:t>
      </w:r>
      <w:r w:rsidR="005A2BCC" w:rsidRPr="0074371D">
        <w:rPr>
          <w:color w:val="000000" w:themeColor="text1"/>
          <w:lang w:val="en-GB"/>
        </w:rPr>
        <w:t>8</w:t>
      </w:r>
      <w:r w:rsidRPr="0074371D">
        <w:rPr>
          <w:color w:val="000000" w:themeColor="text1"/>
          <w:lang w:val="en-GB"/>
        </w:rPr>
        <w:t xml:space="preserve"> (p=0·0001) at day 180 (Figure 1E) after low-dose vaccination. In the high-dose group, peak anti-F IgG levels were achieved after a single vaccination</w:t>
      </w:r>
      <w:r w:rsidR="00E10B67" w:rsidRPr="0074371D">
        <w:rPr>
          <w:color w:val="000000" w:themeColor="text1"/>
          <w:lang w:val="en-GB"/>
        </w:rPr>
        <w:t xml:space="preserve"> with no further statistically significant increase</w:t>
      </w:r>
      <w:r w:rsidR="00D669F1" w:rsidRPr="0074371D">
        <w:rPr>
          <w:color w:val="000000" w:themeColor="text1"/>
          <w:lang w:val="en-GB"/>
        </w:rPr>
        <w:t>.</w:t>
      </w:r>
      <w:r w:rsidRPr="0074371D">
        <w:rPr>
          <w:color w:val="000000" w:themeColor="text1"/>
          <w:lang w:val="en-GB"/>
        </w:rPr>
        <w:t xml:space="preserve"> </w:t>
      </w:r>
      <w:r w:rsidR="00D669F1" w:rsidRPr="0074371D">
        <w:rPr>
          <w:color w:val="000000" w:themeColor="text1"/>
          <w:lang w:val="en-GB"/>
        </w:rPr>
        <w:t>I</w:t>
      </w:r>
      <w:r w:rsidRPr="0074371D">
        <w:rPr>
          <w:color w:val="000000" w:themeColor="text1"/>
          <w:lang w:val="en-GB"/>
        </w:rPr>
        <w:t xml:space="preserve">n both </w:t>
      </w:r>
      <w:r w:rsidR="00101C94" w:rsidRPr="0074371D">
        <w:rPr>
          <w:color w:val="000000" w:themeColor="text1"/>
          <w:lang w:val="en-GB"/>
        </w:rPr>
        <w:t>dosing</w:t>
      </w:r>
      <w:r w:rsidRPr="0074371D">
        <w:rPr>
          <w:color w:val="000000" w:themeColor="text1"/>
          <w:lang w:val="en-GB"/>
        </w:rPr>
        <w:t xml:space="preserve"> groups, serum anti-F IgG </w:t>
      </w:r>
      <w:proofErr w:type="spellStart"/>
      <w:r w:rsidRPr="0074371D">
        <w:rPr>
          <w:color w:val="000000" w:themeColor="text1"/>
          <w:lang w:val="en-GB"/>
        </w:rPr>
        <w:t>titers</w:t>
      </w:r>
      <w:proofErr w:type="spellEnd"/>
      <w:r w:rsidRPr="0074371D">
        <w:rPr>
          <w:color w:val="000000" w:themeColor="text1"/>
          <w:lang w:val="en-GB"/>
        </w:rPr>
        <w:t xml:space="preserve"> remained significantly elevated </w:t>
      </w:r>
      <w:r w:rsidR="0010344B" w:rsidRPr="0074371D">
        <w:rPr>
          <w:color w:val="000000" w:themeColor="text1"/>
          <w:lang w:val="en-GB"/>
        </w:rPr>
        <w:t>through to</w:t>
      </w:r>
      <w:r w:rsidRPr="0074371D">
        <w:rPr>
          <w:color w:val="000000" w:themeColor="text1"/>
          <w:lang w:val="en-GB"/>
        </w:rPr>
        <w:t xml:space="preserve"> the end of the follow-up period (6 months post-“prime”). Despite the significant increases in virus-specific serum IgG, </w:t>
      </w:r>
      <w:r w:rsidR="00A61915" w:rsidRPr="0074371D">
        <w:rPr>
          <w:color w:val="000000" w:themeColor="text1"/>
          <w:lang w:val="en-GB"/>
        </w:rPr>
        <w:t xml:space="preserve">maximal </w:t>
      </w:r>
      <w:r w:rsidRPr="0074371D">
        <w:rPr>
          <w:color w:val="000000" w:themeColor="text1"/>
          <w:lang w:val="en-GB"/>
        </w:rPr>
        <w:t>fold-changes following vaccination were modest</w:t>
      </w:r>
      <w:r w:rsidR="00A61915" w:rsidRPr="0074371D">
        <w:rPr>
          <w:color w:val="000000" w:themeColor="text1"/>
          <w:lang w:val="en-GB"/>
        </w:rPr>
        <w:t xml:space="preserve"> </w:t>
      </w:r>
      <w:r w:rsidR="009A64BC" w:rsidRPr="0074371D">
        <w:rPr>
          <w:color w:val="000000" w:themeColor="text1"/>
          <w:lang w:val="en-GB"/>
        </w:rPr>
        <w:t>(2.43</w:t>
      </w:r>
      <w:r w:rsidR="00A61915" w:rsidRPr="0074371D">
        <w:rPr>
          <w:color w:val="000000" w:themeColor="text1"/>
          <w:lang w:val="en-GB"/>
        </w:rPr>
        <w:t xml:space="preserve"> at day 120 in the low-dose and </w:t>
      </w:r>
      <w:r w:rsidR="009A64BC" w:rsidRPr="0074371D">
        <w:rPr>
          <w:color w:val="000000" w:themeColor="text1"/>
          <w:lang w:val="en-GB"/>
        </w:rPr>
        <w:t>1.54</w:t>
      </w:r>
      <w:r w:rsidR="00A61915" w:rsidRPr="0074371D">
        <w:rPr>
          <w:color w:val="000000" w:themeColor="text1"/>
          <w:lang w:val="en-GB"/>
        </w:rPr>
        <w:t xml:space="preserve"> at day </w:t>
      </w:r>
      <w:r w:rsidR="009A64BC" w:rsidRPr="0074371D">
        <w:rPr>
          <w:color w:val="000000" w:themeColor="text1"/>
          <w:lang w:val="en-GB"/>
        </w:rPr>
        <w:t>56</w:t>
      </w:r>
      <w:r w:rsidR="00A61915" w:rsidRPr="0074371D">
        <w:rPr>
          <w:color w:val="000000" w:themeColor="text1"/>
          <w:lang w:val="en-GB"/>
        </w:rPr>
        <w:t xml:space="preserve"> in the high-dose group)</w:t>
      </w:r>
      <w:r w:rsidR="006974EE" w:rsidRPr="0074371D">
        <w:rPr>
          <w:color w:val="000000" w:themeColor="text1"/>
          <w:lang w:val="en-GB"/>
        </w:rPr>
        <w:t xml:space="preserve">, given the high pre-vaccination </w:t>
      </w:r>
      <w:proofErr w:type="spellStart"/>
      <w:r w:rsidR="006974EE" w:rsidRPr="0074371D">
        <w:rPr>
          <w:color w:val="000000" w:themeColor="text1"/>
          <w:lang w:val="en-GB"/>
        </w:rPr>
        <w:t>titers</w:t>
      </w:r>
      <w:proofErr w:type="spellEnd"/>
      <w:r w:rsidRPr="0074371D">
        <w:rPr>
          <w:color w:val="000000" w:themeColor="text1"/>
          <w:lang w:val="en-GB"/>
        </w:rPr>
        <w:t xml:space="preserve"> (Figure 1D &amp; 1F). </w:t>
      </w:r>
      <w:r w:rsidR="006974EE" w:rsidRPr="0074371D">
        <w:rPr>
          <w:color w:val="000000" w:themeColor="text1"/>
          <w:lang w:val="en-GB"/>
        </w:rPr>
        <w:t>Nevertheless, F-specific antibodies were boosted in both vaccinated groups, with serum antibody levels persisting up to 6 months.</w:t>
      </w:r>
    </w:p>
    <w:p w14:paraId="230B8974" w14:textId="77777777" w:rsidR="008E288B" w:rsidRPr="00FA6555" w:rsidRDefault="008E288B" w:rsidP="008E288B">
      <w:pPr>
        <w:pStyle w:val="Paragraph"/>
        <w:spacing w:line="480" w:lineRule="auto"/>
        <w:ind w:firstLine="0"/>
        <w:jc w:val="both"/>
        <w:rPr>
          <w:lang w:val="en-GB"/>
        </w:rPr>
      </w:pPr>
    </w:p>
    <w:p w14:paraId="061D4E6C" w14:textId="7DFB9467" w:rsidR="008E288B" w:rsidRPr="00FA6555" w:rsidRDefault="00BD404D" w:rsidP="008E288B">
      <w:pPr>
        <w:pStyle w:val="Paragraph"/>
        <w:spacing w:line="480" w:lineRule="auto"/>
        <w:ind w:firstLine="0"/>
        <w:jc w:val="both"/>
        <w:rPr>
          <w:lang w:val="en-GB"/>
        </w:rPr>
      </w:pPr>
      <w:r>
        <w:rPr>
          <w:lang w:val="en-GB"/>
        </w:rPr>
        <w:t>A</w:t>
      </w:r>
      <w:r w:rsidR="008E288B" w:rsidRPr="00FA6555">
        <w:rPr>
          <w:lang w:val="en-GB"/>
        </w:rPr>
        <w:t xml:space="preserve"> second ELISA assay using a stabilized pre-F protein (DS-Cav1) was used to test whether </w:t>
      </w:r>
      <w:r w:rsidR="00DD1E0D">
        <w:rPr>
          <w:lang w:val="en-GB"/>
        </w:rPr>
        <w:t xml:space="preserve">additional </w:t>
      </w:r>
      <w:r w:rsidR="008E288B" w:rsidRPr="00FA6555">
        <w:rPr>
          <w:lang w:val="en-GB"/>
        </w:rPr>
        <w:t xml:space="preserve">pre-fusion specific antibodies could be detected. Surprisingly, anti-F IgG </w:t>
      </w:r>
      <w:proofErr w:type="spellStart"/>
      <w:r w:rsidR="008E288B" w:rsidRPr="00FA6555">
        <w:rPr>
          <w:lang w:val="en-GB"/>
        </w:rPr>
        <w:t>titers</w:t>
      </w:r>
      <w:proofErr w:type="spellEnd"/>
      <w:r w:rsidR="008E288B" w:rsidRPr="00FA6555">
        <w:rPr>
          <w:lang w:val="en-GB"/>
        </w:rPr>
        <w:t xml:space="preserve"> measured using the pre-fusion F antigen showed less statistically significant responses (Figure </w:t>
      </w:r>
      <w:r w:rsidR="0066505D">
        <w:rPr>
          <w:lang w:val="en-GB"/>
        </w:rPr>
        <w:t>E</w:t>
      </w:r>
      <w:r w:rsidR="008E288B" w:rsidRPr="00FA6555">
        <w:rPr>
          <w:lang w:val="en-GB"/>
        </w:rPr>
        <w:t xml:space="preserve">3). </w:t>
      </w:r>
      <w:r w:rsidR="00DD1E0D">
        <w:rPr>
          <w:lang w:val="en-GB"/>
        </w:rPr>
        <w:t>T</w:t>
      </w:r>
      <w:r w:rsidR="008E288B" w:rsidRPr="00FA6555">
        <w:rPr>
          <w:lang w:val="en-GB"/>
        </w:rPr>
        <w:t xml:space="preserve">he associated fold-changes were </w:t>
      </w:r>
      <w:r w:rsidR="00DD1E0D">
        <w:rPr>
          <w:lang w:val="en-GB"/>
        </w:rPr>
        <w:t xml:space="preserve">also </w:t>
      </w:r>
      <w:r w:rsidR="008E288B" w:rsidRPr="00FA6555">
        <w:rPr>
          <w:lang w:val="en-GB"/>
        </w:rPr>
        <w:t xml:space="preserve">less marked than detection by the post-F assay. Thus, measurement of serum anti-F IgG </w:t>
      </w:r>
      <w:proofErr w:type="spellStart"/>
      <w:r w:rsidR="008E288B" w:rsidRPr="00FA6555">
        <w:rPr>
          <w:lang w:val="en-GB"/>
        </w:rPr>
        <w:t>titers</w:t>
      </w:r>
      <w:proofErr w:type="spellEnd"/>
      <w:r w:rsidR="008E288B" w:rsidRPr="00FA6555">
        <w:rPr>
          <w:lang w:val="en-GB"/>
        </w:rPr>
        <w:t xml:space="preserve"> by stabilized F and </w:t>
      </w:r>
      <w:proofErr w:type="spellStart"/>
      <w:r w:rsidR="008E288B" w:rsidRPr="00FA6555">
        <w:rPr>
          <w:lang w:val="en-GB"/>
        </w:rPr>
        <w:t>unstabilized</w:t>
      </w:r>
      <w:proofErr w:type="spellEnd"/>
      <w:r w:rsidR="008E288B" w:rsidRPr="00FA6555">
        <w:rPr>
          <w:lang w:val="en-GB"/>
        </w:rPr>
        <w:t xml:space="preserve"> F-protein ELISAs did not give fully concordant results.</w:t>
      </w:r>
    </w:p>
    <w:p w14:paraId="2D563AA9" w14:textId="77777777" w:rsidR="008E288B" w:rsidRDefault="008E288B" w:rsidP="002E6F92">
      <w:pPr>
        <w:pStyle w:val="Paragraph"/>
        <w:spacing w:line="480" w:lineRule="auto"/>
        <w:jc w:val="both"/>
        <w:rPr>
          <w:lang w:val="en-GB"/>
        </w:rPr>
      </w:pPr>
    </w:p>
    <w:p w14:paraId="5CA4FD60" w14:textId="48F973A2" w:rsidR="002E6F92" w:rsidRPr="00BC0D6F" w:rsidRDefault="002E6F92" w:rsidP="002E6F92">
      <w:pPr>
        <w:pStyle w:val="Paragraph"/>
        <w:spacing w:line="480" w:lineRule="auto"/>
        <w:ind w:firstLine="0"/>
        <w:jc w:val="both"/>
        <w:rPr>
          <w:lang w:val="en-GB"/>
        </w:rPr>
      </w:pPr>
      <w:proofErr w:type="spellStart"/>
      <w:r w:rsidRPr="00BC0D6F">
        <w:rPr>
          <w:rFonts w:eastAsia="Calibri"/>
          <w:i/>
        </w:rPr>
        <w:t>SynGEM</w:t>
      </w:r>
      <w:proofErr w:type="spellEnd"/>
      <w:r w:rsidRPr="00BC0D6F">
        <w:rPr>
          <w:rFonts w:eastAsia="Calibri"/>
          <w:i/>
        </w:rPr>
        <w:t xml:space="preserve"> preferentially induces non-neutralizing palivizumab-competing antibodies</w:t>
      </w:r>
    </w:p>
    <w:p w14:paraId="09DC4825" w14:textId="150990E4" w:rsidR="00053B52" w:rsidRDefault="008E288B" w:rsidP="008E288B">
      <w:pPr>
        <w:pStyle w:val="Paragraph"/>
        <w:spacing w:line="480" w:lineRule="auto"/>
        <w:ind w:firstLine="0"/>
        <w:jc w:val="both"/>
        <w:rPr>
          <w:lang w:val="en-GB"/>
        </w:rPr>
      </w:pPr>
      <w:r w:rsidRPr="00FA6555">
        <w:rPr>
          <w:lang w:val="en-GB"/>
        </w:rPr>
        <w:t>To further investigate the quality and functionality of the induced antibod</w:t>
      </w:r>
      <w:r w:rsidR="00DD1E0D">
        <w:rPr>
          <w:lang w:val="en-GB"/>
        </w:rPr>
        <w:t>ies</w:t>
      </w:r>
      <w:r w:rsidRPr="00FA6555">
        <w:rPr>
          <w:lang w:val="en-GB"/>
        </w:rPr>
        <w:t xml:space="preserve">, serum neutralizing antibodies against RSV were measured plaque-reduction neutralization </w:t>
      </w:r>
      <w:proofErr w:type="spellStart"/>
      <w:r w:rsidRPr="00FA6555">
        <w:rPr>
          <w:lang w:val="en-GB"/>
        </w:rPr>
        <w:t>titer</w:t>
      </w:r>
      <w:proofErr w:type="spellEnd"/>
      <w:r w:rsidRPr="00FA6555">
        <w:rPr>
          <w:lang w:val="en-GB"/>
        </w:rPr>
        <w:t xml:space="preserve"> (PRNT) assay (Figure 2A, 2D and 2G). In contrast to the highly significant increases in post-F ELISA-binding antibodies, no increment in neutralizing antibodies was detectable. This implied that the systemic antibodies induced by </w:t>
      </w:r>
      <w:proofErr w:type="spellStart"/>
      <w:r w:rsidRPr="00FA6555">
        <w:rPr>
          <w:lang w:val="en-GB"/>
        </w:rPr>
        <w:t>SynGEM</w:t>
      </w:r>
      <w:proofErr w:type="spellEnd"/>
      <w:r w:rsidRPr="00FA6555">
        <w:rPr>
          <w:lang w:val="en-GB"/>
        </w:rPr>
        <w:t xml:space="preserve"> were preferentially non-neutralizing. To investigate this in more detail, competition ELISAs were performed to estimate the contribution of palivizumab-competing antibodies, which recognize the site II epitope present on both pre- and post-fusion conformations of F (Figure 2B, 2E, 2H), and D25-competing antibodies, which bind the site Ø unique to pre-fusion F (Figure 2C, 2F and 2I). As with the total F protein ELISA, significant increments in palivizumab-competing antibodies were shown following prime and boost (</w:t>
      </w:r>
      <w:r w:rsidR="00CE10C2">
        <w:rPr>
          <w:lang w:val="en-GB"/>
        </w:rPr>
        <w:t xml:space="preserve">low-dose </w:t>
      </w:r>
      <w:r w:rsidRPr="00FA6555">
        <w:rPr>
          <w:lang w:val="en-GB"/>
        </w:rPr>
        <w:t xml:space="preserve">GMT 12·7 </w:t>
      </w:r>
      <w:r w:rsidR="00040434">
        <w:rPr>
          <w:lang w:val="en-GB"/>
        </w:rPr>
        <w:t>[12</w:t>
      </w:r>
      <w:r w:rsidR="00040434" w:rsidRPr="00FA6555">
        <w:rPr>
          <w:lang w:val="en-GB"/>
        </w:rPr>
        <w:t>·</w:t>
      </w:r>
      <w:r w:rsidR="00040434">
        <w:rPr>
          <w:lang w:val="en-GB"/>
        </w:rPr>
        <w:t>3-13</w:t>
      </w:r>
      <w:r w:rsidR="00040434" w:rsidRPr="00FA6555">
        <w:rPr>
          <w:lang w:val="en-GB"/>
        </w:rPr>
        <w:t>·</w:t>
      </w:r>
      <w:r w:rsidR="00040434">
        <w:rPr>
          <w:lang w:val="en-GB"/>
        </w:rPr>
        <w:t xml:space="preserve">1] </w:t>
      </w:r>
      <w:r w:rsidRPr="00FA6555">
        <w:rPr>
          <w:lang w:val="en-GB"/>
        </w:rPr>
        <w:t xml:space="preserve">pre-vaccination to GMT 13·3 </w:t>
      </w:r>
      <w:r w:rsidR="00040434">
        <w:rPr>
          <w:lang w:val="en-GB"/>
        </w:rPr>
        <w:t>[12</w:t>
      </w:r>
      <w:r w:rsidR="00040434" w:rsidRPr="00FA6555">
        <w:rPr>
          <w:lang w:val="en-GB"/>
        </w:rPr>
        <w:t>·</w:t>
      </w:r>
      <w:r w:rsidR="00040434">
        <w:rPr>
          <w:lang w:val="en-GB"/>
        </w:rPr>
        <w:t>8-13</w:t>
      </w:r>
      <w:r w:rsidR="00040434" w:rsidRPr="00FA6555">
        <w:rPr>
          <w:lang w:val="en-GB"/>
        </w:rPr>
        <w:t>·</w:t>
      </w:r>
      <w:r w:rsidR="00040434">
        <w:rPr>
          <w:lang w:val="en-GB"/>
        </w:rPr>
        <w:t>8]</w:t>
      </w:r>
      <w:r w:rsidRPr="00FA6555">
        <w:rPr>
          <w:lang w:val="en-GB"/>
        </w:rPr>
        <w:t xml:space="preserve"> at day 56, p&lt;0·0001</w:t>
      </w:r>
      <w:r w:rsidR="00CE10C2">
        <w:rPr>
          <w:lang w:val="en-GB"/>
        </w:rPr>
        <w:t>;</w:t>
      </w:r>
      <w:r w:rsidRPr="00FA6555">
        <w:rPr>
          <w:lang w:val="en-GB"/>
        </w:rPr>
        <w:t xml:space="preserve"> </w:t>
      </w:r>
      <w:r w:rsidR="00CE10C2">
        <w:rPr>
          <w:lang w:val="en-GB"/>
        </w:rPr>
        <w:t xml:space="preserve"> high-dose </w:t>
      </w:r>
      <w:r w:rsidRPr="00FA6555">
        <w:rPr>
          <w:lang w:val="en-GB"/>
        </w:rPr>
        <w:t xml:space="preserve">GMT 12·7 </w:t>
      </w:r>
      <w:r w:rsidR="00040434">
        <w:rPr>
          <w:lang w:val="en-GB"/>
        </w:rPr>
        <w:t>[12</w:t>
      </w:r>
      <w:r w:rsidR="00040434" w:rsidRPr="00FA6555">
        <w:rPr>
          <w:lang w:val="en-GB"/>
        </w:rPr>
        <w:t>·</w:t>
      </w:r>
      <w:r w:rsidR="00040434">
        <w:rPr>
          <w:lang w:val="en-GB"/>
        </w:rPr>
        <w:t>3-13</w:t>
      </w:r>
      <w:r w:rsidR="00040434" w:rsidRPr="00FA6555">
        <w:rPr>
          <w:lang w:val="en-GB"/>
        </w:rPr>
        <w:t>·</w:t>
      </w:r>
      <w:r w:rsidR="00040434">
        <w:rPr>
          <w:lang w:val="en-GB"/>
        </w:rPr>
        <w:t>1]</w:t>
      </w:r>
      <w:r w:rsidRPr="00FA6555">
        <w:rPr>
          <w:lang w:val="en-GB"/>
        </w:rPr>
        <w:t xml:space="preserve"> to GMT 13·6 </w:t>
      </w:r>
      <w:r w:rsidR="00040434">
        <w:rPr>
          <w:lang w:val="en-GB"/>
        </w:rPr>
        <w:t>[13</w:t>
      </w:r>
      <w:r w:rsidR="00040434" w:rsidRPr="00FA6555">
        <w:rPr>
          <w:lang w:val="en-GB"/>
        </w:rPr>
        <w:t>·</w:t>
      </w:r>
      <w:r w:rsidR="00040434">
        <w:rPr>
          <w:lang w:val="en-GB"/>
        </w:rPr>
        <w:t>1-14</w:t>
      </w:r>
      <w:r w:rsidR="00040434" w:rsidRPr="00FA6555">
        <w:rPr>
          <w:lang w:val="en-GB"/>
        </w:rPr>
        <w:t>·</w:t>
      </w:r>
      <w:r w:rsidR="00040434">
        <w:rPr>
          <w:lang w:val="en-GB"/>
        </w:rPr>
        <w:t xml:space="preserve">1] </w:t>
      </w:r>
      <w:r w:rsidRPr="00FA6555">
        <w:rPr>
          <w:lang w:val="en-GB"/>
        </w:rPr>
        <w:t xml:space="preserve">at day 56, p&lt;0·0001). In contrast, no rises were seen in D25-competing antibodies. Thus, </w:t>
      </w:r>
      <w:proofErr w:type="spellStart"/>
      <w:r w:rsidRPr="00FA6555">
        <w:rPr>
          <w:lang w:val="en-GB"/>
        </w:rPr>
        <w:t>SynGEM</w:t>
      </w:r>
      <w:proofErr w:type="spellEnd"/>
      <w:r w:rsidR="00CE10C2">
        <w:rPr>
          <w:lang w:val="en-GB"/>
        </w:rPr>
        <w:t xml:space="preserve"> primarily</w:t>
      </w:r>
      <w:r w:rsidRPr="00FA6555">
        <w:rPr>
          <w:lang w:val="en-GB"/>
        </w:rPr>
        <w:t xml:space="preserve"> </w:t>
      </w:r>
      <w:r w:rsidR="00CE10C2">
        <w:rPr>
          <w:lang w:val="en-GB"/>
        </w:rPr>
        <w:t>induced</w:t>
      </w:r>
      <w:r w:rsidRPr="00FA6555">
        <w:rPr>
          <w:lang w:val="en-GB"/>
        </w:rPr>
        <w:t xml:space="preserve"> anti-F IgG directed against epitopes common to both pre- and post-fusion F but </w:t>
      </w:r>
      <w:r w:rsidR="0034296F">
        <w:rPr>
          <w:lang w:val="en-GB"/>
        </w:rPr>
        <w:t>little</w:t>
      </w:r>
      <w:r w:rsidRPr="00FA6555">
        <w:rPr>
          <w:lang w:val="en-GB"/>
        </w:rPr>
        <w:t xml:space="preserve"> site Ø or neutralizing </w:t>
      </w:r>
      <w:r w:rsidR="0034296F">
        <w:rPr>
          <w:lang w:val="en-GB"/>
        </w:rPr>
        <w:t>antibody</w:t>
      </w:r>
      <w:r w:rsidRPr="00FA6555">
        <w:rPr>
          <w:lang w:val="en-GB"/>
        </w:rPr>
        <w:t xml:space="preserve">. </w:t>
      </w:r>
    </w:p>
    <w:p w14:paraId="312E7867" w14:textId="77777777" w:rsidR="002E6F92" w:rsidRDefault="002E6F92" w:rsidP="002E6F92">
      <w:pPr>
        <w:spacing w:before="120" w:line="480" w:lineRule="auto"/>
        <w:jc w:val="both"/>
        <w:rPr>
          <w:rFonts w:eastAsia="Times New Roman"/>
          <w:i/>
          <w:sz w:val="24"/>
          <w:szCs w:val="24"/>
        </w:rPr>
      </w:pPr>
    </w:p>
    <w:p w14:paraId="24D5F9E6" w14:textId="6C310F8D" w:rsidR="002E6F92" w:rsidRPr="002E6F92" w:rsidRDefault="002E6F92" w:rsidP="002E6F92">
      <w:pPr>
        <w:spacing w:before="120" w:line="480" w:lineRule="auto"/>
        <w:jc w:val="both"/>
        <w:rPr>
          <w:rFonts w:eastAsia="Times New Roman"/>
          <w:i/>
          <w:sz w:val="24"/>
          <w:szCs w:val="24"/>
        </w:rPr>
      </w:pPr>
      <w:r w:rsidRPr="002E6F92">
        <w:rPr>
          <w:rFonts w:eastAsia="Times New Roman"/>
          <w:i/>
          <w:sz w:val="24"/>
          <w:szCs w:val="24"/>
        </w:rPr>
        <w:t xml:space="preserve">Nasal anti-RSV IgA responses demonstrate marked variance following </w:t>
      </w:r>
      <w:proofErr w:type="spellStart"/>
      <w:r w:rsidRPr="002E6F92">
        <w:rPr>
          <w:rFonts w:eastAsia="Times New Roman"/>
          <w:i/>
          <w:sz w:val="24"/>
          <w:szCs w:val="24"/>
        </w:rPr>
        <w:t>SynGEM</w:t>
      </w:r>
      <w:proofErr w:type="spellEnd"/>
      <w:r w:rsidRPr="002E6F92">
        <w:rPr>
          <w:rFonts w:eastAsia="Times New Roman"/>
          <w:i/>
          <w:sz w:val="24"/>
          <w:szCs w:val="24"/>
        </w:rPr>
        <w:t xml:space="preserve"> vaccination</w:t>
      </w:r>
    </w:p>
    <w:p w14:paraId="4E1AA557" w14:textId="162950BB" w:rsidR="008E288B" w:rsidRPr="00FA6555" w:rsidRDefault="008E288B" w:rsidP="008E288B">
      <w:pPr>
        <w:pStyle w:val="Paragraph"/>
        <w:spacing w:line="480" w:lineRule="auto"/>
        <w:ind w:firstLine="0"/>
        <w:jc w:val="both"/>
        <w:rPr>
          <w:lang w:val="en-GB"/>
        </w:rPr>
      </w:pPr>
      <w:r w:rsidRPr="00FA6555">
        <w:rPr>
          <w:lang w:val="en-GB"/>
        </w:rPr>
        <w:t xml:space="preserve">We hypothesized that intranasal delivery of RSV F protein-BLPs could preferentially induce nasal s-IgA and therefore enhance local protection. Using a validated IgA ELISA, we therefore </w:t>
      </w:r>
      <w:proofErr w:type="spellStart"/>
      <w:r w:rsidRPr="00FA6555">
        <w:rPr>
          <w:lang w:val="en-GB"/>
        </w:rPr>
        <w:t>analyzed</w:t>
      </w:r>
      <w:proofErr w:type="spellEnd"/>
      <w:r w:rsidRPr="00FA6555">
        <w:rPr>
          <w:lang w:val="en-GB"/>
        </w:rPr>
        <w:t xml:space="preserve"> the induction of anti-F s-IgA in nasal lavage samples. Compared to serum anti-F IgG, there was greater inter-individual variability in nasal IgA </w:t>
      </w:r>
      <w:proofErr w:type="spellStart"/>
      <w:r w:rsidRPr="00FA6555">
        <w:rPr>
          <w:lang w:val="en-GB"/>
        </w:rPr>
        <w:t>titers</w:t>
      </w:r>
      <w:proofErr w:type="spellEnd"/>
      <w:r w:rsidRPr="00FA6555">
        <w:rPr>
          <w:lang w:val="en-GB"/>
        </w:rPr>
        <w:t xml:space="preserve"> and response to vaccination. Pre-vaccination, </w:t>
      </w:r>
      <w:r w:rsidRPr="00FA6555">
        <w:rPr>
          <w:lang w:val="en-GB"/>
        </w:rPr>
        <w:lastRenderedPageBreak/>
        <w:t xml:space="preserve">nasal IgA endpoint </w:t>
      </w:r>
      <w:proofErr w:type="spellStart"/>
      <w:r w:rsidRPr="00FA6555">
        <w:rPr>
          <w:lang w:val="en-GB"/>
        </w:rPr>
        <w:t>titers</w:t>
      </w:r>
      <w:proofErr w:type="spellEnd"/>
      <w:r w:rsidRPr="00FA6555">
        <w:rPr>
          <w:lang w:val="en-GB"/>
        </w:rPr>
        <w:t xml:space="preserve"> showed a wide range, with the greatest variance seen in the low dose group, within which the log2 </w:t>
      </w:r>
      <w:proofErr w:type="spellStart"/>
      <w:r w:rsidRPr="00FA6555">
        <w:rPr>
          <w:lang w:val="en-GB"/>
        </w:rPr>
        <w:t>titer</w:t>
      </w:r>
      <w:proofErr w:type="spellEnd"/>
      <w:r w:rsidRPr="00FA6555">
        <w:rPr>
          <w:lang w:val="en-GB"/>
        </w:rPr>
        <w:t xml:space="preserve"> ranged from a minimum of 6·0 to a maximum of 14·2. (Figure 3A, 3B, and 3C). Following vaccination, analysis of each group in totality showed a significant </w:t>
      </w:r>
      <w:proofErr w:type="spellStart"/>
      <w:r w:rsidRPr="00FA6555">
        <w:rPr>
          <w:lang w:val="en-GB"/>
        </w:rPr>
        <w:t>titer</w:t>
      </w:r>
      <w:proofErr w:type="spellEnd"/>
      <w:r w:rsidRPr="00FA6555">
        <w:rPr>
          <w:lang w:val="en-GB"/>
        </w:rPr>
        <w:t xml:space="preserve"> rise in the high-dose group at day 56 post-vaccination (GMT 9·</w:t>
      </w:r>
      <w:r w:rsidR="006678E8">
        <w:rPr>
          <w:lang w:val="en-GB"/>
        </w:rPr>
        <w:t>9</w:t>
      </w:r>
      <w:r w:rsidR="006678E8" w:rsidRPr="00FA6555">
        <w:rPr>
          <w:lang w:val="en-GB"/>
        </w:rPr>
        <w:t xml:space="preserve"> </w:t>
      </w:r>
      <w:r w:rsidRPr="00FA6555">
        <w:rPr>
          <w:lang w:val="en-GB"/>
        </w:rPr>
        <w:t xml:space="preserve">at day 56 compared with 9·0 pre-vaccination, p=0·009). However, examining the individual participant-level data (Figure 3D-3F), it was evident that this masked the </w:t>
      </w:r>
      <w:r w:rsidR="00FF7BEC">
        <w:rPr>
          <w:lang w:val="en-GB"/>
        </w:rPr>
        <w:t>wide</w:t>
      </w:r>
      <w:r w:rsidRPr="00FA6555">
        <w:rPr>
          <w:lang w:val="en-GB"/>
        </w:rPr>
        <w:t xml:space="preserve"> differences between individuals both in magnitude and kinetics. We therefore </w:t>
      </w:r>
      <w:r w:rsidR="00FF7BEC">
        <w:rPr>
          <w:lang w:val="en-GB"/>
        </w:rPr>
        <w:t xml:space="preserve">performed </w:t>
      </w:r>
      <w:r w:rsidRPr="00FA6555">
        <w:rPr>
          <w:lang w:val="en-GB"/>
        </w:rPr>
        <w:t>cluster</w:t>
      </w:r>
      <w:r w:rsidR="00FF7BEC">
        <w:rPr>
          <w:lang w:val="en-GB"/>
        </w:rPr>
        <w:t xml:space="preserve"> analysis of</w:t>
      </w:r>
      <w:r w:rsidRPr="00FA6555">
        <w:rPr>
          <w:lang w:val="en-GB"/>
        </w:rPr>
        <w:t xml:space="preserve"> </w:t>
      </w:r>
      <w:proofErr w:type="spellStart"/>
      <w:r w:rsidRPr="00FA6555">
        <w:rPr>
          <w:lang w:val="en-GB"/>
        </w:rPr>
        <w:t>vaccinees</w:t>
      </w:r>
      <w:proofErr w:type="spellEnd"/>
      <w:r w:rsidRPr="00FA6555">
        <w:rPr>
          <w:lang w:val="en-GB"/>
        </w:rPr>
        <w:t xml:space="preserve"> according to the timing of their maximal nasal IgA fold-change to further explore the diversity of response</w:t>
      </w:r>
      <w:r w:rsidR="00FF7BEC">
        <w:rPr>
          <w:lang w:val="en-GB"/>
        </w:rPr>
        <w:t>s</w:t>
      </w:r>
      <w:r w:rsidRPr="00FA6555">
        <w:rPr>
          <w:lang w:val="en-GB"/>
        </w:rPr>
        <w:t xml:space="preserve">. </w:t>
      </w:r>
    </w:p>
    <w:p w14:paraId="6F45CDEC" w14:textId="2E8E4C9A" w:rsidR="008E288B" w:rsidRPr="00FA6555" w:rsidRDefault="008E288B" w:rsidP="008E288B">
      <w:pPr>
        <w:pStyle w:val="Paragraph"/>
        <w:spacing w:line="480" w:lineRule="auto"/>
        <w:jc w:val="both"/>
        <w:rPr>
          <w:lang w:val="en-GB"/>
        </w:rPr>
      </w:pPr>
    </w:p>
    <w:p w14:paraId="638D100E" w14:textId="7BB0F4B0" w:rsidR="008E288B" w:rsidRDefault="008E288B" w:rsidP="008E288B">
      <w:pPr>
        <w:pStyle w:val="Paragraph"/>
        <w:spacing w:line="480" w:lineRule="auto"/>
        <w:ind w:firstLine="0"/>
        <w:jc w:val="both"/>
        <w:rPr>
          <w:lang w:val="en-GB"/>
        </w:rPr>
      </w:pPr>
      <w:r w:rsidRPr="00FA6555">
        <w:rPr>
          <w:lang w:val="en-GB"/>
        </w:rPr>
        <w:t>By Fisher’s exact test, a significantly higher proportion of individuals in the vaccinated cohorts underwent a ≥2-fold rise at any time post-vaccination than in the placebo group (p=0·0236).  While some changes were seen in the placebo group, these were few and of low magnitude (Figure 3D).</w:t>
      </w:r>
      <w:r w:rsidRPr="00FA6555" w:rsidDel="00D729B8">
        <w:rPr>
          <w:lang w:val="en-GB"/>
        </w:rPr>
        <w:t xml:space="preserve"> </w:t>
      </w:r>
      <w:r w:rsidRPr="00FA6555">
        <w:rPr>
          <w:lang w:val="en-GB"/>
        </w:rPr>
        <w:t xml:space="preserve">In contrast, in the low dose group, 13/18 (72%) demonstrated a &gt;2-fold rise (5 showing maximal change compared with pre-vaccination at day 28, 4 at day 56, and 4 at day 120) (Figure 3E). In the high-dose group, 13/18 (72%) also showed an increment (5 changing maximally compared with pre-vaccination at day 28, 5 at day 56, and 3 at day 120) (Figure 3F). Furthermore, while maximal fold-change in the placebo group was only 8·6, individuals in the vaccinated groups displayed strikingly large fold-changes of up to 98-fold increase. The size of vaccine responses correlated with lower pre-existing antibody </w:t>
      </w:r>
      <w:proofErr w:type="spellStart"/>
      <w:r w:rsidRPr="00FA6555">
        <w:rPr>
          <w:lang w:val="en-GB"/>
        </w:rPr>
        <w:t>titers</w:t>
      </w:r>
      <w:proofErr w:type="spellEnd"/>
      <w:r w:rsidRPr="00FA6555">
        <w:rPr>
          <w:lang w:val="en-GB"/>
        </w:rPr>
        <w:t xml:space="preserve"> (Figure </w:t>
      </w:r>
      <w:r w:rsidR="0066505D">
        <w:rPr>
          <w:lang w:val="en-GB"/>
        </w:rPr>
        <w:t>E</w:t>
      </w:r>
      <w:r w:rsidRPr="00FA6555">
        <w:rPr>
          <w:lang w:val="en-GB"/>
        </w:rPr>
        <w:t xml:space="preserve">4), suggesting </w:t>
      </w:r>
      <w:r w:rsidR="000B0A44">
        <w:rPr>
          <w:lang w:val="en-GB"/>
        </w:rPr>
        <w:t xml:space="preserve">either </w:t>
      </w:r>
      <w:r w:rsidRPr="00FA6555">
        <w:rPr>
          <w:lang w:val="en-GB"/>
        </w:rPr>
        <w:t xml:space="preserve">that </w:t>
      </w:r>
      <w:r w:rsidR="000B0A44">
        <w:rPr>
          <w:lang w:val="en-GB"/>
        </w:rPr>
        <w:t>pre-existing</w:t>
      </w:r>
      <w:r w:rsidRPr="00FA6555">
        <w:rPr>
          <w:lang w:val="en-GB"/>
        </w:rPr>
        <w:t xml:space="preserve"> anti-F IgA impaired the vaccine </w:t>
      </w:r>
      <w:r w:rsidR="000B0A44">
        <w:rPr>
          <w:lang w:val="en-GB"/>
        </w:rPr>
        <w:t xml:space="preserve">response </w:t>
      </w:r>
      <w:r w:rsidRPr="00FA6555">
        <w:rPr>
          <w:lang w:val="en-GB"/>
        </w:rPr>
        <w:t xml:space="preserve">or a ceiling of antibody production was being reached. Thus, although the small sample size and heterogeneity of responses limit interpretation, these data imply that </w:t>
      </w:r>
      <w:proofErr w:type="spellStart"/>
      <w:r w:rsidRPr="00FA6555">
        <w:rPr>
          <w:lang w:val="en-GB"/>
        </w:rPr>
        <w:t>SynGEM</w:t>
      </w:r>
      <w:proofErr w:type="spellEnd"/>
      <w:r w:rsidRPr="00FA6555">
        <w:rPr>
          <w:lang w:val="en-GB"/>
        </w:rPr>
        <w:t xml:space="preserve"> does induce RSV-specific mucosal IgA in most individuals, sometimes with </w:t>
      </w:r>
      <w:r w:rsidR="009B3E56">
        <w:rPr>
          <w:lang w:val="en-GB"/>
        </w:rPr>
        <w:t>highly dynamic</w:t>
      </w:r>
      <w:r w:rsidRPr="00FA6555">
        <w:rPr>
          <w:lang w:val="en-GB"/>
        </w:rPr>
        <w:t xml:space="preserve"> responses particularly in those with low pre-existing F-specific IgA </w:t>
      </w:r>
      <w:proofErr w:type="spellStart"/>
      <w:r w:rsidRPr="00FA6555">
        <w:rPr>
          <w:lang w:val="en-GB"/>
        </w:rPr>
        <w:t>titers</w:t>
      </w:r>
      <w:proofErr w:type="spellEnd"/>
      <w:r w:rsidRPr="00FA6555">
        <w:rPr>
          <w:lang w:val="en-GB"/>
        </w:rPr>
        <w:t>.</w:t>
      </w:r>
    </w:p>
    <w:p w14:paraId="658E7EDE" w14:textId="77777777" w:rsidR="00AB387C" w:rsidRPr="00053B52" w:rsidRDefault="00AB387C" w:rsidP="00053B52">
      <w:pPr>
        <w:pStyle w:val="Paragraph"/>
        <w:spacing w:line="480" w:lineRule="auto"/>
        <w:ind w:firstLine="0"/>
        <w:jc w:val="both"/>
        <w:rPr>
          <w:sz w:val="20"/>
          <w:szCs w:val="20"/>
          <w:lang w:val="en-GB"/>
        </w:rPr>
      </w:pPr>
    </w:p>
    <w:p w14:paraId="5ECDDBB6" w14:textId="6B62A628" w:rsidR="002E6F92" w:rsidRPr="002E6F92" w:rsidRDefault="002E6F92" w:rsidP="002E6F92">
      <w:pPr>
        <w:spacing w:before="120" w:line="480" w:lineRule="auto"/>
        <w:jc w:val="both"/>
        <w:rPr>
          <w:rFonts w:eastAsia="Times New Roman"/>
          <w:i/>
          <w:sz w:val="24"/>
          <w:szCs w:val="24"/>
        </w:rPr>
      </w:pPr>
      <w:r w:rsidRPr="002E6F92">
        <w:rPr>
          <w:rFonts w:eastAsia="Times New Roman"/>
          <w:i/>
          <w:sz w:val="24"/>
          <w:szCs w:val="24"/>
        </w:rPr>
        <w:t xml:space="preserve">Intranasal </w:t>
      </w:r>
      <w:proofErr w:type="spellStart"/>
      <w:r w:rsidRPr="002E6F92">
        <w:rPr>
          <w:rFonts w:eastAsia="Times New Roman"/>
          <w:i/>
          <w:sz w:val="24"/>
          <w:szCs w:val="24"/>
        </w:rPr>
        <w:t>SynGEM</w:t>
      </w:r>
      <w:proofErr w:type="spellEnd"/>
      <w:r w:rsidRPr="002E6F92">
        <w:rPr>
          <w:rFonts w:eastAsia="Times New Roman"/>
          <w:i/>
          <w:sz w:val="24"/>
          <w:szCs w:val="24"/>
        </w:rPr>
        <w:t xml:space="preserve"> vaccination induces dose-dependent divergence in systemic </w:t>
      </w:r>
      <w:proofErr w:type="spellStart"/>
      <w:r w:rsidRPr="002E6F92">
        <w:rPr>
          <w:rFonts w:eastAsia="Times New Roman"/>
          <w:i/>
          <w:sz w:val="24"/>
          <w:szCs w:val="24"/>
        </w:rPr>
        <w:t>plasmablast</w:t>
      </w:r>
      <w:proofErr w:type="spellEnd"/>
      <w:r w:rsidRPr="002E6F92">
        <w:rPr>
          <w:rFonts w:eastAsia="Times New Roman"/>
          <w:i/>
          <w:sz w:val="24"/>
          <w:szCs w:val="24"/>
        </w:rPr>
        <w:t xml:space="preserve"> responses</w:t>
      </w:r>
    </w:p>
    <w:p w14:paraId="3381699C" w14:textId="40F5DAB0" w:rsidR="008E288B" w:rsidRPr="00FA6555" w:rsidRDefault="008E288B" w:rsidP="008E288B">
      <w:pPr>
        <w:pStyle w:val="Paragraph"/>
        <w:spacing w:line="480" w:lineRule="auto"/>
        <w:ind w:firstLine="0"/>
        <w:jc w:val="both"/>
        <w:rPr>
          <w:lang w:val="en-GB"/>
        </w:rPr>
      </w:pPr>
      <w:r w:rsidRPr="00FA6555">
        <w:rPr>
          <w:lang w:val="en-GB"/>
        </w:rPr>
        <w:t xml:space="preserve">Systemic vaccines including inactivated influenza and live yellow fever vaccines have been consistently shown to stimulate short-lived </w:t>
      </w:r>
      <w:proofErr w:type="spellStart"/>
      <w:r w:rsidRPr="00FA6555">
        <w:rPr>
          <w:lang w:val="en-GB"/>
        </w:rPr>
        <w:t>plasmablasts</w:t>
      </w:r>
      <w:proofErr w:type="spellEnd"/>
      <w:r w:rsidRPr="00FA6555">
        <w:rPr>
          <w:lang w:val="en-GB"/>
        </w:rPr>
        <w:t xml:space="preserve"> that correlate with seroconversion </w:t>
      </w:r>
      <w:r w:rsidRPr="00FA6555">
        <w:rPr>
          <w:lang w:val="en-GB"/>
        </w:rPr>
        <w:fldChar w:fldCharType="begin"/>
      </w:r>
      <w:r w:rsidR="00094A1B">
        <w:rPr>
          <w:lang w:val="en-GB"/>
        </w:rPr>
        <w:instrText xml:space="preserve"> ADDIN ZOTERO_ITEM CSL_CITATION {"citationID":"KCVRqiUq","properties":{"formattedCitation":"(19)","plainCitation":"(19)","noteIndex":0},"citationItems":[{"id":"35rDZLyI/wGu3xjfU","uris":["http://zotero.org/users/837702/items/E64BC8I4"],"uri":["http://zotero.org/users/837702/items/E64BC8I4"],"itemData":{"id":5989,"type":"article-journal","title":"Pandemic H1N1 influenza vaccine induces a recall response in humans that favors broadly cross-reactive memory B cells","container-title":"Proceedings of the National Academy of Sciences","page":"9047–9052","volume":"109","issue":"23","source":"Google Scholar","author":[{"family":"Li","given":"Gui-Mei"},{"family":"Chiu","given":"Christopher"},{"family":"Wrammert","given":"Jens"},{"family":"McCausland","given":"Megan"},{"family":"Andrews","given":"Sarah F."},{"family":"Zheng","given":"Nai-Ying"},{"family":"Lee","given":"Jane-Hwei"},{"family":"Huang","given":"Min"},{"family":"Qu","given":"Xinyan"},{"family":"Edupuganti","given":"Srilatha"}],"issued":{"date-parts":[["2012"]]}}}],"schema":"https://github.com/citation-style-language/schema/raw/master/csl-citation.json"} </w:instrText>
      </w:r>
      <w:r w:rsidRPr="00FA6555">
        <w:rPr>
          <w:lang w:val="en-GB"/>
        </w:rPr>
        <w:fldChar w:fldCharType="separate"/>
      </w:r>
      <w:r w:rsidR="00094A1B" w:rsidRPr="00094A1B">
        <w:t>(19)</w:t>
      </w:r>
      <w:r w:rsidRPr="00FA6555">
        <w:rPr>
          <w:lang w:val="en-GB"/>
        </w:rPr>
        <w:fldChar w:fldCharType="end"/>
      </w:r>
      <w:r w:rsidRPr="00FA6555">
        <w:rPr>
          <w:lang w:val="en-GB"/>
        </w:rPr>
        <w:t xml:space="preserve">. In contrast, live attenuated intranasal and replication-incompetent viral vectored vaccines in adults rarely induce </w:t>
      </w:r>
      <w:proofErr w:type="spellStart"/>
      <w:r w:rsidRPr="00FA6555">
        <w:rPr>
          <w:lang w:val="en-GB"/>
        </w:rPr>
        <w:t>plasmablasts</w:t>
      </w:r>
      <w:proofErr w:type="spellEnd"/>
      <w:r w:rsidRPr="00FA6555">
        <w:rPr>
          <w:lang w:val="en-GB"/>
        </w:rPr>
        <w:t xml:space="preserve"> in the blood </w:t>
      </w:r>
      <w:r w:rsidRPr="00FA6555">
        <w:rPr>
          <w:lang w:val="en-GB"/>
        </w:rPr>
        <w:fldChar w:fldCharType="begin"/>
      </w:r>
      <w:r w:rsidR="00094A1B">
        <w:rPr>
          <w:lang w:val="en-GB"/>
        </w:rPr>
        <w:instrText xml:space="preserve"> ADDIN ZOTERO_ITEM CSL_CITATION {"citationID":"gbDfsoxX","properties":{"formattedCitation":"(20, 21)","plainCitation":"(20, 21)","noteIndex":0},"citationItems":[{"id":"35rDZLyI/oopGkEai","uris":["http://zotero.org/users/837702/items/W43QRSU9"],"uri":["http://zotero.org/users/837702/items/W43QRSU9"],"itemData":{"id":7676,"type":"article-journal","title":"Chimpanzee adenovirus– and MVA-vectored respiratory syncytial virus vaccine is safe and immunogenic in adults","container-title":"Science Translational Medicine","page":"300ra126-300ra126","volume":"7","issue":"300","source":"stm.sciencemag.org","abstract":"RSV vaccine cows infection\nRespiratory syncytial virus (RSV) causes a severe lower respiratory tract disease that affects both children and the elderly. Vaccines have shown promise in rodents and nonhuman primates, but it remains unclear if these models reflect human RSV infection. Now, two papers by Taylor et al. and Green et al. translate one vaccine strategy first into calves, which are natural hosts of bovine RSV, and then into humans in a phase 1 clinical trial. A prime-boost strategy protected against upper and lower respiratory tract infection and pulmonary disease induced by heterologous bovine RSV challenge in calves and demonstrated safety and immunogenicity in humans. These data support further trials to test vaccine efficacy in human patients.\nRespiratory syncytial virus (RSV) causes respiratory infection in annual epidemics, with infants and the elderly at particular risk of developing severe disease and death. However, despite its importance, no vaccine exists. The chimpanzee adenovirus, PanAd3-RSV, and modified vaccinia virus Ankara, MVA-RSV, are replication-defective viral vectors encoding the RSV fusion (F), nucleocapsid (N), and matrix (M2-1) proteins for the induction of humoral and cellular responses. We performed an open-label, dose escalation, phase 1 clinical trial in 42 healthy adults in which four different combinations of prime/boost vaccinations were investigated for safety and immunogenicity, including both intramuscular (IM) and intranasal (IN) administration of the adenovirus-vectored vaccine. The vaccines were safe and well tolerated, with the most common reported adverse events being mild injection site reactions. No vaccine-related serious adverse events occurred. RSV neutralizing antibody titers rose in response to IM prime with PanAd3-RSV and after IM boost for individuals primed by the IN route. Circulating anti-F immunoglobulin G (IgG) and IgA antibody-secreting cells (ASCs) were observed after the IM prime and IM boost. RSV-specific T cell responses were increased after the IM PanAd3-RSV prime and were most efficiently boosted by IM MVA-RSV. Interferon-γ (IFN-γ) secretion after boost was from both CD4+ and CD8+ T cells, without detectable T helper cell 2 (TH2) cytokines that have been previously associated with immune pathogenesis following exposure to RSV after the formalin-inactivated RSV vaccine. In conclusion, PanAd3-RSV and MVA-RSV are safe and immunogenic in healthy adults. These vaccine candidates warrant further clinical evaluation of efficacy to assess their potential to reduce the burden of RSV disease.\nThe RSV vaccine candidates PanAd3-RSV and MVA-RSV were safe and immunogenic in healthy adults.\nThe RSV vaccine candidates PanAd3-RSV and MVA-RSV were safe and immunogenic in healthy adults.","DOI":"10.1126/scitranslmed.aac5745","ISSN":"1946-6234, 1946-6242","note":"PMID: 26268313","language":"en","author":[{"family":"Green","given":"Christopher A."},{"family":"Scarselli","given":"Elisa"},{"family":"Sande","given":"Charles J."},{"family":"Thompson","given":"Amber J."},{"family":"Lara","given":"Catherine M.","dropping-particle":"de"},{"family":"Taylor","given":"Kathryn S."},{"family":"Haworth","given":"Kathryn"},{"family":"Sorbo","given":"Mariarosaria Del"},{"family":"Angus","given":"Brian"},{"family":"Siani","given":"Loredana"},{"family":"Marco","given":"Stefania Di"},{"family":"Traboni","given":"Cinzia"},{"family":"Folgori","given":"Antonella"},{"family":"Colloca","given":"Stefano"},{"family":"Capone","given":"Stefania"},{"family":"Vitelli","given":"Alessandra"},{"family":"Cortese","given":"Riccardo"},{"family":"Klenerman","given":"Paul"},{"family":"Nicosia","given":"Alfredo"},{"family":"Pollard","given":"Andrew J."}],"issued":{"date-parts":[["2015",8,12]]}}},{"id":"35rDZLyI/joMTGJLz","uris":["http://zotero.org/users/837702/items/ZAU88MP2"],"uri":["http://zotero.org/users/837702/items/ZAU88MP2"],"itemData":{"id":2232,"type":"article-journal","title":"Comparison of the Influenza Virus-Specific Effector and Memory B-Cell Responses to Immunization of Children and Adults with Live Attenuated or Inactivated Influenza Virus Vaccines","container-title":"Journal of Virology","page":"215-228","volume":"81","source":"CrossRef","DOI":"10.1128/JVI.01957-06","ISSN":"0022-538X","author":[{"family":"Sasaki","given":"S."},{"family":"Jaimes","given":"M. C."},{"family":"Holmes","given":"T. H."},{"family":"Dekker","given":"C. L."},{"family":"Mahmood","given":"K."},{"family":"Kemble","given":"G. W."},{"family":"Arvin","given":"A. M."},{"family":"Greenberg","given":"H. B."}],"issued":{"date-parts":[["2006",10,18]]}}}],"schema":"https://github.com/citation-style-language/schema/raw/master/csl-citation.json"} </w:instrText>
      </w:r>
      <w:r w:rsidRPr="00FA6555">
        <w:rPr>
          <w:lang w:val="en-GB"/>
        </w:rPr>
        <w:fldChar w:fldCharType="separate"/>
      </w:r>
      <w:r w:rsidR="00094A1B" w:rsidRPr="00094A1B">
        <w:t>(20, 21)</w:t>
      </w:r>
      <w:r w:rsidRPr="00FA6555">
        <w:rPr>
          <w:lang w:val="en-GB"/>
        </w:rPr>
        <w:fldChar w:fldCharType="end"/>
      </w:r>
      <w:r w:rsidRPr="00FA6555">
        <w:rPr>
          <w:lang w:val="en-GB"/>
        </w:rPr>
        <w:t xml:space="preserve">. The </w:t>
      </w:r>
      <w:proofErr w:type="spellStart"/>
      <w:r w:rsidRPr="00FA6555">
        <w:rPr>
          <w:lang w:val="en-GB"/>
        </w:rPr>
        <w:t>plasmablast</w:t>
      </w:r>
      <w:proofErr w:type="spellEnd"/>
      <w:r w:rsidRPr="00FA6555">
        <w:rPr>
          <w:lang w:val="en-GB"/>
        </w:rPr>
        <w:t xml:space="preserve"> response to </w:t>
      </w:r>
      <w:proofErr w:type="spellStart"/>
      <w:r w:rsidRPr="00FA6555">
        <w:rPr>
          <w:lang w:val="en-GB"/>
        </w:rPr>
        <w:t>SynGEM</w:t>
      </w:r>
      <w:proofErr w:type="spellEnd"/>
      <w:r w:rsidRPr="00FA6555">
        <w:rPr>
          <w:lang w:val="en-GB"/>
        </w:rPr>
        <w:t xml:space="preserve"> was therefore investigated using flow cytometry but, due to high background and variance, no significant changes were seen (Figure </w:t>
      </w:r>
      <w:r w:rsidR="0066505D">
        <w:rPr>
          <w:lang w:val="en-GB"/>
        </w:rPr>
        <w:t>E</w:t>
      </w:r>
      <w:r w:rsidRPr="00FA6555">
        <w:rPr>
          <w:lang w:val="en-GB"/>
        </w:rPr>
        <w:t xml:space="preserve">5). </w:t>
      </w:r>
    </w:p>
    <w:p w14:paraId="06BD43CB" w14:textId="13C9E33A" w:rsidR="008E288B" w:rsidRPr="0074371D" w:rsidRDefault="008E288B" w:rsidP="008E288B">
      <w:pPr>
        <w:pStyle w:val="Paragraph"/>
        <w:spacing w:line="480" w:lineRule="auto"/>
        <w:ind w:firstLine="0"/>
        <w:jc w:val="both"/>
        <w:rPr>
          <w:color w:val="000000" w:themeColor="text1"/>
          <w:lang w:val="en-GB"/>
        </w:rPr>
      </w:pPr>
      <w:r w:rsidRPr="00FA6555">
        <w:rPr>
          <w:lang w:val="en-GB"/>
        </w:rPr>
        <w:t xml:space="preserve">To better assess the antigen-specific B cells response to vaccination, B cell ELISpots were then performed to quantify IgG- and IgA-producing antibody-secreting cells (ASCs) recognizing </w:t>
      </w:r>
      <w:proofErr w:type="spellStart"/>
      <w:r w:rsidRPr="00FA6555">
        <w:rPr>
          <w:lang w:val="en-GB"/>
        </w:rPr>
        <w:t>unstabilized</w:t>
      </w:r>
      <w:proofErr w:type="spellEnd"/>
      <w:r w:rsidRPr="00FA6555">
        <w:rPr>
          <w:lang w:val="en-GB"/>
        </w:rPr>
        <w:t xml:space="preserve"> recombinant F protein (Figure 4). Both low- and high-dose </w:t>
      </w:r>
      <w:proofErr w:type="spellStart"/>
      <w:r w:rsidRPr="00FA6555">
        <w:rPr>
          <w:lang w:val="en-GB"/>
        </w:rPr>
        <w:t>SynGEM</w:t>
      </w:r>
      <w:proofErr w:type="spellEnd"/>
      <w:r w:rsidRPr="00FA6555">
        <w:rPr>
          <w:lang w:val="en-GB"/>
        </w:rPr>
        <w:t xml:space="preserve"> induced IgG-producing ASCs in all vaccinated individuals 7 days post-“prime” (low-dose median 135 spots/million PBMCs IQR </w:t>
      </w:r>
      <w:r w:rsidR="004834C0" w:rsidRPr="0074371D">
        <w:rPr>
          <w:color w:val="000000" w:themeColor="text1"/>
          <w:lang w:val="en-GB"/>
        </w:rPr>
        <w:t>139</w:t>
      </w:r>
      <w:r w:rsidRPr="0074371D">
        <w:rPr>
          <w:color w:val="000000" w:themeColor="text1"/>
          <w:lang w:val="en-GB"/>
        </w:rPr>
        <w:t>;</w:t>
      </w:r>
      <w:r w:rsidRPr="00FA6555">
        <w:rPr>
          <w:lang w:val="en-GB"/>
        </w:rPr>
        <w:t xml:space="preserve"> high-dose median 230 spots/million IQR </w:t>
      </w:r>
      <w:r w:rsidR="004834C0" w:rsidRPr="0074371D">
        <w:rPr>
          <w:color w:val="000000" w:themeColor="text1"/>
          <w:lang w:val="en-GB"/>
        </w:rPr>
        <w:t>330</w:t>
      </w:r>
      <w:r w:rsidRPr="00FA6555">
        <w:rPr>
          <w:lang w:val="en-GB"/>
        </w:rPr>
        <w:t xml:space="preserve">). The higher dose showed a trend towards larger </w:t>
      </w:r>
      <w:proofErr w:type="spellStart"/>
      <w:r w:rsidRPr="00FA6555">
        <w:rPr>
          <w:lang w:val="en-GB"/>
        </w:rPr>
        <w:t>plasmablast</w:t>
      </w:r>
      <w:proofErr w:type="spellEnd"/>
      <w:r w:rsidRPr="00FA6555">
        <w:rPr>
          <w:lang w:val="en-GB"/>
        </w:rPr>
        <w:t xml:space="preserve"> responses. In most individuals, ASCs had disappeared by the time of boost vaccination. However, the high-dose group had a significantly higher frequency of IgG+ ASCs remaining at the later time-point (high-dose median 5 spots/million IQR </w:t>
      </w:r>
      <w:r w:rsidRPr="0074371D">
        <w:rPr>
          <w:color w:val="000000" w:themeColor="text1"/>
          <w:lang w:val="en-GB"/>
        </w:rPr>
        <w:t xml:space="preserve">41; low-dose median 0 spots/million, p=0·0076), suggesting a more protracted response. Similar frequencies were seen after boost vaccination (Figure 4G). Thus, </w:t>
      </w:r>
      <w:proofErr w:type="spellStart"/>
      <w:r w:rsidRPr="0074371D">
        <w:rPr>
          <w:color w:val="000000" w:themeColor="text1"/>
          <w:lang w:val="en-GB"/>
        </w:rPr>
        <w:t>SynGEM</w:t>
      </w:r>
      <w:proofErr w:type="spellEnd"/>
      <w:r w:rsidRPr="0074371D">
        <w:rPr>
          <w:color w:val="000000" w:themeColor="text1"/>
          <w:lang w:val="en-GB"/>
        </w:rPr>
        <w:t xml:space="preserve"> induced systemic IgG+ ASC responses in all vaccinated individuals, with significantly increased duration and a trend towards greater frequency responses with the higher dose.</w:t>
      </w:r>
    </w:p>
    <w:p w14:paraId="37C5B71F" w14:textId="445FEC30" w:rsidR="008E288B" w:rsidRDefault="008E288B" w:rsidP="008E288B">
      <w:pPr>
        <w:pStyle w:val="Paragraph"/>
        <w:spacing w:line="480" w:lineRule="auto"/>
        <w:ind w:firstLine="0"/>
        <w:jc w:val="both"/>
        <w:rPr>
          <w:lang w:val="en-GB"/>
        </w:rPr>
      </w:pPr>
      <w:r w:rsidRPr="0074371D">
        <w:rPr>
          <w:color w:val="000000" w:themeColor="text1"/>
          <w:lang w:val="en-GB"/>
        </w:rPr>
        <w:t xml:space="preserve">At day 7 post-“prime”, IgA+ ASCs were less frequent than IgG+ ASCs following low-dose (median 41 IQR </w:t>
      </w:r>
      <w:r w:rsidR="004834C0" w:rsidRPr="0074371D">
        <w:rPr>
          <w:color w:val="000000" w:themeColor="text1"/>
          <w:lang w:val="en-GB"/>
        </w:rPr>
        <w:t>57</w:t>
      </w:r>
      <w:r w:rsidRPr="0074371D">
        <w:rPr>
          <w:color w:val="000000" w:themeColor="text1"/>
          <w:lang w:val="en-GB"/>
        </w:rPr>
        <w:t xml:space="preserve">, p=0·0045) and high-dose vaccination (median 28 IQR 135, p=0·0091) (Figure </w:t>
      </w:r>
      <w:r w:rsidRPr="00FA6555">
        <w:rPr>
          <w:lang w:val="en-GB"/>
        </w:rPr>
        <w:lastRenderedPageBreak/>
        <w:t xml:space="preserve">4). Again, the response to high-dose boost vaccination persisted for longer than low-dose, with significantly higher frequencies of IgA+ ASCs at day 56 in that group (high-dose median 20 spots/million IQR </w:t>
      </w:r>
      <w:r w:rsidRPr="0074371D">
        <w:rPr>
          <w:color w:val="000000" w:themeColor="text1"/>
          <w:lang w:val="en-GB"/>
        </w:rPr>
        <w:t>122</w:t>
      </w:r>
      <w:r w:rsidRPr="00FA6555">
        <w:rPr>
          <w:lang w:val="en-GB"/>
        </w:rPr>
        <w:t xml:space="preserve">; low-dose median 0 spots/million IQR </w:t>
      </w:r>
      <w:r w:rsidRPr="0074371D">
        <w:rPr>
          <w:color w:val="000000" w:themeColor="text1"/>
          <w:lang w:val="en-GB"/>
        </w:rPr>
        <w:t>54</w:t>
      </w:r>
      <w:r w:rsidRPr="00FA6555">
        <w:rPr>
          <w:lang w:val="en-GB"/>
        </w:rPr>
        <w:t xml:space="preserve">; p=0·0048). There was no correlation between IgA+ ASC frequencies in blood and changes in nasal F-specific IgA </w:t>
      </w:r>
      <w:proofErr w:type="spellStart"/>
      <w:r w:rsidRPr="00FA6555">
        <w:rPr>
          <w:lang w:val="en-GB"/>
        </w:rPr>
        <w:t>titers</w:t>
      </w:r>
      <w:proofErr w:type="spellEnd"/>
      <w:r w:rsidRPr="00FA6555">
        <w:rPr>
          <w:lang w:val="en-GB"/>
        </w:rPr>
        <w:t xml:space="preserve"> (Figure 4H). Thus, while the overall IgA+ ASC response in blood was lower than IgG+ ASCs, there was some discordance in the different isotypes, suggesting that higher doses are more efficacious in boosting prolonged IgA-producing ASC responses.</w:t>
      </w:r>
    </w:p>
    <w:p w14:paraId="04E81F76" w14:textId="77777777" w:rsidR="00FE7197" w:rsidRPr="00053B52" w:rsidRDefault="00FE7197" w:rsidP="00CE2658">
      <w:pPr>
        <w:pStyle w:val="Paragraph"/>
        <w:spacing w:before="0" w:line="480" w:lineRule="auto"/>
        <w:ind w:firstLine="0"/>
        <w:jc w:val="both"/>
        <w:rPr>
          <w:sz w:val="20"/>
          <w:szCs w:val="20"/>
          <w:lang w:val="en-GB"/>
        </w:rPr>
      </w:pPr>
    </w:p>
    <w:p w14:paraId="2FE990DB" w14:textId="77777777" w:rsidR="002E6F92" w:rsidRPr="002E6F92" w:rsidRDefault="002E6F92" w:rsidP="00CE2658">
      <w:pPr>
        <w:spacing w:line="480" w:lineRule="auto"/>
        <w:jc w:val="both"/>
        <w:rPr>
          <w:rFonts w:eastAsia="Times New Roman"/>
          <w:i/>
          <w:sz w:val="24"/>
          <w:szCs w:val="24"/>
        </w:rPr>
      </w:pPr>
      <w:proofErr w:type="spellStart"/>
      <w:r w:rsidRPr="002E6F92">
        <w:rPr>
          <w:rFonts w:eastAsia="Times New Roman"/>
          <w:i/>
          <w:sz w:val="24"/>
          <w:szCs w:val="24"/>
        </w:rPr>
        <w:t>SynGEM</w:t>
      </w:r>
      <w:proofErr w:type="spellEnd"/>
      <w:r w:rsidRPr="002E6F92">
        <w:rPr>
          <w:rFonts w:eastAsia="Times New Roman"/>
          <w:i/>
          <w:sz w:val="24"/>
          <w:szCs w:val="24"/>
        </w:rPr>
        <w:t xml:space="preserve"> induces F-specific antibody production by tonsillar cells in vitro in a dose-dependent manner</w:t>
      </w:r>
    </w:p>
    <w:p w14:paraId="1B3CFAE7" w14:textId="0C382FA0" w:rsidR="008E288B" w:rsidRPr="00FA6555" w:rsidRDefault="008E288B" w:rsidP="008E288B">
      <w:pPr>
        <w:pStyle w:val="Paragraph"/>
        <w:spacing w:line="480" w:lineRule="auto"/>
        <w:ind w:firstLine="0"/>
        <w:jc w:val="both"/>
        <w:rPr>
          <w:lang w:val="en-GB"/>
        </w:rPr>
      </w:pPr>
      <w:r w:rsidRPr="00FA6555">
        <w:rPr>
          <w:lang w:val="en-GB"/>
        </w:rPr>
        <w:t xml:space="preserve">To investigate these dose-dependent effects, we tested the capacity of </w:t>
      </w:r>
      <w:proofErr w:type="spellStart"/>
      <w:r w:rsidRPr="00FA6555">
        <w:rPr>
          <w:lang w:val="en-GB"/>
        </w:rPr>
        <w:t>SynGEM</w:t>
      </w:r>
      <w:proofErr w:type="spellEnd"/>
      <w:r w:rsidRPr="00FA6555">
        <w:rPr>
          <w:lang w:val="en-GB"/>
        </w:rPr>
        <w:t xml:space="preserve"> to induce responses in human nasopharynx-associated lymphoid tissues</w:t>
      </w:r>
      <w:r w:rsidR="006D1123">
        <w:rPr>
          <w:lang w:val="en-GB"/>
        </w:rPr>
        <w:t xml:space="preserve"> </w:t>
      </w:r>
      <w:r w:rsidRPr="00FA6555">
        <w:rPr>
          <w:lang w:val="en-GB"/>
        </w:rPr>
        <w:t>cultured as previously described</w:t>
      </w:r>
      <w:r w:rsidR="00200767">
        <w:rPr>
          <w:lang w:val="en-GB"/>
        </w:rPr>
        <w:t xml:space="preserve"> </w:t>
      </w:r>
      <w:r w:rsidRPr="00FA6555">
        <w:rPr>
          <w:lang w:val="en-GB"/>
        </w:rPr>
        <w:fldChar w:fldCharType="begin"/>
      </w:r>
      <w:r w:rsidR="00094A1B">
        <w:rPr>
          <w:lang w:val="en-GB"/>
        </w:rPr>
        <w:instrText xml:space="preserve"> ADDIN ZOTERO_ITEM CSL_CITATION {"citationID":"6gheEmhf","properties":{"formattedCitation":"(16, 18)","plainCitation":"(16, 18)","noteIndex":0},"citationItems":[{"id":"35rDZLyI/2O6RL65W","uris":["http://zotero.org/users/837702/items/4BKF7SYM"],"uri":["http://zotero.org/users/837702/items/4BKF7SYM"],"itemData":{"id":12818,"type":"article-journal","title":"Activation and Induction of Antigen-Specific T Follicular Helper Cells Play a Critical Role in Live-Attenuated Influenza Vaccine-Induced Human Mucosal Anti-influenza Antibody Response","container-title":"Journal of Virology","page":"e00114-18","volume":"92","issue":"11","source":"jvi.asm.org","abstract":"There is increasing interest recently in developing intranasal vaccines against respiratory tract infections. The antibody response is critical for vaccine-induced protection, and T follicular helper cells (TFH) are considered important for mediating the antibody response. Most data supporting the role for TFH in the antibody response are from animal studies, and direct evidence from humans is limited, apart from the presence of TFH-like cells in blood. We studied the activation and induction of TFH and their role in the anti-influenza antibody response induced by a live-attenuated influenza vaccine (LAIV) in human nasopharynx-associated lymphoid tissue (NALT). TFH activation in adenotonsillar tissues was analyzed by flow cytometry, and anti-hemagglutinin (anti-HA) antibodies were examined following LAIV stimulation of tonsillar mononuclear cells (MNC). Induction of antigen-specific TFH by LAIV was studied by flow cytometry analysis of induced TFH and CD154 expression. LAIV induced TFH proliferation, which correlated with anti-HA antibody production, and TFH were shown to be critical for the antibody response. Induction of TFH from naive T cells by LAIV was shown in newly induced TFH expressing BCL6 and CD21, followed by the detection of anti-HA antibodies. Antigen specificity of LAIV-induced TFH was demonstrated by expression of the antigen-specific T cell activation marker CD154 upon challenge by H1N1 virus antigen or HA. LAIV-induced TFH differentiation was inhibited by BCL6, interleukin-21 (IL-21), ICOS, and CD40 signaling blocking, and that diminished anti-HA antibody production. In conclusion, we demonstrated the induction by LAIV of antigen-specific TFH in human NALT that provide critical support for the anti-influenza antibody response. Promoting antigen-specific TFH in NALT by use of intranasal vaccines may provide an effective vaccination strategy against respiratory infections in humans.\nIMPORTANCE Airway infections, such as influenza, are common in humans. Intranasal vaccination has been considered a biologically relevant and effective way of immunization against airway infection. The vaccine-induced antibody response is crucial for protection against infection. Recent data from animal studies suggest that one type of T cells, TFH, are important for the antibody response. However, data on whether TFH-mediated help for antibody production operates in humans are limited due to the lack of access to human immune tissue containing TFH. In this study, we demonstrate the induction of TFH in human immune tissue, providing critical support for the anti-influenza antibody response, by use of an intranasal influenza vaccine. Our findings provide direct evidence that TFH play a critical role in vaccine-induced immunity in humans and suggest a novel strategy for promoting such cells by use of intranasal vaccines against respiratory infections.","DOI":"10.1128/JVI.00114-18","ISSN":"0022-538X, 1098-5514","note":"PMID: 29563292","journalAbbreviation":"J. Virol.","language":"en","author":[{"family":"Aljurayyan","given":"Abdullah"},{"family":"Puksuriwong","given":"Suttida"},{"family":"Ahmed","given":"Muhammad"},{"family":"Sharma","given":"Ravi"},{"family":"Krishnan","given":"Madhan"},{"family":"Sood","given":"Salil"},{"family":"Davies","given":"Katherine"},{"family":"Rajashekar","given":"Devika"},{"family":"Leong","given":"Sam"},{"family":"McNamara","given":"Paul S."},{"family":"Gordon","given":"Stephen"},{"family":"Zhang","given":"Qibo"}],"issued":{"date-parts":[["2018",6,1]]}}},{"id":"35rDZLyI/JdRo8JQY","uris":["http://zotero.org/users/837702/items/VMZHPP55"],"uri":["http://zotero.org/users/837702/items/VMZHPP55"],"itemData":{"id":12828,"type":"article-journal","title":"Activation of memory Th17 cells by domain 4 pneumolysin in human nasopharynx-associated lymphoid tissue and its association with pneumococcal carriage","container-title":"Mucosal Immunology","page":"705-717","volume":"7","issue":"3","source":"www.nature.com","abstract":"Pneumococcal carriage is common in children that may account for the high incidence of disease in this age group. Recent studies in animals suggest an important role for CD4+ T cells, T helper type 17 (Th17) cells in particular, in pneumococcal clearance. Whether this Th17-mediated mechanism operates in humans and what pneumococcal components activate Th17 are unknown. We investigated the ability of domain 4 pneumolysin (D4Ply) to activate CD4+ T cells including Th17 in human nasopharynx-associated lymphoid tissue (NALT) and peripheral blood. We show that D4Ply elicited a prominent CD4+ T-cell proliferative response. More importantly, D4Ply elicited a significant memory Th17 response in NALT, and a moderate response in peripheral blood mononuclear cells (PBMCs). This D4Ply-elicited memory Th17 response was more marked in carriage− than in carriage+ children in both NALT and PBMCs. In contrast, no difference was shown in D4Ply-induced Th1 response between the two groups. We also show D4Ply activated human monocytes and murine macrophages that was in part dependent on Toll-like receptor 4 (TLR-4). Our results support a protective role of Th17 against pneumococcal carriage in human nasopharynx, and identify a novel property of D4Ply to activate Th17 in NALT that may offer an attractive vaccine candidate in intranasal immunization against pneumococcal infection.","DOI":"10.1038/mi.2013.89","ISSN":"1935-3456","language":"en","author":[{"family":"Gray","given":"C."},{"family":"Ahmed","given":"M. S."},{"family":"Mubarak","given":"A."},{"family":"Kasbekar","given":"A. V."},{"family":"Derbyshire","given":"S."},{"family":"McCormick","given":"M. S."},{"family":"Mughal","given":"M. K."},{"family":"McNamara","given":"P. S."},{"family":"Mitchell","given":"T."},{"family":"Zhang","given":"Q."}],"issued":{"date-parts":[["2014",5]]}}}],"schema":"https://github.com/citation-style-language/schema/raw/master/csl-citation.json"} </w:instrText>
      </w:r>
      <w:r w:rsidRPr="00FA6555">
        <w:rPr>
          <w:lang w:val="en-GB"/>
        </w:rPr>
        <w:fldChar w:fldCharType="separate"/>
      </w:r>
      <w:r w:rsidR="00094A1B" w:rsidRPr="00094A1B">
        <w:t>(16, 18)</w:t>
      </w:r>
      <w:r w:rsidRPr="00FA6555">
        <w:rPr>
          <w:lang w:val="en-GB"/>
        </w:rPr>
        <w:fldChar w:fldCharType="end"/>
      </w:r>
      <w:r w:rsidRPr="00FA6555">
        <w:rPr>
          <w:lang w:val="en-GB"/>
        </w:rPr>
        <w:t xml:space="preserve">. </w:t>
      </w:r>
      <w:r w:rsidR="006D1123">
        <w:rPr>
          <w:lang w:val="en-GB"/>
        </w:rPr>
        <w:t>R</w:t>
      </w:r>
      <w:r w:rsidRPr="00FA6555">
        <w:rPr>
          <w:lang w:val="en-GB"/>
        </w:rPr>
        <w:t xml:space="preserve">ecombinant F protein alone or BLP alone did not stimulate significant production of F-specific antibodies (Figure 5A-F). However, in adults, culture with </w:t>
      </w:r>
      <w:proofErr w:type="spellStart"/>
      <w:r w:rsidRPr="00FA6555">
        <w:rPr>
          <w:lang w:val="en-GB"/>
        </w:rPr>
        <w:t>SynGEM</w:t>
      </w:r>
      <w:proofErr w:type="spellEnd"/>
      <w:r w:rsidRPr="00FA6555">
        <w:rPr>
          <w:lang w:val="en-GB"/>
        </w:rPr>
        <w:t xml:space="preserve"> induced F-specific IgG (Figure 5A), IgA (Figure 5B) and IgM (Figure 5C), with the higher </w:t>
      </w:r>
      <w:proofErr w:type="spellStart"/>
      <w:r w:rsidRPr="00FA6555">
        <w:rPr>
          <w:lang w:val="en-GB"/>
        </w:rPr>
        <w:t>SynGEM</w:t>
      </w:r>
      <w:proofErr w:type="spellEnd"/>
      <w:r w:rsidRPr="00FA6555">
        <w:rPr>
          <w:lang w:val="en-GB"/>
        </w:rPr>
        <w:t xml:space="preserve"> concentration inducing significantly higher </w:t>
      </w:r>
      <w:proofErr w:type="spellStart"/>
      <w:r w:rsidRPr="00FA6555">
        <w:rPr>
          <w:lang w:val="en-GB"/>
        </w:rPr>
        <w:t>titers</w:t>
      </w:r>
      <w:proofErr w:type="spellEnd"/>
      <w:r w:rsidRPr="00FA6555">
        <w:rPr>
          <w:lang w:val="en-GB"/>
        </w:rPr>
        <w:t xml:space="preserve">. As expected in these upper respiratory tissues, substantially higher concentrations of IgA were produced at both dose levels (p&lt;0·05). Similar results were seen in </w:t>
      </w:r>
      <w:proofErr w:type="spellStart"/>
      <w:r w:rsidRPr="00FA6555">
        <w:rPr>
          <w:lang w:val="en-GB"/>
        </w:rPr>
        <w:t>pediatric</w:t>
      </w:r>
      <w:proofErr w:type="spellEnd"/>
      <w:r w:rsidRPr="00FA6555">
        <w:rPr>
          <w:lang w:val="en-GB"/>
        </w:rPr>
        <w:t xml:space="preserve"> samples, suggesting that comparable responses might be induced by </w:t>
      </w:r>
      <w:proofErr w:type="spellStart"/>
      <w:r w:rsidRPr="00FA6555">
        <w:rPr>
          <w:lang w:val="en-GB"/>
        </w:rPr>
        <w:t>SynGEM</w:t>
      </w:r>
      <w:proofErr w:type="spellEnd"/>
      <w:r w:rsidRPr="00FA6555">
        <w:rPr>
          <w:lang w:val="en-GB"/>
        </w:rPr>
        <w:t xml:space="preserve"> in children (Figure 5D-F). Additionally, antibody induction was associated with the significant production of interferon-γ, IL-22 and IL-21 suggesting the stimulation of type 1, type 17/22 and T follicular helper cell responses respectively (Figure 5G-I). Trends towards increased IL-2 production, TNF, IL-17A and IL-10 were also seen, but not type 2 cytokines (IL-4, IL-5 and IL-13) (Figure </w:t>
      </w:r>
      <w:r w:rsidR="00C175C7">
        <w:rPr>
          <w:lang w:val="en-GB"/>
        </w:rPr>
        <w:t>E</w:t>
      </w:r>
      <w:r w:rsidRPr="00FA6555">
        <w:rPr>
          <w:lang w:val="en-GB"/>
        </w:rPr>
        <w:t xml:space="preserve">6). Production of these cytokines was associated with proliferation of CD4+ and (to </w:t>
      </w:r>
      <w:r w:rsidRPr="00FA6555">
        <w:rPr>
          <w:lang w:val="en-GB"/>
        </w:rPr>
        <w:lastRenderedPageBreak/>
        <w:t>a lesser extent) CD8+ T cells in a dose dependent manner (Figure 5J and 5K), suggesting that CD4+ T cells were major contributors to cytokine production.</w:t>
      </w:r>
    </w:p>
    <w:p w14:paraId="1979B88A" w14:textId="2DA2414D" w:rsidR="008E288B" w:rsidRPr="0074371D" w:rsidRDefault="008E288B" w:rsidP="008E288B">
      <w:pPr>
        <w:pStyle w:val="Paragraph"/>
        <w:spacing w:line="480" w:lineRule="auto"/>
        <w:ind w:firstLine="0"/>
        <w:jc w:val="both"/>
        <w:rPr>
          <w:color w:val="000000" w:themeColor="text1"/>
          <w:lang w:val="en-GB"/>
        </w:rPr>
      </w:pPr>
      <w:r w:rsidRPr="00FA6555">
        <w:rPr>
          <w:lang w:val="en-GB"/>
        </w:rPr>
        <w:t xml:space="preserve">Thus, </w:t>
      </w:r>
      <w:r w:rsidRPr="00FA6555">
        <w:rPr>
          <w:i/>
          <w:lang w:val="en-GB"/>
        </w:rPr>
        <w:t>in vitro</w:t>
      </w:r>
      <w:r w:rsidRPr="00FA6555">
        <w:rPr>
          <w:lang w:val="en-GB"/>
        </w:rPr>
        <w:t xml:space="preserve"> data support the clinical observations that </w:t>
      </w:r>
      <w:proofErr w:type="spellStart"/>
      <w:r w:rsidRPr="00FA6555">
        <w:rPr>
          <w:lang w:val="en-GB"/>
        </w:rPr>
        <w:t>SynGEM</w:t>
      </w:r>
      <w:proofErr w:type="spellEnd"/>
      <w:r w:rsidRPr="00FA6555">
        <w:rPr>
          <w:lang w:val="en-GB"/>
        </w:rPr>
        <w:t xml:space="preserve"> induces a dose-dependent antibody response associated with appropriate T-helper cytokine </w:t>
      </w:r>
      <w:r w:rsidR="00733124" w:rsidRPr="00FA6555">
        <w:rPr>
          <w:lang w:val="en-GB"/>
        </w:rPr>
        <w:t>signalling</w:t>
      </w:r>
      <w:r w:rsidRPr="00FA6555">
        <w:rPr>
          <w:lang w:val="en-GB"/>
        </w:rPr>
        <w:t xml:space="preserve">. </w:t>
      </w:r>
      <w:r w:rsidR="00CF5264" w:rsidRPr="0074371D">
        <w:rPr>
          <w:color w:val="000000" w:themeColor="text1"/>
          <w:lang w:val="en-GB"/>
        </w:rPr>
        <w:t xml:space="preserve">While antibodies targeting site </w:t>
      </w:r>
      <w:r w:rsidR="00CF5264" w:rsidRPr="0074371D">
        <w:rPr>
          <w:color w:val="000000" w:themeColor="text1"/>
          <w:lang w:val="en-GB"/>
        </w:rPr>
        <w:sym w:font="Symbol" w:char="F0C6"/>
      </w:r>
      <w:r w:rsidR="00CF5264" w:rsidRPr="0074371D">
        <w:rPr>
          <w:color w:val="000000" w:themeColor="text1"/>
          <w:lang w:val="en-GB"/>
        </w:rPr>
        <w:t xml:space="preserve">, that are believed to be the most potent for virus neutralization, were not significantly induced, </w:t>
      </w:r>
      <w:r w:rsidRPr="0074371D">
        <w:rPr>
          <w:color w:val="000000" w:themeColor="text1"/>
          <w:lang w:val="en-GB"/>
        </w:rPr>
        <w:t>further enhance</w:t>
      </w:r>
      <w:r w:rsidR="00CF5264" w:rsidRPr="0074371D">
        <w:rPr>
          <w:color w:val="000000" w:themeColor="text1"/>
          <w:lang w:val="en-GB"/>
        </w:rPr>
        <w:t>ment of</w:t>
      </w:r>
      <w:r w:rsidRPr="0074371D">
        <w:rPr>
          <w:color w:val="000000" w:themeColor="text1"/>
          <w:lang w:val="en-GB"/>
        </w:rPr>
        <w:t xml:space="preserve"> the</w:t>
      </w:r>
      <w:r w:rsidR="00CF5264" w:rsidRPr="0074371D">
        <w:rPr>
          <w:color w:val="000000" w:themeColor="text1"/>
          <w:lang w:val="en-GB"/>
        </w:rPr>
        <w:t xml:space="preserve"> prolonged</w:t>
      </w:r>
      <w:r w:rsidRPr="0074371D">
        <w:rPr>
          <w:color w:val="000000" w:themeColor="text1"/>
          <w:lang w:val="en-GB"/>
        </w:rPr>
        <w:t xml:space="preserve"> vaccine-induced response</w:t>
      </w:r>
      <w:r w:rsidR="00CF5264" w:rsidRPr="0074371D">
        <w:rPr>
          <w:color w:val="000000" w:themeColor="text1"/>
          <w:lang w:val="en-GB"/>
        </w:rPr>
        <w:t xml:space="preserve">s seen </w:t>
      </w:r>
      <w:r w:rsidR="00AA4A66" w:rsidRPr="0074371D">
        <w:rPr>
          <w:color w:val="000000" w:themeColor="text1"/>
          <w:lang w:val="en-GB"/>
        </w:rPr>
        <w:t>may</w:t>
      </w:r>
      <w:r w:rsidR="00CF5264" w:rsidRPr="0074371D">
        <w:rPr>
          <w:color w:val="000000" w:themeColor="text1"/>
          <w:lang w:val="en-GB"/>
        </w:rPr>
        <w:t xml:space="preserve"> be achieved by additional </w:t>
      </w:r>
      <w:r w:rsidR="009A6A00" w:rsidRPr="0074371D">
        <w:rPr>
          <w:color w:val="000000" w:themeColor="text1"/>
          <w:lang w:val="en-GB"/>
        </w:rPr>
        <w:t>alterations in</w:t>
      </w:r>
      <w:r w:rsidR="00CF5264" w:rsidRPr="0074371D">
        <w:rPr>
          <w:color w:val="000000" w:themeColor="text1"/>
          <w:lang w:val="en-GB"/>
        </w:rPr>
        <w:t xml:space="preserve"> antigen and/or dose</w:t>
      </w:r>
      <w:r w:rsidRPr="0074371D">
        <w:rPr>
          <w:color w:val="000000" w:themeColor="text1"/>
          <w:lang w:val="en-GB"/>
        </w:rPr>
        <w:t>.</w:t>
      </w:r>
    </w:p>
    <w:p w14:paraId="6DA94140" w14:textId="77777777" w:rsidR="008E288B" w:rsidRPr="00FA6555" w:rsidRDefault="008E288B" w:rsidP="008E288B">
      <w:pPr>
        <w:pStyle w:val="Paragraph"/>
        <w:spacing w:line="480" w:lineRule="auto"/>
        <w:ind w:firstLine="0"/>
        <w:jc w:val="both"/>
        <w:rPr>
          <w:lang w:val="en-GB"/>
        </w:rPr>
      </w:pPr>
    </w:p>
    <w:p w14:paraId="11391A28" w14:textId="77777777" w:rsidR="008E288B" w:rsidRPr="00FA6555" w:rsidRDefault="008E288B" w:rsidP="008E288B">
      <w:pPr>
        <w:pStyle w:val="Paragraph"/>
        <w:spacing w:line="480" w:lineRule="auto"/>
        <w:ind w:firstLine="0"/>
        <w:jc w:val="both"/>
        <w:rPr>
          <w:lang w:val="en-GB"/>
        </w:rPr>
      </w:pPr>
      <w:r w:rsidRPr="00FA6555">
        <w:rPr>
          <w:b/>
          <w:lang w:val="en-GB"/>
        </w:rPr>
        <w:t>Discussion</w:t>
      </w:r>
      <w:r w:rsidRPr="00FA6555">
        <w:rPr>
          <w:lang w:val="en-GB"/>
        </w:rPr>
        <w:t xml:space="preserve"> </w:t>
      </w:r>
    </w:p>
    <w:p w14:paraId="4B793054" w14:textId="05DFAFC9" w:rsidR="008E288B" w:rsidRPr="00FA6555" w:rsidRDefault="00C324C1" w:rsidP="008E288B">
      <w:pPr>
        <w:pStyle w:val="Paragraph"/>
        <w:spacing w:line="480" w:lineRule="auto"/>
        <w:ind w:firstLine="0"/>
        <w:jc w:val="both"/>
        <w:rPr>
          <w:lang w:val="en-GB"/>
        </w:rPr>
      </w:pPr>
      <w:r>
        <w:rPr>
          <w:lang w:val="en-GB"/>
        </w:rPr>
        <w:t xml:space="preserve">Previously, we showed that antibodies induced following RSV infection were short-lived and hypothesized that viral immunomodulatory mechanisms impaired </w:t>
      </w:r>
      <w:r w:rsidR="00A13FAD">
        <w:rPr>
          <w:lang w:val="en-GB"/>
        </w:rPr>
        <w:t xml:space="preserve">anti-RSV </w:t>
      </w:r>
      <w:r>
        <w:rPr>
          <w:lang w:val="en-GB"/>
        </w:rPr>
        <w:t>humoral memory responses</w:t>
      </w:r>
      <w:r w:rsidR="000B4689">
        <w:rPr>
          <w:lang w:val="en-GB"/>
        </w:rPr>
        <w:t xml:space="preserve"> </w:t>
      </w:r>
      <w:r w:rsidR="00D55C96">
        <w:rPr>
          <w:lang w:val="en-GB"/>
        </w:rPr>
        <w:t>(9).</w:t>
      </w:r>
      <w:r w:rsidRPr="00D55C96">
        <w:rPr>
          <w:color w:val="FF0000"/>
          <w:lang w:val="en-GB"/>
        </w:rPr>
        <w:t xml:space="preserve"> </w:t>
      </w:r>
      <w:r w:rsidR="008E288B" w:rsidRPr="00FA6555">
        <w:rPr>
          <w:lang w:val="en-GB"/>
        </w:rPr>
        <w:t xml:space="preserve">Here, we </w:t>
      </w:r>
      <w:r w:rsidR="002A7545">
        <w:rPr>
          <w:lang w:val="en-GB"/>
        </w:rPr>
        <w:t>have shown</w:t>
      </w:r>
      <w:r w:rsidR="008E288B" w:rsidRPr="00FA6555">
        <w:rPr>
          <w:lang w:val="en-GB"/>
        </w:rPr>
        <w:t xml:space="preserve"> that </w:t>
      </w:r>
      <w:r>
        <w:rPr>
          <w:lang w:val="en-GB"/>
        </w:rPr>
        <w:t>delivering F protein using</w:t>
      </w:r>
      <w:r w:rsidR="008E288B" w:rsidRPr="00FA6555">
        <w:rPr>
          <w:lang w:val="en-GB"/>
        </w:rPr>
        <w:t xml:space="preserve"> a </w:t>
      </w:r>
      <w:r>
        <w:rPr>
          <w:lang w:val="en-GB"/>
        </w:rPr>
        <w:t>non-living</w:t>
      </w:r>
      <w:r w:rsidR="008E288B" w:rsidRPr="00FA6555">
        <w:rPr>
          <w:lang w:val="en-GB"/>
        </w:rPr>
        <w:t xml:space="preserve"> subunit mucosal vaccine</w:t>
      </w:r>
      <w:r>
        <w:rPr>
          <w:lang w:val="en-GB"/>
        </w:rPr>
        <w:t xml:space="preserve"> not only</w:t>
      </w:r>
      <w:r w:rsidR="008E288B" w:rsidRPr="00FA6555">
        <w:rPr>
          <w:lang w:val="en-GB"/>
        </w:rPr>
        <w:t xml:space="preserve"> induced bursts of </w:t>
      </w:r>
      <w:proofErr w:type="spellStart"/>
      <w:r w:rsidR="008E288B" w:rsidRPr="00FA6555">
        <w:rPr>
          <w:lang w:val="en-GB"/>
        </w:rPr>
        <w:t>plasmablast</w:t>
      </w:r>
      <w:proofErr w:type="spellEnd"/>
      <w:r w:rsidR="008E288B" w:rsidRPr="00FA6555">
        <w:rPr>
          <w:lang w:val="en-GB"/>
        </w:rPr>
        <w:t xml:space="preserve"> activity</w:t>
      </w:r>
      <w:r w:rsidR="0048258A">
        <w:rPr>
          <w:lang w:val="en-GB"/>
        </w:rPr>
        <w:t xml:space="preserve"> and</w:t>
      </w:r>
      <w:r w:rsidR="008E288B" w:rsidRPr="00FA6555">
        <w:rPr>
          <w:lang w:val="en-GB"/>
        </w:rPr>
        <w:t xml:space="preserve"> mucosal IgA </w:t>
      </w:r>
      <w:r w:rsidR="0048258A">
        <w:rPr>
          <w:lang w:val="en-GB"/>
        </w:rPr>
        <w:t>but also</w:t>
      </w:r>
      <w:r w:rsidR="008E288B" w:rsidRPr="00FA6555">
        <w:rPr>
          <w:lang w:val="en-GB"/>
        </w:rPr>
        <w:t xml:space="preserve"> </w:t>
      </w:r>
      <w:r w:rsidR="0048258A">
        <w:rPr>
          <w:lang w:val="en-GB"/>
        </w:rPr>
        <w:t xml:space="preserve">boosted </w:t>
      </w:r>
      <w:r w:rsidR="008E288B" w:rsidRPr="00FA6555">
        <w:rPr>
          <w:lang w:val="en-GB"/>
        </w:rPr>
        <w:t>systemic RSV-specific antibod</w:t>
      </w:r>
      <w:r w:rsidR="0048258A">
        <w:rPr>
          <w:lang w:val="en-GB"/>
        </w:rPr>
        <w:t xml:space="preserve">ies </w:t>
      </w:r>
      <w:r w:rsidR="008E288B" w:rsidRPr="00FA6555">
        <w:rPr>
          <w:lang w:val="en-GB"/>
        </w:rPr>
        <w:t xml:space="preserve">for at least 6 months. </w:t>
      </w:r>
      <w:r w:rsidR="00DE7DBD" w:rsidRPr="0074371D">
        <w:rPr>
          <w:color w:val="000000" w:themeColor="text1"/>
          <w:lang w:val="en-GB"/>
        </w:rPr>
        <w:t>T</w:t>
      </w:r>
      <w:r w:rsidR="0048258A" w:rsidRPr="0074371D">
        <w:rPr>
          <w:color w:val="000000" w:themeColor="text1"/>
          <w:lang w:val="en-GB"/>
        </w:rPr>
        <w:t xml:space="preserve">hese data </w:t>
      </w:r>
      <w:r w:rsidR="00DE7DBD" w:rsidRPr="0074371D">
        <w:rPr>
          <w:color w:val="000000" w:themeColor="text1"/>
          <w:lang w:val="en-GB"/>
        </w:rPr>
        <w:t>suggest</w:t>
      </w:r>
      <w:r w:rsidR="0048258A" w:rsidRPr="0074371D">
        <w:rPr>
          <w:color w:val="000000" w:themeColor="text1"/>
          <w:lang w:val="en-GB"/>
        </w:rPr>
        <w:t xml:space="preserve"> that </w:t>
      </w:r>
      <w:r w:rsidR="008D1CDE" w:rsidRPr="0074371D">
        <w:rPr>
          <w:color w:val="000000" w:themeColor="text1"/>
          <w:lang w:val="en-GB"/>
        </w:rPr>
        <w:t xml:space="preserve">the BLP vaccine platform </w:t>
      </w:r>
      <w:r w:rsidR="00DE7DBD" w:rsidRPr="0074371D">
        <w:rPr>
          <w:color w:val="000000" w:themeColor="text1"/>
          <w:lang w:val="en-GB"/>
        </w:rPr>
        <w:t>may permit</w:t>
      </w:r>
      <w:r w:rsidR="0048258A" w:rsidRPr="0074371D">
        <w:rPr>
          <w:color w:val="000000" w:themeColor="text1"/>
          <w:lang w:val="en-GB"/>
        </w:rPr>
        <w:t xml:space="preserve"> more potent </w:t>
      </w:r>
      <w:r w:rsidR="008D1CDE" w:rsidRPr="0074371D">
        <w:rPr>
          <w:color w:val="000000" w:themeColor="text1"/>
          <w:lang w:val="en-GB"/>
        </w:rPr>
        <w:t xml:space="preserve">induction </w:t>
      </w:r>
      <w:r w:rsidR="0048258A" w:rsidRPr="00FA6555">
        <w:rPr>
          <w:lang w:val="en-GB"/>
        </w:rPr>
        <w:t>of both systemic and mucosal responses</w:t>
      </w:r>
      <w:r w:rsidR="0048258A">
        <w:rPr>
          <w:lang w:val="en-GB"/>
        </w:rPr>
        <w:t xml:space="preserve"> than existing intranasal vaccines</w:t>
      </w:r>
      <w:r w:rsidR="00A13FAD">
        <w:rPr>
          <w:lang w:val="en-GB"/>
        </w:rPr>
        <w:t>, including</w:t>
      </w:r>
      <w:r w:rsidR="0048258A">
        <w:rPr>
          <w:lang w:val="en-GB"/>
        </w:rPr>
        <w:t xml:space="preserve"> l</w:t>
      </w:r>
      <w:r w:rsidR="008E288B" w:rsidRPr="00FA6555">
        <w:rPr>
          <w:lang w:val="en-GB"/>
        </w:rPr>
        <w:t xml:space="preserve">ive attenuated influenza vaccine (LAIV) </w:t>
      </w:r>
      <w:r w:rsidR="008E288B" w:rsidRPr="00FA6555">
        <w:rPr>
          <w:lang w:val="en-GB"/>
        </w:rPr>
        <w:fldChar w:fldCharType="begin"/>
      </w:r>
      <w:r w:rsidR="00094A1B">
        <w:rPr>
          <w:lang w:val="en-GB"/>
        </w:rPr>
        <w:instrText xml:space="preserve"> ADDIN ZOTERO_ITEM CSL_CITATION {"citationID":"iRtgnFX2","properties":{"formattedCitation":"(22)","plainCitation":"(22)","noteIndex":0},"citationItems":[{"id":"35rDZLyI/x6Qt0vt2","uris":["http://zotero.org/users/837702/items/CF23JT3I"],"uri":["http://zotero.org/users/837702/items/CF23JT3I"],"itemData":{"id":768,"type":"article-journal","title":"The efficacy of live attenuated, cold-adapted, trivalent, intranasal influenzavirus vaccine in children.","container-title":"N Engl J Med","page":"1405-12","volume":"338","abstract":"BACKGROUND: Influenzavirus vaccine is used infrequently in healthy children, even though the rates of influenza in this group are high. We conducted a multicenter, double-blind, placebo-controlled trial of a live attenuated, cold-adapted, trivalent influenzavirus vaccine in children 15 to 71 months old. METHODS: Two hundred eighty-eight children were assigned to receive one dose of vaccine or placebo given by intranasal spray, and 1314 were assigned to receive two doses approximately 60 days apart. The strains included in the vaccine were antigenically equivalent to those in the inactivated influenzavirus vaccine in use at the time. The subjects were monitored with viral cultures for influenza during the subsequent influenza season. A case of influenza was defined as an illness associated with the isolation of wild-type influenzavirus from respiratory secretions. RESULTS: The intranasal vaccine was accepted and well tolerated. Among children who were initially seronegative, antibody titers increased by a factor of four in 61 to 96 percent, depending on the influenza strain. Culture-positive influenza was significantly less common in the vaccine group (14 cases among 1070 subjects) than the placebo group (95 cases among 532 subjects). The vaccine efficacy was 93 percent (95 percent confidence interval, 88 to 96 percent) against culture-confirmed influenza. Both the one-dose regimen (89 percent efficacy) and the two-dose regimen (94 percent efficacy) were efficacious, and the vaccine was efficacious against both strains of influenza circulating in 1996-1997, A(H3N2) and B. The vaccinated children had significantly fewer febrile illnesses, including 30 percent fewer episodes of febrile otitis media (95 percent confidence interval, 18 to 45 percent; P&lt;0.001). CONCLUSIONS: A live attenuated, cold-adapted influenzavirus vaccine was safe, immunogenic, and effective against influenza A(H3N2) and B in healthy children.","ISSN":"0028-4793","note":"20","shortTitle":"The efficacy of live attenuated, cold-adapted, trivalent, intranasal influenzavirus vaccine in children.","author":[{"family":"Belshe","given":"RB"},{"family":"Mendelman","given":"PM"},{"family":"Treanor","given":"J"},{"family":"King","given":"J"},{"family":"Gruber","given":"WC"},{"family":"Piedra","given":"P"},{"family":"Bernstein","given":"DI"},{"family":"Hayden","given":"FG"},{"family":"Kotloff","given":"K"},{"family":"Zangwill","given":"K"},{"family":"Iacuzio","given":"D"},{"family":"Wolff","given":"M"}],"issued":{"date-parts":[["1998"]]}}}],"schema":"https://github.com/citation-style-language/schema/raw/master/csl-citation.json"} </w:instrText>
      </w:r>
      <w:r w:rsidR="008E288B" w:rsidRPr="00FA6555">
        <w:rPr>
          <w:lang w:val="en-GB"/>
        </w:rPr>
        <w:fldChar w:fldCharType="separate"/>
      </w:r>
      <w:r w:rsidR="00094A1B" w:rsidRPr="00094A1B">
        <w:t>(22)</w:t>
      </w:r>
      <w:r w:rsidR="008E288B" w:rsidRPr="00FA6555">
        <w:rPr>
          <w:lang w:val="en-GB"/>
        </w:rPr>
        <w:fldChar w:fldCharType="end"/>
      </w:r>
      <w:r w:rsidR="00A13FAD">
        <w:rPr>
          <w:lang w:val="en-GB"/>
        </w:rPr>
        <w:t xml:space="preserve"> and l</w:t>
      </w:r>
      <w:r w:rsidR="008E288B" w:rsidRPr="00FA6555">
        <w:rPr>
          <w:lang w:val="en-GB"/>
        </w:rPr>
        <w:t>ive attenuated RSV vaccine</w:t>
      </w:r>
      <w:r w:rsidR="00A13FAD">
        <w:rPr>
          <w:lang w:val="en-GB"/>
        </w:rPr>
        <w:t xml:space="preserve"> candidates</w:t>
      </w:r>
      <w:r w:rsidR="008E288B" w:rsidRPr="00FA6555">
        <w:rPr>
          <w:lang w:val="en-GB"/>
        </w:rPr>
        <w:t xml:space="preserve"> </w:t>
      </w:r>
      <w:r w:rsidR="008E288B" w:rsidRPr="00FA6555">
        <w:rPr>
          <w:lang w:val="en-GB"/>
        </w:rPr>
        <w:fldChar w:fldCharType="begin"/>
      </w:r>
      <w:r w:rsidR="00360BB9">
        <w:rPr>
          <w:lang w:val="en-GB"/>
        </w:rPr>
        <w:instrText xml:space="preserve"> ADDIN ZOTERO_ITEM CSL_CITATION {"citationID":"7MA9R9Ct","properties":{"formattedCitation":"(2, 23)","plainCitation":"(2, 23)","noteIndex":0},"citationItems":[{"id":"35rDZLyI/heYok6pq","uris":["http://zotero.org/users/837702/items/GPTDZIJA"],"uri":["http://zotero.org/users/837702/items/GPTDZIJA"],"itemData":{"id":12737,"type":"article-journal","title":"Live Respiratory Syncytial Virus (RSV) Vaccine Candidate Containing Stabilized Temperature-Sensitivity Mutations Is Highly Attenuated in RSV-Seronegative Infants and Children","container-title":"The Journal of Infectious Diseases","page":"1338-1346","volume":"217","issue":"9","source":"PubMed","abstract":"Background: Respiratory syncytial virus (RSV) is the most important viral cause of severe respiratory illness in young children and lacks a vaccine. RSV cold-passage/stabilized 2 (RSVcps2) is a modification of a previously evaluated vaccine candidate in which 2 major attenuating mutations have been stabilized against deattenuation.\nMethods: RSV-seronegative 6-24-month-old children received an intranasal dose of 105.3 plaque-forming units (PFU) of RSVcps2 (n = 34) or placebo (n = 16) (International Maternal Pediatric Adolescent AIDS Clinical Trials protocol P1114 and companion protocol CIR285). RSV serum neutralizing antibody titers before and 56 days after vaccination, vaccine virus infectivity (defined as vaccine virus shedding detectable in nasal wash and/or a ≥4-fold rise in serum antibodies), reactogenicity, and genetic stability were assessed. During the following RSV transmission season, participants were monitored for respiratory illness, with serum antibody titers measured before and after the season.\nResults: A total of 85% of vaccinees were infected with RSVcps2 (median peak titer, 0.5 log10 PFU/mL by culture and 2.9 log10 copies/mL by polymerase chain reaction analysis); 77% shed vaccine virus, and 59% developed a ≥4-fold rise in RSV-serum neutralizing antibody titers. Respiratory tract and/or febrile illness occurred at the same rate (50%) in the vaccine and placebo groups. Deattenuation was not detected at either of 2 stabilized mutation sites.\nConclusions: RSVcps2 was well tolerated and moderately immunogenic and had increased genetic stability in 6-24-month-old RSV-seronegative children.\nClinical Trials Registration: NCT01852266 and NCT01968083.","DOI":"10.1093/infdis/jiy066","ISSN":"1537-6613","note":"PMID: 29509929\nPMCID: PMC5894088","journalAbbreviation":"J. Infect. Dis.","language":"eng","author":[{"family":"Buchholz","given":"Ursula J."},{"family":"Cunningham","given":"Coleen K."},{"family":"Muresan","given":"Petronella"},{"family":"Gnanashanmugam","given":"Devasena"},{"family":"Sato","given":"Paul"},{"family":"Siberry","given":"George K."},{"family":"Rexroad","given":"Vivian"},{"family":"Valentine","given":"Megan"},{"family":"Perlowski","given":"Charlotte"},{"family":"Schappell","given":"Elizabeth"},{"family":"Thumar","given":"Bhagvinji"},{"family":"Luongo","given":"Cindy"},{"family":"Barr","given":"Emily"},{"family":"Aziz","given":"Mariam"},{"family":"Yogev","given":"Ram"},{"family":"Spector","given":"Stephen A."},{"family":"Collins","given":"Peter L."},{"family":"McFarland","given":"Elizabeth J."},{"family":"Karron","given":"Ruth A."},{"literal":"International Maternal Pediatric Adolescent AIDS Clinical Trials (IMPAACT) P1114 Study Team"}],"issued":{"date-parts":[["2018",4,11]]}}},{"id":"35rDZLyI/IQMxKDPR","uris":["http://zotero.org/users/837702/items/7FH6U7GZ"],"uri":["http://zotero.org/users/837702/items/7FH6U7GZ"],"itemData":{"id":"35rDZLyI/IQMxKDPR","type":"article-journal","title":"A gene deletion that up-regulates viral gene expression yields an attenuated RSV vaccine with improved antibody responses in children","container-title":"Science Translational Medicine","page":"312ra175-312ra175","volume":"7","issue":"312","source":"stm.sciencemag.org","abstract":"Outflanking RSV\nRespiratory syncytial virus (RSV) infection may lead to severe respiratory illness in young children. Researchers are working to develop a live attenuated vaccine, which would mimic the natural course of infection; however, inhibiting viral replication also limits the immune response. Now, Karron et al. report that a version of RSV lacking the M2-2 protein can induce immunity despite decreased vaccine virus shedding in young children. The lack of M2-2 resulted in decreased viral RNA replication needed for virus production while allowing gene transcription and antigen synthesis required for stimulating the immune response. Children who received the vaccine produced anti-RSV antibodies without medically attended illness in the subsequent RSV season, suggesting that this approach may provide protective immunity to RSV.\nRespiratory syncytial virus (RSV) is the leading viral cause of severe pediatric respiratory illness, and a safe and effective vaccine for use in infancy and early childhood is needed. We previously showed that deletion of the coding sequence for the viral M2-2 protein (ΔM2-2) down-regulated viral RNA replication and up-regulated gene transcription and antigen synthesis, raising the possibility of development of an attenuated vaccine with enhanced immunogenicity. RSV MEDI ΔM2-2 was therefore evaluated as a live intranasal vaccine in adults, RSV-seropositive children, and RSV-seronegative children. When results in RSV-seronegative children were compared to those achieved with the previous leading live attenuated RSV candidate vaccine, vaccine virus shedding was significantly more restricted, yet the postvaccination RSV-neutralizing serum antibody achieved [geometric mean titer (GMT) = 1:97] was significantly greater. Surveillance during the subsequent RSV season showed that several seronegative RSV MEDI ΔM2-2 recipients had substantial antibody rises without reported illness, suggesting that the vaccine was protective yet primed for anamnestic responses to RSV. Rational design appears to have yielded a candidate RSV vaccine that is intrinsically superior at eliciting protective antibody in RSV-naïve children and highlights an approach for the development of live attenuated RSV vaccines.\nA live attenuated vaccine candidate for RSV may decrease viral replication while enhancing immunogenicity in children.\nA live attenuated vaccine candidate for RSV may decrease viral replication while enhancing immunogenicity in children.","DOI":"10.1126/scitranslmed.aac8463","ISSN":"1946-6234, 1946-6242","note":"PMID: 26537255","language":"en","author":[{"family":"Karron","given":"Ruth A."},{"family":"Luongo","given":"Cindy"},{"family":"Thumar","given":"Bhagvanji"},{"family":"Loehr","given":"Karen M."},{"family":"Englund","given":"Janet A."},{"family":"Collins","given":"Peter L."},{"family":"Buchholz","given":"Ursula J."}],"issued":{"date-parts":[["2015",11,4]]}}}],"schema":"https://github.com/citation-style-language/schema/raw/master/csl-citation.json"} </w:instrText>
      </w:r>
      <w:r w:rsidR="008E288B" w:rsidRPr="00FA6555">
        <w:rPr>
          <w:lang w:val="en-GB"/>
        </w:rPr>
        <w:fldChar w:fldCharType="separate"/>
      </w:r>
      <w:r w:rsidR="00360BB9" w:rsidRPr="00360BB9">
        <w:t>(2, 23)</w:t>
      </w:r>
      <w:r w:rsidR="008E288B" w:rsidRPr="00FA6555">
        <w:rPr>
          <w:lang w:val="en-GB"/>
        </w:rPr>
        <w:fldChar w:fldCharType="end"/>
      </w:r>
      <w:r w:rsidR="00200767">
        <w:rPr>
          <w:lang w:val="en-GB"/>
        </w:rPr>
        <w:t>.</w:t>
      </w:r>
      <w:r w:rsidR="008E288B" w:rsidRPr="00FA6555">
        <w:rPr>
          <w:lang w:val="en-GB"/>
        </w:rPr>
        <w:t xml:space="preserve"> </w:t>
      </w:r>
      <w:r w:rsidR="00A13FAD">
        <w:rPr>
          <w:lang w:val="en-GB"/>
        </w:rPr>
        <w:t>Indeed</w:t>
      </w:r>
      <w:r w:rsidR="008E288B" w:rsidRPr="00FA6555">
        <w:rPr>
          <w:lang w:val="en-GB"/>
        </w:rPr>
        <w:t xml:space="preserve">, adults do not respond to these vaccines, presumably due to pre-existing </w:t>
      </w:r>
      <w:r w:rsidR="002A7545">
        <w:rPr>
          <w:lang w:val="en-GB"/>
        </w:rPr>
        <w:t>immunity</w:t>
      </w:r>
      <w:r w:rsidR="008E288B" w:rsidRPr="00FA6555">
        <w:rPr>
          <w:lang w:val="en-GB"/>
        </w:rPr>
        <w:t xml:space="preserve"> that prevent</w:t>
      </w:r>
      <w:r w:rsidR="002A7545">
        <w:rPr>
          <w:lang w:val="en-GB"/>
        </w:rPr>
        <w:t>s</w:t>
      </w:r>
      <w:r w:rsidR="008E288B" w:rsidRPr="00FA6555">
        <w:rPr>
          <w:lang w:val="en-GB"/>
        </w:rPr>
        <w:t xml:space="preserve"> attenuated virus replication. </w:t>
      </w:r>
      <w:proofErr w:type="spellStart"/>
      <w:r w:rsidR="00AA1BE1">
        <w:rPr>
          <w:lang w:val="en-GB"/>
        </w:rPr>
        <w:t>Futhermore</w:t>
      </w:r>
      <w:proofErr w:type="spellEnd"/>
      <w:r w:rsidR="00AA1BE1">
        <w:rPr>
          <w:lang w:val="en-GB"/>
        </w:rPr>
        <w:t>,</w:t>
      </w:r>
      <w:r w:rsidR="008E288B" w:rsidRPr="00FA6555">
        <w:rPr>
          <w:lang w:val="en-GB"/>
        </w:rPr>
        <w:t xml:space="preserve"> an adenovirus vector expressing F protein </w:t>
      </w:r>
      <w:r w:rsidR="004B3503">
        <w:rPr>
          <w:lang w:val="en-GB"/>
        </w:rPr>
        <w:t>recently</w:t>
      </w:r>
      <w:r w:rsidR="004B3503" w:rsidRPr="00FA6555">
        <w:rPr>
          <w:lang w:val="en-GB"/>
        </w:rPr>
        <w:t xml:space="preserve"> </w:t>
      </w:r>
      <w:r w:rsidR="008E288B" w:rsidRPr="00FA6555">
        <w:rPr>
          <w:lang w:val="en-GB"/>
        </w:rPr>
        <w:t xml:space="preserve">tested </w:t>
      </w:r>
      <w:r w:rsidR="004B3503">
        <w:rPr>
          <w:lang w:val="en-GB"/>
        </w:rPr>
        <w:t>via</w:t>
      </w:r>
      <w:r w:rsidR="008E288B" w:rsidRPr="00FA6555">
        <w:rPr>
          <w:lang w:val="en-GB"/>
        </w:rPr>
        <w:t xml:space="preserve"> intranasal administration</w:t>
      </w:r>
      <w:r w:rsidR="00A972C1">
        <w:rPr>
          <w:lang w:val="en-GB"/>
        </w:rPr>
        <w:t xml:space="preserve"> </w:t>
      </w:r>
      <w:r w:rsidR="008E288B" w:rsidRPr="00FA6555">
        <w:rPr>
          <w:lang w:val="en-GB"/>
        </w:rPr>
        <w:fldChar w:fldCharType="begin"/>
      </w:r>
      <w:r w:rsidR="00094A1B">
        <w:rPr>
          <w:lang w:val="en-GB"/>
        </w:rPr>
        <w:instrText xml:space="preserve"> ADDIN ZOTERO_ITEM CSL_CITATION {"citationID":"kJQVU1rK","properties":{"formattedCitation":"(20)","plainCitation":"(20)","noteIndex":0},"citationItems":[{"id":"35rDZLyI/oopGkEai","uris":["http://zotero.org/users/837702/items/W43QRSU9"],"uri":["http://zotero.org/users/837702/items/W43QRSU9"],"itemData":{"id":7676,"type":"article-journal","title":"Chimpanzee adenovirus– and MVA-vectored respiratory syncytial virus vaccine is safe and immunogenic in adults","container-title":"Science Translational Medicine","page":"300ra126-300ra126","volume":"7","issue":"300","source":"stm.sciencemag.org","abstract":"RSV vaccine cows infection\nRespiratory syncytial virus (RSV) causes a severe lower respiratory tract disease that affects both children and the elderly. Vaccines have shown promise in rodents and nonhuman primates, but it remains unclear if these models reflect human RSV infection. Now, two papers by Taylor et al. and Green et al. translate one vaccine strategy first into calves, which are natural hosts of bovine RSV, and then into humans in a phase 1 clinical trial. A prime-boost strategy protected against upper and lower respiratory tract infection and pulmonary disease induced by heterologous bovine RSV challenge in calves and demonstrated safety and immunogenicity in humans. These data support further trials to test vaccine efficacy in human patients.\nRespiratory syncytial virus (RSV) causes respiratory infection in annual epidemics, with infants and the elderly at particular risk of developing severe disease and death. However, despite its importance, no vaccine exists. The chimpanzee adenovirus, PanAd3-RSV, and modified vaccinia virus Ankara, MVA-RSV, are replication-defective viral vectors encoding the RSV fusion (F), nucleocapsid (N), and matrix (M2-1) proteins for the induction of humoral and cellular responses. We performed an open-label, dose escalation, phase 1 clinical trial in 42 healthy adults in which four different combinations of prime/boost vaccinations were investigated for safety and immunogenicity, including both intramuscular (IM) and intranasal (IN) administration of the adenovirus-vectored vaccine. The vaccines were safe and well tolerated, with the most common reported adverse events being mild injection site reactions. No vaccine-related serious adverse events occurred. RSV neutralizing antibody titers rose in response to IM prime with PanAd3-RSV and after IM boost for individuals primed by the IN route. Circulating anti-F immunoglobulin G (IgG) and IgA antibody-secreting cells (ASCs) were observed after the IM prime and IM boost. RSV-specific T cell responses were increased after the IM PanAd3-RSV prime and were most efficiently boosted by IM MVA-RSV. Interferon-γ (IFN-γ) secretion after boost was from both CD4+ and CD8+ T cells, without detectable T helper cell 2 (TH2) cytokines that have been previously associated with immune pathogenesis following exposure to RSV after the formalin-inactivated RSV vaccine. In conclusion, PanAd3-RSV and MVA-RSV are safe and immunogenic in healthy adults. These vaccine candidates warrant further clinical evaluation of efficacy to assess their potential to reduce the burden of RSV disease.\nThe RSV vaccine candidates PanAd3-RSV and MVA-RSV were safe and immunogenic in healthy adults.\nThe RSV vaccine candidates PanAd3-RSV and MVA-RSV were safe and immunogenic in healthy adults.","DOI":"10.1126/scitranslmed.aac5745","ISSN":"1946-6234, 1946-6242","note":"PMID: 26268313","language":"en","author":[{"family":"Green","given":"Christopher A."},{"family":"Scarselli","given":"Elisa"},{"family":"Sande","given":"Charles J."},{"family":"Thompson","given":"Amber J."},{"family":"Lara","given":"Catherine M.","dropping-particle":"de"},{"family":"Taylor","given":"Kathryn S."},{"family":"Haworth","given":"Kathryn"},{"family":"Sorbo","given":"Mariarosaria Del"},{"family":"Angus","given":"Brian"},{"family":"Siani","given":"Loredana"},{"family":"Marco","given":"Stefania Di"},{"family":"Traboni","given":"Cinzia"},{"family":"Folgori","given":"Antonella"},{"family":"Colloca","given":"Stefano"},{"family":"Capone","given":"Stefania"},{"family":"Vitelli","given":"Alessandra"},{"family":"Cortese","given":"Riccardo"},{"family":"Klenerman","given":"Paul"},{"family":"Nicosia","given":"Alfredo"},{"family":"Pollard","given":"Andrew J."}],"issued":{"date-parts":[["2015",8,12]]}}}],"schema":"https://github.com/citation-style-language/schema/raw/master/csl-citation.json"} </w:instrText>
      </w:r>
      <w:r w:rsidR="008E288B" w:rsidRPr="00FA6555">
        <w:rPr>
          <w:lang w:val="en-GB"/>
        </w:rPr>
        <w:fldChar w:fldCharType="separate"/>
      </w:r>
      <w:r w:rsidR="00094A1B" w:rsidRPr="00094A1B">
        <w:t>(20)</w:t>
      </w:r>
      <w:r w:rsidR="008E288B" w:rsidRPr="00FA6555">
        <w:rPr>
          <w:lang w:val="en-GB"/>
        </w:rPr>
        <w:fldChar w:fldCharType="end"/>
      </w:r>
      <w:r w:rsidR="004B3503">
        <w:rPr>
          <w:lang w:val="en-GB"/>
        </w:rPr>
        <w:t xml:space="preserve"> </w:t>
      </w:r>
      <w:r w:rsidR="008E288B" w:rsidRPr="00FA6555">
        <w:rPr>
          <w:lang w:val="en-GB"/>
        </w:rPr>
        <w:t>led to minimal boosting</w:t>
      </w:r>
      <w:r w:rsidR="004B3503">
        <w:rPr>
          <w:lang w:val="en-GB"/>
        </w:rPr>
        <w:t xml:space="preserve"> compared with intramuscular injection.</w:t>
      </w:r>
      <w:r w:rsidR="008E288B" w:rsidRPr="00FA6555">
        <w:rPr>
          <w:lang w:val="en-GB"/>
        </w:rPr>
        <w:t xml:space="preserve"> </w:t>
      </w:r>
    </w:p>
    <w:p w14:paraId="461B82E2" w14:textId="0BA76DD2" w:rsidR="008E288B" w:rsidRPr="0074371D" w:rsidRDefault="0048258A" w:rsidP="008E288B">
      <w:pPr>
        <w:pStyle w:val="Paragraph"/>
        <w:spacing w:line="480" w:lineRule="auto"/>
        <w:ind w:firstLine="0"/>
        <w:jc w:val="both"/>
        <w:rPr>
          <w:color w:val="000000" w:themeColor="text1"/>
          <w:lang w:val="en-GB"/>
        </w:rPr>
      </w:pPr>
      <w:r>
        <w:rPr>
          <w:lang w:val="en-GB"/>
        </w:rPr>
        <w:t xml:space="preserve">However, </w:t>
      </w:r>
      <w:r w:rsidR="004B3503">
        <w:rPr>
          <w:lang w:val="en-GB"/>
        </w:rPr>
        <w:t>immunogenicity data are</w:t>
      </w:r>
      <w:r>
        <w:rPr>
          <w:lang w:val="en-GB"/>
        </w:rPr>
        <w:t xml:space="preserve"> complicated </w:t>
      </w:r>
      <w:r w:rsidR="003A44ED">
        <w:rPr>
          <w:lang w:val="en-GB"/>
        </w:rPr>
        <w:t>where</w:t>
      </w:r>
      <w:r>
        <w:rPr>
          <w:lang w:val="en-GB"/>
        </w:rPr>
        <w:t xml:space="preserve"> </w:t>
      </w:r>
      <w:r w:rsidR="003A44ED">
        <w:rPr>
          <w:lang w:val="en-GB"/>
        </w:rPr>
        <w:t>p</w:t>
      </w:r>
      <w:r w:rsidR="008E288B" w:rsidRPr="00FA6555">
        <w:rPr>
          <w:lang w:val="en-GB"/>
        </w:rPr>
        <w:t xml:space="preserve">re-existing immunity against vaccine antigens </w:t>
      </w:r>
      <w:r w:rsidR="003A44ED">
        <w:rPr>
          <w:lang w:val="en-GB"/>
        </w:rPr>
        <w:t xml:space="preserve">exists, such as </w:t>
      </w:r>
      <w:r w:rsidR="004B3503">
        <w:rPr>
          <w:lang w:val="en-GB"/>
        </w:rPr>
        <w:t>with</w:t>
      </w:r>
      <w:r w:rsidR="003A44ED">
        <w:rPr>
          <w:lang w:val="en-GB"/>
        </w:rPr>
        <w:t xml:space="preserve"> RSV in</w:t>
      </w:r>
      <w:r w:rsidR="008E288B" w:rsidRPr="00FA6555">
        <w:rPr>
          <w:lang w:val="en-GB"/>
        </w:rPr>
        <w:t xml:space="preserve"> older children and adults</w:t>
      </w:r>
      <w:r w:rsidR="00360BB9">
        <w:rPr>
          <w:lang w:val="en-GB"/>
        </w:rPr>
        <w:t xml:space="preserve"> </w:t>
      </w:r>
      <w:r w:rsidR="008E288B" w:rsidRPr="00FA6555">
        <w:rPr>
          <w:lang w:val="en-GB"/>
        </w:rPr>
        <w:fldChar w:fldCharType="begin"/>
      </w:r>
      <w:r w:rsidR="00094A1B">
        <w:rPr>
          <w:lang w:val="en-GB"/>
        </w:rPr>
        <w:instrText xml:space="preserve"> ADDIN ZOTERO_ITEM CSL_CITATION {"citationID":"UMDSBzbu","properties":{"formattedCitation":"(24, 25)","plainCitation":"(24, 25)","noteIndex":0},"citationItems":[{"id":"35rDZLyI/Fci5ooYd","uris":["http://zotero.org/users/837702/items/7QUXQLXA"],"uri":["http://zotero.org/users/837702/items/7QUXQLXA"],"itemData":{"id":12799,"type":"article-journal","title":"Age-Specific Profiles of Antibody Responses against Respiratory Syncytial Virus Infection","container-title":"EBioMedicine","page":"124-135","volume":"16","source":"PubMed Central","abstract":"Respiratory syncytial virus (RSV) is one of the most prevalent causative agents of lower respiratory tract infections worldwide, especially in infants around 3 to 4 months old. Infants at such a young age have maternally-transferred passive antibodies against RSV but do not have active immune systems efficient enough for the control of RSV infection. In order to elucidate age-specific profiles of immune responses against RSV protection, antibody responses were examined by using blood samples in both acute and convalescent phases obtained from child patients and adult patients. In addition to the serum neutralization activity, antibody responses to the RSV fusion protein (F protein) were dissected by analyzing levels of total IgG, IgG subclasses, the binding stability, and the levels of antibody for the neutralization epitopes. It was suggested that children's antibody responses against RSV are matured over months and years in at least 5 stages based on 1) levels of the neutralization titer and IgG3 for F protein in the convalescent phase, 2) geometric mean ratios of the neutralization titers and levels of IgG1 and IgG2 for F protein in the convalescent phase compared to those levels in the acute phase, 3) the affinity maturation of IgG for F protein and the cross reactivity of IgG for RSV glycoproteins of groups A and B, 4) levels of neutralization epitope-specific IgG, and 5) augmentation of overall antibody responses due to repetitive RSV infection., \n          \n            \n              •\n              Children's antibody responses against RSV are matured over months and years in at least 5 stages.\n            \n            \n              •\n              Age-specific profiles of antibody responses after RSV infection are proposed.\n            \n            \n              •\n              The profile of IgG3 specific to F protein reflects infants' own antibody response after RSV infection.\n            \n          \n        , In this study, antibody responses to respiratory syncytial virus (RSV) were evaluated by quantitative and qualitative multivariate analyses of acute and convalescent sera from patients infected with RSV. The results suggested that the profiles of antibody responses after RSV infections are delineated by independent factors such as the development of children's immune system and the natural infection with RSV in the presence or absence of maternal antibodies.","DOI":"10.1016/j.ebiom.2017.01.014","ISSN":"2352-3964","note":"PMID: 28111238\nPMCID: PMC5474434","journalAbbreviation":"EBioMedicine","author":[{"family":"Jounai","given":"Nao"},{"family":"Yoshioka","given":"Megumi"},{"family":"Tozuka","given":"Miyuki"},{"family":"Inoue","given":"Kazue"},{"family":"Oka","given":"Tatsuya"},{"family":"Miyaji","given":"Kazuki"},{"family":"Ishida","given":"Katsuyasu"},{"family":"Kawai","given":"Naoki"},{"family":"Ikematsu","given":"Hideyuki"},{"family":"Kawakami","given":"Chiaki"},{"family":"Shimizu","given":"Hiroyuki"},{"family":"Mori","given":"Masaaki"},{"family":"Ishii","given":"Ken J."},{"family":"Takeshita","given":"Fumihiko"}],"issued":{"date-parts":[["2017",1,16]]}}},{"id":"35rDZLyI/vLI0mX6d","uris":["http://zotero.org/users/837702/items/NZTNG3SR"],"uri":["http://zotero.org/users/837702/items/NZTNG3SR"],"itemData":{"id":1484,"type":"article-journal","title":"Relationship of serum antibody to risk of respiratory syncytial virus infection in elderly adults.","container-title":"J Infect Dis","page":"463-6","volume":"177","abstract":"The relationship of serum antibody to respiratory syncytial virus (RSV) and risk of RSV infection was prospectively evaluated in frail elderly persons. Baseline blood samples from 22 subjects who developed symptomatic RSV infection during the 26-month study and from 22 control subjects who did not become infected with RSV were compared. The mean serum IgG titer to RSV fusion protein was significantly lower in the RSV-infected group than in the controls (15.4 +/- 1.6 vs. 16.4 +/- 1.8, P = .05), as were the neutralizing titers to group A RSV (12.4 +/- 2.2 vs. 14.2 +/- 2.2, P = .008) and group B virus (9.1 +/- 2.1, vs. 10.3 +/- 1.5, P = .01). These results suggest that older adults with low titers of serum neutralizing antibody may be at greater risk of developing symptomatic RSV infection than those who have high antibody titers.","ISSN":"0022-1899","note":"2","shortTitle":"Relationship of serum antibody to risk of respiratory syncytial virus infection in elderly adults.","author":[{"family":"Falsey","given":"AR"},{"family":"Walsh","given":"EE"}],"issued":{"date-parts":[["1998"]]}}}],"schema":"https://github.com/citation-style-language/schema/raw/master/csl-citation.json"} </w:instrText>
      </w:r>
      <w:r w:rsidR="008E288B" w:rsidRPr="00FA6555">
        <w:rPr>
          <w:lang w:val="en-GB"/>
        </w:rPr>
        <w:fldChar w:fldCharType="separate"/>
      </w:r>
      <w:r w:rsidR="00094A1B" w:rsidRPr="00094A1B">
        <w:t>(24, 25)</w:t>
      </w:r>
      <w:r w:rsidR="008E288B" w:rsidRPr="00FA6555">
        <w:rPr>
          <w:lang w:val="en-GB"/>
        </w:rPr>
        <w:fldChar w:fldCharType="end"/>
      </w:r>
      <w:r w:rsidR="00200767">
        <w:rPr>
          <w:lang w:val="en-GB"/>
        </w:rPr>
        <w:t>.</w:t>
      </w:r>
      <w:r w:rsidR="008E288B" w:rsidRPr="00FA6555">
        <w:rPr>
          <w:lang w:val="en-GB"/>
        </w:rPr>
        <w:t xml:space="preserve"> Following </w:t>
      </w:r>
      <w:proofErr w:type="spellStart"/>
      <w:r w:rsidR="008E288B" w:rsidRPr="00FA6555">
        <w:rPr>
          <w:lang w:val="en-GB"/>
        </w:rPr>
        <w:t>SynGEM</w:t>
      </w:r>
      <w:proofErr w:type="spellEnd"/>
      <w:r w:rsidR="008E288B" w:rsidRPr="00FA6555">
        <w:rPr>
          <w:lang w:val="en-GB"/>
        </w:rPr>
        <w:t xml:space="preserve"> </w:t>
      </w:r>
      <w:r w:rsidR="008E288B" w:rsidRPr="00FA6555">
        <w:rPr>
          <w:lang w:val="en-GB"/>
        </w:rPr>
        <w:lastRenderedPageBreak/>
        <w:t xml:space="preserve">vaccination, serum antibody </w:t>
      </w:r>
      <w:proofErr w:type="spellStart"/>
      <w:r w:rsidR="008E288B" w:rsidRPr="00FA6555">
        <w:rPr>
          <w:lang w:val="en-GB"/>
        </w:rPr>
        <w:t>titers</w:t>
      </w:r>
      <w:proofErr w:type="spellEnd"/>
      <w:r w:rsidR="008E288B" w:rsidRPr="00FA6555">
        <w:rPr>
          <w:lang w:val="en-GB"/>
        </w:rPr>
        <w:t xml:space="preserve"> increased significantly </w:t>
      </w:r>
      <w:r w:rsidR="002A7545">
        <w:rPr>
          <w:lang w:val="en-GB"/>
        </w:rPr>
        <w:t xml:space="preserve">despite the </w:t>
      </w:r>
      <w:r w:rsidR="008E288B" w:rsidRPr="00FA6555">
        <w:rPr>
          <w:lang w:val="en-GB"/>
        </w:rPr>
        <w:t xml:space="preserve">background of moderate-to-high levels of pre-existing F-specific antibodies. </w:t>
      </w:r>
      <w:r w:rsidR="008E288B" w:rsidRPr="0074371D">
        <w:rPr>
          <w:color w:val="000000" w:themeColor="text1"/>
          <w:lang w:val="en-GB"/>
        </w:rPr>
        <w:t xml:space="preserve">However, the seropositivity of the volunteers limited </w:t>
      </w:r>
      <w:r w:rsidR="00DC4248" w:rsidRPr="0074371D">
        <w:rPr>
          <w:color w:val="000000" w:themeColor="text1"/>
          <w:lang w:val="en-GB"/>
        </w:rPr>
        <w:t>the size of</w:t>
      </w:r>
      <w:r w:rsidR="008E288B" w:rsidRPr="0074371D">
        <w:rPr>
          <w:color w:val="000000" w:themeColor="text1"/>
          <w:lang w:val="en-GB"/>
        </w:rPr>
        <w:t xml:space="preserve"> </w:t>
      </w:r>
      <w:r w:rsidR="00DC4248" w:rsidRPr="0074371D">
        <w:rPr>
          <w:color w:val="000000" w:themeColor="text1"/>
          <w:lang w:val="en-GB"/>
        </w:rPr>
        <w:t xml:space="preserve">vaccine </w:t>
      </w:r>
      <w:r w:rsidR="008E288B" w:rsidRPr="0074371D">
        <w:rPr>
          <w:color w:val="000000" w:themeColor="text1"/>
          <w:lang w:val="en-GB"/>
        </w:rPr>
        <w:t>responses</w:t>
      </w:r>
      <w:r w:rsidR="00A61915" w:rsidRPr="0074371D">
        <w:rPr>
          <w:color w:val="000000" w:themeColor="text1"/>
          <w:lang w:val="en-GB"/>
        </w:rPr>
        <w:t xml:space="preserve"> with serum IgG only reaching a maximum of 2.</w:t>
      </w:r>
      <w:r w:rsidR="00CC1AF4" w:rsidRPr="0074371D">
        <w:rPr>
          <w:color w:val="000000" w:themeColor="text1"/>
          <w:lang w:val="en-GB"/>
        </w:rPr>
        <w:t>43</w:t>
      </w:r>
      <w:r w:rsidR="00C02C09" w:rsidRPr="0074371D">
        <w:rPr>
          <w:color w:val="000000" w:themeColor="text1"/>
          <w:lang w:val="en-GB"/>
        </w:rPr>
        <w:t>-</w:t>
      </w:r>
      <w:r w:rsidR="00A61915" w:rsidRPr="0074371D">
        <w:rPr>
          <w:color w:val="000000" w:themeColor="text1"/>
          <w:lang w:val="en-GB"/>
        </w:rPr>
        <w:t>fold increase</w:t>
      </w:r>
      <w:r w:rsidR="004B3503" w:rsidRPr="0074371D">
        <w:rPr>
          <w:color w:val="000000" w:themeColor="text1"/>
          <w:lang w:val="en-GB"/>
        </w:rPr>
        <w:t xml:space="preserve"> </w:t>
      </w:r>
      <w:r w:rsidR="00A61915" w:rsidRPr="0074371D">
        <w:rPr>
          <w:color w:val="000000" w:themeColor="text1"/>
          <w:lang w:val="en-GB"/>
        </w:rPr>
        <w:t>(in the low-dose group late after boost vaccination)</w:t>
      </w:r>
      <w:r w:rsidR="00CC1AF4" w:rsidRPr="0074371D">
        <w:rPr>
          <w:color w:val="000000" w:themeColor="text1"/>
          <w:lang w:val="en-GB"/>
        </w:rPr>
        <w:t>.</w:t>
      </w:r>
      <w:r w:rsidR="00A61915" w:rsidRPr="0074371D">
        <w:rPr>
          <w:color w:val="000000" w:themeColor="text1"/>
          <w:lang w:val="en-GB"/>
        </w:rPr>
        <w:t xml:space="preserve"> </w:t>
      </w:r>
      <w:r w:rsidR="00612F02" w:rsidRPr="0074371D">
        <w:rPr>
          <w:color w:val="000000" w:themeColor="text1"/>
          <w:lang w:val="en-GB"/>
        </w:rPr>
        <w:t>Furthermore</w:t>
      </w:r>
      <w:r w:rsidR="00CC1AF4" w:rsidRPr="0074371D">
        <w:rPr>
          <w:color w:val="000000" w:themeColor="text1"/>
          <w:lang w:val="en-GB"/>
        </w:rPr>
        <w:t xml:space="preserve">, </w:t>
      </w:r>
      <w:r w:rsidR="00612F02" w:rsidRPr="0074371D">
        <w:rPr>
          <w:color w:val="000000" w:themeColor="text1"/>
          <w:lang w:val="en-GB"/>
        </w:rPr>
        <w:t xml:space="preserve">nasal IgA only significantly increased in the high-dose group with a fold-change of 1.87, although </w:t>
      </w:r>
      <w:r w:rsidR="004B3503" w:rsidRPr="0074371D">
        <w:rPr>
          <w:color w:val="000000" w:themeColor="text1"/>
          <w:lang w:val="en-GB"/>
        </w:rPr>
        <w:t>l</w:t>
      </w:r>
      <w:r w:rsidR="008E288B" w:rsidRPr="0074371D">
        <w:rPr>
          <w:color w:val="000000" w:themeColor="text1"/>
          <w:lang w:val="en-GB"/>
        </w:rPr>
        <w:t xml:space="preserve">ow pre-existing F-specific IgA </w:t>
      </w:r>
      <w:proofErr w:type="spellStart"/>
      <w:r w:rsidR="008E288B" w:rsidRPr="0074371D">
        <w:rPr>
          <w:color w:val="000000" w:themeColor="text1"/>
          <w:lang w:val="en-GB"/>
        </w:rPr>
        <w:t>titer</w:t>
      </w:r>
      <w:r w:rsidR="002A7545" w:rsidRPr="0074371D">
        <w:rPr>
          <w:color w:val="000000" w:themeColor="text1"/>
          <w:lang w:val="en-GB"/>
        </w:rPr>
        <w:t>s</w:t>
      </w:r>
      <w:proofErr w:type="spellEnd"/>
      <w:r w:rsidR="002A7545" w:rsidRPr="0074371D">
        <w:rPr>
          <w:color w:val="000000" w:themeColor="text1"/>
          <w:lang w:val="en-GB"/>
        </w:rPr>
        <w:t xml:space="preserve"> were </w:t>
      </w:r>
      <w:r w:rsidR="004B3503" w:rsidRPr="0074371D">
        <w:rPr>
          <w:color w:val="000000" w:themeColor="text1"/>
          <w:lang w:val="en-GB"/>
        </w:rPr>
        <w:t xml:space="preserve">more </w:t>
      </w:r>
      <w:r w:rsidR="002A7545" w:rsidRPr="0074371D">
        <w:rPr>
          <w:color w:val="000000" w:themeColor="text1"/>
          <w:lang w:val="en-GB"/>
        </w:rPr>
        <w:t>predictive of the strongest</w:t>
      </w:r>
      <w:r w:rsidR="008E288B" w:rsidRPr="0074371D">
        <w:rPr>
          <w:color w:val="000000" w:themeColor="text1"/>
          <w:lang w:val="en-GB"/>
        </w:rPr>
        <w:t xml:space="preserve"> response to vaccination, with in some cases &gt;90-f</w:t>
      </w:r>
      <w:r w:rsidR="002A7545" w:rsidRPr="0074371D">
        <w:rPr>
          <w:color w:val="000000" w:themeColor="text1"/>
          <w:lang w:val="en-GB"/>
        </w:rPr>
        <w:t>old rise</w:t>
      </w:r>
      <w:r w:rsidR="008E288B" w:rsidRPr="0074371D">
        <w:rPr>
          <w:color w:val="000000" w:themeColor="text1"/>
          <w:lang w:val="en-GB"/>
        </w:rPr>
        <w:t xml:space="preserve">. </w:t>
      </w:r>
      <w:r w:rsidR="0013553A" w:rsidRPr="0074371D">
        <w:rPr>
          <w:color w:val="000000" w:themeColor="text1"/>
          <w:lang w:val="en-GB"/>
        </w:rPr>
        <w:t>Previous studies of i</w:t>
      </w:r>
      <w:r w:rsidR="008E288B" w:rsidRPr="0074371D">
        <w:rPr>
          <w:color w:val="000000" w:themeColor="text1"/>
          <w:lang w:val="en-GB"/>
        </w:rPr>
        <w:t xml:space="preserve">ntranasal subunit </w:t>
      </w:r>
      <w:r w:rsidR="002A7545" w:rsidRPr="0074371D">
        <w:rPr>
          <w:color w:val="000000" w:themeColor="text1"/>
          <w:lang w:val="en-GB"/>
        </w:rPr>
        <w:t xml:space="preserve">candidates </w:t>
      </w:r>
      <w:r w:rsidR="0013553A" w:rsidRPr="0074371D">
        <w:rPr>
          <w:color w:val="000000" w:themeColor="text1"/>
          <w:lang w:val="en-GB"/>
        </w:rPr>
        <w:t>(</w:t>
      </w:r>
      <w:r w:rsidR="008E288B" w:rsidRPr="0074371D">
        <w:rPr>
          <w:color w:val="000000" w:themeColor="text1"/>
          <w:lang w:val="en-GB"/>
        </w:rPr>
        <w:t>against diphtheria, tuberculosis, HIV and influenza</w:t>
      </w:r>
      <w:r w:rsidR="0013553A" w:rsidRPr="0074371D">
        <w:rPr>
          <w:color w:val="000000" w:themeColor="text1"/>
          <w:lang w:val="en-GB"/>
        </w:rPr>
        <w:t xml:space="preserve">) suggest that immunogenicity </w:t>
      </w:r>
      <w:r w:rsidR="001E3A9F" w:rsidRPr="0074371D">
        <w:rPr>
          <w:color w:val="000000" w:themeColor="text1"/>
          <w:lang w:val="en-GB"/>
        </w:rPr>
        <w:t xml:space="preserve">could </w:t>
      </w:r>
      <w:r w:rsidR="0013553A" w:rsidRPr="0074371D">
        <w:rPr>
          <w:color w:val="000000" w:themeColor="text1"/>
          <w:lang w:val="en-GB"/>
        </w:rPr>
        <w:t xml:space="preserve">be </w:t>
      </w:r>
      <w:r w:rsidR="00D048AC" w:rsidRPr="0074371D">
        <w:rPr>
          <w:color w:val="000000" w:themeColor="text1"/>
          <w:lang w:val="en-GB"/>
        </w:rPr>
        <w:t>greater</w:t>
      </w:r>
      <w:r w:rsidR="0013553A" w:rsidRPr="0074371D">
        <w:rPr>
          <w:color w:val="000000" w:themeColor="text1"/>
          <w:lang w:val="en-GB"/>
        </w:rPr>
        <w:t xml:space="preserve"> in the absence of high levels of strain-specific immunity</w:t>
      </w:r>
      <w:r w:rsidR="008E288B" w:rsidRPr="0074371D">
        <w:rPr>
          <w:color w:val="000000" w:themeColor="text1"/>
          <w:lang w:val="en-GB"/>
        </w:rPr>
        <w:t xml:space="preserve">. </w:t>
      </w:r>
      <w:r w:rsidR="0013553A" w:rsidRPr="0074371D">
        <w:rPr>
          <w:color w:val="000000" w:themeColor="text1"/>
          <w:lang w:val="en-GB"/>
        </w:rPr>
        <w:t xml:space="preserve">Indeed, </w:t>
      </w:r>
      <w:r w:rsidR="002A7545" w:rsidRPr="0074371D">
        <w:rPr>
          <w:color w:val="000000" w:themeColor="text1"/>
          <w:lang w:val="en-GB"/>
        </w:rPr>
        <w:t xml:space="preserve">an influenza vaccine </w:t>
      </w:r>
      <w:r w:rsidR="00D048AC" w:rsidRPr="0074371D">
        <w:rPr>
          <w:color w:val="000000" w:themeColor="text1"/>
          <w:lang w:val="en-GB"/>
        </w:rPr>
        <w:t xml:space="preserve">using a similar BLP platform as </w:t>
      </w:r>
      <w:proofErr w:type="spellStart"/>
      <w:r w:rsidR="00D048AC" w:rsidRPr="0074371D">
        <w:rPr>
          <w:color w:val="000000" w:themeColor="text1"/>
          <w:lang w:val="en-GB"/>
        </w:rPr>
        <w:t>SynGEM</w:t>
      </w:r>
      <w:proofErr w:type="spellEnd"/>
      <w:r w:rsidR="00A972C1" w:rsidRPr="0074371D">
        <w:rPr>
          <w:color w:val="000000" w:themeColor="text1"/>
          <w:lang w:val="en-GB"/>
        </w:rPr>
        <w:t xml:space="preserve"> </w:t>
      </w:r>
      <w:r w:rsidR="008E288B" w:rsidRPr="0074371D">
        <w:rPr>
          <w:color w:val="000000" w:themeColor="text1"/>
          <w:lang w:val="en-GB"/>
        </w:rPr>
        <w:fldChar w:fldCharType="begin"/>
      </w:r>
      <w:r w:rsidR="00094A1B" w:rsidRPr="0074371D">
        <w:rPr>
          <w:color w:val="000000" w:themeColor="text1"/>
          <w:lang w:val="en-GB"/>
        </w:rPr>
        <w:instrText xml:space="preserve"> ADDIN ZOTERO_ITEM CSL_CITATION {"citationID":"x698v1uV","properties":{"formattedCitation":"(26)","plainCitation":"(26)","noteIndex":0},"citationItems":[{"id":"35rDZLyI/hn3etbHe","uris":["http://zotero.org/users/837702/items/M8KGDM4Z"],"uri":["http://zotero.org/users/837702/items/M8KGDM4Z"],"itemData":{"id":12790,"type":"article-journal","title":"Bacterium-Like Particles for Efficient Immune Stimulation of Existing Vaccines and New Subunit Vaccines in Mucosal Applications","container-title":"Frontiers in Immunology","volume":"4","source":"PubMed Central","abstract":"The successful development of a mucosal vaccine depends critically on the use of a safe and effective immunostimulant and/or carrier system. This review describes the effectiveness and mode of action of an immunostimulating particle, derived from bacteria, used in mucosal subunit vaccines. The non-living particles, designated bacterium-like particles are based on the food-grade bacterium Lactococcus lactis. The focus of the overview is on the development of intranasal BLP-based vaccines to prevent diseases caused by influenza and respiratory syncytial virus, and includes a selection of Phase I clinical data for the intranasal FluGEM vaccine.","URL":"https://www.ncbi.nlm.nih.gov/pmc/articles/PMC3775300/","DOI":"10.3389/fimmu.2013.00282","ISSN":"1664-3224","note":"PMID: 24062748\nPMCID: PMC3775300","journalAbbreviation":"Front Immunol","author":[{"family":"Van Braeckel-Budimir","given":"Natalija"},{"family":"Haijema","given":"Bert Jan"},{"family":"Leenhouts","given":"Kees"}],"issued":{"date-parts":[["2013",9,17]]},"accessed":{"date-parts":[["2018",6,8]]}}}],"schema":"https://github.com/citation-style-language/schema/raw/master/csl-citation.json"} </w:instrText>
      </w:r>
      <w:r w:rsidR="008E288B" w:rsidRPr="0074371D">
        <w:rPr>
          <w:color w:val="000000" w:themeColor="text1"/>
          <w:lang w:val="en-GB"/>
        </w:rPr>
        <w:fldChar w:fldCharType="separate"/>
      </w:r>
      <w:r w:rsidR="00094A1B" w:rsidRPr="0074371D">
        <w:rPr>
          <w:color w:val="000000" w:themeColor="text1"/>
        </w:rPr>
        <w:t>(26)</w:t>
      </w:r>
      <w:r w:rsidR="008E288B" w:rsidRPr="0074371D">
        <w:rPr>
          <w:color w:val="000000" w:themeColor="text1"/>
          <w:lang w:val="en-GB"/>
        </w:rPr>
        <w:fldChar w:fldCharType="end"/>
      </w:r>
      <w:r w:rsidR="008E288B" w:rsidRPr="0074371D">
        <w:rPr>
          <w:color w:val="000000" w:themeColor="text1"/>
          <w:lang w:val="en-GB"/>
        </w:rPr>
        <w:t xml:space="preserve"> </w:t>
      </w:r>
      <w:r w:rsidR="009D3776" w:rsidRPr="0074371D">
        <w:rPr>
          <w:color w:val="000000" w:themeColor="text1"/>
          <w:lang w:val="en-GB"/>
        </w:rPr>
        <w:t xml:space="preserve">induced </w:t>
      </w:r>
      <w:r w:rsidR="00866935" w:rsidRPr="0074371D">
        <w:rPr>
          <w:color w:val="000000" w:themeColor="text1"/>
          <w:lang w:val="en-GB"/>
        </w:rPr>
        <w:t xml:space="preserve">significantly </w:t>
      </w:r>
      <w:r w:rsidR="00D048AC" w:rsidRPr="0074371D">
        <w:rPr>
          <w:color w:val="000000" w:themeColor="text1"/>
          <w:lang w:val="en-GB"/>
        </w:rPr>
        <w:t xml:space="preserve">higher </w:t>
      </w:r>
      <w:r w:rsidR="009D3776" w:rsidRPr="0074371D">
        <w:rPr>
          <w:color w:val="000000" w:themeColor="text1"/>
          <w:lang w:val="en-GB"/>
        </w:rPr>
        <w:t xml:space="preserve">IgG and IgA </w:t>
      </w:r>
      <w:r w:rsidR="00D048AC" w:rsidRPr="0074371D">
        <w:rPr>
          <w:color w:val="000000" w:themeColor="text1"/>
          <w:lang w:val="en-GB"/>
        </w:rPr>
        <w:t>levels than the inactivated vaccine comparator</w:t>
      </w:r>
      <w:r w:rsidR="008E288B" w:rsidRPr="0074371D">
        <w:rPr>
          <w:color w:val="000000" w:themeColor="text1"/>
          <w:lang w:val="en-GB"/>
        </w:rPr>
        <w:t xml:space="preserve">. </w:t>
      </w:r>
      <w:r w:rsidR="00385E4D" w:rsidRPr="0074371D">
        <w:rPr>
          <w:color w:val="000000" w:themeColor="text1"/>
          <w:lang w:val="en-GB"/>
        </w:rPr>
        <w:t>Against pathogens where there is no prior immunity, the</w:t>
      </w:r>
      <w:r w:rsidR="00612F02" w:rsidRPr="0074371D">
        <w:rPr>
          <w:color w:val="000000" w:themeColor="text1"/>
          <w:lang w:val="en-GB"/>
        </w:rPr>
        <w:t xml:space="preserve"> BLP platform </w:t>
      </w:r>
      <w:r w:rsidR="001E530D" w:rsidRPr="0074371D">
        <w:rPr>
          <w:color w:val="000000" w:themeColor="text1"/>
          <w:lang w:val="en-GB"/>
        </w:rPr>
        <w:t>may therefore</w:t>
      </w:r>
      <w:r w:rsidR="00612F02" w:rsidRPr="0074371D">
        <w:rPr>
          <w:color w:val="000000" w:themeColor="text1"/>
          <w:lang w:val="en-GB"/>
        </w:rPr>
        <w:t xml:space="preserve"> have broad potential</w:t>
      </w:r>
      <w:r w:rsidR="008E288B" w:rsidRPr="0074371D">
        <w:rPr>
          <w:color w:val="000000" w:themeColor="text1"/>
          <w:lang w:val="en-GB"/>
        </w:rPr>
        <w:t>.</w:t>
      </w:r>
    </w:p>
    <w:p w14:paraId="2878F83D" w14:textId="0CF60FFD" w:rsidR="008E288B" w:rsidRPr="00FA6555" w:rsidRDefault="0022385E" w:rsidP="008E288B">
      <w:pPr>
        <w:pStyle w:val="Paragraph"/>
        <w:spacing w:line="480" w:lineRule="auto"/>
        <w:ind w:firstLine="0"/>
        <w:jc w:val="both"/>
        <w:rPr>
          <w:lang w:val="en-GB"/>
        </w:rPr>
      </w:pPr>
      <w:r>
        <w:rPr>
          <w:lang w:val="en-GB"/>
        </w:rPr>
        <w:t>While</w:t>
      </w:r>
      <w:r w:rsidR="008E288B" w:rsidRPr="00FA6555">
        <w:rPr>
          <w:lang w:val="en-GB"/>
        </w:rPr>
        <w:t xml:space="preserve"> intranasal diphtheria toxin adjuvanted with chitosan </w:t>
      </w:r>
      <w:r>
        <w:rPr>
          <w:lang w:val="en-GB"/>
        </w:rPr>
        <w:t xml:space="preserve">boosted </w:t>
      </w:r>
      <w:r w:rsidR="008E288B" w:rsidRPr="00FA6555">
        <w:rPr>
          <w:lang w:val="en-GB"/>
        </w:rPr>
        <w:t>both serum IgG and IgA with no safety issues</w:t>
      </w:r>
      <w:r w:rsidR="00A972C1">
        <w:rPr>
          <w:lang w:val="en-GB"/>
        </w:rPr>
        <w:t xml:space="preserve"> </w:t>
      </w:r>
      <w:r w:rsidR="008E288B" w:rsidRPr="00FA6555">
        <w:rPr>
          <w:lang w:val="en-GB"/>
        </w:rPr>
        <w:fldChar w:fldCharType="begin"/>
      </w:r>
      <w:r w:rsidR="00094A1B">
        <w:rPr>
          <w:lang w:val="en-GB"/>
        </w:rPr>
        <w:instrText xml:space="preserve"> ADDIN ZOTERO_ITEM CSL_CITATION {"citationID":"vQWLzdB5","properties":{"formattedCitation":"(27)","plainCitation":"(27)","noteIndex":0},"citationItems":[{"id":"35rDZLyI/F0rUISOC","uris":["http://zotero.org/users/837702/items/F5628FXU"],"uri":["http://zotero.org/users/837702/items/F5628FXU"],"itemData":{"id":12802,"type":"article-journal","title":"Protective Levels of Diphtheria-Neutralizing Antibody Induced in Healthy Volunteers by Unilateral Priming-Boosting Intranasal Immunization Associated with Restricted Ipsilateral Mucosal Secretory Immunoglobulin A","container-title":"Infection and Immunity","page":"726-732","volume":"71","issue":"2","source":"iai.asm.org","abstract":"Subunit intranasal vaccines offer the prospect of inducing combined systemic-mucosal immunity against mucosally transmitted infections such as human immunodeficiency virus. However, although human studies have demonstrated the induction of active immunity, secretory immunoglobulin A (sIgA) responses are variable, and no study has demonstrated protection by accepted vaccine-licensing criteria as measured by direct toxin-neutralizing activity. Using the genetically inactivated mutant diphtheria toxoid CRM197 in a bioadhesive polycationic polysaccharide chitosan delivery system, we found that a single nasal immunization was well tolerated and boosted antitoxin neutralizing activity in healthy volunteers, which could be further boosted by a second immunization. The neutralizing activity far exceeded accepted protective levels and was equivalent to that induced by standard intramuscular vaccine and significantly greater than intranasal immunization with CRM197 in the absence of chitosan. A striking but unexpected observation was that although unilateral intranasal immunization induced circulating antitoxin antibody-secreting cells, a nasal antitoxin sIgA response was seen only after the second immunization and only in the vaccinated nostril. If these data are reproduced in larger studies, an intranasal diphtheria vaccine based on CRM197-chitosan could be rapidly licensed for human use. However, a restricted sIgA response suggests that care must be taken in the priming-boosting strategy and clinical sampling techniques when evaluating such vaccines for the induction of local mucosal immunity.","DOI":"10.1128/IAI.71.2.726-732.2003","ISSN":"0019-9567, 1098-5522","note":"PMID: 12540551","journalAbbreviation":"Infect. Immun.","language":"en","author":[{"family":"Mills","given":"Kingston H. G."},{"family":"Cosgrove","given":"Catherine"},{"family":"McNeela","given":"Edel A."},{"family":"Sexton","given":"Amy"},{"family":"Giemza","given":"Rafaela"},{"family":"Jabbal-Gill","given":"Inderjit"},{"family":"Church","given":"Anne"},{"family":"Lin","given":"Wu"},{"family":"Illum","given":"Lisbeth"},{"family":"Podda","given":"Audino"},{"family":"Rappuoli","given":"Rino"},{"family":"Pizza","given":"Mariagrazia"},{"family":"Griffin","given":"George E."},{"family":"Lewis","given":"David J. M."}],"issued":{"date-parts":[["2003",2,1]]}}}],"schema":"https://github.com/citation-style-language/schema/raw/master/csl-citation.json"} </w:instrText>
      </w:r>
      <w:r w:rsidR="008E288B" w:rsidRPr="00FA6555">
        <w:rPr>
          <w:lang w:val="en-GB"/>
        </w:rPr>
        <w:fldChar w:fldCharType="separate"/>
      </w:r>
      <w:r w:rsidR="00094A1B" w:rsidRPr="00094A1B">
        <w:t>(27)</w:t>
      </w:r>
      <w:r w:rsidR="008E288B" w:rsidRPr="00FA6555">
        <w:rPr>
          <w:lang w:val="en-GB"/>
        </w:rPr>
        <w:fldChar w:fldCharType="end"/>
      </w:r>
      <w:r w:rsidR="008E288B" w:rsidRPr="00FA6555">
        <w:rPr>
          <w:lang w:val="en-GB"/>
        </w:rPr>
        <w:t xml:space="preserve">, </w:t>
      </w:r>
      <w:r w:rsidR="001E3A9F">
        <w:rPr>
          <w:lang w:val="en-GB"/>
        </w:rPr>
        <w:t xml:space="preserve">intranasal </w:t>
      </w:r>
      <w:r w:rsidR="008E288B" w:rsidRPr="00FA6555">
        <w:rPr>
          <w:lang w:val="en-GB"/>
        </w:rPr>
        <w:t>vaccine</w:t>
      </w:r>
      <w:r w:rsidR="009D3776">
        <w:rPr>
          <w:lang w:val="en-GB"/>
        </w:rPr>
        <w:t>s</w:t>
      </w:r>
      <w:r w:rsidR="008E288B" w:rsidRPr="00FA6555">
        <w:rPr>
          <w:lang w:val="en-GB"/>
        </w:rPr>
        <w:t xml:space="preserve"> containing an inactive </w:t>
      </w:r>
      <w:r w:rsidR="008E288B" w:rsidRPr="00FA6555">
        <w:rPr>
          <w:i/>
          <w:lang w:val="en-GB"/>
        </w:rPr>
        <w:t>E.coli</w:t>
      </w:r>
      <w:r w:rsidR="008E288B" w:rsidRPr="00FA6555">
        <w:rPr>
          <w:lang w:val="en-GB"/>
        </w:rPr>
        <w:t xml:space="preserve"> heat-labile toxin </w:t>
      </w:r>
      <w:r w:rsidR="009D3776">
        <w:rPr>
          <w:lang w:val="en-GB"/>
        </w:rPr>
        <w:t>have been</w:t>
      </w:r>
      <w:r w:rsidR="009D3776" w:rsidRPr="00FA6555">
        <w:rPr>
          <w:lang w:val="en-GB"/>
        </w:rPr>
        <w:t xml:space="preserve"> </w:t>
      </w:r>
      <w:r w:rsidR="008E288B" w:rsidRPr="00FA6555">
        <w:rPr>
          <w:lang w:val="en-GB"/>
        </w:rPr>
        <w:t xml:space="preserve">implicated </w:t>
      </w:r>
      <w:r w:rsidR="009D3776">
        <w:rPr>
          <w:lang w:val="en-GB"/>
        </w:rPr>
        <w:t>in causing</w:t>
      </w:r>
      <w:r w:rsidR="00645C98">
        <w:rPr>
          <w:lang w:val="en-GB"/>
        </w:rPr>
        <w:t xml:space="preserve"> </w:t>
      </w:r>
      <w:r w:rsidR="008E288B" w:rsidRPr="00FA6555">
        <w:rPr>
          <w:lang w:val="en-GB"/>
        </w:rPr>
        <w:t>facial nerve (Bell’s)</w:t>
      </w:r>
      <w:r w:rsidR="00645C98">
        <w:rPr>
          <w:lang w:val="en-GB"/>
        </w:rPr>
        <w:t xml:space="preserve"> palsy</w:t>
      </w:r>
      <w:r w:rsidR="00A972C1">
        <w:rPr>
          <w:lang w:val="en-GB"/>
        </w:rPr>
        <w:t xml:space="preserve"> </w:t>
      </w:r>
      <w:r w:rsidR="008E288B" w:rsidRPr="00FA6555">
        <w:rPr>
          <w:lang w:val="en-GB"/>
        </w:rPr>
        <w:fldChar w:fldCharType="begin"/>
      </w:r>
      <w:r w:rsidR="00094A1B">
        <w:rPr>
          <w:lang w:val="en-GB"/>
        </w:rPr>
        <w:instrText xml:space="preserve"> ADDIN ZOTERO_ITEM CSL_CITATION {"citationID":"TN0chKBg","properties":{"formattedCitation":"(28)","plainCitation":"(28)","noteIndex":0},"citationItems":[{"id":"35rDZLyI/8hVMG59Q","uris":["http://zotero.org/users/837702/items/NCQBCIRX"],"uri":["http://zotero.org/users/837702/items/NCQBCIRX"],"itemData":{"id":12806,"type":"article-journal","title":"Use of the Inactivated Intranasal Influenza Vaccine and the Risk of Bell's Palsy in Switzerland","container-title":"New England Journal of Medicine","page":"896-903","volume":"350","issue":"9","source":"Taylor and Francis+NEJM","abstract":"After the introduction of an intranasal influenza vaccine in Switzerland, there were several dozen reports of Bell's palsy in vaccine recipients. In this careful study, even with conservative assumptions, the risk of Bell's palsy appeared to be increased by a factor of 19 among those who received the intranasal vaccine. The risk of Bell's palsy was not increased after parenteral influenza vaccination.","DOI":"10.1056/NEJMoa030595","ISSN":"0028-4793","note":"PMID: 14985487","author":[{"family":"Mutsch","given":"Margot"},{"family":"Zhou","given":"Weigong"},{"family":"Rhodes","given":"Philip"},{"family":"Bopp","given":"Matthias"},{"family":"Chen","given":"Robert T."},{"family":"Linder","given":"Thomas"},{"family":"Spyr","given":"Christian"},{"family":"Steffen","given":"Robert"}],"issued":{"date-parts":[["2004",2,26]]}}}],"schema":"https://github.com/citation-style-language/schema/raw/master/csl-citation.json"} </w:instrText>
      </w:r>
      <w:r w:rsidR="008E288B" w:rsidRPr="00FA6555">
        <w:rPr>
          <w:lang w:val="en-GB"/>
        </w:rPr>
        <w:fldChar w:fldCharType="separate"/>
      </w:r>
      <w:r w:rsidR="00094A1B" w:rsidRPr="00094A1B">
        <w:t>(28)</w:t>
      </w:r>
      <w:r w:rsidR="008E288B" w:rsidRPr="00FA6555">
        <w:rPr>
          <w:lang w:val="en-GB"/>
        </w:rPr>
        <w:fldChar w:fldCharType="end"/>
      </w:r>
      <w:r w:rsidR="008E288B" w:rsidRPr="00FA6555">
        <w:rPr>
          <w:lang w:val="en-GB"/>
        </w:rPr>
        <w:fldChar w:fldCharType="begin"/>
      </w:r>
      <w:r w:rsidR="00094A1B">
        <w:rPr>
          <w:lang w:val="en-GB"/>
        </w:rPr>
        <w:instrText xml:space="preserve"> ADDIN ZOTERO_ITEM CSL_CITATION {"citationID":"6Ib37kh3","properties":{"formattedCitation":"(29)","plainCitation":"(29)","noteIndex":0},"citationItems":[{"id":"35rDZLyI/dsGHTkNM","uris":["http://zotero.org/users/837702/items/GGRX6JTH"],"uri":["http://zotero.org/users/837702/items/GGRX6JTH"],"itemData":{"id":12809,"type":"article-journal","title":"Transient Facial Nerve Paralysis (Bell's Palsy) following Intranasal Delivery of a Genetically Detoxified Mutant of Escherichia coli Heat Labile Toxin","container-title":"PLOS ONE","page":"e6999","volume":"4","issue":"9","source":"PLoS Journals","abstract":"Background An association was previously established between facial nerve paralysis (Bell's palsy) and intranasal administration of an inactivated influenza virosome vaccine containing an enzymatically active Escherichia coli Heat Labile Toxin (LT) adjuvant. The individual component(s) responsible for paralysis were not identified, and the vaccine was withdrawn. Methodology/Principal Findings Subjects participating in two contemporaneous non-randomized Phase 1 clinical trials of nasal subunit vaccines against Human Immunodeficiency Virus and tuberculosis, both of which employed an enzymatically inactive non-toxic mutant LT adjuvant (LTK63), underwent active follow-up for adverse events using diary-cards and clinical examination. Two healthy subjects experienced transient peripheral facial nerve palsies 44 and 60 days after passive nasal instillation of LTK63, possibly a result of retrograde axonal transport after neuronal ganglioside binding or an inflammatory immune response, but without exaggerated immune responses to LTK63. Conclusions/Significance While the unique anatomical predisposition of the facial nerve to compression suggests nasal delivery of neuronal-binding LT–derived adjuvants is inadvisable, their continued investigation as topical or mucosal adjuvants and antigens appears warranted on the basis of longstanding safety via oral, percutaneous, and other mucosal routes.","DOI":"10.1371/journal.pone.0006999","ISSN":"1932-6203","journalAbbreviation":"PLOS ONE","language":"en","author":[{"family":"Lewis","given":"David J. M."},{"family":"Huo","given":"Zhiming"},{"family":"Barnett","given":"Susan"},{"family":"Kromann","given":"Ingrid"},{"family":"Giemza","given":"Rafaela"},{"family":"Galiza","given":"Eva"},{"family":"Woodrow","given":"Maria"},{"family":"Thierry-Carstensen","given":"Birgit"},{"family":"Andersen","given":"Peter"},{"family":"Novicki","given":"Deborah"},{"family":"Giudice","given":"Giuseppe Del"},{"family":"Rappuoli","given":"Rino"}],"issued":{"date-parts":[["2009",9,16]]}}}],"schema":"https://github.com/citation-style-language/schema/raw/master/csl-citation.json"} </w:instrText>
      </w:r>
      <w:r w:rsidR="008E288B" w:rsidRPr="00FA6555">
        <w:rPr>
          <w:lang w:val="en-GB"/>
        </w:rPr>
        <w:fldChar w:fldCharType="separate"/>
      </w:r>
      <w:r w:rsidR="00094A1B" w:rsidRPr="00094A1B">
        <w:t>(29)</w:t>
      </w:r>
      <w:r w:rsidR="008E288B" w:rsidRPr="00FA6555">
        <w:rPr>
          <w:lang w:val="en-GB"/>
        </w:rPr>
        <w:fldChar w:fldCharType="end"/>
      </w:r>
      <w:r w:rsidR="00200767">
        <w:rPr>
          <w:lang w:val="en-GB"/>
        </w:rPr>
        <w:t>.</w:t>
      </w:r>
      <w:r w:rsidR="008E288B" w:rsidRPr="00FA6555">
        <w:rPr>
          <w:lang w:val="en-GB"/>
        </w:rPr>
        <w:t xml:space="preserve"> In our study, a single participant complained of pulsatile tinnitus and hearing </w:t>
      </w:r>
      <w:r w:rsidR="009D3776">
        <w:rPr>
          <w:lang w:val="en-GB"/>
        </w:rPr>
        <w:t>impairment</w:t>
      </w:r>
      <w:r w:rsidR="009D3776" w:rsidRPr="00FA6555">
        <w:rPr>
          <w:lang w:val="en-GB"/>
        </w:rPr>
        <w:t xml:space="preserve"> </w:t>
      </w:r>
      <w:r w:rsidR="008E288B" w:rsidRPr="00FA6555">
        <w:rPr>
          <w:lang w:val="en-GB"/>
        </w:rPr>
        <w:t xml:space="preserve">after vaccination. These symptoms were sufficiently mild that the participant did not declare them on direct questioning and only reported them after boost vaccination due to their prolonged nature. No cause could be found and they did not worsen after the boost, but an association with the vaccine could not be excluded due to the timing of onset. Sudden sensorineural hearing loss is </w:t>
      </w:r>
      <w:r w:rsidR="00645C98">
        <w:rPr>
          <w:lang w:val="en-GB"/>
        </w:rPr>
        <w:t xml:space="preserve">common, </w:t>
      </w:r>
      <w:r w:rsidR="008E288B" w:rsidRPr="00FA6555">
        <w:rPr>
          <w:lang w:val="en-GB"/>
        </w:rPr>
        <w:t>affect</w:t>
      </w:r>
      <w:r w:rsidR="00645C98">
        <w:rPr>
          <w:lang w:val="en-GB"/>
        </w:rPr>
        <w:t>ing</w:t>
      </w:r>
      <w:r w:rsidR="008E288B" w:rsidRPr="00FA6555">
        <w:rPr>
          <w:lang w:val="en-GB"/>
        </w:rPr>
        <w:t xml:space="preserve"> 2-20 pe</w:t>
      </w:r>
      <w:r w:rsidR="008C662D">
        <w:rPr>
          <w:lang w:val="en-GB"/>
        </w:rPr>
        <w:t>r 100,000 individuals each year</w:t>
      </w:r>
      <w:r w:rsidR="00A972C1">
        <w:rPr>
          <w:lang w:val="en-GB"/>
        </w:rPr>
        <w:t xml:space="preserve"> </w:t>
      </w:r>
      <w:r w:rsidR="008E288B" w:rsidRPr="00FA6555">
        <w:rPr>
          <w:lang w:val="en-GB"/>
        </w:rPr>
        <w:fldChar w:fldCharType="begin"/>
      </w:r>
      <w:r w:rsidR="00094A1B">
        <w:rPr>
          <w:lang w:val="en-GB"/>
        </w:rPr>
        <w:instrText xml:space="preserve"> ADDIN ZOTERO_ITEM CSL_CITATION {"citationID":"Xmm64C0F","properties":{"formattedCitation":"(30)","plainCitation":"(30)","noteIndex":0},"citationItems":[{"id":"35rDZLyI/RxtArtJW","uris":["http://zotero.org/users/837702/items/KFP5HSI6"],"uri":["http://zotero.org/users/837702/items/KFP5HSI6"],"itemData":{"id":12812,"type":"article-journal","title":"Controversies in the management of sudden sensorineural hearing loss: an evidence-based review","container-title":"Clinical Otolaryngology","page":"176-182","volume":"40","issue":"3","source":"Wiley Online Library","abstract":"Background Sudden sensorineural hearing loss (SSNHL) is considered an otological emergency. It may present as an isolated condition or be the presenting feature of a systemic disease process. Idiopathic sudden sensorineural hearing loss (ISSNHL) is diagnosed when an underlying cause or condition cannot be identified. Objective of review To review the current literature on SSNHL and propose a treatment algorithm based on the highest quality evidence. Search strategy and type of review An evidence-based literature review using medline (search terms ‘sudden sensorineural hearing loss’ and ‘acute sensorineural hearing loss’). Results (i) Baseline Investigations: All patients should be assessed with a thorough history and examination. This should include a pure tone audiogram (PTA) where possible. Baseline and targeted laboratory tests should be carried out to diagnose specific conditions. (ii) Imaging: MRI should be carried out in all cases of ISSNHL. If MRI imaging is contraindicated either CT or auditory brainstem response (ABR) testing should be performed. (iii) Medical Management: If a specific cause for a SSNHL is found, the patient should be managed accordingly. If idiopathic in nature, patients may be offered a course of oral steroid. If systemic steroids are contraindicated and/or there is no improvement with initial oral therapy, intratympanic steroids (IT) as either primary or salvage therapy may be considered. (iv) Further Management: There is no evidence to support the routine use of antiviral therapy. The cost, limited availability and lack of strong evidence for hyperbaric oxygen therapy (HBOT) make it impractical at present. Due to the variability in the vasodilator and vasoactive agents used, there is insufficient evidence to support the routine use of these agents. Consideration should be given to both temporary and permanent hearing amplification when required. Conclusions SSNHL is an important condition that can have a significant impact on quality of life. Some patients respond spontaneously without intervention; however, evidence tells us that certain interventions such as corticosteroid treatment may improve outcomes. Further high-quality research is required. Meanwhile, an interim indicative treatment algorithm for SSNHL based on the current best evidence available is outlined.","DOI":"10.1111/coa.12363","ISSN":"1749-4486","shortTitle":"Controversies in the management of sudden sensorineural hearing loss","language":"en","author":[{"family":"Lawrence","given":"R."},{"family":"Thevasagayam","given":"R."}]}}],"schema":"https://github.com/citation-style-language/schema/raw/master/csl-citation.json"} </w:instrText>
      </w:r>
      <w:r w:rsidR="008E288B" w:rsidRPr="00FA6555">
        <w:rPr>
          <w:lang w:val="en-GB"/>
        </w:rPr>
        <w:fldChar w:fldCharType="separate"/>
      </w:r>
      <w:r w:rsidR="00094A1B" w:rsidRPr="00094A1B">
        <w:t>(30)</w:t>
      </w:r>
      <w:r w:rsidR="008E288B" w:rsidRPr="00FA6555">
        <w:rPr>
          <w:lang w:val="en-GB"/>
        </w:rPr>
        <w:fldChar w:fldCharType="end"/>
      </w:r>
      <w:r w:rsidR="00200767">
        <w:rPr>
          <w:lang w:val="en-GB"/>
        </w:rPr>
        <w:t>.</w:t>
      </w:r>
      <w:r w:rsidR="008E288B" w:rsidRPr="00FA6555">
        <w:rPr>
          <w:lang w:val="en-GB"/>
        </w:rPr>
        <w:t xml:space="preserve"> In most cases, as here, no cause is definitively identified, and it therefore remains unclear whether </w:t>
      </w:r>
      <w:r w:rsidR="00C24D01">
        <w:rPr>
          <w:lang w:val="en-GB"/>
        </w:rPr>
        <w:t>the vaccine was related</w:t>
      </w:r>
      <w:r w:rsidR="008E288B" w:rsidRPr="00FA6555">
        <w:rPr>
          <w:lang w:val="en-GB"/>
        </w:rPr>
        <w:t>.</w:t>
      </w:r>
    </w:p>
    <w:p w14:paraId="43D8085D" w14:textId="03CB7E72" w:rsidR="008E288B" w:rsidRPr="0074371D" w:rsidRDefault="008E288B" w:rsidP="008E288B">
      <w:pPr>
        <w:pStyle w:val="Paragraph"/>
        <w:spacing w:line="480" w:lineRule="auto"/>
        <w:ind w:firstLine="0"/>
        <w:jc w:val="both"/>
        <w:rPr>
          <w:color w:val="000000" w:themeColor="text1"/>
          <w:lang w:val="en-GB"/>
        </w:rPr>
      </w:pPr>
      <w:r w:rsidRPr="0074371D">
        <w:rPr>
          <w:color w:val="000000" w:themeColor="text1"/>
          <w:lang w:val="en-GB"/>
        </w:rPr>
        <w:lastRenderedPageBreak/>
        <w:t xml:space="preserve">One further unexplained observation is the lack of significant boosting of serum </w:t>
      </w:r>
      <w:r w:rsidR="001E3A9F" w:rsidRPr="0074371D">
        <w:rPr>
          <w:color w:val="000000" w:themeColor="text1"/>
          <w:lang w:val="en-GB"/>
        </w:rPr>
        <w:t>virus neutralization</w:t>
      </w:r>
      <w:r w:rsidR="00520EB3" w:rsidRPr="0074371D">
        <w:rPr>
          <w:color w:val="000000" w:themeColor="text1"/>
          <w:lang w:val="en-GB"/>
        </w:rPr>
        <w:t xml:space="preserve"> </w:t>
      </w:r>
      <w:r w:rsidR="001E3A9F" w:rsidRPr="0074371D">
        <w:rPr>
          <w:color w:val="000000" w:themeColor="text1"/>
          <w:lang w:val="en-GB"/>
        </w:rPr>
        <w:t xml:space="preserve">despite induction of </w:t>
      </w:r>
      <w:r w:rsidRPr="0074371D">
        <w:rPr>
          <w:color w:val="000000" w:themeColor="text1"/>
          <w:lang w:val="en-GB"/>
        </w:rPr>
        <w:t>F</w:t>
      </w:r>
      <w:r w:rsidR="00AB0C25" w:rsidRPr="0074371D">
        <w:rPr>
          <w:color w:val="000000" w:themeColor="text1"/>
          <w:lang w:val="en-GB"/>
        </w:rPr>
        <w:t xml:space="preserve"> protein</w:t>
      </w:r>
      <w:r w:rsidRPr="0074371D">
        <w:rPr>
          <w:color w:val="000000" w:themeColor="text1"/>
          <w:lang w:val="en-GB"/>
        </w:rPr>
        <w:t xml:space="preserve">-binding antibodies. The F protein in </w:t>
      </w:r>
      <w:proofErr w:type="spellStart"/>
      <w:r w:rsidRPr="0074371D">
        <w:rPr>
          <w:color w:val="000000" w:themeColor="text1"/>
          <w:lang w:val="en-GB"/>
        </w:rPr>
        <w:t>SynGEM</w:t>
      </w:r>
      <w:proofErr w:type="spellEnd"/>
      <w:r w:rsidRPr="0074371D">
        <w:rPr>
          <w:color w:val="000000" w:themeColor="text1"/>
          <w:lang w:val="en-GB"/>
        </w:rPr>
        <w:t xml:space="preserve"> </w:t>
      </w:r>
      <w:r w:rsidR="001E3A9F" w:rsidRPr="0074371D">
        <w:rPr>
          <w:color w:val="000000" w:themeColor="text1"/>
          <w:lang w:val="en-GB"/>
        </w:rPr>
        <w:t>was engineered with</w:t>
      </w:r>
      <w:r w:rsidR="00520EB3" w:rsidRPr="0074371D">
        <w:rPr>
          <w:color w:val="000000" w:themeColor="text1"/>
          <w:lang w:val="en-GB"/>
        </w:rPr>
        <w:t xml:space="preserve"> stabilizing mutations </w:t>
      </w:r>
      <w:r w:rsidR="001E3A9F" w:rsidRPr="0074371D">
        <w:rPr>
          <w:color w:val="000000" w:themeColor="text1"/>
          <w:lang w:val="en-GB"/>
        </w:rPr>
        <w:t>to maintain</w:t>
      </w:r>
      <w:r w:rsidRPr="0074371D">
        <w:rPr>
          <w:color w:val="000000" w:themeColor="text1"/>
          <w:lang w:val="en-GB"/>
        </w:rPr>
        <w:t xml:space="preserve"> the pre-F conformation and pre-clinical studies had shown </w:t>
      </w:r>
      <w:r w:rsidR="00C24D01" w:rsidRPr="0074371D">
        <w:rPr>
          <w:color w:val="000000" w:themeColor="text1"/>
          <w:lang w:val="en-GB"/>
        </w:rPr>
        <w:t xml:space="preserve">stimulation </w:t>
      </w:r>
      <w:r w:rsidR="008C662D" w:rsidRPr="0074371D">
        <w:rPr>
          <w:color w:val="000000" w:themeColor="text1"/>
          <w:lang w:val="en-GB"/>
        </w:rPr>
        <w:t>of</w:t>
      </w:r>
      <w:r w:rsidRPr="0074371D">
        <w:rPr>
          <w:color w:val="000000" w:themeColor="text1"/>
          <w:lang w:val="en-GB"/>
        </w:rPr>
        <w:t xml:space="preserve"> neutralizing antibodies </w:t>
      </w:r>
      <w:r w:rsidR="006B3AAD" w:rsidRPr="0074371D">
        <w:rPr>
          <w:color w:val="000000" w:themeColor="text1"/>
          <w:lang w:val="en-GB"/>
        </w:rPr>
        <w:t>in animal models</w:t>
      </w:r>
      <w:r w:rsidR="00520EB3" w:rsidRPr="0074371D">
        <w:rPr>
          <w:color w:val="000000" w:themeColor="text1"/>
          <w:lang w:val="en-GB"/>
        </w:rPr>
        <w:t xml:space="preserve"> </w:t>
      </w:r>
      <w:r w:rsidRPr="0074371D">
        <w:rPr>
          <w:color w:val="000000" w:themeColor="text1"/>
          <w:lang w:val="en-GB"/>
        </w:rPr>
        <w:fldChar w:fldCharType="begin"/>
      </w:r>
      <w:r w:rsidR="00094A1B" w:rsidRPr="0074371D">
        <w:rPr>
          <w:color w:val="000000" w:themeColor="text1"/>
          <w:lang w:val="en-GB"/>
        </w:rPr>
        <w:instrText xml:space="preserve"> ADDIN ZOTERO_ITEM CSL_CITATION {"citationID":"HGrctiG7","properties":{"formattedCitation":"(11)","plainCitation":"(11)","noteIndex":0},"citationItems":[{"id":"35rDZLyI/ebtVCQWL","uris":["http://zotero.org/users/837702/items/IFR7E8Z9"],"uri":["http://zotero.org/users/837702/items/IFR7E8Z9"],"itemData":{"id":6271,"type":"article-journal","title":"A Protective and Safe Intranasal RSV Vaccine Based on a Recombinant Prefusion-Like Form of the F Protein Bound to Bacterium-Like Particles","container-title":"PLoS ONE","page":"e71072","volume":"8","issue":"8","source":"PLoS Journals","abstract":"Respiratory syncytial virus (RSV) is an important cause of respiratory tract disease in infants and the elderly. Currently, no licensed vaccine against RSV is available. Here we describe the development of a safe and effective intranasal subunit vaccine that is based on recombinant fusion (F) protein bound to the surface of immunostimulatory bacterium-like particles (BLPs) derived from the food-grade bacterium Lactococcus lactis. Different variants of F were analyzed with respect to their conformation and reactivity with neutralizing antibodies, assuming that F proteins mimicking the metastable prefusion form of RSV F expose a more extensive and relevant epitope repertoire than F proteins corresponding to the postfusion structure. Our results indicate that the recombinant soluble ectodomain of RSV F readily adopts a postfusion conformation, generation of which cannot be prevented by C-terminal addition of a trimerization motif, but whose formation is prevented by mutation of the two furin cleavage sites in F. While the putative postfusion form of F is recognized well by the monoclonal antibody Palivizumab, this is much less so for the more potently neutralizing, prefusion-specific antibodies D25 and AM22. Both addition of the trimerization motif and mutation of the furin cleavage sites increased the reactivity of F with D25 and AM22, with the highest reactivity being observed for F proteins in which both these features were combined. Intranasal vaccination of mice or cotton rats with BLPs loaded with this latter prefusion-like F protein (BLP-F), resulted in the potent induction of F-specific immunoglobulins and in significantly decreased virus titers in the lungs upon RSV challenge. Moreover, and in contrast to animals vaccinated with formalin-inactivated RSV, animals that received BLP-F exhibited high levels of F-specific secretory IgA in the nose and RSV-neutralizing antibodies in sera, but did not show symptoms of enhanced disease after challenge with RSV.","DOI":"10.1371/journal.pone.0071072","journalAbbreviation":"PLoS ONE","author":[{"family":"Rigter","given":"Alan"},{"family":"Widjaja","given":"Ivy"},{"family":"Versantvoort","given":"Hanneke"},{"family":"Coenjaerts","given":"Frank E. J."},{"family":"Roosmalen","given":"Maarten","non-dropping-particle":"van"},{"family":"Leenhouts","given":"Kees"},{"family":"Rottier","given":"Peter J. M."},{"family":"Haijema","given":"Bert Jan"},{"family":"Haan","given":"Cornelis A. M.","non-dropping-particle":"de"}],"issued":{"date-parts":[["2013",8,12]]}}}],"schema":"https://github.com/citation-style-language/schema/raw/master/csl-citation.json"} </w:instrText>
      </w:r>
      <w:r w:rsidRPr="0074371D">
        <w:rPr>
          <w:color w:val="000000" w:themeColor="text1"/>
          <w:lang w:val="en-GB"/>
        </w:rPr>
        <w:fldChar w:fldCharType="separate"/>
      </w:r>
      <w:r w:rsidR="00094A1B" w:rsidRPr="0074371D">
        <w:rPr>
          <w:color w:val="000000" w:themeColor="text1"/>
        </w:rPr>
        <w:t>(11)</w:t>
      </w:r>
      <w:r w:rsidRPr="0074371D">
        <w:rPr>
          <w:color w:val="000000" w:themeColor="text1"/>
          <w:lang w:val="en-GB"/>
        </w:rPr>
        <w:fldChar w:fldCharType="end"/>
      </w:r>
      <w:r w:rsidR="00200767" w:rsidRPr="0074371D">
        <w:rPr>
          <w:color w:val="000000" w:themeColor="text1"/>
          <w:lang w:val="en-GB"/>
        </w:rPr>
        <w:t>.</w:t>
      </w:r>
      <w:r w:rsidRPr="00D55C96">
        <w:rPr>
          <w:color w:val="FF0000"/>
          <w:lang w:val="en-GB"/>
        </w:rPr>
        <w:t xml:space="preserve"> </w:t>
      </w:r>
      <w:r w:rsidR="008C662D">
        <w:rPr>
          <w:lang w:val="en-GB"/>
        </w:rPr>
        <w:t>A</w:t>
      </w:r>
      <w:r w:rsidRPr="00FA6555">
        <w:rPr>
          <w:lang w:val="en-GB"/>
        </w:rPr>
        <w:t xml:space="preserve">s part of product release testing, extensive stability tests were performed that showed stable D25-binding. </w:t>
      </w:r>
      <w:r w:rsidR="00A970D3">
        <w:rPr>
          <w:lang w:val="en-GB"/>
        </w:rPr>
        <w:t>I</w:t>
      </w:r>
      <w:r w:rsidRPr="00FA6555">
        <w:rPr>
          <w:lang w:val="en-GB"/>
        </w:rPr>
        <w:t xml:space="preserve">t was </w:t>
      </w:r>
      <w:r w:rsidR="00A970D3">
        <w:rPr>
          <w:lang w:val="en-GB"/>
        </w:rPr>
        <w:t xml:space="preserve">therefore </w:t>
      </w:r>
      <w:r w:rsidRPr="00FA6555">
        <w:rPr>
          <w:lang w:val="en-GB"/>
        </w:rPr>
        <w:t xml:space="preserve">surprising to find no detectable neutralizing or D25-competing antibody responses. </w:t>
      </w:r>
      <w:r w:rsidRPr="0074371D">
        <w:rPr>
          <w:color w:val="000000" w:themeColor="text1"/>
          <w:lang w:val="en-GB"/>
        </w:rPr>
        <w:t xml:space="preserve">This may </w:t>
      </w:r>
      <w:r w:rsidR="001E3A9F" w:rsidRPr="0074371D">
        <w:rPr>
          <w:color w:val="000000" w:themeColor="text1"/>
          <w:lang w:val="en-GB"/>
        </w:rPr>
        <w:t xml:space="preserve">have been </w:t>
      </w:r>
      <w:r w:rsidRPr="0074371D">
        <w:rPr>
          <w:color w:val="000000" w:themeColor="text1"/>
          <w:lang w:val="en-GB"/>
        </w:rPr>
        <w:t xml:space="preserve">due to the </w:t>
      </w:r>
      <w:r w:rsidR="00D13989" w:rsidRPr="0074371D">
        <w:rPr>
          <w:color w:val="000000" w:themeColor="text1"/>
          <w:lang w:val="en-GB"/>
        </w:rPr>
        <w:t xml:space="preserve">limited </w:t>
      </w:r>
      <w:r w:rsidR="001E3A9F" w:rsidRPr="0074371D">
        <w:rPr>
          <w:color w:val="000000" w:themeColor="text1"/>
          <w:lang w:val="en-GB"/>
        </w:rPr>
        <w:t xml:space="preserve">overall </w:t>
      </w:r>
      <w:r w:rsidRPr="0074371D">
        <w:rPr>
          <w:color w:val="000000" w:themeColor="text1"/>
          <w:lang w:val="en-GB"/>
        </w:rPr>
        <w:t xml:space="preserve">size of </w:t>
      </w:r>
      <w:r w:rsidR="00335826" w:rsidRPr="0074371D">
        <w:rPr>
          <w:color w:val="000000" w:themeColor="text1"/>
          <w:lang w:val="en-GB"/>
        </w:rPr>
        <w:t xml:space="preserve">antibody </w:t>
      </w:r>
      <w:r w:rsidR="00E73EEE" w:rsidRPr="0074371D">
        <w:rPr>
          <w:color w:val="000000" w:themeColor="text1"/>
          <w:lang w:val="en-GB"/>
        </w:rPr>
        <w:t>response</w:t>
      </w:r>
      <w:r w:rsidR="00335826" w:rsidRPr="0074371D">
        <w:rPr>
          <w:color w:val="000000" w:themeColor="text1"/>
          <w:lang w:val="en-GB"/>
        </w:rPr>
        <w:t>s</w:t>
      </w:r>
      <w:r w:rsidRPr="0074371D">
        <w:rPr>
          <w:color w:val="000000" w:themeColor="text1"/>
          <w:lang w:val="en-GB"/>
        </w:rPr>
        <w:t xml:space="preserve"> or suboptimal presentation of the F protein </w:t>
      </w:r>
      <w:r w:rsidRPr="0074371D">
        <w:rPr>
          <w:i/>
          <w:color w:val="000000" w:themeColor="text1"/>
          <w:lang w:val="en-GB"/>
        </w:rPr>
        <w:t>in vivo</w:t>
      </w:r>
      <w:r w:rsidR="001E3A9F" w:rsidRPr="0074371D">
        <w:rPr>
          <w:i/>
          <w:color w:val="000000" w:themeColor="text1"/>
          <w:lang w:val="en-GB"/>
        </w:rPr>
        <w:t xml:space="preserve"> </w:t>
      </w:r>
      <w:r w:rsidR="00335826" w:rsidRPr="0074371D">
        <w:rPr>
          <w:color w:val="000000" w:themeColor="text1"/>
          <w:lang w:val="en-GB"/>
        </w:rPr>
        <w:t xml:space="preserve">resulting in </w:t>
      </w:r>
      <w:r w:rsidR="00E57438" w:rsidRPr="0074371D">
        <w:rPr>
          <w:color w:val="000000" w:themeColor="text1"/>
          <w:lang w:val="en-GB"/>
        </w:rPr>
        <w:t xml:space="preserve">relatively </w:t>
      </w:r>
      <w:r w:rsidR="00335826" w:rsidRPr="0074371D">
        <w:rPr>
          <w:color w:val="000000" w:themeColor="text1"/>
          <w:lang w:val="en-GB"/>
        </w:rPr>
        <w:t>little</w:t>
      </w:r>
      <w:r w:rsidR="001E3A9F" w:rsidRPr="0074371D">
        <w:rPr>
          <w:color w:val="000000" w:themeColor="text1"/>
          <w:lang w:val="en-GB"/>
        </w:rPr>
        <w:t xml:space="preserve"> generat</w:t>
      </w:r>
      <w:r w:rsidR="00335826" w:rsidRPr="0074371D">
        <w:rPr>
          <w:color w:val="000000" w:themeColor="text1"/>
          <w:lang w:val="en-GB"/>
        </w:rPr>
        <w:t>ion</w:t>
      </w:r>
      <w:r w:rsidR="001E3A9F" w:rsidRPr="0074371D">
        <w:rPr>
          <w:color w:val="000000" w:themeColor="text1"/>
          <w:lang w:val="en-GB"/>
        </w:rPr>
        <w:t xml:space="preserve"> </w:t>
      </w:r>
      <w:r w:rsidR="00E57438" w:rsidRPr="0074371D">
        <w:rPr>
          <w:color w:val="000000" w:themeColor="text1"/>
          <w:lang w:val="en-GB"/>
        </w:rPr>
        <w:t xml:space="preserve">of </w:t>
      </w:r>
      <w:r w:rsidR="001E3A9F" w:rsidRPr="0074371D">
        <w:rPr>
          <w:color w:val="000000" w:themeColor="text1"/>
          <w:lang w:val="en-GB"/>
        </w:rPr>
        <w:t>the most potent neutralizing antibodies</w:t>
      </w:r>
      <w:r w:rsidR="00D13989" w:rsidRPr="0074371D">
        <w:rPr>
          <w:color w:val="000000" w:themeColor="text1"/>
          <w:lang w:val="en-GB"/>
        </w:rPr>
        <w:t>.</w:t>
      </w:r>
      <w:r w:rsidR="00C24D01" w:rsidRPr="0074371D">
        <w:rPr>
          <w:color w:val="000000" w:themeColor="text1"/>
          <w:lang w:val="en-GB"/>
        </w:rPr>
        <w:t xml:space="preserve"> </w:t>
      </w:r>
      <w:r w:rsidR="00D13989" w:rsidRPr="0074371D">
        <w:rPr>
          <w:color w:val="000000" w:themeColor="text1"/>
          <w:lang w:val="en-GB"/>
        </w:rPr>
        <w:t>W</w:t>
      </w:r>
      <w:r w:rsidRPr="0074371D">
        <w:rPr>
          <w:color w:val="000000" w:themeColor="text1"/>
          <w:lang w:val="en-GB"/>
        </w:rPr>
        <w:t xml:space="preserve">hile </w:t>
      </w:r>
      <w:r w:rsidR="001E3A9F" w:rsidRPr="0074371D">
        <w:rPr>
          <w:color w:val="000000" w:themeColor="text1"/>
          <w:lang w:val="en-GB"/>
        </w:rPr>
        <w:t>this</w:t>
      </w:r>
      <w:r w:rsidR="00C24D01" w:rsidRPr="0074371D">
        <w:rPr>
          <w:color w:val="000000" w:themeColor="text1"/>
          <w:lang w:val="en-GB"/>
        </w:rPr>
        <w:t xml:space="preserve"> </w:t>
      </w:r>
      <w:r w:rsidRPr="0074371D">
        <w:rPr>
          <w:color w:val="000000" w:themeColor="text1"/>
          <w:lang w:val="en-GB"/>
        </w:rPr>
        <w:t xml:space="preserve">does not preclude a protective role for the non-neutralizing and palivizumab-like antibodies that were induced, further </w:t>
      </w:r>
      <w:r w:rsidR="00A622D3" w:rsidRPr="0074371D">
        <w:rPr>
          <w:color w:val="000000" w:themeColor="text1"/>
          <w:lang w:val="en-GB"/>
        </w:rPr>
        <w:t>iterations</w:t>
      </w:r>
      <w:r w:rsidRPr="0074371D">
        <w:rPr>
          <w:color w:val="000000" w:themeColor="text1"/>
          <w:lang w:val="en-GB"/>
        </w:rPr>
        <w:t xml:space="preserve"> of </w:t>
      </w:r>
      <w:proofErr w:type="spellStart"/>
      <w:r w:rsidRPr="0074371D">
        <w:rPr>
          <w:color w:val="000000" w:themeColor="text1"/>
          <w:lang w:val="en-GB"/>
        </w:rPr>
        <w:t>SynGEM</w:t>
      </w:r>
      <w:proofErr w:type="spellEnd"/>
      <w:r w:rsidRPr="0074371D">
        <w:rPr>
          <w:color w:val="000000" w:themeColor="text1"/>
          <w:lang w:val="en-GB"/>
        </w:rPr>
        <w:t xml:space="preserve"> </w:t>
      </w:r>
      <w:r w:rsidR="001E3A9F" w:rsidRPr="0074371D">
        <w:rPr>
          <w:color w:val="000000" w:themeColor="text1"/>
          <w:lang w:val="en-GB"/>
        </w:rPr>
        <w:t>should overcome this limitation</w:t>
      </w:r>
      <w:r w:rsidR="00D13989" w:rsidRPr="0074371D">
        <w:rPr>
          <w:color w:val="000000" w:themeColor="text1"/>
          <w:lang w:val="en-GB"/>
        </w:rPr>
        <w:t xml:space="preserve">. </w:t>
      </w:r>
      <w:r w:rsidR="001E3A9F" w:rsidRPr="0074371D">
        <w:rPr>
          <w:color w:val="000000" w:themeColor="text1"/>
          <w:lang w:val="en-GB"/>
        </w:rPr>
        <w:t>In particular, w</w:t>
      </w:r>
      <w:r w:rsidR="00D13989" w:rsidRPr="0074371D">
        <w:rPr>
          <w:color w:val="000000" w:themeColor="text1"/>
          <w:lang w:val="en-GB"/>
        </w:rPr>
        <w:t xml:space="preserve">e </w:t>
      </w:r>
      <w:r w:rsidR="005114FA" w:rsidRPr="0074371D">
        <w:rPr>
          <w:color w:val="000000" w:themeColor="text1"/>
          <w:lang w:val="en-GB"/>
        </w:rPr>
        <w:t xml:space="preserve">anticipate </w:t>
      </w:r>
      <w:r w:rsidR="00D13989" w:rsidRPr="0074371D">
        <w:rPr>
          <w:color w:val="000000" w:themeColor="text1"/>
          <w:lang w:val="en-GB"/>
        </w:rPr>
        <w:t>that</w:t>
      </w:r>
      <w:r w:rsidRPr="0074371D">
        <w:rPr>
          <w:color w:val="000000" w:themeColor="text1"/>
          <w:lang w:val="en-GB"/>
        </w:rPr>
        <w:t xml:space="preserve"> better induc</w:t>
      </w:r>
      <w:r w:rsidR="00D13989" w:rsidRPr="0074371D">
        <w:rPr>
          <w:color w:val="000000" w:themeColor="text1"/>
          <w:lang w:val="en-GB"/>
        </w:rPr>
        <w:t>tion of</w:t>
      </w:r>
      <w:r w:rsidRPr="0074371D">
        <w:rPr>
          <w:color w:val="000000" w:themeColor="text1"/>
          <w:lang w:val="en-GB"/>
        </w:rPr>
        <w:t xml:space="preserve"> site </w:t>
      </w:r>
      <w:r w:rsidRPr="0074371D">
        <w:rPr>
          <w:color w:val="000000" w:themeColor="text1"/>
          <w:lang w:val="en-GB"/>
        </w:rPr>
        <w:sym w:font="Symbol" w:char="F0C6"/>
      </w:r>
      <w:r w:rsidRPr="0074371D">
        <w:rPr>
          <w:color w:val="000000" w:themeColor="text1"/>
          <w:lang w:val="en-GB"/>
        </w:rPr>
        <w:t xml:space="preserve"> antibodies</w:t>
      </w:r>
      <w:r w:rsidR="00D13989" w:rsidRPr="0074371D">
        <w:rPr>
          <w:color w:val="000000" w:themeColor="text1"/>
          <w:lang w:val="en-GB"/>
        </w:rPr>
        <w:t xml:space="preserve"> </w:t>
      </w:r>
      <w:r w:rsidR="001E3A9F" w:rsidRPr="0074371D">
        <w:rPr>
          <w:color w:val="000000" w:themeColor="text1"/>
          <w:lang w:val="en-GB"/>
        </w:rPr>
        <w:t>will</w:t>
      </w:r>
      <w:r w:rsidR="00D13989" w:rsidRPr="0074371D">
        <w:rPr>
          <w:color w:val="000000" w:themeColor="text1"/>
          <w:lang w:val="en-GB"/>
        </w:rPr>
        <w:t xml:space="preserve"> enhance virus neutralizing responses both systemically and locally</w:t>
      </w:r>
      <w:r w:rsidR="001E3A9F" w:rsidRPr="0074371D">
        <w:rPr>
          <w:color w:val="000000" w:themeColor="text1"/>
          <w:lang w:val="en-GB"/>
        </w:rPr>
        <w:t xml:space="preserve"> with </w:t>
      </w:r>
      <w:r w:rsidR="00381F7D" w:rsidRPr="0074371D">
        <w:rPr>
          <w:color w:val="000000" w:themeColor="text1"/>
          <w:lang w:val="en-GB"/>
        </w:rPr>
        <w:t xml:space="preserve">likely </w:t>
      </w:r>
      <w:r w:rsidR="001E3A9F" w:rsidRPr="0074371D">
        <w:rPr>
          <w:color w:val="000000" w:themeColor="text1"/>
          <w:lang w:val="en-GB"/>
        </w:rPr>
        <w:t xml:space="preserve">concomitant increase in </w:t>
      </w:r>
      <w:r w:rsidR="0089653C" w:rsidRPr="0074371D">
        <w:rPr>
          <w:color w:val="000000" w:themeColor="text1"/>
          <w:lang w:val="en-GB"/>
        </w:rPr>
        <w:t>efficacy</w:t>
      </w:r>
      <w:r w:rsidR="00D13989" w:rsidRPr="0074371D">
        <w:rPr>
          <w:color w:val="000000" w:themeColor="text1"/>
          <w:lang w:val="en-GB"/>
        </w:rPr>
        <w:t xml:space="preserve">.  </w:t>
      </w:r>
    </w:p>
    <w:p w14:paraId="51C5A735" w14:textId="6BD5582D" w:rsidR="00F5312B" w:rsidRDefault="009D3776" w:rsidP="008E288B">
      <w:pPr>
        <w:pStyle w:val="Paragraph"/>
        <w:spacing w:line="480" w:lineRule="auto"/>
        <w:ind w:firstLine="0"/>
        <w:jc w:val="both"/>
        <w:rPr>
          <w:lang w:val="en-GB"/>
        </w:rPr>
      </w:pPr>
      <w:r w:rsidRPr="0074371D">
        <w:rPr>
          <w:color w:val="000000" w:themeColor="text1"/>
          <w:lang w:val="en-GB"/>
        </w:rPr>
        <w:t>Nevertheless</w:t>
      </w:r>
      <w:r w:rsidR="008E288B" w:rsidRPr="0074371D">
        <w:rPr>
          <w:color w:val="000000" w:themeColor="text1"/>
          <w:lang w:val="en-GB"/>
        </w:rPr>
        <w:t xml:space="preserve">, the </w:t>
      </w:r>
      <w:r w:rsidR="00D13989" w:rsidRPr="0074371D">
        <w:rPr>
          <w:color w:val="000000" w:themeColor="text1"/>
          <w:lang w:val="en-GB"/>
        </w:rPr>
        <w:t xml:space="preserve">intranasal </w:t>
      </w:r>
      <w:r w:rsidR="008E288B" w:rsidRPr="0074371D">
        <w:rPr>
          <w:color w:val="000000" w:themeColor="text1"/>
          <w:lang w:val="en-GB"/>
        </w:rPr>
        <w:t xml:space="preserve">BLP platform used </w:t>
      </w:r>
      <w:r w:rsidR="00C24D01" w:rsidRPr="0074371D">
        <w:rPr>
          <w:color w:val="000000" w:themeColor="text1"/>
          <w:lang w:val="en-GB"/>
        </w:rPr>
        <w:t>here</w:t>
      </w:r>
      <w:r w:rsidR="008E288B" w:rsidRPr="0074371D">
        <w:rPr>
          <w:color w:val="000000" w:themeColor="text1"/>
          <w:lang w:val="en-GB"/>
        </w:rPr>
        <w:t xml:space="preserve"> </w:t>
      </w:r>
      <w:r w:rsidR="00C24D01" w:rsidRPr="0074371D">
        <w:rPr>
          <w:color w:val="000000" w:themeColor="text1"/>
          <w:lang w:val="en-GB"/>
        </w:rPr>
        <w:t>did lead</w:t>
      </w:r>
      <w:r w:rsidR="008E288B" w:rsidRPr="0074371D">
        <w:rPr>
          <w:color w:val="000000" w:themeColor="text1"/>
          <w:lang w:val="en-GB"/>
        </w:rPr>
        <w:t xml:space="preserve"> to </w:t>
      </w:r>
      <w:r w:rsidR="00D13989" w:rsidRPr="0074371D">
        <w:rPr>
          <w:color w:val="000000" w:themeColor="text1"/>
          <w:lang w:val="en-GB"/>
        </w:rPr>
        <w:t>prolonged</w:t>
      </w:r>
      <w:r w:rsidR="008E288B" w:rsidRPr="0074371D">
        <w:rPr>
          <w:color w:val="000000" w:themeColor="text1"/>
          <w:lang w:val="en-GB"/>
        </w:rPr>
        <w:t xml:space="preserve"> </w:t>
      </w:r>
      <w:r w:rsidR="00C24D01" w:rsidRPr="0074371D">
        <w:rPr>
          <w:color w:val="000000" w:themeColor="text1"/>
          <w:lang w:val="en-GB"/>
        </w:rPr>
        <w:t>increases in</w:t>
      </w:r>
      <w:r w:rsidR="008E288B" w:rsidRPr="0074371D">
        <w:rPr>
          <w:color w:val="000000" w:themeColor="text1"/>
          <w:lang w:val="en-GB"/>
        </w:rPr>
        <w:t xml:space="preserve"> </w:t>
      </w:r>
      <w:r w:rsidR="009A6048" w:rsidRPr="0074371D">
        <w:rPr>
          <w:color w:val="000000" w:themeColor="text1"/>
          <w:lang w:val="en-GB"/>
        </w:rPr>
        <w:t>virus-specific antibodies in blood and mucosa of</w:t>
      </w:r>
      <w:r w:rsidR="008E288B" w:rsidRPr="0074371D">
        <w:rPr>
          <w:color w:val="000000" w:themeColor="text1"/>
          <w:lang w:val="en-GB"/>
        </w:rPr>
        <w:t xml:space="preserve"> </w:t>
      </w:r>
      <w:r w:rsidR="00D13989" w:rsidRPr="0074371D">
        <w:rPr>
          <w:color w:val="000000" w:themeColor="text1"/>
          <w:lang w:val="en-GB"/>
        </w:rPr>
        <w:t>antigen</w:t>
      </w:r>
      <w:r w:rsidR="008E288B" w:rsidRPr="0074371D">
        <w:rPr>
          <w:color w:val="000000" w:themeColor="text1"/>
          <w:lang w:val="en-GB"/>
        </w:rPr>
        <w:t xml:space="preserve">-experienced adults. </w:t>
      </w:r>
      <w:r w:rsidR="008E288B" w:rsidRPr="00FA6555">
        <w:rPr>
          <w:lang w:val="en-GB"/>
        </w:rPr>
        <w:t>Testing of other BLP-conjugated antigens should further progress this novel and broadly-applicable strategy for mucosal vaccination.</w:t>
      </w:r>
    </w:p>
    <w:p w14:paraId="26D29F64" w14:textId="01C61E2F" w:rsidR="00D8663D" w:rsidRPr="00D8663D" w:rsidRDefault="00F5312B" w:rsidP="00D8663D">
      <w:pPr>
        <w:spacing w:line="480" w:lineRule="auto"/>
        <w:rPr>
          <w:rFonts w:eastAsia="Times New Roman"/>
          <w:sz w:val="24"/>
          <w:szCs w:val="24"/>
        </w:rPr>
      </w:pPr>
      <w:r>
        <w:rPr>
          <w:lang w:val="en-GB"/>
        </w:rPr>
        <w:br w:type="page"/>
      </w:r>
      <w:r w:rsidR="00D8663D" w:rsidRPr="00D8663D">
        <w:rPr>
          <w:rFonts w:eastAsia="Times New Roman"/>
          <w:b/>
          <w:sz w:val="24"/>
          <w:szCs w:val="24"/>
        </w:rPr>
        <w:lastRenderedPageBreak/>
        <w:t>Acknowledgments</w:t>
      </w:r>
    </w:p>
    <w:p w14:paraId="0DB68776" w14:textId="41563551" w:rsidR="000F0218" w:rsidRDefault="00D8663D" w:rsidP="00056DB7">
      <w:pPr>
        <w:spacing w:line="480" w:lineRule="auto"/>
        <w:jc w:val="both"/>
        <w:rPr>
          <w:rFonts w:eastAsia="Times New Roman"/>
          <w:sz w:val="24"/>
          <w:szCs w:val="24"/>
          <w:lang w:val="en-GB"/>
        </w:rPr>
      </w:pPr>
      <w:r w:rsidRPr="00D8663D">
        <w:rPr>
          <w:rFonts w:eastAsia="Times New Roman"/>
          <w:sz w:val="24"/>
          <w:szCs w:val="24"/>
        </w:rPr>
        <w:t xml:space="preserve">We thank </w:t>
      </w:r>
      <w:proofErr w:type="spellStart"/>
      <w:r w:rsidRPr="00D8663D">
        <w:rPr>
          <w:rFonts w:eastAsia="Times New Roman"/>
          <w:sz w:val="24"/>
          <w:szCs w:val="24"/>
        </w:rPr>
        <w:t>Cmed</w:t>
      </w:r>
      <w:proofErr w:type="spellEnd"/>
      <w:r w:rsidRPr="00D8663D">
        <w:rPr>
          <w:rFonts w:eastAsia="Times New Roman"/>
          <w:sz w:val="24"/>
          <w:szCs w:val="24"/>
        </w:rPr>
        <w:t xml:space="preserve"> (Horsham, UK) for their assistance with regulatory applications, project management, clinical trial monitoring and statistical analysis. This paper presents independent research </w:t>
      </w:r>
      <w:r w:rsidR="009251D7">
        <w:rPr>
          <w:rFonts w:eastAsia="Times New Roman"/>
          <w:sz w:val="24"/>
          <w:szCs w:val="24"/>
        </w:rPr>
        <w:t xml:space="preserve">funded by the </w:t>
      </w:r>
      <w:proofErr w:type="spellStart"/>
      <w:r w:rsidR="009251D7">
        <w:rPr>
          <w:rFonts w:eastAsia="Times New Roman"/>
          <w:sz w:val="24"/>
          <w:szCs w:val="24"/>
        </w:rPr>
        <w:t>Wellcome</w:t>
      </w:r>
      <w:proofErr w:type="spellEnd"/>
      <w:r w:rsidR="009251D7">
        <w:rPr>
          <w:rFonts w:eastAsia="Times New Roman"/>
          <w:sz w:val="24"/>
          <w:szCs w:val="24"/>
        </w:rPr>
        <w:t xml:space="preserve"> Trust</w:t>
      </w:r>
      <w:r w:rsidR="00056DB7">
        <w:rPr>
          <w:rFonts w:eastAsia="Times New Roman"/>
          <w:sz w:val="24"/>
          <w:szCs w:val="24"/>
        </w:rPr>
        <w:t>.</w:t>
      </w:r>
      <w:r w:rsidR="009251D7">
        <w:rPr>
          <w:rFonts w:eastAsia="Times New Roman"/>
          <w:sz w:val="24"/>
          <w:szCs w:val="24"/>
        </w:rPr>
        <w:t xml:space="preserve"> </w:t>
      </w:r>
      <w:r w:rsidR="00056DB7" w:rsidRPr="00056DB7">
        <w:rPr>
          <w:rFonts w:eastAsia="Times New Roman"/>
          <w:sz w:val="24"/>
          <w:szCs w:val="24"/>
        </w:rPr>
        <w:t>Infrastructure</w:t>
      </w:r>
      <w:r w:rsidR="00B65841">
        <w:rPr>
          <w:rFonts w:eastAsia="Times New Roman"/>
          <w:sz w:val="24"/>
          <w:szCs w:val="24"/>
        </w:rPr>
        <w:t xml:space="preserve"> and other</w:t>
      </w:r>
      <w:r w:rsidR="00056DB7" w:rsidRPr="00056DB7">
        <w:rPr>
          <w:rFonts w:eastAsia="Times New Roman"/>
          <w:sz w:val="24"/>
          <w:szCs w:val="24"/>
        </w:rPr>
        <w:t xml:space="preserve"> support was provided by the NIHR Imperial Biomedical Research Centre and the NIHR Imperial Clinical Research Facility. The views expressed are those of the author(s) and not necessarily those of </w:t>
      </w:r>
      <w:r w:rsidR="00056DB7">
        <w:rPr>
          <w:rFonts w:eastAsia="Times New Roman"/>
          <w:sz w:val="24"/>
          <w:szCs w:val="24"/>
        </w:rPr>
        <w:t xml:space="preserve">the Welcome Trust, </w:t>
      </w:r>
      <w:r w:rsidR="00056DB7" w:rsidRPr="00056DB7">
        <w:rPr>
          <w:rFonts w:eastAsia="Times New Roman"/>
          <w:sz w:val="24"/>
          <w:szCs w:val="24"/>
        </w:rPr>
        <w:t>the NHS, the NIHR or the Department of Health and Social Care.</w:t>
      </w:r>
      <w:r w:rsidR="000F0218">
        <w:rPr>
          <w:lang w:val="en-GB"/>
        </w:rPr>
        <w:br w:type="page"/>
      </w:r>
    </w:p>
    <w:p w14:paraId="709D7BA7" w14:textId="649D9DAB" w:rsidR="008478E9" w:rsidRPr="008478E9" w:rsidRDefault="008478E9" w:rsidP="008E288B">
      <w:pPr>
        <w:pStyle w:val="Paragraph"/>
        <w:spacing w:line="480" w:lineRule="auto"/>
        <w:ind w:firstLine="0"/>
        <w:jc w:val="both"/>
        <w:rPr>
          <w:b/>
          <w:lang w:val="en-GB"/>
        </w:rPr>
      </w:pPr>
      <w:r w:rsidRPr="008478E9">
        <w:rPr>
          <w:b/>
          <w:lang w:val="en-GB"/>
        </w:rPr>
        <w:lastRenderedPageBreak/>
        <w:t>References</w:t>
      </w:r>
    </w:p>
    <w:p w14:paraId="14955A47" w14:textId="77777777" w:rsidR="00360BB9" w:rsidRPr="00A972C1" w:rsidRDefault="00DF40BE" w:rsidP="00A972C1">
      <w:pPr>
        <w:pStyle w:val="Bibliography"/>
        <w:rPr>
          <w:sz w:val="24"/>
          <w:szCs w:val="24"/>
        </w:rPr>
      </w:pPr>
      <w:r>
        <w:rPr>
          <w:lang w:val="en-GB"/>
        </w:rPr>
        <w:fldChar w:fldCharType="begin"/>
      </w:r>
      <w:r w:rsidR="00094A1B">
        <w:rPr>
          <w:lang w:val="en-GB"/>
        </w:rPr>
        <w:instrText xml:space="preserve"> ADDIN ZOTERO_BIBL {"uncited":[],"omitted":[],"custom":[[["http://zotero.org/users/837702/items/Z3WQIE33"],"14. \\tab{}Sande CJ, Mutunga MN, Medley GF, Cane PA, Nokes DJ. Group and genotype specific neutralising antibody responses against respiratory syncytial virus (RSV) in infants and young children with severe pneumonia. J Infect Dis. 2012 Feb 1; 207(3): 489\\uc0\\u8211{}492."],[["http://zotero.org/users/837702/items/TAHBIB2I"],"13. \\tab{}Ngwuta JO, Chen M, Modjarrad K, Joyce MG, Kanekiyo M, Kumar A, et al. Prefusion F\\uc0\\u8211{}specific antibodies determine the magnitude of RSV neutralizing activity in human sera. Science Translational Medicine. 2015 Oct 14;7(309):309ra162."],[["http://zotero.org/users/837702/items/M8KGDM4Z"],"26. \\tab{}Van Braeckel-Budimir N, Haijema BJ, Leenhouts K. Bacterium-Like Particles for Efficient Immune Stimulation of Existing Vaccines and New Subunit Vaccines in Mucosal Applications. Front Immunol. 2013 Sep 17 ;4."]]} CSL_BIBLIOGRAPHY </w:instrText>
      </w:r>
      <w:r>
        <w:rPr>
          <w:lang w:val="en-GB"/>
        </w:rPr>
        <w:fldChar w:fldCharType="separate"/>
      </w:r>
      <w:r w:rsidR="00360BB9" w:rsidRPr="00360BB9">
        <w:rPr>
          <w:sz w:val="24"/>
          <w:szCs w:val="24"/>
        </w:rPr>
        <w:t>1.</w:t>
      </w:r>
      <w:r w:rsidR="00360BB9" w:rsidRPr="00360BB9">
        <w:rPr>
          <w:sz w:val="24"/>
          <w:szCs w:val="24"/>
        </w:rPr>
        <w:tab/>
        <w:t xml:space="preserve">Lin Y-H, Deatly AM, Chen W, Miller LZ, Lerch R, Sidhu MS, Udem SA, Randolph VB. Genetic stability determinants of temperature sensitive, live attenuated respiratory syncytial virus vaccine candidates. </w:t>
      </w:r>
      <w:r w:rsidR="00360BB9" w:rsidRPr="00360BB9">
        <w:rPr>
          <w:i/>
          <w:iCs/>
          <w:sz w:val="24"/>
          <w:szCs w:val="24"/>
        </w:rPr>
        <w:t>Virus Research</w:t>
      </w:r>
      <w:r w:rsidR="00360BB9" w:rsidRPr="00A972C1">
        <w:rPr>
          <w:sz w:val="24"/>
          <w:szCs w:val="24"/>
        </w:rPr>
        <w:t xml:space="preserve"> 2006;115:9–15.</w:t>
      </w:r>
    </w:p>
    <w:p w14:paraId="40B51482" w14:textId="77777777" w:rsidR="00360BB9" w:rsidRPr="00A972C1" w:rsidRDefault="00360BB9" w:rsidP="00A972C1">
      <w:pPr>
        <w:pStyle w:val="Bibliography"/>
        <w:rPr>
          <w:sz w:val="24"/>
          <w:szCs w:val="24"/>
        </w:rPr>
      </w:pPr>
      <w:r w:rsidRPr="00A972C1">
        <w:rPr>
          <w:sz w:val="24"/>
          <w:szCs w:val="24"/>
        </w:rPr>
        <w:t>2.</w:t>
      </w:r>
      <w:r w:rsidRPr="00A972C1">
        <w:rPr>
          <w:sz w:val="24"/>
          <w:szCs w:val="24"/>
        </w:rPr>
        <w:tab/>
        <w:t xml:space="preserve">Buchholz UJ, Cunningham CK, Muresan P, Gnanashanmugam D, Sato P, Siberry GK, Rexroad V, Valentine M, Perlowski C, Schappell E, Thumar B, Luongo C, Barr E, Aziz M, Yogev R, Spector SA, Collins PL, McFarland EJ, Karron RA, International Maternal Pediatric Adolescent AIDS Clinical Trials (IMPAACT) P1114 Study Team. Live Respiratory Syncytial Virus (RSV) Vaccine Candidate Containing Stabilized Temperature-Sensitivity Mutations Is Highly Attenuated in RSV-Seronegative Infants and Children. </w:t>
      </w:r>
      <w:r w:rsidRPr="00A972C1">
        <w:rPr>
          <w:i/>
          <w:iCs/>
          <w:sz w:val="24"/>
          <w:szCs w:val="24"/>
        </w:rPr>
        <w:t>J Infect Dis</w:t>
      </w:r>
      <w:r w:rsidRPr="00A972C1">
        <w:rPr>
          <w:sz w:val="24"/>
          <w:szCs w:val="24"/>
        </w:rPr>
        <w:t xml:space="preserve"> 2018;217:1338–1346.</w:t>
      </w:r>
    </w:p>
    <w:p w14:paraId="7DE09A56" w14:textId="77777777" w:rsidR="00360BB9" w:rsidRPr="00A972C1" w:rsidRDefault="00360BB9" w:rsidP="00A972C1">
      <w:pPr>
        <w:pStyle w:val="Bibliography"/>
        <w:rPr>
          <w:sz w:val="24"/>
          <w:szCs w:val="24"/>
        </w:rPr>
      </w:pPr>
      <w:r w:rsidRPr="00A972C1">
        <w:rPr>
          <w:sz w:val="24"/>
          <w:szCs w:val="24"/>
        </w:rPr>
        <w:t>3.</w:t>
      </w:r>
      <w:r w:rsidRPr="00A972C1">
        <w:rPr>
          <w:sz w:val="24"/>
          <w:szCs w:val="24"/>
        </w:rPr>
        <w:tab/>
        <w:t xml:space="preserve">Shi T, McAllister DA, O’Brien KL, Simoes EAF, Madhi SA, Gessner BD, Polack FP, Balsells E, Acacio S, Aguayo C, Alassani I, Ali A, Antonio M, Awasthi S, Awori JO, Azziz-Baumgartner E, Baggett HC, Baillie VL, Balmaseda A, Barahona A, Basnet S, Bassat Q, Basualdo W, Bigogo G, Bont L, Breiman RF, Brooks WA, Broor S, Bruce N, </w:t>
      </w:r>
      <w:r w:rsidRPr="00A972C1">
        <w:rPr>
          <w:i/>
          <w:iCs/>
          <w:sz w:val="24"/>
          <w:szCs w:val="24"/>
        </w:rPr>
        <w:t>et al.</w:t>
      </w:r>
      <w:r w:rsidRPr="00A972C1">
        <w:rPr>
          <w:sz w:val="24"/>
          <w:szCs w:val="24"/>
        </w:rPr>
        <w:t xml:space="preserve"> Global, regional, and national disease burden estimates of acute lower respiratory infections due to respiratory syncytial virus in young children in 2015: a systematic review and modelling study. </w:t>
      </w:r>
      <w:r w:rsidRPr="00A972C1">
        <w:rPr>
          <w:i/>
          <w:iCs/>
          <w:sz w:val="24"/>
          <w:szCs w:val="24"/>
        </w:rPr>
        <w:t>The Lancet</w:t>
      </w:r>
      <w:r w:rsidRPr="00A972C1">
        <w:rPr>
          <w:sz w:val="24"/>
          <w:szCs w:val="24"/>
        </w:rPr>
        <w:t xml:space="preserve"> 2017;390:946–958.</w:t>
      </w:r>
    </w:p>
    <w:p w14:paraId="2C8DD0A7" w14:textId="77777777" w:rsidR="00360BB9" w:rsidRPr="00A972C1" w:rsidRDefault="00360BB9" w:rsidP="00A972C1">
      <w:pPr>
        <w:pStyle w:val="Bibliography"/>
        <w:rPr>
          <w:sz w:val="24"/>
          <w:szCs w:val="24"/>
        </w:rPr>
      </w:pPr>
      <w:r w:rsidRPr="00A972C1">
        <w:rPr>
          <w:sz w:val="24"/>
          <w:szCs w:val="24"/>
        </w:rPr>
        <w:t>4.</w:t>
      </w:r>
      <w:r w:rsidRPr="00A972C1">
        <w:rPr>
          <w:sz w:val="24"/>
          <w:szCs w:val="24"/>
        </w:rPr>
        <w:tab/>
        <w:t xml:space="preserve">Scheltema NM, Gentile A, Lucion F, Nokes DJ, Munywoki PK, Madhi SA, Groome MJ, Cohen C, Moyes J, Thorburn K, Thamthitiwat S, Oshitani H, Lupisan SP, Gordon A, Sánchez JF, O’Brien KL, PERCH Study Group, Gessner BD, Sutanto A, Mejias A, Ramilo O, Khuri-Bulos N, Halasa N, de-Paris F, Pires MR, Spaeder MC, Paes BA, Simões EAF, Leung TF, </w:t>
      </w:r>
      <w:r w:rsidRPr="00A972C1">
        <w:rPr>
          <w:i/>
          <w:iCs/>
          <w:sz w:val="24"/>
          <w:szCs w:val="24"/>
        </w:rPr>
        <w:t>et al.</w:t>
      </w:r>
      <w:r w:rsidRPr="00A972C1">
        <w:rPr>
          <w:sz w:val="24"/>
          <w:szCs w:val="24"/>
        </w:rPr>
        <w:t xml:space="preserve"> Global respiratory syncytial virus-associated mortality in young children (RSV GOLD): a retrospective case series. </w:t>
      </w:r>
      <w:r w:rsidRPr="00A972C1">
        <w:rPr>
          <w:i/>
          <w:iCs/>
          <w:sz w:val="24"/>
          <w:szCs w:val="24"/>
        </w:rPr>
        <w:t>Lancet Glob Health</w:t>
      </w:r>
      <w:r w:rsidRPr="00A972C1">
        <w:rPr>
          <w:sz w:val="24"/>
          <w:szCs w:val="24"/>
        </w:rPr>
        <w:t xml:space="preserve"> 2017;5:e984–e991.</w:t>
      </w:r>
    </w:p>
    <w:p w14:paraId="578A5070" w14:textId="77777777" w:rsidR="00360BB9" w:rsidRPr="00A972C1" w:rsidRDefault="00360BB9" w:rsidP="00A972C1">
      <w:pPr>
        <w:pStyle w:val="Bibliography"/>
        <w:rPr>
          <w:sz w:val="24"/>
          <w:szCs w:val="24"/>
        </w:rPr>
      </w:pPr>
      <w:r w:rsidRPr="00A972C1">
        <w:rPr>
          <w:sz w:val="24"/>
          <w:szCs w:val="24"/>
        </w:rPr>
        <w:lastRenderedPageBreak/>
        <w:t>5.</w:t>
      </w:r>
      <w:r w:rsidRPr="00A972C1">
        <w:rPr>
          <w:sz w:val="24"/>
          <w:szCs w:val="24"/>
        </w:rPr>
        <w:tab/>
        <w:t xml:space="preserve">Falsey A, Walsh E. Respiratory syncytial virus infection in adults. </w:t>
      </w:r>
      <w:r w:rsidRPr="00A972C1">
        <w:rPr>
          <w:i/>
          <w:iCs/>
          <w:sz w:val="24"/>
          <w:szCs w:val="24"/>
        </w:rPr>
        <w:t>Clin Microbiol Rev</w:t>
      </w:r>
      <w:r w:rsidRPr="00A972C1">
        <w:rPr>
          <w:sz w:val="24"/>
          <w:szCs w:val="24"/>
        </w:rPr>
        <w:t xml:space="preserve"> 2000;13:371–84.</w:t>
      </w:r>
    </w:p>
    <w:p w14:paraId="703CB43F" w14:textId="77777777" w:rsidR="00360BB9" w:rsidRPr="00A972C1" w:rsidRDefault="00360BB9" w:rsidP="00A972C1">
      <w:pPr>
        <w:pStyle w:val="Bibliography"/>
        <w:rPr>
          <w:sz w:val="24"/>
          <w:szCs w:val="24"/>
        </w:rPr>
      </w:pPr>
      <w:r w:rsidRPr="00A972C1">
        <w:rPr>
          <w:sz w:val="24"/>
          <w:szCs w:val="24"/>
        </w:rPr>
        <w:t>6.</w:t>
      </w:r>
      <w:r w:rsidRPr="00A972C1">
        <w:rPr>
          <w:sz w:val="24"/>
          <w:szCs w:val="24"/>
        </w:rPr>
        <w:tab/>
        <w:t xml:space="preserve">Colosia AD, Yang J, Hillson E, Mauskopf J, Copley-Merriman C, Shinde V, Stoddard J. The epidemiology of medically attended respiratory syncytial virus in older adults in the United States: A systematic review. </w:t>
      </w:r>
      <w:r w:rsidRPr="00A972C1">
        <w:rPr>
          <w:i/>
          <w:iCs/>
          <w:sz w:val="24"/>
          <w:szCs w:val="24"/>
        </w:rPr>
        <w:t>PLoS ONE</w:t>
      </w:r>
      <w:r w:rsidRPr="00A972C1">
        <w:rPr>
          <w:sz w:val="24"/>
          <w:szCs w:val="24"/>
        </w:rPr>
        <w:t xml:space="preserve"> 2017;12:e0182321.</w:t>
      </w:r>
    </w:p>
    <w:p w14:paraId="63DBD3BD" w14:textId="77777777" w:rsidR="00360BB9" w:rsidRPr="00A972C1" w:rsidRDefault="00360BB9" w:rsidP="00A972C1">
      <w:pPr>
        <w:pStyle w:val="Bibliography"/>
        <w:rPr>
          <w:sz w:val="24"/>
          <w:szCs w:val="24"/>
        </w:rPr>
      </w:pPr>
      <w:r w:rsidRPr="00A972C1">
        <w:rPr>
          <w:sz w:val="24"/>
          <w:szCs w:val="24"/>
        </w:rPr>
        <w:t>7.</w:t>
      </w:r>
      <w:r w:rsidRPr="00A972C1">
        <w:rPr>
          <w:sz w:val="24"/>
          <w:szCs w:val="24"/>
        </w:rPr>
        <w:tab/>
        <w:t xml:space="preserve">Guvenel AK, Chiu C, Openshaw PJ. Current concepts and progress in RSV vaccine development. </w:t>
      </w:r>
      <w:r w:rsidRPr="00A972C1">
        <w:rPr>
          <w:i/>
          <w:iCs/>
          <w:sz w:val="24"/>
          <w:szCs w:val="24"/>
        </w:rPr>
        <w:t>Expert Review of Vaccines</w:t>
      </w:r>
      <w:r w:rsidRPr="00A972C1">
        <w:rPr>
          <w:sz w:val="24"/>
          <w:szCs w:val="24"/>
        </w:rPr>
        <w:t xml:space="preserve"> 2014;13:333–344.</w:t>
      </w:r>
    </w:p>
    <w:p w14:paraId="0356E76F" w14:textId="77777777" w:rsidR="00360BB9" w:rsidRPr="00A972C1" w:rsidRDefault="00360BB9" w:rsidP="00A972C1">
      <w:pPr>
        <w:pStyle w:val="Bibliography"/>
        <w:rPr>
          <w:sz w:val="24"/>
          <w:szCs w:val="24"/>
        </w:rPr>
      </w:pPr>
      <w:r w:rsidRPr="00A972C1">
        <w:rPr>
          <w:sz w:val="24"/>
          <w:szCs w:val="24"/>
        </w:rPr>
        <w:t>8.</w:t>
      </w:r>
      <w:r w:rsidRPr="00A972C1">
        <w:rPr>
          <w:sz w:val="24"/>
          <w:szCs w:val="24"/>
        </w:rPr>
        <w:tab/>
        <w:t xml:space="preserve">Falloon J, Yu J, Esser MT, Villafana T, Yu L, Dubovsky F, Takas T, Levin MJ, Falsey AR. An Adjuvanted, Postfusion F Protein–Based Vaccine Did Not Prevent Respiratory Syncytial Virus Illness in Older Adults. </w:t>
      </w:r>
      <w:r w:rsidRPr="00A972C1">
        <w:rPr>
          <w:i/>
          <w:iCs/>
          <w:sz w:val="24"/>
          <w:szCs w:val="24"/>
        </w:rPr>
        <w:t>J Infect Dis</w:t>
      </w:r>
      <w:r w:rsidRPr="00A972C1">
        <w:rPr>
          <w:sz w:val="24"/>
          <w:szCs w:val="24"/>
        </w:rPr>
        <w:t xml:space="preserve"> 2017;216:1362–1370.</w:t>
      </w:r>
    </w:p>
    <w:p w14:paraId="37F944C6" w14:textId="77777777" w:rsidR="00360BB9" w:rsidRPr="00A972C1" w:rsidRDefault="00360BB9" w:rsidP="00A972C1">
      <w:pPr>
        <w:pStyle w:val="Bibliography"/>
        <w:rPr>
          <w:sz w:val="24"/>
          <w:szCs w:val="24"/>
        </w:rPr>
      </w:pPr>
      <w:r w:rsidRPr="00A972C1">
        <w:rPr>
          <w:sz w:val="24"/>
          <w:szCs w:val="24"/>
        </w:rPr>
        <w:t>9.</w:t>
      </w:r>
      <w:r w:rsidRPr="00A972C1">
        <w:rPr>
          <w:sz w:val="24"/>
          <w:szCs w:val="24"/>
        </w:rPr>
        <w:tab/>
        <w:t xml:space="preserve">Habibi MS, Jozwik A, Makris S, Dunning J, Paras A, DeVincenzo JP, de Haan CAM, Wrammert J, Openshaw PJM, Chiu C. Impaired Antibody-mediated Protection and Defective IgA B-Cell Memory in Experimental Infection of Adults with Respiratory Syncytial Virus. </w:t>
      </w:r>
      <w:r w:rsidRPr="00A972C1">
        <w:rPr>
          <w:i/>
          <w:iCs/>
          <w:sz w:val="24"/>
          <w:szCs w:val="24"/>
        </w:rPr>
        <w:t>Am J Respir Crit Care Med</w:t>
      </w:r>
      <w:r w:rsidRPr="00A972C1">
        <w:rPr>
          <w:sz w:val="24"/>
          <w:szCs w:val="24"/>
        </w:rPr>
        <w:t xml:space="preserve"> 2015;191:1040–1049.</w:t>
      </w:r>
    </w:p>
    <w:p w14:paraId="70D0234A" w14:textId="77777777" w:rsidR="00360BB9" w:rsidRPr="00A972C1" w:rsidRDefault="00360BB9" w:rsidP="00A972C1">
      <w:pPr>
        <w:pStyle w:val="Bibliography"/>
        <w:rPr>
          <w:sz w:val="24"/>
          <w:szCs w:val="24"/>
        </w:rPr>
      </w:pPr>
      <w:r w:rsidRPr="00A972C1">
        <w:rPr>
          <w:sz w:val="24"/>
          <w:szCs w:val="24"/>
        </w:rPr>
        <w:t>10.</w:t>
      </w:r>
      <w:r w:rsidRPr="00A972C1">
        <w:rPr>
          <w:sz w:val="24"/>
          <w:szCs w:val="24"/>
        </w:rPr>
        <w:tab/>
        <w:t xml:space="preserve">Suzuki T, Ainai A, Hasegawa H. Functional and structural characteristics of secretory IgA antibodies elicited by mucosal vaccines against influenza virus. </w:t>
      </w:r>
      <w:r w:rsidRPr="00A972C1">
        <w:rPr>
          <w:i/>
          <w:iCs/>
          <w:sz w:val="24"/>
          <w:szCs w:val="24"/>
        </w:rPr>
        <w:t>Vaccine</w:t>
      </w:r>
      <w:r w:rsidRPr="00A972C1">
        <w:rPr>
          <w:sz w:val="24"/>
          <w:szCs w:val="24"/>
        </w:rPr>
        <w:t xml:space="preserve"> 2017;35:5297–5302.</w:t>
      </w:r>
    </w:p>
    <w:p w14:paraId="7BE6B308" w14:textId="77777777" w:rsidR="00360BB9" w:rsidRPr="00A972C1" w:rsidRDefault="00360BB9" w:rsidP="00A972C1">
      <w:pPr>
        <w:pStyle w:val="Bibliography"/>
        <w:rPr>
          <w:sz w:val="24"/>
          <w:szCs w:val="24"/>
        </w:rPr>
      </w:pPr>
      <w:r w:rsidRPr="00A972C1">
        <w:rPr>
          <w:sz w:val="24"/>
          <w:szCs w:val="24"/>
        </w:rPr>
        <w:t>11.</w:t>
      </w:r>
      <w:r w:rsidRPr="00A972C1">
        <w:rPr>
          <w:sz w:val="24"/>
          <w:szCs w:val="24"/>
        </w:rPr>
        <w:tab/>
        <w:t xml:space="preserve">Rigter A, Widjaja I, Versantvoort H, Coenjaerts FEJ, van Roosmalen M, Leenhouts K, Rottier PJM, Haijema BJ, de Haan CAM. A Protective and Safe Intranasal RSV Vaccine Based on a Recombinant Prefusion-Like Form of the F Protein Bound to Bacterium-Like Particles. </w:t>
      </w:r>
      <w:r w:rsidRPr="00A972C1">
        <w:rPr>
          <w:i/>
          <w:iCs/>
          <w:sz w:val="24"/>
          <w:szCs w:val="24"/>
        </w:rPr>
        <w:t>PLoS ONE</w:t>
      </w:r>
      <w:r w:rsidRPr="00A972C1">
        <w:rPr>
          <w:sz w:val="24"/>
          <w:szCs w:val="24"/>
        </w:rPr>
        <w:t xml:space="preserve"> 2013;8:e71072.</w:t>
      </w:r>
    </w:p>
    <w:p w14:paraId="5C6F4280" w14:textId="77777777" w:rsidR="00360BB9" w:rsidRPr="00A972C1" w:rsidRDefault="00360BB9" w:rsidP="00A972C1">
      <w:pPr>
        <w:pStyle w:val="Bibliography"/>
        <w:rPr>
          <w:sz w:val="24"/>
          <w:szCs w:val="24"/>
        </w:rPr>
      </w:pPr>
      <w:r w:rsidRPr="00A972C1">
        <w:rPr>
          <w:sz w:val="24"/>
          <w:szCs w:val="24"/>
        </w:rPr>
        <w:t>12.</w:t>
      </w:r>
      <w:r w:rsidRPr="00A972C1">
        <w:rPr>
          <w:sz w:val="24"/>
          <w:szCs w:val="24"/>
        </w:rPr>
        <w:tab/>
        <w:t xml:space="preserve">McLellan JS, Ray WC, Peeples ME. Structure and Function of RSV Surface Glycoproteins. </w:t>
      </w:r>
      <w:r w:rsidRPr="00A972C1">
        <w:rPr>
          <w:i/>
          <w:iCs/>
          <w:sz w:val="24"/>
          <w:szCs w:val="24"/>
        </w:rPr>
        <w:t>Curr Top Microbiol Immunol</w:t>
      </w:r>
      <w:r w:rsidRPr="00A972C1">
        <w:rPr>
          <w:sz w:val="24"/>
          <w:szCs w:val="24"/>
        </w:rPr>
        <w:t xml:space="preserve"> 2013;372:83–104.</w:t>
      </w:r>
    </w:p>
    <w:p w14:paraId="3357076F" w14:textId="77777777" w:rsidR="00360BB9" w:rsidRPr="00A972C1" w:rsidRDefault="00360BB9" w:rsidP="00A972C1">
      <w:pPr>
        <w:pStyle w:val="Bibliography"/>
        <w:rPr>
          <w:sz w:val="24"/>
          <w:szCs w:val="24"/>
        </w:rPr>
      </w:pPr>
      <w:r w:rsidRPr="00A972C1">
        <w:rPr>
          <w:sz w:val="24"/>
          <w:szCs w:val="24"/>
        </w:rPr>
        <w:lastRenderedPageBreak/>
        <w:t xml:space="preserve">13. </w:t>
      </w:r>
      <w:r w:rsidRPr="00A972C1">
        <w:rPr>
          <w:sz w:val="24"/>
          <w:szCs w:val="24"/>
        </w:rPr>
        <w:tab/>
        <w:t>Ngwuta JO, Chen M, Modjarrad K, Joyce MG, Kanekiyo M, Kumar A, et al. Prefusion F–specific antibodies determine the magnitude of RSV neutralizing activity in human sera. Science Translational Medicine. 2015 Oct 14;7(309):309ra162.</w:t>
      </w:r>
    </w:p>
    <w:p w14:paraId="2CC50C7C" w14:textId="77777777" w:rsidR="00360BB9" w:rsidRPr="00A972C1" w:rsidRDefault="00360BB9" w:rsidP="00A972C1">
      <w:pPr>
        <w:pStyle w:val="Bibliography"/>
        <w:rPr>
          <w:sz w:val="24"/>
          <w:szCs w:val="24"/>
        </w:rPr>
      </w:pPr>
      <w:r w:rsidRPr="00A972C1">
        <w:rPr>
          <w:sz w:val="24"/>
          <w:szCs w:val="24"/>
        </w:rPr>
        <w:t xml:space="preserve">14. </w:t>
      </w:r>
      <w:r w:rsidRPr="00A972C1">
        <w:rPr>
          <w:sz w:val="24"/>
          <w:szCs w:val="24"/>
        </w:rPr>
        <w:tab/>
        <w:t>Sande CJ, Mutunga MN, Medley GF, Cane PA, Nokes DJ. Group and genotype specific neutralising antibody responses against respiratory syncytial virus (RSV) in infants and young children with severe pneumonia. J Infect Dis. 2012 Feb 1; 207(3): 489–492.</w:t>
      </w:r>
    </w:p>
    <w:p w14:paraId="1E7CBEC0" w14:textId="77777777" w:rsidR="00360BB9" w:rsidRPr="00A972C1" w:rsidRDefault="00360BB9" w:rsidP="00A972C1">
      <w:pPr>
        <w:pStyle w:val="Bibliography"/>
        <w:rPr>
          <w:sz w:val="24"/>
          <w:szCs w:val="24"/>
        </w:rPr>
      </w:pPr>
      <w:r w:rsidRPr="00A972C1">
        <w:rPr>
          <w:sz w:val="24"/>
          <w:szCs w:val="24"/>
        </w:rPr>
        <w:t>15.</w:t>
      </w:r>
      <w:r w:rsidRPr="00A972C1">
        <w:rPr>
          <w:sz w:val="24"/>
          <w:szCs w:val="24"/>
        </w:rPr>
        <w:tab/>
        <w:t xml:space="preserve">Saletti G, Çuburu N, Yang JS, Dey A, Czerkinsky C. Enzyme-linked immunospot assays for direct ex vivo measurement of vaccine-induced human humoral immune responses in blood. </w:t>
      </w:r>
      <w:r w:rsidRPr="00A972C1">
        <w:rPr>
          <w:i/>
          <w:iCs/>
          <w:sz w:val="24"/>
          <w:szCs w:val="24"/>
        </w:rPr>
        <w:t>Nat Protocols</w:t>
      </w:r>
      <w:r w:rsidRPr="00A972C1">
        <w:rPr>
          <w:sz w:val="24"/>
          <w:szCs w:val="24"/>
        </w:rPr>
        <w:t xml:space="preserve"> 2013;8:1073–1087.</w:t>
      </w:r>
    </w:p>
    <w:p w14:paraId="32AE8D17" w14:textId="77777777" w:rsidR="00360BB9" w:rsidRPr="00A972C1" w:rsidRDefault="00360BB9" w:rsidP="00A972C1">
      <w:pPr>
        <w:pStyle w:val="Bibliography"/>
        <w:rPr>
          <w:sz w:val="24"/>
          <w:szCs w:val="24"/>
        </w:rPr>
      </w:pPr>
      <w:r w:rsidRPr="00A972C1">
        <w:rPr>
          <w:sz w:val="24"/>
          <w:szCs w:val="24"/>
        </w:rPr>
        <w:t>16.</w:t>
      </w:r>
      <w:r w:rsidRPr="00A972C1">
        <w:rPr>
          <w:sz w:val="24"/>
          <w:szCs w:val="24"/>
        </w:rPr>
        <w:tab/>
        <w:t xml:space="preserve">Aljurayyan A, Puksuriwong S, Ahmed M, Sharma R, Krishnan M, Sood S, Davies K, Rajashekar D, Leong S, McNamara PS, Gordon S, Zhang Q. Activation and Induction of Antigen-Specific T Follicular Helper Cells Play a Critical Role in Live-Attenuated Influenza Vaccine-Induced Human Mucosal Anti-influenza Antibody Response. </w:t>
      </w:r>
      <w:r w:rsidRPr="00A972C1">
        <w:rPr>
          <w:i/>
          <w:iCs/>
          <w:sz w:val="24"/>
          <w:szCs w:val="24"/>
        </w:rPr>
        <w:t>J Virol</w:t>
      </w:r>
      <w:r w:rsidRPr="00A972C1">
        <w:rPr>
          <w:sz w:val="24"/>
          <w:szCs w:val="24"/>
        </w:rPr>
        <w:t xml:space="preserve"> 2018;92:e00114-18.</w:t>
      </w:r>
    </w:p>
    <w:p w14:paraId="6D676DD0" w14:textId="77777777" w:rsidR="00360BB9" w:rsidRPr="00A972C1" w:rsidRDefault="00360BB9" w:rsidP="00A972C1">
      <w:pPr>
        <w:pStyle w:val="Bibliography"/>
        <w:rPr>
          <w:sz w:val="24"/>
          <w:szCs w:val="24"/>
        </w:rPr>
      </w:pPr>
      <w:r w:rsidRPr="00A972C1">
        <w:rPr>
          <w:sz w:val="24"/>
          <w:szCs w:val="24"/>
        </w:rPr>
        <w:t>17.</w:t>
      </w:r>
      <w:r w:rsidRPr="00A972C1">
        <w:rPr>
          <w:sz w:val="24"/>
          <w:szCs w:val="24"/>
        </w:rPr>
        <w:tab/>
        <w:t xml:space="preserve">Mullin J, Ahmed MS, Sharma R, Upile N, Beer H, Achar P, Puksuriwong S, Ferrara F, Temperton N, McNamara P, Lambe T, Gilbert SC, Zhang Q. Activation of cross-reactive mucosal T and B cell responses in human nasopharynx-associated lymphoid tissue in vitro by Modified Vaccinia Ankara-vectored influenza vaccines. </w:t>
      </w:r>
      <w:r w:rsidRPr="00A972C1">
        <w:rPr>
          <w:i/>
          <w:iCs/>
          <w:sz w:val="24"/>
          <w:szCs w:val="24"/>
        </w:rPr>
        <w:t>Vaccine</w:t>
      </w:r>
      <w:r w:rsidRPr="00A972C1">
        <w:rPr>
          <w:sz w:val="24"/>
          <w:szCs w:val="24"/>
        </w:rPr>
        <w:t xml:space="preserve"> 2016;34:1688–1695.</w:t>
      </w:r>
    </w:p>
    <w:p w14:paraId="33ECC930" w14:textId="77777777" w:rsidR="00360BB9" w:rsidRPr="00A972C1" w:rsidRDefault="00360BB9" w:rsidP="00A972C1">
      <w:pPr>
        <w:pStyle w:val="Bibliography"/>
        <w:rPr>
          <w:sz w:val="24"/>
          <w:szCs w:val="24"/>
        </w:rPr>
      </w:pPr>
      <w:r w:rsidRPr="00A972C1">
        <w:rPr>
          <w:sz w:val="24"/>
          <w:szCs w:val="24"/>
        </w:rPr>
        <w:t>18.</w:t>
      </w:r>
      <w:r w:rsidRPr="00A972C1">
        <w:rPr>
          <w:sz w:val="24"/>
          <w:szCs w:val="24"/>
        </w:rPr>
        <w:tab/>
        <w:t xml:space="preserve">Gray C, Ahmed MS, Mubarak A, Kasbekar AV, Derbyshire S, McCormick MS, Mughal MK, McNamara PS, Mitchell T, Zhang Q. Activation of memory Th17 cells by domain 4 pneumolysin in human nasopharynx-associated lymphoid tissue and its association with pneumococcal carriage. </w:t>
      </w:r>
      <w:r w:rsidRPr="00A972C1">
        <w:rPr>
          <w:i/>
          <w:iCs/>
          <w:sz w:val="24"/>
          <w:szCs w:val="24"/>
        </w:rPr>
        <w:t>Mucosal Immunology</w:t>
      </w:r>
      <w:r w:rsidRPr="00A972C1">
        <w:rPr>
          <w:sz w:val="24"/>
          <w:szCs w:val="24"/>
        </w:rPr>
        <w:t xml:space="preserve"> 2014;7:705–717.</w:t>
      </w:r>
    </w:p>
    <w:p w14:paraId="1DEEFD66" w14:textId="77777777" w:rsidR="00360BB9" w:rsidRPr="00A972C1" w:rsidRDefault="00360BB9" w:rsidP="00A972C1">
      <w:pPr>
        <w:pStyle w:val="Bibliography"/>
        <w:rPr>
          <w:sz w:val="24"/>
          <w:szCs w:val="24"/>
        </w:rPr>
      </w:pPr>
      <w:r w:rsidRPr="00A972C1">
        <w:rPr>
          <w:sz w:val="24"/>
          <w:szCs w:val="24"/>
        </w:rPr>
        <w:t>19.</w:t>
      </w:r>
      <w:r w:rsidRPr="00A972C1">
        <w:rPr>
          <w:sz w:val="24"/>
          <w:szCs w:val="24"/>
        </w:rPr>
        <w:tab/>
        <w:t xml:space="preserve">Li G-M, Chiu C, Wrammert J, McCausland M, Andrews SF, Zheng N-Y, Lee J-H, Huang M, Qu X, Edupuganti S. Pandemic H1N1 influenza vaccine induces a recall response in humans </w:t>
      </w:r>
      <w:r w:rsidRPr="00A972C1">
        <w:rPr>
          <w:sz w:val="24"/>
          <w:szCs w:val="24"/>
        </w:rPr>
        <w:lastRenderedPageBreak/>
        <w:t xml:space="preserve">that favors broadly cross-reactive memory B cells. </w:t>
      </w:r>
      <w:r w:rsidRPr="00A972C1">
        <w:rPr>
          <w:i/>
          <w:iCs/>
          <w:sz w:val="24"/>
          <w:szCs w:val="24"/>
        </w:rPr>
        <w:t>Proceedings of the National Academy of Sciences</w:t>
      </w:r>
      <w:r w:rsidRPr="00A972C1">
        <w:rPr>
          <w:sz w:val="24"/>
          <w:szCs w:val="24"/>
        </w:rPr>
        <w:t xml:space="preserve"> 2012;109:9047–9052.</w:t>
      </w:r>
    </w:p>
    <w:p w14:paraId="747BE60D" w14:textId="77777777" w:rsidR="00360BB9" w:rsidRPr="00A972C1" w:rsidRDefault="00360BB9" w:rsidP="00A972C1">
      <w:pPr>
        <w:pStyle w:val="Bibliography"/>
        <w:rPr>
          <w:sz w:val="24"/>
          <w:szCs w:val="24"/>
        </w:rPr>
      </w:pPr>
      <w:r w:rsidRPr="00A972C1">
        <w:rPr>
          <w:sz w:val="24"/>
          <w:szCs w:val="24"/>
        </w:rPr>
        <w:t>20.</w:t>
      </w:r>
      <w:r w:rsidRPr="00A972C1">
        <w:rPr>
          <w:sz w:val="24"/>
          <w:szCs w:val="24"/>
        </w:rPr>
        <w:tab/>
        <w:t xml:space="preserve">Green CA, Scarselli E, Sande CJ, Thompson AJ, Lara CM de, Taylor KS, Haworth K, Sorbo MD, Angus B, Siani L, Marco SD, Traboni C, Folgori A, Colloca S, Capone S, Vitelli A, Cortese R, Klenerman P, Nicosia A, Pollard AJ. Chimpanzee adenovirus– and MVA-vectored respiratory syncytial virus vaccine is safe and immunogenic in adults. </w:t>
      </w:r>
      <w:r w:rsidRPr="00A972C1">
        <w:rPr>
          <w:i/>
          <w:iCs/>
          <w:sz w:val="24"/>
          <w:szCs w:val="24"/>
        </w:rPr>
        <w:t>Science Translational Medicine</w:t>
      </w:r>
      <w:r w:rsidRPr="00A972C1">
        <w:rPr>
          <w:sz w:val="24"/>
          <w:szCs w:val="24"/>
        </w:rPr>
        <w:t xml:space="preserve"> 2015;7:300ra126-300ra126.</w:t>
      </w:r>
    </w:p>
    <w:p w14:paraId="5035832C" w14:textId="77777777" w:rsidR="00360BB9" w:rsidRPr="00A972C1" w:rsidRDefault="00360BB9" w:rsidP="00A972C1">
      <w:pPr>
        <w:pStyle w:val="Bibliography"/>
        <w:rPr>
          <w:sz w:val="24"/>
          <w:szCs w:val="24"/>
        </w:rPr>
      </w:pPr>
      <w:r w:rsidRPr="00A972C1">
        <w:rPr>
          <w:sz w:val="24"/>
          <w:szCs w:val="24"/>
        </w:rPr>
        <w:t>21.</w:t>
      </w:r>
      <w:r w:rsidRPr="00A972C1">
        <w:rPr>
          <w:sz w:val="24"/>
          <w:szCs w:val="24"/>
        </w:rPr>
        <w:tab/>
        <w:t xml:space="preserve">Sasaki S, Jaimes MC, Holmes TH, Dekker CL, Mahmood K, Kemble GW, Arvin AM, Greenberg HB. Comparison of the Influenza Virus-Specific Effector and Memory B-Cell Responses to Immunization of Children and Adults with Live Attenuated or Inactivated Influenza Virus Vaccines. </w:t>
      </w:r>
      <w:r w:rsidRPr="00A972C1">
        <w:rPr>
          <w:i/>
          <w:iCs/>
          <w:sz w:val="24"/>
          <w:szCs w:val="24"/>
        </w:rPr>
        <w:t>Journal of Virology</w:t>
      </w:r>
      <w:r w:rsidRPr="00A972C1">
        <w:rPr>
          <w:sz w:val="24"/>
          <w:szCs w:val="24"/>
        </w:rPr>
        <w:t xml:space="preserve"> 2006;81:215–228.</w:t>
      </w:r>
    </w:p>
    <w:p w14:paraId="2FF611F7" w14:textId="77777777" w:rsidR="00360BB9" w:rsidRPr="00A972C1" w:rsidRDefault="00360BB9" w:rsidP="00A972C1">
      <w:pPr>
        <w:pStyle w:val="Bibliography"/>
        <w:rPr>
          <w:sz w:val="24"/>
          <w:szCs w:val="24"/>
        </w:rPr>
      </w:pPr>
      <w:r w:rsidRPr="00A972C1">
        <w:rPr>
          <w:sz w:val="24"/>
          <w:szCs w:val="24"/>
        </w:rPr>
        <w:t>22.</w:t>
      </w:r>
      <w:r w:rsidRPr="00A972C1">
        <w:rPr>
          <w:sz w:val="24"/>
          <w:szCs w:val="24"/>
        </w:rPr>
        <w:tab/>
        <w:t xml:space="preserve">Belshe R, Mendelman P, Treanor J, King J, Gruber W, Piedra P, Bernstein D, Hayden F, Kotloff K, Zangwill K, Iacuzio D, Wolff M. The efficacy of live attenuated, cold-adapted, trivalent, intranasal influenzavirus vaccine in children. </w:t>
      </w:r>
      <w:r w:rsidRPr="00A972C1">
        <w:rPr>
          <w:i/>
          <w:iCs/>
          <w:sz w:val="24"/>
          <w:szCs w:val="24"/>
        </w:rPr>
        <w:t>N Engl J Med</w:t>
      </w:r>
      <w:r w:rsidRPr="00A972C1">
        <w:rPr>
          <w:sz w:val="24"/>
          <w:szCs w:val="24"/>
        </w:rPr>
        <w:t xml:space="preserve"> 1998;338:1405–12.</w:t>
      </w:r>
    </w:p>
    <w:p w14:paraId="0E1C088D" w14:textId="77777777" w:rsidR="00360BB9" w:rsidRPr="00A972C1" w:rsidRDefault="00360BB9" w:rsidP="00A972C1">
      <w:pPr>
        <w:pStyle w:val="Bibliography"/>
        <w:rPr>
          <w:sz w:val="24"/>
          <w:szCs w:val="24"/>
        </w:rPr>
      </w:pPr>
      <w:r w:rsidRPr="00A972C1">
        <w:rPr>
          <w:sz w:val="24"/>
          <w:szCs w:val="24"/>
        </w:rPr>
        <w:t>23.</w:t>
      </w:r>
      <w:r w:rsidRPr="00A972C1">
        <w:rPr>
          <w:sz w:val="24"/>
          <w:szCs w:val="24"/>
        </w:rPr>
        <w:tab/>
        <w:t xml:space="preserve">Karron RA, Luongo C, Thumar B, Loehr KM, Englund JA, Collins PL, Buchholz UJ. A gene deletion that up-regulates viral gene expression yields an attenuated RSV vaccine with improved antibody responses in children. </w:t>
      </w:r>
      <w:r w:rsidRPr="00A972C1">
        <w:rPr>
          <w:i/>
          <w:iCs/>
          <w:sz w:val="24"/>
          <w:szCs w:val="24"/>
        </w:rPr>
        <w:t>Science Translational Medicine</w:t>
      </w:r>
      <w:r w:rsidRPr="00A972C1">
        <w:rPr>
          <w:sz w:val="24"/>
          <w:szCs w:val="24"/>
        </w:rPr>
        <w:t xml:space="preserve"> 2015;7:312ra175-312ra175.</w:t>
      </w:r>
    </w:p>
    <w:p w14:paraId="6480B833" w14:textId="77777777" w:rsidR="00360BB9" w:rsidRPr="00A972C1" w:rsidRDefault="00360BB9" w:rsidP="00A972C1">
      <w:pPr>
        <w:pStyle w:val="Bibliography"/>
        <w:rPr>
          <w:sz w:val="24"/>
          <w:szCs w:val="24"/>
        </w:rPr>
      </w:pPr>
      <w:r w:rsidRPr="00A972C1">
        <w:rPr>
          <w:sz w:val="24"/>
          <w:szCs w:val="24"/>
        </w:rPr>
        <w:t>24.</w:t>
      </w:r>
      <w:r w:rsidRPr="00A972C1">
        <w:rPr>
          <w:sz w:val="24"/>
          <w:szCs w:val="24"/>
        </w:rPr>
        <w:tab/>
        <w:t xml:space="preserve">Jounai N, Yoshioka M, Tozuka M, Inoue K, Oka T, Miyaji K, Ishida K, Kawai N, Ikematsu H, Kawakami C, Shimizu H, Mori M, Ishii KJ, Takeshita F. Age-Specific Profiles of Antibody Responses against Respiratory Syncytial Virus Infection. </w:t>
      </w:r>
      <w:r w:rsidRPr="00A972C1">
        <w:rPr>
          <w:i/>
          <w:iCs/>
          <w:sz w:val="24"/>
          <w:szCs w:val="24"/>
        </w:rPr>
        <w:t>EBioMedicine</w:t>
      </w:r>
      <w:r w:rsidRPr="00A972C1">
        <w:rPr>
          <w:sz w:val="24"/>
          <w:szCs w:val="24"/>
        </w:rPr>
        <w:t xml:space="preserve"> 2017;16:124–135.</w:t>
      </w:r>
    </w:p>
    <w:p w14:paraId="39277876" w14:textId="77777777" w:rsidR="00360BB9" w:rsidRPr="00A972C1" w:rsidRDefault="00360BB9" w:rsidP="00A972C1">
      <w:pPr>
        <w:pStyle w:val="Bibliography"/>
        <w:rPr>
          <w:sz w:val="24"/>
          <w:szCs w:val="24"/>
        </w:rPr>
      </w:pPr>
      <w:r w:rsidRPr="00A972C1">
        <w:rPr>
          <w:sz w:val="24"/>
          <w:szCs w:val="24"/>
        </w:rPr>
        <w:t>25.</w:t>
      </w:r>
      <w:r w:rsidRPr="00A972C1">
        <w:rPr>
          <w:sz w:val="24"/>
          <w:szCs w:val="24"/>
        </w:rPr>
        <w:tab/>
        <w:t xml:space="preserve">Falsey A, Walsh E. Relationship of serum antibody to risk of respiratory syncytial virus infection in elderly adults. </w:t>
      </w:r>
      <w:r w:rsidRPr="00A972C1">
        <w:rPr>
          <w:i/>
          <w:iCs/>
          <w:sz w:val="24"/>
          <w:szCs w:val="24"/>
        </w:rPr>
        <w:t>J Infect Dis</w:t>
      </w:r>
      <w:r w:rsidRPr="00A972C1">
        <w:rPr>
          <w:sz w:val="24"/>
          <w:szCs w:val="24"/>
        </w:rPr>
        <w:t xml:space="preserve"> 1998;177:463–6.</w:t>
      </w:r>
    </w:p>
    <w:p w14:paraId="3A450AFA" w14:textId="77777777" w:rsidR="00360BB9" w:rsidRPr="00A972C1" w:rsidRDefault="00360BB9" w:rsidP="00A972C1">
      <w:pPr>
        <w:pStyle w:val="Bibliography"/>
        <w:rPr>
          <w:sz w:val="24"/>
          <w:szCs w:val="24"/>
        </w:rPr>
      </w:pPr>
      <w:r w:rsidRPr="00A972C1">
        <w:rPr>
          <w:sz w:val="24"/>
          <w:szCs w:val="24"/>
        </w:rPr>
        <w:lastRenderedPageBreak/>
        <w:t xml:space="preserve">26. </w:t>
      </w:r>
      <w:r w:rsidRPr="00A972C1">
        <w:rPr>
          <w:sz w:val="24"/>
          <w:szCs w:val="24"/>
        </w:rPr>
        <w:tab/>
        <w:t>Van Braeckel-Budimir N, Haijema BJ, Leenhouts K. Bacterium-Like Particles for Efficient Immune Stimulation of Existing Vaccines and New Subunit Vaccines in Mucosal Applications. Front Immunol. 2013 Sep 17 ;4.</w:t>
      </w:r>
    </w:p>
    <w:p w14:paraId="05C2F6EF" w14:textId="77777777" w:rsidR="00360BB9" w:rsidRPr="00A972C1" w:rsidRDefault="00360BB9" w:rsidP="00A972C1">
      <w:pPr>
        <w:pStyle w:val="Bibliography"/>
        <w:rPr>
          <w:sz w:val="24"/>
          <w:szCs w:val="24"/>
        </w:rPr>
      </w:pPr>
      <w:r w:rsidRPr="00A972C1">
        <w:rPr>
          <w:sz w:val="24"/>
          <w:szCs w:val="24"/>
        </w:rPr>
        <w:t>27.</w:t>
      </w:r>
      <w:r w:rsidRPr="00A972C1">
        <w:rPr>
          <w:sz w:val="24"/>
          <w:szCs w:val="24"/>
        </w:rPr>
        <w:tab/>
        <w:t xml:space="preserve">Mills KHG, Cosgrove C, McNeela EA, Sexton A, Giemza R, Jabbal-Gill I, Church A, Lin W, Illum L, Podda A, Rappuoli R, Pizza M, Griffin GE, Lewis DJM. Protective Levels of Diphtheria-Neutralizing Antibody Induced in Healthy Volunteers by Unilateral Priming-Boosting Intranasal Immunization Associated with Restricted Ipsilateral Mucosal Secretory Immunoglobulin A. </w:t>
      </w:r>
      <w:r w:rsidRPr="00A972C1">
        <w:rPr>
          <w:i/>
          <w:iCs/>
          <w:sz w:val="24"/>
          <w:szCs w:val="24"/>
        </w:rPr>
        <w:t>Infect Immun</w:t>
      </w:r>
      <w:r w:rsidRPr="00A972C1">
        <w:rPr>
          <w:sz w:val="24"/>
          <w:szCs w:val="24"/>
        </w:rPr>
        <w:t xml:space="preserve"> 2003;71:726–732.</w:t>
      </w:r>
    </w:p>
    <w:p w14:paraId="2387E7B2" w14:textId="77777777" w:rsidR="00360BB9" w:rsidRPr="00A972C1" w:rsidRDefault="00360BB9" w:rsidP="00A972C1">
      <w:pPr>
        <w:pStyle w:val="Bibliography"/>
        <w:rPr>
          <w:sz w:val="24"/>
          <w:szCs w:val="24"/>
        </w:rPr>
      </w:pPr>
      <w:r w:rsidRPr="00A972C1">
        <w:rPr>
          <w:sz w:val="24"/>
          <w:szCs w:val="24"/>
        </w:rPr>
        <w:t>28.</w:t>
      </w:r>
      <w:r w:rsidRPr="00A972C1">
        <w:rPr>
          <w:sz w:val="24"/>
          <w:szCs w:val="24"/>
        </w:rPr>
        <w:tab/>
        <w:t xml:space="preserve">Mutsch M, Zhou W, Rhodes P, Bopp M, Chen RT, Linder T, Spyr C, Steffen R. Use of the Inactivated Intranasal Influenza Vaccine and the Risk of Bell’s Palsy in Switzerland. </w:t>
      </w:r>
      <w:r w:rsidRPr="00A972C1">
        <w:rPr>
          <w:i/>
          <w:iCs/>
          <w:sz w:val="24"/>
          <w:szCs w:val="24"/>
        </w:rPr>
        <w:t>New England Journal of Medicine</w:t>
      </w:r>
      <w:r w:rsidRPr="00A972C1">
        <w:rPr>
          <w:sz w:val="24"/>
          <w:szCs w:val="24"/>
        </w:rPr>
        <w:t xml:space="preserve"> 2004;350:896–903.</w:t>
      </w:r>
    </w:p>
    <w:p w14:paraId="2FD06C56" w14:textId="77777777" w:rsidR="00360BB9" w:rsidRPr="00A972C1" w:rsidRDefault="00360BB9" w:rsidP="00A972C1">
      <w:pPr>
        <w:pStyle w:val="Bibliography"/>
        <w:rPr>
          <w:sz w:val="24"/>
          <w:szCs w:val="24"/>
        </w:rPr>
      </w:pPr>
      <w:r w:rsidRPr="00A972C1">
        <w:rPr>
          <w:sz w:val="24"/>
          <w:szCs w:val="24"/>
        </w:rPr>
        <w:t>29.</w:t>
      </w:r>
      <w:r w:rsidRPr="00A972C1">
        <w:rPr>
          <w:sz w:val="24"/>
          <w:szCs w:val="24"/>
        </w:rPr>
        <w:tab/>
        <w:t xml:space="preserve">Lewis DJM, Huo Z, Barnett S, Kromann I, Giemza R, Galiza E, Woodrow M, Thierry-Carstensen B, Andersen P, Novicki D, Giudice GD, Rappuoli R. Transient Facial Nerve Paralysis (Bell’s Palsy) following Intranasal Delivery of a Genetically Detoxified Mutant of Escherichia coli Heat Labile Toxin. </w:t>
      </w:r>
      <w:r w:rsidRPr="00A972C1">
        <w:rPr>
          <w:i/>
          <w:iCs/>
          <w:sz w:val="24"/>
          <w:szCs w:val="24"/>
        </w:rPr>
        <w:t>PLOS ONE</w:t>
      </w:r>
      <w:r w:rsidRPr="00A972C1">
        <w:rPr>
          <w:sz w:val="24"/>
          <w:szCs w:val="24"/>
        </w:rPr>
        <w:t xml:space="preserve"> 2009;4:e6999.</w:t>
      </w:r>
    </w:p>
    <w:p w14:paraId="69D8DC75" w14:textId="77777777" w:rsidR="00360BB9" w:rsidRPr="00A972C1" w:rsidRDefault="00360BB9" w:rsidP="00A972C1">
      <w:pPr>
        <w:pStyle w:val="Bibliography"/>
        <w:rPr>
          <w:sz w:val="24"/>
          <w:szCs w:val="24"/>
        </w:rPr>
      </w:pPr>
      <w:r w:rsidRPr="00A972C1">
        <w:rPr>
          <w:sz w:val="24"/>
          <w:szCs w:val="24"/>
        </w:rPr>
        <w:t>30.</w:t>
      </w:r>
      <w:r w:rsidRPr="00A972C1">
        <w:rPr>
          <w:sz w:val="24"/>
          <w:szCs w:val="24"/>
        </w:rPr>
        <w:tab/>
        <w:t xml:space="preserve">Lawrence R, Thevasagayam R. Controversies in the management of sudden sensorineural hearing loss: an evidence-based review. </w:t>
      </w:r>
      <w:r w:rsidRPr="00A972C1">
        <w:rPr>
          <w:i/>
          <w:iCs/>
          <w:sz w:val="24"/>
          <w:szCs w:val="24"/>
        </w:rPr>
        <w:t>Clinical Otolaryngology</w:t>
      </w:r>
      <w:r w:rsidRPr="00A972C1">
        <w:rPr>
          <w:sz w:val="24"/>
          <w:szCs w:val="24"/>
        </w:rPr>
        <w:t xml:space="preserve"> 40:176–182.</w:t>
      </w:r>
    </w:p>
    <w:p w14:paraId="77215E1F" w14:textId="0BD2C1F6" w:rsidR="00DF40BE" w:rsidRDefault="00DF40BE" w:rsidP="008E288B">
      <w:pPr>
        <w:pStyle w:val="Paragraph"/>
        <w:spacing w:line="480" w:lineRule="auto"/>
        <w:ind w:firstLine="0"/>
        <w:jc w:val="both"/>
        <w:rPr>
          <w:lang w:val="en-GB"/>
        </w:rPr>
      </w:pPr>
      <w:r>
        <w:rPr>
          <w:lang w:val="en-GB"/>
        </w:rPr>
        <w:fldChar w:fldCharType="end"/>
      </w:r>
    </w:p>
    <w:p w14:paraId="5624C578" w14:textId="58F31384" w:rsidR="000F0218" w:rsidRDefault="000F0218">
      <w:pPr>
        <w:rPr>
          <w:rFonts w:eastAsia="Times New Roman"/>
          <w:sz w:val="24"/>
          <w:szCs w:val="24"/>
          <w:lang w:val="en-GB"/>
        </w:rPr>
      </w:pPr>
      <w:r>
        <w:rPr>
          <w:lang w:val="en-GB"/>
        </w:rPr>
        <w:br w:type="page"/>
      </w:r>
    </w:p>
    <w:p w14:paraId="279563EB" w14:textId="788528BC" w:rsidR="0015490E" w:rsidRDefault="0015490E" w:rsidP="0005494A">
      <w:pPr>
        <w:spacing w:before="120" w:line="480" w:lineRule="auto"/>
        <w:rPr>
          <w:rFonts w:eastAsia="Times New Roman"/>
          <w:b/>
          <w:sz w:val="24"/>
          <w:szCs w:val="24"/>
        </w:rPr>
      </w:pPr>
      <w:r w:rsidRPr="0005494A">
        <w:rPr>
          <w:rFonts w:eastAsia="Times New Roman"/>
          <w:b/>
          <w:sz w:val="24"/>
          <w:szCs w:val="24"/>
        </w:rPr>
        <w:lastRenderedPageBreak/>
        <w:t>Figure Legends</w:t>
      </w:r>
    </w:p>
    <w:p w14:paraId="4F10F574" w14:textId="77777777" w:rsidR="0005494A" w:rsidRPr="0005494A" w:rsidRDefault="0005494A" w:rsidP="0005494A">
      <w:pPr>
        <w:spacing w:before="120" w:line="480" w:lineRule="auto"/>
        <w:rPr>
          <w:rFonts w:eastAsia="Times New Roman"/>
          <w:b/>
          <w:sz w:val="24"/>
          <w:szCs w:val="24"/>
        </w:rPr>
      </w:pPr>
    </w:p>
    <w:p w14:paraId="0591BE3E" w14:textId="77777777" w:rsidR="0015490E" w:rsidRPr="004C699D" w:rsidRDefault="0015490E" w:rsidP="004C699D">
      <w:pPr>
        <w:pStyle w:val="Paragraph"/>
        <w:spacing w:before="0" w:line="480" w:lineRule="auto"/>
        <w:ind w:firstLine="0"/>
        <w:jc w:val="both"/>
        <w:rPr>
          <w:lang w:val="en-GB"/>
        </w:rPr>
      </w:pPr>
      <w:r w:rsidRPr="004C699D">
        <w:rPr>
          <w:b/>
          <w:lang w:val="en-GB"/>
        </w:rPr>
        <w:t xml:space="preserve">Figure 1. Intranasal </w:t>
      </w:r>
      <w:proofErr w:type="spellStart"/>
      <w:r w:rsidRPr="004C699D">
        <w:rPr>
          <w:b/>
          <w:lang w:val="en-GB"/>
        </w:rPr>
        <w:t>SynGEM</w:t>
      </w:r>
      <w:proofErr w:type="spellEnd"/>
      <w:r w:rsidRPr="004C699D">
        <w:rPr>
          <w:b/>
          <w:lang w:val="en-GB"/>
        </w:rPr>
        <w:t xml:space="preserve"> induces significant increases in F-specific serum IgG.</w:t>
      </w:r>
      <w:r w:rsidRPr="004C699D">
        <w:rPr>
          <w:lang w:val="en-GB"/>
        </w:rPr>
        <w:t xml:space="preserve"> </w:t>
      </w:r>
    </w:p>
    <w:p w14:paraId="433C1096" w14:textId="77777777" w:rsidR="0015490E" w:rsidRPr="004C699D" w:rsidRDefault="0015490E" w:rsidP="004C699D">
      <w:pPr>
        <w:pStyle w:val="Paragraph"/>
        <w:spacing w:before="0" w:line="480" w:lineRule="auto"/>
        <w:ind w:firstLine="0"/>
        <w:jc w:val="both"/>
        <w:rPr>
          <w:lang w:val="en-GB"/>
        </w:rPr>
      </w:pPr>
      <w:r w:rsidRPr="004C699D">
        <w:rPr>
          <w:lang w:val="en-GB"/>
        </w:rPr>
        <w:t xml:space="preserve">Volunteers were given </w:t>
      </w:r>
      <w:proofErr w:type="spellStart"/>
      <w:r w:rsidRPr="004C699D">
        <w:rPr>
          <w:lang w:val="en-GB"/>
        </w:rPr>
        <w:t>SynGEM</w:t>
      </w:r>
      <w:proofErr w:type="spellEnd"/>
      <w:r w:rsidRPr="004C699D">
        <w:rPr>
          <w:lang w:val="en-GB"/>
        </w:rPr>
        <w:t xml:space="preserve"> or placebo and serum IgG was measured by ELISA using </w:t>
      </w:r>
      <w:proofErr w:type="spellStart"/>
      <w:r w:rsidRPr="004C699D">
        <w:rPr>
          <w:lang w:val="en-GB"/>
        </w:rPr>
        <w:t>unstabilized</w:t>
      </w:r>
      <w:proofErr w:type="spellEnd"/>
      <w:r w:rsidRPr="004C699D">
        <w:rPr>
          <w:lang w:val="en-GB"/>
        </w:rPr>
        <w:t xml:space="preserve"> F protein as coating antigen at time-points up to 180 days post-“prime”. </w:t>
      </w:r>
      <w:proofErr w:type="spellStart"/>
      <w:r w:rsidRPr="004C699D">
        <w:rPr>
          <w:lang w:val="en-GB"/>
        </w:rPr>
        <w:t>Titers</w:t>
      </w:r>
      <w:proofErr w:type="spellEnd"/>
      <w:r w:rsidRPr="004C699D">
        <w:rPr>
          <w:lang w:val="en-GB"/>
        </w:rPr>
        <w:t xml:space="preserve"> and fold-changes compared to baseline are shown following (A and B) placebo, (C and D) low-dose and (E and F) high-dose. Geometric means are shown in red. Wilcoxon ranked sign test was used to test statistically significant rises compared to pre-vaccination; *** p&lt;0·001; **** p&lt;0·0001. Vaccinations are indicated by red triangles.</w:t>
      </w:r>
    </w:p>
    <w:p w14:paraId="22B79969" w14:textId="77777777" w:rsidR="0015490E" w:rsidRPr="0005494A" w:rsidRDefault="0015490E" w:rsidP="0005494A">
      <w:pPr>
        <w:spacing w:before="120" w:line="480" w:lineRule="auto"/>
        <w:rPr>
          <w:rFonts w:eastAsia="Times New Roman"/>
          <w:b/>
          <w:sz w:val="24"/>
          <w:szCs w:val="24"/>
        </w:rPr>
      </w:pPr>
    </w:p>
    <w:p w14:paraId="5CD9D665" w14:textId="77777777" w:rsidR="0015490E" w:rsidRPr="004C699D" w:rsidRDefault="0015490E" w:rsidP="004C699D">
      <w:pPr>
        <w:pStyle w:val="Paragraph"/>
        <w:spacing w:before="0" w:line="480" w:lineRule="auto"/>
        <w:ind w:firstLine="0"/>
        <w:jc w:val="both"/>
        <w:rPr>
          <w:lang w:val="en-GB"/>
        </w:rPr>
      </w:pPr>
      <w:r w:rsidRPr="004C699D">
        <w:rPr>
          <w:b/>
          <w:lang w:val="en-GB"/>
        </w:rPr>
        <w:t xml:space="preserve">Figure 2. </w:t>
      </w:r>
      <w:proofErr w:type="spellStart"/>
      <w:r w:rsidRPr="004C699D">
        <w:rPr>
          <w:b/>
          <w:lang w:val="en-GB"/>
        </w:rPr>
        <w:t>SynGEM</w:t>
      </w:r>
      <w:proofErr w:type="spellEnd"/>
      <w:r w:rsidRPr="004C699D">
        <w:rPr>
          <w:b/>
          <w:lang w:val="en-GB"/>
        </w:rPr>
        <w:t xml:space="preserve"> induces palivizumab-like but not pre-fusion F-specific antibodies. </w:t>
      </w:r>
    </w:p>
    <w:p w14:paraId="2C02D3DC" w14:textId="77777777" w:rsidR="0015490E" w:rsidRPr="004C699D" w:rsidRDefault="0015490E" w:rsidP="004C699D">
      <w:pPr>
        <w:pStyle w:val="Paragraph"/>
        <w:spacing w:before="0" w:line="480" w:lineRule="auto"/>
        <w:ind w:firstLine="0"/>
        <w:jc w:val="both"/>
        <w:rPr>
          <w:lang w:val="en-GB"/>
        </w:rPr>
      </w:pPr>
      <w:r w:rsidRPr="004C699D">
        <w:rPr>
          <w:lang w:val="en-GB"/>
        </w:rPr>
        <w:t xml:space="preserve">Participants were given </w:t>
      </w:r>
      <w:proofErr w:type="spellStart"/>
      <w:r w:rsidRPr="004C699D">
        <w:rPr>
          <w:lang w:val="en-GB"/>
        </w:rPr>
        <w:t>SynGEM</w:t>
      </w:r>
      <w:proofErr w:type="spellEnd"/>
      <w:r w:rsidRPr="004C699D">
        <w:rPr>
          <w:lang w:val="en-GB"/>
        </w:rPr>
        <w:t xml:space="preserve"> or placebo. (A, D and G) Serum neutralizing antibody </w:t>
      </w:r>
      <w:proofErr w:type="spellStart"/>
      <w:r w:rsidRPr="004C699D">
        <w:rPr>
          <w:lang w:val="en-GB"/>
        </w:rPr>
        <w:t>titers</w:t>
      </w:r>
      <w:proofErr w:type="spellEnd"/>
      <w:r w:rsidRPr="004C699D">
        <w:rPr>
          <w:lang w:val="en-GB"/>
        </w:rPr>
        <w:t xml:space="preserve"> were measured by classical plaque-reduction neutralization assay up to 28 days post-boost. Palivizumab-like (B, E and H) and D25-like (C, F and I) antibodies were measured by competition ELISA assays up to 28 days post-boost. Geometric means are shown in red. Wilcoxon ranked sign test was used to test statistically significant rises compared to pre-vaccination; ** p&lt;0·01; **** p&lt;0·0001. Vaccinations are indicated by red triangles.</w:t>
      </w:r>
    </w:p>
    <w:p w14:paraId="72552FF1" w14:textId="77777777" w:rsidR="0015490E" w:rsidRPr="0005494A" w:rsidRDefault="0015490E" w:rsidP="0005494A">
      <w:pPr>
        <w:spacing w:before="120" w:line="480" w:lineRule="auto"/>
        <w:rPr>
          <w:rFonts w:eastAsia="Times New Roman"/>
          <w:b/>
          <w:sz w:val="24"/>
          <w:szCs w:val="24"/>
        </w:rPr>
      </w:pPr>
    </w:p>
    <w:p w14:paraId="3CF7AA73" w14:textId="77777777" w:rsidR="0015490E" w:rsidRPr="004C699D" w:rsidRDefault="0015490E" w:rsidP="004C699D">
      <w:pPr>
        <w:pStyle w:val="Paragraph"/>
        <w:spacing w:before="0" w:line="480" w:lineRule="auto"/>
        <w:ind w:firstLine="0"/>
        <w:jc w:val="both"/>
        <w:rPr>
          <w:lang w:val="en-GB"/>
        </w:rPr>
      </w:pPr>
      <w:r w:rsidRPr="004C699D">
        <w:rPr>
          <w:b/>
          <w:lang w:val="en-GB"/>
        </w:rPr>
        <w:t xml:space="preserve">Figure 3. Intranasal </w:t>
      </w:r>
      <w:proofErr w:type="spellStart"/>
      <w:r w:rsidRPr="004C699D">
        <w:rPr>
          <w:b/>
          <w:lang w:val="en-GB"/>
        </w:rPr>
        <w:t>SynGEM</w:t>
      </w:r>
      <w:proofErr w:type="spellEnd"/>
      <w:r w:rsidRPr="004C699D">
        <w:rPr>
          <w:b/>
          <w:lang w:val="en-GB"/>
        </w:rPr>
        <w:t xml:space="preserve"> protein induces heterogeneous mucosal IgA responses.</w:t>
      </w:r>
      <w:r w:rsidRPr="004C699D">
        <w:rPr>
          <w:lang w:val="en-GB"/>
        </w:rPr>
        <w:t xml:space="preserve"> </w:t>
      </w:r>
    </w:p>
    <w:p w14:paraId="0452DB4B" w14:textId="77777777" w:rsidR="0015490E" w:rsidRPr="004C699D" w:rsidRDefault="0015490E" w:rsidP="004C699D">
      <w:pPr>
        <w:pStyle w:val="Paragraph"/>
        <w:spacing w:before="0" w:line="480" w:lineRule="auto"/>
        <w:ind w:firstLine="0"/>
        <w:jc w:val="both"/>
        <w:rPr>
          <w:lang w:val="en-GB"/>
        </w:rPr>
      </w:pPr>
      <w:r w:rsidRPr="004C699D">
        <w:rPr>
          <w:lang w:val="en-GB"/>
        </w:rPr>
        <w:t xml:space="preserve">Subjects were given </w:t>
      </w:r>
      <w:proofErr w:type="spellStart"/>
      <w:r w:rsidRPr="004C699D">
        <w:rPr>
          <w:lang w:val="en-GB"/>
        </w:rPr>
        <w:t>SynGEM</w:t>
      </w:r>
      <w:proofErr w:type="spellEnd"/>
      <w:r w:rsidRPr="004C699D">
        <w:rPr>
          <w:lang w:val="en-GB"/>
        </w:rPr>
        <w:t xml:space="preserve"> or placebo and nasal wash IgA was measured by ELISA using </w:t>
      </w:r>
      <w:proofErr w:type="spellStart"/>
      <w:r w:rsidRPr="004C699D">
        <w:rPr>
          <w:lang w:val="en-GB"/>
        </w:rPr>
        <w:t>unstabilized</w:t>
      </w:r>
      <w:proofErr w:type="spellEnd"/>
      <w:r w:rsidRPr="004C699D">
        <w:rPr>
          <w:lang w:val="en-GB"/>
        </w:rPr>
        <w:t xml:space="preserve"> F protein as coating antigen at time-points up to 180 days post-“prime”. Individuals in the placebo (A), low-dose (B) and high-dose (C) groups were clustered if they displayed a &gt;2-</w:t>
      </w:r>
      <w:r w:rsidRPr="004C699D">
        <w:rPr>
          <w:lang w:val="en-GB"/>
        </w:rPr>
        <w:lastRenderedPageBreak/>
        <w:t xml:space="preserve">fold rise in nasal IgA </w:t>
      </w:r>
      <w:proofErr w:type="spellStart"/>
      <w:r w:rsidRPr="004C699D">
        <w:rPr>
          <w:lang w:val="en-GB"/>
        </w:rPr>
        <w:t>titers</w:t>
      </w:r>
      <w:proofErr w:type="spellEnd"/>
      <w:r w:rsidRPr="004C699D">
        <w:rPr>
          <w:lang w:val="en-GB"/>
        </w:rPr>
        <w:t xml:space="preserve"> according to the time-point of maximal increase. ** p&lt;0·01. Vaccinations are indicated by red triangles.</w:t>
      </w:r>
    </w:p>
    <w:p w14:paraId="0386595F" w14:textId="77777777" w:rsidR="0015490E" w:rsidRPr="0005494A" w:rsidRDefault="0015490E" w:rsidP="0005494A">
      <w:pPr>
        <w:spacing w:before="120" w:line="480" w:lineRule="auto"/>
        <w:rPr>
          <w:rFonts w:eastAsia="Times New Roman"/>
          <w:b/>
          <w:sz w:val="24"/>
          <w:szCs w:val="24"/>
        </w:rPr>
      </w:pPr>
    </w:p>
    <w:p w14:paraId="5808488A" w14:textId="77777777" w:rsidR="0015490E" w:rsidRPr="004C699D" w:rsidRDefault="0015490E" w:rsidP="004C699D">
      <w:pPr>
        <w:pStyle w:val="Paragraph"/>
        <w:spacing w:line="480" w:lineRule="auto"/>
        <w:ind w:firstLine="0"/>
        <w:jc w:val="both"/>
        <w:rPr>
          <w:lang w:val="en-GB"/>
        </w:rPr>
      </w:pPr>
      <w:r w:rsidRPr="004C699D">
        <w:rPr>
          <w:b/>
          <w:lang w:val="en-GB"/>
        </w:rPr>
        <w:t xml:space="preserve">Figure 4. Intranasal </w:t>
      </w:r>
      <w:proofErr w:type="spellStart"/>
      <w:r w:rsidRPr="004C699D">
        <w:rPr>
          <w:b/>
          <w:lang w:val="en-GB"/>
        </w:rPr>
        <w:t>SynGEM</w:t>
      </w:r>
      <w:proofErr w:type="spellEnd"/>
      <w:r w:rsidRPr="004C699D">
        <w:rPr>
          <w:b/>
          <w:lang w:val="en-GB"/>
        </w:rPr>
        <w:t xml:space="preserve"> protein stimulates IgG+ and IgA+ antibody-secreting cells in peripheral blood from volunteers administered low or high doses of </w:t>
      </w:r>
      <w:proofErr w:type="spellStart"/>
      <w:r w:rsidRPr="004C699D">
        <w:rPr>
          <w:b/>
          <w:lang w:val="en-GB"/>
        </w:rPr>
        <w:t>SynGEM</w:t>
      </w:r>
      <w:proofErr w:type="spellEnd"/>
      <w:r w:rsidRPr="004C699D">
        <w:rPr>
          <w:b/>
          <w:lang w:val="en-GB"/>
        </w:rPr>
        <w:t>.</w:t>
      </w:r>
      <w:r w:rsidRPr="004C699D">
        <w:rPr>
          <w:lang w:val="en-GB"/>
        </w:rPr>
        <w:t xml:space="preserve"> (A-F) Antibody-secreting cells from peripheral blood at time-points up to 28 days post-boost were enumerated by B cell ELISpot. Median values are shown in red. * p &lt;0·05; *** p&lt;0·001; **** p&lt;0·0001.</w:t>
      </w:r>
    </w:p>
    <w:p w14:paraId="50D3B78A" w14:textId="77777777" w:rsidR="0015490E" w:rsidRPr="004C699D" w:rsidRDefault="0015490E" w:rsidP="004C699D">
      <w:pPr>
        <w:pStyle w:val="Paragraph"/>
        <w:spacing w:line="480" w:lineRule="auto"/>
        <w:ind w:firstLine="0"/>
        <w:jc w:val="both"/>
        <w:rPr>
          <w:lang w:val="en-GB"/>
        </w:rPr>
      </w:pPr>
    </w:p>
    <w:p w14:paraId="3E835356" w14:textId="77777777" w:rsidR="0015490E" w:rsidRPr="004C699D" w:rsidRDefault="0015490E" w:rsidP="004C699D">
      <w:pPr>
        <w:spacing w:before="120" w:line="480" w:lineRule="auto"/>
        <w:jc w:val="both"/>
        <w:rPr>
          <w:rFonts w:eastAsia="Times New Roman"/>
          <w:sz w:val="24"/>
          <w:szCs w:val="24"/>
        </w:rPr>
      </w:pPr>
      <w:r w:rsidRPr="004C699D">
        <w:rPr>
          <w:rFonts w:eastAsia="Times New Roman"/>
          <w:b/>
          <w:sz w:val="24"/>
          <w:szCs w:val="24"/>
        </w:rPr>
        <w:t xml:space="preserve">Figure 5. </w:t>
      </w:r>
      <w:proofErr w:type="spellStart"/>
      <w:r w:rsidRPr="004C699D">
        <w:rPr>
          <w:rFonts w:eastAsia="Times New Roman"/>
          <w:b/>
          <w:sz w:val="24"/>
          <w:szCs w:val="24"/>
        </w:rPr>
        <w:t>SynGEM</w:t>
      </w:r>
      <w:proofErr w:type="spellEnd"/>
      <w:r w:rsidRPr="004C699D">
        <w:rPr>
          <w:rFonts w:eastAsia="Times New Roman"/>
          <w:b/>
          <w:sz w:val="24"/>
          <w:szCs w:val="24"/>
        </w:rPr>
        <w:t xml:space="preserve"> (BLP-F) stimulation of </w:t>
      </w:r>
      <w:proofErr w:type="spellStart"/>
      <w:r w:rsidRPr="004C699D">
        <w:rPr>
          <w:rFonts w:eastAsia="Times New Roman"/>
          <w:b/>
          <w:sz w:val="24"/>
          <w:szCs w:val="24"/>
        </w:rPr>
        <w:t>adenotonsillar</w:t>
      </w:r>
      <w:proofErr w:type="spellEnd"/>
      <w:r w:rsidRPr="004C699D">
        <w:rPr>
          <w:rFonts w:eastAsia="Times New Roman"/>
          <w:b/>
          <w:sz w:val="24"/>
          <w:szCs w:val="24"/>
        </w:rPr>
        <w:t xml:space="preserve"> cells provokes dose-dependent antibody and T cell responses.</w:t>
      </w:r>
      <w:r w:rsidRPr="004C699D">
        <w:rPr>
          <w:rFonts w:eastAsia="Times New Roman"/>
          <w:sz w:val="24"/>
          <w:szCs w:val="24"/>
        </w:rPr>
        <w:t xml:space="preserve"> Tonsil cells from (A-C) adult and (E-F) pediatric donors were cultured with </w:t>
      </w:r>
      <w:proofErr w:type="spellStart"/>
      <w:r w:rsidRPr="004C699D">
        <w:rPr>
          <w:rFonts w:eastAsia="Times New Roman"/>
          <w:sz w:val="24"/>
          <w:szCs w:val="24"/>
        </w:rPr>
        <w:t>SynGEM</w:t>
      </w:r>
      <w:proofErr w:type="spellEnd"/>
      <w:r w:rsidRPr="004C699D">
        <w:rPr>
          <w:rFonts w:eastAsia="Times New Roman"/>
          <w:sz w:val="24"/>
          <w:szCs w:val="24"/>
        </w:rPr>
        <w:t xml:space="preserve"> (BLP-F) containing 5 µg/mL and 1 µg/mL F-protein, BLP alone (25 µg/mL), F protein alone (1 µg/mL) and medium only. F-specific IgG, IgA and IgM in resulting supernatant were measured by ELISA. (G-I) Cytokines were measured in culture supernatant by </w:t>
      </w:r>
      <w:r w:rsidRPr="004C699D">
        <w:rPr>
          <w:rFonts w:eastAsia="Times New Roman" w:cs="Calibri"/>
          <w:sz w:val="24"/>
          <w:szCs w:val="24"/>
        </w:rPr>
        <w:t>cytometric bead array</w:t>
      </w:r>
      <w:r w:rsidRPr="004C699D">
        <w:rPr>
          <w:rFonts w:eastAsia="Times New Roman"/>
          <w:sz w:val="24"/>
          <w:szCs w:val="24"/>
        </w:rPr>
        <w:t xml:space="preserve">. Tonsil cells were cultured with </w:t>
      </w:r>
      <w:proofErr w:type="spellStart"/>
      <w:r w:rsidRPr="004C699D">
        <w:rPr>
          <w:rFonts w:eastAsia="Times New Roman"/>
          <w:sz w:val="24"/>
          <w:szCs w:val="24"/>
        </w:rPr>
        <w:t>SynGEM</w:t>
      </w:r>
      <w:proofErr w:type="spellEnd"/>
      <w:r w:rsidRPr="004C699D">
        <w:rPr>
          <w:rFonts w:eastAsia="Times New Roman"/>
          <w:sz w:val="24"/>
          <w:szCs w:val="24"/>
        </w:rPr>
        <w:t xml:space="preserve"> (BLP-F), BLP alone (25 µg/mL) or F-Protein alone (1 µg/mL). (J) CD4+ and (K) CD8+ T cell proliferation was then measured by analysis of CFSE dilution and expressed as a percentage of dividing cells in the CD3+CD4+ or CD3+CD8+ populations. Mann-Whitney U test, and Wilcoxon Signed Rank Test were used to test significant differences.</w:t>
      </w:r>
    </w:p>
    <w:p w14:paraId="79B373BB" w14:textId="58A55478" w:rsidR="0005494A" w:rsidRDefault="0005494A">
      <w:pPr>
        <w:rPr>
          <w:rFonts w:eastAsia="Times New Roman"/>
          <w:b/>
          <w:sz w:val="24"/>
          <w:szCs w:val="24"/>
        </w:rPr>
      </w:pPr>
      <w:r>
        <w:rPr>
          <w:rFonts w:eastAsia="Times New Roman"/>
          <w:b/>
          <w:sz w:val="24"/>
          <w:szCs w:val="24"/>
        </w:rPr>
        <w:br w:type="page"/>
      </w:r>
    </w:p>
    <w:p w14:paraId="5F17D99B" w14:textId="7F41FAE5" w:rsidR="0005494A" w:rsidRDefault="0005494A" w:rsidP="004C699D">
      <w:pPr>
        <w:spacing w:line="480" w:lineRule="auto"/>
        <w:rPr>
          <w:rFonts w:eastAsia="Times New Roman"/>
          <w:b/>
          <w:sz w:val="24"/>
          <w:szCs w:val="24"/>
        </w:rPr>
      </w:pPr>
      <w:r>
        <w:rPr>
          <w:rFonts w:eastAsia="Times New Roman"/>
          <w:b/>
          <w:sz w:val="24"/>
          <w:szCs w:val="24"/>
        </w:rPr>
        <w:lastRenderedPageBreak/>
        <w:t>Tables</w:t>
      </w:r>
    </w:p>
    <w:tbl>
      <w:tblPr>
        <w:tblW w:w="9214" w:type="dxa"/>
        <w:tblLook w:val="04A0" w:firstRow="1" w:lastRow="0" w:firstColumn="1" w:lastColumn="0" w:noHBand="0" w:noVBand="1"/>
      </w:tblPr>
      <w:tblGrid>
        <w:gridCol w:w="449"/>
        <w:gridCol w:w="541"/>
        <w:gridCol w:w="3435"/>
        <w:gridCol w:w="1538"/>
        <w:gridCol w:w="1616"/>
        <w:gridCol w:w="1641"/>
      </w:tblGrid>
      <w:tr w:rsidR="004C699D" w:rsidRPr="00D8663D" w14:paraId="0908BCF9" w14:textId="77777777" w:rsidTr="00743C9C">
        <w:trPr>
          <w:cantSplit/>
          <w:trHeight w:val="320"/>
        </w:trPr>
        <w:tc>
          <w:tcPr>
            <w:tcW w:w="990" w:type="dxa"/>
            <w:gridSpan w:val="2"/>
            <w:tcBorders>
              <w:top w:val="single" w:sz="4" w:space="0" w:color="auto"/>
            </w:tcBorders>
            <w:shd w:val="clear" w:color="auto" w:fill="auto"/>
            <w:noWrap/>
            <w:vAlign w:val="bottom"/>
            <w:hideMark/>
          </w:tcPr>
          <w:p w14:paraId="08F51315" w14:textId="77777777" w:rsidR="004C699D" w:rsidRPr="004C699D" w:rsidRDefault="004C699D" w:rsidP="004B6F53">
            <w:pPr>
              <w:rPr>
                <w:rFonts w:eastAsia="Times New Roman"/>
                <w:b/>
                <w:color w:val="000000"/>
                <w:sz w:val="24"/>
                <w:szCs w:val="24"/>
                <w:lang w:val="en-GB" w:eastAsia="en-GB"/>
              </w:rPr>
            </w:pPr>
            <w:r w:rsidRPr="004C699D">
              <w:rPr>
                <w:rFonts w:eastAsia="Times New Roman"/>
                <w:b/>
                <w:color w:val="000000"/>
                <w:sz w:val="24"/>
                <w:szCs w:val="24"/>
                <w:lang w:val="en-GB" w:eastAsia="en-GB"/>
              </w:rPr>
              <w:t>Group</w:t>
            </w:r>
          </w:p>
        </w:tc>
        <w:tc>
          <w:tcPr>
            <w:tcW w:w="3435" w:type="dxa"/>
            <w:tcBorders>
              <w:top w:val="single" w:sz="4" w:space="0" w:color="auto"/>
            </w:tcBorders>
            <w:shd w:val="clear" w:color="auto" w:fill="auto"/>
            <w:noWrap/>
            <w:vAlign w:val="bottom"/>
            <w:hideMark/>
          </w:tcPr>
          <w:p w14:paraId="3CE9BEC2" w14:textId="77777777" w:rsidR="004C699D" w:rsidRPr="004C699D" w:rsidRDefault="004C699D" w:rsidP="004B6F53">
            <w:pPr>
              <w:rPr>
                <w:rFonts w:eastAsia="Times New Roman"/>
                <w:b/>
                <w:color w:val="000000"/>
                <w:sz w:val="24"/>
                <w:szCs w:val="24"/>
                <w:lang w:val="en-GB" w:eastAsia="en-GB"/>
              </w:rPr>
            </w:pPr>
            <w:r w:rsidRPr="004C699D">
              <w:rPr>
                <w:rFonts w:eastAsia="Times New Roman"/>
                <w:b/>
                <w:color w:val="000000"/>
                <w:sz w:val="24"/>
                <w:szCs w:val="24"/>
                <w:lang w:val="en-GB" w:eastAsia="en-GB"/>
              </w:rPr>
              <w:t> </w:t>
            </w:r>
          </w:p>
        </w:tc>
        <w:tc>
          <w:tcPr>
            <w:tcW w:w="1538" w:type="dxa"/>
            <w:tcBorders>
              <w:top w:val="single" w:sz="4" w:space="0" w:color="auto"/>
            </w:tcBorders>
            <w:shd w:val="clear" w:color="auto" w:fill="auto"/>
            <w:noWrap/>
            <w:vAlign w:val="bottom"/>
            <w:hideMark/>
          </w:tcPr>
          <w:p w14:paraId="6E47DFCE" w14:textId="77777777" w:rsidR="004C699D" w:rsidRPr="004C699D" w:rsidRDefault="004C699D" w:rsidP="004B6F53">
            <w:pPr>
              <w:jc w:val="center"/>
              <w:rPr>
                <w:rFonts w:eastAsia="Times New Roman"/>
                <w:b/>
                <w:color w:val="000000"/>
                <w:sz w:val="24"/>
                <w:szCs w:val="24"/>
                <w:lang w:val="en-GB" w:eastAsia="en-GB"/>
              </w:rPr>
            </w:pPr>
            <w:r w:rsidRPr="004C699D">
              <w:rPr>
                <w:rFonts w:eastAsia="Times New Roman"/>
                <w:b/>
                <w:color w:val="000000"/>
                <w:sz w:val="24"/>
                <w:szCs w:val="24"/>
                <w:lang w:val="en-GB" w:eastAsia="en-GB"/>
              </w:rPr>
              <w:t>Low-dose</w:t>
            </w:r>
          </w:p>
        </w:tc>
        <w:tc>
          <w:tcPr>
            <w:tcW w:w="1610" w:type="dxa"/>
            <w:tcBorders>
              <w:top w:val="single" w:sz="4" w:space="0" w:color="auto"/>
            </w:tcBorders>
            <w:shd w:val="clear" w:color="auto" w:fill="auto"/>
            <w:noWrap/>
            <w:vAlign w:val="bottom"/>
            <w:hideMark/>
          </w:tcPr>
          <w:p w14:paraId="5661DF0A" w14:textId="77777777" w:rsidR="004C699D" w:rsidRPr="004C699D" w:rsidRDefault="004C699D" w:rsidP="004B6F53">
            <w:pPr>
              <w:jc w:val="center"/>
              <w:rPr>
                <w:rFonts w:eastAsia="Times New Roman"/>
                <w:b/>
                <w:color w:val="000000"/>
                <w:sz w:val="24"/>
                <w:szCs w:val="24"/>
                <w:lang w:val="en-GB" w:eastAsia="en-GB"/>
              </w:rPr>
            </w:pPr>
            <w:r w:rsidRPr="004C699D">
              <w:rPr>
                <w:rFonts w:eastAsia="Times New Roman"/>
                <w:b/>
                <w:color w:val="000000"/>
                <w:sz w:val="24"/>
                <w:szCs w:val="24"/>
                <w:lang w:val="en-GB" w:eastAsia="en-GB"/>
              </w:rPr>
              <w:t>High-dose</w:t>
            </w:r>
          </w:p>
        </w:tc>
        <w:tc>
          <w:tcPr>
            <w:tcW w:w="1641" w:type="dxa"/>
            <w:tcBorders>
              <w:top w:val="single" w:sz="4" w:space="0" w:color="auto"/>
            </w:tcBorders>
            <w:shd w:val="clear" w:color="auto" w:fill="auto"/>
            <w:noWrap/>
            <w:vAlign w:val="bottom"/>
            <w:hideMark/>
          </w:tcPr>
          <w:p w14:paraId="03B6708E" w14:textId="77777777" w:rsidR="004C699D" w:rsidRPr="004C699D" w:rsidRDefault="004C699D" w:rsidP="004B6F53">
            <w:pPr>
              <w:jc w:val="center"/>
              <w:rPr>
                <w:rFonts w:eastAsia="Times New Roman"/>
                <w:b/>
                <w:color w:val="000000"/>
                <w:sz w:val="24"/>
                <w:szCs w:val="24"/>
                <w:lang w:val="en-GB" w:eastAsia="en-GB"/>
              </w:rPr>
            </w:pPr>
            <w:r w:rsidRPr="004C699D">
              <w:rPr>
                <w:rFonts w:eastAsia="Times New Roman"/>
                <w:b/>
                <w:color w:val="000000"/>
                <w:sz w:val="24"/>
                <w:szCs w:val="24"/>
                <w:lang w:val="en-GB" w:eastAsia="en-GB"/>
              </w:rPr>
              <w:t>Placebo</w:t>
            </w:r>
          </w:p>
        </w:tc>
      </w:tr>
      <w:tr w:rsidR="004C699D" w:rsidRPr="00D8663D" w14:paraId="70129656" w14:textId="77777777" w:rsidTr="00743C9C">
        <w:trPr>
          <w:cantSplit/>
          <w:trHeight w:val="320"/>
        </w:trPr>
        <w:tc>
          <w:tcPr>
            <w:tcW w:w="449" w:type="dxa"/>
            <w:shd w:val="clear" w:color="auto" w:fill="auto"/>
            <w:noWrap/>
            <w:vAlign w:val="bottom"/>
            <w:hideMark/>
          </w:tcPr>
          <w:p w14:paraId="2F465794" w14:textId="77777777" w:rsidR="004C699D" w:rsidRPr="004C699D" w:rsidRDefault="004C699D" w:rsidP="004B6F53">
            <w:pPr>
              <w:rPr>
                <w:rFonts w:eastAsia="Times New Roman"/>
                <w:b/>
                <w:color w:val="000000"/>
                <w:sz w:val="24"/>
                <w:szCs w:val="24"/>
                <w:lang w:val="en-GB" w:eastAsia="en-GB"/>
              </w:rPr>
            </w:pPr>
            <w:r w:rsidRPr="004C699D">
              <w:rPr>
                <w:rFonts w:eastAsia="Times New Roman"/>
                <w:b/>
                <w:color w:val="000000"/>
                <w:sz w:val="24"/>
                <w:szCs w:val="24"/>
                <w:lang w:val="en-GB" w:eastAsia="en-GB"/>
              </w:rPr>
              <w:t> </w:t>
            </w:r>
          </w:p>
        </w:tc>
        <w:tc>
          <w:tcPr>
            <w:tcW w:w="541" w:type="dxa"/>
            <w:shd w:val="clear" w:color="auto" w:fill="auto"/>
            <w:noWrap/>
            <w:vAlign w:val="bottom"/>
            <w:hideMark/>
          </w:tcPr>
          <w:p w14:paraId="389A884E" w14:textId="77777777" w:rsidR="004C699D" w:rsidRPr="004C699D" w:rsidRDefault="004C699D" w:rsidP="004B6F53">
            <w:pPr>
              <w:rPr>
                <w:rFonts w:eastAsia="Times New Roman"/>
                <w:b/>
                <w:color w:val="000000"/>
                <w:sz w:val="24"/>
                <w:szCs w:val="24"/>
                <w:lang w:val="en-GB" w:eastAsia="en-GB"/>
              </w:rPr>
            </w:pPr>
            <w:r w:rsidRPr="004C699D">
              <w:rPr>
                <w:rFonts w:eastAsia="Times New Roman"/>
                <w:b/>
                <w:color w:val="000000"/>
                <w:sz w:val="24"/>
                <w:szCs w:val="24"/>
                <w:lang w:val="en-GB" w:eastAsia="en-GB"/>
              </w:rPr>
              <w:t> </w:t>
            </w:r>
          </w:p>
        </w:tc>
        <w:tc>
          <w:tcPr>
            <w:tcW w:w="3435" w:type="dxa"/>
            <w:shd w:val="clear" w:color="auto" w:fill="auto"/>
            <w:noWrap/>
            <w:vAlign w:val="bottom"/>
            <w:hideMark/>
          </w:tcPr>
          <w:p w14:paraId="1B6BF360" w14:textId="77777777" w:rsidR="004C699D" w:rsidRPr="004C699D" w:rsidRDefault="004C699D" w:rsidP="004B6F53">
            <w:pPr>
              <w:rPr>
                <w:rFonts w:eastAsia="Times New Roman"/>
                <w:b/>
                <w:color w:val="000000"/>
                <w:sz w:val="24"/>
                <w:szCs w:val="24"/>
                <w:lang w:val="en-GB" w:eastAsia="en-GB"/>
              </w:rPr>
            </w:pPr>
            <w:r w:rsidRPr="004C699D">
              <w:rPr>
                <w:rFonts w:eastAsia="Times New Roman"/>
                <w:b/>
                <w:color w:val="000000"/>
                <w:sz w:val="24"/>
                <w:szCs w:val="24"/>
                <w:lang w:val="en-GB" w:eastAsia="en-GB"/>
              </w:rPr>
              <w:t> </w:t>
            </w:r>
          </w:p>
        </w:tc>
        <w:tc>
          <w:tcPr>
            <w:tcW w:w="1538" w:type="dxa"/>
            <w:shd w:val="clear" w:color="auto" w:fill="auto"/>
            <w:noWrap/>
            <w:vAlign w:val="bottom"/>
            <w:hideMark/>
          </w:tcPr>
          <w:p w14:paraId="176477F4" w14:textId="77777777" w:rsidR="004C699D" w:rsidRPr="004C699D" w:rsidRDefault="004C699D" w:rsidP="004B6F53">
            <w:pPr>
              <w:jc w:val="center"/>
              <w:rPr>
                <w:rFonts w:eastAsia="Times New Roman"/>
                <w:b/>
                <w:color w:val="000000"/>
                <w:sz w:val="24"/>
                <w:szCs w:val="24"/>
                <w:lang w:val="en-GB" w:eastAsia="en-GB"/>
              </w:rPr>
            </w:pPr>
            <w:r w:rsidRPr="004C699D">
              <w:rPr>
                <w:rFonts w:eastAsia="Times New Roman"/>
                <w:b/>
                <w:color w:val="000000"/>
                <w:sz w:val="24"/>
                <w:szCs w:val="24"/>
                <w:lang w:val="en-GB" w:eastAsia="en-GB"/>
              </w:rPr>
              <w:t>(n=18)</w:t>
            </w:r>
          </w:p>
        </w:tc>
        <w:tc>
          <w:tcPr>
            <w:tcW w:w="1610" w:type="dxa"/>
            <w:shd w:val="clear" w:color="auto" w:fill="auto"/>
            <w:noWrap/>
            <w:vAlign w:val="bottom"/>
            <w:hideMark/>
          </w:tcPr>
          <w:p w14:paraId="045A8976" w14:textId="77777777" w:rsidR="004C699D" w:rsidRPr="004C699D" w:rsidRDefault="004C699D" w:rsidP="004B6F53">
            <w:pPr>
              <w:jc w:val="center"/>
              <w:rPr>
                <w:rFonts w:eastAsia="Times New Roman"/>
                <w:b/>
                <w:color w:val="000000"/>
                <w:sz w:val="24"/>
                <w:szCs w:val="24"/>
                <w:lang w:val="en-GB" w:eastAsia="en-GB"/>
              </w:rPr>
            </w:pPr>
            <w:r w:rsidRPr="004C699D">
              <w:rPr>
                <w:rFonts w:eastAsia="Times New Roman"/>
                <w:b/>
                <w:color w:val="000000"/>
                <w:sz w:val="24"/>
                <w:szCs w:val="24"/>
                <w:lang w:val="en-GB" w:eastAsia="en-GB"/>
              </w:rPr>
              <w:t>(n=18)</w:t>
            </w:r>
          </w:p>
        </w:tc>
        <w:tc>
          <w:tcPr>
            <w:tcW w:w="1641" w:type="dxa"/>
            <w:shd w:val="clear" w:color="auto" w:fill="auto"/>
            <w:noWrap/>
            <w:vAlign w:val="bottom"/>
            <w:hideMark/>
          </w:tcPr>
          <w:p w14:paraId="205821BA" w14:textId="77777777" w:rsidR="004C699D" w:rsidRPr="004C699D" w:rsidRDefault="004C699D" w:rsidP="004B6F53">
            <w:pPr>
              <w:jc w:val="center"/>
              <w:rPr>
                <w:rFonts w:eastAsia="Times New Roman"/>
                <w:b/>
                <w:color w:val="000000"/>
                <w:sz w:val="24"/>
                <w:szCs w:val="24"/>
                <w:lang w:val="en-GB" w:eastAsia="en-GB"/>
              </w:rPr>
            </w:pPr>
            <w:r w:rsidRPr="004C699D">
              <w:rPr>
                <w:rFonts w:eastAsia="Times New Roman"/>
                <w:b/>
                <w:color w:val="000000"/>
                <w:sz w:val="24"/>
                <w:szCs w:val="24"/>
                <w:lang w:val="en-GB" w:eastAsia="en-GB"/>
              </w:rPr>
              <w:t>(n=12)</w:t>
            </w:r>
          </w:p>
        </w:tc>
      </w:tr>
      <w:tr w:rsidR="004C699D" w:rsidRPr="00D8663D" w14:paraId="7CA87466" w14:textId="77777777" w:rsidTr="00743C9C">
        <w:trPr>
          <w:cantSplit/>
          <w:trHeight w:val="320"/>
        </w:trPr>
        <w:tc>
          <w:tcPr>
            <w:tcW w:w="4425" w:type="dxa"/>
            <w:gridSpan w:val="3"/>
            <w:tcBorders>
              <w:top w:val="single" w:sz="4" w:space="0" w:color="auto"/>
            </w:tcBorders>
            <w:shd w:val="clear" w:color="auto" w:fill="auto"/>
            <w:noWrap/>
            <w:vAlign w:val="bottom"/>
            <w:hideMark/>
          </w:tcPr>
          <w:p w14:paraId="141E632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Characteristic</w:t>
            </w:r>
          </w:p>
        </w:tc>
        <w:tc>
          <w:tcPr>
            <w:tcW w:w="1538" w:type="dxa"/>
            <w:tcBorders>
              <w:top w:val="single" w:sz="4" w:space="0" w:color="auto"/>
            </w:tcBorders>
            <w:shd w:val="clear" w:color="auto" w:fill="auto"/>
            <w:noWrap/>
            <w:vAlign w:val="bottom"/>
            <w:hideMark/>
          </w:tcPr>
          <w:p w14:paraId="6CCF414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10" w:type="dxa"/>
            <w:tcBorders>
              <w:top w:val="single" w:sz="4" w:space="0" w:color="auto"/>
            </w:tcBorders>
            <w:shd w:val="clear" w:color="auto" w:fill="auto"/>
            <w:noWrap/>
            <w:vAlign w:val="bottom"/>
            <w:hideMark/>
          </w:tcPr>
          <w:p w14:paraId="66077C9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41" w:type="dxa"/>
            <w:tcBorders>
              <w:top w:val="single" w:sz="4" w:space="0" w:color="auto"/>
            </w:tcBorders>
            <w:shd w:val="clear" w:color="auto" w:fill="auto"/>
            <w:noWrap/>
            <w:vAlign w:val="bottom"/>
            <w:hideMark/>
          </w:tcPr>
          <w:p w14:paraId="48443B6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r>
      <w:tr w:rsidR="00743C9C" w:rsidRPr="00D8663D" w14:paraId="375D41E7" w14:textId="77777777" w:rsidTr="00743C9C">
        <w:trPr>
          <w:cantSplit/>
          <w:trHeight w:val="320"/>
        </w:trPr>
        <w:tc>
          <w:tcPr>
            <w:tcW w:w="449" w:type="dxa"/>
            <w:shd w:val="clear" w:color="auto" w:fill="auto"/>
            <w:noWrap/>
            <w:vAlign w:val="bottom"/>
            <w:hideMark/>
          </w:tcPr>
          <w:p w14:paraId="658668E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976" w:type="dxa"/>
            <w:gridSpan w:val="2"/>
            <w:shd w:val="clear" w:color="auto" w:fill="auto"/>
            <w:noWrap/>
            <w:vAlign w:val="bottom"/>
            <w:hideMark/>
          </w:tcPr>
          <w:p w14:paraId="7073963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Age (years)</w:t>
            </w:r>
          </w:p>
        </w:tc>
        <w:tc>
          <w:tcPr>
            <w:tcW w:w="1538" w:type="dxa"/>
            <w:shd w:val="clear" w:color="auto" w:fill="auto"/>
            <w:noWrap/>
            <w:vAlign w:val="bottom"/>
            <w:hideMark/>
          </w:tcPr>
          <w:p w14:paraId="1D56F1E9" w14:textId="77777777" w:rsidR="004C699D" w:rsidRPr="004C699D" w:rsidRDefault="004C699D" w:rsidP="004B6F53">
            <w:pPr>
              <w:jc w:val="cente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10" w:type="dxa"/>
            <w:shd w:val="clear" w:color="auto" w:fill="auto"/>
            <w:noWrap/>
            <w:vAlign w:val="bottom"/>
            <w:hideMark/>
          </w:tcPr>
          <w:p w14:paraId="2B8B2C05" w14:textId="77777777" w:rsidR="004C699D" w:rsidRPr="004C699D" w:rsidRDefault="004C699D" w:rsidP="004B6F53">
            <w:pPr>
              <w:jc w:val="cente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41" w:type="dxa"/>
            <w:shd w:val="clear" w:color="auto" w:fill="auto"/>
            <w:noWrap/>
            <w:vAlign w:val="bottom"/>
            <w:hideMark/>
          </w:tcPr>
          <w:p w14:paraId="15249462" w14:textId="77777777" w:rsidR="004C699D" w:rsidRPr="004C699D" w:rsidRDefault="004C699D" w:rsidP="004B6F53">
            <w:pPr>
              <w:jc w:val="center"/>
              <w:rPr>
                <w:rFonts w:eastAsia="Times New Roman"/>
                <w:color w:val="000000"/>
                <w:sz w:val="24"/>
                <w:szCs w:val="24"/>
                <w:lang w:val="en-GB" w:eastAsia="en-GB"/>
              </w:rPr>
            </w:pPr>
            <w:r w:rsidRPr="004C699D">
              <w:rPr>
                <w:rFonts w:eastAsia="Times New Roman"/>
                <w:color w:val="000000"/>
                <w:sz w:val="24"/>
                <w:szCs w:val="24"/>
                <w:lang w:val="en-GB" w:eastAsia="en-GB"/>
              </w:rPr>
              <w:t> </w:t>
            </w:r>
          </w:p>
        </w:tc>
      </w:tr>
      <w:tr w:rsidR="004C699D" w:rsidRPr="00D8663D" w14:paraId="47D5CA68" w14:textId="77777777" w:rsidTr="00743C9C">
        <w:trPr>
          <w:cantSplit/>
          <w:trHeight w:val="320"/>
        </w:trPr>
        <w:tc>
          <w:tcPr>
            <w:tcW w:w="449" w:type="dxa"/>
            <w:shd w:val="clear" w:color="auto" w:fill="auto"/>
            <w:noWrap/>
            <w:vAlign w:val="bottom"/>
            <w:hideMark/>
          </w:tcPr>
          <w:p w14:paraId="0FB60DA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5636146F"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73BAC79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Mean (SD)</w:t>
            </w:r>
          </w:p>
        </w:tc>
        <w:tc>
          <w:tcPr>
            <w:tcW w:w="1538" w:type="dxa"/>
            <w:shd w:val="clear" w:color="auto" w:fill="auto"/>
            <w:noWrap/>
            <w:vAlign w:val="bottom"/>
            <w:hideMark/>
          </w:tcPr>
          <w:p w14:paraId="5F87702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28</w:t>
            </w:r>
            <w:r w:rsidRPr="004C699D">
              <w:rPr>
                <w:sz w:val="24"/>
                <w:szCs w:val="24"/>
              </w:rPr>
              <w:t>·</w:t>
            </w:r>
            <w:r w:rsidRPr="004C699D">
              <w:rPr>
                <w:rFonts w:eastAsia="Times New Roman"/>
                <w:color w:val="000000"/>
                <w:sz w:val="24"/>
                <w:szCs w:val="24"/>
                <w:lang w:val="en-GB" w:eastAsia="en-GB"/>
              </w:rPr>
              <w:t>6 (7</w:t>
            </w:r>
            <w:r w:rsidRPr="004C699D">
              <w:rPr>
                <w:sz w:val="24"/>
                <w:szCs w:val="24"/>
              </w:rPr>
              <w:t>·</w:t>
            </w:r>
            <w:r w:rsidRPr="004C699D">
              <w:rPr>
                <w:rFonts w:eastAsia="Times New Roman"/>
                <w:color w:val="000000"/>
                <w:sz w:val="24"/>
                <w:szCs w:val="24"/>
                <w:lang w:val="en-GB" w:eastAsia="en-GB"/>
              </w:rPr>
              <w:t>99)</w:t>
            </w:r>
          </w:p>
        </w:tc>
        <w:tc>
          <w:tcPr>
            <w:tcW w:w="1610" w:type="dxa"/>
            <w:shd w:val="clear" w:color="auto" w:fill="auto"/>
            <w:noWrap/>
            <w:vAlign w:val="bottom"/>
            <w:hideMark/>
          </w:tcPr>
          <w:p w14:paraId="69E5631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27</w:t>
            </w:r>
            <w:r w:rsidRPr="004C699D">
              <w:rPr>
                <w:sz w:val="24"/>
                <w:szCs w:val="24"/>
              </w:rPr>
              <w:t>·</w:t>
            </w:r>
            <w:r w:rsidRPr="004C699D">
              <w:rPr>
                <w:rFonts w:eastAsia="Times New Roman"/>
                <w:color w:val="000000"/>
                <w:sz w:val="24"/>
                <w:szCs w:val="24"/>
                <w:lang w:val="en-GB" w:eastAsia="en-GB"/>
              </w:rPr>
              <w:t>3 (8</w:t>
            </w:r>
            <w:r w:rsidRPr="004C699D">
              <w:rPr>
                <w:sz w:val="24"/>
                <w:szCs w:val="24"/>
              </w:rPr>
              <w:t>·</w:t>
            </w:r>
            <w:r w:rsidRPr="004C699D">
              <w:rPr>
                <w:rFonts w:eastAsia="Times New Roman"/>
                <w:color w:val="000000"/>
                <w:sz w:val="24"/>
                <w:szCs w:val="24"/>
                <w:lang w:val="en-GB" w:eastAsia="en-GB"/>
              </w:rPr>
              <w:t>37)</w:t>
            </w:r>
          </w:p>
        </w:tc>
        <w:tc>
          <w:tcPr>
            <w:tcW w:w="1641" w:type="dxa"/>
            <w:shd w:val="clear" w:color="auto" w:fill="auto"/>
            <w:noWrap/>
            <w:vAlign w:val="bottom"/>
            <w:hideMark/>
          </w:tcPr>
          <w:p w14:paraId="2017B05E"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28</w:t>
            </w:r>
            <w:r w:rsidRPr="004C699D">
              <w:rPr>
                <w:sz w:val="24"/>
                <w:szCs w:val="24"/>
              </w:rPr>
              <w:t>·</w:t>
            </w:r>
            <w:r w:rsidRPr="004C699D">
              <w:rPr>
                <w:rFonts w:eastAsia="Times New Roman"/>
                <w:color w:val="000000"/>
                <w:sz w:val="24"/>
                <w:szCs w:val="24"/>
                <w:lang w:val="en-GB" w:eastAsia="en-GB"/>
              </w:rPr>
              <w:t>3 (8</w:t>
            </w:r>
            <w:r w:rsidRPr="004C699D">
              <w:rPr>
                <w:sz w:val="24"/>
                <w:szCs w:val="24"/>
              </w:rPr>
              <w:t>·</w:t>
            </w:r>
            <w:r w:rsidRPr="004C699D">
              <w:rPr>
                <w:rFonts w:eastAsia="Times New Roman"/>
                <w:color w:val="000000"/>
                <w:sz w:val="24"/>
                <w:szCs w:val="24"/>
                <w:lang w:val="en-GB" w:eastAsia="en-GB"/>
              </w:rPr>
              <w:t>55)</w:t>
            </w:r>
          </w:p>
        </w:tc>
      </w:tr>
      <w:tr w:rsidR="004C699D" w:rsidRPr="00D8663D" w14:paraId="5718EDAD" w14:textId="77777777" w:rsidTr="00743C9C">
        <w:trPr>
          <w:cantSplit/>
          <w:trHeight w:val="320"/>
        </w:trPr>
        <w:tc>
          <w:tcPr>
            <w:tcW w:w="449" w:type="dxa"/>
            <w:shd w:val="clear" w:color="auto" w:fill="auto"/>
            <w:noWrap/>
            <w:vAlign w:val="bottom"/>
            <w:hideMark/>
          </w:tcPr>
          <w:p w14:paraId="6FC2E3D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22AB130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1805093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Median</w:t>
            </w:r>
          </w:p>
        </w:tc>
        <w:tc>
          <w:tcPr>
            <w:tcW w:w="1538" w:type="dxa"/>
            <w:shd w:val="clear" w:color="auto" w:fill="auto"/>
            <w:noWrap/>
            <w:vAlign w:val="bottom"/>
            <w:hideMark/>
          </w:tcPr>
          <w:p w14:paraId="143F8CDA"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27</w:t>
            </w:r>
            <w:r w:rsidRPr="004C699D">
              <w:rPr>
                <w:sz w:val="24"/>
                <w:szCs w:val="24"/>
              </w:rPr>
              <w:t>·</w:t>
            </w:r>
            <w:r w:rsidRPr="004C699D">
              <w:rPr>
                <w:rFonts w:eastAsia="Times New Roman"/>
                <w:color w:val="000000"/>
                <w:sz w:val="24"/>
                <w:szCs w:val="24"/>
                <w:lang w:val="en-GB" w:eastAsia="en-GB"/>
              </w:rPr>
              <w:t>0</w:t>
            </w:r>
          </w:p>
        </w:tc>
        <w:tc>
          <w:tcPr>
            <w:tcW w:w="1610" w:type="dxa"/>
            <w:shd w:val="clear" w:color="auto" w:fill="auto"/>
            <w:noWrap/>
            <w:vAlign w:val="bottom"/>
            <w:hideMark/>
          </w:tcPr>
          <w:p w14:paraId="650B431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23</w:t>
            </w:r>
            <w:r w:rsidRPr="004C699D">
              <w:rPr>
                <w:sz w:val="24"/>
                <w:szCs w:val="24"/>
              </w:rPr>
              <w:t>·</w:t>
            </w:r>
            <w:r w:rsidRPr="004C699D">
              <w:rPr>
                <w:rFonts w:eastAsia="Times New Roman"/>
                <w:color w:val="000000"/>
                <w:sz w:val="24"/>
                <w:szCs w:val="24"/>
                <w:lang w:val="en-GB" w:eastAsia="en-GB"/>
              </w:rPr>
              <w:t>0</w:t>
            </w:r>
          </w:p>
        </w:tc>
        <w:tc>
          <w:tcPr>
            <w:tcW w:w="1641" w:type="dxa"/>
            <w:shd w:val="clear" w:color="auto" w:fill="auto"/>
            <w:noWrap/>
            <w:vAlign w:val="bottom"/>
            <w:hideMark/>
          </w:tcPr>
          <w:p w14:paraId="7C189BA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26</w:t>
            </w:r>
            <w:r w:rsidRPr="004C699D">
              <w:rPr>
                <w:sz w:val="24"/>
                <w:szCs w:val="24"/>
              </w:rPr>
              <w:t>·</w:t>
            </w:r>
            <w:r w:rsidRPr="004C699D">
              <w:rPr>
                <w:rFonts w:eastAsia="Times New Roman"/>
                <w:color w:val="000000"/>
                <w:sz w:val="24"/>
                <w:szCs w:val="24"/>
                <w:lang w:val="en-GB" w:eastAsia="en-GB"/>
              </w:rPr>
              <w:t>5</w:t>
            </w:r>
          </w:p>
        </w:tc>
      </w:tr>
      <w:tr w:rsidR="004C699D" w:rsidRPr="00D8663D" w14:paraId="2D125010" w14:textId="77777777" w:rsidTr="00743C9C">
        <w:trPr>
          <w:cantSplit/>
          <w:trHeight w:val="320"/>
        </w:trPr>
        <w:tc>
          <w:tcPr>
            <w:tcW w:w="449" w:type="dxa"/>
            <w:shd w:val="clear" w:color="auto" w:fill="auto"/>
            <w:noWrap/>
            <w:vAlign w:val="bottom"/>
            <w:hideMark/>
          </w:tcPr>
          <w:p w14:paraId="7262D7BE"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54FB825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4FC345A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Min, Max</w:t>
            </w:r>
          </w:p>
        </w:tc>
        <w:tc>
          <w:tcPr>
            <w:tcW w:w="1538" w:type="dxa"/>
            <w:shd w:val="clear" w:color="auto" w:fill="auto"/>
            <w:noWrap/>
            <w:vAlign w:val="bottom"/>
            <w:hideMark/>
          </w:tcPr>
          <w:p w14:paraId="1153E48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20, 49</w:t>
            </w:r>
          </w:p>
        </w:tc>
        <w:tc>
          <w:tcPr>
            <w:tcW w:w="1610" w:type="dxa"/>
            <w:shd w:val="clear" w:color="auto" w:fill="auto"/>
            <w:noWrap/>
            <w:vAlign w:val="bottom"/>
            <w:hideMark/>
          </w:tcPr>
          <w:p w14:paraId="5A739045"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19, 46</w:t>
            </w:r>
          </w:p>
        </w:tc>
        <w:tc>
          <w:tcPr>
            <w:tcW w:w="1641" w:type="dxa"/>
            <w:shd w:val="clear" w:color="auto" w:fill="auto"/>
            <w:noWrap/>
            <w:vAlign w:val="bottom"/>
            <w:hideMark/>
          </w:tcPr>
          <w:p w14:paraId="1E7296D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20, 46</w:t>
            </w:r>
          </w:p>
        </w:tc>
      </w:tr>
      <w:tr w:rsidR="00743C9C" w:rsidRPr="00D8663D" w14:paraId="341022C7" w14:textId="77777777" w:rsidTr="00743C9C">
        <w:trPr>
          <w:cantSplit/>
          <w:trHeight w:val="320"/>
        </w:trPr>
        <w:tc>
          <w:tcPr>
            <w:tcW w:w="449" w:type="dxa"/>
            <w:shd w:val="clear" w:color="auto" w:fill="auto"/>
            <w:noWrap/>
            <w:vAlign w:val="bottom"/>
            <w:hideMark/>
          </w:tcPr>
          <w:p w14:paraId="32963CFF"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976" w:type="dxa"/>
            <w:gridSpan w:val="2"/>
            <w:shd w:val="clear" w:color="auto" w:fill="auto"/>
            <w:noWrap/>
            <w:vAlign w:val="bottom"/>
            <w:hideMark/>
          </w:tcPr>
          <w:p w14:paraId="48AECB8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Gender, n (%)</w:t>
            </w:r>
          </w:p>
        </w:tc>
        <w:tc>
          <w:tcPr>
            <w:tcW w:w="1538" w:type="dxa"/>
            <w:shd w:val="clear" w:color="auto" w:fill="auto"/>
            <w:noWrap/>
            <w:vAlign w:val="bottom"/>
            <w:hideMark/>
          </w:tcPr>
          <w:p w14:paraId="74C36338"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10" w:type="dxa"/>
            <w:shd w:val="clear" w:color="auto" w:fill="auto"/>
            <w:noWrap/>
            <w:vAlign w:val="bottom"/>
            <w:hideMark/>
          </w:tcPr>
          <w:p w14:paraId="06C23F6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41" w:type="dxa"/>
            <w:shd w:val="clear" w:color="auto" w:fill="auto"/>
            <w:noWrap/>
            <w:vAlign w:val="bottom"/>
            <w:hideMark/>
          </w:tcPr>
          <w:p w14:paraId="65060C3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r>
      <w:tr w:rsidR="004C699D" w:rsidRPr="00D8663D" w14:paraId="16390B49" w14:textId="77777777" w:rsidTr="00743C9C">
        <w:trPr>
          <w:cantSplit/>
          <w:trHeight w:val="320"/>
        </w:trPr>
        <w:tc>
          <w:tcPr>
            <w:tcW w:w="449" w:type="dxa"/>
            <w:shd w:val="clear" w:color="auto" w:fill="auto"/>
            <w:noWrap/>
            <w:vAlign w:val="bottom"/>
            <w:hideMark/>
          </w:tcPr>
          <w:p w14:paraId="6A1302F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76665D7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501C182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Male</w:t>
            </w:r>
          </w:p>
        </w:tc>
        <w:tc>
          <w:tcPr>
            <w:tcW w:w="1538" w:type="dxa"/>
            <w:shd w:val="clear" w:color="auto" w:fill="auto"/>
            <w:noWrap/>
            <w:vAlign w:val="bottom"/>
            <w:hideMark/>
          </w:tcPr>
          <w:p w14:paraId="60D7C1D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11 (61</w:t>
            </w:r>
            <w:r w:rsidRPr="004C699D">
              <w:rPr>
                <w:sz w:val="24"/>
                <w:szCs w:val="24"/>
              </w:rPr>
              <w:t>·</w:t>
            </w:r>
            <w:r w:rsidRPr="004C699D">
              <w:rPr>
                <w:rFonts w:eastAsia="Times New Roman"/>
                <w:color w:val="000000"/>
                <w:sz w:val="24"/>
                <w:szCs w:val="24"/>
                <w:lang w:val="en-GB" w:eastAsia="en-GB"/>
              </w:rPr>
              <w:t>1)</w:t>
            </w:r>
          </w:p>
        </w:tc>
        <w:tc>
          <w:tcPr>
            <w:tcW w:w="1610" w:type="dxa"/>
            <w:shd w:val="clear" w:color="auto" w:fill="auto"/>
            <w:noWrap/>
            <w:vAlign w:val="bottom"/>
            <w:hideMark/>
          </w:tcPr>
          <w:p w14:paraId="503388D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8 (44</w:t>
            </w:r>
            <w:r w:rsidRPr="004C699D">
              <w:rPr>
                <w:sz w:val="24"/>
                <w:szCs w:val="24"/>
              </w:rPr>
              <w:t>·</w:t>
            </w:r>
            <w:r w:rsidRPr="004C699D">
              <w:rPr>
                <w:rFonts w:eastAsia="Times New Roman"/>
                <w:color w:val="000000"/>
                <w:sz w:val="24"/>
                <w:szCs w:val="24"/>
                <w:lang w:val="en-GB" w:eastAsia="en-GB"/>
              </w:rPr>
              <w:t>4)</w:t>
            </w:r>
          </w:p>
        </w:tc>
        <w:tc>
          <w:tcPr>
            <w:tcW w:w="1641" w:type="dxa"/>
            <w:shd w:val="clear" w:color="auto" w:fill="auto"/>
            <w:noWrap/>
            <w:vAlign w:val="bottom"/>
            <w:hideMark/>
          </w:tcPr>
          <w:p w14:paraId="64150A4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5 (41</w:t>
            </w:r>
            <w:r w:rsidRPr="004C699D">
              <w:rPr>
                <w:sz w:val="24"/>
                <w:szCs w:val="24"/>
              </w:rPr>
              <w:t>·</w:t>
            </w:r>
            <w:r w:rsidRPr="004C699D">
              <w:rPr>
                <w:rFonts w:eastAsia="Times New Roman"/>
                <w:color w:val="000000"/>
                <w:sz w:val="24"/>
                <w:szCs w:val="24"/>
                <w:lang w:val="en-GB" w:eastAsia="en-GB"/>
              </w:rPr>
              <w:t>7)</w:t>
            </w:r>
          </w:p>
        </w:tc>
      </w:tr>
      <w:tr w:rsidR="004C699D" w:rsidRPr="00D8663D" w14:paraId="64E126DA" w14:textId="77777777" w:rsidTr="00743C9C">
        <w:trPr>
          <w:cantSplit/>
          <w:trHeight w:val="320"/>
        </w:trPr>
        <w:tc>
          <w:tcPr>
            <w:tcW w:w="449" w:type="dxa"/>
            <w:shd w:val="clear" w:color="auto" w:fill="auto"/>
            <w:noWrap/>
            <w:vAlign w:val="bottom"/>
            <w:hideMark/>
          </w:tcPr>
          <w:p w14:paraId="2572A4C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3A28DF35"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4D07B77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Female</w:t>
            </w:r>
          </w:p>
        </w:tc>
        <w:tc>
          <w:tcPr>
            <w:tcW w:w="1538" w:type="dxa"/>
            <w:shd w:val="clear" w:color="auto" w:fill="auto"/>
            <w:noWrap/>
            <w:vAlign w:val="bottom"/>
            <w:hideMark/>
          </w:tcPr>
          <w:p w14:paraId="3C16277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7 (38</w:t>
            </w:r>
            <w:r w:rsidRPr="004C699D">
              <w:rPr>
                <w:sz w:val="24"/>
                <w:szCs w:val="24"/>
              </w:rPr>
              <w:t>·</w:t>
            </w:r>
            <w:r w:rsidRPr="004C699D">
              <w:rPr>
                <w:rFonts w:eastAsia="Times New Roman"/>
                <w:color w:val="000000"/>
                <w:sz w:val="24"/>
                <w:szCs w:val="24"/>
                <w:lang w:val="en-GB" w:eastAsia="en-GB"/>
              </w:rPr>
              <w:t>9)</w:t>
            </w:r>
          </w:p>
        </w:tc>
        <w:tc>
          <w:tcPr>
            <w:tcW w:w="1610" w:type="dxa"/>
            <w:shd w:val="clear" w:color="auto" w:fill="auto"/>
            <w:noWrap/>
            <w:vAlign w:val="bottom"/>
            <w:hideMark/>
          </w:tcPr>
          <w:p w14:paraId="38F42AB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10 (55</w:t>
            </w:r>
            <w:r w:rsidRPr="004C699D">
              <w:rPr>
                <w:sz w:val="24"/>
                <w:szCs w:val="24"/>
              </w:rPr>
              <w:t>·</w:t>
            </w:r>
            <w:r w:rsidRPr="004C699D">
              <w:rPr>
                <w:rFonts w:eastAsia="Times New Roman"/>
                <w:color w:val="000000"/>
                <w:sz w:val="24"/>
                <w:szCs w:val="24"/>
                <w:lang w:val="en-GB" w:eastAsia="en-GB"/>
              </w:rPr>
              <w:t>6)</w:t>
            </w:r>
          </w:p>
        </w:tc>
        <w:tc>
          <w:tcPr>
            <w:tcW w:w="1641" w:type="dxa"/>
            <w:shd w:val="clear" w:color="auto" w:fill="auto"/>
            <w:noWrap/>
            <w:vAlign w:val="bottom"/>
            <w:hideMark/>
          </w:tcPr>
          <w:p w14:paraId="0A1864D6"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7 (58</w:t>
            </w:r>
            <w:r w:rsidRPr="004C699D">
              <w:rPr>
                <w:sz w:val="24"/>
                <w:szCs w:val="24"/>
              </w:rPr>
              <w:t>·</w:t>
            </w:r>
            <w:r w:rsidRPr="004C699D">
              <w:rPr>
                <w:rFonts w:eastAsia="Times New Roman"/>
                <w:color w:val="000000"/>
                <w:sz w:val="24"/>
                <w:szCs w:val="24"/>
                <w:lang w:val="en-GB" w:eastAsia="en-GB"/>
              </w:rPr>
              <w:t>.3)</w:t>
            </w:r>
          </w:p>
        </w:tc>
      </w:tr>
      <w:tr w:rsidR="00743C9C" w:rsidRPr="00D8663D" w14:paraId="25277AB3" w14:textId="77777777" w:rsidTr="00743C9C">
        <w:trPr>
          <w:cantSplit/>
          <w:trHeight w:val="320"/>
        </w:trPr>
        <w:tc>
          <w:tcPr>
            <w:tcW w:w="449" w:type="dxa"/>
            <w:shd w:val="clear" w:color="auto" w:fill="auto"/>
            <w:noWrap/>
            <w:vAlign w:val="bottom"/>
            <w:hideMark/>
          </w:tcPr>
          <w:p w14:paraId="2C9C737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976" w:type="dxa"/>
            <w:gridSpan w:val="2"/>
            <w:shd w:val="clear" w:color="auto" w:fill="auto"/>
            <w:noWrap/>
            <w:vAlign w:val="bottom"/>
            <w:hideMark/>
          </w:tcPr>
          <w:p w14:paraId="0906F9F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Race, n (%)</w:t>
            </w:r>
          </w:p>
        </w:tc>
        <w:tc>
          <w:tcPr>
            <w:tcW w:w="1538" w:type="dxa"/>
            <w:shd w:val="clear" w:color="auto" w:fill="auto"/>
            <w:noWrap/>
            <w:vAlign w:val="bottom"/>
            <w:hideMark/>
          </w:tcPr>
          <w:p w14:paraId="6BAF7E98"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10" w:type="dxa"/>
            <w:shd w:val="clear" w:color="auto" w:fill="auto"/>
            <w:noWrap/>
            <w:vAlign w:val="bottom"/>
            <w:hideMark/>
          </w:tcPr>
          <w:p w14:paraId="46988A9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41" w:type="dxa"/>
            <w:shd w:val="clear" w:color="auto" w:fill="auto"/>
            <w:noWrap/>
            <w:vAlign w:val="bottom"/>
            <w:hideMark/>
          </w:tcPr>
          <w:p w14:paraId="6508FEE5"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r>
      <w:tr w:rsidR="004C699D" w:rsidRPr="00D8663D" w14:paraId="3E35BCE1" w14:textId="77777777" w:rsidTr="00743C9C">
        <w:trPr>
          <w:cantSplit/>
          <w:trHeight w:val="320"/>
        </w:trPr>
        <w:tc>
          <w:tcPr>
            <w:tcW w:w="449" w:type="dxa"/>
            <w:shd w:val="clear" w:color="auto" w:fill="auto"/>
            <w:noWrap/>
            <w:vAlign w:val="bottom"/>
            <w:hideMark/>
          </w:tcPr>
          <w:p w14:paraId="769AE0E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2EB2900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134D1B1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White or Caucasian</w:t>
            </w:r>
          </w:p>
        </w:tc>
        <w:tc>
          <w:tcPr>
            <w:tcW w:w="1538" w:type="dxa"/>
            <w:shd w:val="clear" w:color="auto" w:fill="auto"/>
            <w:noWrap/>
            <w:vAlign w:val="bottom"/>
            <w:hideMark/>
          </w:tcPr>
          <w:p w14:paraId="1014149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12 (66</w:t>
            </w:r>
            <w:r w:rsidRPr="004C699D">
              <w:rPr>
                <w:sz w:val="24"/>
                <w:szCs w:val="24"/>
              </w:rPr>
              <w:t>·</w:t>
            </w:r>
            <w:r w:rsidRPr="004C699D">
              <w:rPr>
                <w:rFonts w:eastAsia="Times New Roman"/>
                <w:color w:val="000000"/>
                <w:sz w:val="24"/>
                <w:szCs w:val="24"/>
                <w:lang w:val="en-GB" w:eastAsia="en-GB"/>
              </w:rPr>
              <w:t>66)</w:t>
            </w:r>
          </w:p>
        </w:tc>
        <w:tc>
          <w:tcPr>
            <w:tcW w:w="1610" w:type="dxa"/>
            <w:shd w:val="clear" w:color="auto" w:fill="auto"/>
            <w:noWrap/>
            <w:vAlign w:val="bottom"/>
            <w:hideMark/>
          </w:tcPr>
          <w:p w14:paraId="6D66041F"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15 (83</w:t>
            </w:r>
            <w:r w:rsidRPr="004C699D">
              <w:rPr>
                <w:sz w:val="24"/>
                <w:szCs w:val="24"/>
              </w:rPr>
              <w:t>·</w:t>
            </w:r>
            <w:r w:rsidRPr="004C699D">
              <w:rPr>
                <w:rFonts w:eastAsia="Times New Roman"/>
                <w:color w:val="000000"/>
                <w:sz w:val="24"/>
                <w:szCs w:val="24"/>
                <w:lang w:val="en-GB" w:eastAsia="en-GB"/>
              </w:rPr>
              <w:t>33)</w:t>
            </w:r>
          </w:p>
        </w:tc>
        <w:tc>
          <w:tcPr>
            <w:tcW w:w="1641" w:type="dxa"/>
            <w:shd w:val="clear" w:color="auto" w:fill="auto"/>
            <w:noWrap/>
            <w:vAlign w:val="bottom"/>
            <w:hideMark/>
          </w:tcPr>
          <w:p w14:paraId="7DB9065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10 (83</w:t>
            </w:r>
            <w:r w:rsidRPr="004C699D">
              <w:rPr>
                <w:sz w:val="24"/>
                <w:szCs w:val="24"/>
              </w:rPr>
              <w:t>·</w:t>
            </w:r>
            <w:r w:rsidRPr="004C699D">
              <w:rPr>
                <w:rFonts w:eastAsia="Times New Roman"/>
                <w:color w:val="000000"/>
                <w:sz w:val="24"/>
                <w:szCs w:val="24"/>
                <w:lang w:val="en-GB" w:eastAsia="en-GB"/>
              </w:rPr>
              <w:t>33)</w:t>
            </w:r>
          </w:p>
        </w:tc>
      </w:tr>
      <w:tr w:rsidR="004C699D" w:rsidRPr="00D8663D" w14:paraId="26DB09F9" w14:textId="77777777" w:rsidTr="00743C9C">
        <w:trPr>
          <w:cantSplit/>
          <w:trHeight w:val="320"/>
        </w:trPr>
        <w:tc>
          <w:tcPr>
            <w:tcW w:w="449" w:type="dxa"/>
            <w:shd w:val="clear" w:color="auto" w:fill="auto"/>
            <w:noWrap/>
            <w:vAlign w:val="bottom"/>
            <w:hideMark/>
          </w:tcPr>
          <w:p w14:paraId="2E9BEC4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2EC3AF1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2420DCA6"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Black British/Black Other</w:t>
            </w:r>
          </w:p>
        </w:tc>
        <w:tc>
          <w:tcPr>
            <w:tcW w:w="1538" w:type="dxa"/>
            <w:shd w:val="clear" w:color="auto" w:fill="auto"/>
            <w:noWrap/>
            <w:vAlign w:val="bottom"/>
            <w:hideMark/>
          </w:tcPr>
          <w:p w14:paraId="1BBD973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3 (16</w:t>
            </w:r>
            <w:r w:rsidRPr="004C699D">
              <w:rPr>
                <w:sz w:val="24"/>
                <w:szCs w:val="24"/>
              </w:rPr>
              <w:t>·</w:t>
            </w:r>
            <w:r w:rsidRPr="004C699D">
              <w:rPr>
                <w:rFonts w:eastAsia="Times New Roman"/>
                <w:color w:val="000000"/>
                <w:sz w:val="24"/>
                <w:szCs w:val="24"/>
                <w:lang w:val="en-GB" w:eastAsia="en-GB"/>
              </w:rPr>
              <w:t>66)</w:t>
            </w:r>
          </w:p>
        </w:tc>
        <w:tc>
          <w:tcPr>
            <w:tcW w:w="1610" w:type="dxa"/>
            <w:shd w:val="clear" w:color="auto" w:fill="auto"/>
            <w:noWrap/>
            <w:vAlign w:val="bottom"/>
            <w:hideMark/>
          </w:tcPr>
          <w:p w14:paraId="535FA4D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 (5</w:t>
            </w:r>
            <w:r w:rsidRPr="004C699D">
              <w:rPr>
                <w:sz w:val="24"/>
                <w:szCs w:val="24"/>
              </w:rPr>
              <w:t>·</w:t>
            </w:r>
            <w:r w:rsidRPr="004C699D">
              <w:rPr>
                <w:rFonts w:eastAsia="Times New Roman"/>
                <w:color w:val="000000"/>
                <w:sz w:val="24"/>
                <w:szCs w:val="24"/>
                <w:lang w:val="en-GB" w:eastAsia="en-GB"/>
              </w:rPr>
              <w:t>55)</w:t>
            </w:r>
          </w:p>
        </w:tc>
        <w:tc>
          <w:tcPr>
            <w:tcW w:w="1641" w:type="dxa"/>
            <w:shd w:val="clear" w:color="auto" w:fill="auto"/>
            <w:noWrap/>
            <w:vAlign w:val="bottom"/>
            <w:hideMark/>
          </w:tcPr>
          <w:p w14:paraId="174400AF"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 (8</w:t>
            </w:r>
            <w:r w:rsidRPr="004C699D">
              <w:rPr>
                <w:sz w:val="24"/>
                <w:szCs w:val="24"/>
              </w:rPr>
              <w:t>·</w:t>
            </w:r>
            <w:r w:rsidRPr="004C699D">
              <w:rPr>
                <w:rFonts w:eastAsia="Times New Roman"/>
                <w:color w:val="000000"/>
                <w:sz w:val="24"/>
                <w:szCs w:val="24"/>
                <w:lang w:val="en-GB" w:eastAsia="en-GB"/>
              </w:rPr>
              <w:t>33)</w:t>
            </w:r>
          </w:p>
        </w:tc>
      </w:tr>
      <w:tr w:rsidR="004C699D" w:rsidRPr="00D8663D" w14:paraId="622F5ECA" w14:textId="77777777" w:rsidTr="00743C9C">
        <w:trPr>
          <w:cantSplit/>
          <w:trHeight w:val="320"/>
        </w:trPr>
        <w:tc>
          <w:tcPr>
            <w:tcW w:w="449" w:type="dxa"/>
            <w:shd w:val="clear" w:color="auto" w:fill="auto"/>
            <w:noWrap/>
            <w:vAlign w:val="bottom"/>
            <w:hideMark/>
          </w:tcPr>
          <w:p w14:paraId="3C1A6B7A"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5C99EEE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186DF32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Asian British/Indian/Asian other</w:t>
            </w:r>
          </w:p>
        </w:tc>
        <w:tc>
          <w:tcPr>
            <w:tcW w:w="1538" w:type="dxa"/>
            <w:shd w:val="clear" w:color="auto" w:fill="auto"/>
            <w:noWrap/>
            <w:vAlign w:val="bottom"/>
            <w:hideMark/>
          </w:tcPr>
          <w:p w14:paraId="4D14CDBE"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3 (16</w:t>
            </w:r>
            <w:r w:rsidRPr="004C699D">
              <w:rPr>
                <w:sz w:val="24"/>
                <w:szCs w:val="24"/>
              </w:rPr>
              <w:t>·</w:t>
            </w:r>
            <w:r w:rsidRPr="004C699D">
              <w:rPr>
                <w:rFonts w:eastAsia="Times New Roman"/>
                <w:color w:val="000000"/>
                <w:sz w:val="24"/>
                <w:szCs w:val="24"/>
                <w:lang w:val="en-GB" w:eastAsia="en-GB"/>
              </w:rPr>
              <w:t>66)</w:t>
            </w:r>
          </w:p>
        </w:tc>
        <w:tc>
          <w:tcPr>
            <w:tcW w:w="1610" w:type="dxa"/>
            <w:shd w:val="clear" w:color="auto" w:fill="auto"/>
            <w:noWrap/>
            <w:vAlign w:val="bottom"/>
            <w:hideMark/>
          </w:tcPr>
          <w:p w14:paraId="3225D7E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 (11</w:t>
            </w:r>
            <w:r w:rsidRPr="004C699D">
              <w:rPr>
                <w:sz w:val="24"/>
                <w:szCs w:val="24"/>
              </w:rPr>
              <w:t>·</w:t>
            </w:r>
            <w:r w:rsidRPr="004C699D">
              <w:rPr>
                <w:rFonts w:eastAsia="Times New Roman"/>
                <w:color w:val="000000"/>
                <w:sz w:val="24"/>
                <w:szCs w:val="24"/>
                <w:lang w:val="en-GB" w:eastAsia="en-GB"/>
              </w:rPr>
              <w:t>11)</w:t>
            </w:r>
          </w:p>
        </w:tc>
        <w:tc>
          <w:tcPr>
            <w:tcW w:w="1641" w:type="dxa"/>
            <w:shd w:val="clear" w:color="auto" w:fill="auto"/>
            <w:noWrap/>
            <w:vAlign w:val="bottom"/>
            <w:hideMark/>
          </w:tcPr>
          <w:p w14:paraId="70D97A2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 (8</w:t>
            </w:r>
            <w:r w:rsidRPr="004C699D">
              <w:rPr>
                <w:sz w:val="24"/>
                <w:szCs w:val="24"/>
              </w:rPr>
              <w:t>·</w:t>
            </w:r>
            <w:r w:rsidRPr="004C699D">
              <w:rPr>
                <w:rFonts w:eastAsia="Times New Roman"/>
                <w:color w:val="000000"/>
                <w:sz w:val="24"/>
                <w:szCs w:val="24"/>
                <w:lang w:val="en-GB" w:eastAsia="en-GB"/>
              </w:rPr>
              <w:t>33)</w:t>
            </w:r>
          </w:p>
        </w:tc>
      </w:tr>
      <w:tr w:rsidR="004C699D" w:rsidRPr="00D8663D" w14:paraId="7C42306F" w14:textId="77777777" w:rsidTr="00743C9C">
        <w:trPr>
          <w:cantSplit/>
          <w:trHeight w:val="320"/>
        </w:trPr>
        <w:tc>
          <w:tcPr>
            <w:tcW w:w="449" w:type="dxa"/>
            <w:shd w:val="clear" w:color="auto" w:fill="auto"/>
            <w:noWrap/>
            <w:vAlign w:val="bottom"/>
            <w:hideMark/>
          </w:tcPr>
          <w:p w14:paraId="4E544FB6"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1382DB4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1E22E45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Mixed</w:t>
            </w:r>
          </w:p>
        </w:tc>
        <w:tc>
          <w:tcPr>
            <w:tcW w:w="1538" w:type="dxa"/>
            <w:shd w:val="clear" w:color="auto" w:fill="auto"/>
            <w:noWrap/>
            <w:vAlign w:val="bottom"/>
            <w:hideMark/>
          </w:tcPr>
          <w:p w14:paraId="3B9DFA1A"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0</w:t>
            </w:r>
          </w:p>
        </w:tc>
        <w:tc>
          <w:tcPr>
            <w:tcW w:w="1610" w:type="dxa"/>
            <w:shd w:val="clear" w:color="auto" w:fill="auto"/>
            <w:noWrap/>
            <w:vAlign w:val="bottom"/>
            <w:hideMark/>
          </w:tcPr>
          <w:p w14:paraId="369088E5"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0</w:t>
            </w:r>
          </w:p>
        </w:tc>
        <w:tc>
          <w:tcPr>
            <w:tcW w:w="1641" w:type="dxa"/>
            <w:shd w:val="clear" w:color="auto" w:fill="auto"/>
            <w:noWrap/>
            <w:vAlign w:val="bottom"/>
            <w:hideMark/>
          </w:tcPr>
          <w:p w14:paraId="61E07DA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0</w:t>
            </w:r>
          </w:p>
        </w:tc>
      </w:tr>
      <w:tr w:rsidR="004C699D" w:rsidRPr="00D8663D" w14:paraId="6EB22826" w14:textId="77777777" w:rsidTr="00743C9C">
        <w:trPr>
          <w:cantSplit/>
          <w:trHeight w:val="320"/>
        </w:trPr>
        <w:tc>
          <w:tcPr>
            <w:tcW w:w="449" w:type="dxa"/>
            <w:shd w:val="clear" w:color="auto" w:fill="auto"/>
            <w:noWrap/>
            <w:vAlign w:val="bottom"/>
            <w:hideMark/>
          </w:tcPr>
          <w:p w14:paraId="1249035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161110F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27C4CC1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Other</w:t>
            </w:r>
          </w:p>
        </w:tc>
        <w:tc>
          <w:tcPr>
            <w:tcW w:w="1538" w:type="dxa"/>
            <w:shd w:val="clear" w:color="auto" w:fill="auto"/>
            <w:noWrap/>
            <w:vAlign w:val="bottom"/>
            <w:hideMark/>
          </w:tcPr>
          <w:p w14:paraId="43D5771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0</w:t>
            </w:r>
          </w:p>
        </w:tc>
        <w:tc>
          <w:tcPr>
            <w:tcW w:w="1610" w:type="dxa"/>
            <w:shd w:val="clear" w:color="auto" w:fill="auto"/>
            <w:noWrap/>
            <w:vAlign w:val="bottom"/>
            <w:hideMark/>
          </w:tcPr>
          <w:p w14:paraId="6F45F80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0</w:t>
            </w:r>
          </w:p>
        </w:tc>
        <w:tc>
          <w:tcPr>
            <w:tcW w:w="1641" w:type="dxa"/>
            <w:shd w:val="clear" w:color="auto" w:fill="auto"/>
            <w:noWrap/>
            <w:vAlign w:val="bottom"/>
            <w:hideMark/>
          </w:tcPr>
          <w:p w14:paraId="6A4831FA"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0</w:t>
            </w:r>
          </w:p>
        </w:tc>
      </w:tr>
      <w:tr w:rsidR="00743C9C" w:rsidRPr="00D8663D" w14:paraId="0145D5E6" w14:textId="77777777" w:rsidTr="00743C9C">
        <w:trPr>
          <w:cantSplit/>
          <w:trHeight w:val="320"/>
        </w:trPr>
        <w:tc>
          <w:tcPr>
            <w:tcW w:w="449" w:type="dxa"/>
            <w:shd w:val="clear" w:color="auto" w:fill="auto"/>
            <w:noWrap/>
            <w:vAlign w:val="bottom"/>
            <w:hideMark/>
          </w:tcPr>
          <w:p w14:paraId="43BB1BF6"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976" w:type="dxa"/>
            <w:gridSpan w:val="2"/>
            <w:shd w:val="clear" w:color="auto" w:fill="auto"/>
            <w:noWrap/>
            <w:vAlign w:val="bottom"/>
            <w:hideMark/>
          </w:tcPr>
          <w:p w14:paraId="7C2C8468"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Height (cm)</w:t>
            </w:r>
          </w:p>
        </w:tc>
        <w:tc>
          <w:tcPr>
            <w:tcW w:w="1538" w:type="dxa"/>
            <w:shd w:val="clear" w:color="auto" w:fill="auto"/>
            <w:noWrap/>
            <w:vAlign w:val="bottom"/>
            <w:hideMark/>
          </w:tcPr>
          <w:p w14:paraId="52E0740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10" w:type="dxa"/>
            <w:shd w:val="clear" w:color="auto" w:fill="auto"/>
            <w:noWrap/>
            <w:vAlign w:val="bottom"/>
            <w:hideMark/>
          </w:tcPr>
          <w:p w14:paraId="07D0204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41" w:type="dxa"/>
            <w:shd w:val="clear" w:color="auto" w:fill="auto"/>
            <w:noWrap/>
            <w:vAlign w:val="bottom"/>
            <w:hideMark/>
          </w:tcPr>
          <w:p w14:paraId="56727D8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r>
      <w:tr w:rsidR="004C699D" w:rsidRPr="00D8663D" w14:paraId="7FF787D1" w14:textId="77777777" w:rsidTr="00743C9C">
        <w:trPr>
          <w:cantSplit/>
          <w:trHeight w:val="320"/>
        </w:trPr>
        <w:tc>
          <w:tcPr>
            <w:tcW w:w="449" w:type="dxa"/>
            <w:shd w:val="clear" w:color="auto" w:fill="auto"/>
            <w:noWrap/>
            <w:vAlign w:val="bottom"/>
            <w:hideMark/>
          </w:tcPr>
          <w:p w14:paraId="6F2B7AB8"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720FDE7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65D5E606"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Mean (SD)</w:t>
            </w:r>
          </w:p>
        </w:tc>
        <w:tc>
          <w:tcPr>
            <w:tcW w:w="1538" w:type="dxa"/>
            <w:shd w:val="clear" w:color="auto" w:fill="auto"/>
            <w:noWrap/>
            <w:vAlign w:val="bottom"/>
            <w:hideMark/>
          </w:tcPr>
          <w:p w14:paraId="59E664F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175</w:t>
            </w:r>
            <w:r w:rsidRPr="004C699D">
              <w:rPr>
                <w:sz w:val="24"/>
                <w:szCs w:val="24"/>
              </w:rPr>
              <w:t>·</w:t>
            </w:r>
            <w:r w:rsidRPr="004C699D">
              <w:rPr>
                <w:rFonts w:eastAsia="Times New Roman"/>
                <w:color w:val="000000"/>
                <w:sz w:val="24"/>
                <w:szCs w:val="24"/>
                <w:lang w:val="en-GB" w:eastAsia="en-GB"/>
              </w:rPr>
              <w:t>24(8</w:t>
            </w:r>
            <w:r w:rsidRPr="004C699D">
              <w:rPr>
                <w:sz w:val="24"/>
                <w:szCs w:val="24"/>
              </w:rPr>
              <w:t>·</w:t>
            </w:r>
            <w:r w:rsidRPr="004C699D">
              <w:rPr>
                <w:rFonts w:eastAsia="Times New Roman"/>
                <w:color w:val="000000"/>
                <w:sz w:val="24"/>
                <w:szCs w:val="24"/>
                <w:lang w:val="en-GB" w:eastAsia="en-GB"/>
              </w:rPr>
              <w:t>96)</w:t>
            </w:r>
          </w:p>
        </w:tc>
        <w:tc>
          <w:tcPr>
            <w:tcW w:w="1610" w:type="dxa"/>
            <w:shd w:val="clear" w:color="auto" w:fill="auto"/>
            <w:noWrap/>
            <w:vAlign w:val="bottom"/>
            <w:hideMark/>
          </w:tcPr>
          <w:p w14:paraId="76BB7FE9"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172</w:t>
            </w:r>
            <w:r w:rsidRPr="004C699D">
              <w:rPr>
                <w:sz w:val="24"/>
                <w:szCs w:val="24"/>
              </w:rPr>
              <w:t>·</w:t>
            </w:r>
            <w:r w:rsidRPr="004C699D">
              <w:rPr>
                <w:rFonts w:eastAsia="Times New Roman"/>
                <w:color w:val="000000"/>
                <w:sz w:val="24"/>
                <w:szCs w:val="24"/>
                <w:lang w:val="en-GB" w:eastAsia="en-GB"/>
              </w:rPr>
              <w:t>94(10</w:t>
            </w:r>
            <w:r w:rsidRPr="004C699D">
              <w:rPr>
                <w:sz w:val="24"/>
                <w:szCs w:val="24"/>
              </w:rPr>
              <w:t>·</w:t>
            </w:r>
            <w:r w:rsidRPr="004C699D">
              <w:rPr>
                <w:rFonts w:eastAsia="Times New Roman"/>
                <w:color w:val="000000"/>
                <w:sz w:val="24"/>
                <w:szCs w:val="24"/>
                <w:lang w:val="en-GB" w:eastAsia="en-GB"/>
              </w:rPr>
              <w:t>09)</w:t>
            </w:r>
          </w:p>
        </w:tc>
        <w:tc>
          <w:tcPr>
            <w:tcW w:w="1641" w:type="dxa"/>
            <w:shd w:val="clear" w:color="auto" w:fill="auto"/>
            <w:noWrap/>
            <w:vAlign w:val="bottom"/>
            <w:hideMark/>
          </w:tcPr>
          <w:p w14:paraId="12271258"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171</w:t>
            </w:r>
            <w:r w:rsidRPr="004C699D">
              <w:rPr>
                <w:sz w:val="24"/>
                <w:szCs w:val="24"/>
              </w:rPr>
              <w:t>·</w:t>
            </w:r>
            <w:r w:rsidRPr="004C699D">
              <w:rPr>
                <w:rFonts w:eastAsia="Times New Roman"/>
                <w:color w:val="000000"/>
                <w:sz w:val="24"/>
                <w:szCs w:val="24"/>
                <w:lang w:val="en-GB" w:eastAsia="en-GB"/>
              </w:rPr>
              <w:t>67(9</w:t>
            </w:r>
            <w:r w:rsidRPr="004C699D">
              <w:rPr>
                <w:sz w:val="24"/>
                <w:szCs w:val="24"/>
              </w:rPr>
              <w:t>·</w:t>
            </w:r>
            <w:r w:rsidRPr="004C699D">
              <w:rPr>
                <w:rFonts w:eastAsia="Times New Roman"/>
                <w:color w:val="000000"/>
                <w:sz w:val="24"/>
                <w:szCs w:val="24"/>
                <w:lang w:val="en-GB" w:eastAsia="en-GB"/>
              </w:rPr>
              <w:t>54)</w:t>
            </w:r>
          </w:p>
        </w:tc>
      </w:tr>
      <w:tr w:rsidR="004C699D" w:rsidRPr="00D8663D" w14:paraId="7BF540FB" w14:textId="77777777" w:rsidTr="00743C9C">
        <w:trPr>
          <w:cantSplit/>
          <w:trHeight w:val="320"/>
        </w:trPr>
        <w:tc>
          <w:tcPr>
            <w:tcW w:w="449" w:type="dxa"/>
            <w:shd w:val="clear" w:color="auto" w:fill="auto"/>
            <w:noWrap/>
            <w:vAlign w:val="bottom"/>
            <w:hideMark/>
          </w:tcPr>
          <w:p w14:paraId="5622529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7DC63F0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396D75F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Median</w:t>
            </w:r>
          </w:p>
        </w:tc>
        <w:tc>
          <w:tcPr>
            <w:tcW w:w="1538" w:type="dxa"/>
            <w:shd w:val="clear" w:color="auto" w:fill="auto"/>
            <w:noWrap/>
            <w:vAlign w:val="bottom"/>
            <w:hideMark/>
          </w:tcPr>
          <w:p w14:paraId="37527C96" w14:textId="40FB8F42" w:rsidR="004C699D" w:rsidRPr="004C699D" w:rsidRDefault="004C699D" w:rsidP="004C699D">
            <w:pPr>
              <w:rPr>
                <w:rFonts w:eastAsia="Times New Roman"/>
                <w:color w:val="000000"/>
                <w:sz w:val="24"/>
                <w:szCs w:val="24"/>
                <w:lang w:val="en-GB" w:eastAsia="en-GB"/>
              </w:rPr>
            </w:pPr>
            <w:r w:rsidRPr="004C699D">
              <w:rPr>
                <w:rFonts w:eastAsia="Times New Roman"/>
                <w:color w:val="000000"/>
                <w:sz w:val="24"/>
                <w:szCs w:val="24"/>
                <w:lang w:val="en-GB" w:eastAsia="en-GB"/>
              </w:rPr>
              <w:t>174·</w:t>
            </w:r>
            <w:r>
              <w:rPr>
                <w:rFonts w:eastAsia="Times New Roman"/>
                <w:color w:val="000000"/>
                <w:sz w:val="24"/>
                <w:szCs w:val="24"/>
                <w:lang w:val="en-GB" w:eastAsia="en-GB"/>
              </w:rPr>
              <w:t>0</w:t>
            </w:r>
          </w:p>
        </w:tc>
        <w:tc>
          <w:tcPr>
            <w:tcW w:w="1610" w:type="dxa"/>
            <w:shd w:val="clear" w:color="auto" w:fill="auto"/>
            <w:noWrap/>
            <w:vAlign w:val="bottom"/>
            <w:hideMark/>
          </w:tcPr>
          <w:p w14:paraId="72825EC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170</w:t>
            </w:r>
            <w:r w:rsidRPr="004C699D">
              <w:rPr>
                <w:sz w:val="24"/>
                <w:szCs w:val="24"/>
              </w:rPr>
              <w:t>·</w:t>
            </w:r>
            <w:r w:rsidRPr="004C699D">
              <w:rPr>
                <w:rFonts w:eastAsia="Times New Roman"/>
                <w:color w:val="000000"/>
                <w:sz w:val="24"/>
                <w:szCs w:val="24"/>
                <w:lang w:val="en-GB" w:eastAsia="en-GB"/>
              </w:rPr>
              <w:t>5</w:t>
            </w:r>
          </w:p>
        </w:tc>
        <w:tc>
          <w:tcPr>
            <w:tcW w:w="1641" w:type="dxa"/>
            <w:shd w:val="clear" w:color="auto" w:fill="auto"/>
            <w:noWrap/>
            <w:vAlign w:val="bottom"/>
            <w:hideMark/>
          </w:tcPr>
          <w:p w14:paraId="0E7A1145" w14:textId="45ACA7BA"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170·</w:t>
            </w:r>
            <w:r>
              <w:rPr>
                <w:rFonts w:eastAsia="Times New Roman"/>
                <w:color w:val="000000"/>
                <w:sz w:val="24"/>
                <w:szCs w:val="24"/>
                <w:lang w:val="en-GB" w:eastAsia="en-GB"/>
              </w:rPr>
              <w:t>0</w:t>
            </w:r>
          </w:p>
        </w:tc>
      </w:tr>
      <w:tr w:rsidR="00743C9C" w:rsidRPr="00D8663D" w14:paraId="3753F848" w14:textId="77777777" w:rsidTr="00743C9C">
        <w:trPr>
          <w:cantSplit/>
          <w:trHeight w:val="320"/>
        </w:trPr>
        <w:tc>
          <w:tcPr>
            <w:tcW w:w="449" w:type="dxa"/>
            <w:shd w:val="clear" w:color="auto" w:fill="auto"/>
            <w:noWrap/>
            <w:vAlign w:val="bottom"/>
            <w:hideMark/>
          </w:tcPr>
          <w:p w14:paraId="0ACAD0E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976" w:type="dxa"/>
            <w:gridSpan w:val="2"/>
            <w:shd w:val="clear" w:color="auto" w:fill="auto"/>
            <w:noWrap/>
            <w:vAlign w:val="bottom"/>
            <w:hideMark/>
          </w:tcPr>
          <w:p w14:paraId="21BBE63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Weight (kg)</w:t>
            </w:r>
          </w:p>
        </w:tc>
        <w:tc>
          <w:tcPr>
            <w:tcW w:w="1538" w:type="dxa"/>
            <w:shd w:val="clear" w:color="auto" w:fill="auto"/>
            <w:noWrap/>
            <w:vAlign w:val="bottom"/>
            <w:hideMark/>
          </w:tcPr>
          <w:p w14:paraId="407C62D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10" w:type="dxa"/>
            <w:shd w:val="clear" w:color="auto" w:fill="auto"/>
            <w:noWrap/>
            <w:vAlign w:val="bottom"/>
            <w:hideMark/>
          </w:tcPr>
          <w:p w14:paraId="7EE994AB"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41" w:type="dxa"/>
            <w:shd w:val="clear" w:color="auto" w:fill="auto"/>
            <w:noWrap/>
            <w:vAlign w:val="bottom"/>
            <w:hideMark/>
          </w:tcPr>
          <w:p w14:paraId="61F962E6"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r>
      <w:tr w:rsidR="004C699D" w:rsidRPr="00D8663D" w14:paraId="05C54082" w14:textId="77777777" w:rsidTr="00743C9C">
        <w:trPr>
          <w:cantSplit/>
          <w:trHeight w:val="320"/>
        </w:trPr>
        <w:tc>
          <w:tcPr>
            <w:tcW w:w="449" w:type="dxa"/>
            <w:shd w:val="clear" w:color="auto" w:fill="auto"/>
            <w:noWrap/>
            <w:vAlign w:val="bottom"/>
            <w:hideMark/>
          </w:tcPr>
          <w:p w14:paraId="2B68BD1F"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6C2C155E"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723C9F72"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Mean (SD)</w:t>
            </w:r>
          </w:p>
        </w:tc>
        <w:tc>
          <w:tcPr>
            <w:tcW w:w="1538" w:type="dxa"/>
            <w:shd w:val="clear" w:color="auto" w:fill="auto"/>
            <w:noWrap/>
            <w:vAlign w:val="bottom"/>
            <w:hideMark/>
          </w:tcPr>
          <w:p w14:paraId="1ABDD2A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72</w:t>
            </w:r>
            <w:r w:rsidRPr="004C699D">
              <w:rPr>
                <w:sz w:val="24"/>
                <w:szCs w:val="24"/>
              </w:rPr>
              <w:t>·</w:t>
            </w:r>
            <w:r w:rsidRPr="004C699D">
              <w:rPr>
                <w:rFonts w:eastAsia="Times New Roman"/>
                <w:color w:val="000000"/>
                <w:sz w:val="24"/>
                <w:szCs w:val="24"/>
                <w:lang w:val="en-GB" w:eastAsia="en-GB"/>
              </w:rPr>
              <w:t>40(11</w:t>
            </w:r>
            <w:r w:rsidRPr="004C699D">
              <w:rPr>
                <w:sz w:val="24"/>
                <w:szCs w:val="24"/>
              </w:rPr>
              <w:t>·</w:t>
            </w:r>
            <w:r w:rsidRPr="004C699D">
              <w:rPr>
                <w:rFonts w:eastAsia="Times New Roman"/>
                <w:color w:val="000000"/>
                <w:sz w:val="24"/>
                <w:szCs w:val="24"/>
                <w:lang w:val="en-GB" w:eastAsia="en-GB"/>
              </w:rPr>
              <w:t>33)</w:t>
            </w:r>
          </w:p>
        </w:tc>
        <w:tc>
          <w:tcPr>
            <w:tcW w:w="1610" w:type="dxa"/>
            <w:shd w:val="clear" w:color="auto" w:fill="auto"/>
            <w:noWrap/>
            <w:vAlign w:val="bottom"/>
            <w:hideMark/>
          </w:tcPr>
          <w:p w14:paraId="7F46017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69</w:t>
            </w:r>
            <w:r w:rsidRPr="004C699D">
              <w:rPr>
                <w:sz w:val="24"/>
                <w:szCs w:val="24"/>
              </w:rPr>
              <w:t>·</w:t>
            </w:r>
            <w:r w:rsidRPr="004C699D">
              <w:rPr>
                <w:rFonts w:eastAsia="Times New Roman"/>
                <w:color w:val="000000"/>
                <w:sz w:val="24"/>
                <w:szCs w:val="24"/>
                <w:lang w:val="en-GB" w:eastAsia="en-GB"/>
              </w:rPr>
              <w:t>48(11</w:t>
            </w:r>
            <w:r w:rsidRPr="004C699D">
              <w:rPr>
                <w:sz w:val="24"/>
                <w:szCs w:val="24"/>
              </w:rPr>
              <w:t>·</w:t>
            </w:r>
            <w:r w:rsidRPr="004C699D">
              <w:rPr>
                <w:rFonts w:eastAsia="Times New Roman"/>
                <w:color w:val="000000"/>
                <w:sz w:val="24"/>
                <w:szCs w:val="24"/>
                <w:lang w:val="en-GB" w:eastAsia="en-GB"/>
              </w:rPr>
              <w:t>76)</w:t>
            </w:r>
          </w:p>
        </w:tc>
        <w:tc>
          <w:tcPr>
            <w:tcW w:w="1641" w:type="dxa"/>
            <w:shd w:val="clear" w:color="auto" w:fill="auto"/>
            <w:noWrap/>
            <w:vAlign w:val="bottom"/>
            <w:hideMark/>
          </w:tcPr>
          <w:p w14:paraId="3BB40F8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69</w:t>
            </w:r>
            <w:r w:rsidRPr="004C699D">
              <w:rPr>
                <w:sz w:val="24"/>
                <w:szCs w:val="24"/>
              </w:rPr>
              <w:t>·</w:t>
            </w:r>
            <w:r w:rsidRPr="004C699D">
              <w:rPr>
                <w:rFonts w:eastAsia="Times New Roman"/>
                <w:color w:val="000000"/>
                <w:sz w:val="24"/>
                <w:szCs w:val="24"/>
                <w:lang w:val="en-GB" w:eastAsia="en-GB"/>
              </w:rPr>
              <w:t>51(12</w:t>
            </w:r>
            <w:r w:rsidRPr="004C699D">
              <w:rPr>
                <w:sz w:val="24"/>
                <w:szCs w:val="24"/>
              </w:rPr>
              <w:t>·</w:t>
            </w:r>
            <w:r w:rsidRPr="004C699D">
              <w:rPr>
                <w:rFonts w:eastAsia="Times New Roman"/>
                <w:color w:val="000000"/>
                <w:sz w:val="24"/>
                <w:szCs w:val="24"/>
                <w:lang w:val="en-GB" w:eastAsia="en-GB"/>
              </w:rPr>
              <w:t>38)</w:t>
            </w:r>
          </w:p>
        </w:tc>
      </w:tr>
      <w:tr w:rsidR="004C699D" w:rsidRPr="00D8663D" w14:paraId="197F4AD8" w14:textId="77777777" w:rsidTr="00743C9C">
        <w:trPr>
          <w:cantSplit/>
          <w:trHeight w:val="320"/>
        </w:trPr>
        <w:tc>
          <w:tcPr>
            <w:tcW w:w="449" w:type="dxa"/>
            <w:shd w:val="clear" w:color="auto" w:fill="auto"/>
            <w:noWrap/>
            <w:vAlign w:val="bottom"/>
            <w:hideMark/>
          </w:tcPr>
          <w:p w14:paraId="7B487C1C"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26CE49EA"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52F666B4"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Median</w:t>
            </w:r>
          </w:p>
        </w:tc>
        <w:tc>
          <w:tcPr>
            <w:tcW w:w="1538" w:type="dxa"/>
            <w:shd w:val="clear" w:color="auto" w:fill="auto"/>
            <w:noWrap/>
            <w:vAlign w:val="bottom"/>
            <w:hideMark/>
          </w:tcPr>
          <w:p w14:paraId="51CEF948"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71</w:t>
            </w:r>
            <w:r w:rsidRPr="004C699D">
              <w:rPr>
                <w:sz w:val="24"/>
                <w:szCs w:val="24"/>
              </w:rPr>
              <w:t>·</w:t>
            </w:r>
            <w:r w:rsidRPr="004C699D">
              <w:rPr>
                <w:rFonts w:eastAsia="Times New Roman"/>
                <w:color w:val="000000"/>
                <w:sz w:val="24"/>
                <w:szCs w:val="24"/>
                <w:lang w:val="en-GB" w:eastAsia="en-GB"/>
              </w:rPr>
              <w:t>8</w:t>
            </w:r>
          </w:p>
        </w:tc>
        <w:tc>
          <w:tcPr>
            <w:tcW w:w="1610" w:type="dxa"/>
            <w:shd w:val="clear" w:color="auto" w:fill="auto"/>
            <w:noWrap/>
            <w:vAlign w:val="bottom"/>
            <w:hideMark/>
          </w:tcPr>
          <w:p w14:paraId="0C3E1C98"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71</w:t>
            </w:r>
            <w:r w:rsidRPr="004C699D">
              <w:rPr>
                <w:sz w:val="24"/>
                <w:szCs w:val="24"/>
              </w:rPr>
              <w:t>·</w:t>
            </w:r>
            <w:r w:rsidRPr="004C699D">
              <w:rPr>
                <w:rFonts w:eastAsia="Times New Roman"/>
                <w:color w:val="000000"/>
                <w:sz w:val="24"/>
                <w:szCs w:val="24"/>
                <w:lang w:val="en-GB" w:eastAsia="en-GB"/>
              </w:rPr>
              <w:t>57</w:t>
            </w:r>
          </w:p>
        </w:tc>
        <w:tc>
          <w:tcPr>
            <w:tcW w:w="1641" w:type="dxa"/>
            <w:shd w:val="clear" w:color="auto" w:fill="auto"/>
            <w:noWrap/>
            <w:vAlign w:val="bottom"/>
            <w:hideMark/>
          </w:tcPr>
          <w:p w14:paraId="45DBBA1A"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68</w:t>
            </w:r>
            <w:r w:rsidRPr="004C699D">
              <w:rPr>
                <w:sz w:val="24"/>
                <w:szCs w:val="24"/>
              </w:rPr>
              <w:t>·</w:t>
            </w:r>
            <w:r w:rsidRPr="004C699D">
              <w:rPr>
                <w:rFonts w:eastAsia="Times New Roman"/>
                <w:color w:val="000000"/>
                <w:sz w:val="24"/>
                <w:szCs w:val="24"/>
                <w:lang w:val="en-GB" w:eastAsia="en-GB"/>
              </w:rPr>
              <w:t>8</w:t>
            </w:r>
          </w:p>
        </w:tc>
      </w:tr>
      <w:tr w:rsidR="00743C9C" w:rsidRPr="00D8663D" w14:paraId="2941BB18" w14:textId="77777777" w:rsidTr="00743C9C">
        <w:trPr>
          <w:cantSplit/>
          <w:trHeight w:val="368"/>
        </w:trPr>
        <w:tc>
          <w:tcPr>
            <w:tcW w:w="449" w:type="dxa"/>
            <w:shd w:val="clear" w:color="auto" w:fill="auto"/>
            <w:noWrap/>
            <w:vAlign w:val="bottom"/>
            <w:hideMark/>
          </w:tcPr>
          <w:p w14:paraId="4366FA50"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976" w:type="dxa"/>
            <w:gridSpan w:val="2"/>
            <w:shd w:val="clear" w:color="auto" w:fill="auto"/>
            <w:noWrap/>
            <w:vAlign w:val="bottom"/>
            <w:hideMark/>
          </w:tcPr>
          <w:p w14:paraId="609DB19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BMI (kg/m</w:t>
            </w:r>
            <w:r w:rsidRPr="004C699D">
              <w:rPr>
                <w:rFonts w:eastAsia="Times New Roman"/>
                <w:color w:val="000000"/>
                <w:sz w:val="24"/>
                <w:szCs w:val="24"/>
                <w:vertAlign w:val="superscript"/>
                <w:lang w:val="en-GB" w:eastAsia="en-GB"/>
              </w:rPr>
              <w:t>2</w:t>
            </w:r>
            <w:r w:rsidRPr="004C699D">
              <w:rPr>
                <w:rFonts w:eastAsia="Times New Roman"/>
                <w:color w:val="000000"/>
                <w:sz w:val="24"/>
                <w:szCs w:val="24"/>
                <w:lang w:val="en-GB" w:eastAsia="en-GB"/>
              </w:rPr>
              <w:t>)</w:t>
            </w:r>
          </w:p>
        </w:tc>
        <w:tc>
          <w:tcPr>
            <w:tcW w:w="1538" w:type="dxa"/>
            <w:shd w:val="clear" w:color="auto" w:fill="auto"/>
            <w:noWrap/>
            <w:vAlign w:val="bottom"/>
            <w:hideMark/>
          </w:tcPr>
          <w:p w14:paraId="1CB2E89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10" w:type="dxa"/>
            <w:shd w:val="clear" w:color="auto" w:fill="auto"/>
            <w:noWrap/>
            <w:vAlign w:val="bottom"/>
            <w:hideMark/>
          </w:tcPr>
          <w:p w14:paraId="1691B09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1641" w:type="dxa"/>
            <w:shd w:val="clear" w:color="auto" w:fill="auto"/>
            <w:noWrap/>
            <w:vAlign w:val="bottom"/>
            <w:hideMark/>
          </w:tcPr>
          <w:p w14:paraId="6E2F57A1"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r>
      <w:tr w:rsidR="004C699D" w:rsidRPr="00D8663D" w14:paraId="595A6A90" w14:textId="77777777" w:rsidTr="00743C9C">
        <w:trPr>
          <w:cantSplit/>
          <w:trHeight w:val="320"/>
        </w:trPr>
        <w:tc>
          <w:tcPr>
            <w:tcW w:w="449" w:type="dxa"/>
            <w:shd w:val="clear" w:color="auto" w:fill="auto"/>
            <w:noWrap/>
            <w:vAlign w:val="bottom"/>
            <w:hideMark/>
          </w:tcPr>
          <w:p w14:paraId="59B34815"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541" w:type="dxa"/>
            <w:shd w:val="clear" w:color="auto" w:fill="auto"/>
            <w:noWrap/>
            <w:vAlign w:val="bottom"/>
            <w:hideMark/>
          </w:tcPr>
          <w:p w14:paraId="4DE1289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shd w:val="clear" w:color="auto" w:fill="auto"/>
            <w:noWrap/>
            <w:vAlign w:val="bottom"/>
            <w:hideMark/>
          </w:tcPr>
          <w:p w14:paraId="51DF165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 xml:space="preserve">Mean </w:t>
            </w:r>
          </w:p>
        </w:tc>
        <w:tc>
          <w:tcPr>
            <w:tcW w:w="1538" w:type="dxa"/>
            <w:shd w:val="clear" w:color="auto" w:fill="auto"/>
            <w:noWrap/>
            <w:vAlign w:val="bottom"/>
            <w:hideMark/>
          </w:tcPr>
          <w:p w14:paraId="76685673"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23</w:t>
            </w:r>
            <w:r w:rsidRPr="004C699D">
              <w:rPr>
                <w:sz w:val="24"/>
                <w:szCs w:val="24"/>
              </w:rPr>
              <w:t>·</w:t>
            </w:r>
            <w:r w:rsidRPr="004C699D">
              <w:rPr>
                <w:rFonts w:eastAsia="Times New Roman"/>
                <w:color w:val="000000"/>
                <w:sz w:val="24"/>
                <w:szCs w:val="24"/>
                <w:lang w:val="en-GB" w:eastAsia="en-GB"/>
              </w:rPr>
              <w:t>50(2</w:t>
            </w:r>
            <w:r w:rsidRPr="004C699D">
              <w:rPr>
                <w:sz w:val="24"/>
                <w:szCs w:val="24"/>
              </w:rPr>
              <w:t>·</w:t>
            </w:r>
            <w:r w:rsidRPr="004C699D">
              <w:rPr>
                <w:rFonts w:eastAsia="Times New Roman"/>
                <w:color w:val="000000"/>
                <w:sz w:val="24"/>
                <w:szCs w:val="24"/>
                <w:lang w:val="en-GB" w:eastAsia="en-GB"/>
              </w:rPr>
              <w:t>68)</w:t>
            </w:r>
          </w:p>
        </w:tc>
        <w:tc>
          <w:tcPr>
            <w:tcW w:w="1610" w:type="dxa"/>
            <w:shd w:val="clear" w:color="auto" w:fill="auto"/>
            <w:noWrap/>
            <w:vAlign w:val="bottom"/>
            <w:hideMark/>
          </w:tcPr>
          <w:p w14:paraId="1BC973FD"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23</w:t>
            </w:r>
            <w:r w:rsidRPr="004C699D">
              <w:rPr>
                <w:sz w:val="24"/>
                <w:szCs w:val="24"/>
              </w:rPr>
              <w:t>·</w:t>
            </w:r>
            <w:r w:rsidRPr="004C699D">
              <w:rPr>
                <w:rFonts w:eastAsia="Times New Roman"/>
                <w:color w:val="000000"/>
                <w:sz w:val="24"/>
                <w:szCs w:val="24"/>
                <w:lang w:val="en-GB" w:eastAsia="en-GB"/>
              </w:rPr>
              <w:t>12(2</w:t>
            </w:r>
            <w:r w:rsidRPr="004C699D">
              <w:rPr>
                <w:sz w:val="24"/>
                <w:szCs w:val="24"/>
              </w:rPr>
              <w:t>·</w:t>
            </w:r>
            <w:r w:rsidRPr="004C699D">
              <w:rPr>
                <w:rFonts w:eastAsia="Times New Roman"/>
                <w:color w:val="000000"/>
                <w:sz w:val="24"/>
                <w:szCs w:val="24"/>
                <w:lang w:val="en-GB" w:eastAsia="en-GB"/>
              </w:rPr>
              <w:t>62)</w:t>
            </w:r>
          </w:p>
        </w:tc>
        <w:tc>
          <w:tcPr>
            <w:tcW w:w="1641" w:type="dxa"/>
            <w:shd w:val="clear" w:color="auto" w:fill="auto"/>
            <w:noWrap/>
            <w:vAlign w:val="bottom"/>
            <w:hideMark/>
          </w:tcPr>
          <w:p w14:paraId="1A736E47" w14:textId="77777777" w:rsidR="004C699D" w:rsidRPr="004C699D" w:rsidRDefault="004C699D" w:rsidP="004B6F53">
            <w:pPr>
              <w:rPr>
                <w:rFonts w:eastAsia="Times New Roman"/>
                <w:color w:val="000000"/>
                <w:sz w:val="24"/>
                <w:szCs w:val="24"/>
                <w:lang w:val="en-GB" w:eastAsia="en-GB"/>
              </w:rPr>
            </w:pPr>
            <w:r w:rsidRPr="004C699D">
              <w:rPr>
                <w:rFonts w:eastAsia="Times New Roman"/>
                <w:color w:val="000000"/>
                <w:sz w:val="24"/>
                <w:szCs w:val="24"/>
                <w:lang w:val="en-GB" w:eastAsia="en-GB"/>
              </w:rPr>
              <w:t>23</w:t>
            </w:r>
            <w:r w:rsidRPr="004C699D">
              <w:rPr>
                <w:sz w:val="24"/>
                <w:szCs w:val="24"/>
              </w:rPr>
              <w:t>·</w:t>
            </w:r>
            <w:r w:rsidRPr="004C699D">
              <w:rPr>
                <w:rFonts w:eastAsia="Times New Roman"/>
                <w:color w:val="000000"/>
                <w:sz w:val="24"/>
                <w:szCs w:val="24"/>
                <w:lang w:val="en-GB" w:eastAsia="en-GB"/>
              </w:rPr>
              <w:t>54(3</w:t>
            </w:r>
            <w:r w:rsidRPr="004C699D">
              <w:rPr>
                <w:sz w:val="24"/>
                <w:szCs w:val="24"/>
              </w:rPr>
              <w:t>·</w:t>
            </w:r>
            <w:r w:rsidRPr="004C699D">
              <w:rPr>
                <w:rFonts w:eastAsia="Times New Roman"/>
                <w:color w:val="000000"/>
                <w:sz w:val="24"/>
                <w:szCs w:val="24"/>
                <w:lang w:val="en-GB" w:eastAsia="en-GB"/>
              </w:rPr>
              <w:t>31)</w:t>
            </w:r>
          </w:p>
        </w:tc>
      </w:tr>
      <w:tr w:rsidR="004C699D" w:rsidRPr="00D8663D" w14:paraId="60A1EBFF" w14:textId="77777777" w:rsidTr="00743C9C">
        <w:trPr>
          <w:cantSplit/>
          <w:trHeight w:val="320"/>
        </w:trPr>
        <w:tc>
          <w:tcPr>
            <w:tcW w:w="449" w:type="dxa"/>
            <w:tcBorders>
              <w:bottom w:val="single" w:sz="4" w:space="0" w:color="auto"/>
            </w:tcBorders>
            <w:shd w:val="clear" w:color="auto" w:fill="auto"/>
            <w:noWrap/>
            <w:vAlign w:val="bottom"/>
          </w:tcPr>
          <w:p w14:paraId="7CB70F2B" w14:textId="77777777" w:rsidR="004C699D" w:rsidRPr="004C699D" w:rsidRDefault="004C699D" w:rsidP="004B6F53">
            <w:pPr>
              <w:rPr>
                <w:rFonts w:eastAsia="Times New Roman"/>
                <w:color w:val="000000"/>
                <w:sz w:val="24"/>
                <w:szCs w:val="24"/>
                <w:lang w:val="en-GB" w:eastAsia="en-GB"/>
              </w:rPr>
            </w:pPr>
          </w:p>
        </w:tc>
        <w:tc>
          <w:tcPr>
            <w:tcW w:w="541" w:type="dxa"/>
            <w:tcBorders>
              <w:bottom w:val="single" w:sz="4" w:space="0" w:color="auto"/>
            </w:tcBorders>
            <w:shd w:val="clear" w:color="auto" w:fill="auto"/>
            <w:noWrap/>
            <w:vAlign w:val="bottom"/>
          </w:tcPr>
          <w:p w14:paraId="15CDE44D" w14:textId="77777777" w:rsidR="004C699D" w:rsidRPr="004C699D" w:rsidRDefault="004C699D" w:rsidP="004B6F53">
            <w:pPr>
              <w:spacing w:after="100" w:afterAutospacing="1"/>
              <w:rPr>
                <w:rFonts w:eastAsia="Times New Roman"/>
                <w:color w:val="000000"/>
                <w:sz w:val="24"/>
                <w:szCs w:val="24"/>
                <w:lang w:val="en-GB" w:eastAsia="en-GB"/>
              </w:rPr>
            </w:pPr>
            <w:r w:rsidRPr="004C699D">
              <w:rPr>
                <w:rFonts w:eastAsia="Times New Roman"/>
                <w:color w:val="000000"/>
                <w:sz w:val="24"/>
                <w:szCs w:val="24"/>
                <w:lang w:val="en-GB" w:eastAsia="en-GB"/>
              </w:rPr>
              <w:t> </w:t>
            </w:r>
          </w:p>
        </w:tc>
        <w:tc>
          <w:tcPr>
            <w:tcW w:w="3435" w:type="dxa"/>
            <w:tcBorders>
              <w:bottom w:val="single" w:sz="4" w:space="0" w:color="auto"/>
            </w:tcBorders>
            <w:shd w:val="clear" w:color="auto" w:fill="auto"/>
            <w:noWrap/>
            <w:vAlign w:val="bottom"/>
          </w:tcPr>
          <w:p w14:paraId="16BC253B" w14:textId="77777777" w:rsidR="004C699D" w:rsidRPr="004C699D" w:rsidRDefault="004C699D" w:rsidP="004B6F53">
            <w:pPr>
              <w:spacing w:after="100" w:afterAutospacing="1"/>
              <w:rPr>
                <w:rFonts w:eastAsia="Times New Roman"/>
                <w:color w:val="000000"/>
                <w:sz w:val="24"/>
                <w:szCs w:val="24"/>
                <w:lang w:val="en-GB" w:eastAsia="en-GB"/>
              </w:rPr>
            </w:pPr>
            <w:r w:rsidRPr="004C699D">
              <w:rPr>
                <w:rFonts w:eastAsia="Times New Roman"/>
                <w:color w:val="000000"/>
                <w:sz w:val="24"/>
                <w:szCs w:val="24"/>
                <w:lang w:val="en-GB" w:eastAsia="en-GB"/>
              </w:rPr>
              <w:t>Median</w:t>
            </w:r>
          </w:p>
        </w:tc>
        <w:tc>
          <w:tcPr>
            <w:tcW w:w="1538" w:type="dxa"/>
            <w:tcBorders>
              <w:bottom w:val="single" w:sz="4" w:space="0" w:color="auto"/>
            </w:tcBorders>
            <w:shd w:val="clear" w:color="auto" w:fill="auto"/>
            <w:noWrap/>
            <w:vAlign w:val="bottom"/>
          </w:tcPr>
          <w:p w14:paraId="4AED184F" w14:textId="77777777" w:rsidR="004C699D" w:rsidRPr="004C699D" w:rsidRDefault="004C699D" w:rsidP="004B6F53">
            <w:pPr>
              <w:spacing w:after="100" w:afterAutospacing="1"/>
              <w:rPr>
                <w:rFonts w:eastAsia="Times New Roman"/>
                <w:color w:val="000000"/>
                <w:sz w:val="24"/>
                <w:szCs w:val="24"/>
                <w:lang w:val="en-GB" w:eastAsia="en-GB"/>
              </w:rPr>
            </w:pPr>
            <w:r w:rsidRPr="004C699D">
              <w:rPr>
                <w:rFonts w:eastAsia="Times New Roman"/>
                <w:color w:val="000000"/>
                <w:sz w:val="24"/>
                <w:szCs w:val="24"/>
                <w:lang w:val="en-GB" w:eastAsia="en-GB"/>
              </w:rPr>
              <w:t>23</w:t>
            </w:r>
            <w:r w:rsidRPr="004C699D">
              <w:rPr>
                <w:sz w:val="24"/>
                <w:szCs w:val="24"/>
              </w:rPr>
              <w:t>·</w:t>
            </w:r>
            <w:r w:rsidRPr="004C699D">
              <w:rPr>
                <w:rFonts w:eastAsia="Times New Roman"/>
                <w:color w:val="000000"/>
                <w:sz w:val="24"/>
                <w:szCs w:val="24"/>
                <w:lang w:val="en-GB" w:eastAsia="en-GB"/>
              </w:rPr>
              <w:t>65</w:t>
            </w:r>
          </w:p>
        </w:tc>
        <w:tc>
          <w:tcPr>
            <w:tcW w:w="1610" w:type="dxa"/>
            <w:tcBorders>
              <w:bottom w:val="single" w:sz="4" w:space="0" w:color="auto"/>
            </w:tcBorders>
            <w:shd w:val="clear" w:color="auto" w:fill="auto"/>
            <w:noWrap/>
            <w:vAlign w:val="bottom"/>
          </w:tcPr>
          <w:p w14:paraId="04CA5A4E" w14:textId="77777777" w:rsidR="004C699D" w:rsidRPr="004C699D" w:rsidRDefault="004C699D" w:rsidP="004B6F53">
            <w:pPr>
              <w:spacing w:after="100" w:afterAutospacing="1"/>
              <w:rPr>
                <w:rFonts w:eastAsia="Times New Roman"/>
                <w:color w:val="000000"/>
                <w:sz w:val="24"/>
                <w:szCs w:val="24"/>
                <w:lang w:val="en-GB" w:eastAsia="en-GB"/>
              </w:rPr>
            </w:pPr>
            <w:r w:rsidRPr="004C699D">
              <w:rPr>
                <w:rFonts w:eastAsia="Times New Roman"/>
                <w:color w:val="000000"/>
                <w:sz w:val="24"/>
                <w:szCs w:val="24"/>
                <w:lang w:val="en-GB" w:eastAsia="en-GB"/>
              </w:rPr>
              <w:t>23</w:t>
            </w:r>
            <w:r w:rsidRPr="004C699D">
              <w:rPr>
                <w:sz w:val="24"/>
                <w:szCs w:val="24"/>
              </w:rPr>
              <w:t>·</w:t>
            </w:r>
            <w:r w:rsidRPr="004C699D">
              <w:rPr>
                <w:rFonts w:eastAsia="Times New Roman"/>
                <w:color w:val="000000"/>
                <w:sz w:val="24"/>
                <w:szCs w:val="24"/>
                <w:lang w:val="en-GB" w:eastAsia="en-GB"/>
              </w:rPr>
              <w:t>2</w:t>
            </w:r>
          </w:p>
        </w:tc>
        <w:tc>
          <w:tcPr>
            <w:tcW w:w="1641" w:type="dxa"/>
            <w:tcBorders>
              <w:bottom w:val="single" w:sz="4" w:space="0" w:color="auto"/>
            </w:tcBorders>
            <w:shd w:val="clear" w:color="auto" w:fill="auto"/>
            <w:noWrap/>
            <w:vAlign w:val="bottom"/>
          </w:tcPr>
          <w:p w14:paraId="61F72060" w14:textId="77777777" w:rsidR="004C699D" w:rsidRPr="004C699D" w:rsidRDefault="004C699D" w:rsidP="004B6F53">
            <w:pPr>
              <w:spacing w:after="100" w:afterAutospacing="1"/>
              <w:rPr>
                <w:rFonts w:eastAsia="Times New Roman"/>
                <w:color w:val="000000"/>
                <w:sz w:val="24"/>
                <w:szCs w:val="24"/>
                <w:lang w:val="en-GB" w:eastAsia="en-GB"/>
              </w:rPr>
            </w:pPr>
            <w:r w:rsidRPr="004C699D">
              <w:rPr>
                <w:rFonts w:eastAsia="Times New Roman"/>
                <w:color w:val="000000"/>
                <w:sz w:val="24"/>
                <w:szCs w:val="24"/>
                <w:lang w:val="en-GB" w:eastAsia="en-GB"/>
              </w:rPr>
              <w:t>23</w:t>
            </w:r>
            <w:r w:rsidRPr="004C699D">
              <w:rPr>
                <w:sz w:val="24"/>
                <w:szCs w:val="24"/>
              </w:rPr>
              <w:t>·</w:t>
            </w:r>
            <w:r w:rsidRPr="004C699D">
              <w:rPr>
                <w:rFonts w:eastAsia="Times New Roman"/>
                <w:color w:val="000000"/>
                <w:sz w:val="24"/>
                <w:szCs w:val="24"/>
                <w:lang w:val="en-GB" w:eastAsia="en-GB"/>
              </w:rPr>
              <w:t>56</w:t>
            </w:r>
          </w:p>
        </w:tc>
      </w:tr>
    </w:tbl>
    <w:p w14:paraId="3103F104" w14:textId="77777777" w:rsidR="0005494A" w:rsidRDefault="0005494A" w:rsidP="004C699D">
      <w:pPr>
        <w:spacing w:line="480" w:lineRule="auto"/>
        <w:rPr>
          <w:rFonts w:eastAsia="Times New Roman"/>
          <w:b/>
          <w:sz w:val="24"/>
          <w:szCs w:val="24"/>
        </w:rPr>
      </w:pPr>
    </w:p>
    <w:p w14:paraId="119159AA" w14:textId="63303CDA" w:rsidR="0015490E" w:rsidRDefault="0015490E" w:rsidP="004C699D">
      <w:pPr>
        <w:spacing w:line="480" w:lineRule="auto"/>
        <w:jc w:val="both"/>
        <w:rPr>
          <w:rFonts w:eastAsia="Times New Roman"/>
          <w:sz w:val="24"/>
          <w:szCs w:val="24"/>
        </w:rPr>
      </w:pPr>
      <w:r w:rsidRPr="004C699D">
        <w:rPr>
          <w:rFonts w:eastAsia="Times New Roman"/>
          <w:b/>
          <w:sz w:val="24"/>
          <w:szCs w:val="24"/>
        </w:rPr>
        <w:t>Table 1.</w:t>
      </w:r>
      <w:r w:rsidRPr="004C699D">
        <w:rPr>
          <w:rFonts w:eastAsia="Times New Roman"/>
          <w:sz w:val="24"/>
          <w:szCs w:val="24"/>
        </w:rPr>
        <w:t xml:space="preserve"> Subject baseline physical and demographic characteristics.</w:t>
      </w:r>
    </w:p>
    <w:p w14:paraId="4C9B5874" w14:textId="108BC9BD" w:rsidR="00EA2153" w:rsidRDefault="00EA2153">
      <w:pPr>
        <w:rPr>
          <w:rFonts w:eastAsia="Times New Roman"/>
          <w:sz w:val="24"/>
          <w:szCs w:val="24"/>
        </w:rPr>
      </w:pPr>
      <w:r>
        <w:rPr>
          <w:rFonts w:eastAsia="Times New Roman"/>
          <w:sz w:val="24"/>
          <w:szCs w:val="24"/>
        </w:rPr>
        <w:br w:type="page"/>
      </w:r>
    </w:p>
    <w:tbl>
      <w:tblPr>
        <w:tblW w:w="9067" w:type="dxa"/>
        <w:tblLook w:val="04A0" w:firstRow="1" w:lastRow="0" w:firstColumn="1" w:lastColumn="0" w:noHBand="0" w:noVBand="1"/>
      </w:tblPr>
      <w:tblGrid>
        <w:gridCol w:w="278"/>
        <w:gridCol w:w="396"/>
        <w:gridCol w:w="8393"/>
      </w:tblGrid>
      <w:tr w:rsidR="00EA2153" w:rsidRPr="00664D07" w14:paraId="14125951" w14:textId="77777777" w:rsidTr="00B42ED8">
        <w:trPr>
          <w:trHeight w:val="284"/>
        </w:trPr>
        <w:tc>
          <w:tcPr>
            <w:tcW w:w="278" w:type="dxa"/>
            <w:tcBorders>
              <w:top w:val="single" w:sz="4" w:space="0" w:color="auto"/>
              <w:bottom w:val="single" w:sz="4" w:space="0" w:color="auto"/>
            </w:tcBorders>
            <w:shd w:val="clear" w:color="auto" w:fill="auto"/>
          </w:tcPr>
          <w:p w14:paraId="268C35DB" w14:textId="0C0601EE" w:rsidR="00EA2153" w:rsidRPr="00664D07" w:rsidRDefault="00743C9C" w:rsidP="00B42ED8">
            <w:pPr>
              <w:rPr>
                <w:sz w:val="24"/>
                <w:szCs w:val="24"/>
                <w:lang w:val="en-GB"/>
              </w:rPr>
            </w:pPr>
            <w:r>
              <w:rPr>
                <w:lang w:val="en-GB"/>
              </w:rPr>
              <w:lastRenderedPageBreak/>
              <w:br w:type="page"/>
            </w:r>
            <w:r w:rsidR="00EA2153">
              <w:rPr>
                <w:lang w:val="en-GB"/>
              </w:rPr>
              <w:br w:type="page"/>
            </w:r>
          </w:p>
        </w:tc>
        <w:tc>
          <w:tcPr>
            <w:tcW w:w="8789" w:type="dxa"/>
            <w:gridSpan w:val="2"/>
            <w:tcBorders>
              <w:top w:val="single" w:sz="4" w:space="0" w:color="auto"/>
              <w:bottom w:val="single" w:sz="4" w:space="0" w:color="auto"/>
            </w:tcBorders>
            <w:shd w:val="clear" w:color="auto" w:fill="auto"/>
          </w:tcPr>
          <w:p w14:paraId="6BFAEAE6" w14:textId="77777777" w:rsidR="00EA2153" w:rsidRPr="00664D07" w:rsidRDefault="00EA2153" w:rsidP="00B42ED8">
            <w:pPr>
              <w:rPr>
                <w:b/>
                <w:lang w:val="en-GB"/>
              </w:rPr>
            </w:pPr>
            <w:r w:rsidRPr="00664D07">
              <w:rPr>
                <w:b/>
                <w:lang w:val="en-GB"/>
              </w:rPr>
              <w:t>Applicable to sentinel cohorts</w:t>
            </w:r>
          </w:p>
        </w:tc>
      </w:tr>
      <w:tr w:rsidR="00EA2153" w:rsidRPr="00664D07" w14:paraId="0C331DB7" w14:textId="77777777" w:rsidTr="00B42ED8">
        <w:trPr>
          <w:trHeight w:val="284"/>
        </w:trPr>
        <w:tc>
          <w:tcPr>
            <w:tcW w:w="278" w:type="dxa"/>
            <w:tcBorders>
              <w:top w:val="single" w:sz="4" w:space="0" w:color="auto"/>
            </w:tcBorders>
            <w:shd w:val="clear" w:color="auto" w:fill="auto"/>
          </w:tcPr>
          <w:p w14:paraId="1EF9314C" w14:textId="77777777" w:rsidR="00EA2153" w:rsidRPr="00664D07" w:rsidRDefault="00EA2153" w:rsidP="00B42ED8">
            <w:pPr>
              <w:rPr>
                <w:sz w:val="24"/>
                <w:szCs w:val="24"/>
                <w:lang w:val="en-GB"/>
              </w:rPr>
            </w:pPr>
          </w:p>
        </w:tc>
        <w:tc>
          <w:tcPr>
            <w:tcW w:w="396" w:type="dxa"/>
            <w:tcBorders>
              <w:top w:val="single" w:sz="4" w:space="0" w:color="auto"/>
            </w:tcBorders>
            <w:shd w:val="clear" w:color="auto" w:fill="auto"/>
          </w:tcPr>
          <w:p w14:paraId="58E50547" w14:textId="77777777" w:rsidR="00EA2153" w:rsidRPr="00664D07" w:rsidRDefault="00EA2153" w:rsidP="00B42ED8">
            <w:pPr>
              <w:rPr>
                <w:sz w:val="16"/>
                <w:szCs w:val="16"/>
                <w:lang w:val="en-GB"/>
              </w:rPr>
            </w:pPr>
            <w:r w:rsidRPr="00664D07">
              <w:rPr>
                <w:sz w:val="16"/>
                <w:szCs w:val="16"/>
                <w:lang w:val="en-GB"/>
              </w:rPr>
              <w:t>1.</w:t>
            </w:r>
          </w:p>
        </w:tc>
        <w:tc>
          <w:tcPr>
            <w:tcW w:w="8393" w:type="dxa"/>
            <w:tcBorders>
              <w:top w:val="single" w:sz="4" w:space="0" w:color="auto"/>
            </w:tcBorders>
            <w:shd w:val="clear" w:color="auto" w:fill="auto"/>
          </w:tcPr>
          <w:p w14:paraId="6508585F" w14:textId="77777777" w:rsidR="00EA2153" w:rsidRPr="00664D07" w:rsidRDefault="00EA2153" w:rsidP="00B42ED8">
            <w:pPr>
              <w:jc w:val="both"/>
              <w:rPr>
                <w:sz w:val="16"/>
                <w:szCs w:val="16"/>
                <w:lang w:val="en-GB"/>
              </w:rPr>
            </w:pPr>
            <w:r w:rsidRPr="00664D07">
              <w:rPr>
                <w:sz w:val="16"/>
                <w:szCs w:val="16"/>
                <w:lang w:val="en-GB"/>
              </w:rPr>
              <w:t>Occurrence of any death</w:t>
            </w:r>
          </w:p>
        </w:tc>
      </w:tr>
      <w:tr w:rsidR="00EA2153" w:rsidRPr="00664D07" w14:paraId="57D5B2D1" w14:textId="77777777" w:rsidTr="00B42ED8">
        <w:trPr>
          <w:trHeight w:val="284"/>
        </w:trPr>
        <w:tc>
          <w:tcPr>
            <w:tcW w:w="278" w:type="dxa"/>
            <w:shd w:val="clear" w:color="auto" w:fill="auto"/>
          </w:tcPr>
          <w:p w14:paraId="2007A9DC" w14:textId="77777777" w:rsidR="00EA2153" w:rsidRPr="00664D07" w:rsidRDefault="00EA2153" w:rsidP="00B42ED8">
            <w:pPr>
              <w:rPr>
                <w:sz w:val="24"/>
                <w:szCs w:val="24"/>
                <w:lang w:val="en-GB"/>
              </w:rPr>
            </w:pPr>
          </w:p>
        </w:tc>
        <w:tc>
          <w:tcPr>
            <w:tcW w:w="396" w:type="dxa"/>
            <w:shd w:val="clear" w:color="auto" w:fill="auto"/>
          </w:tcPr>
          <w:p w14:paraId="610C0F1F" w14:textId="77777777" w:rsidR="00EA2153" w:rsidRPr="00664D07" w:rsidRDefault="00EA2153" w:rsidP="00B42ED8">
            <w:pPr>
              <w:rPr>
                <w:sz w:val="16"/>
                <w:szCs w:val="16"/>
                <w:lang w:val="en-GB"/>
              </w:rPr>
            </w:pPr>
            <w:r w:rsidRPr="00664D07">
              <w:rPr>
                <w:sz w:val="16"/>
                <w:szCs w:val="16"/>
                <w:lang w:val="en-GB"/>
              </w:rPr>
              <w:t>2.</w:t>
            </w:r>
          </w:p>
        </w:tc>
        <w:tc>
          <w:tcPr>
            <w:tcW w:w="8393" w:type="dxa"/>
            <w:shd w:val="clear" w:color="auto" w:fill="auto"/>
          </w:tcPr>
          <w:p w14:paraId="26AD0CED" w14:textId="77777777" w:rsidR="00EA2153" w:rsidRPr="00664D07" w:rsidRDefault="00EA2153" w:rsidP="00B42ED8">
            <w:pPr>
              <w:jc w:val="both"/>
              <w:rPr>
                <w:sz w:val="16"/>
                <w:szCs w:val="16"/>
                <w:lang w:val="en-GB"/>
              </w:rPr>
            </w:pPr>
            <w:r w:rsidRPr="00664D07">
              <w:rPr>
                <w:sz w:val="16"/>
                <w:szCs w:val="16"/>
                <w:lang w:val="en-GB"/>
              </w:rPr>
              <w:t>Occurrence of any serious adverse event, defined as life threatening, requiring hospitalization, resulting in a persistent or significant disability/incapacity, a congenital anomaly or birth defect in the offspring of a study participant, or a medically important condition that may have jeopardized the subject and may have required medical or surgical intervention to prevent a serious outcome</w:t>
            </w:r>
          </w:p>
        </w:tc>
      </w:tr>
      <w:tr w:rsidR="00EA2153" w:rsidRPr="00664D07" w14:paraId="13F0BF95" w14:textId="77777777" w:rsidTr="00B42ED8">
        <w:trPr>
          <w:trHeight w:val="284"/>
        </w:trPr>
        <w:tc>
          <w:tcPr>
            <w:tcW w:w="278" w:type="dxa"/>
            <w:shd w:val="clear" w:color="auto" w:fill="auto"/>
          </w:tcPr>
          <w:p w14:paraId="3C39EA25" w14:textId="77777777" w:rsidR="00EA2153" w:rsidRPr="00664D07" w:rsidRDefault="00EA2153" w:rsidP="00B42ED8">
            <w:pPr>
              <w:rPr>
                <w:sz w:val="24"/>
                <w:szCs w:val="24"/>
                <w:lang w:val="en-GB"/>
              </w:rPr>
            </w:pPr>
          </w:p>
        </w:tc>
        <w:tc>
          <w:tcPr>
            <w:tcW w:w="396" w:type="dxa"/>
            <w:shd w:val="clear" w:color="auto" w:fill="auto"/>
          </w:tcPr>
          <w:p w14:paraId="14D86EB4" w14:textId="77777777" w:rsidR="00EA2153" w:rsidRPr="00664D07" w:rsidRDefault="00EA2153" w:rsidP="00B42ED8">
            <w:pPr>
              <w:rPr>
                <w:sz w:val="16"/>
                <w:szCs w:val="16"/>
                <w:lang w:val="en-GB"/>
              </w:rPr>
            </w:pPr>
            <w:r w:rsidRPr="00664D07">
              <w:rPr>
                <w:sz w:val="16"/>
                <w:szCs w:val="16"/>
                <w:lang w:val="en-GB"/>
              </w:rPr>
              <w:t>3.</w:t>
            </w:r>
          </w:p>
        </w:tc>
        <w:tc>
          <w:tcPr>
            <w:tcW w:w="8393" w:type="dxa"/>
            <w:shd w:val="clear" w:color="auto" w:fill="auto"/>
          </w:tcPr>
          <w:p w14:paraId="4E1B9A06" w14:textId="77777777" w:rsidR="00EA2153" w:rsidRPr="00664D07" w:rsidRDefault="00EA2153" w:rsidP="00B42ED8">
            <w:pPr>
              <w:jc w:val="both"/>
              <w:rPr>
                <w:sz w:val="16"/>
                <w:szCs w:val="16"/>
                <w:lang w:val="en-GB"/>
              </w:rPr>
            </w:pPr>
            <w:r w:rsidRPr="00664D07">
              <w:rPr>
                <w:sz w:val="16"/>
                <w:szCs w:val="16"/>
                <w:lang w:val="en-GB"/>
              </w:rPr>
              <w:t>Occurrence of any case of severe allergic reaction such as anaphylaxis, generalized urticaria, laryngospasm or bronchospasm</w:t>
            </w:r>
          </w:p>
        </w:tc>
      </w:tr>
      <w:tr w:rsidR="00EA2153" w:rsidRPr="00664D07" w14:paraId="2A4DED92" w14:textId="77777777" w:rsidTr="00B42ED8">
        <w:trPr>
          <w:trHeight w:val="284"/>
        </w:trPr>
        <w:tc>
          <w:tcPr>
            <w:tcW w:w="278" w:type="dxa"/>
            <w:tcBorders>
              <w:bottom w:val="single" w:sz="4" w:space="0" w:color="auto"/>
            </w:tcBorders>
            <w:shd w:val="clear" w:color="auto" w:fill="auto"/>
          </w:tcPr>
          <w:p w14:paraId="15F28415" w14:textId="77777777" w:rsidR="00EA2153" w:rsidRPr="00664D07" w:rsidRDefault="00EA2153" w:rsidP="00B42ED8">
            <w:pPr>
              <w:rPr>
                <w:sz w:val="24"/>
                <w:szCs w:val="24"/>
                <w:lang w:val="en-GB"/>
              </w:rPr>
            </w:pPr>
          </w:p>
        </w:tc>
        <w:tc>
          <w:tcPr>
            <w:tcW w:w="396" w:type="dxa"/>
            <w:tcBorders>
              <w:bottom w:val="single" w:sz="4" w:space="0" w:color="auto"/>
            </w:tcBorders>
            <w:shd w:val="clear" w:color="auto" w:fill="auto"/>
          </w:tcPr>
          <w:p w14:paraId="13C1E203" w14:textId="77777777" w:rsidR="00EA2153" w:rsidRPr="00664D07" w:rsidRDefault="00EA2153" w:rsidP="00B42ED8">
            <w:pPr>
              <w:rPr>
                <w:sz w:val="16"/>
                <w:szCs w:val="16"/>
                <w:lang w:val="en-GB"/>
              </w:rPr>
            </w:pPr>
            <w:r w:rsidRPr="00664D07">
              <w:rPr>
                <w:sz w:val="16"/>
                <w:szCs w:val="16"/>
                <w:lang w:val="en-GB"/>
              </w:rPr>
              <w:t>4.</w:t>
            </w:r>
          </w:p>
        </w:tc>
        <w:tc>
          <w:tcPr>
            <w:tcW w:w="8393" w:type="dxa"/>
            <w:tcBorders>
              <w:bottom w:val="single" w:sz="4" w:space="0" w:color="auto"/>
            </w:tcBorders>
            <w:shd w:val="clear" w:color="auto" w:fill="auto"/>
          </w:tcPr>
          <w:p w14:paraId="10085267" w14:textId="77777777" w:rsidR="00EA2153" w:rsidRPr="00664D07" w:rsidRDefault="00EA2153" w:rsidP="00B42ED8">
            <w:pPr>
              <w:jc w:val="both"/>
              <w:rPr>
                <w:sz w:val="16"/>
                <w:szCs w:val="16"/>
                <w:lang w:val="en-GB"/>
              </w:rPr>
            </w:pPr>
            <w:r w:rsidRPr="00664D07">
              <w:rPr>
                <w:sz w:val="16"/>
                <w:szCs w:val="16"/>
                <w:lang w:val="en-GB"/>
              </w:rPr>
              <w:t>One or more subjects experience a severe (non-serious) adverse event, including local, febrile or systemic reactions</w:t>
            </w:r>
          </w:p>
        </w:tc>
      </w:tr>
      <w:tr w:rsidR="00EA2153" w:rsidRPr="00664D07" w14:paraId="253395E6" w14:textId="77777777" w:rsidTr="00B42ED8">
        <w:trPr>
          <w:trHeight w:val="284"/>
        </w:trPr>
        <w:tc>
          <w:tcPr>
            <w:tcW w:w="278" w:type="dxa"/>
            <w:tcBorders>
              <w:top w:val="single" w:sz="4" w:space="0" w:color="auto"/>
              <w:bottom w:val="single" w:sz="4" w:space="0" w:color="auto"/>
            </w:tcBorders>
            <w:shd w:val="clear" w:color="auto" w:fill="auto"/>
          </w:tcPr>
          <w:p w14:paraId="0A9FBDB4" w14:textId="77777777" w:rsidR="00EA2153" w:rsidRPr="00664D07" w:rsidRDefault="00EA2153" w:rsidP="00B42ED8">
            <w:pPr>
              <w:rPr>
                <w:sz w:val="24"/>
                <w:szCs w:val="24"/>
                <w:lang w:val="en-GB"/>
              </w:rPr>
            </w:pPr>
          </w:p>
        </w:tc>
        <w:tc>
          <w:tcPr>
            <w:tcW w:w="8789" w:type="dxa"/>
            <w:gridSpan w:val="2"/>
            <w:tcBorders>
              <w:top w:val="single" w:sz="4" w:space="0" w:color="auto"/>
              <w:bottom w:val="single" w:sz="4" w:space="0" w:color="auto"/>
            </w:tcBorders>
            <w:shd w:val="clear" w:color="auto" w:fill="auto"/>
          </w:tcPr>
          <w:p w14:paraId="2D3D56B1" w14:textId="77777777" w:rsidR="00EA2153" w:rsidRPr="00664D07" w:rsidRDefault="00EA2153" w:rsidP="00B42ED8">
            <w:pPr>
              <w:rPr>
                <w:b/>
                <w:sz w:val="16"/>
                <w:szCs w:val="16"/>
                <w:lang w:val="en-GB"/>
              </w:rPr>
            </w:pPr>
            <w:r w:rsidRPr="00664D07">
              <w:rPr>
                <w:b/>
                <w:sz w:val="16"/>
                <w:szCs w:val="16"/>
                <w:lang w:val="en-GB"/>
              </w:rPr>
              <w:t>Applicable to post-sentinel cohorts</w:t>
            </w:r>
          </w:p>
        </w:tc>
      </w:tr>
      <w:tr w:rsidR="00EA2153" w:rsidRPr="00664D07" w14:paraId="217C5BA7" w14:textId="77777777" w:rsidTr="00B42ED8">
        <w:trPr>
          <w:trHeight w:val="284"/>
        </w:trPr>
        <w:tc>
          <w:tcPr>
            <w:tcW w:w="278" w:type="dxa"/>
            <w:tcBorders>
              <w:top w:val="single" w:sz="4" w:space="0" w:color="auto"/>
            </w:tcBorders>
            <w:shd w:val="clear" w:color="auto" w:fill="auto"/>
          </w:tcPr>
          <w:p w14:paraId="470A6AFA" w14:textId="77777777" w:rsidR="00EA2153" w:rsidRPr="00664D07" w:rsidRDefault="00EA2153" w:rsidP="00B42ED8">
            <w:pPr>
              <w:rPr>
                <w:sz w:val="24"/>
                <w:szCs w:val="24"/>
                <w:lang w:val="en-GB"/>
              </w:rPr>
            </w:pPr>
          </w:p>
        </w:tc>
        <w:tc>
          <w:tcPr>
            <w:tcW w:w="396" w:type="dxa"/>
            <w:tcBorders>
              <w:top w:val="single" w:sz="4" w:space="0" w:color="auto"/>
            </w:tcBorders>
            <w:shd w:val="clear" w:color="auto" w:fill="auto"/>
          </w:tcPr>
          <w:p w14:paraId="75B6CB2A" w14:textId="77777777" w:rsidR="00EA2153" w:rsidRPr="00664D07" w:rsidRDefault="00EA2153" w:rsidP="00B42ED8">
            <w:pPr>
              <w:rPr>
                <w:sz w:val="16"/>
                <w:szCs w:val="16"/>
                <w:lang w:val="en-GB"/>
              </w:rPr>
            </w:pPr>
            <w:r w:rsidRPr="00664D07">
              <w:rPr>
                <w:sz w:val="16"/>
                <w:szCs w:val="16"/>
                <w:lang w:val="en-GB"/>
              </w:rPr>
              <w:t>1.</w:t>
            </w:r>
          </w:p>
        </w:tc>
        <w:tc>
          <w:tcPr>
            <w:tcW w:w="8393" w:type="dxa"/>
            <w:tcBorders>
              <w:top w:val="single" w:sz="4" w:space="0" w:color="auto"/>
            </w:tcBorders>
            <w:shd w:val="clear" w:color="auto" w:fill="auto"/>
          </w:tcPr>
          <w:p w14:paraId="009CFC01" w14:textId="77777777" w:rsidR="00EA2153" w:rsidRPr="00664D07" w:rsidRDefault="00EA2153" w:rsidP="00B42ED8">
            <w:pPr>
              <w:jc w:val="both"/>
              <w:rPr>
                <w:sz w:val="16"/>
                <w:szCs w:val="16"/>
                <w:lang w:val="en-GB"/>
              </w:rPr>
            </w:pPr>
            <w:r w:rsidRPr="00664D07">
              <w:rPr>
                <w:sz w:val="16"/>
                <w:szCs w:val="16"/>
                <w:lang w:val="en-GB"/>
              </w:rPr>
              <w:t>Occurrence of any death</w:t>
            </w:r>
          </w:p>
        </w:tc>
      </w:tr>
      <w:tr w:rsidR="00EA2153" w:rsidRPr="00664D07" w14:paraId="6C047831" w14:textId="77777777" w:rsidTr="00B42ED8">
        <w:trPr>
          <w:trHeight w:val="284"/>
        </w:trPr>
        <w:tc>
          <w:tcPr>
            <w:tcW w:w="278" w:type="dxa"/>
            <w:shd w:val="clear" w:color="auto" w:fill="auto"/>
          </w:tcPr>
          <w:p w14:paraId="3AD4CC5E" w14:textId="77777777" w:rsidR="00EA2153" w:rsidRPr="00664D07" w:rsidRDefault="00EA2153" w:rsidP="00B42ED8">
            <w:pPr>
              <w:rPr>
                <w:sz w:val="24"/>
                <w:szCs w:val="24"/>
                <w:lang w:val="en-GB"/>
              </w:rPr>
            </w:pPr>
          </w:p>
        </w:tc>
        <w:tc>
          <w:tcPr>
            <w:tcW w:w="396" w:type="dxa"/>
            <w:shd w:val="clear" w:color="auto" w:fill="auto"/>
          </w:tcPr>
          <w:p w14:paraId="10B1080F" w14:textId="77777777" w:rsidR="00EA2153" w:rsidRPr="00664D07" w:rsidRDefault="00EA2153" w:rsidP="00B42ED8">
            <w:pPr>
              <w:rPr>
                <w:sz w:val="16"/>
                <w:szCs w:val="16"/>
                <w:lang w:val="en-GB"/>
              </w:rPr>
            </w:pPr>
            <w:r w:rsidRPr="00664D07">
              <w:rPr>
                <w:sz w:val="16"/>
                <w:szCs w:val="16"/>
                <w:lang w:val="en-GB"/>
              </w:rPr>
              <w:t>2.</w:t>
            </w:r>
          </w:p>
        </w:tc>
        <w:tc>
          <w:tcPr>
            <w:tcW w:w="8393" w:type="dxa"/>
            <w:shd w:val="clear" w:color="auto" w:fill="auto"/>
          </w:tcPr>
          <w:p w14:paraId="728ED168" w14:textId="77777777" w:rsidR="00EA2153" w:rsidRPr="00664D07" w:rsidRDefault="00EA2153" w:rsidP="00B42ED8">
            <w:pPr>
              <w:jc w:val="both"/>
              <w:rPr>
                <w:sz w:val="16"/>
                <w:szCs w:val="16"/>
                <w:lang w:val="en-GB"/>
              </w:rPr>
            </w:pPr>
            <w:r w:rsidRPr="00664D07">
              <w:rPr>
                <w:sz w:val="16"/>
                <w:szCs w:val="16"/>
                <w:lang w:val="en-GB"/>
              </w:rPr>
              <w:t>Occurrence of any serious adverse event other than the result from trauma or accident, regardless of relatedness to study product</w:t>
            </w:r>
          </w:p>
        </w:tc>
      </w:tr>
      <w:tr w:rsidR="00EA2153" w:rsidRPr="00664D07" w14:paraId="55504E64" w14:textId="77777777" w:rsidTr="00B42ED8">
        <w:trPr>
          <w:trHeight w:val="284"/>
        </w:trPr>
        <w:tc>
          <w:tcPr>
            <w:tcW w:w="278" w:type="dxa"/>
            <w:shd w:val="clear" w:color="auto" w:fill="auto"/>
          </w:tcPr>
          <w:p w14:paraId="0283E1EC" w14:textId="77777777" w:rsidR="00EA2153" w:rsidRPr="00664D07" w:rsidRDefault="00EA2153" w:rsidP="00B42ED8">
            <w:pPr>
              <w:rPr>
                <w:sz w:val="24"/>
                <w:szCs w:val="24"/>
                <w:lang w:val="en-GB"/>
              </w:rPr>
            </w:pPr>
          </w:p>
        </w:tc>
        <w:tc>
          <w:tcPr>
            <w:tcW w:w="396" w:type="dxa"/>
            <w:shd w:val="clear" w:color="auto" w:fill="auto"/>
          </w:tcPr>
          <w:p w14:paraId="187EC06D" w14:textId="77777777" w:rsidR="00EA2153" w:rsidRPr="00664D07" w:rsidRDefault="00EA2153" w:rsidP="00B42ED8">
            <w:pPr>
              <w:rPr>
                <w:sz w:val="16"/>
                <w:szCs w:val="16"/>
                <w:lang w:val="en-GB"/>
              </w:rPr>
            </w:pPr>
            <w:r w:rsidRPr="00664D07">
              <w:rPr>
                <w:sz w:val="16"/>
                <w:szCs w:val="16"/>
                <w:lang w:val="en-GB"/>
              </w:rPr>
              <w:t>3.</w:t>
            </w:r>
          </w:p>
        </w:tc>
        <w:tc>
          <w:tcPr>
            <w:tcW w:w="8393" w:type="dxa"/>
            <w:shd w:val="clear" w:color="auto" w:fill="auto"/>
          </w:tcPr>
          <w:p w14:paraId="51A8D716" w14:textId="77777777" w:rsidR="00EA2153" w:rsidRPr="00664D07" w:rsidRDefault="00EA2153" w:rsidP="00B42ED8">
            <w:pPr>
              <w:jc w:val="both"/>
              <w:rPr>
                <w:sz w:val="16"/>
                <w:szCs w:val="16"/>
                <w:lang w:val="en-GB"/>
              </w:rPr>
            </w:pPr>
            <w:r w:rsidRPr="00664D07">
              <w:rPr>
                <w:sz w:val="16"/>
                <w:szCs w:val="16"/>
                <w:lang w:val="en-GB"/>
              </w:rPr>
              <w:t>Occurrence of any case of severe allergic reaction such as anaphylaxis, generalized urticaria, laryngospasm or bronchospasm</w:t>
            </w:r>
          </w:p>
        </w:tc>
      </w:tr>
      <w:tr w:rsidR="00EA2153" w:rsidRPr="00664D07" w14:paraId="3DC73562" w14:textId="77777777" w:rsidTr="00B42ED8">
        <w:trPr>
          <w:trHeight w:val="284"/>
        </w:trPr>
        <w:tc>
          <w:tcPr>
            <w:tcW w:w="278" w:type="dxa"/>
            <w:shd w:val="clear" w:color="auto" w:fill="auto"/>
          </w:tcPr>
          <w:p w14:paraId="04DC45A6" w14:textId="77777777" w:rsidR="00EA2153" w:rsidRPr="00664D07" w:rsidRDefault="00EA2153" w:rsidP="00B42ED8">
            <w:pPr>
              <w:rPr>
                <w:sz w:val="24"/>
                <w:szCs w:val="24"/>
                <w:lang w:val="en-GB"/>
              </w:rPr>
            </w:pPr>
          </w:p>
        </w:tc>
        <w:tc>
          <w:tcPr>
            <w:tcW w:w="396" w:type="dxa"/>
            <w:shd w:val="clear" w:color="auto" w:fill="auto"/>
          </w:tcPr>
          <w:p w14:paraId="11689353" w14:textId="77777777" w:rsidR="00EA2153" w:rsidRPr="00664D07" w:rsidRDefault="00EA2153" w:rsidP="00B42ED8">
            <w:pPr>
              <w:rPr>
                <w:sz w:val="16"/>
                <w:szCs w:val="16"/>
                <w:lang w:val="en-GB"/>
              </w:rPr>
            </w:pPr>
            <w:r w:rsidRPr="00664D07">
              <w:rPr>
                <w:sz w:val="16"/>
                <w:szCs w:val="16"/>
                <w:lang w:val="en-GB"/>
              </w:rPr>
              <w:t>4.</w:t>
            </w:r>
          </w:p>
        </w:tc>
        <w:tc>
          <w:tcPr>
            <w:tcW w:w="8393" w:type="dxa"/>
            <w:shd w:val="clear" w:color="auto" w:fill="auto"/>
          </w:tcPr>
          <w:p w14:paraId="73E89C75" w14:textId="77777777" w:rsidR="00EA2153" w:rsidRPr="00664D07" w:rsidRDefault="00EA2153" w:rsidP="00B42ED8">
            <w:pPr>
              <w:jc w:val="both"/>
              <w:rPr>
                <w:sz w:val="16"/>
                <w:szCs w:val="16"/>
                <w:lang w:val="en-GB"/>
              </w:rPr>
            </w:pPr>
            <w:r w:rsidRPr="00664D07">
              <w:rPr>
                <w:sz w:val="16"/>
                <w:szCs w:val="16"/>
                <w:lang w:val="en-GB"/>
              </w:rPr>
              <w:t>Two or more subjects recruited up to that point experience a severe (non-serious) adverse event, defined as causing inability to perform usual social and functional activities, including local, febrile or systemic reactions, considered at least possibly related to the investigational product</w:t>
            </w:r>
          </w:p>
        </w:tc>
      </w:tr>
      <w:tr w:rsidR="00EA2153" w:rsidRPr="00664D07" w14:paraId="5AF2BBC9" w14:textId="77777777" w:rsidTr="00B42ED8">
        <w:trPr>
          <w:trHeight w:val="284"/>
        </w:trPr>
        <w:tc>
          <w:tcPr>
            <w:tcW w:w="278" w:type="dxa"/>
            <w:tcBorders>
              <w:bottom w:val="single" w:sz="4" w:space="0" w:color="auto"/>
            </w:tcBorders>
            <w:shd w:val="clear" w:color="auto" w:fill="auto"/>
          </w:tcPr>
          <w:p w14:paraId="1E57B444" w14:textId="77777777" w:rsidR="00EA2153" w:rsidRPr="00664D07" w:rsidRDefault="00EA2153" w:rsidP="00B42ED8">
            <w:pPr>
              <w:rPr>
                <w:sz w:val="24"/>
                <w:szCs w:val="24"/>
                <w:lang w:val="en-GB"/>
              </w:rPr>
            </w:pPr>
          </w:p>
        </w:tc>
        <w:tc>
          <w:tcPr>
            <w:tcW w:w="396" w:type="dxa"/>
            <w:tcBorders>
              <w:bottom w:val="single" w:sz="4" w:space="0" w:color="auto"/>
            </w:tcBorders>
            <w:shd w:val="clear" w:color="auto" w:fill="auto"/>
          </w:tcPr>
          <w:p w14:paraId="25AB4901" w14:textId="77777777" w:rsidR="00EA2153" w:rsidRPr="00664D07" w:rsidRDefault="00EA2153" w:rsidP="00B42ED8">
            <w:pPr>
              <w:rPr>
                <w:sz w:val="16"/>
                <w:szCs w:val="16"/>
                <w:lang w:val="en-GB"/>
              </w:rPr>
            </w:pPr>
            <w:r w:rsidRPr="00664D07">
              <w:rPr>
                <w:sz w:val="16"/>
                <w:szCs w:val="16"/>
                <w:lang w:val="en-GB"/>
              </w:rPr>
              <w:t>5.</w:t>
            </w:r>
          </w:p>
        </w:tc>
        <w:tc>
          <w:tcPr>
            <w:tcW w:w="8393" w:type="dxa"/>
            <w:tcBorders>
              <w:bottom w:val="single" w:sz="4" w:space="0" w:color="auto"/>
            </w:tcBorders>
            <w:shd w:val="clear" w:color="auto" w:fill="auto"/>
          </w:tcPr>
          <w:p w14:paraId="371C7CF6" w14:textId="77777777" w:rsidR="00EA2153" w:rsidRPr="00664D07" w:rsidRDefault="00EA2153" w:rsidP="00B42ED8">
            <w:pPr>
              <w:jc w:val="both"/>
              <w:rPr>
                <w:sz w:val="16"/>
                <w:szCs w:val="16"/>
                <w:lang w:val="en-GB"/>
              </w:rPr>
            </w:pPr>
            <w:r w:rsidRPr="00664D07">
              <w:rPr>
                <w:sz w:val="16"/>
                <w:szCs w:val="16"/>
                <w:lang w:val="en-GB"/>
              </w:rPr>
              <w:t>Three or more subjects recruited up to that point experience a severe (non-serious) adverse event, irrespective of the relationship with the investigational product</w:t>
            </w:r>
          </w:p>
        </w:tc>
      </w:tr>
    </w:tbl>
    <w:p w14:paraId="742D1B2A" w14:textId="77777777" w:rsidR="00EA2153" w:rsidRDefault="00EA2153" w:rsidP="00EA2153">
      <w:pPr>
        <w:spacing w:before="120" w:line="480" w:lineRule="auto"/>
        <w:ind w:left="720" w:hanging="720"/>
        <w:jc w:val="both"/>
        <w:rPr>
          <w:rFonts w:eastAsia="Times New Roman"/>
          <w:b/>
          <w:sz w:val="24"/>
          <w:szCs w:val="24"/>
        </w:rPr>
      </w:pPr>
    </w:p>
    <w:p w14:paraId="2D1B06BB" w14:textId="7A1185A8" w:rsidR="00EA2153" w:rsidRPr="002A48B2" w:rsidRDefault="00EA2153" w:rsidP="00EA2153">
      <w:pPr>
        <w:spacing w:before="120" w:line="480" w:lineRule="auto"/>
        <w:ind w:left="720" w:hanging="720"/>
        <w:jc w:val="both"/>
        <w:rPr>
          <w:rFonts w:eastAsia="Times New Roman"/>
          <w:sz w:val="24"/>
          <w:szCs w:val="24"/>
        </w:rPr>
      </w:pPr>
      <w:r w:rsidRPr="002A48B2">
        <w:rPr>
          <w:rFonts w:eastAsia="Times New Roman"/>
          <w:b/>
          <w:sz w:val="24"/>
          <w:szCs w:val="24"/>
        </w:rPr>
        <w:t>Table 2.</w:t>
      </w:r>
      <w:r w:rsidRPr="002A48B2">
        <w:rPr>
          <w:rFonts w:eastAsia="Times New Roman"/>
          <w:sz w:val="24"/>
          <w:szCs w:val="24"/>
        </w:rPr>
        <w:t xml:space="preserve"> </w:t>
      </w:r>
      <w:r w:rsidRPr="00DA2132">
        <w:rPr>
          <w:rFonts w:eastAsia="Times New Roman"/>
          <w:sz w:val="24"/>
          <w:szCs w:val="24"/>
        </w:rPr>
        <w:t>Pausing rules</w:t>
      </w:r>
    </w:p>
    <w:p w14:paraId="09F6221A" w14:textId="77777777" w:rsidR="00743C9C" w:rsidRDefault="00743C9C">
      <w:pPr>
        <w:rPr>
          <w:rFonts w:eastAsia="Times New Roman"/>
          <w:sz w:val="24"/>
          <w:szCs w:val="24"/>
          <w:lang w:val="en-GB"/>
        </w:rPr>
      </w:pPr>
    </w:p>
    <w:p w14:paraId="0EC46D09" w14:textId="0975CDAC" w:rsidR="00743C9C" w:rsidRDefault="00743C9C" w:rsidP="004C699D">
      <w:pPr>
        <w:pStyle w:val="Paragraph"/>
        <w:spacing w:before="0" w:line="480" w:lineRule="auto"/>
        <w:ind w:firstLine="0"/>
        <w:jc w:val="both"/>
        <w:rPr>
          <w:lang w:val="en-GB"/>
        </w:rPr>
      </w:pPr>
      <w:r w:rsidRPr="00743C9C">
        <w:rPr>
          <w:rFonts w:eastAsia="Calibri"/>
          <w:noProof/>
          <w:sz w:val="20"/>
          <w:szCs w:val="20"/>
          <w:lang w:val="en-GB" w:eastAsia="en-GB"/>
        </w:rPr>
        <w:lastRenderedPageBreak/>
        <w:drawing>
          <wp:inline distT="0" distB="0" distL="0" distR="0" wp14:anchorId="30541927" wp14:editId="3844E7CC">
            <wp:extent cx="5982778" cy="7334656"/>
            <wp:effectExtent l="0" t="0" r="0" b="0"/>
            <wp:docPr id="6" name="Picture 6" descr="Fig_1_PostF_IgG_180706_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_1_PostF_IgG_180706_C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93024" cy="7347217"/>
                    </a:xfrm>
                    <a:prstGeom prst="rect">
                      <a:avLst/>
                    </a:prstGeom>
                    <a:noFill/>
                    <a:ln>
                      <a:noFill/>
                    </a:ln>
                  </pic:spPr>
                </pic:pic>
              </a:graphicData>
            </a:graphic>
          </wp:inline>
        </w:drawing>
      </w:r>
    </w:p>
    <w:p w14:paraId="0BFE38D8" w14:textId="77777777" w:rsidR="002A48B2" w:rsidRPr="005A77C2" w:rsidRDefault="002A48B2" w:rsidP="002A48B2">
      <w:pPr>
        <w:pStyle w:val="Paragraph"/>
        <w:spacing w:before="0" w:line="480" w:lineRule="auto"/>
        <w:ind w:firstLine="0"/>
        <w:jc w:val="both"/>
        <w:rPr>
          <w:b/>
          <w:lang w:val="en-GB"/>
        </w:rPr>
      </w:pPr>
      <w:r w:rsidRPr="005A77C2">
        <w:rPr>
          <w:b/>
          <w:lang w:val="en-GB"/>
        </w:rPr>
        <w:t>Figure 1.</w:t>
      </w:r>
    </w:p>
    <w:p w14:paraId="1FB69A92" w14:textId="3286ADBF" w:rsidR="00743C9C" w:rsidRDefault="00743C9C">
      <w:pPr>
        <w:rPr>
          <w:rFonts w:eastAsia="Times New Roman"/>
          <w:sz w:val="24"/>
          <w:szCs w:val="24"/>
          <w:lang w:val="en-GB"/>
        </w:rPr>
      </w:pPr>
      <w:r>
        <w:rPr>
          <w:lang w:val="en-GB"/>
        </w:rPr>
        <w:br w:type="page"/>
      </w:r>
    </w:p>
    <w:p w14:paraId="401062A1" w14:textId="7A8D2543" w:rsidR="0015490E" w:rsidRDefault="00743C9C" w:rsidP="0005494A">
      <w:pPr>
        <w:spacing w:before="120" w:line="480" w:lineRule="auto"/>
        <w:rPr>
          <w:rFonts w:eastAsia="Times New Roman"/>
          <w:b/>
          <w:sz w:val="24"/>
          <w:szCs w:val="24"/>
        </w:rPr>
      </w:pPr>
      <w:r w:rsidRPr="00743C9C">
        <w:rPr>
          <w:noProof/>
          <w:lang w:val="en-GB" w:eastAsia="en-GB"/>
        </w:rPr>
        <w:lastRenderedPageBreak/>
        <w:drawing>
          <wp:inline distT="0" distB="0" distL="0" distR="0" wp14:anchorId="33DB09B0" wp14:editId="356387A9">
            <wp:extent cx="5990934" cy="5155660"/>
            <wp:effectExtent l="0" t="0" r="3810" b="635"/>
            <wp:docPr id="7" name="Picture 7" descr="Fig_2_Neutralising_Ab_180706_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_2_Neutralising_Ab_180706_C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0733" cy="5164092"/>
                    </a:xfrm>
                    <a:prstGeom prst="rect">
                      <a:avLst/>
                    </a:prstGeom>
                    <a:noFill/>
                    <a:ln>
                      <a:noFill/>
                    </a:ln>
                  </pic:spPr>
                </pic:pic>
              </a:graphicData>
            </a:graphic>
          </wp:inline>
        </w:drawing>
      </w:r>
    </w:p>
    <w:p w14:paraId="74E39339" w14:textId="77777777" w:rsidR="002A48B2" w:rsidRPr="005A77C2" w:rsidRDefault="002A48B2" w:rsidP="002A48B2">
      <w:pPr>
        <w:pStyle w:val="Paragraph"/>
        <w:spacing w:before="0" w:line="480" w:lineRule="auto"/>
        <w:ind w:firstLine="0"/>
        <w:jc w:val="both"/>
        <w:rPr>
          <w:b/>
          <w:lang w:val="en-GB"/>
        </w:rPr>
      </w:pPr>
      <w:r w:rsidRPr="005A77C2">
        <w:rPr>
          <w:b/>
          <w:lang w:val="en-GB"/>
        </w:rPr>
        <w:t>Figure 2.</w:t>
      </w:r>
    </w:p>
    <w:p w14:paraId="54654B7C" w14:textId="7A2692AB" w:rsidR="00743C9C" w:rsidRDefault="00743C9C">
      <w:pPr>
        <w:rPr>
          <w:rFonts w:eastAsia="Times New Roman"/>
          <w:b/>
          <w:sz w:val="24"/>
          <w:szCs w:val="24"/>
        </w:rPr>
      </w:pPr>
      <w:r>
        <w:rPr>
          <w:rFonts w:eastAsia="Times New Roman"/>
          <w:b/>
          <w:sz w:val="24"/>
          <w:szCs w:val="24"/>
        </w:rPr>
        <w:br w:type="page"/>
      </w:r>
    </w:p>
    <w:p w14:paraId="00409130" w14:textId="597F32C0" w:rsidR="00DF40BE" w:rsidRPr="00FA6555" w:rsidRDefault="00587A30" w:rsidP="008E288B">
      <w:pPr>
        <w:pStyle w:val="Paragraph"/>
        <w:spacing w:line="480" w:lineRule="auto"/>
        <w:ind w:firstLine="0"/>
        <w:jc w:val="both"/>
        <w:rPr>
          <w:lang w:val="en-GB"/>
        </w:rPr>
      </w:pPr>
      <w:r w:rsidRPr="00587A30">
        <w:rPr>
          <w:rFonts w:eastAsia="Calibri"/>
          <w:noProof/>
          <w:sz w:val="20"/>
          <w:szCs w:val="20"/>
          <w:lang w:val="en-GB" w:eastAsia="en-GB"/>
        </w:rPr>
        <w:lastRenderedPageBreak/>
        <w:drawing>
          <wp:inline distT="0" distB="0" distL="0" distR="0" wp14:anchorId="11EAD558" wp14:editId="7DC4611F">
            <wp:extent cx="6217341" cy="5749047"/>
            <wp:effectExtent l="0" t="0" r="5715" b="4445"/>
            <wp:docPr id="1" name="Picture 1" descr="Fig_3_PostF_IgA_180706_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_3_PostF_IgA_180706_C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42024" cy="5771871"/>
                    </a:xfrm>
                    <a:prstGeom prst="rect">
                      <a:avLst/>
                    </a:prstGeom>
                    <a:noFill/>
                    <a:ln>
                      <a:noFill/>
                    </a:ln>
                  </pic:spPr>
                </pic:pic>
              </a:graphicData>
            </a:graphic>
          </wp:inline>
        </w:drawing>
      </w:r>
    </w:p>
    <w:p w14:paraId="69410B67" w14:textId="77777777" w:rsidR="002A48B2" w:rsidRPr="005A77C2" w:rsidRDefault="002A48B2" w:rsidP="002A48B2">
      <w:pPr>
        <w:spacing w:before="120" w:line="480" w:lineRule="auto"/>
        <w:rPr>
          <w:rFonts w:eastAsia="Times New Roman"/>
          <w:b/>
          <w:sz w:val="24"/>
          <w:szCs w:val="24"/>
        </w:rPr>
      </w:pPr>
      <w:r w:rsidRPr="005A77C2">
        <w:rPr>
          <w:rFonts w:eastAsia="Times New Roman"/>
          <w:b/>
          <w:sz w:val="24"/>
          <w:szCs w:val="24"/>
        </w:rPr>
        <w:t>Figure 3.</w:t>
      </w:r>
    </w:p>
    <w:p w14:paraId="45A48A8D" w14:textId="417BFFF4" w:rsidR="002E52CC" w:rsidRDefault="002E52CC">
      <w:pPr>
        <w:rPr>
          <w:b/>
          <w:sz w:val="24"/>
          <w:szCs w:val="24"/>
          <w:lang w:val="en-GB"/>
        </w:rPr>
      </w:pPr>
      <w:r>
        <w:rPr>
          <w:lang w:val="en-GB"/>
        </w:rPr>
        <w:br w:type="page"/>
      </w:r>
    </w:p>
    <w:p w14:paraId="2E61D8BC" w14:textId="77777777" w:rsidR="002A48B2" w:rsidRDefault="002E52CC" w:rsidP="001816D5">
      <w:pPr>
        <w:spacing w:line="480" w:lineRule="auto"/>
        <w:jc w:val="center"/>
        <w:rPr>
          <w:b/>
          <w:sz w:val="24"/>
          <w:szCs w:val="24"/>
          <w:lang w:val="en-GB"/>
        </w:rPr>
      </w:pPr>
      <w:r w:rsidRPr="002E52CC">
        <w:rPr>
          <w:noProof/>
          <w:lang w:val="en-GB" w:eastAsia="en-GB"/>
        </w:rPr>
        <w:lastRenderedPageBreak/>
        <w:drawing>
          <wp:inline distT="0" distB="0" distL="0" distR="0" wp14:anchorId="27C374A7" wp14:editId="42D2BEE1">
            <wp:extent cx="4867275" cy="7749923"/>
            <wp:effectExtent l="0" t="0" r="0" b="3810"/>
            <wp:docPr id="2" name="Picture 2" descr="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9149" cy="7752907"/>
                    </a:xfrm>
                    <a:prstGeom prst="rect">
                      <a:avLst/>
                    </a:prstGeom>
                    <a:noFill/>
                    <a:ln>
                      <a:noFill/>
                    </a:ln>
                  </pic:spPr>
                </pic:pic>
              </a:graphicData>
            </a:graphic>
          </wp:inline>
        </w:drawing>
      </w:r>
    </w:p>
    <w:p w14:paraId="16612E05" w14:textId="47939FE2" w:rsidR="002E52CC" w:rsidRPr="005A77C2" w:rsidRDefault="002A48B2">
      <w:pPr>
        <w:rPr>
          <w:b/>
          <w:sz w:val="24"/>
          <w:szCs w:val="24"/>
          <w:lang w:val="en-GB"/>
        </w:rPr>
      </w:pPr>
      <w:r w:rsidRPr="002A48B2">
        <w:rPr>
          <w:b/>
          <w:sz w:val="24"/>
          <w:szCs w:val="24"/>
          <w:lang w:val="en-GB"/>
        </w:rPr>
        <w:t>Figure 4.</w:t>
      </w:r>
      <w:r w:rsidR="002E52CC" w:rsidRPr="005A77C2">
        <w:rPr>
          <w:b/>
          <w:sz w:val="24"/>
          <w:szCs w:val="24"/>
          <w:lang w:val="en-GB"/>
        </w:rPr>
        <w:br w:type="page"/>
      </w:r>
    </w:p>
    <w:p w14:paraId="471BAF86" w14:textId="77777777" w:rsidR="002E52CC" w:rsidRDefault="002E52CC">
      <w:pPr>
        <w:rPr>
          <w:lang w:val="en-GB"/>
        </w:rPr>
      </w:pPr>
    </w:p>
    <w:p w14:paraId="734279BD" w14:textId="4D18734C" w:rsidR="003E05E3" w:rsidRDefault="003E05E3" w:rsidP="00844D43">
      <w:pPr>
        <w:spacing w:line="480" w:lineRule="auto"/>
        <w:rPr>
          <w:b/>
          <w:sz w:val="24"/>
          <w:szCs w:val="24"/>
          <w:lang w:val="en-GB"/>
        </w:rPr>
      </w:pPr>
      <w:r w:rsidRPr="003E05E3">
        <w:rPr>
          <w:noProof/>
          <w:lang w:val="en-GB" w:eastAsia="en-GB"/>
        </w:rPr>
        <w:drawing>
          <wp:inline distT="0" distB="0" distL="0" distR="0" wp14:anchorId="3BB25537" wp14:editId="64DB235E">
            <wp:extent cx="5943600" cy="6153150"/>
            <wp:effectExtent l="0" t="0" r="0" b="6350"/>
            <wp:docPr id="4" name="Picture 4" descr="Fig_5_Tonsils_180706_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_5_Tonsils_180706_C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52990" cy="6162871"/>
                    </a:xfrm>
                    <a:prstGeom prst="rect">
                      <a:avLst/>
                    </a:prstGeom>
                    <a:noFill/>
                    <a:ln>
                      <a:noFill/>
                    </a:ln>
                  </pic:spPr>
                </pic:pic>
              </a:graphicData>
            </a:graphic>
          </wp:inline>
        </w:drawing>
      </w:r>
    </w:p>
    <w:p w14:paraId="4A48EC85" w14:textId="77777777" w:rsidR="002A48B2" w:rsidRDefault="002A48B2" w:rsidP="002A48B2">
      <w:pPr>
        <w:rPr>
          <w:b/>
          <w:sz w:val="24"/>
          <w:szCs w:val="24"/>
          <w:lang w:val="en-GB"/>
        </w:rPr>
      </w:pPr>
      <w:r w:rsidRPr="005A77C2">
        <w:rPr>
          <w:b/>
          <w:sz w:val="24"/>
          <w:szCs w:val="24"/>
          <w:lang w:val="en-GB"/>
        </w:rPr>
        <w:t>Figure 5.</w:t>
      </w:r>
    </w:p>
    <w:p w14:paraId="3EC6C430" w14:textId="77777777" w:rsidR="00C35BC8" w:rsidRDefault="00C35BC8">
      <w:pPr>
        <w:rPr>
          <w:b/>
          <w:sz w:val="24"/>
          <w:szCs w:val="24"/>
          <w:lang w:val="en-GB"/>
        </w:rPr>
        <w:sectPr w:rsidR="00C35BC8" w:rsidSect="00844D43">
          <w:footerReference w:type="default" r:id="rId17"/>
          <w:footerReference w:type="first" r:id="rId18"/>
          <w:pgSz w:w="12240" w:h="15840"/>
          <w:pgMar w:top="1418" w:right="1418" w:bottom="1418" w:left="1418" w:header="431" w:footer="720" w:gutter="0"/>
          <w:lnNumType w:countBy="1" w:restart="continuous"/>
          <w:pgNumType w:start="1"/>
          <w:cols w:space="720"/>
          <w:docGrid w:linePitch="360"/>
        </w:sectPr>
      </w:pPr>
    </w:p>
    <w:p w14:paraId="5A96D5CD" w14:textId="77777777" w:rsidR="005A77C2" w:rsidRPr="00FB02B5" w:rsidRDefault="005A77C2" w:rsidP="005A77C2">
      <w:pPr>
        <w:keepNext/>
        <w:spacing w:before="120" w:after="120" w:line="480" w:lineRule="auto"/>
        <w:jc w:val="center"/>
        <w:outlineLvl w:val="0"/>
        <w:rPr>
          <w:rFonts w:eastAsia="Times New Roman"/>
          <w:b/>
          <w:bCs/>
          <w:kern w:val="28"/>
          <w:sz w:val="24"/>
          <w:szCs w:val="24"/>
          <w:lang w:val="en-GB"/>
        </w:rPr>
      </w:pPr>
      <w:r w:rsidRPr="00FB02B5">
        <w:rPr>
          <w:rFonts w:eastAsia="Times New Roman"/>
          <w:b/>
          <w:bCs/>
          <w:kern w:val="28"/>
          <w:sz w:val="24"/>
          <w:szCs w:val="24"/>
        </w:rPr>
        <w:lastRenderedPageBreak/>
        <w:t>Local and systemic immunity against RSV induced by a novel intranasal vaccine (</w:t>
      </w:r>
      <w:proofErr w:type="spellStart"/>
      <w:r w:rsidRPr="00FB02B5">
        <w:rPr>
          <w:rFonts w:eastAsia="Times New Roman"/>
          <w:b/>
          <w:bCs/>
          <w:kern w:val="28"/>
          <w:sz w:val="24"/>
          <w:szCs w:val="24"/>
        </w:rPr>
        <w:t>SynGEM</w:t>
      </w:r>
      <w:proofErr w:type="spellEnd"/>
      <w:r w:rsidRPr="00FB02B5">
        <w:rPr>
          <w:rFonts w:eastAsia="Times New Roman"/>
          <w:b/>
          <w:bCs/>
          <w:kern w:val="28"/>
          <w:sz w:val="24"/>
          <w:szCs w:val="24"/>
        </w:rPr>
        <w:t>)</w:t>
      </w:r>
    </w:p>
    <w:p w14:paraId="6B93250D" w14:textId="77777777" w:rsidR="005A77C2" w:rsidRDefault="005A77C2" w:rsidP="005A77C2">
      <w:pPr>
        <w:spacing w:before="120" w:line="480" w:lineRule="auto"/>
        <w:rPr>
          <w:rFonts w:eastAsia="Times New Roman"/>
          <w:b/>
          <w:sz w:val="24"/>
          <w:szCs w:val="24"/>
        </w:rPr>
      </w:pPr>
    </w:p>
    <w:p w14:paraId="6936E2C0" w14:textId="77777777" w:rsidR="005A77C2" w:rsidRPr="002D5625" w:rsidRDefault="005A77C2" w:rsidP="005A77C2">
      <w:pPr>
        <w:spacing w:before="120" w:line="480" w:lineRule="auto"/>
        <w:rPr>
          <w:rFonts w:eastAsia="Times New Roman"/>
          <w:sz w:val="24"/>
          <w:szCs w:val="24"/>
        </w:rPr>
      </w:pPr>
      <w:r w:rsidRPr="002D5625">
        <w:rPr>
          <w:rFonts w:eastAsia="Times New Roman"/>
          <w:b/>
          <w:sz w:val="24"/>
          <w:szCs w:val="24"/>
        </w:rPr>
        <w:t>Authors:</w:t>
      </w:r>
      <w:r w:rsidRPr="002D5625">
        <w:rPr>
          <w:rFonts w:eastAsia="Times New Roman"/>
          <w:sz w:val="24"/>
          <w:szCs w:val="24"/>
        </w:rPr>
        <w:t xml:space="preserve">  </w:t>
      </w:r>
    </w:p>
    <w:p w14:paraId="79A5E019" w14:textId="6E0DD402" w:rsidR="005A77C2" w:rsidRDefault="005A77C2" w:rsidP="005A77C2">
      <w:pPr>
        <w:pStyle w:val="Teaser"/>
        <w:spacing w:line="480" w:lineRule="auto"/>
      </w:pPr>
      <w:r w:rsidRPr="004324A5">
        <w:t xml:space="preserve">Stephanie Ascough, Iris Vlachantoni, Mohini Kalyan, Bert-Jan </w:t>
      </w:r>
      <w:proofErr w:type="spellStart"/>
      <w:r w:rsidRPr="004324A5">
        <w:t>Haijema</w:t>
      </w:r>
      <w:proofErr w:type="spellEnd"/>
      <w:r w:rsidRPr="004324A5">
        <w:t xml:space="preserve">, </w:t>
      </w:r>
      <w:proofErr w:type="spellStart"/>
      <w:r w:rsidRPr="004324A5">
        <w:t>Sanna</w:t>
      </w:r>
      <w:proofErr w:type="spellEnd"/>
      <w:r w:rsidRPr="004324A5">
        <w:t xml:space="preserve"> </w:t>
      </w:r>
      <w:proofErr w:type="spellStart"/>
      <w:r w:rsidRPr="004324A5">
        <w:t>Wallin</w:t>
      </w:r>
      <w:proofErr w:type="spellEnd"/>
      <w:r>
        <w:t>-Weber</w:t>
      </w:r>
      <w:r w:rsidRPr="004324A5">
        <w:t xml:space="preserve">, </w:t>
      </w:r>
      <w:proofErr w:type="spellStart"/>
      <w:r w:rsidRPr="004324A5">
        <w:t>Margriet</w:t>
      </w:r>
      <w:proofErr w:type="spellEnd"/>
      <w:r w:rsidRPr="004324A5">
        <w:t xml:space="preserve"> Dijkstra</w:t>
      </w:r>
      <w:r>
        <w:t>-</w:t>
      </w:r>
      <w:proofErr w:type="spellStart"/>
      <w:r>
        <w:t>Tiekstra</w:t>
      </w:r>
      <w:proofErr w:type="spellEnd"/>
      <w:r w:rsidRPr="004324A5">
        <w:t xml:space="preserve">, Muhammad S Ahmed, </w:t>
      </w:r>
      <w:r w:rsidR="0074371D">
        <w:t xml:space="preserve">Maarten van </w:t>
      </w:r>
      <w:proofErr w:type="spellStart"/>
      <w:r w:rsidR="0074371D">
        <w:t>Roosmalen</w:t>
      </w:r>
      <w:proofErr w:type="spellEnd"/>
      <w:r w:rsidR="0074371D" w:rsidRPr="0074371D">
        <w:t>,</w:t>
      </w:r>
      <w:r w:rsidR="0074371D">
        <w:t xml:space="preserve"> </w:t>
      </w:r>
      <w:r w:rsidRPr="004324A5">
        <w:t xml:space="preserve">Roberto Grimaldi, </w:t>
      </w:r>
      <w:proofErr w:type="spellStart"/>
      <w:r w:rsidRPr="004324A5">
        <w:t>Qibo</w:t>
      </w:r>
      <w:proofErr w:type="spellEnd"/>
      <w:r w:rsidRPr="004324A5">
        <w:t xml:space="preserve"> Zhang, </w:t>
      </w:r>
      <w:proofErr w:type="spellStart"/>
      <w:r w:rsidRPr="004324A5">
        <w:t>Kees</w:t>
      </w:r>
      <w:proofErr w:type="spellEnd"/>
      <w:r w:rsidRPr="004324A5">
        <w:t xml:space="preserve"> Leenhouts, Peter J Openshaw</w:t>
      </w:r>
      <w:r w:rsidRPr="00A25972">
        <w:t xml:space="preserve"> </w:t>
      </w:r>
      <w:r>
        <w:t>and</w:t>
      </w:r>
      <w:r w:rsidRPr="00A25972">
        <w:t xml:space="preserve"> Christopher Chiu</w:t>
      </w:r>
    </w:p>
    <w:p w14:paraId="528B4F9B" w14:textId="77777777" w:rsidR="00640D2E" w:rsidRDefault="00640D2E" w:rsidP="005A77C2">
      <w:pPr>
        <w:pStyle w:val="Teaser"/>
        <w:spacing w:line="480" w:lineRule="auto"/>
      </w:pPr>
    </w:p>
    <w:p w14:paraId="4579C1D4" w14:textId="084B997A" w:rsidR="00640D2E" w:rsidRPr="002A48B2" w:rsidRDefault="00640D2E" w:rsidP="005A77C2">
      <w:pPr>
        <w:pStyle w:val="Teaser"/>
        <w:spacing w:line="480" w:lineRule="auto"/>
        <w:rPr>
          <w:b/>
        </w:rPr>
      </w:pPr>
      <w:r w:rsidRPr="002A48B2">
        <w:rPr>
          <w:b/>
        </w:rPr>
        <w:t>Online Data Supplement</w:t>
      </w:r>
    </w:p>
    <w:p w14:paraId="6B0DB7A8" w14:textId="574B9118" w:rsidR="00640D2E" w:rsidRDefault="00640D2E">
      <w:pPr>
        <w:rPr>
          <w:rFonts w:eastAsia="Times New Roman"/>
          <w:sz w:val="24"/>
          <w:szCs w:val="24"/>
        </w:rPr>
      </w:pPr>
      <w:r>
        <w:br w:type="page"/>
      </w:r>
    </w:p>
    <w:p w14:paraId="090A3345" w14:textId="4806C395" w:rsidR="00640D2E" w:rsidRPr="002A48B2" w:rsidRDefault="004024E7" w:rsidP="005A77C2">
      <w:pPr>
        <w:pStyle w:val="Teaser"/>
        <w:spacing w:line="480" w:lineRule="auto"/>
        <w:rPr>
          <w:b/>
        </w:rPr>
      </w:pPr>
      <w:r>
        <w:rPr>
          <w:b/>
        </w:rPr>
        <w:lastRenderedPageBreak/>
        <w:t xml:space="preserve">Supplementary </w:t>
      </w:r>
      <w:r w:rsidRPr="002A48B2">
        <w:rPr>
          <w:b/>
        </w:rPr>
        <w:t>Methods</w:t>
      </w:r>
    </w:p>
    <w:p w14:paraId="3E890C2C" w14:textId="77777777" w:rsidR="006974EE" w:rsidRPr="00FA6555" w:rsidRDefault="006974EE" w:rsidP="006974EE">
      <w:pPr>
        <w:pStyle w:val="Paragraph"/>
        <w:spacing w:line="480" w:lineRule="auto"/>
        <w:ind w:firstLine="0"/>
        <w:jc w:val="both"/>
        <w:rPr>
          <w:i/>
          <w:lang w:val="en-GB"/>
        </w:rPr>
      </w:pPr>
      <w:r w:rsidRPr="00FA6555">
        <w:rPr>
          <w:i/>
          <w:lang w:val="en-GB"/>
        </w:rPr>
        <w:t>Study design</w:t>
      </w:r>
    </w:p>
    <w:p w14:paraId="2AA4D89D" w14:textId="0FEA9B59" w:rsidR="006974EE" w:rsidRPr="00FA6555" w:rsidRDefault="006974EE" w:rsidP="006974EE">
      <w:pPr>
        <w:pStyle w:val="Paragraph"/>
        <w:spacing w:line="480" w:lineRule="auto"/>
        <w:ind w:firstLine="0"/>
        <w:jc w:val="both"/>
        <w:rPr>
          <w:lang w:val="en-GB"/>
        </w:rPr>
      </w:pPr>
      <w:r w:rsidRPr="00FA6555">
        <w:rPr>
          <w:lang w:val="en-GB"/>
        </w:rPr>
        <w:t>Healthy volunteers were recruited for the randomised double-</w:t>
      </w:r>
      <w:r>
        <w:rPr>
          <w:lang w:val="en-GB"/>
        </w:rPr>
        <w:t>blind placebo-controlled study</w:t>
      </w:r>
      <w:r w:rsidRPr="00FA6555">
        <w:rPr>
          <w:lang w:val="en-GB"/>
        </w:rPr>
        <w:t xml:space="preserve">, according to the inclusion and exclusion criteria in Table </w:t>
      </w:r>
      <w:r w:rsidR="007219E2">
        <w:rPr>
          <w:lang w:val="en-GB"/>
        </w:rPr>
        <w:t>E</w:t>
      </w:r>
      <w:r w:rsidRPr="00FA6555">
        <w:rPr>
          <w:lang w:val="en-GB"/>
        </w:rPr>
        <w:t xml:space="preserve">1 (clinicaltrials.gov identifier NCT02958540). </w:t>
      </w:r>
      <w:r w:rsidRPr="00DA6AA7">
        <w:rPr>
          <w:lang w:val="en-GB"/>
        </w:rPr>
        <w:t xml:space="preserve">Enrolment took place between October 2016 and January 2017 with final follow-up visits in July 2017. </w:t>
      </w:r>
      <w:r w:rsidRPr="00FA6555">
        <w:rPr>
          <w:lang w:val="en-GB"/>
        </w:rPr>
        <w:t xml:space="preserve">Volunteers received either placebo (phosphate buffered saline (PBS) + 2.5% glycerol) or </w:t>
      </w:r>
      <w:proofErr w:type="spellStart"/>
      <w:r w:rsidRPr="00FA6555">
        <w:rPr>
          <w:lang w:val="en-GB"/>
        </w:rPr>
        <w:t>SynGEM</w:t>
      </w:r>
      <w:proofErr w:type="spellEnd"/>
      <w:r w:rsidRPr="00FA6555">
        <w:rPr>
          <w:lang w:val="en-GB"/>
        </w:rPr>
        <w:t xml:space="preserve"> vaccine administered intranasally. The vaccine was given at 2 dose levels; a low dose (140 µg F protein and 2mg BLP) and a high dose (350 µg F protein and 5mg BLP) at day 0 and day 28. Blood and nasal lavage samples were </w:t>
      </w:r>
      <w:r>
        <w:rPr>
          <w:lang w:val="en-GB"/>
        </w:rPr>
        <w:t>collected 0,</w:t>
      </w:r>
      <w:r w:rsidRPr="00FA6555">
        <w:rPr>
          <w:lang w:val="en-GB"/>
        </w:rPr>
        <w:t xml:space="preserve"> 7, 28, 35 and 56 days post-prime vaccination. </w:t>
      </w:r>
      <w:r>
        <w:rPr>
          <w:lang w:val="en-GB"/>
        </w:rPr>
        <w:t>Intention to treat analysis was performed for primary safety analyses.</w:t>
      </w:r>
    </w:p>
    <w:p w14:paraId="1116D6B4" w14:textId="77777777" w:rsidR="006974EE" w:rsidRPr="00FA6555" w:rsidRDefault="006974EE" w:rsidP="006974EE">
      <w:pPr>
        <w:pStyle w:val="Paragraph"/>
        <w:spacing w:line="480" w:lineRule="auto"/>
        <w:ind w:firstLine="0"/>
        <w:jc w:val="both"/>
        <w:rPr>
          <w:i/>
          <w:lang w:val="en-GB"/>
        </w:rPr>
      </w:pPr>
    </w:p>
    <w:p w14:paraId="34377ECC" w14:textId="77777777" w:rsidR="006974EE" w:rsidRPr="00FA6555" w:rsidRDefault="006974EE" w:rsidP="006974EE">
      <w:pPr>
        <w:pStyle w:val="Paragraph"/>
        <w:spacing w:line="480" w:lineRule="auto"/>
        <w:ind w:firstLine="0"/>
        <w:jc w:val="both"/>
        <w:rPr>
          <w:i/>
          <w:lang w:val="en-GB"/>
        </w:rPr>
      </w:pPr>
      <w:r w:rsidRPr="00FA6555">
        <w:rPr>
          <w:i/>
          <w:lang w:val="en-GB"/>
        </w:rPr>
        <w:t xml:space="preserve">Ethics statement </w:t>
      </w:r>
    </w:p>
    <w:p w14:paraId="500835EB" w14:textId="77777777" w:rsidR="006974EE" w:rsidRPr="00FA6555" w:rsidRDefault="006974EE" w:rsidP="006974EE">
      <w:pPr>
        <w:pStyle w:val="Paragraph"/>
        <w:spacing w:line="480" w:lineRule="auto"/>
        <w:ind w:firstLine="0"/>
        <w:jc w:val="both"/>
        <w:rPr>
          <w:lang w:val="en-GB"/>
        </w:rPr>
      </w:pPr>
      <w:r w:rsidRPr="00FA6555">
        <w:rPr>
          <w:lang w:val="en-GB"/>
        </w:rPr>
        <w:t xml:space="preserve">The </w:t>
      </w:r>
      <w:r>
        <w:rPr>
          <w:lang w:val="en-GB"/>
        </w:rPr>
        <w:t xml:space="preserve">phase I </w:t>
      </w:r>
      <w:r w:rsidRPr="00FA6555">
        <w:rPr>
          <w:lang w:val="en-GB"/>
        </w:rPr>
        <w:t>study was approved by the UK National Research Ethics Service (reference 16/SC/0441)</w:t>
      </w:r>
      <w:r>
        <w:rPr>
          <w:lang w:val="en-GB"/>
        </w:rPr>
        <w:t>, overseen by a Data Safety Monitoring Committee and carried out at</w:t>
      </w:r>
      <w:r w:rsidRPr="00B1251F">
        <w:rPr>
          <w:lang w:val="en-GB"/>
        </w:rPr>
        <w:t xml:space="preserve"> the Imperial Clinical Research Facility (ICRF) at the Hammersmith Hospital</w:t>
      </w:r>
      <w:r>
        <w:rPr>
          <w:lang w:val="en-GB"/>
        </w:rPr>
        <w:t>.</w:t>
      </w:r>
      <w:r w:rsidRPr="00FA6555">
        <w:rPr>
          <w:lang w:val="en-GB"/>
        </w:rPr>
        <w:t xml:space="preserve"> </w:t>
      </w:r>
      <w:proofErr w:type="spellStart"/>
      <w:r w:rsidRPr="00FA6555">
        <w:rPr>
          <w:lang w:val="en-GB"/>
        </w:rPr>
        <w:t>Adenotonsillar</w:t>
      </w:r>
      <w:proofErr w:type="spellEnd"/>
      <w:r w:rsidRPr="00FA6555">
        <w:rPr>
          <w:lang w:val="en-GB"/>
        </w:rPr>
        <w:t xml:space="preserve"> tissues were obtained from </w:t>
      </w:r>
      <w:r>
        <w:rPr>
          <w:lang w:val="en-GB"/>
        </w:rPr>
        <w:t>children and adults undergoing tonsillectomy;</w:t>
      </w:r>
      <w:r w:rsidRPr="00FA6555">
        <w:rPr>
          <w:lang w:val="en-GB"/>
        </w:rPr>
        <w:t xml:space="preserve"> ethics approval was obtained (reference 14/SS/1058) and written informed consent was obtained in all cases. </w:t>
      </w:r>
    </w:p>
    <w:p w14:paraId="66096218" w14:textId="77777777" w:rsidR="006974EE" w:rsidRPr="00FA6555" w:rsidRDefault="006974EE" w:rsidP="006974EE">
      <w:pPr>
        <w:pStyle w:val="Paragraph"/>
        <w:spacing w:line="480" w:lineRule="auto"/>
        <w:ind w:firstLine="0"/>
        <w:jc w:val="both"/>
        <w:rPr>
          <w:lang w:val="en-GB"/>
        </w:rPr>
      </w:pPr>
    </w:p>
    <w:p w14:paraId="1CF68103" w14:textId="77777777" w:rsidR="006974EE" w:rsidRPr="00FA6555" w:rsidRDefault="006974EE" w:rsidP="006974EE">
      <w:pPr>
        <w:pStyle w:val="Paragraph"/>
        <w:spacing w:line="480" w:lineRule="auto"/>
        <w:ind w:firstLine="0"/>
        <w:jc w:val="both"/>
        <w:rPr>
          <w:i/>
          <w:lang w:val="en-GB"/>
        </w:rPr>
      </w:pPr>
      <w:r w:rsidRPr="00FA6555">
        <w:rPr>
          <w:i/>
          <w:lang w:val="en-GB"/>
        </w:rPr>
        <w:t>Outcomes</w:t>
      </w:r>
    </w:p>
    <w:p w14:paraId="37C0212A" w14:textId="54475B33" w:rsidR="006974EE" w:rsidRPr="00FA6555" w:rsidRDefault="006974EE" w:rsidP="006974EE">
      <w:pPr>
        <w:pStyle w:val="Paragraph"/>
        <w:spacing w:line="480" w:lineRule="auto"/>
        <w:ind w:firstLine="0"/>
        <w:jc w:val="both"/>
        <w:rPr>
          <w:lang w:val="en-GB"/>
        </w:rPr>
      </w:pPr>
      <w:r w:rsidRPr="00FA6555">
        <w:rPr>
          <w:lang w:val="en-GB"/>
        </w:rPr>
        <w:t xml:space="preserve">The primary endpoint was the safety and tolerability assessed by solicited (local and systemic) and unsolicited adverse events (Table </w:t>
      </w:r>
      <w:r w:rsidR="00C43AD2">
        <w:rPr>
          <w:lang w:val="en-GB"/>
        </w:rPr>
        <w:t>E</w:t>
      </w:r>
      <w:r w:rsidRPr="00FA6555">
        <w:rPr>
          <w:lang w:val="en-GB"/>
        </w:rPr>
        <w:t xml:space="preserve">3). Events were graded mild, moderate or severe and association with vaccination was recorded. Blood test abnormalities were determined using the FDA Toxicity Grading Scale for Healthy Adult and Adolescent Volunteers Enrolled in </w:t>
      </w:r>
      <w:r w:rsidRPr="00FA6555">
        <w:rPr>
          <w:lang w:val="en-GB"/>
        </w:rPr>
        <w:lastRenderedPageBreak/>
        <w:t xml:space="preserve">Preventive Vaccine Clinical Trials. Secondary endpoints assessed humoral systemic and mucosal immune responses to the vaccine. Exploratory endpoints were defined as the measurement of cellular </w:t>
      </w:r>
      <w:r>
        <w:rPr>
          <w:lang w:val="en-GB"/>
        </w:rPr>
        <w:t>immune responses</w:t>
      </w:r>
      <w:r w:rsidRPr="00FA6555">
        <w:rPr>
          <w:lang w:val="en-GB"/>
        </w:rPr>
        <w:t xml:space="preserve">. </w:t>
      </w:r>
    </w:p>
    <w:p w14:paraId="60C51043" w14:textId="77777777" w:rsidR="006974EE" w:rsidRPr="00FA6555" w:rsidRDefault="006974EE" w:rsidP="006974EE">
      <w:pPr>
        <w:pStyle w:val="Paragraph"/>
        <w:spacing w:line="480" w:lineRule="auto"/>
        <w:ind w:firstLine="0"/>
        <w:jc w:val="both"/>
        <w:rPr>
          <w:lang w:val="en-GB"/>
        </w:rPr>
      </w:pPr>
    </w:p>
    <w:p w14:paraId="030DC98A" w14:textId="77777777" w:rsidR="006974EE" w:rsidRPr="00FA6555" w:rsidRDefault="006974EE" w:rsidP="006974EE">
      <w:pPr>
        <w:pStyle w:val="Paragraph"/>
        <w:spacing w:line="480" w:lineRule="auto"/>
        <w:ind w:firstLine="0"/>
        <w:jc w:val="both"/>
        <w:rPr>
          <w:i/>
          <w:lang w:val="en-GB"/>
        </w:rPr>
      </w:pPr>
      <w:r w:rsidRPr="00FA6555">
        <w:rPr>
          <w:i/>
          <w:lang w:val="en-GB"/>
        </w:rPr>
        <w:t>F and G protein-specific enzyme linked immunoassay (ELISA)</w:t>
      </w:r>
    </w:p>
    <w:p w14:paraId="42F95586" w14:textId="27F3021A" w:rsidR="006974EE" w:rsidRPr="00FA6555" w:rsidRDefault="006974EE" w:rsidP="006974EE">
      <w:pPr>
        <w:pStyle w:val="Paragraph"/>
        <w:spacing w:line="480" w:lineRule="auto"/>
        <w:ind w:firstLine="0"/>
        <w:jc w:val="both"/>
        <w:rPr>
          <w:lang w:val="en-GB"/>
        </w:rPr>
      </w:pPr>
      <w:r w:rsidRPr="00FA6555">
        <w:rPr>
          <w:lang w:val="en-GB"/>
        </w:rPr>
        <w:t xml:space="preserve">Anti-RSV IgG and IgA antibodies were measured using stabilized pre-fusion or </w:t>
      </w:r>
      <w:proofErr w:type="spellStart"/>
      <w:r w:rsidRPr="00FA6555">
        <w:rPr>
          <w:lang w:val="en-GB"/>
        </w:rPr>
        <w:t>unstabilized</w:t>
      </w:r>
      <w:proofErr w:type="spellEnd"/>
      <w:r w:rsidRPr="00FA6555">
        <w:rPr>
          <w:lang w:val="en-GB"/>
        </w:rPr>
        <w:t xml:space="preserve"> F protein or Ga (from RSV A) or Gb protein (from RSV B) in ELISA assays as previously described</w:t>
      </w:r>
      <w:r w:rsidR="00C43AD2">
        <w:rPr>
          <w:lang w:val="en-GB"/>
        </w:rPr>
        <w:t xml:space="preserve"> (E1)</w:t>
      </w:r>
      <w:r w:rsidRPr="00FA6555">
        <w:rPr>
          <w:lang w:val="en-GB"/>
        </w:rPr>
        <w:t xml:space="preserve">. </w:t>
      </w:r>
      <w:r>
        <w:rPr>
          <w:lang w:val="en-GB"/>
        </w:rPr>
        <w:t>S</w:t>
      </w:r>
      <w:r w:rsidRPr="00FA6555">
        <w:rPr>
          <w:lang w:val="en-GB"/>
        </w:rPr>
        <w:t xml:space="preserve">erum IgG </w:t>
      </w:r>
      <w:proofErr w:type="spellStart"/>
      <w:r w:rsidRPr="00FA6555">
        <w:rPr>
          <w:lang w:val="en-GB"/>
        </w:rPr>
        <w:t>titer</w:t>
      </w:r>
      <w:proofErr w:type="spellEnd"/>
      <w:r w:rsidRPr="00FA6555">
        <w:rPr>
          <w:lang w:val="en-GB"/>
        </w:rPr>
        <w:t xml:space="preserve"> was calculated as a midpoint EC</w:t>
      </w:r>
      <w:r w:rsidRPr="00FA6555">
        <w:rPr>
          <w:vertAlign w:val="subscript"/>
          <w:lang w:val="en-GB"/>
        </w:rPr>
        <w:t>50</w:t>
      </w:r>
      <w:r w:rsidRPr="00FA6555">
        <w:rPr>
          <w:lang w:val="en-GB"/>
        </w:rPr>
        <w:t xml:space="preserve"> and s-IgA </w:t>
      </w:r>
      <w:proofErr w:type="spellStart"/>
      <w:r w:rsidRPr="00FA6555">
        <w:rPr>
          <w:lang w:val="en-GB"/>
        </w:rPr>
        <w:t>titers</w:t>
      </w:r>
      <w:proofErr w:type="spellEnd"/>
      <w:r w:rsidRPr="00FA6555">
        <w:rPr>
          <w:lang w:val="en-GB"/>
        </w:rPr>
        <w:t xml:space="preserve"> were calculated as endpoint </w:t>
      </w:r>
      <w:proofErr w:type="spellStart"/>
      <w:r w:rsidRPr="00FA6555">
        <w:rPr>
          <w:lang w:val="en-GB"/>
        </w:rPr>
        <w:t>titers</w:t>
      </w:r>
      <w:proofErr w:type="spellEnd"/>
      <w:r w:rsidRPr="00FA6555">
        <w:rPr>
          <w:lang w:val="en-GB"/>
        </w:rPr>
        <w:t xml:space="preserve">, defined as the highest </w:t>
      </w:r>
      <w:proofErr w:type="spellStart"/>
      <w:r w:rsidRPr="00FA6555">
        <w:rPr>
          <w:lang w:val="en-GB"/>
        </w:rPr>
        <w:t>titer</w:t>
      </w:r>
      <w:proofErr w:type="spellEnd"/>
      <w:r w:rsidRPr="00FA6555">
        <w:rPr>
          <w:lang w:val="en-GB"/>
        </w:rPr>
        <w:t xml:space="preserve"> exhibiting an optical density of ≥10x the background. Endpoint </w:t>
      </w:r>
      <w:proofErr w:type="spellStart"/>
      <w:r w:rsidRPr="00FA6555">
        <w:rPr>
          <w:lang w:val="en-GB"/>
        </w:rPr>
        <w:t>titers</w:t>
      </w:r>
      <w:proofErr w:type="spellEnd"/>
      <w:r w:rsidRPr="00FA6555">
        <w:rPr>
          <w:lang w:val="en-GB"/>
        </w:rPr>
        <w:t xml:space="preserve"> for the IgA ELISAs were normalized using the ratio of urea in serum and nasal lavage measured using the Abcam Urea Assay Kit</w:t>
      </w:r>
      <w:r>
        <w:rPr>
          <w:lang w:val="en-GB"/>
        </w:rPr>
        <w:t>,</w:t>
      </w:r>
      <w:r w:rsidRPr="00FA6555">
        <w:rPr>
          <w:lang w:val="en-GB"/>
        </w:rPr>
        <w:t xml:space="preserve"> the method adapted from the manufacturer’s protocol. The dilution factor for normalization was calculated as follows:</w:t>
      </w:r>
    </w:p>
    <w:p w14:paraId="7252DDD4" w14:textId="77777777" w:rsidR="006974EE" w:rsidRPr="00FA6555" w:rsidRDefault="006974EE" w:rsidP="006974EE">
      <w:pPr>
        <w:pStyle w:val="Paragraph"/>
        <w:spacing w:line="480" w:lineRule="auto"/>
        <w:ind w:firstLine="0"/>
        <w:jc w:val="both"/>
        <w:rPr>
          <w:lang w:val="en-GB"/>
        </w:rPr>
      </w:pPr>
      <w:r w:rsidRPr="00FA6555">
        <w:rPr>
          <w:lang w:val="en-GB"/>
        </w:rPr>
        <w:t xml:space="preserve">Dilution Factor = (Serum urea concentration) / (Nasal Lavage urea concentration). Normalized IgA </w:t>
      </w:r>
      <w:proofErr w:type="spellStart"/>
      <w:r w:rsidRPr="00FA6555">
        <w:rPr>
          <w:lang w:val="en-GB"/>
        </w:rPr>
        <w:t>titer</w:t>
      </w:r>
      <w:proofErr w:type="spellEnd"/>
      <w:r w:rsidRPr="00FA6555">
        <w:rPr>
          <w:lang w:val="en-GB"/>
        </w:rPr>
        <w:t xml:space="preserve">=Dilution factors x Nasal s-IgA </w:t>
      </w:r>
      <w:proofErr w:type="spellStart"/>
      <w:r w:rsidRPr="00FA6555">
        <w:rPr>
          <w:lang w:val="en-GB"/>
        </w:rPr>
        <w:t>Titer</w:t>
      </w:r>
      <w:proofErr w:type="spellEnd"/>
      <w:r w:rsidRPr="00FA6555">
        <w:rPr>
          <w:lang w:val="en-GB"/>
        </w:rPr>
        <w:t xml:space="preserve">. </w:t>
      </w:r>
    </w:p>
    <w:p w14:paraId="7015114A" w14:textId="77777777" w:rsidR="006974EE" w:rsidRPr="00FA6555" w:rsidRDefault="006974EE" w:rsidP="006974EE">
      <w:pPr>
        <w:pStyle w:val="Paragraph"/>
        <w:spacing w:line="480" w:lineRule="auto"/>
        <w:jc w:val="both"/>
        <w:rPr>
          <w:lang w:val="en-GB"/>
        </w:rPr>
      </w:pPr>
    </w:p>
    <w:p w14:paraId="734526B6" w14:textId="77777777" w:rsidR="006974EE" w:rsidRPr="00FA6555" w:rsidRDefault="006974EE" w:rsidP="006974EE">
      <w:pPr>
        <w:pStyle w:val="Paragraph"/>
        <w:spacing w:line="480" w:lineRule="auto"/>
        <w:ind w:firstLine="0"/>
        <w:jc w:val="both"/>
        <w:rPr>
          <w:i/>
          <w:lang w:val="en-GB"/>
        </w:rPr>
      </w:pPr>
      <w:r w:rsidRPr="00FA6555">
        <w:rPr>
          <w:i/>
          <w:lang w:val="en-GB"/>
        </w:rPr>
        <w:t>RSV microneutralization assay</w:t>
      </w:r>
    </w:p>
    <w:p w14:paraId="3EEB046F" w14:textId="4CE350B6" w:rsidR="006974EE" w:rsidRPr="00FA6555" w:rsidRDefault="006974EE" w:rsidP="006974EE">
      <w:pPr>
        <w:pStyle w:val="Paragraph"/>
        <w:spacing w:line="480" w:lineRule="auto"/>
        <w:ind w:firstLine="0"/>
        <w:jc w:val="both"/>
        <w:rPr>
          <w:lang w:val="en-GB"/>
        </w:rPr>
      </w:pPr>
      <w:r w:rsidRPr="00FA6555">
        <w:rPr>
          <w:lang w:val="en-GB"/>
        </w:rPr>
        <w:t xml:space="preserve">The </w:t>
      </w:r>
      <w:proofErr w:type="spellStart"/>
      <w:r w:rsidRPr="00FA6555">
        <w:rPr>
          <w:lang w:val="en-GB"/>
        </w:rPr>
        <w:t>titer</w:t>
      </w:r>
      <w:proofErr w:type="spellEnd"/>
      <w:r w:rsidRPr="00FA6555">
        <w:rPr>
          <w:lang w:val="en-GB"/>
        </w:rPr>
        <w:t xml:space="preserve"> of RSV-neutralizing antibodies was determined in serum by plaque reduction neutralization </w:t>
      </w:r>
      <w:proofErr w:type="spellStart"/>
      <w:r w:rsidRPr="00FA6555">
        <w:rPr>
          <w:lang w:val="en-GB"/>
        </w:rPr>
        <w:t>titer</w:t>
      </w:r>
      <w:proofErr w:type="spellEnd"/>
      <w:r w:rsidRPr="00FA6555">
        <w:rPr>
          <w:lang w:val="en-GB"/>
        </w:rPr>
        <w:t xml:space="preserve"> (PRNT) assays performed at </w:t>
      </w:r>
      <w:proofErr w:type="spellStart"/>
      <w:r w:rsidRPr="00FA6555">
        <w:rPr>
          <w:lang w:val="en-GB"/>
        </w:rPr>
        <w:t>Viroclinics</w:t>
      </w:r>
      <w:proofErr w:type="spellEnd"/>
      <w:r w:rsidRPr="00FA6555">
        <w:rPr>
          <w:lang w:val="en-GB"/>
        </w:rPr>
        <w:t xml:space="preserve"> Biosciences, Rotterdam, The Netherlands, as previously described</w:t>
      </w:r>
      <w:r w:rsidR="00C43AD2">
        <w:rPr>
          <w:lang w:val="en-GB"/>
        </w:rPr>
        <w:t xml:space="preserve"> (E2)</w:t>
      </w:r>
      <w:r w:rsidRPr="00FA6555">
        <w:rPr>
          <w:lang w:val="en-GB"/>
        </w:rPr>
        <w:t xml:space="preserve">. </w:t>
      </w:r>
    </w:p>
    <w:p w14:paraId="5915FAF4" w14:textId="77777777" w:rsidR="006974EE" w:rsidRPr="00FA6555" w:rsidRDefault="006974EE" w:rsidP="006974EE">
      <w:pPr>
        <w:pStyle w:val="Paragraph"/>
        <w:spacing w:line="480" w:lineRule="auto"/>
        <w:jc w:val="both"/>
        <w:rPr>
          <w:lang w:val="en-GB"/>
        </w:rPr>
      </w:pPr>
    </w:p>
    <w:p w14:paraId="3B493A4F" w14:textId="77777777" w:rsidR="006974EE" w:rsidRPr="00FA6555" w:rsidRDefault="006974EE" w:rsidP="006974EE">
      <w:pPr>
        <w:pStyle w:val="Paragraph"/>
        <w:spacing w:line="480" w:lineRule="auto"/>
        <w:ind w:firstLine="0"/>
        <w:jc w:val="both"/>
        <w:rPr>
          <w:i/>
          <w:lang w:val="en-GB"/>
        </w:rPr>
      </w:pPr>
      <w:r w:rsidRPr="00FA6555">
        <w:rPr>
          <w:i/>
          <w:lang w:val="en-GB"/>
        </w:rPr>
        <w:t>Palivizumab and D25 competing ELISA</w:t>
      </w:r>
    </w:p>
    <w:p w14:paraId="034EB01C" w14:textId="77777777" w:rsidR="006974EE" w:rsidRPr="00FA6555" w:rsidRDefault="006974EE" w:rsidP="006974EE">
      <w:pPr>
        <w:pStyle w:val="Paragraph"/>
        <w:spacing w:line="480" w:lineRule="auto"/>
        <w:ind w:firstLine="0"/>
        <w:jc w:val="both"/>
        <w:rPr>
          <w:lang w:val="en-GB"/>
        </w:rPr>
      </w:pPr>
      <w:r w:rsidRPr="00FA6555">
        <w:rPr>
          <w:lang w:val="en-GB"/>
        </w:rPr>
        <w:t xml:space="preserve">Palivizumab- and D25-competing antibodies were quantified in serum by competition ELISA, with </w:t>
      </w:r>
      <w:proofErr w:type="spellStart"/>
      <w:r w:rsidRPr="00FA6555">
        <w:rPr>
          <w:lang w:val="en-GB"/>
        </w:rPr>
        <w:t>furin</w:t>
      </w:r>
      <w:proofErr w:type="spellEnd"/>
      <w:r w:rsidRPr="00FA6555">
        <w:rPr>
          <w:lang w:val="en-GB"/>
        </w:rPr>
        <w:t xml:space="preserve"> cleavage site-mutated F protein ectodomain extended with GCN4 trimerization </w:t>
      </w:r>
      <w:r w:rsidRPr="00FA6555">
        <w:rPr>
          <w:lang w:val="en-GB"/>
        </w:rPr>
        <w:lastRenderedPageBreak/>
        <w:t>motifs (FlysGCN4) as antigen. Briefly, 100 µL/well of solid phase FlysGCN4 was adsorbed to 96-well EIA plates (Greiner, UK). Dilutions of serum were prepared in duplicate and mixed with biotin-</w:t>
      </w:r>
      <w:proofErr w:type="spellStart"/>
      <w:r w:rsidRPr="00FA6555">
        <w:rPr>
          <w:lang w:val="en-GB"/>
        </w:rPr>
        <w:t>labeled</w:t>
      </w:r>
      <w:proofErr w:type="spellEnd"/>
      <w:r w:rsidRPr="00FA6555">
        <w:rPr>
          <w:lang w:val="en-GB"/>
        </w:rPr>
        <w:t xml:space="preserve"> epitope-specific antibodies (D25, </w:t>
      </w:r>
      <w:proofErr w:type="spellStart"/>
      <w:r w:rsidRPr="00FA6555">
        <w:rPr>
          <w:lang w:val="en-GB"/>
        </w:rPr>
        <w:t>Mucosis</w:t>
      </w:r>
      <w:proofErr w:type="spellEnd"/>
      <w:r w:rsidRPr="00FA6555">
        <w:rPr>
          <w:lang w:val="en-GB"/>
        </w:rPr>
        <w:t xml:space="preserve"> BV and Palivizumab, </w:t>
      </w:r>
      <w:proofErr w:type="spellStart"/>
      <w:r w:rsidRPr="00FA6555">
        <w:rPr>
          <w:lang w:val="en-GB"/>
        </w:rPr>
        <w:t>MedImmune</w:t>
      </w:r>
      <w:proofErr w:type="spellEnd"/>
      <w:r w:rsidRPr="00FA6555">
        <w:rPr>
          <w:lang w:val="en-GB"/>
        </w:rPr>
        <w:t xml:space="preserve">). </w:t>
      </w:r>
      <w:proofErr w:type="spellStart"/>
      <w:r w:rsidRPr="00FA6555">
        <w:rPr>
          <w:lang w:val="en-GB"/>
        </w:rPr>
        <w:t>Biotinylation</w:t>
      </w:r>
      <w:proofErr w:type="spellEnd"/>
      <w:r w:rsidRPr="00FA6555">
        <w:rPr>
          <w:lang w:val="en-GB"/>
        </w:rPr>
        <w:t xml:space="preserve"> was achieved using an EZ-Link </w:t>
      </w:r>
      <w:proofErr w:type="spellStart"/>
      <w:r w:rsidRPr="00FA6555">
        <w:rPr>
          <w:lang w:val="en-GB"/>
        </w:rPr>
        <w:t>Sulfo</w:t>
      </w:r>
      <w:proofErr w:type="spellEnd"/>
      <w:r w:rsidRPr="00FA6555">
        <w:rPr>
          <w:lang w:val="en-GB"/>
        </w:rPr>
        <w:t>-NHS-LC-</w:t>
      </w:r>
      <w:proofErr w:type="spellStart"/>
      <w:r w:rsidRPr="00FA6555">
        <w:rPr>
          <w:lang w:val="en-GB"/>
        </w:rPr>
        <w:t>Biotinylation</w:t>
      </w:r>
      <w:proofErr w:type="spellEnd"/>
      <w:r w:rsidRPr="00FA6555">
        <w:rPr>
          <w:lang w:val="en-GB"/>
        </w:rPr>
        <w:t xml:space="preserve"> Kit (Thermo Scientific). </w:t>
      </w:r>
      <w:r>
        <w:rPr>
          <w:lang w:val="en-GB"/>
        </w:rPr>
        <w:t>P</w:t>
      </w:r>
      <w:r w:rsidRPr="00FA6555">
        <w:rPr>
          <w:lang w:val="en-GB"/>
        </w:rPr>
        <w:t xml:space="preserve">lates were </w:t>
      </w:r>
      <w:r>
        <w:rPr>
          <w:lang w:val="en-GB"/>
        </w:rPr>
        <w:t xml:space="preserve">then </w:t>
      </w:r>
      <w:r w:rsidRPr="00FA6555">
        <w:rPr>
          <w:lang w:val="en-GB"/>
        </w:rPr>
        <w:t xml:space="preserve">incubated with streptavidin-HRP (Jackson </w:t>
      </w:r>
      <w:proofErr w:type="spellStart"/>
      <w:r w:rsidRPr="00FA6555">
        <w:rPr>
          <w:lang w:val="en-GB"/>
        </w:rPr>
        <w:t>ImmunoResearch</w:t>
      </w:r>
      <w:proofErr w:type="spellEnd"/>
      <w:r w:rsidRPr="00FA6555">
        <w:rPr>
          <w:lang w:val="en-GB"/>
        </w:rPr>
        <w:t xml:space="preserve">), TMB (KPL) was added and the colorimetric reaction was stopped by addition of HCl. Absorbance was read at 450 nm on a microplate reader. </w:t>
      </w:r>
      <w:r>
        <w:rPr>
          <w:lang w:val="en-GB"/>
        </w:rPr>
        <w:t>H</w:t>
      </w:r>
      <w:r w:rsidRPr="00FA6555">
        <w:rPr>
          <w:lang w:val="en-GB"/>
        </w:rPr>
        <w:t xml:space="preserve">uman </w:t>
      </w:r>
      <w:r>
        <w:rPr>
          <w:lang w:val="en-GB"/>
        </w:rPr>
        <w:t xml:space="preserve">RSV </w:t>
      </w:r>
      <w:r w:rsidRPr="00FA6555">
        <w:rPr>
          <w:lang w:val="en-GB"/>
        </w:rPr>
        <w:t>antiserum (NR-4021, NR-4022 and NR-4023</w:t>
      </w:r>
      <w:r>
        <w:rPr>
          <w:lang w:val="en-GB"/>
        </w:rPr>
        <w:t>, BEI Resources</w:t>
      </w:r>
      <w:r w:rsidRPr="00FA6555">
        <w:rPr>
          <w:lang w:val="en-GB"/>
        </w:rPr>
        <w:t xml:space="preserve">) </w:t>
      </w:r>
      <w:r>
        <w:rPr>
          <w:lang w:val="en-GB"/>
        </w:rPr>
        <w:t>and</w:t>
      </w:r>
      <w:r w:rsidRPr="00FA6555">
        <w:rPr>
          <w:lang w:val="en-GB"/>
        </w:rPr>
        <w:t xml:space="preserve"> IgG-depleted human serum (SF142-7 and SF505-2</w:t>
      </w:r>
      <w:r>
        <w:rPr>
          <w:lang w:val="en-GB"/>
        </w:rPr>
        <w:t>, BBI Solutions</w:t>
      </w:r>
      <w:r w:rsidRPr="00FA6555">
        <w:rPr>
          <w:lang w:val="en-GB"/>
        </w:rPr>
        <w:t>)</w:t>
      </w:r>
      <w:r>
        <w:rPr>
          <w:lang w:val="en-GB"/>
        </w:rPr>
        <w:t xml:space="preserve"> were used as controls</w:t>
      </w:r>
      <w:r w:rsidRPr="00FA6555">
        <w:rPr>
          <w:lang w:val="en-GB"/>
        </w:rPr>
        <w:t>.</w:t>
      </w:r>
    </w:p>
    <w:p w14:paraId="7CC6D99E" w14:textId="77777777" w:rsidR="006974EE" w:rsidRPr="00FA6555" w:rsidRDefault="006974EE" w:rsidP="006974EE">
      <w:pPr>
        <w:pStyle w:val="Paragraph"/>
        <w:spacing w:line="480" w:lineRule="auto"/>
        <w:jc w:val="both"/>
        <w:rPr>
          <w:lang w:val="en-GB"/>
        </w:rPr>
      </w:pPr>
    </w:p>
    <w:p w14:paraId="73976C1F" w14:textId="77777777" w:rsidR="006974EE" w:rsidRPr="00FA6555" w:rsidRDefault="006974EE" w:rsidP="006974EE">
      <w:pPr>
        <w:pStyle w:val="Paragraph"/>
        <w:spacing w:line="480" w:lineRule="auto"/>
        <w:ind w:firstLine="0"/>
        <w:jc w:val="both"/>
        <w:rPr>
          <w:i/>
          <w:lang w:val="en-GB"/>
        </w:rPr>
      </w:pPr>
      <w:r w:rsidRPr="00FA6555">
        <w:rPr>
          <w:i/>
          <w:lang w:val="en-GB"/>
        </w:rPr>
        <w:t>Antibody-secreting cell ELISpots</w:t>
      </w:r>
    </w:p>
    <w:p w14:paraId="131BDD6C" w14:textId="155F3355" w:rsidR="006974EE" w:rsidRPr="00FA6555" w:rsidRDefault="006974EE" w:rsidP="006974EE">
      <w:pPr>
        <w:pStyle w:val="Paragraph"/>
        <w:spacing w:line="480" w:lineRule="auto"/>
        <w:ind w:firstLine="0"/>
        <w:jc w:val="both"/>
        <w:rPr>
          <w:lang w:val="en-GB"/>
        </w:rPr>
      </w:pPr>
      <w:r w:rsidRPr="00FA6555">
        <w:rPr>
          <w:lang w:val="en-GB"/>
        </w:rPr>
        <w:t xml:space="preserve">Human antibody-secreting cells (ASCs) were quantified using enzyme-linked </w:t>
      </w:r>
      <w:proofErr w:type="spellStart"/>
      <w:r w:rsidRPr="00FA6555">
        <w:rPr>
          <w:lang w:val="en-GB"/>
        </w:rPr>
        <w:t>immunospot</w:t>
      </w:r>
      <w:proofErr w:type="spellEnd"/>
      <w:r w:rsidRPr="00FA6555">
        <w:rPr>
          <w:lang w:val="en-GB"/>
        </w:rPr>
        <w:t xml:space="preserve"> (ELISpot) assays as previously described</w:t>
      </w:r>
      <w:r w:rsidR="00C43AD2">
        <w:rPr>
          <w:lang w:val="en-GB"/>
        </w:rPr>
        <w:t xml:space="preserve"> (E3)</w:t>
      </w:r>
      <w:r w:rsidRPr="00FA6555">
        <w:rPr>
          <w:lang w:val="en-GB"/>
        </w:rPr>
        <w:t>. Spots were counted using an automated ELISpot reader (AID), and results expressed as spot forming cells per million PBMCs.</w:t>
      </w:r>
    </w:p>
    <w:p w14:paraId="2F0A2AF6" w14:textId="77777777" w:rsidR="006974EE" w:rsidRPr="00FA6555" w:rsidRDefault="006974EE" w:rsidP="006974EE">
      <w:pPr>
        <w:pStyle w:val="Paragraph"/>
        <w:spacing w:line="480" w:lineRule="auto"/>
        <w:jc w:val="both"/>
        <w:rPr>
          <w:lang w:val="en-GB"/>
        </w:rPr>
      </w:pPr>
    </w:p>
    <w:p w14:paraId="341EF815" w14:textId="77777777" w:rsidR="006974EE" w:rsidRPr="00FA6555" w:rsidRDefault="006974EE" w:rsidP="006974EE">
      <w:pPr>
        <w:pStyle w:val="Paragraph"/>
        <w:spacing w:line="480" w:lineRule="auto"/>
        <w:ind w:firstLine="0"/>
        <w:jc w:val="both"/>
        <w:rPr>
          <w:i/>
          <w:lang w:val="en-GB"/>
        </w:rPr>
      </w:pPr>
      <w:r w:rsidRPr="00FA6555">
        <w:rPr>
          <w:i/>
          <w:lang w:val="en-GB"/>
        </w:rPr>
        <w:t>Flow cytometry</w:t>
      </w:r>
    </w:p>
    <w:p w14:paraId="232019DE" w14:textId="77777777" w:rsidR="006974EE" w:rsidRPr="00FA6555" w:rsidRDefault="006974EE" w:rsidP="006974EE">
      <w:pPr>
        <w:pStyle w:val="Paragraph"/>
        <w:spacing w:line="480" w:lineRule="auto"/>
        <w:ind w:firstLine="0"/>
        <w:jc w:val="both"/>
        <w:rPr>
          <w:lang w:val="en-GB"/>
        </w:rPr>
      </w:pPr>
      <w:r w:rsidRPr="00FA6555">
        <w:rPr>
          <w:lang w:val="en-GB"/>
        </w:rPr>
        <w:t xml:space="preserve">Flow cytometry analysis was performed using heparinized whole blood. Cells were stained with anti-CD19 FITC, anti-CD27 APC, anti-CD38 PE and anti-CD3/anti-CD20 both on PE-CF594 (BD Biosciences). Fixed cells were run on a </w:t>
      </w:r>
      <w:proofErr w:type="spellStart"/>
      <w:r w:rsidRPr="00FA6555">
        <w:rPr>
          <w:lang w:val="en-GB"/>
        </w:rPr>
        <w:t>Fortessa</w:t>
      </w:r>
      <w:proofErr w:type="spellEnd"/>
      <w:r w:rsidRPr="00FA6555">
        <w:rPr>
          <w:lang w:val="en-GB"/>
        </w:rPr>
        <w:t xml:space="preserve"> flow cytometer (BD Biosciences) and </w:t>
      </w:r>
      <w:proofErr w:type="spellStart"/>
      <w:r w:rsidRPr="00FA6555">
        <w:rPr>
          <w:lang w:val="en-GB"/>
        </w:rPr>
        <w:t>analyzed</w:t>
      </w:r>
      <w:proofErr w:type="spellEnd"/>
      <w:r w:rsidRPr="00FA6555">
        <w:rPr>
          <w:lang w:val="en-GB"/>
        </w:rPr>
        <w:t xml:space="preserve"> with </w:t>
      </w:r>
      <w:proofErr w:type="spellStart"/>
      <w:r w:rsidRPr="00FA6555">
        <w:rPr>
          <w:lang w:val="en-GB"/>
        </w:rPr>
        <w:t>FlowJo</w:t>
      </w:r>
      <w:proofErr w:type="spellEnd"/>
      <w:r w:rsidRPr="00FA6555">
        <w:rPr>
          <w:lang w:val="en-GB"/>
        </w:rPr>
        <w:t xml:space="preserve"> software. </w:t>
      </w:r>
    </w:p>
    <w:p w14:paraId="218D2421" w14:textId="77777777" w:rsidR="006974EE" w:rsidRPr="00FA6555" w:rsidRDefault="006974EE" w:rsidP="006974EE">
      <w:pPr>
        <w:pStyle w:val="Paragraph"/>
        <w:spacing w:line="480" w:lineRule="auto"/>
        <w:ind w:firstLine="0"/>
        <w:jc w:val="both"/>
        <w:rPr>
          <w:lang w:val="en-GB"/>
        </w:rPr>
      </w:pPr>
    </w:p>
    <w:p w14:paraId="3EAFCE98" w14:textId="77777777" w:rsidR="006974EE" w:rsidRPr="00FA6555" w:rsidRDefault="006974EE" w:rsidP="006974EE">
      <w:pPr>
        <w:pStyle w:val="Paragraph"/>
        <w:spacing w:line="480" w:lineRule="auto"/>
        <w:ind w:firstLine="0"/>
        <w:jc w:val="both"/>
        <w:rPr>
          <w:i/>
          <w:lang w:val="en-GB"/>
        </w:rPr>
      </w:pPr>
      <w:r w:rsidRPr="00FA6555">
        <w:rPr>
          <w:i/>
          <w:lang w:val="en-GB"/>
        </w:rPr>
        <w:t xml:space="preserve">Measurement of antibodies and cytokines in </w:t>
      </w:r>
      <w:proofErr w:type="spellStart"/>
      <w:r w:rsidRPr="00FA6555">
        <w:rPr>
          <w:i/>
          <w:lang w:val="en-GB"/>
        </w:rPr>
        <w:t>adenotonsillar</w:t>
      </w:r>
      <w:proofErr w:type="spellEnd"/>
      <w:r w:rsidRPr="00FA6555">
        <w:rPr>
          <w:i/>
          <w:lang w:val="en-GB"/>
        </w:rPr>
        <w:t xml:space="preserve"> cell culture supernatants</w:t>
      </w:r>
    </w:p>
    <w:p w14:paraId="7995776E" w14:textId="599FA79F" w:rsidR="006974EE" w:rsidRPr="00FA6555" w:rsidRDefault="006974EE" w:rsidP="006974EE">
      <w:pPr>
        <w:pStyle w:val="Paragraph"/>
        <w:spacing w:line="480" w:lineRule="auto"/>
        <w:ind w:firstLine="0"/>
        <w:jc w:val="both"/>
        <w:rPr>
          <w:lang w:val="en-GB"/>
        </w:rPr>
      </w:pPr>
      <w:r w:rsidRPr="00FA6555">
        <w:rPr>
          <w:lang w:val="en-GB"/>
        </w:rPr>
        <w:lastRenderedPageBreak/>
        <w:t xml:space="preserve">Mononuclear cells (MNC) were isolated from </w:t>
      </w:r>
      <w:proofErr w:type="spellStart"/>
      <w:r w:rsidRPr="00FA6555">
        <w:rPr>
          <w:lang w:val="en-GB"/>
        </w:rPr>
        <w:t>adenotonsillar</w:t>
      </w:r>
      <w:proofErr w:type="spellEnd"/>
      <w:r w:rsidRPr="00FA6555">
        <w:rPr>
          <w:lang w:val="en-GB"/>
        </w:rPr>
        <w:t xml:space="preserve"> tissues and cultured, </w:t>
      </w:r>
      <w:r>
        <w:rPr>
          <w:lang w:val="en-GB"/>
        </w:rPr>
        <w:t xml:space="preserve">as </w:t>
      </w:r>
      <w:r w:rsidRPr="00FA6555">
        <w:rPr>
          <w:lang w:val="en-GB"/>
        </w:rPr>
        <w:t>described previously</w:t>
      </w:r>
      <w:r w:rsidR="00C43AD2">
        <w:rPr>
          <w:lang w:val="en-GB"/>
        </w:rPr>
        <w:t xml:space="preserve"> (E4)</w:t>
      </w:r>
      <w:r w:rsidRPr="00FA6555">
        <w:rPr>
          <w:lang w:val="en-GB"/>
        </w:rPr>
        <w:t xml:space="preserve">. Tissues were obtained from children (age 2-10 years) and adults (16-30 years) undergoing adenoidectomy and/or tonsillectomy at Liverpool Alder Hey Children’s Hospital and Royal Liverpool and </w:t>
      </w:r>
      <w:proofErr w:type="spellStart"/>
      <w:r w:rsidRPr="00FA6555">
        <w:rPr>
          <w:lang w:val="en-GB"/>
        </w:rPr>
        <w:t>Broadgreen</w:t>
      </w:r>
      <w:proofErr w:type="spellEnd"/>
      <w:r w:rsidRPr="00FA6555">
        <w:rPr>
          <w:lang w:val="en-GB"/>
        </w:rPr>
        <w:t xml:space="preserve"> University Hospitals. Patients with known immunodeficiency and tissue samples with signs of gross inflammation were excluded. </w:t>
      </w:r>
      <w:proofErr w:type="spellStart"/>
      <w:r w:rsidRPr="00FA6555">
        <w:rPr>
          <w:lang w:val="en-GB"/>
        </w:rPr>
        <w:t>Adenotonsillar</w:t>
      </w:r>
      <w:proofErr w:type="spellEnd"/>
      <w:r w:rsidRPr="00FA6555">
        <w:rPr>
          <w:lang w:val="en-GB"/>
        </w:rPr>
        <w:t xml:space="preserve"> MNC were co-cultured with </w:t>
      </w:r>
      <w:proofErr w:type="spellStart"/>
      <w:r w:rsidRPr="00FA6555">
        <w:rPr>
          <w:lang w:val="en-GB"/>
        </w:rPr>
        <w:t>SynGEM</w:t>
      </w:r>
      <w:proofErr w:type="spellEnd"/>
      <w:r w:rsidRPr="00FA6555">
        <w:rPr>
          <w:lang w:val="en-GB"/>
        </w:rPr>
        <w:t xml:space="preserve"> BLP-F with F-protein concentration at 1µg/mL or 5µg/mL, BLP alone (25µg/mL) and F-Protein alone (1µg/mL) or medium. Cell culture supernatants were harvested at day 12 and F protein-specific antibodies were measured by ELISA as described previously</w:t>
      </w:r>
      <w:r w:rsidR="00C43AD2">
        <w:rPr>
          <w:lang w:val="en-GB"/>
        </w:rPr>
        <w:t xml:space="preserve"> (E5)</w:t>
      </w:r>
      <w:r w:rsidRPr="00FA6555">
        <w:rPr>
          <w:lang w:val="en-GB"/>
        </w:rPr>
        <w:t xml:space="preserve">. </w:t>
      </w:r>
    </w:p>
    <w:p w14:paraId="7613AB79" w14:textId="22C7A74F" w:rsidR="006974EE" w:rsidRPr="00FA6555" w:rsidRDefault="006974EE" w:rsidP="006974EE">
      <w:pPr>
        <w:pStyle w:val="Paragraph"/>
        <w:spacing w:line="480" w:lineRule="auto"/>
        <w:ind w:firstLine="0"/>
        <w:jc w:val="both"/>
        <w:rPr>
          <w:lang w:val="en-GB"/>
        </w:rPr>
      </w:pPr>
      <w:r w:rsidRPr="00FA6555">
        <w:rPr>
          <w:lang w:val="en-GB"/>
        </w:rPr>
        <w:t xml:space="preserve">Following stimulation of </w:t>
      </w:r>
      <w:proofErr w:type="spellStart"/>
      <w:r w:rsidRPr="00FA6555">
        <w:rPr>
          <w:lang w:val="en-GB"/>
        </w:rPr>
        <w:t>adenotonsillar</w:t>
      </w:r>
      <w:proofErr w:type="spellEnd"/>
      <w:r w:rsidRPr="00FA6555">
        <w:rPr>
          <w:lang w:val="en-GB"/>
        </w:rPr>
        <w:t xml:space="preserve"> MNC for 3 days with the </w:t>
      </w:r>
      <w:proofErr w:type="spellStart"/>
      <w:r w:rsidRPr="00FA6555">
        <w:rPr>
          <w:lang w:val="en-GB"/>
        </w:rPr>
        <w:t>SynGEM</w:t>
      </w:r>
      <w:proofErr w:type="spellEnd"/>
      <w:r w:rsidRPr="00FA6555">
        <w:rPr>
          <w:lang w:val="en-GB"/>
        </w:rPr>
        <w:t xml:space="preserve"> BLP-F </w:t>
      </w:r>
      <w:r>
        <w:rPr>
          <w:lang w:val="en-GB"/>
        </w:rPr>
        <w:t>(</w:t>
      </w:r>
      <w:r w:rsidRPr="00FA6555">
        <w:rPr>
          <w:lang w:val="en-GB"/>
        </w:rPr>
        <w:t>5µg/mL</w:t>
      </w:r>
      <w:r>
        <w:rPr>
          <w:lang w:val="en-GB"/>
        </w:rPr>
        <w:t>)</w:t>
      </w:r>
      <w:r w:rsidRPr="00FA6555">
        <w:rPr>
          <w:lang w:val="en-GB"/>
        </w:rPr>
        <w:t xml:space="preserve">, culture supernatants were </w:t>
      </w:r>
      <w:r>
        <w:rPr>
          <w:lang w:val="en-GB"/>
        </w:rPr>
        <w:t>analysed</w:t>
      </w:r>
      <w:r w:rsidRPr="00FA6555">
        <w:rPr>
          <w:lang w:val="en-GB"/>
        </w:rPr>
        <w:t xml:space="preserve"> using cytometric bead array </w:t>
      </w:r>
      <w:r>
        <w:rPr>
          <w:lang w:val="en-GB"/>
        </w:rPr>
        <w:t>for</w:t>
      </w:r>
      <w:r w:rsidRPr="00FA6555">
        <w:rPr>
          <w:lang w:val="en-GB"/>
        </w:rPr>
        <w:t xml:space="preserve"> cytokines (</w:t>
      </w:r>
      <w:proofErr w:type="spellStart"/>
      <w:r w:rsidRPr="00FA6555">
        <w:rPr>
          <w:lang w:val="en-GB"/>
        </w:rPr>
        <w:t>LEGENDplexTM</w:t>
      </w:r>
      <w:proofErr w:type="spellEnd"/>
      <w:r w:rsidRPr="00FA6555">
        <w:rPr>
          <w:lang w:val="en-GB"/>
        </w:rPr>
        <w:t xml:space="preserve">, </w:t>
      </w:r>
      <w:proofErr w:type="spellStart"/>
      <w:r w:rsidRPr="00FA6555">
        <w:rPr>
          <w:lang w:val="en-GB"/>
        </w:rPr>
        <w:t>Biolegend</w:t>
      </w:r>
      <w:proofErr w:type="spellEnd"/>
      <w:r w:rsidRPr="00FA6555">
        <w:rPr>
          <w:lang w:val="en-GB"/>
        </w:rPr>
        <w:t xml:space="preserve">, UK) following manufacturer’s instructions. T cell responses in </w:t>
      </w:r>
      <w:proofErr w:type="spellStart"/>
      <w:r w:rsidRPr="00FA6555">
        <w:rPr>
          <w:lang w:val="en-GB"/>
        </w:rPr>
        <w:t>adenotonsillar</w:t>
      </w:r>
      <w:proofErr w:type="spellEnd"/>
      <w:r w:rsidRPr="00FA6555">
        <w:rPr>
          <w:lang w:val="en-GB"/>
        </w:rPr>
        <w:t xml:space="preserve"> MNC were </w:t>
      </w:r>
      <w:proofErr w:type="spellStart"/>
      <w:r w:rsidRPr="00FA6555">
        <w:rPr>
          <w:lang w:val="en-GB"/>
        </w:rPr>
        <w:t>analyzed</w:t>
      </w:r>
      <w:proofErr w:type="spellEnd"/>
      <w:r w:rsidRPr="00FA6555">
        <w:rPr>
          <w:lang w:val="en-GB"/>
        </w:rPr>
        <w:t xml:space="preserve"> by </w:t>
      </w:r>
      <w:proofErr w:type="spellStart"/>
      <w:r w:rsidRPr="00FA6555">
        <w:rPr>
          <w:lang w:val="en-GB"/>
        </w:rPr>
        <w:t>Carboxyfluorescein</w:t>
      </w:r>
      <w:proofErr w:type="spellEnd"/>
      <w:r w:rsidRPr="00FA6555">
        <w:rPr>
          <w:lang w:val="en-GB"/>
        </w:rPr>
        <w:t xml:space="preserve"> </w:t>
      </w:r>
      <w:proofErr w:type="spellStart"/>
      <w:r w:rsidRPr="00FA6555">
        <w:rPr>
          <w:lang w:val="en-GB"/>
        </w:rPr>
        <w:t>succinimidyl</w:t>
      </w:r>
      <w:proofErr w:type="spellEnd"/>
      <w:r w:rsidRPr="00FA6555">
        <w:rPr>
          <w:lang w:val="en-GB"/>
        </w:rPr>
        <w:t xml:space="preserve"> ester (CFSE) (Molecular Probes, UK) labelling as previously described</w:t>
      </w:r>
      <w:r w:rsidR="00C43AD2">
        <w:rPr>
          <w:lang w:val="en-GB"/>
        </w:rPr>
        <w:t xml:space="preserve"> (E4, E6)</w:t>
      </w:r>
      <w:r w:rsidRPr="00FA6555">
        <w:rPr>
          <w:lang w:val="en-GB"/>
        </w:rPr>
        <w:t xml:space="preserve">. </w:t>
      </w:r>
    </w:p>
    <w:p w14:paraId="6BA62C2D" w14:textId="77777777" w:rsidR="006974EE" w:rsidRPr="00FA6555" w:rsidRDefault="006974EE" w:rsidP="006974EE">
      <w:pPr>
        <w:pStyle w:val="Paragraph"/>
        <w:spacing w:line="480" w:lineRule="auto"/>
        <w:jc w:val="both"/>
        <w:rPr>
          <w:lang w:val="en-GB"/>
        </w:rPr>
      </w:pPr>
    </w:p>
    <w:p w14:paraId="60F9B7DA" w14:textId="77777777" w:rsidR="006974EE" w:rsidRPr="00FA6555" w:rsidRDefault="006974EE" w:rsidP="006974EE">
      <w:pPr>
        <w:pStyle w:val="Paragraph"/>
        <w:spacing w:line="480" w:lineRule="auto"/>
        <w:ind w:firstLine="0"/>
        <w:jc w:val="both"/>
        <w:rPr>
          <w:i/>
          <w:lang w:val="en-GB"/>
        </w:rPr>
      </w:pPr>
      <w:r w:rsidRPr="00FA6555">
        <w:rPr>
          <w:i/>
          <w:lang w:val="en-GB"/>
        </w:rPr>
        <w:t>Statistical analysis</w:t>
      </w:r>
    </w:p>
    <w:p w14:paraId="670F09A0" w14:textId="77777777" w:rsidR="006974EE" w:rsidRPr="00FA6555" w:rsidRDefault="006974EE" w:rsidP="006974EE">
      <w:pPr>
        <w:pStyle w:val="Paragraph"/>
        <w:spacing w:line="480" w:lineRule="auto"/>
        <w:ind w:firstLine="0"/>
        <w:jc w:val="both"/>
        <w:rPr>
          <w:lang w:val="en-GB"/>
        </w:rPr>
      </w:pPr>
      <w:r w:rsidRPr="00FA6555">
        <w:rPr>
          <w:lang w:val="en-GB"/>
        </w:rPr>
        <w:t xml:space="preserve">Data analyses and graphs were produced using the software R and </w:t>
      </w:r>
      <w:proofErr w:type="spellStart"/>
      <w:r w:rsidRPr="00FA6555">
        <w:rPr>
          <w:lang w:val="en-GB"/>
        </w:rPr>
        <w:t>Graphpad</w:t>
      </w:r>
      <w:proofErr w:type="spellEnd"/>
      <w:r w:rsidRPr="00FA6555">
        <w:rPr>
          <w:lang w:val="en-GB"/>
        </w:rPr>
        <w:t xml:space="preserve"> Prism. Non-parametric data was compared using Mann-Whitney-Wilcoxon tests with Holm’s correction for multiple comparisons. Binary response variables were related to continuous explanatory variables using logistic regression. Odds ratios (OR) and 95% confidence intervals (CI) of the OR for the explanatory variables were calculated. For estimation of serum neutralizing antibody </w:t>
      </w:r>
      <w:proofErr w:type="spellStart"/>
      <w:r w:rsidRPr="00FA6555">
        <w:rPr>
          <w:lang w:val="en-GB"/>
        </w:rPr>
        <w:t>titers</w:t>
      </w:r>
      <w:proofErr w:type="spellEnd"/>
      <w:r w:rsidRPr="00FA6555">
        <w:rPr>
          <w:lang w:val="en-GB"/>
        </w:rPr>
        <w:t xml:space="preserve">, weighted (1/y) four-parameter logistic models were fitted to the plaque counts and the 50% neutralizing </w:t>
      </w:r>
      <w:proofErr w:type="spellStart"/>
      <w:r w:rsidRPr="00FA6555">
        <w:rPr>
          <w:lang w:val="en-GB"/>
        </w:rPr>
        <w:t>titer</w:t>
      </w:r>
      <w:proofErr w:type="spellEnd"/>
      <w:r w:rsidRPr="00FA6555">
        <w:rPr>
          <w:lang w:val="en-GB"/>
        </w:rPr>
        <w:t xml:space="preserve"> (EC50) was derived from the midpoint of the curve using package ‘</w:t>
      </w:r>
      <w:proofErr w:type="spellStart"/>
      <w:r w:rsidRPr="00FA6555">
        <w:rPr>
          <w:lang w:val="en-GB"/>
        </w:rPr>
        <w:t>drc</w:t>
      </w:r>
      <w:proofErr w:type="spellEnd"/>
      <w:r w:rsidRPr="00FA6555">
        <w:rPr>
          <w:lang w:val="en-GB"/>
        </w:rPr>
        <w:t xml:space="preserve">’. </w:t>
      </w:r>
    </w:p>
    <w:p w14:paraId="5D55A14B" w14:textId="77777777" w:rsidR="00C43AD2" w:rsidRDefault="00C43AD2">
      <w:pPr>
        <w:rPr>
          <w:rFonts w:eastAsia="Times New Roman"/>
          <w:sz w:val="24"/>
          <w:szCs w:val="24"/>
          <w:lang w:val="en-GB"/>
        </w:rPr>
      </w:pPr>
      <w:r>
        <w:rPr>
          <w:rFonts w:eastAsia="Times New Roman"/>
          <w:sz w:val="24"/>
          <w:szCs w:val="24"/>
          <w:lang w:val="en-GB"/>
        </w:rPr>
        <w:br w:type="page"/>
      </w:r>
    </w:p>
    <w:p w14:paraId="22E584FD" w14:textId="02F6F912" w:rsidR="00C43AD2" w:rsidRPr="0039498B" w:rsidRDefault="00C43AD2" w:rsidP="00C43AD2">
      <w:pPr>
        <w:spacing w:after="160" w:line="480" w:lineRule="auto"/>
        <w:rPr>
          <w:b/>
          <w:sz w:val="24"/>
          <w:szCs w:val="24"/>
          <w:lang w:val="en-GB"/>
        </w:rPr>
      </w:pPr>
      <w:r w:rsidRPr="0039498B">
        <w:rPr>
          <w:b/>
          <w:sz w:val="24"/>
          <w:szCs w:val="24"/>
          <w:lang w:val="en-GB"/>
        </w:rPr>
        <w:lastRenderedPageBreak/>
        <w:t>Supplementary References</w:t>
      </w:r>
    </w:p>
    <w:p w14:paraId="5A2B9668" w14:textId="77777777" w:rsidR="00C43AD2" w:rsidRPr="0039498B" w:rsidRDefault="00C43AD2" w:rsidP="00C43AD2">
      <w:pPr>
        <w:spacing w:after="160" w:line="480" w:lineRule="auto"/>
        <w:ind w:left="720" w:hanging="720"/>
        <w:rPr>
          <w:sz w:val="24"/>
          <w:szCs w:val="24"/>
          <w:lang w:val="en-GB"/>
        </w:rPr>
      </w:pPr>
      <w:r w:rsidRPr="0039498B">
        <w:rPr>
          <w:sz w:val="24"/>
          <w:szCs w:val="24"/>
          <w:lang w:val="en-GB"/>
        </w:rPr>
        <w:t>E1.</w:t>
      </w:r>
      <w:r w:rsidRPr="0039498B">
        <w:rPr>
          <w:sz w:val="24"/>
          <w:szCs w:val="24"/>
          <w:lang w:val="en-GB"/>
        </w:rPr>
        <w:tab/>
        <w:t xml:space="preserve">Habibi MS, </w:t>
      </w:r>
      <w:proofErr w:type="spellStart"/>
      <w:r w:rsidRPr="0039498B">
        <w:rPr>
          <w:sz w:val="24"/>
          <w:szCs w:val="24"/>
          <w:lang w:val="en-GB"/>
        </w:rPr>
        <w:t>Jozwik</w:t>
      </w:r>
      <w:proofErr w:type="spellEnd"/>
      <w:r w:rsidRPr="0039498B">
        <w:rPr>
          <w:sz w:val="24"/>
          <w:szCs w:val="24"/>
          <w:lang w:val="en-GB"/>
        </w:rPr>
        <w:t xml:space="preserve"> A, Makris S, Dunning J, Paras A, </w:t>
      </w:r>
      <w:proofErr w:type="spellStart"/>
      <w:r w:rsidRPr="0039498B">
        <w:rPr>
          <w:sz w:val="24"/>
          <w:szCs w:val="24"/>
          <w:lang w:val="en-GB"/>
        </w:rPr>
        <w:t>DeVincenzo</w:t>
      </w:r>
      <w:proofErr w:type="spellEnd"/>
      <w:r w:rsidRPr="0039498B">
        <w:rPr>
          <w:sz w:val="24"/>
          <w:szCs w:val="24"/>
          <w:lang w:val="en-GB"/>
        </w:rPr>
        <w:t xml:space="preserve"> JP, de </w:t>
      </w:r>
      <w:proofErr w:type="spellStart"/>
      <w:r w:rsidRPr="0039498B">
        <w:rPr>
          <w:sz w:val="24"/>
          <w:szCs w:val="24"/>
          <w:lang w:val="en-GB"/>
        </w:rPr>
        <w:t>Haan</w:t>
      </w:r>
      <w:proofErr w:type="spellEnd"/>
      <w:r w:rsidRPr="0039498B">
        <w:rPr>
          <w:sz w:val="24"/>
          <w:szCs w:val="24"/>
          <w:lang w:val="en-GB"/>
        </w:rPr>
        <w:t xml:space="preserve"> CAM, </w:t>
      </w:r>
      <w:proofErr w:type="spellStart"/>
      <w:r w:rsidRPr="0039498B">
        <w:rPr>
          <w:sz w:val="24"/>
          <w:szCs w:val="24"/>
          <w:lang w:val="en-GB"/>
        </w:rPr>
        <w:t>Wrammert</w:t>
      </w:r>
      <w:proofErr w:type="spellEnd"/>
      <w:r w:rsidRPr="0039498B">
        <w:rPr>
          <w:sz w:val="24"/>
          <w:szCs w:val="24"/>
          <w:lang w:val="en-GB"/>
        </w:rPr>
        <w:t xml:space="preserve"> J, Openshaw PJM, Chiu C. Impaired Antibody-mediated Protection and Defective IgA B-Cell Memory in Experimental Infection of Adults with Respiratory Syncytial Virus. Am J Respir </w:t>
      </w:r>
      <w:proofErr w:type="spellStart"/>
      <w:r w:rsidRPr="0039498B">
        <w:rPr>
          <w:sz w:val="24"/>
          <w:szCs w:val="24"/>
          <w:lang w:val="en-GB"/>
        </w:rPr>
        <w:t>Crit</w:t>
      </w:r>
      <w:proofErr w:type="spellEnd"/>
      <w:r w:rsidRPr="0039498B">
        <w:rPr>
          <w:sz w:val="24"/>
          <w:szCs w:val="24"/>
          <w:lang w:val="en-GB"/>
        </w:rPr>
        <w:t xml:space="preserve"> Care Med </w:t>
      </w:r>
      <w:proofErr w:type="gramStart"/>
      <w:r w:rsidRPr="0039498B">
        <w:rPr>
          <w:sz w:val="24"/>
          <w:szCs w:val="24"/>
          <w:lang w:val="en-GB"/>
        </w:rPr>
        <w:t>2015;191:1040</w:t>
      </w:r>
      <w:proofErr w:type="gramEnd"/>
      <w:r w:rsidRPr="0039498B">
        <w:rPr>
          <w:sz w:val="24"/>
          <w:szCs w:val="24"/>
          <w:lang w:val="en-GB"/>
        </w:rPr>
        <w:t>–1049.</w:t>
      </w:r>
    </w:p>
    <w:p w14:paraId="5535EBF9" w14:textId="77777777" w:rsidR="00C43AD2" w:rsidRPr="0039498B" w:rsidRDefault="00C43AD2" w:rsidP="00C43AD2">
      <w:pPr>
        <w:spacing w:after="160" w:line="480" w:lineRule="auto"/>
        <w:ind w:left="720" w:hanging="720"/>
        <w:rPr>
          <w:sz w:val="24"/>
          <w:szCs w:val="24"/>
          <w:lang w:val="en-GB"/>
        </w:rPr>
      </w:pPr>
      <w:r w:rsidRPr="0039498B">
        <w:rPr>
          <w:sz w:val="24"/>
          <w:szCs w:val="24"/>
          <w:lang w:val="en-GB"/>
        </w:rPr>
        <w:t>E2.</w:t>
      </w:r>
      <w:r w:rsidRPr="0039498B">
        <w:rPr>
          <w:sz w:val="24"/>
          <w:szCs w:val="24"/>
          <w:lang w:val="en-GB"/>
        </w:rPr>
        <w:tab/>
        <w:t xml:space="preserve">Sande CJ, </w:t>
      </w:r>
      <w:proofErr w:type="spellStart"/>
      <w:r w:rsidRPr="0039498B">
        <w:rPr>
          <w:sz w:val="24"/>
          <w:szCs w:val="24"/>
          <w:lang w:val="en-GB"/>
        </w:rPr>
        <w:t>Mutunga</w:t>
      </w:r>
      <w:proofErr w:type="spellEnd"/>
      <w:r w:rsidRPr="0039498B">
        <w:rPr>
          <w:sz w:val="24"/>
          <w:szCs w:val="24"/>
          <w:lang w:val="en-GB"/>
        </w:rPr>
        <w:t xml:space="preserve"> MN, Medley GF, Cane PA, </w:t>
      </w:r>
      <w:proofErr w:type="spellStart"/>
      <w:r w:rsidRPr="0039498B">
        <w:rPr>
          <w:sz w:val="24"/>
          <w:szCs w:val="24"/>
          <w:lang w:val="en-GB"/>
        </w:rPr>
        <w:t>Nokes</w:t>
      </w:r>
      <w:proofErr w:type="spellEnd"/>
      <w:r w:rsidRPr="0039498B">
        <w:rPr>
          <w:sz w:val="24"/>
          <w:szCs w:val="24"/>
          <w:lang w:val="en-GB"/>
        </w:rPr>
        <w:t xml:space="preserve"> DJ. Group and genotype specific neutralising antibody responses against respiratory syncytial virus (RSV) in infants and young children with severe pneumonia. J Infect Dis. 2012 Feb 1; 207(3): 489–492.</w:t>
      </w:r>
    </w:p>
    <w:p w14:paraId="10AA8148" w14:textId="77777777" w:rsidR="00C43AD2" w:rsidRPr="0039498B" w:rsidRDefault="00C43AD2" w:rsidP="00C43AD2">
      <w:pPr>
        <w:spacing w:after="160" w:line="480" w:lineRule="auto"/>
        <w:ind w:left="720" w:hanging="720"/>
        <w:rPr>
          <w:sz w:val="24"/>
          <w:szCs w:val="24"/>
          <w:lang w:val="en-GB"/>
        </w:rPr>
      </w:pPr>
      <w:r w:rsidRPr="0039498B">
        <w:rPr>
          <w:sz w:val="24"/>
          <w:szCs w:val="24"/>
          <w:lang w:val="en-GB"/>
        </w:rPr>
        <w:t>E3.</w:t>
      </w:r>
      <w:r w:rsidRPr="0039498B">
        <w:rPr>
          <w:sz w:val="24"/>
          <w:szCs w:val="24"/>
          <w:lang w:val="en-GB"/>
        </w:rPr>
        <w:tab/>
      </w:r>
      <w:proofErr w:type="spellStart"/>
      <w:r w:rsidRPr="0039498B">
        <w:rPr>
          <w:sz w:val="24"/>
          <w:szCs w:val="24"/>
          <w:lang w:val="en-GB"/>
        </w:rPr>
        <w:t>Saletti</w:t>
      </w:r>
      <w:proofErr w:type="spellEnd"/>
      <w:r w:rsidRPr="0039498B">
        <w:rPr>
          <w:sz w:val="24"/>
          <w:szCs w:val="24"/>
          <w:lang w:val="en-GB"/>
        </w:rPr>
        <w:t xml:space="preserve"> G, </w:t>
      </w:r>
      <w:proofErr w:type="spellStart"/>
      <w:r w:rsidRPr="0039498B">
        <w:rPr>
          <w:sz w:val="24"/>
          <w:szCs w:val="24"/>
          <w:lang w:val="en-GB"/>
        </w:rPr>
        <w:t>Çuburu</w:t>
      </w:r>
      <w:proofErr w:type="spellEnd"/>
      <w:r w:rsidRPr="0039498B">
        <w:rPr>
          <w:sz w:val="24"/>
          <w:szCs w:val="24"/>
          <w:lang w:val="en-GB"/>
        </w:rPr>
        <w:t xml:space="preserve"> N, Yang JS, Dey A, </w:t>
      </w:r>
      <w:proofErr w:type="spellStart"/>
      <w:r w:rsidRPr="0039498B">
        <w:rPr>
          <w:sz w:val="24"/>
          <w:szCs w:val="24"/>
          <w:lang w:val="en-GB"/>
        </w:rPr>
        <w:t>Czerkinsky</w:t>
      </w:r>
      <w:proofErr w:type="spellEnd"/>
      <w:r w:rsidRPr="0039498B">
        <w:rPr>
          <w:sz w:val="24"/>
          <w:szCs w:val="24"/>
          <w:lang w:val="en-GB"/>
        </w:rPr>
        <w:t xml:space="preserve"> C. Enzyme-linked </w:t>
      </w:r>
      <w:proofErr w:type="spellStart"/>
      <w:r w:rsidRPr="0039498B">
        <w:rPr>
          <w:sz w:val="24"/>
          <w:szCs w:val="24"/>
          <w:lang w:val="en-GB"/>
        </w:rPr>
        <w:t>immunospot</w:t>
      </w:r>
      <w:proofErr w:type="spellEnd"/>
      <w:r w:rsidRPr="0039498B">
        <w:rPr>
          <w:sz w:val="24"/>
          <w:szCs w:val="24"/>
          <w:lang w:val="en-GB"/>
        </w:rPr>
        <w:t xml:space="preserve"> assays for direct ex vivo measurement of vaccine-induced human humoral immune responses in blood. Nat Protocols </w:t>
      </w:r>
      <w:proofErr w:type="gramStart"/>
      <w:r w:rsidRPr="0039498B">
        <w:rPr>
          <w:sz w:val="24"/>
          <w:szCs w:val="24"/>
          <w:lang w:val="en-GB"/>
        </w:rPr>
        <w:t>2013;8:1073</w:t>
      </w:r>
      <w:proofErr w:type="gramEnd"/>
      <w:r w:rsidRPr="0039498B">
        <w:rPr>
          <w:sz w:val="24"/>
          <w:szCs w:val="24"/>
          <w:lang w:val="en-GB"/>
        </w:rPr>
        <w:t>–1087.</w:t>
      </w:r>
    </w:p>
    <w:p w14:paraId="782E681E" w14:textId="77777777" w:rsidR="00C43AD2" w:rsidRPr="0039498B" w:rsidRDefault="00C43AD2" w:rsidP="00C43AD2">
      <w:pPr>
        <w:spacing w:after="160" w:line="480" w:lineRule="auto"/>
        <w:ind w:left="720" w:hanging="720"/>
        <w:rPr>
          <w:sz w:val="24"/>
          <w:szCs w:val="24"/>
          <w:lang w:val="en-GB"/>
        </w:rPr>
      </w:pPr>
      <w:r w:rsidRPr="0039498B">
        <w:rPr>
          <w:sz w:val="24"/>
          <w:szCs w:val="24"/>
          <w:lang w:val="en-GB"/>
        </w:rPr>
        <w:t>E4.</w:t>
      </w:r>
      <w:r w:rsidRPr="0039498B">
        <w:rPr>
          <w:sz w:val="24"/>
          <w:szCs w:val="24"/>
          <w:lang w:val="en-GB"/>
        </w:rPr>
        <w:tab/>
      </w:r>
      <w:proofErr w:type="spellStart"/>
      <w:r w:rsidRPr="0039498B">
        <w:rPr>
          <w:sz w:val="24"/>
          <w:szCs w:val="24"/>
          <w:lang w:val="en-GB"/>
        </w:rPr>
        <w:t>Aljurayyan</w:t>
      </w:r>
      <w:proofErr w:type="spellEnd"/>
      <w:r w:rsidRPr="0039498B">
        <w:rPr>
          <w:sz w:val="24"/>
          <w:szCs w:val="24"/>
          <w:lang w:val="en-GB"/>
        </w:rPr>
        <w:t xml:space="preserve"> A, </w:t>
      </w:r>
      <w:proofErr w:type="spellStart"/>
      <w:r w:rsidRPr="0039498B">
        <w:rPr>
          <w:sz w:val="24"/>
          <w:szCs w:val="24"/>
          <w:lang w:val="en-GB"/>
        </w:rPr>
        <w:t>Puksuriwong</w:t>
      </w:r>
      <w:proofErr w:type="spellEnd"/>
      <w:r w:rsidRPr="0039498B">
        <w:rPr>
          <w:sz w:val="24"/>
          <w:szCs w:val="24"/>
          <w:lang w:val="en-GB"/>
        </w:rPr>
        <w:t xml:space="preserve"> S, Ahmed M, Sharma R, Krishnan M, Sood S, Davies K, </w:t>
      </w:r>
      <w:proofErr w:type="spellStart"/>
      <w:r w:rsidRPr="0039498B">
        <w:rPr>
          <w:sz w:val="24"/>
          <w:szCs w:val="24"/>
          <w:lang w:val="en-GB"/>
        </w:rPr>
        <w:t>Rajashekar</w:t>
      </w:r>
      <w:proofErr w:type="spellEnd"/>
      <w:r w:rsidRPr="0039498B">
        <w:rPr>
          <w:sz w:val="24"/>
          <w:szCs w:val="24"/>
          <w:lang w:val="en-GB"/>
        </w:rPr>
        <w:t xml:space="preserve"> D, Leong S, McNamara PS, Gordon S, Zhang Q. Activation and Induction of Antigen-Specific T Follicular Helper Cells Play a Critical Role in Live-Attenuated Influenza Vaccine-Induced Human Mucosal Anti-influenza Antibody Response. J </w:t>
      </w:r>
      <w:proofErr w:type="spellStart"/>
      <w:r w:rsidRPr="0039498B">
        <w:rPr>
          <w:sz w:val="24"/>
          <w:szCs w:val="24"/>
          <w:lang w:val="en-GB"/>
        </w:rPr>
        <w:t>Virol</w:t>
      </w:r>
      <w:proofErr w:type="spellEnd"/>
      <w:r w:rsidRPr="0039498B">
        <w:rPr>
          <w:sz w:val="24"/>
          <w:szCs w:val="24"/>
          <w:lang w:val="en-GB"/>
        </w:rPr>
        <w:t xml:space="preserve"> 2018;</w:t>
      </w:r>
      <w:proofErr w:type="gramStart"/>
      <w:r w:rsidRPr="0039498B">
        <w:rPr>
          <w:sz w:val="24"/>
          <w:szCs w:val="24"/>
          <w:lang w:val="en-GB"/>
        </w:rPr>
        <w:t>92:e</w:t>
      </w:r>
      <w:proofErr w:type="gramEnd"/>
      <w:r w:rsidRPr="0039498B">
        <w:rPr>
          <w:sz w:val="24"/>
          <w:szCs w:val="24"/>
          <w:lang w:val="en-GB"/>
        </w:rPr>
        <w:t>00114-18.</w:t>
      </w:r>
    </w:p>
    <w:p w14:paraId="275D333F" w14:textId="77777777" w:rsidR="00C43AD2" w:rsidRPr="0039498B" w:rsidRDefault="00C43AD2" w:rsidP="00C43AD2">
      <w:pPr>
        <w:spacing w:after="160" w:line="480" w:lineRule="auto"/>
        <w:ind w:left="720" w:hanging="720"/>
        <w:rPr>
          <w:sz w:val="24"/>
          <w:szCs w:val="24"/>
          <w:lang w:val="en-GB"/>
        </w:rPr>
      </w:pPr>
      <w:r w:rsidRPr="0039498B">
        <w:rPr>
          <w:sz w:val="24"/>
          <w:szCs w:val="24"/>
          <w:lang w:val="en-GB"/>
        </w:rPr>
        <w:t>E5.</w:t>
      </w:r>
      <w:r w:rsidRPr="0039498B">
        <w:rPr>
          <w:sz w:val="24"/>
          <w:szCs w:val="24"/>
          <w:lang w:val="en-GB"/>
        </w:rPr>
        <w:tab/>
        <w:t xml:space="preserve">Mullin J, Ahmed MS, Sharma R, Upile N, Beer H, Achar P, </w:t>
      </w:r>
      <w:proofErr w:type="spellStart"/>
      <w:r w:rsidRPr="0039498B">
        <w:rPr>
          <w:sz w:val="24"/>
          <w:szCs w:val="24"/>
          <w:lang w:val="en-GB"/>
        </w:rPr>
        <w:t>Puksuriwong</w:t>
      </w:r>
      <w:proofErr w:type="spellEnd"/>
      <w:r w:rsidRPr="0039498B">
        <w:rPr>
          <w:sz w:val="24"/>
          <w:szCs w:val="24"/>
          <w:lang w:val="en-GB"/>
        </w:rPr>
        <w:t xml:space="preserve"> S, Ferrara F, </w:t>
      </w:r>
      <w:proofErr w:type="spellStart"/>
      <w:r w:rsidRPr="0039498B">
        <w:rPr>
          <w:sz w:val="24"/>
          <w:szCs w:val="24"/>
          <w:lang w:val="en-GB"/>
        </w:rPr>
        <w:t>Temperton</w:t>
      </w:r>
      <w:proofErr w:type="spellEnd"/>
      <w:r w:rsidRPr="0039498B">
        <w:rPr>
          <w:sz w:val="24"/>
          <w:szCs w:val="24"/>
          <w:lang w:val="en-GB"/>
        </w:rPr>
        <w:t xml:space="preserve"> N, McNamara P, </w:t>
      </w:r>
      <w:proofErr w:type="spellStart"/>
      <w:r w:rsidRPr="0039498B">
        <w:rPr>
          <w:sz w:val="24"/>
          <w:szCs w:val="24"/>
          <w:lang w:val="en-GB"/>
        </w:rPr>
        <w:t>Lambe</w:t>
      </w:r>
      <w:proofErr w:type="spellEnd"/>
      <w:r w:rsidRPr="0039498B">
        <w:rPr>
          <w:sz w:val="24"/>
          <w:szCs w:val="24"/>
          <w:lang w:val="en-GB"/>
        </w:rPr>
        <w:t xml:space="preserve"> T, Gilbert SC, Zhang Q. Activation of cross-reactive mucosal T and B cell responses in human nasopharynx-associated lymphoid tissue in vitro by Modified Vaccinia Ankara-vectored influenza vaccines. Vaccine </w:t>
      </w:r>
      <w:proofErr w:type="gramStart"/>
      <w:r w:rsidRPr="0039498B">
        <w:rPr>
          <w:sz w:val="24"/>
          <w:szCs w:val="24"/>
          <w:lang w:val="en-GB"/>
        </w:rPr>
        <w:t>2016;34:1688</w:t>
      </w:r>
      <w:proofErr w:type="gramEnd"/>
      <w:r w:rsidRPr="0039498B">
        <w:rPr>
          <w:sz w:val="24"/>
          <w:szCs w:val="24"/>
          <w:lang w:val="en-GB"/>
        </w:rPr>
        <w:t>–1695.</w:t>
      </w:r>
    </w:p>
    <w:p w14:paraId="3D83C48A" w14:textId="77777777" w:rsidR="00C43AD2" w:rsidRPr="0039498B" w:rsidRDefault="00C43AD2" w:rsidP="00C43AD2">
      <w:pPr>
        <w:spacing w:after="160" w:line="480" w:lineRule="auto"/>
        <w:ind w:left="720" w:hanging="720"/>
        <w:rPr>
          <w:sz w:val="24"/>
          <w:szCs w:val="24"/>
          <w:lang w:val="en-GB"/>
        </w:rPr>
      </w:pPr>
      <w:r w:rsidRPr="0039498B">
        <w:rPr>
          <w:sz w:val="24"/>
          <w:szCs w:val="24"/>
          <w:lang w:val="en-GB"/>
        </w:rPr>
        <w:t>E6.</w:t>
      </w:r>
      <w:r w:rsidRPr="0039498B">
        <w:rPr>
          <w:sz w:val="24"/>
          <w:szCs w:val="24"/>
          <w:lang w:val="en-GB"/>
        </w:rPr>
        <w:tab/>
        <w:t xml:space="preserve">Gray C, Ahmed MS, Mubarak A, </w:t>
      </w:r>
      <w:proofErr w:type="spellStart"/>
      <w:r w:rsidRPr="0039498B">
        <w:rPr>
          <w:sz w:val="24"/>
          <w:szCs w:val="24"/>
          <w:lang w:val="en-GB"/>
        </w:rPr>
        <w:t>Kasbekar</w:t>
      </w:r>
      <w:proofErr w:type="spellEnd"/>
      <w:r w:rsidRPr="0039498B">
        <w:rPr>
          <w:sz w:val="24"/>
          <w:szCs w:val="24"/>
          <w:lang w:val="en-GB"/>
        </w:rPr>
        <w:t xml:space="preserve"> AV, Derbyshire S, McCormick MS, Mughal MK, McNamara PS, Mitchell T, Zhang Q. Activation of memory Th17 cells </w:t>
      </w:r>
      <w:r w:rsidRPr="0039498B">
        <w:rPr>
          <w:sz w:val="24"/>
          <w:szCs w:val="24"/>
          <w:lang w:val="en-GB"/>
        </w:rPr>
        <w:lastRenderedPageBreak/>
        <w:t xml:space="preserve">by domain 4 </w:t>
      </w:r>
      <w:proofErr w:type="spellStart"/>
      <w:r w:rsidRPr="0039498B">
        <w:rPr>
          <w:sz w:val="24"/>
          <w:szCs w:val="24"/>
          <w:lang w:val="en-GB"/>
        </w:rPr>
        <w:t>pneumolysin</w:t>
      </w:r>
      <w:proofErr w:type="spellEnd"/>
      <w:r w:rsidRPr="0039498B">
        <w:rPr>
          <w:sz w:val="24"/>
          <w:szCs w:val="24"/>
          <w:lang w:val="en-GB"/>
        </w:rPr>
        <w:t xml:space="preserve"> in human nasopharynx-associated lymphoid tissue and its association with pneumococcal carriage. Mucosal Immunology </w:t>
      </w:r>
      <w:proofErr w:type="gramStart"/>
      <w:r w:rsidRPr="0039498B">
        <w:rPr>
          <w:sz w:val="24"/>
          <w:szCs w:val="24"/>
          <w:lang w:val="en-GB"/>
        </w:rPr>
        <w:t>2014;7:705</w:t>
      </w:r>
      <w:proofErr w:type="gramEnd"/>
      <w:r w:rsidRPr="0039498B">
        <w:rPr>
          <w:sz w:val="24"/>
          <w:szCs w:val="24"/>
          <w:lang w:val="en-GB"/>
        </w:rPr>
        <w:t>–717.</w:t>
      </w:r>
    </w:p>
    <w:p w14:paraId="5BF6B767" w14:textId="3F87BD28" w:rsidR="00C43AD2" w:rsidRDefault="00C43AD2" w:rsidP="00C43AD2">
      <w:pPr>
        <w:spacing w:line="480" w:lineRule="auto"/>
        <w:rPr>
          <w:b/>
          <w:sz w:val="24"/>
          <w:szCs w:val="24"/>
        </w:rPr>
      </w:pPr>
      <w:r>
        <w:rPr>
          <w:b/>
          <w:sz w:val="24"/>
          <w:szCs w:val="24"/>
        </w:rPr>
        <w:br w:type="page"/>
      </w:r>
    </w:p>
    <w:p w14:paraId="4D92ED3B" w14:textId="582CAFCB" w:rsidR="003E05E3" w:rsidRDefault="004024E7" w:rsidP="002A48B2">
      <w:pPr>
        <w:spacing w:line="480" w:lineRule="auto"/>
        <w:rPr>
          <w:b/>
          <w:sz w:val="24"/>
          <w:szCs w:val="24"/>
          <w:lang w:val="en-GB"/>
        </w:rPr>
      </w:pPr>
      <w:r>
        <w:rPr>
          <w:b/>
          <w:sz w:val="24"/>
          <w:szCs w:val="24"/>
          <w:lang w:val="en-GB"/>
        </w:rPr>
        <w:lastRenderedPageBreak/>
        <w:t>Supplementary Figures</w:t>
      </w:r>
    </w:p>
    <w:p w14:paraId="6F8F5951" w14:textId="77777777" w:rsidR="004024E7" w:rsidRDefault="004024E7" w:rsidP="002A48B2">
      <w:pPr>
        <w:spacing w:line="480" w:lineRule="auto"/>
        <w:rPr>
          <w:b/>
          <w:sz w:val="24"/>
          <w:szCs w:val="24"/>
          <w:lang w:val="en-GB"/>
        </w:rPr>
      </w:pPr>
    </w:p>
    <w:p w14:paraId="514D79D2" w14:textId="54910C9B" w:rsidR="004024E7" w:rsidRDefault="004024E7" w:rsidP="00291C5A">
      <w:pPr>
        <w:spacing w:line="480" w:lineRule="auto"/>
        <w:jc w:val="center"/>
        <w:rPr>
          <w:b/>
          <w:sz w:val="24"/>
          <w:szCs w:val="24"/>
          <w:lang w:val="en-GB"/>
        </w:rPr>
      </w:pPr>
      <w:r w:rsidRPr="004024E7">
        <w:rPr>
          <w:b/>
          <w:noProof/>
          <w:lang w:val="en-GB" w:eastAsia="en-GB"/>
        </w:rPr>
        <w:drawing>
          <wp:inline distT="0" distB="0" distL="0" distR="0" wp14:anchorId="16209DFB" wp14:editId="15AED789">
            <wp:extent cx="5755640" cy="4573101"/>
            <wp:effectExtent l="0" t="0" r="0" b="0"/>
            <wp:docPr id="8" name="Picture 8" descr="Fig_S1_Recruitment_Flowchart_v1_180406_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_S1_Recruitment_Flowchart_v1_180406_C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5640" cy="4573101"/>
                    </a:xfrm>
                    <a:prstGeom prst="rect">
                      <a:avLst/>
                    </a:prstGeom>
                    <a:noFill/>
                    <a:ln>
                      <a:noFill/>
                    </a:ln>
                  </pic:spPr>
                </pic:pic>
              </a:graphicData>
            </a:graphic>
          </wp:inline>
        </w:drawing>
      </w:r>
    </w:p>
    <w:p w14:paraId="141366A7" w14:textId="57BDCFB3" w:rsidR="004024E7" w:rsidRPr="002A48B2" w:rsidRDefault="004024E7" w:rsidP="002A48B2">
      <w:pPr>
        <w:spacing w:line="480" w:lineRule="auto"/>
        <w:jc w:val="both"/>
        <w:rPr>
          <w:rFonts w:eastAsia="Times New Roman"/>
          <w:sz w:val="24"/>
          <w:szCs w:val="24"/>
        </w:rPr>
      </w:pPr>
      <w:r w:rsidRPr="002A48B2">
        <w:rPr>
          <w:rFonts w:eastAsia="Times New Roman"/>
          <w:b/>
          <w:sz w:val="24"/>
          <w:szCs w:val="24"/>
        </w:rPr>
        <w:t xml:space="preserve">Figure </w:t>
      </w:r>
      <w:r w:rsidR="00C43AD2">
        <w:rPr>
          <w:rFonts w:eastAsia="Times New Roman"/>
          <w:b/>
          <w:sz w:val="24"/>
          <w:szCs w:val="24"/>
        </w:rPr>
        <w:t>E</w:t>
      </w:r>
      <w:r w:rsidRPr="002A48B2">
        <w:rPr>
          <w:rFonts w:eastAsia="Times New Roman"/>
          <w:b/>
          <w:sz w:val="24"/>
          <w:szCs w:val="24"/>
        </w:rPr>
        <w:t>1 Flowchart summarizing recruitment and vaccination of 48 participants.</w:t>
      </w:r>
      <w:r w:rsidRPr="002A48B2">
        <w:rPr>
          <w:rFonts w:eastAsia="Times New Roman"/>
          <w:sz w:val="24"/>
          <w:szCs w:val="24"/>
        </w:rPr>
        <w:t xml:space="preserve"> </w:t>
      </w:r>
    </w:p>
    <w:p w14:paraId="4755CBAA" w14:textId="77777777" w:rsidR="004024E7" w:rsidRDefault="004024E7" w:rsidP="002A48B2">
      <w:pPr>
        <w:spacing w:line="480" w:lineRule="auto"/>
        <w:jc w:val="both"/>
        <w:rPr>
          <w:rFonts w:eastAsia="Times New Roman"/>
          <w:sz w:val="24"/>
          <w:szCs w:val="24"/>
        </w:rPr>
      </w:pPr>
      <w:r w:rsidRPr="002A48B2">
        <w:rPr>
          <w:rFonts w:eastAsia="Times New Roman"/>
          <w:sz w:val="24"/>
          <w:szCs w:val="24"/>
        </w:rPr>
        <w:t xml:space="preserve">Healthy adult volunteers were enrolled and randomized to receive </w:t>
      </w:r>
      <w:proofErr w:type="spellStart"/>
      <w:r w:rsidRPr="002A48B2">
        <w:rPr>
          <w:rFonts w:eastAsia="Times New Roman"/>
          <w:sz w:val="24"/>
          <w:szCs w:val="24"/>
        </w:rPr>
        <w:t>SynGEM</w:t>
      </w:r>
      <w:proofErr w:type="spellEnd"/>
      <w:r w:rsidRPr="002A48B2">
        <w:rPr>
          <w:rFonts w:eastAsia="Times New Roman"/>
          <w:sz w:val="24"/>
          <w:szCs w:val="24"/>
        </w:rPr>
        <w:t xml:space="preserve"> intranasally at low-dose (n=18), high-dose (n=18) or placebo (n=12).</w:t>
      </w:r>
    </w:p>
    <w:p w14:paraId="4560E639" w14:textId="316CECA1" w:rsidR="00AF1815" w:rsidRDefault="00AF1815">
      <w:pPr>
        <w:rPr>
          <w:rFonts w:eastAsia="Times New Roman"/>
          <w:sz w:val="24"/>
          <w:szCs w:val="24"/>
        </w:rPr>
      </w:pPr>
      <w:r>
        <w:rPr>
          <w:rFonts w:eastAsia="Times New Roman"/>
          <w:sz w:val="24"/>
          <w:szCs w:val="24"/>
        </w:rPr>
        <w:br w:type="page"/>
      </w:r>
    </w:p>
    <w:p w14:paraId="3ABEA0C0" w14:textId="2BCC222F" w:rsidR="00AF1815" w:rsidRDefault="00AF1815" w:rsidP="00291C5A">
      <w:pPr>
        <w:spacing w:line="480" w:lineRule="auto"/>
        <w:jc w:val="center"/>
        <w:rPr>
          <w:rFonts w:eastAsia="Times New Roman"/>
          <w:sz w:val="24"/>
          <w:szCs w:val="24"/>
        </w:rPr>
      </w:pPr>
      <w:r w:rsidRPr="00AF1815">
        <w:rPr>
          <w:noProof/>
          <w:lang w:val="en-GB" w:eastAsia="en-GB"/>
        </w:rPr>
        <w:lastRenderedPageBreak/>
        <w:drawing>
          <wp:inline distT="0" distB="0" distL="0" distR="0" wp14:anchorId="207CEE56" wp14:editId="151B39A1">
            <wp:extent cx="4484451" cy="6238271"/>
            <wp:effectExtent l="0" t="0" r="0" b="0"/>
            <wp:docPr id="9" name="Picture 9" descr="Fig_S2_G_protein_Ab_180706_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_S2_G_protein_Ab_180706_CC-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2736" cy="6249796"/>
                    </a:xfrm>
                    <a:prstGeom prst="rect">
                      <a:avLst/>
                    </a:prstGeom>
                    <a:noFill/>
                    <a:ln>
                      <a:noFill/>
                    </a:ln>
                  </pic:spPr>
                </pic:pic>
              </a:graphicData>
            </a:graphic>
          </wp:inline>
        </w:drawing>
      </w:r>
    </w:p>
    <w:p w14:paraId="0E963AB8" w14:textId="27D5EDA8" w:rsidR="00AF1815" w:rsidRPr="002A48B2" w:rsidRDefault="00AF1815" w:rsidP="00AF1815">
      <w:pPr>
        <w:spacing w:line="480" w:lineRule="auto"/>
        <w:jc w:val="both"/>
        <w:rPr>
          <w:rFonts w:eastAsia="Times New Roman"/>
          <w:b/>
          <w:sz w:val="24"/>
          <w:szCs w:val="24"/>
        </w:rPr>
      </w:pPr>
      <w:r w:rsidRPr="002A48B2">
        <w:rPr>
          <w:rFonts w:eastAsia="Times New Roman"/>
          <w:b/>
          <w:sz w:val="24"/>
          <w:szCs w:val="24"/>
        </w:rPr>
        <w:t xml:space="preserve">Figure </w:t>
      </w:r>
      <w:r w:rsidR="00C43AD2">
        <w:rPr>
          <w:rFonts w:eastAsia="Times New Roman"/>
          <w:b/>
          <w:sz w:val="24"/>
          <w:szCs w:val="24"/>
        </w:rPr>
        <w:t>E</w:t>
      </w:r>
      <w:r w:rsidRPr="002A48B2">
        <w:rPr>
          <w:rFonts w:eastAsia="Times New Roman"/>
          <w:b/>
          <w:sz w:val="24"/>
          <w:szCs w:val="24"/>
        </w:rPr>
        <w:t xml:space="preserve">2. RSV infection in the study cohort revealed by antibodies against G protein. </w:t>
      </w:r>
    </w:p>
    <w:p w14:paraId="51482C08" w14:textId="34576F66" w:rsidR="00AF1815" w:rsidRDefault="00AF1815" w:rsidP="002A48B2">
      <w:pPr>
        <w:spacing w:line="480" w:lineRule="auto"/>
        <w:jc w:val="both"/>
        <w:rPr>
          <w:rFonts w:eastAsia="Times New Roman"/>
          <w:sz w:val="24"/>
          <w:szCs w:val="24"/>
        </w:rPr>
      </w:pPr>
      <w:r w:rsidRPr="00AF1815">
        <w:rPr>
          <w:rFonts w:eastAsia="Times New Roman"/>
          <w:sz w:val="24"/>
          <w:szCs w:val="24"/>
        </w:rPr>
        <w:t xml:space="preserve">(A) RSV A and (B) RSV B G protein-specific serum antibodies were measured by ELISA at time-points up to 180 days post-prime. Fold-changes compared with pre-vaccination are shown. A cut-off of 2-fold increase was defined as </w:t>
      </w:r>
      <w:proofErr w:type="spellStart"/>
      <w:r w:rsidRPr="00AF1815">
        <w:rPr>
          <w:rFonts w:eastAsia="Times New Roman"/>
          <w:sz w:val="24"/>
          <w:szCs w:val="24"/>
        </w:rPr>
        <w:t>sero</w:t>
      </w:r>
      <w:proofErr w:type="spellEnd"/>
      <w:r w:rsidRPr="00AF1815">
        <w:rPr>
          <w:rFonts w:eastAsia="Times New Roman"/>
          <w:sz w:val="24"/>
          <w:szCs w:val="24"/>
        </w:rPr>
        <w:t>-conversion.</w:t>
      </w:r>
    </w:p>
    <w:p w14:paraId="1682D595" w14:textId="77777777" w:rsidR="00AF1815" w:rsidRDefault="00AF1815">
      <w:pPr>
        <w:rPr>
          <w:rFonts w:eastAsia="Times New Roman"/>
          <w:sz w:val="24"/>
          <w:szCs w:val="24"/>
        </w:rPr>
      </w:pPr>
      <w:r>
        <w:rPr>
          <w:rFonts w:eastAsia="Times New Roman"/>
          <w:sz w:val="24"/>
          <w:szCs w:val="24"/>
        </w:rPr>
        <w:br w:type="page"/>
      </w:r>
    </w:p>
    <w:p w14:paraId="3F4C1B67" w14:textId="77777777" w:rsidR="00B432ED" w:rsidRDefault="00AF1815" w:rsidP="00291C5A">
      <w:pPr>
        <w:jc w:val="center"/>
        <w:rPr>
          <w:rFonts w:eastAsia="Times New Roman"/>
          <w:sz w:val="24"/>
          <w:szCs w:val="24"/>
        </w:rPr>
      </w:pPr>
      <w:r w:rsidRPr="00AF1815">
        <w:rPr>
          <w:noProof/>
          <w:lang w:val="en-GB" w:eastAsia="en-GB"/>
        </w:rPr>
        <w:lastRenderedPageBreak/>
        <w:drawing>
          <wp:inline distT="0" distB="0" distL="0" distR="0" wp14:anchorId="120B74C8" wp14:editId="52463EC6">
            <wp:extent cx="5321030" cy="6233449"/>
            <wp:effectExtent l="0" t="0" r="635" b="2540"/>
            <wp:docPr id="11" name="Picture 11" descr="Fig_S3_PreF_IgG_180706_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_S3_PreF_IgG_180706_C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652" cy="6249407"/>
                    </a:xfrm>
                    <a:prstGeom prst="rect">
                      <a:avLst/>
                    </a:prstGeom>
                    <a:noFill/>
                    <a:ln>
                      <a:noFill/>
                    </a:ln>
                  </pic:spPr>
                </pic:pic>
              </a:graphicData>
            </a:graphic>
          </wp:inline>
        </w:drawing>
      </w:r>
    </w:p>
    <w:p w14:paraId="2CC42618" w14:textId="550B1887" w:rsidR="00B432ED" w:rsidRPr="002A48B2" w:rsidRDefault="00B432ED" w:rsidP="002A48B2">
      <w:pPr>
        <w:spacing w:line="480" w:lineRule="auto"/>
        <w:jc w:val="both"/>
        <w:rPr>
          <w:rFonts w:eastAsia="Times New Roman"/>
          <w:sz w:val="24"/>
          <w:szCs w:val="24"/>
        </w:rPr>
      </w:pPr>
      <w:r w:rsidRPr="002A48B2">
        <w:rPr>
          <w:rFonts w:eastAsia="Times New Roman"/>
          <w:b/>
          <w:sz w:val="24"/>
          <w:szCs w:val="24"/>
        </w:rPr>
        <w:t xml:space="preserve">Figure </w:t>
      </w:r>
      <w:r w:rsidR="00C43AD2">
        <w:rPr>
          <w:rFonts w:eastAsia="Times New Roman"/>
          <w:b/>
          <w:sz w:val="24"/>
          <w:szCs w:val="24"/>
        </w:rPr>
        <w:t>E</w:t>
      </w:r>
      <w:r w:rsidRPr="002A48B2">
        <w:rPr>
          <w:rFonts w:eastAsia="Times New Roman"/>
          <w:b/>
          <w:sz w:val="24"/>
          <w:szCs w:val="24"/>
        </w:rPr>
        <w:t>3.</w:t>
      </w:r>
      <w:r w:rsidRPr="002A48B2">
        <w:rPr>
          <w:rFonts w:eastAsia="Times New Roman"/>
          <w:sz w:val="24"/>
          <w:szCs w:val="24"/>
        </w:rPr>
        <w:t xml:space="preserve"> </w:t>
      </w:r>
      <w:r w:rsidRPr="002A48B2">
        <w:rPr>
          <w:rFonts w:eastAsia="Times New Roman"/>
          <w:b/>
          <w:sz w:val="24"/>
          <w:szCs w:val="24"/>
        </w:rPr>
        <w:t xml:space="preserve">Intranasal </w:t>
      </w:r>
      <w:proofErr w:type="spellStart"/>
      <w:r w:rsidRPr="002A48B2">
        <w:rPr>
          <w:rFonts w:eastAsia="Times New Roman"/>
          <w:b/>
          <w:sz w:val="24"/>
          <w:szCs w:val="24"/>
        </w:rPr>
        <w:t>SynGEM</w:t>
      </w:r>
      <w:proofErr w:type="spellEnd"/>
      <w:r w:rsidRPr="002A48B2">
        <w:rPr>
          <w:rFonts w:eastAsia="Times New Roman"/>
          <w:b/>
          <w:sz w:val="24"/>
          <w:szCs w:val="24"/>
        </w:rPr>
        <w:t xml:space="preserve"> induces pre-fusion F protein-specific serum antibodies.</w:t>
      </w:r>
      <w:r w:rsidRPr="002A48B2">
        <w:rPr>
          <w:rFonts w:eastAsia="Times New Roman"/>
          <w:sz w:val="24"/>
          <w:szCs w:val="24"/>
        </w:rPr>
        <w:t xml:space="preserve"> Volunteers were given </w:t>
      </w:r>
      <w:proofErr w:type="spellStart"/>
      <w:r w:rsidRPr="002A48B2">
        <w:rPr>
          <w:rFonts w:eastAsia="Times New Roman"/>
          <w:sz w:val="24"/>
          <w:szCs w:val="24"/>
        </w:rPr>
        <w:t>SynGEM</w:t>
      </w:r>
      <w:proofErr w:type="spellEnd"/>
      <w:r w:rsidRPr="002A48B2">
        <w:rPr>
          <w:rFonts w:eastAsia="Times New Roman"/>
          <w:sz w:val="24"/>
          <w:szCs w:val="24"/>
        </w:rPr>
        <w:t xml:space="preserve"> or placebo and serum IgG was measured by ELISA using pre-fusion F protein as coating antigen at time-points up to 180 days post-“prime”. Titers and fold-changes compared to baseline are shown following (A and B) placebo, (C and D) low-dose and (E and F) high-dose. Geometric means are shown in red. Wilcoxon ranked sign test was used to test statistically significant rises compared to pre-vaccination. * p&lt;0·05; ** p&lt;0·01; *** p&lt;0·001· Vaccinations are indicated by red triangles.</w:t>
      </w:r>
    </w:p>
    <w:p w14:paraId="7BF6255B" w14:textId="23CBFC6C" w:rsidR="00B432ED" w:rsidRDefault="00B432ED">
      <w:pPr>
        <w:rPr>
          <w:rFonts w:eastAsia="Times New Roman"/>
          <w:sz w:val="24"/>
          <w:szCs w:val="24"/>
        </w:rPr>
      </w:pPr>
      <w:r>
        <w:rPr>
          <w:rFonts w:eastAsia="Times New Roman"/>
          <w:sz w:val="24"/>
          <w:szCs w:val="24"/>
        </w:rPr>
        <w:br w:type="page"/>
      </w:r>
      <w:r w:rsidR="00E903F6">
        <w:rPr>
          <w:rFonts w:eastAsia="Times New Roman"/>
          <w:noProof/>
          <w:sz w:val="24"/>
          <w:szCs w:val="24"/>
          <w:lang w:val="en-GB" w:eastAsia="en-GB"/>
        </w:rPr>
        <w:lastRenderedPageBreak/>
        <w:drawing>
          <wp:inline distT="0" distB="0" distL="0" distR="0" wp14:anchorId="551826AA" wp14:editId="15BDD878">
            <wp:extent cx="5755640" cy="3133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E4_for insertio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5640" cy="3133090"/>
                    </a:xfrm>
                    <a:prstGeom prst="rect">
                      <a:avLst/>
                    </a:prstGeom>
                  </pic:spPr>
                </pic:pic>
              </a:graphicData>
            </a:graphic>
          </wp:inline>
        </w:drawing>
      </w:r>
    </w:p>
    <w:p w14:paraId="1B451307" w14:textId="25B8CC5C" w:rsidR="00B432ED" w:rsidRPr="002A48B2" w:rsidRDefault="00B432ED" w:rsidP="002A48B2">
      <w:pPr>
        <w:spacing w:line="480" w:lineRule="auto"/>
        <w:jc w:val="both"/>
        <w:rPr>
          <w:rFonts w:eastAsia="Times New Roman"/>
          <w:sz w:val="24"/>
          <w:szCs w:val="24"/>
        </w:rPr>
      </w:pPr>
      <w:r w:rsidRPr="002A48B2">
        <w:rPr>
          <w:rFonts w:eastAsia="Times New Roman"/>
          <w:b/>
          <w:sz w:val="24"/>
          <w:szCs w:val="24"/>
        </w:rPr>
        <w:t xml:space="preserve">Figure </w:t>
      </w:r>
      <w:r w:rsidR="00C43AD2">
        <w:rPr>
          <w:rFonts w:eastAsia="Times New Roman"/>
          <w:b/>
          <w:sz w:val="24"/>
          <w:szCs w:val="24"/>
        </w:rPr>
        <w:t>E</w:t>
      </w:r>
      <w:r w:rsidRPr="002A48B2">
        <w:rPr>
          <w:rFonts w:eastAsia="Times New Roman"/>
          <w:b/>
          <w:sz w:val="24"/>
          <w:szCs w:val="24"/>
        </w:rPr>
        <w:t xml:space="preserve">4. The magnitude of </w:t>
      </w:r>
      <w:proofErr w:type="spellStart"/>
      <w:r w:rsidRPr="002A48B2">
        <w:rPr>
          <w:rFonts w:eastAsia="Times New Roman"/>
          <w:b/>
          <w:sz w:val="24"/>
          <w:szCs w:val="24"/>
        </w:rPr>
        <w:t>sIgA</w:t>
      </w:r>
      <w:proofErr w:type="spellEnd"/>
      <w:r w:rsidRPr="002A48B2">
        <w:rPr>
          <w:rFonts w:eastAsia="Times New Roman"/>
          <w:b/>
          <w:sz w:val="24"/>
          <w:szCs w:val="24"/>
        </w:rPr>
        <w:t xml:space="preserve"> anti-F fold-change at any time-point from both low and high-dose groups correlates with lower pre-existing antibody titers.</w:t>
      </w:r>
      <w:r w:rsidRPr="002A48B2">
        <w:rPr>
          <w:rFonts w:eastAsia="Times New Roman"/>
          <w:sz w:val="24"/>
          <w:szCs w:val="24"/>
        </w:rPr>
        <w:t xml:space="preserve"> </w:t>
      </w:r>
    </w:p>
    <w:p w14:paraId="43F7A392" w14:textId="4A371AC1" w:rsidR="00B432ED" w:rsidRPr="002A48B2" w:rsidRDefault="00B432ED" w:rsidP="002A48B2">
      <w:pPr>
        <w:spacing w:line="480" w:lineRule="auto"/>
        <w:jc w:val="both"/>
        <w:rPr>
          <w:rFonts w:eastAsia="Times New Roman"/>
          <w:sz w:val="24"/>
          <w:szCs w:val="24"/>
        </w:rPr>
      </w:pPr>
      <w:r w:rsidRPr="002A48B2">
        <w:rPr>
          <w:rFonts w:eastAsia="Times New Roman"/>
          <w:sz w:val="24"/>
          <w:szCs w:val="24"/>
        </w:rPr>
        <w:t xml:space="preserve">Linear regression and Spearman correlation of pre-vaccination antibody titers and maximal antibody fold-change compared with baseline from </w:t>
      </w:r>
      <w:r w:rsidR="00E903F6" w:rsidRPr="00612C3B">
        <w:rPr>
          <w:rFonts w:eastAsia="Times New Roman"/>
          <w:color w:val="000000" w:themeColor="text1"/>
          <w:sz w:val="24"/>
          <w:szCs w:val="24"/>
        </w:rPr>
        <w:t>placebo</w:t>
      </w:r>
      <w:r w:rsidR="00E903F6">
        <w:rPr>
          <w:rFonts w:eastAsia="Times New Roman"/>
          <w:sz w:val="24"/>
          <w:szCs w:val="24"/>
        </w:rPr>
        <w:t xml:space="preserve">, </w:t>
      </w:r>
      <w:r w:rsidRPr="002A48B2">
        <w:rPr>
          <w:rFonts w:eastAsia="Times New Roman"/>
          <w:sz w:val="24"/>
          <w:szCs w:val="24"/>
        </w:rPr>
        <w:t>low- and high-dose groups are shown</w:t>
      </w:r>
      <w:r w:rsidR="00E903F6">
        <w:rPr>
          <w:rFonts w:eastAsia="Times New Roman"/>
          <w:sz w:val="24"/>
          <w:szCs w:val="24"/>
        </w:rPr>
        <w:t xml:space="preserve"> (A-C)</w:t>
      </w:r>
      <w:r w:rsidRPr="002A48B2">
        <w:rPr>
          <w:rFonts w:eastAsia="Times New Roman"/>
          <w:sz w:val="24"/>
          <w:szCs w:val="24"/>
        </w:rPr>
        <w:t>. Fold-changes compared to baseline are shown following administration of placebo (</w:t>
      </w:r>
      <w:r w:rsidR="00E903F6">
        <w:rPr>
          <w:rFonts w:eastAsia="Times New Roman"/>
          <w:sz w:val="24"/>
          <w:szCs w:val="24"/>
        </w:rPr>
        <w:t>D</w:t>
      </w:r>
      <w:r w:rsidRPr="002A48B2">
        <w:rPr>
          <w:rFonts w:eastAsia="Times New Roman"/>
          <w:sz w:val="24"/>
          <w:szCs w:val="24"/>
        </w:rPr>
        <w:t>), low-dose (</w:t>
      </w:r>
      <w:r w:rsidR="00E903F6">
        <w:rPr>
          <w:rFonts w:eastAsia="Times New Roman"/>
          <w:sz w:val="24"/>
          <w:szCs w:val="24"/>
        </w:rPr>
        <w:t>E</w:t>
      </w:r>
      <w:r w:rsidRPr="002A48B2">
        <w:rPr>
          <w:rFonts w:eastAsia="Times New Roman"/>
          <w:sz w:val="24"/>
          <w:szCs w:val="24"/>
        </w:rPr>
        <w:t>) and high-dose (</w:t>
      </w:r>
      <w:r w:rsidR="00E903F6">
        <w:rPr>
          <w:rFonts w:eastAsia="Times New Roman"/>
          <w:sz w:val="24"/>
          <w:szCs w:val="24"/>
        </w:rPr>
        <w:t>F</w:t>
      </w:r>
      <w:r w:rsidRPr="002A48B2">
        <w:rPr>
          <w:rFonts w:eastAsia="Times New Roman"/>
          <w:sz w:val="24"/>
          <w:szCs w:val="24"/>
        </w:rPr>
        <w:t>). Wilcoxon ranked sign test was used to test statistically significant rises compared to pre-vaccination.</w:t>
      </w:r>
    </w:p>
    <w:p w14:paraId="63B8AC80" w14:textId="77777777" w:rsidR="00B432ED" w:rsidRDefault="00B432ED" w:rsidP="002A48B2">
      <w:pPr>
        <w:spacing w:line="480" w:lineRule="auto"/>
        <w:jc w:val="both"/>
        <w:rPr>
          <w:rFonts w:eastAsia="Times New Roman"/>
          <w:sz w:val="24"/>
          <w:szCs w:val="24"/>
        </w:rPr>
      </w:pPr>
    </w:p>
    <w:p w14:paraId="7054FAC0" w14:textId="0724945C" w:rsidR="00B432ED" w:rsidRDefault="00B432ED">
      <w:pPr>
        <w:rPr>
          <w:rFonts w:eastAsia="Times New Roman"/>
          <w:sz w:val="24"/>
          <w:szCs w:val="24"/>
        </w:rPr>
      </w:pPr>
      <w:r>
        <w:rPr>
          <w:rFonts w:eastAsia="Times New Roman"/>
          <w:sz w:val="24"/>
          <w:szCs w:val="24"/>
        </w:rPr>
        <w:br w:type="page"/>
      </w:r>
    </w:p>
    <w:p w14:paraId="76292D36" w14:textId="77777777" w:rsidR="00B432ED" w:rsidRDefault="00B432ED">
      <w:pPr>
        <w:rPr>
          <w:rFonts w:eastAsia="Times New Roman"/>
          <w:sz w:val="24"/>
          <w:szCs w:val="24"/>
        </w:rPr>
      </w:pPr>
      <w:r w:rsidRPr="00B432ED">
        <w:rPr>
          <w:b/>
          <w:noProof/>
          <w:lang w:val="en-GB" w:eastAsia="en-GB"/>
        </w:rPr>
        <w:lastRenderedPageBreak/>
        <w:drawing>
          <wp:inline distT="0" distB="0" distL="0" distR="0" wp14:anchorId="6C5DA2DF" wp14:editId="5C02E572">
            <wp:extent cx="5755640" cy="3362846"/>
            <wp:effectExtent l="0" t="0" r="0" b="9525"/>
            <wp:docPr id="13" name="Picture 13" descr="Fig_S5_Plasmablasts_180807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_S5_Plasmablasts_180807_Page_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5640" cy="3362846"/>
                    </a:xfrm>
                    <a:prstGeom prst="rect">
                      <a:avLst/>
                    </a:prstGeom>
                    <a:noFill/>
                    <a:ln>
                      <a:noFill/>
                    </a:ln>
                  </pic:spPr>
                </pic:pic>
              </a:graphicData>
            </a:graphic>
          </wp:inline>
        </w:drawing>
      </w:r>
    </w:p>
    <w:p w14:paraId="13B868F4" w14:textId="13EFA948" w:rsidR="00B432ED" w:rsidRPr="002A48B2" w:rsidRDefault="00B432ED" w:rsidP="002A48B2">
      <w:pPr>
        <w:spacing w:line="480" w:lineRule="auto"/>
        <w:jc w:val="both"/>
        <w:rPr>
          <w:rFonts w:eastAsia="Times New Roman"/>
          <w:sz w:val="24"/>
          <w:szCs w:val="24"/>
        </w:rPr>
      </w:pPr>
      <w:r w:rsidRPr="002A48B2">
        <w:rPr>
          <w:rFonts w:eastAsia="Times New Roman"/>
          <w:b/>
          <w:sz w:val="24"/>
          <w:szCs w:val="24"/>
        </w:rPr>
        <w:t xml:space="preserve">Figure </w:t>
      </w:r>
      <w:r w:rsidR="00C43AD2">
        <w:rPr>
          <w:rFonts w:eastAsia="Times New Roman"/>
          <w:b/>
          <w:sz w:val="24"/>
          <w:szCs w:val="24"/>
        </w:rPr>
        <w:t>E</w:t>
      </w:r>
      <w:r w:rsidRPr="002A48B2">
        <w:rPr>
          <w:rFonts w:eastAsia="Times New Roman"/>
          <w:b/>
          <w:sz w:val="24"/>
          <w:szCs w:val="24"/>
        </w:rPr>
        <w:t xml:space="preserve">5. </w:t>
      </w:r>
      <w:proofErr w:type="spellStart"/>
      <w:r w:rsidRPr="002A48B2">
        <w:rPr>
          <w:rFonts w:eastAsia="Times New Roman"/>
          <w:b/>
          <w:sz w:val="24"/>
          <w:szCs w:val="24"/>
        </w:rPr>
        <w:t>Plasmablasts</w:t>
      </w:r>
      <w:proofErr w:type="spellEnd"/>
      <w:r w:rsidRPr="002A48B2">
        <w:rPr>
          <w:rFonts w:eastAsia="Times New Roman"/>
          <w:b/>
          <w:sz w:val="24"/>
          <w:szCs w:val="24"/>
        </w:rPr>
        <w:t xml:space="preserve"> are not significant</w:t>
      </w:r>
      <w:r w:rsidR="00B65841">
        <w:rPr>
          <w:rFonts w:eastAsia="Times New Roman"/>
          <w:b/>
          <w:sz w:val="24"/>
          <w:szCs w:val="24"/>
        </w:rPr>
        <w:t>ly</w:t>
      </w:r>
      <w:r w:rsidRPr="002A48B2">
        <w:rPr>
          <w:rFonts w:eastAsia="Times New Roman"/>
          <w:b/>
          <w:sz w:val="24"/>
          <w:szCs w:val="24"/>
        </w:rPr>
        <w:t xml:space="preserve"> increased following </w:t>
      </w:r>
      <w:proofErr w:type="spellStart"/>
      <w:r w:rsidRPr="002A48B2">
        <w:rPr>
          <w:rFonts w:eastAsia="Times New Roman"/>
          <w:b/>
          <w:sz w:val="24"/>
          <w:szCs w:val="24"/>
        </w:rPr>
        <w:t>SynGEM</w:t>
      </w:r>
      <w:proofErr w:type="spellEnd"/>
      <w:r w:rsidRPr="002A48B2">
        <w:rPr>
          <w:rFonts w:eastAsia="Times New Roman"/>
          <w:b/>
          <w:sz w:val="24"/>
          <w:szCs w:val="24"/>
        </w:rPr>
        <w:t>.</w:t>
      </w:r>
      <w:r w:rsidRPr="002A48B2">
        <w:rPr>
          <w:rFonts w:eastAsia="Times New Roman"/>
          <w:sz w:val="24"/>
          <w:szCs w:val="24"/>
        </w:rPr>
        <w:t xml:space="preserve"> </w:t>
      </w:r>
    </w:p>
    <w:p w14:paraId="249F1CD4" w14:textId="77777777" w:rsidR="00B432ED" w:rsidRPr="002A48B2" w:rsidRDefault="00B432ED" w:rsidP="002A48B2">
      <w:pPr>
        <w:spacing w:line="480" w:lineRule="auto"/>
        <w:jc w:val="both"/>
        <w:rPr>
          <w:rFonts w:eastAsia="Times New Roman"/>
          <w:sz w:val="24"/>
          <w:szCs w:val="24"/>
        </w:rPr>
      </w:pPr>
      <w:r w:rsidRPr="002A48B2">
        <w:rPr>
          <w:rFonts w:eastAsia="Times New Roman"/>
          <w:sz w:val="24"/>
          <w:szCs w:val="24"/>
        </w:rPr>
        <w:t xml:space="preserve">Whole blood was stained with anti-CD3, CD20, CD19, CD38 and CD27 for analysis by flow cytometry. (A) Representative plots are shown from time-points up to 28 days post-boost. Plots are gated on CD3-CD19+CD20+/- lymphocytes. (B, C and D) Box and whisker plots show frequencies of </w:t>
      </w:r>
      <w:proofErr w:type="spellStart"/>
      <w:r w:rsidRPr="002A48B2">
        <w:rPr>
          <w:rFonts w:eastAsia="Times New Roman"/>
          <w:sz w:val="24"/>
          <w:szCs w:val="24"/>
        </w:rPr>
        <w:t>plasmablasts</w:t>
      </w:r>
      <w:proofErr w:type="spellEnd"/>
      <w:r w:rsidRPr="002A48B2">
        <w:rPr>
          <w:rFonts w:eastAsia="Times New Roman"/>
          <w:sz w:val="24"/>
          <w:szCs w:val="24"/>
        </w:rPr>
        <w:t xml:space="preserve"> at each time-point. No significant differences are seen by Wilcoxon ranked sign test.</w:t>
      </w:r>
    </w:p>
    <w:p w14:paraId="2F610FB8" w14:textId="39A4E035" w:rsidR="00B432ED" w:rsidRDefault="00B432ED">
      <w:pPr>
        <w:rPr>
          <w:rFonts w:eastAsia="Times New Roman"/>
        </w:rPr>
      </w:pPr>
      <w:r>
        <w:rPr>
          <w:rFonts w:eastAsia="Times New Roman"/>
        </w:rPr>
        <w:br w:type="page"/>
      </w:r>
    </w:p>
    <w:p w14:paraId="053A2D58" w14:textId="738AD744" w:rsidR="00B432ED" w:rsidRDefault="00B432ED" w:rsidP="002A48B2">
      <w:pPr>
        <w:spacing w:line="480" w:lineRule="auto"/>
        <w:jc w:val="both"/>
        <w:rPr>
          <w:rFonts w:eastAsia="Times New Roman"/>
        </w:rPr>
      </w:pPr>
      <w:r w:rsidRPr="00B432ED">
        <w:rPr>
          <w:noProof/>
          <w:lang w:val="en-GB" w:eastAsia="en-GB"/>
        </w:rPr>
        <w:lastRenderedPageBreak/>
        <w:drawing>
          <wp:inline distT="0" distB="0" distL="0" distR="0" wp14:anchorId="1778BB32" wp14:editId="7956E5E3">
            <wp:extent cx="5755640" cy="5903221"/>
            <wp:effectExtent l="0" t="0" r="0" b="2540"/>
            <wp:docPr id="14" name="Picture 14" descr="Fig_S6_Cytokines_180706_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_S6_Cytokines_180706_C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5640" cy="5903221"/>
                    </a:xfrm>
                    <a:prstGeom prst="rect">
                      <a:avLst/>
                    </a:prstGeom>
                    <a:noFill/>
                    <a:ln>
                      <a:noFill/>
                    </a:ln>
                  </pic:spPr>
                </pic:pic>
              </a:graphicData>
            </a:graphic>
          </wp:inline>
        </w:drawing>
      </w:r>
    </w:p>
    <w:p w14:paraId="7E47A26C" w14:textId="25E15F16" w:rsidR="00B432ED" w:rsidRPr="002A48B2" w:rsidRDefault="00B432ED" w:rsidP="002A48B2">
      <w:pPr>
        <w:spacing w:line="480" w:lineRule="auto"/>
        <w:jc w:val="both"/>
        <w:rPr>
          <w:rFonts w:eastAsia="Times New Roman"/>
          <w:sz w:val="24"/>
          <w:szCs w:val="24"/>
        </w:rPr>
      </w:pPr>
      <w:r w:rsidRPr="002A48B2">
        <w:rPr>
          <w:rFonts w:eastAsia="Times New Roman"/>
          <w:b/>
          <w:sz w:val="24"/>
          <w:szCs w:val="24"/>
        </w:rPr>
        <w:t xml:space="preserve">Figure </w:t>
      </w:r>
      <w:r w:rsidR="00C43AD2">
        <w:rPr>
          <w:rFonts w:eastAsia="Times New Roman"/>
          <w:b/>
          <w:sz w:val="24"/>
          <w:szCs w:val="24"/>
        </w:rPr>
        <w:t>E</w:t>
      </w:r>
      <w:r w:rsidRPr="002A48B2">
        <w:rPr>
          <w:rFonts w:eastAsia="Times New Roman"/>
          <w:b/>
          <w:sz w:val="24"/>
          <w:szCs w:val="24"/>
        </w:rPr>
        <w:t xml:space="preserve">6. Tonsil cells cultured with </w:t>
      </w:r>
      <w:proofErr w:type="spellStart"/>
      <w:r w:rsidRPr="002A48B2">
        <w:rPr>
          <w:rFonts w:eastAsia="Times New Roman"/>
          <w:b/>
          <w:sz w:val="24"/>
          <w:szCs w:val="24"/>
        </w:rPr>
        <w:t>SynGEM</w:t>
      </w:r>
      <w:proofErr w:type="spellEnd"/>
      <w:r w:rsidRPr="002A48B2">
        <w:rPr>
          <w:rFonts w:eastAsia="Times New Roman"/>
          <w:b/>
          <w:sz w:val="24"/>
          <w:szCs w:val="24"/>
        </w:rPr>
        <w:t xml:space="preserve"> do not express Th2 cytokines.</w:t>
      </w:r>
      <w:r w:rsidRPr="002A48B2">
        <w:rPr>
          <w:rFonts w:eastAsia="Times New Roman"/>
          <w:sz w:val="24"/>
          <w:szCs w:val="24"/>
        </w:rPr>
        <w:t xml:space="preserve"> </w:t>
      </w:r>
    </w:p>
    <w:p w14:paraId="1D2EF549" w14:textId="77777777" w:rsidR="00B432ED" w:rsidRDefault="00B432ED" w:rsidP="002A48B2">
      <w:pPr>
        <w:spacing w:line="480" w:lineRule="auto"/>
        <w:jc w:val="both"/>
        <w:rPr>
          <w:rFonts w:eastAsia="Times New Roman"/>
          <w:sz w:val="24"/>
          <w:szCs w:val="24"/>
        </w:rPr>
      </w:pPr>
      <w:r w:rsidRPr="002A48B2">
        <w:rPr>
          <w:rFonts w:eastAsia="Times New Roman"/>
          <w:sz w:val="24"/>
          <w:szCs w:val="24"/>
        </w:rPr>
        <w:t xml:space="preserve">Tonsil cells from healthy donors were cultured with </w:t>
      </w:r>
      <w:proofErr w:type="spellStart"/>
      <w:r w:rsidRPr="002A48B2">
        <w:rPr>
          <w:rFonts w:eastAsia="Times New Roman"/>
          <w:sz w:val="24"/>
          <w:szCs w:val="24"/>
        </w:rPr>
        <w:t>SynGEM</w:t>
      </w:r>
      <w:proofErr w:type="spellEnd"/>
      <w:r w:rsidRPr="002A48B2">
        <w:rPr>
          <w:rFonts w:eastAsia="Times New Roman"/>
          <w:sz w:val="24"/>
          <w:szCs w:val="24"/>
        </w:rPr>
        <w:t>. Cytokines were measured in culture supernatant by cytometric bead array. Mann-Whitney U test, and Wilcoxon Signed Rank Test was used to test significant differences; no significant differences are seen.</w:t>
      </w:r>
    </w:p>
    <w:p w14:paraId="06493EC9" w14:textId="13E69C98" w:rsidR="00C43AD2" w:rsidRDefault="00C43AD2" w:rsidP="002A48B2">
      <w:pPr>
        <w:spacing w:line="480" w:lineRule="auto"/>
        <w:jc w:val="both"/>
        <w:rPr>
          <w:rFonts w:eastAsia="Times New Roman"/>
          <w:sz w:val="24"/>
          <w:szCs w:val="24"/>
        </w:rPr>
      </w:pPr>
      <w:r>
        <w:rPr>
          <w:rFonts w:eastAsia="Times New Roman"/>
          <w:sz w:val="24"/>
          <w:szCs w:val="24"/>
        </w:rPr>
        <w:br w:type="page"/>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6"/>
        <w:gridCol w:w="466"/>
        <w:gridCol w:w="367"/>
        <w:gridCol w:w="8005"/>
      </w:tblGrid>
      <w:tr w:rsidR="004024E7" w:rsidRPr="004024E7" w14:paraId="7505367E" w14:textId="77777777" w:rsidTr="00AF1815">
        <w:trPr>
          <w:trHeight w:val="284"/>
        </w:trPr>
        <w:tc>
          <w:tcPr>
            <w:tcW w:w="226" w:type="dxa"/>
            <w:tcBorders>
              <w:top w:val="single" w:sz="4" w:space="0" w:color="auto"/>
              <w:left w:val="nil"/>
              <w:bottom w:val="single" w:sz="4" w:space="0" w:color="auto"/>
              <w:right w:val="nil"/>
            </w:tcBorders>
            <w:shd w:val="clear" w:color="auto" w:fill="auto"/>
          </w:tcPr>
          <w:p w14:paraId="12AF31CB" w14:textId="77777777" w:rsidR="004024E7" w:rsidRPr="004024E7" w:rsidRDefault="004024E7" w:rsidP="004024E7">
            <w:pPr>
              <w:rPr>
                <w:sz w:val="24"/>
                <w:szCs w:val="24"/>
                <w:lang w:val="en-GB"/>
              </w:rPr>
            </w:pPr>
          </w:p>
        </w:tc>
        <w:tc>
          <w:tcPr>
            <w:tcW w:w="8838" w:type="dxa"/>
            <w:gridSpan w:val="3"/>
            <w:tcBorders>
              <w:top w:val="single" w:sz="4" w:space="0" w:color="auto"/>
              <w:left w:val="nil"/>
              <w:bottom w:val="single" w:sz="4" w:space="0" w:color="auto"/>
              <w:right w:val="nil"/>
            </w:tcBorders>
            <w:shd w:val="clear" w:color="auto" w:fill="auto"/>
          </w:tcPr>
          <w:p w14:paraId="6615FFDA" w14:textId="77777777" w:rsidR="004024E7" w:rsidRPr="004024E7" w:rsidRDefault="004024E7" w:rsidP="004024E7">
            <w:pPr>
              <w:rPr>
                <w:b/>
                <w:sz w:val="16"/>
                <w:szCs w:val="16"/>
                <w:lang w:val="en-GB"/>
              </w:rPr>
            </w:pPr>
            <w:r w:rsidRPr="004024E7">
              <w:rPr>
                <w:b/>
                <w:sz w:val="16"/>
                <w:szCs w:val="16"/>
                <w:lang w:val="en-GB"/>
              </w:rPr>
              <w:t>Inclusion criteria</w:t>
            </w:r>
          </w:p>
        </w:tc>
      </w:tr>
      <w:tr w:rsidR="004024E7" w:rsidRPr="004024E7" w14:paraId="07CE6528" w14:textId="77777777" w:rsidTr="00AF1815">
        <w:trPr>
          <w:trHeight w:val="284"/>
        </w:trPr>
        <w:tc>
          <w:tcPr>
            <w:tcW w:w="226" w:type="dxa"/>
            <w:tcBorders>
              <w:top w:val="single" w:sz="4" w:space="0" w:color="auto"/>
              <w:left w:val="nil"/>
              <w:bottom w:val="nil"/>
              <w:right w:val="nil"/>
            </w:tcBorders>
            <w:shd w:val="clear" w:color="auto" w:fill="auto"/>
          </w:tcPr>
          <w:p w14:paraId="640879FB" w14:textId="77777777" w:rsidR="004024E7" w:rsidRPr="004024E7" w:rsidRDefault="004024E7" w:rsidP="004024E7">
            <w:pPr>
              <w:rPr>
                <w:sz w:val="16"/>
                <w:szCs w:val="16"/>
                <w:lang w:val="en-GB"/>
              </w:rPr>
            </w:pPr>
          </w:p>
        </w:tc>
        <w:tc>
          <w:tcPr>
            <w:tcW w:w="466" w:type="dxa"/>
            <w:tcBorders>
              <w:top w:val="single" w:sz="4" w:space="0" w:color="auto"/>
              <w:left w:val="nil"/>
              <w:bottom w:val="nil"/>
              <w:right w:val="nil"/>
            </w:tcBorders>
            <w:shd w:val="clear" w:color="auto" w:fill="auto"/>
          </w:tcPr>
          <w:p w14:paraId="343C75EA" w14:textId="77777777" w:rsidR="004024E7" w:rsidRPr="004024E7" w:rsidRDefault="004024E7" w:rsidP="004024E7">
            <w:pPr>
              <w:rPr>
                <w:sz w:val="16"/>
                <w:szCs w:val="16"/>
                <w:lang w:val="en-GB"/>
              </w:rPr>
            </w:pPr>
            <w:r w:rsidRPr="004024E7">
              <w:rPr>
                <w:sz w:val="16"/>
                <w:szCs w:val="16"/>
                <w:lang w:val="en-GB"/>
              </w:rPr>
              <w:t>1.</w:t>
            </w:r>
          </w:p>
        </w:tc>
        <w:tc>
          <w:tcPr>
            <w:tcW w:w="8372" w:type="dxa"/>
            <w:gridSpan w:val="2"/>
            <w:tcBorders>
              <w:top w:val="single" w:sz="4" w:space="0" w:color="auto"/>
              <w:left w:val="nil"/>
              <w:bottom w:val="nil"/>
              <w:right w:val="nil"/>
            </w:tcBorders>
            <w:shd w:val="clear" w:color="auto" w:fill="auto"/>
          </w:tcPr>
          <w:p w14:paraId="0E8462C9" w14:textId="77777777" w:rsidR="004024E7" w:rsidRPr="004024E7" w:rsidRDefault="004024E7" w:rsidP="004024E7">
            <w:pPr>
              <w:jc w:val="both"/>
              <w:rPr>
                <w:sz w:val="16"/>
                <w:szCs w:val="16"/>
                <w:lang w:val="en-GB"/>
              </w:rPr>
            </w:pPr>
            <w:r w:rsidRPr="004024E7">
              <w:rPr>
                <w:sz w:val="16"/>
                <w:szCs w:val="16"/>
                <w:lang w:val="en-GB"/>
              </w:rPr>
              <w:t>Male or female aged 18-49 years inclusive</w:t>
            </w:r>
          </w:p>
        </w:tc>
      </w:tr>
      <w:tr w:rsidR="004024E7" w:rsidRPr="004024E7" w14:paraId="3B4F8938" w14:textId="77777777" w:rsidTr="00AF1815">
        <w:trPr>
          <w:trHeight w:val="284"/>
        </w:trPr>
        <w:tc>
          <w:tcPr>
            <w:tcW w:w="226" w:type="dxa"/>
            <w:tcBorders>
              <w:top w:val="nil"/>
              <w:left w:val="nil"/>
              <w:bottom w:val="nil"/>
              <w:right w:val="nil"/>
            </w:tcBorders>
            <w:shd w:val="clear" w:color="auto" w:fill="auto"/>
          </w:tcPr>
          <w:p w14:paraId="140B627C"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13CDF64F" w14:textId="77777777" w:rsidR="004024E7" w:rsidRPr="004024E7" w:rsidRDefault="004024E7" w:rsidP="004024E7">
            <w:pPr>
              <w:rPr>
                <w:sz w:val="16"/>
                <w:szCs w:val="16"/>
                <w:lang w:val="en-GB"/>
              </w:rPr>
            </w:pPr>
            <w:r w:rsidRPr="004024E7">
              <w:rPr>
                <w:sz w:val="16"/>
                <w:szCs w:val="16"/>
                <w:lang w:val="en-GB"/>
              </w:rPr>
              <w:t>2.</w:t>
            </w:r>
          </w:p>
        </w:tc>
        <w:tc>
          <w:tcPr>
            <w:tcW w:w="8372" w:type="dxa"/>
            <w:gridSpan w:val="2"/>
            <w:tcBorders>
              <w:top w:val="nil"/>
              <w:left w:val="nil"/>
              <w:bottom w:val="nil"/>
              <w:right w:val="nil"/>
            </w:tcBorders>
            <w:shd w:val="clear" w:color="auto" w:fill="auto"/>
          </w:tcPr>
          <w:p w14:paraId="5F6EDE35" w14:textId="77777777" w:rsidR="004024E7" w:rsidRPr="004024E7" w:rsidRDefault="004024E7" w:rsidP="004024E7">
            <w:pPr>
              <w:jc w:val="both"/>
              <w:rPr>
                <w:sz w:val="16"/>
                <w:szCs w:val="16"/>
                <w:lang w:val="en-GB"/>
              </w:rPr>
            </w:pPr>
            <w:r w:rsidRPr="004024E7">
              <w:rPr>
                <w:sz w:val="16"/>
                <w:szCs w:val="16"/>
                <w:lang w:val="en-GB"/>
              </w:rPr>
              <w:t>Able to give written informed consent to participate</w:t>
            </w:r>
          </w:p>
        </w:tc>
      </w:tr>
      <w:tr w:rsidR="004024E7" w:rsidRPr="004024E7" w14:paraId="48020FFB" w14:textId="77777777" w:rsidTr="00AF1815">
        <w:trPr>
          <w:trHeight w:val="284"/>
        </w:trPr>
        <w:tc>
          <w:tcPr>
            <w:tcW w:w="226" w:type="dxa"/>
            <w:tcBorders>
              <w:top w:val="nil"/>
              <w:left w:val="nil"/>
              <w:bottom w:val="nil"/>
              <w:right w:val="nil"/>
            </w:tcBorders>
            <w:shd w:val="clear" w:color="auto" w:fill="auto"/>
          </w:tcPr>
          <w:p w14:paraId="75500DBF"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1B2C4184" w14:textId="77777777" w:rsidR="004024E7" w:rsidRPr="004024E7" w:rsidRDefault="004024E7" w:rsidP="004024E7">
            <w:pPr>
              <w:rPr>
                <w:sz w:val="16"/>
                <w:szCs w:val="16"/>
                <w:lang w:val="en-GB"/>
              </w:rPr>
            </w:pPr>
            <w:r w:rsidRPr="004024E7">
              <w:rPr>
                <w:sz w:val="16"/>
                <w:szCs w:val="16"/>
                <w:lang w:val="en-GB"/>
              </w:rPr>
              <w:t>3.</w:t>
            </w:r>
          </w:p>
        </w:tc>
        <w:tc>
          <w:tcPr>
            <w:tcW w:w="8372" w:type="dxa"/>
            <w:gridSpan w:val="2"/>
            <w:tcBorders>
              <w:top w:val="nil"/>
              <w:left w:val="nil"/>
              <w:bottom w:val="nil"/>
              <w:right w:val="nil"/>
            </w:tcBorders>
            <w:shd w:val="clear" w:color="auto" w:fill="auto"/>
          </w:tcPr>
          <w:p w14:paraId="0BDA1270" w14:textId="77777777" w:rsidR="004024E7" w:rsidRPr="004024E7" w:rsidRDefault="004024E7" w:rsidP="004024E7">
            <w:pPr>
              <w:jc w:val="both"/>
              <w:rPr>
                <w:sz w:val="16"/>
                <w:szCs w:val="16"/>
                <w:lang w:val="en-GB"/>
              </w:rPr>
            </w:pPr>
            <w:r w:rsidRPr="004024E7">
              <w:rPr>
                <w:sz w:val="16"/>
                <w:szCs w:val="16"/>
                <w:lang w:val="en-GB"/>
              </w:rPr>
              <w:t>Comprehension of the study requirements, expressed availability for the required study period and ability to attend scheduled visits</w:t>
            </w:r>
          </w:p>
        </w:tc>
      </w:tr>
      <w:tr w:rsidR="004024E7" w:rsidRPr="004024E7" w14:paraId="69047253" w14:textId="77777777" w:rsidTr="00AF1815">
        <w:trPr>
          <w:trHeight w:val="284"/>
        </w:trPr>
        <w:tc>
          <w:tcPr>
            <w:tcW w:w="226" w:type="dxa"/>
            <w:tcBorders>
              <w:top w:val="nil"/>
              <w:left w:val="nil"/>
              <w:bottom w:val="nil"/>
              <w:right w:val="nil"/>
            </w:tcBorders>
            <w:shd w:val="clear" w:color="auto" w:fill="auto"/>
          </w:tcPr>
          <w:p w14:paraId="122BD9FE"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37569587" w14:textId="77777777" w:rsidR="004024E7" w:rsidRPr="004024E7" w:rsidRDefault="004024E7" w:rsidP="004024E7">
            <w:pPr>
              <w:rPr>
                <w:sz w:val="16"/>
                <w:szCs w:val="16"/>
                <w:lang w:val="en-GB"/>
              </w:rPr>
            </w:pPr>
            <w:r w:rsidRPr="004024E7">
              <w:rPr>
                <w:sz w:val="16"/>
                <w:szCs w:val="16"/>
                <w:lang w:val="en-GB"/>
              </w:rPr>
              <w:t>4.</w:t>
            </w:r>
          </w:p>
        </w:tc>
        <w:tc>
          <w:tcPr>
            <w:tcW w:w="8372" w:type="dxa"/>
            <w:gridSpan w:val="2"/>
            <w:tcBorders>
              <w:top w:val="nil"/>
              <w:left w:val="nil"/>
              <w:bottom w:val="nil"/>
              <w:right w:val="nil"/>
            </w:tcBorders>
            <w:shd w:val="clear" w:color="auto" w:fill="auto"/>
          </w:tcPr>
          <w:p w14:paraId="0FB334FC" w14:textId="77777777" w:rsidR="004024E7" w:rsidRPr="004024E7" w:rsidRDefault="004024E7" w:rsidP="004024E7">
            <w:pPr>
              <w:jc w:val="both"/>
              <w:rPr>
                <w:sz w:val="16"/>
                <w:szCs w:val="16"/>
                <w:lang w:val="en-GB"/>
              </w:rPr>
            </w:pPr>
            <w:r w:rsidRPr="004024E7">
              <w:rPr>
                <w:sz w:val="16"/>
                <w:szCs w:val="16"/>
                <w:lang w:val="en-GB"/>
              </w:rPr>
              <w:t>Healthy, as determined by medical history, physical examination, vital signs and clinical judgement</w:t>
            </w:r>
          </w:p>
        </w:tc>
      </w:tr>
      <w:tr w:rsidR="004024E7" w:rsidRPr="004024E7" w14:paraId="1EA7AC5C" w14:textId="77777777" w:rsidTr="00AF1815">
        <w:trPr>
          <w:trHeight w:val="284"/>
        </w:trPr>
        <w:tc>
          <w:tcPr>
            <w:tcW w:w="226" w:type="dxa"/>
            <w:tcBorders>
              <w:top w:val="nil"/>
              <w:left w:val="nil"/>
              <w:bottom w:val="nil"/>
              <w:right w:val="nil"/>
            </w:tcBorders>
            <w:shd w:val="clear" w:color="auto" w:fill="auto"/>
          </w:tcPr>
          <w:p w14:paraId="6AA2BEA1"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00781696" w14:textId="77777777" w:rsidR="004024E7" w:rsidRPr="004024E7" w:rsidRDefault="004024E7" w:rsidP="004024E7">
            <w:pPr>
              <w:rPr>
                <w:sz w:val="16"/>
                <w:szCs w:val="16"/>
                <w:lang w:val="en-GB"/>
              </w:rPr>
            </w:pPr>
            <w:r w:rsidRPr="004024E7">
              <w:rPr>
                <w:sz w:val="16"/>
                <w:szCs w:val="16"/>
                <w:lang w:val="en-GB"/>
              </w:rPr>
              <w:t>5.</w:t>
            </w:r>
          </w:p>
        </w:tc>
        <w:tc>
          <w:tcPr>
            <w:tcW w:w="8372" w:type="dxa"/>
            <w:gridSpan w:val="2"/>
            <w:tcBorders>
              <w:top w:val="nil"/>
              <w:left w:val="nil"/>
              <w:bottom w:val="nil"/>
              <w:right w:val="nil"/>
            </w:tcBorders>
            <w:shd w:val="clear" w:color="auto" w:fill="auto"/>
          </w:tcPr>
          <w:p w14:paraId="1A0721C8" w14:textId="77777777" w:rsidR="004024E7" w:rsidRPr="004024E7" w:rsidRDefault="004024E7" w:rsidP="004024E7">
            <w:pPr>
              <w:jc w:val="both"/>
              <w:rPr>
                <w:sz w:val="16"/>
                <w:szCs w:val="16"/>
                <w:lang w:val="en-GB"/>
              </w:rPr>
            </w:pPr>
            <w:r w:rsidRPr="004024E7">
              <w:rPr>
                <w:sz w:val="16"/>
                <w:szCs w:val="16"/>
                <w:lang w:val="en-GB"/>
              </w:rPr>
              <w:t>Having acceptable laboratory parameters within 28 days before study day, defined as: haemoglobin, Red Blood Cell (RBC) count and haematocrit, White Blood Cell (WBC) count, sodium, potassium and total bilirubin within normal laboratory range and alanine aminotransferase (ALT)/ aspartate aminotransferase (AST) and serum creatinine ≤1·1x institutional upper limit normal (ULN)</w:t>
            </w:r>
          </w:p>
        </w:tc>
      </w:tr>
      <w:tr w:rsidR="004024E7" w:rsidRPr="004024E7" w14:paraId="58C85572" w14:textId="77777777" w:rsidTr="00AF1815">
        <w:trPr>
          <w:trHeight w:val="284"/>
        </w:trPr>
        <w:tc>
          <w:tcPr>
            <w:tcW w:w="226" w:type="dxa"/>
            <w:tcBorders>
              <w:top w:val="nil"/>
              <w:left w:val="nil"/>
              <w:bottom w:val="nil"/>
              <w:right w:val="nil"/>
            </w:tcBorders>
            <w:shd w:val="clear" w:color="auto" w:fill="auto"/>
          </w:tcPr>
          <w:p w14:paraId="218BF4F7"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11417805" w14:textId="77777777" w:rsidR="004024E7" w:rsidRPr="004024E7" w:rsidRDefault="004024E7" w:rsidP="004024E7">
            <w:pPr>
              <w:rPr>
                <w:sz w:val="16"/>
                <w:szCs w:val="16"/>
                <w:lang w:val="en-GB"/>
              </w:rPr>
            </w:pPr>
            <w:r w:rsidRPr="004024E7">
              <w:rPr>
                <w:sz w:val="16"/>
                <w:szCs w:val="16"/>
                <w:lang w:val="en-GB"/>
              </w:rPr>
              <w:t>6.</w:t>
            </w:r>
          </w:p>
        </w:tc>
        <w:tc>
          <w:tcPr>
            <w:tcW w:w="8372" w:type="dxa"/>
            <w:gridSpan w:val="2"/>
            <w:tcBorders>
              <w:top w:val="nil"/>
              <w:left w:val="nil"/>
              <w:bottom w:val="nil"/>
              <w:right w:val="nil"/>
            </w:tcBorders>
            <w:shd w:val="clear" w:color="auto" w:fill="auto"/>
          </w:tcPr>
          <w:p w14:paraId="17A61034" w14:textId="77777777" w:rsidR="004024E7" w:rsidRPr="004024E7" w:rsidRDefault="004024E7" w:rsidP="004024E7">
            <w:pPr>
              <w:jc w:val="both"/>
              <w:rPr>
                <w:sz w:val="16"/>
                <w:szCs w:val="16"/>
                <w:lang w:val="en-GB"/>
              </w:rPr>
            </w:pPr>
            <w:r w:rsidRPr="004024E7">
              <w:rPr>
                <w:sz w:val="16"/>
                <w:szCs w:val="16"/>
                <w:lang w:val="en-GB"/>
              </w:rPr>
              <w:t>Body Mass Index (BMI) between 18 and 32, inclusive</w:t>
            </w:r>
          </w:p>
        </w:tc>
      </w:tr>
      <w:tr w:rsidR="004024E7" w:rsidRPr="004024E7" w14:paraId="45A644A9" w14:textId="77777777" w:rsidTr="00AF1815">
        <w:trPr>
          <w:trHeight w:val="284"/>
        </w:trPr>
        <w:tc>
          <w:tcPr>
            <w:tcW w:w="226" w:type="dxa"/>
            <w:tcBorders>
              <w:top w:val="nil"/>
              <w:left w:val="nil"/>
              <w:bottom w:val="nil"/>
              <w:right w:val="nil"/>
            </w:tcBorders>
            <w:shd w:val="clear" w:color="auto" w:fill="auto"/>
          </w:tcPr>
          <w:p w14:paraId="1882E19A"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70159162" w14:textId="77777777" w:rsidR="004024E7" w:rsidRPr="004024E7" w:rsidRDefault="004024E7" w:rsidP="004024E7">
            <w:pPr>
              <w:rPr>
                <w:sz w:val="16"/>
                <w:szCs w:val="16"/>
                <w:lang w:val="en-GB"/>
              </w:rPr>
            </w:pPr>
            <w:r w:rsidRPr="004024E7">
              <w:rPr>
                <w:sz w:val="16"/>
                <w:szCs w:val="16"/>
                <w:lang w:val="en-GB"/>
              </w:rPr>
              <w:t>7.</w:t>
            </w:r>
          </w:p>
        </w:tc>
        <w:tc>
          <w:tcPr>
            <w:tcW w:w="8372" w:type="dxa"/>
            <w:gridSpan w:val="2"/>
            <w:tcBorders>
              <w:top w:val="nil"/>
              <w:left w:val="nil"/>
              <w:bottom w:val="nil"/>
              <w:right w:val="nil"/>
            </w:tcBorders>
            <w:shd w:val="clear" w:color="auto" w:fill="auto"/>
          </w:tcPr>
          <w:p w14:paraId="06773E89" w14:textId="77777777" w:rsidR="004024E7" w:rsidRPr="004024E7" w:rsidRDefault="004024E7" w:rsidP="004024E7">
            <w:pPr>
              <w:jc w:val="both"/>
              <w:rPr>
                <w:sz w:val="16"/>
                <w:szCs w:val="16"/>
                <w:lang w:val="en-GB"/>
              </w:rPr>
            </w:pPr>
            <w:r w:rsidRPr="004024E7">
              <w:rPr>
                <w:sz w:val="16"/>
                <w:szCs w:val="16"/>
                <w:lang w:val="en-GB"/>
              </w:rPr>
              <w:t>Women of childbearing potential are to have a negative serum β-human chorionic gonadotropin (β-</w:t>
            </w:r>
            <w:proofErr w:type="spellStart"/>
            <w:r w:rsidRPr="004024E7">
              <w:rPr>
                <w:sz w:val="16"/>
                <w:szCs w:val="16"/>
                <w:lang w:val="en-GB"/>
              </w:rPr>
              <w:t>hCG</w:t>
            </w:r>
            <w:proofErr w:type="spellEnd"/>
            <w:r w:rsidRPr="004024E7">
              <w:rPr>
                <w:sz w:val="16"/>
                <w:szCs w:val="16"/>
                <w:lang w:val="en-GB"/>
              </w:rPr>
              <w:t>) pregnancy test at screening and a negative urine β-</w:t>
            </w:r>
            <w:proofErr w:type="spellStart"/>
            <w:r w:rsidRPr="004024E7">
              <w:rPr>
                <w:sz w:val="16"/>
                <w:szCs w:val="16"/>
                <w:lang w:val="en-GB"/>
              </w:rPr>
              <w:t>hCG</w:t>
            </w:r>
            <w:proofErr w:type="spellEnd"/>
            <w:r w:rsidRPr="004024E7">
              <w:rPr>
                <w:sz w:val="16"/>
                <w:szCs w:val="16"/>
                <w:lang w:val="en-GB"/>
              </w:rPr>
              <w:t xml:space="preserve"> pregnancy test within 24 hours preceding receipt of each dose and agree to practice, if not already practicing, highly effective birth control measures from 28 days before the prime vaccination until at least 90 days after the boost vaccination. </w:t>
            </w:r>
          </w:p>
          <w:p w14:paraId="27A6D0D5" w14:textId="77777777" w:rsidR="004024E7" w:rsidRPr="004024E7" w:rsidRDefault="004024E7" w:rsidP="004024E7">
            <w:pPr>
              <w:jc w:val="both"/>
              <w:rPr>
                <w:sz w:val="16"/>
                <w:szCs w:val="16"/>
                <w:lang w:val="en-GB"/>
              </w:rPr>
            </w:pPr>
            <w:r w:rsidRPr="004024E7">
              <w:rPr>
                <w:sz w:val="16"/>
                <w:szCs w:val="16"/>
                <w:lang w:val="en-GB"/>
              </w:rPr>
              <w:t xml:space="preserve">For women already practicing highly effective birth control measurements for at least 28 days at screening start, recruitment could occur as soon as all screening procedures were completed. The following birth control measures were considered highly effective: </w:t>
            </w:r>
          </w:p>
        </w:tc>
      </w:tr>
      <w:tr w:rsidR="004024E7" w:rsidRPr="004024E7" w14:paraId="22B63787" w14:textId="77777777" w:rsidTr="00AF1815">
        <w:trPr>
          <w:trHeight w:val="284"/>
        </w:trPr>
        <w:tc>
          <w:tcPr>
            <w:tcW w:w="226" w:type="dxa"/>
            <w:tcBorders>
              <w:top w:val="nil"/>
              <w:left w:val="nil"/>
              <w:bottom w:val="nil"/>
              <w:right w:val="nil"/>
            </w:tcBorders>
            <w:shd w:val="clear" w:color="auto" w:fill="auto"/>
          </w:tcPr>
          <w:p w14:paraId="16A4D399"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4C566401" w14:textId="77777777" w:rsidR="004024E7" w:rsidRPr="004024E7" w:rsidRDefault="004024E7" w:rsidP="004024E7">
            <w:pPr>
              <w:rPr>
                <w:sz w:val="16"/>
                <w:szCs w:val="16"/>
                <w:lang w:val="en-GB"/>
              </w:rPr>
            </w:pPr>
          </w:p>
        </w:tc>
        <w:tc>
          <w:tcPr>
            <w:tcW w:w="367" w:type="dxa"/>
            <w:tcBorders>
              <w:top w:val="nil"/>
              <w:left w:val="nil"/>
              <w:bottom w:val="nil"/>
              <w:right w:val="nil"/>
            </w:tcBorders>
            <w:shd w:val="clear" w:color="auto" w:fill="auto"/>
          </w:tcPr>
          <w:p w14:paraId="294768E2" w14:textId="77777777" w:rsidR="004024E7" w:rsidRPr="004024E7" w:rsidRDefault="004024E7" w:rsidP="004024E7">
            <w:pPr>
              <w:jc w:val="both"/>
              <w:rPr>
                <w:sz w:val="16"/>
                <w:szCs w:val="16"/>
                <w:lang w:val="en-GB"/>
              </w:rPr>
            </w:pPr>
            <w:r w:rsidRPr="004024E7">
              <w:rPr>
                <w:sz w:val="16"/>
                <w:szCs w:val="16"/>
                <w:lang w:val="en-GB"/>
              </w:rPr>
              <w:t>a.</w:t>
            </w:r>
          </w:p>
        </w:tc>
        <w:tc>
          <w:tcPr>
            <w:tcW w:w="8005" w:type="dxa"/>
            <w:tcBorders>
              <w:top w:val="nil"/>
              <w:left w:val="nil"/>
              <w:bottom w:val="nil"/>
              <w:right w:val="nil"/>
            </w:tcBorders>
            <w:shd w:val="clear" w:color="auto" w:fill="auto"/>
          </w:tcPr>
          <w:p w14:paraId="338F7CDF" w14:textId="77777777" w:rsidR="004024E7" w:rsidRPr="004024E7" w:rsidRDefault="004024E7" w:rsidP="004024E7">
            <w:pPr>
              <w:jc w:val="both"/>
              <w:rPr>
                <w:sz w:val="16"/>
                <w:szCs w:val="16"/>
                <w:lang w:val="en-GB"/>
              </w:rPr>
            </w:pPr>
            <w:r w:rsidRPr="004024E7">
              <w:rPr>
                <w:sz w:val="16"/>
                <w:szCs w:val="16"/>
                <w:lang w:val="en-GB"/>
              </w:rPr>
              <w:t>Combined (</w:t>
            </w:r>
            <w:proofErr w:type="spellStart"/>
            <w:r w:rsidRPr="004024E7">
              <w:rPr>
                <w:sz w:val="16"/>
                <w:szCs w:val="16"/>
                <w:lang w:val="en-GB"/>
              </w:rPr>
              <w:t>estrogen</w:t>
            </w:r>
            <w:proofErr w:type="spellEnd"/>
            <w:r w:rsidRPr="004024E7">
              <w:rPr>
                <w:sz w:val="16"/>
                <w:szCs w:val="16"/>
                <w:lang w:val="en-GB"/>
              </w:rPr>
              <w:t xml:space="preserve"> and progestogen containing) hormonal contraception associated with inhibition of ovulation (oral, intravaginal, transdermal), progestogen-only hormonal contraception associated with inhibition of ovulation (oral, injectable or implantable), intrauterine device, intrauterine hormone releasing system, bilateral tubal ligation, vasectomized partner (if the partner was the sole sexual partner and had received medical assessment of the surgical success)</w:t>
            </w:r>
          </w:p>
        </w:tc>
      </w:tr>
      <w:tr w:rsidR="004024E7" w:rsidRPr="004024E7" w14:paraId="1AAC9087" w14:textId="77777777" w:rsidTr="00AF1815">
        <w:trPr>
          <w:trHeight w:val="284"/>
        </w:trPr>
        <w:tc>
          <w:tcPr>
            <w:tcW w:w="226" w:type="dxa"/>
            <w:tcBorders>
              <w:top w:val="nil"/>
              <w:left w:val="nil"/>
              <w:bottom w:val="nil"/>
              <w:right w:val="nil"/>
            </w:tcBorders>
            <w:shd w:val="clear" w:color="auto" w:fill="auto"/>
          </w:tcPr>
          <w:p w14:paraId="437CF894"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2C592AFF" w14:textId="77777777" w:rsidR="004024E7" w:rsidRPr="004024E7" w:rsidRDefault="004024E7" w:rsidP="004024E7">
            <w:pPr>
              <w:rPr>
                <w:sz w:val="16"/>
                <w:szCs w:val="16"/>
                <w:lang w:val="en-GB"/>
              </w:rPr>
            </w:pPr>
          </w:p>
        </w:tc>
        <w:tc>
          <w:tcPr>
            <w:tcW w:w="367" w:type="dxa"/>
            <w:tcBorders>
              <w:top w:val="nil"/>
              <w:left w:val="nil"/>
              <w:bottom w:val="nil"/>
              <w:right w:val="nil"/>
            </w:tcBorders>
            <w:shd w:val="clear" w:color="auto" w:fill="auto"/>
          </w:tcPr>
          <w:p w14:paraId="73D33B52" w14:textId="77777777" w:rsidR="004024E7" w:rsidRPr="004024E7" w:rsidRDefault="004024E7" w:rsidP="004024E7">
            <w:pPr>
              <w:jc w:val="both"/>
              <w:rPr>
                <w:sz w:val="16"/>
                <w:szCs w:val="16"/>
                <w:lang w:val="en-GB"/>
              </w:rPr>
            </w:pPr>
            <w:r w:rsidRPr="004024E7">
              <w:rPr>
                <w:sz w:val="16"/>
                <w:szCs w:val="16"/>
                <w:lang w:val="en-GB"/>
              </w:rPr>
              <w:t>b.</w:t>
            </w:r>
          </w:p>
        </w:tc>
        <w:tc>
          <w:tcPr>
            <w:tcW w:w="8005" w:type="dxa"/>
            <w:tcBorders>
              <w:top w:val="nil"/>
              <w:left w:val="nil"/>
              <w:bottom w:val="nil"/>
              <w:right w:val="nil"/>
            </w:tcBorders>
            <w:shd w:val="clear" w:color="auto" w:fill="auto"/>
          </w:tcPr>
          <w:p w14:paraId="0997ABF5" w14:textId="77777777" w:rsidR="004024E7" w:rsidRPr="004024E7" w:rsidRDefault="004024E7" w:rsidP="004024E7">
            <w:pPr>
              <w:jc w:val="both"/>
              <w:rPr>
                <w:sz w:val="16"/>
                <w:szCs w:val="16"/>
                <w:lang w:val="en-GB"/>
              </w:rPr>
            </w:pPr>
            <w:r w:rsidRPr="004024E7">
              <w:rPr>
                <w:sz w:val="16"/>
                <w:szCs w:val="16"/>
                <w:lang w:val="en-GB"/>
              </w:rPr>
              <w:t xml:space="preserve">True abstinence: when this was in line with the preferred and usual lifestyle of the subject. Periodic abstinence (e.g., calendar, ovulation, </w:t>
            </w:r>
            <w:proofErr w:type="spellStart"/>
            <w:r w:rsidRPr="004024E7">
              <w:rPr>
                <w:sz w:val="16"/>
                <w:szCs w:val="16"/>
                <w:lang w:val="en-GB"/>
              </w:rPr>
              <w:t>symptothermal</w:t>
            </w:r>
            <w:proofErr w:type="spellEnd"/>
            <w:r w:rsidRPr="004024E7">
              <w:rPr>
                <w:sz w:val="16"/>
                <w:szCs w:val="16"/>
                <w:lang w:val="en-GB"/>
              </w:rPr>
              <w:t>, post-ovulation methods), declaration of abstinence for the duration of a trial, and withdrawal are not acceptable methods of contraception</w:t>
            </w:r>
          </w:p>
        </w:tc>
      </w:tr>
      <w:tr w:rsidR="004024E7" w:rsidRPr="004024E7" w14:paraId="06342129" w14:textId="77777777" w:rsidTr="00AF1815">
        <w:trPr>
          <w:trHeight w:val="284"/>
        </w:trPr>
        <w:tc>
          <w:tcPr>
            <w:tcW w:w="226" w:type="dxa"/>
            <w:tcBorders>
              <w:top w:val="nil"/>
              <w:left w:val="nil"/>
              <w:bottom w:val="nil"/>
              <w:right w:val="nil"/>
            </w:tcBorders>
            <w:shd w:val="clear" w:color="auto" w:fill="auto"/>
          </w:tcPr>
          <w:p w14:paraId="69313932"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206C2F2C" w14:textId="77777777" w:rsidR="004024E7" w:rsidRPr="004024E7" w:rsidRDefault="004024E7" w:rsidP="004024E7">
            <w:pPr>
              <w:rPr>
                <w:sz w:val="16"/>
                <w:szCs w:val="16"/>
                <w:lang w:val="en-GB"/>
              </w:rPr>
            </w:pPr>
          </w:p>
        </w:tc>
        <w:tc>
          <w:tcPr>
            <w:tcW w:w="367" w:type="dxa"/>
            <w:tcBorders>
              <w:top w:val="nil"/>
              <w:left w:val="nil"/>
              <w:bottom w:val="nil"/>
              <w:right w:val="nil"/>
            </w:tcBorders>
            <w:shd w:val="clear" w:color="auto" w:fill="auto"/>
          </w:tcPr>
          <w:p w14:paraId="715A760F" w14:textId="77777777" w:rsidR="004024E7" w:rsidRPr="004024E7" w:rsidRDefault="004024E7" w:rsidP="004024E7">
            <w:pPr>
              <w:jc w:val="both"/>
              <w:rPr>
                <w:sz w:val="16"/>
                <w:szCs w:val="16"/>
                <w:lang w:val="en-GB"/>
              </w:rPr>
            </w:pPr>
            <w:r w:rsidRPr="004024E7">
              <w:rPr>
                <w:sz w:val="16"/>
                <w:szCs w:val="16"/>
                <w:lang w:val="en-GB"/>
              </w:rPr>
              <w:t>c.</w:t>
            </w:r>
          </w:p>
        </w:tc>
        <w:tc>
          <w:tcPr>
            <w:tcW w:w="8005" w:type="dxa"/>
            <w:tcBorders>
              <w:top w:val="nil"/>
              <w:left w:val="nil"/>
              <w:bottom w:val="nil"/>
              <w:right w:val="nil"/>
            </w:tcBorders>
            <w:shd w:val="clear" w:color="auto" w:fill="auto"/>
          </w:tcPr>
          <w:p w14:paraId="36701DCD" w14:textId="77777777" w:rsidR="004024E7" w:rsidRPr="004024E7" w:rsidRDefault="004024E7" w:rsidP="004024E7">
            <w:pPr>
              <w:jc w:val="both"/>
              <w:rPr>
                <w:sz w:val="16"/>
                <w:szCs w:val="16"/>
                <w:lang w:val="en-GB"/>
              </w:rPr>
            </w:pPr>
            <w:r w:rsidRPr="004024E7">
              <w:rPr>
                <w:sz w:val="16"/>
                <w:szCs w:val="16"/>
                <w:lang w:val="en-GB"/>
              </w:rPr>
              <w:t xml:space="preserve">If not heterosexually active at screening, must agree to practice highly effective birth control measures described above if they became heterosexually active from that moment onwards until at least 90 days after the boost vaccination </w:t>
            </w:r>
          </w:p>
        </w:tc>
      </w:tr>
      <w:tr w:rsidR="004024E7" w:rsidRPr="004024E7" w14:paraId="4F3060D8" w14:textId="77777777" w:rsidTr="00AF1815">
        <w:trPr>
          <w:trHeight w:val="284"/>
        </w:trPr>
        <w:tc>
          <w:tcPr>
            <w:tcW w:w="226" w:type="dxa"/>
            <w:tcBorders>
              <w:top w:val="nil"/>
              <w:left w:val="nil"/>
              <w:bottom w:val="nil"/>
              <w:right w:val="nil"/>
            </w:tcBorders>
            <w:shd w:val="clear" w:color="auto" w:fill="auto"/>
          </w:tcPr>
          <w:p w14:paraId="18E8D3A6"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370C5229" w14:textId="77777777" w:rsidR="004024E7" w:rsidRPr="004024E7" w:rsidRDefault="004024E7" w:rsidP="004024E7">
            <w:pPr>
              <w:rPr>
                <w:sz w:val="16"/>
                <w:szCs w:val="16"/>
                <w:lang w:val="en-GB"/>
              </w:rPr>
            </w:pPr>
          </w:p>
        </w:tc>
        <w:tc>
          <w:tcPr>
            <w:tcW w:w="367" w:type="dxa"/>
            <w:tcBorders>
              <w:top w:val="nil"/>
              <w:left w:val="nil"/>
              <w:bottom w:val="nil"/>
              <w:right w:val="nil"/>
            </w:tcBorders>
            <w:shd w:val="clear" w:color="auto" w:fill="auto"/>
          </w:tcPr>
          <w:p w14:paraId="6EB8B3FA" w14:textId="77777777" w:rsidR="004024E7" w:rsidRPr="004024E7" w:rsidRDefault="004024E7" w:rsidP="004024E7">
            <w:pPr>
              <w:jc w:val="both"/>
              <w:rPr>
                <w:sz w:val="16"/>
                <w:szCs w:val="16"/>
                <w:lang w:val="en-GB"/>
              </w:rPr>
            </w:pPr>
            <w:r w:rsidRPr="004024E7">
              <w:rPr>
                <w:sz w:val="16"/>
                <w:szCs w:val="16"/>
                <w:lang w:val="en-GB"/>
              </w:rPr>
              <w:t xml:space="preserve">d. </w:t>
            </w:r>
          </w:p>
        </w:tc>
        <w:tc>
          <w:tcPr>
            <w:tcW w:w="8005" w:type="dxa"/>
            <w:tcBorders>
              <w:top w:val="nil"/>
              <w:left w:val="nil"/>
              <w:bottom w:val="nil"/>
              <w:right w:val="nil"/>
            </w:tcBorders>
            <w:shd w:val="clear" w:color="auto" w:fill="auto"/>
          </w:tcPr>
          <w:p w14:paraId="3EDD69CB" w14:textId="77777777" w:rsidR="004024E7" w:rsidRPr="004024E7" w:rsidRDefault="004024E7" w:rsidP="004024E7">
            <w:pPr>
              <w:jc w:val="both"/>
              <w:rPr>
                <w:sz w:val="16"/>
                <w:szCs w:val="16"/>
                <w:lang w:val="en-GB"/>
              </w:rPr>
            </w:pPr>
            <w:r w:rsidRPr="004024E7">
              <w:rPr>
                <w:sz w:val="16"/>
                <w:szCs w:val="16"/>
                <w:lang w:val="en-GB"/>
              </w:rPr>
              <w:t>Agree not to donate eggs (ova, oocytes) for the purposes of assisted reproduction from the start of screening onwards until at least 90 days after the boost vaccination</w:t>
            </w:r>
          </w:p>
        </w:tc>
      </w:tr>
      <w:tr w:rsidR="004024E7" w:rsidRPr="004024E7" w14:paraId="11D04F31" w14:textId="77777777" w:rsidTr="00AF1815">
        <w:trPr>
          <w:trHeight w:val="284"/>
        </w:trPr>
        <w:tc>
          <w:tcPr>
            <w:tcW w:w="226" w:type="dxa"/>
            <w:tcBorders>
              <w:top w:val="nil"/>
              <w:left w:val="nil"/>
              <w:bottom w:val="nil"/>
              <w:right w:val="nil"/>
            </w:tcBorders>
            <w:shd w:val="clear" w:color="auto" w:fill="auto"/>
          </w:tcPr>
          <w:p w14:paraId="0E001EFB"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35B134DD" w14:textId="77777777" w:rsidR="004024E7" w:rsidRPr="004024E7" w:rsidRDefault="004024E7" w:rsidP="004024E7">
            <w:pPr>
              <w:rPr>
                <w:sz w:val="16"/>
                <w:szCs w:val="16"/>
                <w:lang w:val="en-GB"/>
              </w:rPr>
            </w:pPr>
            <w:r w:rsidRPr="004024E7">
              <w:rPr>
                <w:sz w:val="16"/>
                <w:szCs w:val="16"/>
                <w:lang w:val="en-GB"/>
              </w:rPr>
              <w:t>8.</w:t>
            </w:r>
          </w:p>
        </w:tc>
        <w:tc>
          <w:tcPr>
            <w:tcW w:w="8372" w:type="dxa"/>
            <w:gridSpan w:val="2"/>
            <w:tcBorders>
              <w:top w:val="nil"/>
              <w:left w:val="nil"/>
              <w:bottom w:val="nil"/>
              <w:right w:val="nil"/>
            </w:tcBorders>
            <w:shd w:val="clear" w:color="auto" w:fill="auto"/>
          </w:tcPr>
          <w:p w14:paraId="6A45C62B" w14:textId="77777777" w:rsidR="004024E7" w:rsidRPr="004024E7" w:rsidRDefault="004024E7" w:rsidP="004024E7">
            <w:pPr>
              <w:jc w:val="both"/>
              <w:rPr>
                <w:sz w:val="16"/>
                <w:szCs w:val="16"/>
                <w:lang w:val="en-GB"/>
              </w:rPr>
            </w:pPr>
            <w:r w:rsidRPr="004024E7">
              <w:rPr>
                <w:sz w:val="16"/>
                <w:szCs w:val="16"/>
                <w:lang w:val="en-GB"/>
              </w:rPr>
              <w:t xml:space="preserve">Women of non-childbearing potential, defined as postmenopausal (&gt;45 years of age with amenorrhea for ≥2 years; for female of &gt;45 years of age with amenorrhea for more than 6 months but less than 2 years confirmation of a serum follicle-stimulating hormone (FSH) &gt;40 </w:t>
            </w:r>
            <w:proofErr w:type="spellStart"/>
            <w:r w:rsidRPr="004024E7">
              <w:rPr>
                <w:sz w:val="16"/>
                <w:szCs w:val="16"/>
                <w:lang w:val="en-GB"/>
              </w:rPr>
              <w:t>mIU</w:t>
            </w:r>
            <w:proofErr w:type="spellEnd"/>
            <w:r w:rsidRPr="004024E7">
              <w:rPr>
                <w:sz w:val="16"/>
                <w:szCs w:val="16"/>
                <w:lang w:val="en-GB"/>
              </w:rPr>
              <w:t>/mL are required to consider them of non-childbearing potential) or surgically sterile (hysterectomy, bilateral tubal ligation, or bilateral oophorectomy), were not required to use the birth control methods as described in Inclusion Criterion #7</w:t>
            </w:r>
          </w:p>
        </w:tc>
      </w:tr>
      <w:tr w:rsidR="004024E7" w:rsidRPr="004024E7" w14:paraId="6E688AE9" w14:textId="77777777" w:rsidTr="00AF1815">
        <w:trPr>
          <w:trHeight w:val="284"/>
        </w:trPr>
        <w:tc>
          <w:tcPr>
            <w:tcW w:w="226" w:type="dxa"/>
            <w:tcBorders>
              <w:top w:val="nil"/>
              <w:left w:val="nil"/>
              <w:bottom w:val="nil"/>
              <w:right w:val="nil"/>
            </w:tcBorders>
            <w:shd w:val="clear" w:color="auto" w:fill="auto"/>
          </w:tcPr>
          <w:p w14:paraId="7F7AD008"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258BBCD1" w14:textId="77777777" w:rsidR="004024E7" w:rsidRPr="004024E7" w:rsidRDefault="004024E7" w:rsidP="004024E7">
            <w:pPr>
              <w:rPr>
                <w:sz w:val="16"/>
                <w:szCs w:val="16"/>
                <w:lang w:val="en-GB"/>
              </w:rPr>
            </w:pPr>
            <w:r w:rsidRPr="004024E7">
              <w:rPr>
                <w:sz w:val="16"/>
                <w:szCs w:val="16"/>
                <w:lang w:val="en-GB"/>
              </w:rPr>
              <w:t>9.</w:t>
            </w:r>
          </w:p>
        </w:tc>
        <w:tc>
          <w:tcPr>
            <w:tcW w:w="8372" w:type="dxa"/>
            <w:gridSpan w:val="2"/>
            <w:tcBorders>
              <w:top w:val="nil"/>
              <w:left w:val="nil"/>
              <w:bottom w:val="nil"/>
              <w:right w:val="nil"/>
            </w:tcBorders>
            <w:shd w:val="clear" w:color="auto" w:fill="auto"/>
          </w:tcPr>
          <w:p w14:paraId="7CD765C7" w14:textId="77777777" w:rsidR="004024E7" w:rsidRPr="004024E7" w:rsidRDefault="004024E7" w:rsidP="004024E7">
            <w:pPr>
              <w:jc w:val="both"/>
              <w:rPr>
                <w:sz w:val="16"/>
                <w:szCs w:val="16"/>
                <w:lang w:val="en-GB"/>
              </w:rPr>
            </w:pPr>
            <w:r w:rsidRPr="004024E7">
              <w:rPr>
                <w:sz w:val="16"/>
                <w:szCs w:val="16"/>
                <w:lang w:val="en-GB"/>
              </w:rPr>
              <w:t>A man who has not had a vasectomy with medical assessment of the surgical success and is sexually active with a woman of childbearing potential must agree to consistently use a barrier method of birth control, such as condom with spermicidal foam/gel/film/cream/suppository. Men also gave to agree not to donate sperm from the first study vaccine administration (Day 1) until 90 days after the boost vaccination</w:t>
            </w:r>
          </w:p>
        </w:tc>
      </w:tr>
      <w:tr w:rsidR="004024E7" w:rsidRPr="004024E7" w14:paraId="6D02165B" w14:textId="77777777" w:rsidTr="00AF1815">
        <w:trPr>
          <w:trHeight w:val="284"/>
        </w:trPr>
        <w:tc>
          <w:tcPr>
            <w:tcW w:w="226" w:type="dxa"/>
            <w:tcBorders>
              <w:top w:val="nil"/>
              <w:left w:val="nil"/>
              <w:bottom w:val="nil"/>
              <w:right w:val="nil"/>
            </w:tcBorders>
            <w:shd w:val="clear" w:color="auto" w:fill="auto"/>
          </w:tcPr>
          <w:p w14:paraId="3BA60428" w14:textId="77777777" w:rsidR="004024E7" w:rsidRPr="004024E7" w:rsidRDefault="004024E7" w:rsidP="004024E7">
            <w:pPr>
              <w:rPr>
                <w:sz w:val="16"/>
                <w:szCs w:val="16"/>
                <w:lang w:val="en-GB"/>
              </w:rPr>
            </w:pPr>
          </w:p>
        </w:tc>
        <w:tc>
          <w:tcPr>
            <w:tcW w:w="466" w:type="dxa"/>
            <w:tcBorders>
              <w:top w:val="nil"/>
              <w:left w:val="nil"/>
              <w:bottom w:val="nil"/>
              <w:right w:val="nil"/>
            </w:tcBorders>
            <w:shd w:val="clear" w:color="auto" w:fill="auto"/>
          </w:tcPr>
          <w:p w14:paraId="6AFA4194" w14:textId="77777777" w:rsidR="004024E7" w:rsidRPr="004024E7" w:rsidRDefault="004024E7" w:rsidP="004024E7">
            <w:pPr>
              <w:rPr>
                <w:sz w:val="16"/>
                <w:szCs w:val="16"/>
                <w:lang w:val="en-GB"/>
              </w:rPr>
            </w:pPr>
            <w:r w:rsidRPr="004024E7">
              <w:rPr>
                <w:sz w:val="16"/>
                <w:szCs w:val="16"/>
                <w:lang w:val="en-GB"/>
              </w:rPr>
              <w:t>10.</w:t>
            </w:r>
          </w:p>
        </w:tc>
        <w:tc>
          <w:tcPr>
            <w:tcW w:w="8372" w:type="dxa"/>
            <w:gridSpan w:val="2"/>
            <w:tcBorders>
              <w:top w:val="nil"/>
              <w:left w:val="nil"/>
              <w:bottom w:val="nil"/>
              <w:right w:val="nil"/>
            </w:tcBorders>
            <w:shd w:val="clear" w:color="auto" w:fill="auto"/>
          </w:tcPr>
          <w:p w14:paraId="1DB2BCCF" w14:textId="77777777" w:rsidR="004024E7" w:rsidRPr="004024E7" w:rsidRDefault="004024E7" w:rsidP="004024E7">
            <w:pPr>
              <w:jc w:val="both"/>
              <w:rPr>
                <w:sz w:val="16"/>
                <w:szCs w:val="16"/>
                <w:lang w:val="en-GB"/>
              </w:rPr>
            </w:pPr>
            <w:r w:rsidRPr="004024E7">
              <w:rPr>
                <w:sz w:val="16"/>
                <w:szCs w:val="16"/>
                <w:lang w:val="en-GB"/>
              </w:rPr>
              <w:t>Subjects have to be willing to provide verifiable identification and their National Insurance/Passport number for the purpose of The Over-volunteering Prevention System (TOPS) registration</w:t>
            </w:r>
          </w:p>
        </w:tc>
      </w:tr>
      <w:tr w:rsidR="004024E7" w:rsidRPr="004024E7" w14:paraId="0BCF19F4" w14:textId="77777777" w:rsidTr="00AF1815">
        <w:trPr>
          <w:trHeight w:val="284"/>
        </w:trPr>
        <w:tc>
          <w:tcPr>
            <w:tcW w:w="226" w:type="dxa"/>
            <w:tcBorders>
              <w:top w:val="nil"/>
              <w:left w:val="nil"/>
              <w:bottom w:val="single" w:sz="4" w:space="0" w:color="auto"/>
              <w:right w:val="nil"/>
            </w:tcBorders>
            <w:shd w:val="clear" w:color="auto" w:fill="auto"/>
          </w:tcPr>
          <w:p w14:paraId="04209401" w14:textId="77777777" w:rsidR="004024E7" w:rsidRPr="004024E7" w:rsidRDefault="004024E7" w:rsidP="004024E7">
            <w:pPr>
              <w:rPr>
                <w:sz w:val="16"/>
                <w:szCs w:val="16"/>
                <w:lang w:val="en-GB"/>
              </w:rPr>
            </w:pPr>
          </w:p>
        </w:tc>
        <w:tc>
          <w:tcPr>
            <w:tcW w:w="466" w:type="dxa"/>
            <w:tcBorders>
              <w:top w:val="nil"/>
              <w:left w:val="nil"/>
              <w:bottom w:val="single" w:sz="4" w:space="0" w:color="auto"/>
              <w:right w:val="nil"/>
            </w:tcBorders>
            <w:shd w:val="clear" w:color="auto" w:fill="auto"/>
          </w:tcPr>
          <w:p w14:paraId="70DA900D" w14:textId="77777777" w:rsidR="004024E7" w:rsidRPr="004024E7" w:rsidRDefault="004024E7" w:rsidP="004024E7">
            <w:pPr>
              <w:rPr>
                <w:sz w:val="16"/>
                <w:szCs w:val="16"/>
                <w:lang w:val="en-GB"/>
              </w:rPr>
            </w:pPr>
            <w:r w:rsidRPr="004024E7">
              <w:rPr>
                <w:sz w:val="16"/>
                <w:szCs w:val="16"/>
                <w:lang w:val="en-GB"/>
              </w:rPr>
              <w:t>11.</w:t>
            </w:r>
          </w:p>
        </w:tc>
        <w:tc>
          <w:tcPr>
            <w:tcW w:w="8372" w:type="dxa"/>
            <w:gridSpan w:val="2"/>
            <w:tcBorders>
              <w:top w:val="nil"/>
              <w:left w:val="nil"/>
              <w:bottom w:val="single" w:sz="4" w:space="0" w:color="auto"/>
              <w:right w:val="nil"/>
            </w:tcBorders>
            <w:shd w:val="clear" w:color="auto" w:fill="auto"/>
          </w:tcPr>
          <w:p w14:paraId="0BD52A94" w14:textId="77777777" w:rsidR="004024E7" w:rsidRPr="004024E7" w:rsidRDefault="004024E7" w:rsidP="004024E7">
            <w:pPr>
              <w:jc w:val="both"/>
              <w:rPr>
                <w:sz w:val="16"/>
                <w:szCs w:val="16"/>
                <w:lang w:val="en-GB"/>
              </w:rPr>
            </w:pPr>
            <w:r w:rsidRPr="004024E7">
              <w:rPr>
                <w:sz w:val="16"/>
                <w:szCs w:val="16"/>
                <w:lang w:val="en-GB"/>
              </w:rPr>
              <w:t>Subject has to have a means to be contacted</w:t>
            </w:r>
          </w:p>
        </w:tc>
      </w:tr>
      <w:tr w:rsidR="004024E7" w:rsidRPr="004024E7" w14:paraId="3FE482AB" w14:textId="77777777" w:rsidTr="00AF1815">
        <w:trPr>
          <w:trHeight w:val="284"/>
        </w:trPr>
        <w:tc>
          <w:tcPr>
            <w:tcW w:w="226" w:type="dxa"/>
            <w:tcBorders>
              <w:top w:val="single" w:sz="4" w:space="0" w:color="auto"/>
              <w:left w:val="nil"/>
              <w:bottom w:val="single" w:sz="4" w:space="0" w:color="auto"/>
              <w:right w:val="nil"/>
            </w:tcBorders>
            <w:shd w:val="clear" w:color="auto" w:fill="auto"/>
          </w:tcPr>
          <w:p w14:paraId="2323633C" w14:textId="77777777" w:rsidR="004024E7" w:rsidRPr="004024E7" w:rsidRDefault="004024E7" w:rsidP="004024E7">
            <w:pPr>
              <w:rPr>
                <w:sz w:val="24"/>
                <w:szCs w:val="24"/>
                <w:lang w:val="en-GB"/>
              </w:rPr>
            </w:pPr>
          </w:p>
        </w:tc>
        <w:tc>
          <w:tcPr>
            <w:tcW w:w="8838" w:type="dxa"/>
            <w:gridSpan w:val="3"/>
            <w:tcBorders>
              <w:top w:val="single" w:sz="4" w:space="0" w:color="auto"/>
              <w:left w:val="nil"/>
              <w:bottom w:val="single" w:sz="4" w:space="0" w:color="auto"/>
              <w:right w:val="nil"/>
            </w:tcBorders>
            <w:shd w:val="clear" w:color="auto" w:fill="auto"/>
          </w:tcPr>
          <w:p w14:paraId="1FA2B41D" w14:textId="77777777" w:rsidR="004024E7" w:rsidRPr="004024E7" w:rsidRDefault="004024E7" w:rsidP="004024E7">
            <w:pPr>
              <w:rPr>
                <w:b/>
                <w:sz w:val="16"/>
                <w:szCs w:val="16"/>
                <w:lang w:val="en-GB"/>
              </w:rPr>
            </w:pPr>
            <w:r w:rsidRPr="004024E7">
              <w:rPr>
                <w:b/>
                <w:sz w:val="16"/>
                <w:szCs w:val="16"/>
                <w:lang w:val="en-GB"/>
              </w:rPr>
              <w:t>Exclusion criteria</w:t>
            </w:r>
          </w:p>
        </w:tc>
      </w:tr>
      <w:tr w:rsidR="004024E7" w:rsidRPr="004024E7" w14:paraId="6F367106" w14:textId="77777777" w:rsidTr="00AF1815">
        <w:trPr>
          <w:trHeight w:val="284"/>
        </w:trPr>
        <w:tc>
          <w:tcPr>
            <w:tcW w:w="226" w:type="dxa"/>
            <w:tcBorders>
              <w:top w:val="single" w:sz="4" w:space="0" w:color="auto"/>
              <w:left w:val="nil"/>
              <w:bottom w:val="nil"/>
              <w:right w:val="nil"/>
            </w:tcBorders>
            <w:shd w:val="clear" w:color="auto" w:fill="auto"/>
          </w:tcPr>
          <w:p w14:paraId="3C75B48F" w14:textId="77777777" w:rsidR="004024E7" w:rsidRPr="004024E7" w:rsidRDefault="004024E7" w:rsidP="004024E7">
            <w:pPr>
              <w:rPr>
                <w:sz w:val="24"/>
                <w:szCs w:val="24"/>
                <w:lang w:val="en-GB"/>
              </w:rPr>
            </w:pPr>
          </w:p>
        </w:tc>
        <w:tc>
          <w:tcPr>
            <w:tcW w:w="466" w:type="dxa"/>
            <w:tcBorders>
              <w:top w:val="single" w:sz="4" w:space="0" w:color="auto"/>
              <w:left w:val="nil"/>
              <w:bottom w:val="nil"/>
              <w:right w:val="nil"/>
            </w:tcBorders>
            <w:shd w:val="clear" w:color="auto" w:fill="auto"/>
          </w:tcPr>
          <w:p w14:paraId="0A9CB502" w14:textId="77777777" w:rsidR="004024E7" w:rsidRPr="004024E7" w:rsidRDefault="004024E7" w:rsidP="004024E7">
            <w:pPr>
              <w:rPr>
                <w:sz w:val="16"/>
                <w:szCs w:val="16"/>
                <w:lang w:val="en-GB"/>
              </w:rPr>
            </w:pPr>
            <w:r w:rsidRPr="004024E7">
              <w:rPr>
                <w:sz w:val="16"/>
                <w:szCs w:val="16"/>
                <w:lang w:val="en-GB"/>
              </w:rPr>
              <w:t>1.</w:t>
            </w:r>
          </w:p>
        </w:tc>
        <w:tc>
          <w:tcPr>
            <w:tcW w:w="8372" w:type="dxa"/>
            <w:gridSpan w:val="2"/>
            <w:tcBorders>
              <w:top w:val="single" w:sz="4" w:space="0" w:color="auto"/>
              <w:left w:val="nil"/>
              <w:bottom w:val="nil"/>
              <w:right w:val="nil"/>
            </w:tcBorders>
            <w:shd w:val="clear" w:color="auto" w:fill="auto"/>
          </w:tcPr>
          <w:p w14:paraId="38D8C626" w14:textId="77777777" w:rsidR="004024E7" w:rsidRPr="004024E7" w:rsidRDefault="004024E7" w:rsidP="004024E7">
            <w:pPr>
              <w:jc w:val="both"/>
              <w:rPr>
                <w:sz w:val="16"/>
                <w:szCs w:val="16"/>
                <w:lang w:val="en-GB"/>
              </w:rPr>
            </w:pPr>
            <w:r w:rsidRPr="004024E7">
              <w:rPr>
                <w:sz w:val="16"/>
                <w:szCs w:val="16"/>
                <w:lang w:val="en-GB"/>
              </w:rPr>
              <w:t>History of acute respiratory disease in the 30 days preceding start of screening or documented infection with RSV in the previous 3 months</w:t>
            </w:r>
          </w:p>
        </w:tc>
      </w:tr>
      <w:tr w:rsidR="004024E7" w:rsidRPr="004024E7" w14:paraId="49E4ABDC" w14:textId="77777777" w:rsidTr="00AF1815">
        <w:trPr>
          <w:trHeight w:val="284"/>
        </w:trPr>
        <w:tc>
          <w:tcPr>
            <w:tcW w:w="226" w:type="dxa"/>
            <w:tcBorders>
              <w:top w:val="nil"/>
              <w:left w:val="nil"/>
              <w:bottom w:val="nil"/>
              <w:right w:val="nil"/>
            </w:tcBorders>
            <w:shd w:val="clear" w:color="auto" w:fill="auto"/>
          </w:tcPr>
          <w:p w14:paraId="169AEF7D"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50E24F13" w14:textId="77777777" w:rsidR="004024E7" w:rsidRPr="004024E7" w:rsidRDefault="004024E7" w:rsidP="004024E7">
            <w:pPr>
              <w:rPr>
                <w:sz w:val="16"/>
                <w:szCs w:val="16"/>
                <w:lang w:val="en-GB"/>
              </w:rPr>
            </w:pPr>
            <w:r w:rsidRPr="004024E7">
              <w:rPr>
                <w:sz w:val="16"/>
                <w:szCs w:val="16"/>
                <w:lang w:val="en-GB"/>
              </w:rPr>
              <w:t>2.</w:t>
            </w:r>
          </w:p>
        </w:tc>
        <w:tc>
          <w:tcPr>
            <w:tcW w:w="8372" w:type="dxa"/>
            <w:gridSpan w:val="2"/>
            <w:tcBorders>
              <w:top w:val="nil"/>
              <w:left w:val="nil"/>
              <w:bottom w:val="nil"/>
              <w:right w:val="nil"/>
            </w:tcBorders>
            <w:shd w:val="clear" w:color="auto" w:fill="auto"/>
          </w:tcPr>
          <w:p w14:paraId="15005C61" w14:textId="77777777" w:rsidR="004024E7" w:rsidRPr="004024E7" w:rsidRDefault="004024E7" w:rsidP="004024E7">
            <w:pPr>
              <w:jc w:val="both"/>
              <w:rPr>
                <w:sz w:val="16"/>
                <w:szCs w:val="16"/>
                <w:lang w:val="en-GB"/>
              </w:rPr>
            </w:pPr>
            <w:r w:rsidRPr="004024E7">
              <w:rPr>
                <w:sz w:val="16"/>
                <w:szCs w:val="16"/>
                <w:lang w:val="en-GB"/>
              </w:rPr>
              <w:t xml:space="preserve">Any chronic disease of the nasal cavity such as chronic hypertrophic or atrophic rhinitis, chronic sinusitis, </w:t>
            </w:r>
            <w:proofErr w:type="spellStart"/>
            <w:r w:rsidRPr="004024E7">
              <w:rPr>
                <w:sz w:val="16"/>
                <w:szCs w:val="16"/>
                <w:lang w:val="en-GB"/>
              </w:rPr>
              <w:t>ozena</w:t>
            </w:r>
            <w:proofErr w:type="spellEnd"/>
            <w:r w:rsidRPr="004024E7">
              <w:rPr>
                <w:sz w:val="16"/>
                <w:szCs w:val="16"/>
                <w:lang w:val="en-GB"/>
              </w:rPr>
              <w:t xml:space="preserve">, Wegener’s granulomatosis or granulomatosis with polyangiitis.    </w:t>
            </w:r>
          </w:p>
        </w:tc>
      </w:tr>
      <w:tr w:rsidR="004024E7" w:rsidRPr="004024E7" w14:paraId="24A7029A" w14:textId="77777777" w:rsidTr="00AF1815">
        <w:trPr>
          <w:trHeight w:val="284"/>
        </w:trPr>
        <w:tc>
          <w:tcPr>
            <w:tcW w:w="226" w:type="dxa"/>
            <w:tcBorders>
              <w:top w:val="nil"/>
              <w:left w:val="nil"/>
              <w:bottom w:val="nil"/>
              <w:right w:val="nil"/>
            </w:tcBorders>
            <w:shd w:val="clear" w:color="auto" w:fill="auto"/>
          </w:tcPr>
          <w:p w14:paraId="64A200B8"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36027EF7" w14:textId="77777777" w:rsidR="004024E7" w:rsidRPr="004024E7" w:rsidRDefault="004024E7" w:rsidP="004024E7">
            <w:pPr>
              <w:rPr>
                <w:sz w:val="16"/>
                <w:szCs w:val="16"/>
                <w:lang w:val="en-GB"/>
              </w:rPr>
            </w:pPr>
            <w:r w:rsidRPr="004024E7">
              <w:rPr>
                <w:sz w:val="16"/>
                <w:szCs w:val="16"/>
                <w:lang w:val="en-GB"/>
              </w:rPr>
              <w:t>3.</w:t>
            </w:r>
          </w:p>
        </w:tc>
        <w:tc>
          <w:tcPr>
            <w:tcW w:w="8372" w:type="dxa"/>
            <w:gridSpan w:val="2"/>
            <w:tcBorders>
              <w:top w:val="nil"/>
              <w:left w:val="nil"/>
              <w:bottom w:val="nil"/>
              <w:right w:val="nil"/>
            </w:tcBorders>
            <w:shd w:val="clear" w:color="auto" w:fill="auto"/>
          </w:tcPr>
          <w:p w14:paraId="18CDA7B1" w14:textId="77777777" w:rsidR="004024E7" w:rsidRPr="004024E7" w:rsidRDefault="004024E7" w:rsidP="004024E7">
            <w:pPr>
              <w:jc w:val="both"/>
              <w:rPr>
                <w:sz w:val="16"/>
                <w:szCs w:val="16"/>
                <w:lang w:val="en-GB"/>
              </w:rPr>
            </w:pPr>
            <w:r w:rsidRPr="004024E7">
              <w:rPr>
                <w:sz w:val="16"/>
                <w:szCs w:val="16"/>
                <w:lang w:val="en-GB"/>
              </w:rPr>
              <w:t xml:space="preserve">History of asthma or chronic obstructive pulmonary disease  </w:t>
            </w:r>
          </w:p>
        </w:tc>
      </w:tr>
      <w:tr w:rsidR="004024E7" w:rsidRPr="004024E7" w14:paraId="250FFB06" w14:textId="77777777" w:rsidTr="00AF1815">
        <w:trPr>
          <w:trHeight w:val="284"/>
        </w:trPr>
        <w:tc>
          <w:tcPr>
            <w:tcW w:w="226" w:type="dxa"/>
            <w:tcBorders>
              <w:top w:val="nil"/>
              <w:left w:val="nil"/>
              <w:bottom w:val="nil"/>
              <w:right w:val="nil"/>
            </w:tcBorders>
            <w:shd w:val="clear" w:color="auto" w:fill="auto"/>
          </w:tcPr>
          <w:p w14:paraId="361B847E"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58B6B89A" w14:textId="77777777" w:rsidR="004024E7" w:rsidRPr="004024E7" w:rsidRDefault="004024E7" w:rsidP="004024E7">
            <w:pPr>
              <w:rPr>
                <w:sz w:val="16"/>
                <w:szCs w:val="16"/>
                <w:lang w:val="en-GB"/>
              </w:rPr>
            </w:pPr>
            <w:r w:rsidRPr="004024E7">
              <w:rPr>
                <w:sz w:val="16"/>
                <w:szCs w:val="16"/>
                <w:lang w:val="en-GB"/>
              </w:rPr>
              <w:t>4.</w:t>
            </w:r>
          </w:p>
        </w:tc>
        <w:tc>
          <w:tcPr>
            <w:tcW w:w="8372" w:type="dxa"/>
            <w:gridSpan w:val="2"/>
            <w:tcBorders>
              <w:top w:val="nil"/>
              <w:left w:val="nil"/>
              <w:bottom w:val="nil"/>
              <w:right w:val="nil"/>
            </w:tcBorders>
            <w:shd w:val="clear" w:color="auto" w:fill="auto"/>
          </w:tcPr>
          <w:p w14:paraId="74D4DC2F" w14:textId="77777777" w:rsidR="004024E7" w:rsidRPr="004024E7" w:rsidRDefault="004024E7" w:rsidP="004024E7">
            <w:pPr>
              <w:jc w:val="both"/>
              <w:rPr>
                <w:sz w:val="16"/>
                <w:szCs w:val="16"/>
                <w:lang w:val="en-GB"/>
              </w:rPr>
            </w:pPr>
            <w:r w:rsidRPr="004024E7">
              <w:rPr>
                <w:sz w:val="16"/>
                <w:szCs w:val="16"/>
                <w:lang w:val="en-GB"/>
              </w:rPr>
              <w:t>Presence of significant uncontrolled medical or psychiatric illness (acute or chronic). This includes institution of a new medical or surgical treatment, or a significant dose alteration for uncontrolled symptoms or drug toxicity within 3 months of screening</w:t>
            </w:r>
          </w:p>
        </w:tc>
      </w:tr>
      <w:tr w:rsidR="004024E7" w:rsidRPr="004024E7" w14:paraId="51F12150" w14:textId="77777777" w:rsidTr="00AF1815">
        <w:trPr>
          <w:trHeight w:val="284"/>
        </w:trPr>
        <w:tc>
          <w:tcPr>
            <w:tcW w:w="226" w:type="dxa"/>
            <w:tcBorders>
              <w:top w:val="nil"/>
              <w:left w:val="nil"/>
              <w:bottom w:val="nil"/>
              <w:right w:val="nil"/>
            </w:tcBorders>
            <w:shd w:val="clear" w:color="auto" w:fill="auto"/>
          </w:tcPr>
          <w:p w14:paraId="711DEA12"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23A9AD07" w14:textId="77777777" w:rsidR="004024E7" w:rsidRPr="004024E7" w:rsidRDefault="004024E7" w:rsidP="004024E7">
            <w:pPr>
              <w:rPr>
                <w:sz w:val="16"/>
                <w:szCs w:val="16"/>
                <w:lang w:val="en-GB"/>
              </w:rPr>
            </w:pPr>
            <w:r w:rsidRPr="004024E7">
              <w:rPr>
                <w:sz w:val="16"/>
                <w:szCs w:val="16"/>
                <w:lang w:val="en-GB"/>
              </w:rPr>
              <w:t>5.</w:t>
            </w:r>
          </w:p>
        </w:tc>
        <w:tc>
          <w:tcPr>
            <w:tcW w:w="8372" w:type="dxa"/>
            <w:gridSpan w:val="2"/>
            <w:tcBorders>
              <w:top w:val="nil"/>
              <w:left w:val="nil"/>
              <w:bottom w:val="nil"/>
              <w:right w:val="nil"/>
            </w:tcBorders>
            <w:shd w:val="clear" w:color="auto" w:fill="auto"/>
          </w:tcPr>
          <w:p w14:paraId="3F5F9C04" w14:textId="77777777" w:rsidR="004024E7" w:rsidRPr="004024E7" w:rsidRDefault="004024E7" w:rsidP="004024E7">
            <w:pPr>
              <w:jc w:val="both"/>
              <w:rPr>
                <w:sz w:val="16"/>
                <w:szCs w:val="16"/>
                <w:lang w:val="en-GB"/>
              </w:rPr>
            </w:pPr>
            <w:r w:rsidRPr="004024E7">
              <w:rPr>
                <w:sz w:val="16"/>
                <w:szCs w:val="16"/>
                <w:lang w:val="en-GB"/>
              </w:rPr>
              <w:t>Subjects who are positive for hepatitis B surface antigen, hepatitis C antibodies or HIV</w:t>
            </w:r>
          </w:p>
        </w:tc>
      </w:tr>
      <w:tr w:rsidR="004024E7" w:rsidRPr="004024E7" w14:paraId="539CBEE4" w14:textId="77777777" w:rsidTr="00AF1815">
        <w:trPr>
          <w:trHeight w:val="284"/>
        </w:trPr>
        <w:tc>
          <w:tcPr>
            <w:tcW w:w="226" w:type="dxa"/>
            <w:tcBorders>
              <w:top w:val="nil"/>
              <w:left w:val="nil"/>
              <w:bottom w:val="nil"/>
              <w:right w:val="nil"/>
            </w:tcBorders>
            <w:shd w:val="clear" w:color="auto" w:fill="auto"/>
          </w:tcPr>
          <w:p w14:paraId="2A97EE6E"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21A2A8D0" w14:textId="77777777" w:rsidR="004024E7" w:rsidRPr="004024E7" w:rsidRDefault="004024E7" w:rsidP="004024E7">
            <w:pPr>
              <w:rPr>
                <w:sz w:val="16"/>
                <w:szCs w:val="16"/>
                <w:lang w:val="en-GB"/>
              </w:rPr>
            </w:pPr>
            <w:r w:rsidRPr="004024E7">
              <w:rPr>
                <w:sz w:val="16"/>
                <w:szCs w:val="16"/>
                <w:lang w:val="en-GB"/>
              </w:rPr>
              <w:t>6.</w:t>
            </w:r>
          </w:p>
        </w:tc>
        <w:tc>
          <w:tcPr>
            <w:tcW w:w="8372" w:type="dxa"/>
            <w:gridSpan w:val="2"/>
            <w:tcBorders>
              <w:top w:val="nil"/>
              <w:left w:val="nil"/>
              <w:bottom w:val="nil"/>
              <w:right w:val="nil"/>
            </w:tcBorders>
            <w:shd w:val="clear" w:color="auto" w:fill="auto"/>
          </w:tcPr>
          <w:p w14:paraId="7832E589" w14:textId="77777777" w:rsidR="004024E7" w:rsidRPr="004024E7" w:rsidRDefault="004024E7" w:rsidP="004024E7">
            <w:pPr>
              <w:jc w:val="both"/>
              <w:rPr>
                <w:sz w:val="16"/>
                <w:szCs w:val="16"/>
                <w:lang w:val="en-GB"/>
              </w:rPr>
            </w:pPr>
            <w:r w:rsidRPr="004024E7">
              <w:rPr>
                <w:sz w:val="16"/>
                <w:szCs w:val="16"/>
                <w:lang w:val="en-GB"/>
              </w:rPr>
              <w:t>Pregnant or breastfeeding women or planning to become pregnant while enrolled in the study or within 90 days after the boost vaccination</w:t>
            </w:r>
          </w:p>
        </w:tc>
      </w:tr>
      <w:tr w:rsidR="004024E7" w:rsidRPr="004024E7" w14:paraId="778E9789" w14:textId="77777777" w:rsidTr="00AF1815">
        <w:trPr>
          <w:trHeight w:val="284"/>
        </w:trPr>
        <w:tc>
          <w:tcPr>
            <w:tcW w:w="226" w:type="dxa"/>
            <w:tcBorders>
              <w:top w:val="nil"/>
              <w:left w:val="nil"/>
              <w:bottom w:val="nil"/>
              <w:right w:val="nil"/>
            </w:tcBorders>
            <w:shd w:val="clear" w:color="auto" w:fill="auto"/>
          </w:tcPr>
          <w:p w14:paraId="3F541010"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16F90A7C" w14:textId="77777777" w:rsidR="004024E7" w:rsidRPr="004024E7" w:rsidRDefault="004024E7" w:rsidP="004024E7">
            <w:pPr>
              <w:rPr>
                <w:sz w:val="16"/>
                <w:szCs w:val="16"/>
                <w:lang w:val="en-GB"/>
              </w:rPr>
            </w:pPr>
            <w:r w:rsidRPr="004024E7">
              <w:rPr>
                <w:sz w:val="16"/>
                <w:szCs w:val="16"/>
                <w:lang w:val="en-GB"/>
              </w:rPr>
              <w:t>7.</w:t>
            </w:r>
          </w:p>
        </w:tc>
        <w:tc>
          <w:tcPr>
            <w:tcW w:w="8372" w:type="dxa"/>
            <w:gridSpan w:val="2"/>
            <w:tcBorders>
              <w:top w:val="nil"/>
              <w:left w:val="nil"/>
              <w:bottom w:val="nil"/>
              <w:right w:val="nil"/>
            </w:tcBorders>
            <w:shd w:val="clear" w:color="auto" w:fill="auto"/>
          </w:tcPr>
          <w:p w14:paraId="6B13F443" w14:textId="77777777" w:rsidR="004024E7" w:rsidRPr="004024E7" w:rsidRDefault="004024E7" w:rsidP="004024E7">
            <w:pPr>
              <w:jc w:val="both"/>
              <w:rPr>
                <w:sz w:val="16"/>
                <w:szCs w:val="16"/>
                <w:lang w:val="en-GB"/>
              </w:rPr>
            </w:pPr>
            <w:r w:rsidRPr="004024E7">
              <w:rPr>
                <w:sz w:val="16"/>
                <w:szCs w:val="16"/>
                <w:lang w:val="en-GB"/>
              </w:rPr>
              <w:t>Cancer, or treatment for cancer, within 3 years, excluding basal cell carcinoma or squamous cell carcinoma of the skin, which is allowed</w:t>
            </w:r>
          </w:p>
        </w:tc>
      </w:tr>
      <w:tr w:rsidR="004024E7" w:rsidRPr="004024E7" w14:paraId="3E4EDECA" w14:textId="77777777" w:rsidTr="00AF1815">
        <w:trPr>
          <w:trHeight w:val="284"/>
        </w:trPr>
        <w:tc>
          <w:tcPr>
            <w:tcW w:w="226" w:type="dxa"/>
            <w:tcBorders>
              <w:top w:val="nil"/>
              <w:left w:val="nil"/>
              <w:bottom w:val="nil"/>
              <w:right w:val="nil"/>
            </w:tcBorders>
            <w:shd w:val="clear" w:color="auto" w:fill="auto"/>
          </w:tcPr>
          <w:p w14:paraId="345863DF"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3DFC3AA7" w14:textId="77777777" w:rsidR="004024E7" w:rsidRPr="004024E7" w:rsidRDefault="004024E7" w:rsidP="004024E7">
            <w:pPr>
              <w:rPr>
                <w:sz w:val="16"/>
                <w:szCs w:val="16"/>
                <w:lang w:val="en-GB"/>
              </w:rPr>
            </w:pPr>
            <w:r w:rsidRPr="004024E7">
              <w:rPr>
                <w:sz w:val="16"/>
                <w:szCs w:val="16"/>
                <w:lang w:val="en-GB"/>
              </w:rPr>
              <w:t>8.</w:t>
            </w:r>
          </w:p>
        </w:tc>
        <w:tc>
          <w:tcPr>
            <w:tcW w:w="8372" w:type="dxa"/>
            <w:gridSpan w:val="2"/>
            <w:tcBorders>
              <w:top w:val="nil"/>
              <w:left w:val="nil"/>
              <w:bottom w:val="nil"/>
              <w:right w:val="nil"/>
            </w:tcBorders>
            <w:shd w:val="clear" w:color="auto" w:fill="auto"/>
          </w:tcPr>
          <w:p w14:paraId="1062EDF1" w14:textId="77777777" w:rsidR="004024E7" w:rsidRPr="004024E7" w:rsidRDefault="004024E7" w:rsidP="004024E7">
            <w:pPr>
              <w:jc w:val="both"/>
              <w:rPr>
                <w:sz w:val="16"/>
                <w:szCs w:val="16"/>
                <w:lang w:val="en-GB"/>
              </w:rPr>
            </w:pPr>
            <w:r w:rsidRPr="004024E7">
              <w:rPr>
                <w:sz w:val="16"/>
                <w:szCs w:val="16"/>
                <w:lang w:val="en-GB"/>
              </w:rPr>
              <w:t>Presence of any medical condition that may be associated with impaired immune responsiveness, including diabetes mellitus</w:t>
            </w:r>
          </w:p>
        </w:tc>
      </w:tr>
      <w:tr w:rsidR="004024E7" w:rsidRPr="004024E7" w14:paraId="490EDDEF" w14:textId="77777777" w:rsidTr="00AF1815">
        <w:trPr>
          <w:trHeight w:val="284"/>
        </w:trPr>
        <w:tc>
          <w:tcPr>
            <w:tcW w:w="226" w:type="dxa"/>
            <w:tcBorders>
              <w:top w:val="nil"/>
              <w:left w:val="nil"/>
              <w:bottom w:val="nil"/>
              <w:right w:val="nil"/>
            </w:tcBorders>
            <w:shd w:val="clear" w:color="auto" w:fill="auto"/>
          </w:tcPr>
          <w:p w14:paraId="72C5B39C"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25886BC6" w14:textId="77777777" w:rsidR="004024E7" w:rsidRPr="004024E7" w:rsidRDefault="004024E7" w:rsidP="004024E7">
            <w:pPr>
              <w:rPr>
                <w:sz w:val="16"/>
                <w:szCs w:val="16"/>
                <w:lang w:val="en-GB"/>
              </w:rPr>
            </w:pPr>
            <w:r w:rsidRPr="004024E7">
              <w:rPr>
                <w:sz w:val="16"/>
                <w:szCs w:val="16"/>
                <w:lang w:val="en-GB"/>
              </w:rPr>
              <w:t>9.</w:t>
            </w:r>
          </w:p>
        </w:tc>
        <w:tc>
          <w:tcPr>
            <w:tcW w:w="8372" w:type="dxa"/>
            <w:gridSpan w:val="2"/>
            <w:tcBorders>
              <w:top w:val="nil"/>
              <w:left w:val="nil"/>
              <w:bottom w:val="nil"/>
              <w:right w:val="nil"/>
            </w:tcBorders>
            <w:shd w:val="clear" w:color="auto" w:fill="auto"/>
          </w:tcPr>
          <w:p w14:paraId="7D9B4765" w14:textId="77777777" w:rsidR="004024E7" w:rsidRPr="004024E7" w:rsidRDefault="004024E7" w:rsidP="004024E7">
            <w:pPr>
              <w:jc w:val="both"/>
              <w:rPr>
                <w:sz w:val="16"/>
                <w:szCs w:val="16"/>
                <w:lang w:val="en-GB"/>
              </w:rPr>
            </w:pPr>
            <w:r w:rsidRPr="004024E7">
              <w:rPr>
                <w:sz w:val="16"/>
                <w:szCs w:val="16"/>
                <w:lang w:val="en-GB"/>
              </w:rPr>
              <w:t>Receiving at study start or history of receiving, during the preceding 3-month period, any medications or other treatments that may adversely affect the immune system such as allergy injections, immune globulins, interferon, immunomodulators, cytotoxic drugs or other drugs known to be frequently associated with significant major organ toxicity, or systemic corticosteroids (oral or injectable)</w:t>
            </w:r>
          </w:p>
        </w:tc>
      </w:tr>
      <w:tr w:rsidR="004024E7" w:rsidRPr="004024E7" w14:paraId="71211889" w14:textId="77777777" w:rsidTr="00AF1815">
        <w:trPr>
          <w:trHeight w:val="284"/>
        </w:trPr>
        <w:tc>
          <w:tcPr>
            <w:tcW w:w="226" w:type="dxa"/>
            <w:tcBorders>
              <w:top w:val="nil"/>
              <w:left w:val="nil"/>
              <w:bottom w:val="nil"/>
              <w:right w:val="nil"/>
            </w:tcBorders>
            <w:shd w:val="clear" w:color="auto" w:fill="auto"/>
          </w:tcPr>
          <w:p w14:paraId="5A64F78F"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6E7A0BB4" w14:textId="77777777" w:rsidR="004024E7" w:rsidRPr="004024E7" w:rsidRDefault="004024E7" w:rsidP="004024E7">
            <w:pPr>
              <w:rPr>
                <w:sz w:val="16"/>
                <w:szCs w:val="16"/>
                <w:lang w:val="en-GB"/>
              </w:rPr>
            </w:pPr>
            <w:r w:rsidRPr="004024E7">
              <w:rPr>
                <w:sz w:val="16"/>
                <w:szCs w:val="16"/>
                <w:lang w:val="en-GB"/>
              </w:rPr>
              <w:t>10.</w:t>
            </w:r>
          </w:p>
        </w:tc>
        <w:tc>
          <w:tcPr>
            <w:tcW w:w="8372" w:type="dxa"/>
            <w:gridSpan w:val="2"/>
            <w:tcBorders>
              <w:top w:val="nil"/>
              <w:left w:val="nil"/>
              <w:bottom w:val="nil"/>
              <w:right w:val="nil"/>
            </w:tcBorders>
            <w:shd w:val="clear" w:color="auto" w:fill="auto"/>
          </w:tcPr>
          <w:p w14:paraId="5B1FE1AA" w14:textId="77777777" w:rsidR="004024E7" w:rsidRPr="004024E7" w:rsidRDefault="004024E7" w:rsidP="004024E7">
            <w:pPr>
              <w:jc w:val="both"/>
              <w:rPr>
                <w:sz w:val="16"/>
                <w:szCs w:val="16"/>
                <w:lang w:val="en-GB"/>
              </w:rPr>
            </w:pPr>
            <w:r w:rsidRPr="004024E7">
              <w:rPr>
                <w:sz w:val="16"/>
                <w:szCs w:val="16"/>
                <w:lang w:val="en-GB"/>
              </w:rPr>
              <w:t xml:space="preserve">Receipt of any intranasal administration of drug or vaccine within the 30 days prior to the first administration of study vaccine or plans to receive any intranasal administration of drug or vaccine until the end of study visit  </w:t>
            </w:r>
          </w:p>
        </w:tc>
      </w:tr>
      <w:tr w:rsidR="004024E7" w:rsidRPr="004024E7" w14:paraId="403997B9" w14:textId="77777777" w:rsidTr="00AF1815">
        <w:trPr>
          <w:trHeight w:val="284"/>
        </w:trPr>
        <w:tc>
          <w:tcPr>
            <w:tcW w:w="226" w:type="dxa"/>
            <w:tcBorders>
              <w:top w:val="nil"/>
              <w:left w:val="nil"/>
              <w:bottom w:val="nil"/>
              <w:right w:val="nil"/>
            </w:tcBorders>
            <w:shd w:val="clear" w:color="auto" w:fill="auto"/>
          </w:tcPr>
          <w:p w14:paraId="1DB7418C"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1A5A626A" w14:textId="77777777" w:rsidR="004024E7" w:rsidRPr="004024E7" w:rsidRDefault="004024E7" w:rsidP="004024E7">
            <w:pPr>
              <w:rPr>
                <w:sz w:val="16"/>
                <w:szCs w:val="16"/>
                <w:lang w:val="en-GB"/>
              </w:rPr>
            </w:pPr>
            <w:r w:rsidRPr="004024E7">
              <w:rPr>
                <w:sz w:val="16"/>
                <w:szCs w:val="16"/>
                <w:lang w:val="en-GB"/>
              </w:rPr>
              <w:t>11.</w:t>
            </w:r>
          </w:p>
        </w:tc>
        <w:tc>
          <w:tcPr>
            <w:tcW w:w="8372" w:type="dxa"/>
            <w:gridSpan w:val="2"/>
            <w:tcBorders>
              <w:top w:val="nil"/>
              <w:left w:val="nil"/>
              <w:bottom w:val="nil"/>
              <w:right w:val="nil"/>
            </w:tcBorders>
            <w:shd w:val="clear" w:color="auto" w:fill="auto"/>
          </w:tcPr>
          <w:p w14:paraId="187E4C16" w14:textId="77777777" w:rsidR="004024E7" w:rsidRPr="004024E7" w:rsidRDefault="004024E7" w:rsidP="004024E7">
            <w:pPr>
              <w:jc w:val="both"/>
              <w:rPr>
                <w:sz w:val="16"/>
                <w:szCs w:val="16"/>
                <w:lang w:val="en-GB"/>
              </w:rPr>
            </w:pPr>
            <w:r w:rsidRPr="004024E7">
              <w:rPr>
                <w:sz w:val="16"/>
                <w:szCs w:val="16"/>
                <w:lang w:val="en-GB"/>
              </w:rPr>
              <w:t xml:space="preserve">Receipt of live attenuated vaccine within 30 days of first </w:t>
            </w:r>
            <w:proofErr w:type="spellStart"/>
            <w:r w:rsidRPr="004024E7">
              <w:rPr>
                <w:sz w:val="16"/>
                <w:szCs w:val="16"/>
                <w:lang w:val="en-GB"/>
              </w:rPr>
              <w:t>SynGEM</w:t>
            </w:r>
            <w:proofErr w:type="spellEnd"/>
            <w:r w:rsidRPr="004024E7">
              <w:rPr>
                <w:sz w:val="16"/>
                <w:szCs w:val="16"/>
                <w:lang w:val="en-GB"/>
              </w:rPr>
              <w:t xml:space="preserve">® administration or plans to receive within 30 days after the last study vaccine administration, and receipt of any other vaccine within 15 days of first </w:t>
            </w:r>
            <w:proofErr w:type="spellStart"/>
            <w:r w:rsidRPr="004024E7">
              <w:rPr>
                <w:sz w:val="16"/>
                <w:szCs w:val="16"/>
                <w:lang w:val="en-GB"/>
              </w:rPr>
              <w:t>SynGEM</w:t>
            </w:r>
            <w:proofErr w:type="spellEnd"/>
            <w:r w:rsidRPr="004024E7">
              <w:rPr>
                <w:sz w:val="16"/>
                <w:szCs w:val="16"/>
                <w:lang w:val="en-GB"/>
              </w:rPr>
              <w:t xml:space="preserve">® administration or plans to receive within 15 days after the last study vaccine administration  </w:t>
            </w:r>
          </w:p>
        </w:tc>
      </w:tr>
      <w:tr w:rsidR="004024E7" w:rsidRPr="004024E7" w14:paraId="5C825316" w14:textId="77777777" w:rsidTr="00AF1815">
        <w:trPr>
          <w:trHeight w:val="284"/>
        </w:trPr>
        <w:tc>
          <w:tcPr>
            <w:tcW w:w="226" w:type="dxa"/>
            <w:tcBorders>
              <w:top w:val="nil"/>
              <w:left w:val="nil"/>
              <w:bottom w:val="nil"/>
              <w:right w:val="nil"/>
            </w:tcBorders>
            <w:shd w:val="clear" w:color="auto" w:fill="auto"/>
          </w:tcPr>
          <w:p w14:paraId="7C7E62BB"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179E8790" w14:textId="77777777" w:rsidR="004024E7" w:rsidRPr="004024E7" w:rsidRDefault="004024E7" w:rsidP="004024E7">
            <w:pPr>
              <w:rPr>
                <w:sz w:val="16"/>
                <w:szCs w:val="16"/>
                <w:lang w:val="en-GB"/>
              </w:rPr>
            </w:pPr>
            <w:r w:rsidRPr="004024E7">
              <w:rPr>
                <w:sz w:val="16"/>
                <w:szCs w:val="16"/>
                <w:lang w:val="en-GB"/>
              </w:rPr>
              <w:t>12.</w:t>
            </w:r>
          </w:p>
        </w:tc>
        <w:tc>
          <w:tcPr>
            <w:tcW w:w="8372" w:type="dxa"/>
            <w:gridSpan w:val="2"/>
            <w:tcBorders>
              <w:top w:val="nil"/>
              <w:left w:val="nil"/>
              <w:bottom w:val="nil"/>
              <w:right w:val="nil"/>
            </w:tcBorders>
            <w:shd w:val="clear" w:color="auto" w:fill="auto"/>
          </w:tcPr>
          <w:p w14:paraId="37C35AE2" w14:textId="77777777" w:rsidR="004024E7" w:rsidRPr="004024E7" w:rsidRDefault="004024E7" w:rsidP="004024E7">
            <w:pPr>
              <w:jc w:val="both"/>
              <w:rPr>
                <w:sz w:val="16"/>
                <w:szCs w:val="16"/>
                <w:lang w:val="en-GB"/>
              </w:rPr>
            </w:pPr>
            <w:r w:rsidRPr="004024E7">
              <w:rPr>
                <w:sz w:val="16"/>
                <w:szCs w:val="16"/>
                <w:lang w:val="en-GB"/>
              </w:rPr>
              <w:t>Positive history of illicit drug use, of drug or alcohol abuse within the previous 6 months</w:t>
            </w:r>
          </w:p>
        </w:tc>
      </w:tr>
      <w:tr w:rsidR="004024E7" w:rsidRPr="004024E7" w14:paraId="086C2BE9" w14:textId="77777777" w:rsidTr="00AF1815">
        <w:trPr>
          <w:trHeight w:val="284"/>
        </w:trPr>
        <w:tc>
          <w:tcPr>
            <w:tcW w:w="226" w:type="dxa"/>
            <w:tcBorders>
              <w:top w:val="nil"/>
              <w:left w:val="nil"/>
              <w:bottom w:val="nil"/>
              <w:right w:val="nil"/>
            </w:tcBorders>
            <w:shd w:val="clear" w:color="auto" w:fill="auto"/>
          </w:tcPr>
          <w:p w14:paraId="0EBA5BAC"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1E5B7F72" w14:textId="77777777" w:rsidR="004024E7" w:rsidRPr="004024E7" w:rsidRDefault="004024E7" w:rsidP="004024E7">
            <w:pPr>
              <w:rPr>
                <w:sz w:val="16"/>
                <w:szCs w:val="16"/>
                <w:lang w:val="en-GB"/>
              </w:rPr>
            </w:pPr>
            <w:r w:rsidRPr="004024E7">
              <w:rPr>
                <w:sz w:val="16"/>
                <w:szCs w:val="16"/>
                <w:lang w:val="en-GB"/>
              </w:rPr>
              <w:t>13.</w:t>
            </w:r>
          </w:p>
        </w:tc>
        <w:tc>
          <w:tcPr>
            <w:tcW w:w="8372" w:type="dxa"/>
            <w:gridSpan w:val="2"/>
            <w:tcBorders>
              <w:top w:val="nil"/>
              <w:left w:val="nil"/>
              <w:bottom w:val="nil"/>
              <w:right w:val="nil"/>
            </w:tcBorders>
            <w:shd w:val="clear" w:color="auto" w:fill="auto"/>
          </w:tcPr>
          <w:p w14:paraId="37350777" w14:textId="77777777" w:rsidR="004024E7" w:rsidRPr="004024E7" w:rsidRDefault="004024E7" w:rsidP="004024E7">
            <w:pPr>
              <w:jc w:val="both"/>
              <w:rPr>
                <w:sz w:val="16"/>
                <w:szCs w:val="16"/>
                <w:lang w:val="en-GB"/>
              </w:rPr>
            </w:pPr>
            <w:r w:rsidRPr="004024E7">
              <w:rPr>
                <w:sz w:val="16"/>
                <w:szCs w:val="16"/>
                <w:lang w:val="en-GB"/>
              </w:rPr>
              <w:t xml:space="preserve">History of anaphylactic type reaction to injected vaccines </w:t>
            </w:r>
          </w:p>
        </w:tc>
      </w:tr>
      <w:tr w:rsidR="004024E7" w:rsidRPr="004024E7" w14:paraId="228DF4A8" w14:textId="77777777" w:rsidTr="00AF1815">
        <w:trPr>
          <w:trHeight w:val="284"/>
        </w:trPr>
        <w:tc>
          <w:tcPr>
            <w:tcW w:w="226" w:type="dxa"/>
            <w:tcBorders>
              <w:top w:val="nil"/>
              <w:left w:val="nil"/>
              <w:bottom w:val="nil"/>
              <w:right w:val="nil"/>
            </w:tcBorders>
            <w:shd w:val="clear" w:color="auto" w:fill="auto"/>
          </w:tcPr>
          <w:p w14:paraId="38DD4EA7"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1D1F41AC" w14:textId="77777777" w:rsidR="004024E7" w:rsidRPr="004024E7" w:rsidRDefault="004024E7" w:rsidP="004024E7">
            <w:pPr>
              <w:rPr>
                <w:sz w:val="16"/>
                <w:szCs w:val="16"/>
                <w:lang w:val="en-GB"/>
              </w:rPr>
            </w:pPr>
            <w:r w:rsidRPr="004024E7">
              <w:rPr>
                <w:sz w:val="16"/>
                <w:szCs w:val="16"/>
                <w:lang w:val="en-GB"/>
              </w:rPr>
              <w:t>14.</w:t>
            </w:r>
          </w:p>
        </w:tc>
        <w:tc>
          <w:tcPr>
            <w:tcW w:w="8372" w:type="dxa"/>
            <w:gridSpan w:val="2"/>
            <w:tcBorders>
              <w:top w:val="nil"/>
              <w:left w:val="nil"/>
              <w:bottom w:val="nil"/>
              <w:right w:val="nil"/>
            </w:tcBorders>
            <w:shd w:val="clear" w:color="auto" w:fill="auto"/>
          </w:tcPr>
          <w:p w14:paraId="532737A1" w14:textId="77777777" w:rsidR="004024E7" w:rsidRPr="004024E7" w:rsidRDefault="004024E7" w:rsidP="004024E7">
            <w:pPr>
              <w:jc w:val="both"/>
              <w:rPr>
                <w:sz w:val="16"/>
                <w:szCs w:val="16"/>
                <w:lang w:val="en-GB"/>
              </w:rPr>
            </w:pPr>
            <w:r w:rsidRPr="004024E7">
              <w:rPr>
                <w:sz w:val="16"/>
                <w:szCs w:val="16"/>
                <w:lang w:val="en-GB"/>
              </w:rPr>
              <w:t>History of allergic rhinitis or of allergy to food</w:t>
            </w:r>
          </w:p>
        </w:tc>
      </w:tr>
      <w:tr w:rsidR="004024E7" w:rsidRPr="004024E7" w14:paraId="6CC6D1F4" w14:textId="77777777" w:rsidTr="00AF1815">
        <w:trPr>
          <w:trHeight w:val="284"/>
        </w:trPr>
        <w:tc>
          <w:tcPr>
            <w:tcW w:w="226" w:type="dxa"/>
            <w:tcBorders>
              <w:top w:val="nil"/>
              <w:left w:val="nil"/>
              <w:bottom w:val="nil"/>
              <w:right w:val="nil"/>
            </w:tcBorders>
            <w:shd w:val="clear" w:color="auto" w:fill="auto"/>
          </w:tcPr>
          <w:p w14:paraId="3AEF8A5A"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129B76D0" w14:textId="77777777" w:rsidR="004024E7" w:rsidRPr="004024E7" w:rsidRDefault="004024E7" w:rsidP="004024E7">
            <w:pPr>
              <w:rPr>
                <w:sz w:val="16"/>
                <w:szCs w:val="16"/>
                <w:lang w:val="en-GB"/>
              </w:rPr>
            </w:pPr>
            <w:r w:rsidRPr="004024E7">
              <w:rPr>
                <w:sz w:val="16"/>
                <w:szCs w:val="16"/>
                <w:lang w:val="en-GB"/>
              </w:rPr>
              <w:t>15.</w:t>
            </w:r>
          </w:p>
        </w:tc>
        <w:tc>
          <w:tcPr>
            <w:tcW w:w="8372" w:type="dxa"/>
            <w:gridSpan w:val="2"/>
            <w:tcBorders>
              <w:top w:val="nil"/>
              <w:left w:val="nil"/>
              <w:bottom w:val="nil"/>
              <w:right w:val="nil"/>
            </w:tcBorders>
            <w:shd w:val="clear" w:color="auto" w:fill="auto"/>
          </w:tcPr>
          <w:p w14:paraId="7129D46A" w14:textId="77777777" w:rsidR="004024E7" w:rsidRPr="004024E7" w:rsidRDefault="004024E7" w:rsidP="004024E7">
            <w:pPr>
              <w:jc w:val="both"/>
              <w:rPr>
                <w:sz w:val="16"/>
                <w:szCs w:val="16"/>
                <w:lang w:val="en-GB"/>
              </w:rPr>
            </w:pPr>
            <w:r w:rsidRPr="004024E7">
              <w:rPr>
                <w:sz w:val="16"/>
                <w:szCs w:val="16"/>
                <w:lang w:val="en-GB"/>
              </w:rPr>
              <w:t xml:space="preserve">History of allergy to insect bites, latex, pollens, house dust mites that were considered significant by the Investigator  </w:t>
            </w:r>
          </w:p>
        </w:tc>
      </w:tr>
      <w:tr w:rsidR="004024E7" w:rsidRPr="004024E7" w14:paraId="001FE486" w14:textId="77777777" w:rsidTr="00AF1815">
        <w:trPr>
          <w:trHeight w:val="284"/>
        </w:trPr>
        <w:tc>
          <w:tcPr>
            <w:tcW w:w="226" w:type="dxa"/>
            <w:tcBorders>
              <w:top w:val="nil"/>
              <w:left w:val="nil"/>
              <w:bottom w:val="nil"/>
              <w:right w:val="nil"/>
            </w:tcBorders>
            <w:shd w:val="clear" w:color="auto" w:fill="auto"/>
          </w:tcPr>
          <w:p w14:paraId="227169C4"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73F33BDF" w14:textId="77777777" w:rsidR="004024E7" w:rsidRPr="004024E7" w:rsidRDefault="004024E7" w:rsidP="004024E7">
            <w:pPr>
              <w:rPr>
                <w:sz w:val="16"/>
                <w:szCs w:val="16"/>
                <w:lang w:val="en-GB"/>
              </w:rPr>
            </w:pPr>
            <w:r w:rsidRPr="004024E7">
              <w:rPr>
                <w:sz w:val="16"/>
                <w:szCs w:val="16"/>
                <w:lang w:val="en-GB"/>
              </w:rPr>
              <w:t>16.</w:t>
            </w:r>
          </w:p>
        </w:tc>
        <w:tc>
          <w:tcPr>
            <w:tcW w:w="8372" w:type="dxa"/>
            <w:gridSpan w:val="2"/>
            <w:tcBorders>
              <w:top w:val="nil"/>
              <w:left w:val="nil"/>
              <w:bottom w:val="nil"/>
              <w:right w:val="nil"/>
            </w:tcBorders>
            <w:shd w:val="clear" w:color="auto" w:fill="auto"/>
          </w:tcPr>
          <w:p w14:paraId="554CD8A4" w14:textId="77777777" w:rsidR="004024E7" w:rsidRPr="004024E7" w:rsidRDefault="004024E7" w:rsidP="004024E7">
            <w:pPr>
              <w:jc w:val="both"/>
              <w:rPr>
                <w:sz w:val="16"/>
                <w:szCs w:val="16"/>
                <w:lang w:val="en-GB"/>
              </w:rPr>
            </w:pPr>
            <w:r w:rsidRPr="004024E7">
              <w:rPr>
                <w:sz w:val="16"/>
                <w:szCs w:val="16"/>
                <w:lang w:val="en-GB"/>
              </w:rPr>
              <w:t xml:space="preserve">Treatment with another investigational medicinal product (IMP) within 3 months prior to screening or with more than 2 IMPs in the past year  </w:t>
            </w:r>
          </w:p>
        </w:tc>
      </w:tr>
      <w:tr w:rsidR="004024E7" w:rsidRPr="004024E7" w14:paraId="2D2A76CC" w14:textId="77777777" w:rsidTr="00AF1815">
        <w:trPr>
          <w:trHeight w:val="284"/>
        </w:trPr>
        <w:tc>
          <w:tcPr>
            <w:tcW w:w="226" w:type="dxa"/>
            <w:tcBorders>
              <w:top w:val="nil"/>
              <w:left w:val="nil"/>
              <w:bottom w:val="nil"/>
              <w:right w:val="nil"/>
            </w:tcBorders>
            <w:shd w:val="clear" w:color="auto" w:fill="auto"/>
          </w:tcPr>
          <w:p w14:paraId="628E8D18"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11C7B634" w14:textId="77777777" w:rsidR="004024E7" w:rsidRPr="004024E7" w:rsidRDefault="004024E7" w:rsidP="004024E7">
            <w:pPr>
              <w:rPr>
                <w:sz w:val="16"/>
                <w:szCs w:val="16"/>
                <w:lang w:val="en-GB"/>
              </w:rPr>
            </w:pPr>
            <w:r w:rsidRPr="004024E7">
              <w:rPr>
                <w:sz w:val="16"/>
                <w:szCs w:val="16"/>
                <w:lang w:val="en-GB"/>
              </w:rPr>
              <w:t>17.</w:t>
            </w:r>
          </w:p>
        </w:tc>
        <w:tc>
          <w:tcPr>
            <w:tcW w:w="8372" w:type="dxa"/>
            <w:gridSpan w:val="2"/>
            <w:tcBorders>
              <w:top w:val="nil"/>
              <w:left w:val="nil"/>
              <w:bottom w:val="nil"/>
              <w:right w:val="nil"/>
            </w:tcBorders>
            <w:shd w:val="clear" w:color="auto" w:fill="auto"/>
          </w:tcPr>
          <w:p w14:paraId="35A59AA5" w14:textId="77777777" w:rsidR="004024E7" w:rsidRPr="004024E7" w:rsidRDefault="004024E7" w:rsidP="004024E7">
            <w:pPr>
              <w:jc w:val="both"/>
              <w:rPr>
                <w:sz w:val="16"/>
                <w:szCs w:val="16"/>
                <w:lang w:val="en-GB"/>
              </w:rPr>
            </w:pPr>
            <w:r w:rsidRPr="004024E7">
              <w:rPr>
                <w:sz w:val="16"/>
                <w:szCs w:val="16"/>
                <w:lang w:val="en-GB"/>
              </w:rPr>
              <w:t xml:space="preserve">Receipt of blood or blood products 8 weeks prior to vaccination or planned administration during the study period </w:t>
            </w:r>
          </w:p>
        </w:tc>
      </w:tr>
      <w:tr w:rsidR="004024E7" w:rsidRPr="004024E7" w14:paraId="4B36BD2E" w14:textId="77777777" w:rsidTr="00AF1815">
        <w:trPr>
          <w:trHeight w:val="284"/>
        </w:trPr>
        <w:tc>
          <w:tcPr>
            <w:tcW w:w="226" w:type="dxa"/>
            <w:tcBorders>
              <w:top w:val="nil"/>
              <w:left w:val="nil"/>
              <w:bottom w:val="nil"/>
              <w:right w:val="nil"/>
            </w:tcBorders>
            <w:shd w:val="clear" w:color="auto" w:fill="auto"/>
          </w:tcPr>
          <w:p w14:paraId="511C3531"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423184C6" w14:textId="77777777" w:rsidR="004024E7" w:rsidRPr="004024E7" w:rsidRDefault="004024E7" w:rsidP="004024E7">
            <w:pPr>
              <w:rPr>
                <w:sz w:val="16"/>
                <w:szCs w:val="16"/>
                <w:lang w:val="en-GB"/>
              </w:rPr>
            </w:pPr>
            <w:r w:rsidRPr="004024E7">
              <w:rPr>
                <w:sz w:val="16"/>
                <w:szCs w:val="16"/>
                <w:lang w:val="en-GB"/>
              </w:rPr>
              <w:t>18.</w:t>
            </w:r>
          </w:p>
        </w:tc>
        <w:tc>
          <w:tcPr>
            <w:tcW w:w="8372" w:type="dxa"/>
            <w:gridSpan w:val="2"/>
            <w:tcBorders>
              <w:top w:val="nil"/>
              <w:left w:val="nil"/>
              <w:bottom w:val="nil"/>
              <w:right w:val="nil"/>
            </w:tcBorders>
            <w:shd w:val="clear" w:color="auto" w:fill="auto"/>
          </w:tcPr>
          <w:p w14:paraId="00BF6FF5" w14:textId="77777777" w:rsidR="004024E7" w:rsidRPr="004024E7" w:rsidRDefault="004024E7" w:rsidP="004024E7">
            <w:pPr>
              <w:jc w:val="both"/>
              <w:rPr>
                <w:sz w:val="16"/>
                <w:szCs w:val="16"/>
                <w:lang w:val="en-GB"/>
              </w:rPr>
            </w:pPr>
            <w:r w:rsidRPr="004024E7">
              <w:rPr>
                <w:sz w:val="16"/>
                <w:szCs w:val="16"/>
                <w:lang w:val="en-GB"/>
              </w:rPr>
              <w:t>Loss of ˃ 500 mL blood within 3 months prior to screening</w:t>
            </w:r>
          </w:p>
        </w:tc>
      </w:tr>
      <w:tr w:rsidR="004024E7" w:rsidRPr="004024E7" w14:paraId="50B368E9" w14:textId="77777777" w:rsidTr="00AF1815">
        <w:trPr>
          <w:trHeight w:val="284"/>
        </w:trPr>
        <w:tc>
          <w:tcPr>
            <w:tcW w:w="226" w:type="dxa"/>
            <w:tcBorders>
              <w:top w:val="nil"/>
              <w:left w:val="nil"/>
              <w:bottom w:val="nil"/>
              <w:right w:val="nil"/>
            </w:tcBorders>
            <w:shd w:val="clear" w:color="auto" w:fill="auto"/>
          </w:tcPr>
          <w:p w14:paraId="0E0469E1"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5A5E8559" w14:textId="77777777" w:rsidR="004024E7" w:rsidRPr="004024E7" w:rsidRDefault="004024E7" w:rsidP="004024E7">
            <w:pPr>
              <w:rPr>
                <w:sz w:val="16"/>
                <w:szCs w:val="16"/>
                <w:lang w:val="en-GB"/>
              </w:rPr>
            </w:pPr>
            <w:r w:rsidRPr="004024E7">
              <w:rPr>
                <w:sz w:val="16"/>
                <w:szCs w:val="16"/>
                <w:lang w:val="en-GB"/>
              </w:rPr>
              <w:t>19.</w:t>
            </w:r>
          </w:p>
        </w:tc>
        <w:tc>
          <w:tcPr>
            <w:tcW w:w="8372" w:type="dxa"/>
            <w:gridSpan w:val="2"/>
            <w:tcBorders>
              <w:top w:val="nil"/>
              <w:left w:val="nil"/>
              <w:bottom w:val="nil"/>
              <w:right w:val="nil"/>
            </w:tcBorders>
            <w:shd w:val="clear" w:color="auto" w:fill="auto"/>
          </w:tcPr>
          <w:p w14:paraId="772E9267" w14:textId="77777777" w:rsidR="004024E7" w:rsidRPr="004024E7" w:rsidRDefault="004024E7" w:rsidP="004024E7">
            <w:pPr>
              <w:jc w:val="both"/>
              <w:rPr>
                <w:sz w:val="16"/>
                <w:szCs w:val="16"/>
                <w:lang w:val="en-GB"/>
              </w:rPr>
            </w:pPr>
            <w:r w:rsidRPr="004024E7">
              <w:rPr>
                <w:sz w:val="16"/>
                <w:szCs w:val="16"/>
                <w:lang w:val="en-GB"/>
              </w:rPr>
              <w:t xml:space="preserve">Any major neurological disease, including migraine </w:t>
            </w:r>
          </w:p>
        </w:tc>
      </w:tr>
      <w:tr w:rsidR="004024E7" w:rsidRPr="004024E7" w14:paraId="5E0DF74B" w14:textId="77777777" w:rsidTr="00AF1815">
        <w:trPr>
          <w:trHeight w:val="284"/>
        </w:trPr>
        <w:tc>
          <w:tcPr>
            <w:tcW w:w="226" w:type="dxa"/>
            <w:tcBorders>
              <w:top w:val="nil"/>
              <w:left w:val="nil"/>
              <w:bottom w:val="nil"/>
              <w:right w:val="nil"/>
            </w:tcBorders>
            <w:shd w:val="clear" w:color="auto" w:fill="auto"/>
          </w:tcPr>
          <w:p w14:paraId="0DCC9747" w14:textId="77777777" w:rsidR="004024E7" w:rsidRPr="004024E7" w:rsidRDefault="004024E7" w:rsidP="004024E7">
            <w:pPr>
              <w:rPr>
                <w:sz w:val="24"/>
                <w:szCs w:val="24"/>
                <w:lang w:val="en-GB"/>
              </w:rPr>
            </w:pPr>
          </w:p>
        </w:tc>
        <w:tc>
          <w:tcPr>
            <w:tcW w:w="466" w:type="dxa"/>
            <w:tcBorders>
              <w:top w:val="nil"/>
              <w:left w:val="nil"/>
              <w:bottom w:val="nil"/>
              <w:right w:val="nil"/>
            </w:tcBorders>
            <w:shd w:val="clear" w:color="auto" w:fill="auto"/>
          </w:tcPr>
          <w:p w14:paraId="7CD43018" w14:textId="77777777" w:rsidR="004024E7" w:rsidRPr="004024E7" w:rsidRDefault="004024E7" w:rsidP="004024E7">
            <w:pPr>
              <w:rPr>
                <w:sz w:val="16"/>
                <w:szCs w:val="16"/>
                <w:lang w:val="en-GB"/>
              </w:rPr>
            </w:pPr>
            <w:r w:rsidRPr="004024E7">
              <w:rPr>
                <w:sz w:val="16"/>
                <w:szCs w:val="16"/>
                <w:lang w:val="en-GB"/>
              </w:rPr>
              <w:t>20.</w:t>
            </w:r>
          </w:p>
        </w:tc>
        <w:tc>
          <w:tcPr>
            <w:tcW w:w="8372" w:type="dxa"/>
            <w:gridSpan w:val="2"/>
            <w:tcBorders>
              <w:top w:val="nil"/>
              <w:left w:val="nil"/>
              <w:bottom w:val="nil"/>
              <w:right w:val="nil"/>
            </w:tcBorders>
            <w:shd w:val="clear" w:color="auto" w:fill="auto"/>
          </w:tcPr>
          <w:p w14:paraId="7345F67C" w14:textId="77777777" w:rsidR="004024E7" w:rsidRPr="004024E7" w:rsidRDefault="004024E7" w:rsidP="004024E7">
            <w:pPr>
              <w:jc w:val="both"/>
              <w:rPr>
                <w:sz w:val="16"/>
                <w:szCs w:val="16"/>
                <w:lang w:val="en-GB"/>
              </w:rPr>
            </w:pPr>
            <w:r w:rsidRPr="004024E7">
              <w:rPr>
                <w:sz w:val="16"/>
                <w:szCs w:val="16"/>
                <w:lang w:val="en-GB"/>
              </w:rPr>
              <w:t>Any condition that, in the Investigator’s opinion, might interfere with the primary study objectives</w:t>
            </w:r>
          </w:p>
        </w:tc>
      </w:tr>
      <w:tr w:rsidR="004024E7" w:rsidRPr="004024E7" w14:paraId="77D06426" w14:textId="77777777" w:rsidTr="00AF1815">
        <w:trPr>
          <w:trHeight w:val="284"/>
        </w:trPr>
        <w:tc>
          <w:tcPr>
            <w:tcW w:w="226" w:type="dxa"/>
            <w:tcBorders>
              <w:top w:val="nil"/>
              <w:left w:val="nil"/>
              <w:bottom w:val="single" w:sz="4" w:space="0" w:color="auto"/>
              <w:right w:val="nil"/>
            </w:tcBorders>
            <w:shd w:val="clear" w:color="auto" w:fill="auto"/>
          </w:tcPr>
          <w:p w14:paraId="58D4E903" w14:textId="77777777" w:rsidR="004024E7" w:rsidRPr="004024E7" w:rsidRDefault="004024E7" w:rsidP="004024E7">
            <w:pPr>
              <w:rPr>
                <w:sz w:val="24"/>
                <w:szCs w:val="24"/>
                <w:lang w:val="en-GB"/>
              </w:rPr>
            </w:pPr>
          </w:p>
        </w:tc>
        <w:tc>
          <w:tcPr>
            <w:tcW w:w="466" w:type="dxa"/>
            <w:tcBorders>
              <w:top w:val="nil"/>
              <w:left w:val="nil"/>
              <w:bottom w:val="single" w:sz="4" w:space="0" w:color="auto"/>
              <w:right w:val="nil"/>
            </w:tcBorders>
            <w:shd w:val="clear" w:color="auto" w:fill="auto"/>
          </w:tcPr>
          <w:p w14:paraId="7AFC0016" w14:textId="77777777" w:rsidR="004024E7" w:rsidRPr="004024E7" w:rsidRDefault="004024E7" w:rsidP="004024E7">
            <w:pPr>
              <w:rPr>
                <w:sz w:val="16"/>
                <w:szCs w:val="16"/>
                <w:lang w:val="en-GB"/>
              </w:rPr>
            </w:pPr>
            <w:r w:rsidRPr="004024E7">
              <w:rPr>
                <w:sz w:val="16"/>
                <w:szCs w:val="16"/>
                <w:lang w:val="en-GB"/>
              </w:rPr>
              <w:t>21.</w:t>
            </w:r>
          </w:p>
        </w:tc>
        <w:tc>
          <w:tcPr>
            <w:tcW w:w="8372" w:type="dxa"/>
            <w:gridSpan w:val="2"/>
            <w:tcBorders>
              <w:top w:val="nil"/>
              <w:left w:val="nil"/>
              <w:bottom w:val="single" w:sz="4" w:space="0" w:color="auto"/>
              <w:right w:val="nil"/>
            </w:tcBorders>
            <w:shd w:val="clear" w:color="auto" w:fill="auto"/>
          </w:tcPr>
          <w:p w14:paraId="309C50B1" w14:textId="77777777" w:rsidR="004024E7" w:rsidRPr="004024E7" w:rsidRDefault="004024E7" w:rsidP="004024E7">
            <w:pPr>
              <w:jc w:val="both"/>
              <w:rPr>
                <w:sz w:val="16"/>
                <w:szCs w:val="16"/>
                <w:lang w:val="en-GB"/>
              </w:rPr>
            </w:pPr>
            <w:r w:rsidRPr="004024E7">
              <w:rPr>
                <w:sz w:val="16"/>
                <w:szCs w:val="16"/>
                <w:lang w:val="en-GB"/>
              </w:rPr>
              <w:t>Acute disease within 72 hours prior to vaccination, defined as the presence of a moderate or severe illness (as determined by the Investigator through medical history and physical examination) with or without fever, or a fever &gt;38ºC did not represent an absolute exclusion criterion, but an exclusion criterion at that moment in time. Prime vaccination could be re-scheduled as deemed necessary by the Investigator</w:t>
            </w:r>
          </w:p>
        </w:tc>
      </w:tr>
    </w:tbl>
    <w:p w14:paraId="7436DF52" w14:textId="52099A98" w:rsidR="00AF1815" w:rsidRPr="002A48B2" w:rsidRDefault="00AF1815" w:rsidP="00AF1815">
      <w:pPr>
        <w:spacing w:before="120" w:line="480" w:lineRule="auto"/>
        <w:ind w:left="720" w:hanging="720"/>
        <w:jc w:val="both"/>
        <w:rPr>
          <w:rFonts w:eastAsia="Times New Roman"/>
          <w:sz w:val="24"/>
          <w:szCs w:val="24"/>
        </w:rPr>
      </w:pPr>
      <w:r w:rsidRPr="002A48B2">
        <w:rPr>
          <w:rFonts w:eastAsia="Times New Roman"/>
          <w:b/>
          <w:sz w:val="24"/>
          <w:szCs w:val="24"/>
        </w:rPr>
        <w:t xml:space="preserve">Table </w:t>
      </w:r>
      <w:r w:rsidR="00C43AD2">
        <w:rPr>
          <w:rFonts w:eastAsia="Times New Roman"/>
          <w:b/>
          <w:sz w:val="24"/>
          <w:szCs w:val="24"/>
        </w:rPr>
        <w:t>E</w:t>
      </w:r>
      <w:r w:rsidRPr="002A48B2">
        <w:rPr>
          <w:rFonts w:eastAsia="Times New Roman"/>
          <w:b/>
          <w:sz w:val="24"/>
          <w:szCs w:val="24"/>
        </w:rPr>
        <w:t>1. Eligibility criteria</w:t>
      </w:r>
    </w:p>
    <w:p w14:paraId="6B9A7E96" w14:textId="3C26978A" w:rsidR="00664D07" w:rsidRDefault="00664D07">
      <w:pPr>
        <w:rPr>
          <w:rFonts w:eastAsia="Times New Roman"/>
          <w:sz w:val="24"/>
          <w:szCs w:val="24"/>
        </w:rPr>
      </w:pPr>
      <w:r>
        <w:rPr>
          <w:rFonts w:eastAsia="Times New Roman"/>
          <w:sz w:val="24"/>
          <w:szCs w:val="24"/>
        </w:rPr>
        <w:br w:type="page"/>
      </w:r>
    </w:p>
    <w:p w14:paraId="2F904C6B" w14:textId="70109838" w:rsidR="00664D07" w:rsidRDefault="00664D07">
      <w:pPr>
        <w:rPr>
          <w:rFonts w:eastAsia="Times New Roman"/>
          <w:sz w:val="24"/>
          <w:szCs w:val="24"/>
        </w:rPr>
      </w:pPr>
    </w:p>
    <w:tbl>
      <w:tblPr>
        <w:tblW w:w="9067" w:type="dxa"/>
        <w:tblLook w:val="04A0" w:firstRow="1" w:lastRow="0" w:firstColumn="1" w:lastColumn="0" w:noHBand="0" w:noVBand="1"/>
      </w:tblPr>
      <w:tblGrid>
        <w:gridCol w:w="278"/>
        <w:gridCol w:w="367"/>
        <w:gridCol w:w="8422"/>
      </w:tblGrid>
      <w:tr w:rsidR="00BD5715" w:rsidRPr="00BD5715" w14:paraId="5A89F137" w14:textId="77777777" w:rsidTr="00BD5715">
        <w:trPr>
          <w:trHeight w:val="284"/>
        </w:trPr>
        <w:tc>
          <w:tcPr>
            <w:tcW w:w="278" w:type="dxa"/>
            <w:tcBorders>
              <w:top w:val="single" w:sz="4" w:space="0" w:color="auto"/>
              <w:bottom w:val="single" w:sz="4" w:space="0" w:color="auto"/>
            </w:tcBorders>
            <w:shd w:val="clear" w:color="auto" w:fill="auto"/>
          </w:tcPr>
          <w:p w14:paraId="479151CD" w14:textId="77777777" w:rsidR="00BD5715" w:rsidRPr="00BD5715" w:rsidRDefault="00BD5715" w:rsidP="00BD5715">
            <w:pPr>
              <w:rPr>
                <w:sz w:val="24"/>
                <w:szCs w:val="24"/>
                <w:lang w:val="en-GB"/>
              </w:rPr>
            </w:pPr>
          </w:p>
        </w:tc>
        <w:tc>
          <w:tcPr>
            <w:tcW w:w="8789" w:type="dxa"/>
            <w:gridSpan w:val="2"/>
            <w:tcBorders>
              <w:top w:val="single" w:sz="4" w:space="0" w:color="auto"/>
              <w:bottom w:val="single" w:sz="4" w:space="0" w:color="auto"/>
            </w:tcBorders>
            <w:shd w:val="clear" w:color="auto" w:fill="auto"/>
          </w:tcPr>
          <w:p w14:paraId="2CFBFF9D" w14:textId="77777777" w:rsidR="00BD5715" w:rsidRPr="00BD5715" w:rsidRDefault="00BD5715" w:rsidP="00BD5715">
            <w:pPr>
              <w:rPr>
                <w:b/>
                <w:sz w:val="16"/>
                <w:szCs w:val="16"/>
                <w:lang w:val="en-GB"/>
              </w:rPr>
            </w:pPr>
            <w:r w:rsidRPr="00BD5715">
              <w:rPr>
                <w:b/>
                <w:sz w:val="16"/>
                <w:szCs w:val="16"/>
                <w:lang w:val="en-GB"/>
              </w:rPr>
              <w:t>Primary objective</w:t>
            </w:r>
          </w:p>
        </w:tc>
      </w:tr>
      <w:tr w:rsidR="00BD5715" w:rsidRPr="00BD5715" w14:paraId="72A482A8" w14:textId="77777777" w:rsidTr="00BD5715">
        <w:trPr>
          <w:trHeight w:val="284"/>
        </w:trPr>
        <w:tc>
          <w:tcPr>
            <w:tcW w:w="278" w:type="dxa"/>
            <w:tcBorders>
              <w:top w:val="single" w:sz="4" w:space="0" w:color="auto"/>
            </w:tcBorders>
            <w:shd w:val="clear" w:color="auto" w:fill="auto"/>
          </w:tcPr>
          <w:p w14:paraId="78F7BA3F" w14:textId="77777777" w:rsidR="00BD5715" w:rsidRPr="00BD5715" w:rsidRDefault="00BD5715" w:rsidP="00BD5715">
            <w:pPr>
              <w:rPr>
                <w:sz w:val="24"/>
                <w:szCs w:val="24"/>
                <w:lang w:val="en-GB"/>
              </w:rPr>
            </w:pPr>
          </w:p>
        </w:tc>
        <w:tc>
          <w:tcPr>
            <w:tcW w:w="367" w:type="dxa"/>
            <w:tcBorders>
              <w:top w:val="single" w:sz="4" w:space="0" w:color="auto"/>
            </w:tcBorders>
            <w:shd w:val="clear" w:color="auto" w:fill="auto"/>
          </w:tcPr>
          <w:p w14:paraId="52B0F8F9" w14:textId="77777777" w:rsidR="00BD5715" w:rsidRPr="00BD5715" w:rsidRDefault="00BD5715" w:rsidP="00BD5715">
            <w:pPr>
              <w:rPr>
                <w:sz w:val="16"/>
                <w:szCs w:val="16"/>
                <w:lang w:val="en-GB"/>
              </w:rPr>
            </w:pPr>
            <w:r w:rsidRPr="00BD5715">
              <w:rPr>
                <w:sz w:val="16"/>
                <w:szCs w:val="16"/>
                <w:lang w:val="en-GB"/>
              </w:rPr>
              <w:t>1.</w:t>
            </w:r>
          </w:p>
        </w:tc>
        <w:tc>
          <w:tcPr>
            <w:tcW w:w="8422" w:type="dxa"/>
            <w:tcBorders>
              <w:top w:val="single" w:sz="4" w:space="0" w:color="auto"/>
            </w:tcBorders>
            <w:shd w:val="clear" w:color="auto" w:fill="auto"/>
          </w:tcPr>
          <w:p w14:paraId="6A4C4C7C" w14:textId="77777777" w:rsidR="00BD5715" w:rsidRPr="00BD5715" w:rsidRDefault="00BD5715" w:rsidP="00BD5715">
            <w:pPr>
              <w:jc w:val="both"/>
              <w:rPr>
                <w:sz w:val="16"/>
                <w:szCs w:val="16"/>
                <w:lang w:val="en-GB"/>
              </w:rPr>
            </w:pPr>
            <w:r w:rsidRPr="00BD5715">
              <w:rPr>
                <w:sz w:val="16"/>
                <w:szCs w:val="16"/>
                <w:lang w:val="en-GB"/>
              </w:rPr>
              <w:t xml:space="preserve">To assess the safety and tolerability of two different doses of </w:t>
            </w:r>
            <w:proofErr w:type="spellStart"/>
            <w:r w:rsidRPr="00BD5715">
              <w:rPr>
                <w:sz w:val="16"/>
                <w:szCs w:val="16"/>
                <w:lang w:val="en-GB"/>
              </w:rPr>
              <w:t>SynGEM</w:t>
            </w:r>
            <w:proofErr w:type="spellEnd"/>
            <w:r w:rsidRPr="00BD5715">
              <w:rPr>
                <w:sz w:val="16"/>
                <w:szCs w:val="16"/>
                <w:lang w:val="en-GB"/>
              </w:rPr>
              <w:t xml:space="preserve">® ( 140 </w:t>
            </w:r>
            <w:proofErr w:type="spellStart"/>
            <w:r w:rsidRPr="00BD5715">
              <w:rPr>
                <w:sz w:val="16"/>
                <w:szCs w:val="16"/>
                <w:lang w:val="en-GB"/>
              </w:rPr>
              <w:t>μg</w:t>
            </w:r>
            <w:proofErr w:type="spellEnd"/>
            <w:r w:rsidRPr="00BD5715">
              <w:rPr>
                <w:sz w:val="16"/>
                <w:szCs w:val="16"/>
                <w:lang w:val="en-GB"/>
              </w:rPr>
              <w:t xml:space="preserve"> F- protein-</w:t>
            </w:r>
          </w:p>
          <w:p w14:paraId="0C1F1DB2" w14:textId="77777777" w:rsidR="00BD5715" w:rsidRPr="00BD5715" w:rsidRDefault="00BD5715" w:rsidP="00BD5715">
            <w:pPr>
              <w:jc w:val="both"/>
              <w:rPr>
                <w:sz w:val="16"/>
                <w:szCs w:val="16"/>
                <w:lang w:val="en-GB"/>
              </w:rPr>
            </w:pPr>
            <w:r w:rsidRPr="00BD5715">
              <w:rPr>
                <w:sz w:val="16"/>
                <w:szCs w:val="16"/>
                <w:lang w:val="en-GB"/>
              </w:rPr>
              <w:t xml:space="preserve">FP/2mg BLPs or 350 </w:t>
            </w:r>
            <w:proofErr w:type="spellStart"/>
            <w:r w:rsidRPr="00BD5715">
              <w:rPr>
                <w:sz w:val="16"/>
                <w:szCs w:val="16"/>
                <w:lang w:val="en-GB"/>
              </w:rPr>
              <w:t>μg</w:t>
            </w:r>
            <w:proofErr w:type="spellEnd"/>
            <w:r w:rsidRPr="00BD5715">
              <w:rPr>
                <w:sz w:val="16"/>
                <w:szCs w:val="16"/>
                <w:lang w:val="en-GB"/>
              </w:rPr>
              <w:t xml:space="preserve"> F-protein-FP/5mg BLPs) administered 28 days apart (Day 1 and Day</w:t>
            </w:r>
          </w:p>
          <w:p w14:paraId="20C2F7AE" w14:textId="77777777" w:rsidR="00BD5715" w:rsidRPr="00BD5715" w:rsidRDefault="00BD5715" w:rsidP="00BD5715">
            <w:pPr>
              <w:jc w:val="both"/>
              <w:rPr>
                <w:sz w:val="16"/>
                <w:szCs w:val="16"/>
                <w:lang w:val="en-GB"/>
              </w:rPr>
            </w:pPr>
            <w:r w:rsidRPr="00BD5715">
              <w:rPr>
                <w:sz w:val="16"/>
                <w:szCs w:val="16"/>
                <w:lang w:val="en-GB"/>
              </w:rPr>
              <w:t>29) in healthy adult subjects.</w:t>
            </w:r>
          </w:p>
        </w:tc>
      </w:tr>
      <w:tr w:rsidR="00BD5715" w:rsidRPr="00BD5715" w14:paraId="67A8368B" w14:textId="77777777" w:rsidTr="00BD5715">
        <w:trPr>
          <w:trHeight w:val="284"/>
        </w:trPr>
        <w:tc>
          <w:tcPr>
            <w:tcW w:w="278" w:type="dxa"/>
            <w:tcBorders>
              <w:top w:val="single" w:sz="4" w:space="0" w:color="auto"/>
              <w:bottom w:val="single" w:sz="4" w:space="0" w:color="auto"/>
            </w:tcBorders>
            <w:shd w:val="clear" w:color="auto" w:fill="auto"/>
          </w:tcPr>
          <w:p w14:paraId="2C356CEE" w14:textId="77777777" w:rsidR="00BD5715" w:rsidRPr="00BD5715" w:rsidRDefault="00BD5715" w:rsidP="00BD5715">
            <w:pPr>
              <w:rPr>
                <w:sz w:val="24"/>
                <w:szCs w:val="24"/>
                <w:lang w:val="en-GB"/>
              </w:rPr>
            </w:pPr>
          </w:p>
        </w:tc>
        <w:tc>
          <w:tcPr>
            <w:tcW w:w="8789" w:type="dxa"/>
            <w:gridSpan w:val="2"/>
            <w:tcBorders>
              <w:top w:val="single" w:sz="4" w:space="0" w:color="auto"/>
              <w:bottom w:val="single" w:sz="4" w:space="0" w:color="auto"/>
            </w:tcBorders>
            <w:shd w:val="clear" w:color="auto" w:fill="auto"/>
          </w:tcPr>
          <w:p w14:paraId="18A0B0B8" w14:textId="77777777" w:rsidR="00BD5715" w:rsidRPr="00BD5715" w:rsidRDefault="00BD5715" w:rsidP="00BD5715">
            <w:pPr>
              <w:rPr>
                <w:b/>
                <w:sz w:val="16"/>
                <w:szCs w:val="16"/>
                <w:lang w:val="en-GB"/>
              </w:rPr>
            </w:pPr>
            <w:r w:rsidRPr="00BD5715">
              <w:rPr>
                <w:b/>
                <w:sz w:val="16"/>
                <w:szCs w:val="16"/>
                <w:lang w:val="en-GB"/>
              </w:rPr>
              <w:t>Secondary objectives</w:t>
            </w:r>
          </w:p>
        </w:tc>
      </w:tr>
      <w:tr w:rsidR="00BD5715" w:rsidRPr="00BD5715" w14:paraId="25A62BC1" w14:textId="77777777" w:rsidTr="00BD5715">
        <w:trPr>
          <w:trHeight w:val="284"/>
        </w:trPr>
        <w:tc>
          <w:tcPr>
            <w:tcW w:w="278" w:type="dxa"/>
            <w:tcBorders>
              <w:top w:val="single" w:sz="4" w:space="0" w:color="auto"/>
            </w:tcBorders>
            <w:shd w:val="clear" w:color="auto" w:fill="auto"/>
          </w:tcPr>
          <w:p w14:paraId="3B415913" w14:textId="77777777" w:rsidR="00BD5715" w:rsidRPr="00BD5715" w:rsidRDefault="00BD5715" w:rsidP="00BD5715">
            <w:pPr>
              <w:rPr>
                <w:sz w:val="24"/>
                <w:szCs w:val="24"/>
                <w:lang w:val="en-GB"/>
              </w:rPr>
            </w:pPr>
          </w:p>
        </w:tc>
        <w:tc>
          <w:tcPr>
            <w:tcW w:w="367" w:type="dxa"/>
            <w:tcBorders>
              <w:top w:val="single" w:sz="4" w:space="0" w:color="auto"/>
            </w:tcBorders>
            <w:shd w:val="clear" w:color="auto" w:fill="auto"/>
          </w:tcPr>
          <w:p w14:paraId="5502FAED" w14:textId="77777777" w:rsidR="00BD5715" w:rsidRPr="00BD5715" w:rsidRDefault="00BD5715" w:rsidP="00BD5715">
            <w:pPr>
              <w:rPr>
                <w:sz w:val="16"/>
                <w:szCs w:val="16"/>
                <w:lang w:val="en-GB"/>
              </w:rPr>
            </w:pPr>
            <w:r w:rsidRPr="00BD5715">
              <w:rPr>
                <w:sz w:val="16"/>
                <w:szCs w:val="16"/>
                <w:lang w:val="en-GB"/>
              </w:rPr>
              <w:t>1.</w:t>
            </w:r>
          </w:p>
        </w:tc>
        <w:tc>
          <w:tcPr>
            <w:tcW w:w="8422" w:type="dxa"/>
            <w:tcBorders>
              <w:top w:val="single" w:sz="4" w:space="0" w:color="auto"/>
            </w:tcBorders>
            <w:shd w:val="clear" w:color="auto" w:fill="auto"/>
          </w:tcPr>
          <w:p w14:paraId="6E614BCF" w14:textId="77777777" w:rsidR="00BD5715" w:rsidRPr="00BD5715" w:rsidRDefault="00BD5715" w:rsidP="00BD5715">
            <w:pPr>
              <w:autoSpaceDE w:val="0"/>
              <w:autoSpaceDN w:val="0"/>
              <w:adjustRightInd w:val="0"/>
              <w:jc w:val="both"/>
              <w:rPr>
                <w:sz w:val="16"/>
                <w:szCs w:val="16"/>
                <w:lang w:val="en-GB"/>
              </w:rPr>
            </w:pPr>
            <w:r w:rsidRPr="00BD5715">
              <w:rPr>
                <w:sz w:val="16"/>
                <w:szCs w:val="16"/>
              </w:rPr>
              <w:t>To assess humoral systemic and mucosal immune responses to F-protein-BLP of the two doses measured by</w:t>
            </w:r>
          </w:p>
        </w:tc>
      </w:tr>
      <w:tr w:rsidR="00BD5715" w:rsidRPr="00BD5715" w14:paraId="2CE12F9D" w14:textId="77777777" w:rsidTr="00BD5715">
        <w:trPr>
          <w:trHeight w:val="284"/>
        </w:trPr>
        <w:tc>
          <w:tcPr>
            <w:tcW w:w="278" w:type="dxa"/>
            <w:shd w:val="clear" w:color="auto" w:fill="auto"/>
          </w:tcPr>
          <w:p w14:paraId="72E93FC9" w14:textId="77777777" w:rsidR="00BD5715" w:rsidRPr="00BD5715" w:rsidRDefault="00BD5715" w:rsidP="00BD5715">
            <w:pPr>
              <w:rPr>
                <w:sz w:val="24"/>
                <w:szCs w:val="24"/>
                <w:lang w:val="en-GB"/>
              </w:rPr>
            </w:pPr>
          </w:p>
        </w:tc>
        <w:tc>
          <w:tcPr>
            <w:tcW w:w="367" w:type="dxa"/>
            <w:shd w:val="clear" w:color="auto" w:fill="auto"/>
          </w:tcPr>
          <w:p w14:paraId="7940F674" w14:textId="77777777" w:rsidR="00BD5715" w:rsidRPr="00BD5715" w:rsidRDefault="00BD5715" w:rsidP="00BD5715">
            <w:pPr>
              <w:rPr>
                <w:sz w:val="16"/>
                <w:szCs w:val="16"/>
                <w:lang w:val="en-GB"/>
              </w:rPr>
            </w:pPr>
            <w:r w:rsidRPr="00BD5715">
              <w:rPr>
                <w:sz w:val="16"/>
                <w:szCs w:val="16"/>
                <w:lang w:val="en-GB"/>
              </w:rPr>
              <w:t>a.</w:t>
            </w:r>
          </w:p>
        </w:tc>
        <w:tc>
          <w:tcPr>
            <w:tcW w:w="8422" w:type="dxa"/>
            <w:shd w:val="clear" w:color="auto" w:fill="auto"/>
          </w:tcPr>
          <w:p w14:paraId="4C3BCAD5" w14:textId="77777777" w:rsidR="00BD5715" w:rsidRPr="00BD5715" w:rsidRDefault="00BD5715" w:rsidP="00BD5715">
            <w:pPr>
              <w:jc w:val="both"/>
              <w:rPr>
                <w:sz w:val="16"/>
                <w:szCs w:val="16"/>
                <w:lang w:val="en-GB"/>
              </w:rPr>
            </w:pPr>
            <w:r w:rsidRPr="00BD5715">
              <w:rPr>
                <w:sz w:val="16"/>
                <w:szCs w:val="16"/>
                <w:lang w:val="en-GB"/>
              </w:rPr>
              <w:t xml:space="preserve">RSV A virus neutralization by plaque reduction neutralization </w:t>
            </w:r>
            <w:proofErr w:type="spellStart"/>
            <w:r w:rsidRPr="00BD5715">
              <w:rPr>
                <w:sz w:val="16"/>
                <w:szCs w:val="16"/>
                <w:lang w:val="en-GB"/>
              </w:rPr>
              <w:t>titers</w:t>
            </w:r>
            <w:proofErr w:type="spellEnd"/>
            <w:r w:rsidRPr="00BD5715">
              <w:rPr>
                <w:sz w:val="16"/>
                <w:szCs w:val="16"/>
                <w:lang w:val="en-GB"/>
              </w:rPr>
              <w:t xml:space="preserve"> (PRNT) assay</w:t>
            </w:r>
          </w:p>
        </w:tc>
      </w:tr>
      <w:tr w:rsidR="00BD5715" w:rsidRPr="00BD5715" w14:paraId="4F67A95F" w14:textId="77777777" w:rsidTr="00BD5715">
        <w:trPr>
          <w:trHeight w:val="284"/>
        </w:trPr>
        <w:tc>
          <w:tcPr>
            <w:tcW w:w="278" w:type="dxa"/>
            <w:tcBorders>
              <w:bottom w:val="single" w:sz="4" w:space="0" w:color="auto"/>
            </w:tcBorders>
            <w:shd w:val="clear" w:color="auto" w:fill="auto"/>
          </w:tcPr>
          <w:p w14:paraId="55EC5288" w14:textId="77777777" w:rsidR="00BD5715" w:rsidRPr="00BD5715" w:rsidRDefault="00BD5715" w:rsidP="00BD5715">
            <w:pPr>
              <w:rPr>
                <w:sz w:val="24"/>
                <w:szCs w:val="24"/>
                <w:lang w:val="en-GB"/>
              </w:rPr>
            </w:pPr>
          </w:p>
        </w:tc>
        <w:tc>
          <w:tcPr>
            <w:tcW w:w="367" w:type="dxa"/>
            <w:tcBorders>
              <w:bottom w:val="single" w:sz="4" w:space="0" w:color="auto"/>
            </w:tcBorders>
            <w:shd w:val="clear" w:color="auto" w:fill="auto"/>
          </w:tcPr>
          <w:p w14:paraId="66270398" w14:textId="77777777" w:rsidR="00BD5715" w:rsidRPr="00BD5715" w:rsidRDefault="00BD5715" w:rsidP="00BD5715">
            <w:pPr>
              <w:rPr>
                <w:sz w:val="16"/>
                <w:szCs w:val="16"/>
                <w:lang w:val="en-GB"/>
              </w:rPr>
            </w:pPr>
            <w:r w:rsidRPr="00BD5715">
              <w:rPr>
                <w:sz w:val="16"/>
                <w:szCs w:val="16"/>
                <w:lang w:val="en-GB"/>
              </w:rPr>
              <w:t>b.</w:t>
            </w:r>
          </w:p>
        </w:tc>
        <w:tc>
          <w:tcPr>
            <w:tcW w:w="8422" w:type="dxa"/>
            <w:tcBorders>
              <w:bottom w:val="single" w:sz="4" w:space="0" w:color="auto"/>
            </w:tcBorders>
            <w:shd w:val="clear" w:color="auto" w:fill="auto"/>
          </w:tcPr>
          <w:p w14:paraId="01C1D668" w14:textId="77777777" w:rsidR="00BD5715" w:rsidRPr="00BD5715" w:rsidRDefault="00BD5715" w:rsidP="00BD5715">
            <w:pPr>
              <w:jc w:val="both"/>
              <w:rPr>
                <w:sz w:val="16"/>
                <w:szCs w:val="16"/>
              </w:rPr>
            </w:pPr>
            <w:r w:rsidRPr="00BD5715">
              <w:rPr>
                <w:sz w:val="16"/>
                <w:szCs w:val="16"/>
              </w:rPr>
              <w:t>F specific serum IgG and nasal Secretory IgA (S-IgA) antibody titers by enzyme-linked</w:t>
            </w:r>
          </w:p>
          <w:p w14:paraId="044B14C0" w14:textId="77777777" w:rsidR="00BD5715" w:rsidRPr="00BD5715" w:rsidRDefault="00BD5715" w:rsidP="00BD5715">
            <w:pPr>
              <w:jc w:val="both"/>
              <w:rPr>
                <w:sz w:val="16"/>
                <w:szCs w:val="16"/>
                <w:lang w:val="en-GB"/>
              </w:rPr>
            </w:pPr>
            <w:r w:rsidRPr="00BD5715">
              <w:rPr>
                <w:sz w:val="16"/>
                <w:szCs w:val="16"/>
              </w:rPr>
              <w:t>immunosorbent assay (ELISA).</w:t>
            </w:r>
          </w:p>
        </w:tc>
      </w:tr>
    </w:tbl>
    <w:p w14:paraId="728BA2CF" w14:textId="00396223" w:rsidR="00BD5715" w:rsidRPr="002A48B2" w:rsidRDefault="00BD5715" w:rsidP="00BD5715">
      <w:pPr>
        <w:spacing w:before="120" w:line="480" w:lineRule="auto"/>
        <w:ind w:left="720" w:hanging="720"/>
        <w:jc w:val="both"/>
        <w:rPr>
          <w:rFonts w:eastAsia="Times New Roman"/>
          <w:sz w:val="24"/>
          <w:szCs w:val="24"/>
        </w:rPr>
      </w:pPr>
      <w:r w:rsidRPr="002A48B2">
        <w:rPr>
          <w:rFonts w:eastAsia="Times New Roman"/>
          <w:b/>
          <w:sz w:val="24"/>
          <w:szCs w:val="24"/>
        </w:rPr>
        <w:t xml:space="preserve">Table </w:t>
      </w:r>
      <w:r w:rsidR="00C43AD2">
        <w:rPr>
          <w:rFonts w:eastAsia="Times New Roman"/>
          <w:b/>
          <w:sz w:val="24"/>
          <w:szCs w:val="24"/>
        </w:rPr>
        <w:t>E</w:t>
      </w:r>
      <w:r w:rsidR="00EA2153">
        <w:rPr>
          <w:rFonts w:eastAsia="Times New Roman"/>
          <w:b/>
          <w:sz w:val="24"/>
          <w:szCs w:val="24"/>
        </w:rPr>
        <w:t>2</w:t>
      </w:r>
      <w:r w:rsidRPr="002A48B2">
        <w:rPr>
          <w:rFonts w:eastAsia="Times New Roman"/>
          <w:b/>
          <w:sz w:val="24"/>
          <w:szCs w:val="24"/>
        </w:rPr>
        <w:t>. Study endpoints</w:t>
      </w:r>
    </w:p>
    <w:p w14:paraId="5D280660" w14:textId="77777777" w:rsidR="004024E7" w:rsidRPr="002A48B2" w:rsidRDefault="004024E7" w:rsidP="002A48B2">
      <w:pPr>
        <w:spacing w:line="480" w:lineRule="auto"/>
        <w:jc w:val="both"/>
        <w:rPr>
          <w:rFonts w:eastAsia="Times New Roman"/>
          <w:sz w:val="24"/>
          <w:szCs w:val="24"/>
        </w:rPr>
      </w:pPr>
    </w:p>
    <w:p w14:paraId="06B750AC" w14:textId="77777777" w:rsidR="00BD5715" w:rsidRPr="004024E7" w:rsidRDefault="004024E7" w:rsidP="004024E7">
      <w:pPr>
        <w:spacing w:line="480" w:lineRule="auto"/>
        <w:jc w:val="both"/>
        <w:rPr>
          <w:b/>
          <w:sz w:val="24"/>
          <w:szCs w:val="24"/>
          <w:lang w:val="en-GB"/>
        </w:rPr>
      </w:pPr>
      <w:r w:rsidRPr="002A48B2">
        <w:rPr>
          <w:sz w:val="24"/>
          <w:szCs w:val="24"/>
        </w:rPr>
        <w:br w:type="page"/>
      </w:r>
    </w:p>
    <w:tbl>
      <w:tblPr>
        <w:tblW w:w="8222" w:type="dxa"/>
        <w:tblLook w:val="04A0" w:firstRow="1" w:lastRow="0" w:firstColumn="1" w:lastColumn="0" w:noHBand="0" w:noVBand="1"/>
      </w:tblPr>
      <w:tblGrid>
        <w:gridCol w:w="345"/>
        <w:gridCol w:w="2060"/>
        <w:gridCol w:w="856"/>
        <w:gridCol w:w="899"/>
        <w:gridCol w:w="269"/>
        <w:gridCol w:w="903"/>
        <w:gridCol w:w="862"/>
        <w:gridCol w:w="327"/>
        <w:gridCol w:w="850"/>
        <w:gridCol w:w="851"/>
      </w:tblGrid>
      <w:tr w:rsidR="00BD5715" w:rsidRPr="00BD5715" w14:paraId="7A51921C" w14:textId="77777777" w:rsidTr="002A48B2">
        <w:trPr>
          <w:trHeight w:val="255"/>
        </w:trPr>
        <w:tc>
          <w:tcPr>
            <w:tcW w:w="345" w:type="dxa"/>
            <w:tcBorders>
              <w:top w:val="nil"/>
              <w:left w:val="nil"/>
              <w:bottom w:val="nil"/>
              <w:right w:val="nil"/>
            </w:tcBorders>
            <w:shd w:val="clear" w:color="auto" w:fill="auto"/>
            <w:noWrap/>
            <w:vAlign w:val="bottom"/>
            <w:hideMark/>
          </w:tcPr>
          <w:p w14:paraId="419E8CCF"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noWrap/>
            <w:vAlign w:val="bottom"/>
            <w:hideMark/>
          </w:tcPr>
          <w:p w14:paraId="7A8CAF1F" w14:textId="77777777" w:rsidR="00BD5715" w:rsidRPr="00BD5715" w:rsidRDefault="00BD5715" w:rsidP="00BD5715">
            <w:pPr>
              <w:spacing w:after="160" w:line="259" w:lineRule="auto"/>
              <w:rPr>
                <w:rFonts w:eastAsia="Times New Roman"/>
                <w:sz w:val="16"/>
                <w:szCs w:val="16"/>
                <w:lang w:val="en-GB"/>
              </w:rPr>
            </w:pPr>
          </w:p>
        </w:tc>
        <w:tc>
          <w:tcPr>
            <w:tcW w:w="856" w:type="dxa"/>
            <w:tcBorders>
              <w:top w:val="single" w:sz="4" w:space="0" w:color="auto"/>
              <w:left w:val="nil"/>
              <w:bottom w:val="single" w:sz="4" w:space="0" w:color="auto"/>
              <w:right w:val="nil"/>
            </w:tcBorders>
            <w:shd w:val="clear" w:color="auto" w:fill="auto"/>
            <w:noWrap/>
            <w:vAlign w:val="bottom"/>
            <w:hideMark/>
          </w:tcPr>
          <w:p w14:paraId="022734DF"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xml:space="preserve">Low dose </w:t>
            </w:r>
          </w:p>
        </w:tc>
        <w:tc>
          <w:tcPr>
            <w:tcW w:w="899" w:type="dxa"/>
            <w:tcBorders>
              <w:top w:val="single" w:sz="4" w:space="0" w:color="auto"/>
              <w:left w:val="nil"/>
              <w:bottom w:val="single" w:sz="4" w:space="0" w:color="auto"/>
              <w:right w:val="nil"/>
            </w:tcBorders>
            <w:shd w:val="clear" w:color="auto" w:fill="auto"/>
            <w:noWrap/>
            <w:vAlign w:val="bottom"/>
            <w:hideMark/>
          </w:tcPr>
          <w:p w14:paraId="35240530"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269" w:type="dxa"/>
            <w:tcBorders>
              <w:top w:val="nil"/>
              <w:left w:val="nil"/>
              <w:bottom w:val="nil"/>
              <w:right w:val="nil"/>
            </w:tcBorders>
            <w:shd w:val="clear" w:color="auto" w:fill="auto"/>
            <w:noWrap/>
            <w:vAlign w:val="bottom"/>
            <w:hideMark/>
          </w:tcPr>
          <w:p w14:paraId="41E7C26E" w14:textId="77777777" w:rsidR="00BD5715" w:rsidRPr="00BD5715" w:rsidRDefault="00BD5715" w:rsidP="00BD5715">
            <w:pPr>
              <w:spacing w:after="160" w:line="259" w:lineRule="auto"/>
              <w:rPr>
                <w:rFonts w:eastAsia="Times New Roman"/>
                <w:b/>
                <w:color w:val="000000"/>
                <w:sz w:val="16"/>
                <w:szCs w:val="16"/>
                <w:lang w:val="en-GB"/>
              </w:rPr>
            </w:pPr>
          </w:p>
        </w:tc>
        <w:tc>
          <w:tcPr>
            <w:tcW w:w="903" w:type="dxa"/>
            <w:tcBorders>
              <w:top w:val="single" w:sz="4" w:space="0" w:color="auto"/>
              <w:left w:val="nil"/>
              <w:bottom w:val="single" w:sz="4" w:space="0" w:color="auto"/>
              <w:right w:val="nil"/>
            </w:tcBorders>
            <w:shd w:val="clear" w:color="auto" w:fill="auto"/>
            <w:noWrap/>
            <w:vAlign w:val="bottom"/>
            <w:hideMark/>
          </w:tcPr>
          <w:p w14:paraId="731AC515"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High dose</w:t>
            </w:r>
          </w:p>
        </w:tc>
        <w:tc>
          <w:tcPr>
            <w:tcW w:w="862" w:type="dxa"/>
            <w:tcBorders>
              <w:top w:val="single" w:sz="4" w:space="0" w:color="auto"/>
              <w:left w:val="nil"/>
              <w:bottom w:val="single" w:sz="4" w:space="0" w:color="auto"/>
              <w:right w:val="nil"/>
            </w:tcBorders>
            <w:shd w:val="clear" w:color="auto" w:fill="auto"/>
            <w:noWrap/>
            <w:vAlign w:val="bottom"/>
            <w:hideMark/>
          </w:tcPr>
          <w:p w14:paraId="6507AFA3"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327" w:type="dxa"/>
            <w:tcBorders>
              <w:top w:val="nil"/>
              <w:left w:val="nil"/>
              <w:bottom w:val="nil"/>
              <w:right w:val="nil"/>
            </w:tcBorders>
            <w:shd w:val="clear" w:color="auto" w:fill="auto"/>
            <w:noWrap/>
            <w:vAlign w:val="bottom"/>
            <w:hideMark/>
          </w:tcPr>
          <w:p w14:paraId="72E9E78A" w14:textId="77777777" w:rsidR="00BD5715" w:rsidRPr="00BD5715" w:rsidRDefault="00BD5715" w:rsidP="00BD5715">
            <w:pPr>
              <w:spacing w:after="160" w:line="259" w:lineRule="auto"/>
              <w:rPr>
                <w:rFonts w:eastAsia="Times New Roman"/>
                <w:b/>
                <w:color w:val="000000"/>
                <w:sz w:val="16"/>
                <w:szCs w:val="16"/>
                <w:lang w:val="en-GB"/>
              </w:rPr>
            </w:pPr>
          </w:p>
        </w:tc>
        <w:tc>
          <w:tcPr>
            <w:tcW w:w="850" w:type="dxa"/>
            <w:tcBorders>
              <w:top w:val="single" w:sz="4" w:space="0" w:color="auto"/>
              <w:left w:val="nil"/>
              <w:bottom w:val="single" w:sz="4" w:space="0" w:color="auto"/>
              <w:right w:val="nil"/>
            </w:tcBorders>
            <w:shd w:val="clear" w:color="auto" w:fill="auto"/>
            <w:noWrap/>
            <w:vAlign w:val="bottom"/>
            <w:hideMark/>
          </w:tcPr>
          <w:p w14:paraId="1264857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Placebo</w:t>
            </w:r>
          </w:p>
        </w:tc>
        <w:tc>
          <w:tcPr>
            <w:tcW w:w="851" w:type="dxa"/>
            <w:tcBorders>
              <w:top w:val="single" w:sz="4" w:space="0" w:color="auto"/>
              <w:left w:val="nil"/>
              <w:bottom w:val="single" w:sz="4" w:space="0" w:color="auto"/>
              <w:right w:val="nil"/>
            </w:tcBorders>
            <w:shd w:val="clear" w:color="auto" w:fill="auto"/>
            <w:noWrap/>
            <w:vAlign w:val="bottom"/>
            <w:hideMark/>
          </w:tcPr>
          <w:p w14:paraId="35618C56"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r>
      <w:tr w:rsidR="00BD5715" w:rsidRPr="00BD5715" w14:paraId="221CD7D3" w14:textId="77777777" w:rsidTr="002A48B2">
        <w:trPr>
          <w:trHeight w:val="255"/>
        </w:trPr>
        <w:tc>
          <w:tcPr>
            <w:tcW w:w="345" w:type="dxa"/>
            <w:tcBorders>
              <w:top w:val="nil"/>
              <w:left w:val="nil"/>
              <w:bottom w:val="nil"/>
              <w:right w:val="nil"/>
            </w:tcBorders>
            <w:shd w:val="clear" w:color="auto" w:fill="auto"/>
            <w:vAlign w:val="bottom"/>
            <w:hideMark/>
          </w:tcPr>
          <w:p w14:paraId="265F3854"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vAlign w:val="bottom"/>
            <w:hideMark/>
          </w:tcPr>
          <w:p w14:paraId="2E00C79B" w14:textId="77777777" w:rsidR="00BD5715" w:rsidRPr="00BD5715" w:rsidRDefault="00BD5715" w:rsidP="00BD5715">
            <w:pPr>
              <w:spacing w:after="160" w:line="259" w:lineRule="auto"/>
              <w:rPr>
                <w:rFonts w:eastAsia="Times New Roman"/>
                <w:sz w:val="16"/>
                <w:szCs w:val="16"/>
                <w:lang w:val="en-GB"/>
              </w:rPr>
            </w:pPr>
          </w:p>
        </w:tc>
        <w:tc>
          <w:tcPr>
            <w:tcW w:w="856" w:type="dxa"/>
            <w:tcBorders>
              <w:top w:val="nil"/>
              <w:left w:val="nil"/>
              <w:right w:val="nil"/>
            </w:tcBorders>
            <w:shd w:val="clear" w:color="auto" w:fill="auto"/>
            <w:vAlign w:val="bottom"/>
            <w:hideMark/>
          </w:tcPr>
          <w:p w14:paraId="6EF65E05"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Decrease</w:t>
            </w:r>
          </w:p>
        </w:tc>
        <w:tc>
          <w:tcPr>
            <w:tcW w:w="899" w:type="dxa"/>
            <w:tcBorders>
              <w:top w:val="nil"/>
              <w:left w:val="nil"/>
              <w:right w:val="nil"/>
            </w:tcBorders>
            <w:shd w:val="clear" w:color="auto" w:fill="auto"/>
            <w:vAlign w:val="bottom"/>
            <w:hideMark/>
          </w:tcPr>
          <w:p w14:paraId="7C81E86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Increase</w:t>
            </w:r>
          </w:p>
        </w:tc>
        <w:tc>
          <w:tcPr>
            <w:tcW w:w="269" w:type="dxa"/>
            <w:tcBorders>
              <w:top w:val="nil"/>
              <w:left w:val="nil"/>
              <w:right w:val="nil"/>
            </w:tcBorders>
            <w:shd w:val="clear" w:color="auto" w:fill="auto"/>
            <w:vAlign w:val="bottom"/>
            <w:hideMark/>
          </w:tcPr>
          <w:p w14:paraId="1EBE1B6D" w14:textId="77777777" w:rsidR="00BD5715" w:rsidRPr="00BD5715" w:rsidRDefault="00BD5715" w:rsidP="00BD5715">
            <w:pPr>
              <w:spacing w:after="160" w:line="259" w:lineRule="auto"/>
              <w:rPr>
                <w:rFonts w:eastAsia="Times New Roman"/>
                <w:b/>
                <w:color w:val="000000"/>
                <w:sz w:val="16"/>
                <w:szCs w:val="16"/>
                <w:lang w:val="en-GB"/>
              </w:rPr>
            </w:pPr>
          </w:p>
        </w:tc>
        <w:tc>
          <w:tcPr>
            <w:tcW w:w="903" w:type="dxa"/>
            <w:tcBorders>
              <w:top w:val="nil"/>
              <w:left w:val="nil"/>
              <w:right w:val="nil"/>
            </w:tcBorders>
            <w:shd w:val="clear" w:color="auto" w:fill="auto"/>
            <w:vAlign w:val="bottom"/>
            <w:hideMark/>
          </w:tcPr>
          <w:p w14:paraId="7E2EF43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Decrease</w:t>
            </w:r>
          </w:p>
        </w:tc>
        <w:tc>
          <w:tcPr>
            <w:tcW w:w="862" w:type="dxa"/>
            <w:tcBorders>
              <w:top w:val="nil"/>
              <w:left w:val="nil"/>
              <w:right w:val="nil"/>
            </w:tcBorders>
            <w:shd w:val="clear" w:color="auto" w:fill="auto"/>
            <w:vAlign w:val="bottom"/>
            <w:hideMark/>
          </w:tcPr>
          <w:p w14:paraId="6A5CF1F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Increase</w:t>
            </w:r>
          </w:p>
        </w:tc>
        <w:tc>
          <w:tcPr>
            <w:tcW w:w="327" w:type="dxa"/>
            <w:tcBorders>
              <w:top w:val="nil"/>
              <w:left w:val="nil"/>
              <w:right w:val="nil"/>
            </w:tcBorders>
            <w:shd w:val="clear" w:color="auto" w:fill="auto"/>
            <w:vAlign w:val="bottom"/>
            <w:hideMark/>
          </w:tcPr>
          <w:p w14:paraId="0ABAC1D6" w14:textId="77777777" w:rsidR="00BD5715" w:rsidRPr="00BD5715" w:rsidRDefault="00BD5715" w:rsidP="00BD5715">
            <w:pPr>
              <w:spacing w:after="160" w:line="259" w:lineRule="auto"/>
              <w:rPr>
                <w:rFonts w:eastAsia="Times New Roman"/>
                <w:b/>
                <w:color w:val="000000"/>
                <w:sz w:val="16"/>
                <w:szCs w:val="16"/>
                <w:lang w:val="en-GB"/>
              </w:rPr>
            </w:pPr>
          </w:p>
        </w:tc>
        <w:tc>
          <w:tcPr>
            <w:tcW w:w="850" w:type="dxa"/>
            <w:tcBorders>
              <w:top w:val="nil"/>
              <w:left w:val="nil"/>
              <w:right w:val="nil"/>
            </w:tcBorders>
            <w:shd w:val="clear" w:color="auto" w:fill="auto"/>
            <w:vAlign w:val="bottom"/>
            <w:hideMark/>
          </w:tcPr>
          <w:p w14:paraId="39AAD7F4"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Decrease</w:t>
            </w:r>
          </w:p>
        </w:tc>
        <w:tc>
          <w:tcPr>
            <w:tcW w:w="851" w:type="dxa"/>
            <w:tcBorders>
              <w:top w:val="nil"/>
              <w:left w:val="nil"/>
              <w:right w:val="nil"/>
            </w:tcBorders>
            <w:shd w:val="clear" w:color="auto" w:fill="auto"/>
            <w:vAlign w:val="bottom"/>
            <w:hideMark/>
          </w:tcPr>
          <w:p w14:paraId="6A2B81B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Increase</w:t>
            </w:r>
          </w:p>
        </w:tc>
      </w:tr>
      <w:tr w:rsidR="00BD5715" w:rsidRPr="00BD5715" w14:paraId="14A3064D" w14:textId="77777777" w:rsidTr="002A48B2">
        <w:trPr>
          <w:trHeight w:val="570"/>
        </w:trPr>
        <w:tc>
          <w:tcPr>
            <w:tcW w:w="345" w:type="dxa"/>
            <w:tcBorders>
              <w:top w:val="nil"/>
              <w:left w:val="nil"/>
              <w:bottom w:val="single" w:sz="4" w:space="0" w:color="auto"/>
              <w:right w:val="nil"/>
            </w:tcBorders>
            <w:shd w:val="clear" w:color="auto" w:fill="auto"/>
            <w:vAlign w:val="bottom"/>
            <w:hideMark/>
          </w:tcPr>
          <w:p w14:paraId="47907AEA" w14:textId="77777777" w:rsidR="00BD5715" w:rsidRPr="00BD5715" w:rsidRDefault="00BD5715" w:rsidP="00BD5715">
            <w:pPr>
              <w:spacing w:after="160" w:line="259" w:lineRule="auto"/>
              <w:rPr>
                <w:rFonts w:eastAsia="Times New Roman"/>
                <w:color w:val="000000"/>
                <w:sz w:val="24"/>
                <w:szCs w:val="24"/>
                <w:lang w:val="en-GB"/>
              </w:rPr>
            </w:pPr>
            <w:r w:rsidRPr="00BD5715">
              <w:rPr>
                <w:rFonts w:eastAsia="Times New Roman"/>
                <w:color w:val="000000"/>
                <w:sz w:val="24"/>
                <w:szCs w:val="24"/>
                <w:lang w:val="en-GB"/>
              </w:rPr>
              <w:t> </w:t>
            </w:r>
          </w:p>
        </w:tc>
        <w:tc>
          <w:tcPr>
            <w:tcW w:w="2060" w:type="dxa"/>
            <w:tcBorders>
              <w:top w:val="nil"/>
              <w:left w:val="nil"/>
              <w:bottom w:val="single" w:sz="4" w:space="0" w:color="auto"/>
              <w:right w:val="nil"/>
            </w:tcBorders>
            <w:shd w:val="clear" w:color="auto" w:fill="auto"/>
            <w:vAlign w:val="bottom"/>
            <w:hideMark/>
          </w:tcPr>
          <w:p w14:paraId="0CC844D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Parameter</w:t>
            </w:r>
          </w:p>
        </w:tc>
        <w:tc>
          <w:tcPr>
            <w:tcW w:w="856" w:type="dxa"/>
            <w:tcBorders>
              <w:left w:val="nil"/>
              <w:bottom w:val="single" w:sz="4" w:space="0" w:color="auto"/>
              <w:right w:val="nil"/>
            </w:tcBorders>
            <w:shd w:val="clear" w:color="auto" w:fill="auto"/>
            <w:vAlign w:val="bottom"/>
            <w:hideMark/>
          </w:tcPr>
          <w:p w14:paraId="7A06B4A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or more (%)]</w:t>
            </w:r>
          </w:p>
        </w:tc>
        <w:tc>
          <w:tcPr>
            <w:tcW w:w="899" w:type="dxa"/>
            <w:tcBorders>
              <w:left w:val="nil"/>
              <w:bottom w:val="single" w:sz="4" w:space="0" w:color="auto"/>
              <w:right w:val="nil"/>
            </w:tcBorders>
            <w:shd w:val="clear" w:color="auto" w:fill="auto"/>
            <w:vAlign w:val="bottom"/>
            <w:hideMark/>
          </w:tcPr>
          <w:p w14:paraId="6E4DCA8D"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or more (%)]</w:t>
            </w:r>
          </w:p>
        </w:tc>
        <w:tc>
          <w:tcPr>
            <w:tcW w:w="269" w:type="dxa"/>
            <w:tcBorders>
              <w:left w:val="nil"/>
              <w:bottom w:val="single" w:sz="4" w:space="0" w:color="auto"/>
              <w:right w:val="nil"/>
            </w:tcBorders>
            <w:shd w:val="clear" w:color="auto" w:fill="auto"/>
            <w:vAlign w:val="bottom"/>
            <w:hideMark/>
          </w:tcPr>
          <w:p w14:paraId="39607989"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903" w:type="dxa"/>
            <w:tcBorders>
              <w:left w:val="nil"/>
              <w:bottom w:val="single" w:sz="4" w:space="0" w:color="auto"/>
              <w:right w:val="nil"/>
            </w:tcBorders>
            <w:shd w:val="clear" w:color="auto" w:fill="auto"/>
            <w:vAlign w:val="bottom"/>
            <w:hideMark/>
          </w:tcPr>
          <w:p w14:paraId="45234F6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or more (%)]</w:t>
            </w:r>
          </w:p>
        </w:tc>
        <w:tc>
          <w:tcPr>
            <w:tcW w:w="862" w:type="dxa"/>
            <w:tcBorders>
              <w:left w:val="nil"/>
              <w:bottom w:val="single" w:sz="4" w:space="0" w:color="auto"/>
              <w:right w:val="nil"/>
            </w:tcBorders>
            <w:shd w:val="clear" w:color="auto" w:fill="auto"/>
            <w:vAlign w:val="bottom"/>
            <w:hideMark/>
          </w:tcPr>
          <w:p w14:paraId="76AA7CC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or more (%)]</w:t>
            </w:r>
          </w:p>
        </w:tc>
        <w:tc>
          <w:tcPr>
            <w:tcW w:w="327" w:type="dxa"/>
            <w:tcBorders>
              <w:left w:val="nil"/>
              <w:bottom w:val="single" w:sz="4" w:space="0" w:color="auto"/>
              <w:right w:val="nil"/>
            </w:tcBorders>
            <w:shd w:val="clear" w:color="auto" w:fill="auto"/>
            <w:vAlign w:val="bottom"/>
            <w:hideMark/>
          </w:tcPr>
          <w:p w14:paraId="058103DC"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850" w:type="dxa"/>
            <w:tcBorders>
              <w:left w:val="nil"/>
              <w:bottom w:val="single" w:sz="4" w:space="0" w:color="auto"/>
              <w:right w:val="nil"/>
            </w:tcBorders>
            <w:shd w:val="clear" w:color="auto" w:fill="auto"/>
            <w:vAlign w:val="bottom"/>
            <w:hideMark/>
          </w:tcPr>
          <w:p w14:paraId="417DB94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or more (%)]</w:t>
            </w:r>
          </w:p>
        </w:tc>
        <w:tc>
          <w:tcPr>
            <w:tcW w:w="851" w:type="dxa"/>
            <w:tcBorders>
              <w:left w:val="nil"/>
              <w:bottom w:val="single" w:sz="4" w:space="0" w:color="auto"/>
              <w:right w:val="nil"/>
            </w:tcBorders>
            <w:shd w:val="clear" w:color="auto" w:fill="auto"/>
            <w:vAlign w:val="bottom"/>
            <w:hideMark/>
          </w:tcPr>
          <w:p w14:paraId="0F38E48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or more (%)]</w:t>
            </w:r>
          </w:p>
        </w:tc>
      </w:tr>
      <w:tr w:rsidR="00BD5715" w:rsidRPr="00BD5715" w14:paraId="2F90F2F6" w14:textId="77777777" w:rsidTr="002A48B2">
        <w:trPr>
          <w:trHeight w:val="255"/>
        </w:trPr>
        <w:tc>
          <w:tcPr>
            <w:tcW w:w="2405" w:type="dxa"/>
            <w:gridSpan w:val="2"/>
            <w:tcBorders>
              <w:top w:val="nil"/>
              <w:left w:val="nil"/>
              <w:bottom w:val="nil"/>
              <w:right w:val="nil"/>
            </w:tcBorders>
            <w:shd w:val="clear" w:color="auto" w:fill="auto"/>
            <w:vAlign w:val="bottom"/>
            <w:hideMark/>
          </w:tcPr>
          <w:p w14:paraId="4D357ED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Haematology</w:t>
            </w:r>
          </w:p>
        </w:tc>
        <w:tc>
          <w:tcPr>
            <w:tcW w:w="856" w:type="dxa"/>
            <w:tcBorders>
              <w:top w:val="nil"/>
              <w:left w:val="nil"/>
              <w:bottom w:val="nil"/>
              <w:right w:val="nil"/>
            </w:tcBorders>
            <w:shd w:val="clear" w:color="auto" w:fill="auto"/>
            <w:vAlign w:val="bottom"/>
            <w:hideMark/>
          </w:tcPr>
          <w:p w14:paraId="18506AF5" w14:textId="77777777" w:rsidR="00BD5715" w:rsidRPr="00BD5715" w:rsidRDefault="00BD5715" w:rsidP="00BD5715">
            <w:pPr>
              <w:spacing w:after="160" w:line="259" w:lineRule="auto"/>
              <w:rPr>
                <w:rFonts w:eastAsia="Times New Roman"/>
                <w:color w:val="000000"/>
                <w:sz w:val="16"/>
                <w:szCs w:val="16"/>
                <w:lang w:val="en-GB"/>
              </w:rPr>
            </w:pPr>
          </w:p>
        </w:tc>
        <w:tc>
          <w:tcPr>
            <w:tcW w:w="899" w:type="dxa"/>
            <w:tcBorders>
              <w:top w:val="nil"/>
              <w:left w:val="nil"/>
              <w:bottom w:val="nil"/>
              <w:right w:val="nil"/>
            </w:tcBorders>
            <w:shd w:val="clear" w:color="auto" w:fill="auto"/>
            <w:vAlign w:val="bottom"/>
            <w:hideMark/>
          </w:tcPr>
          <w:p w14:paraId="6023F2D9" w14:textId="77777777" w:rsidR="00BD5715" w:rsidRPr="00BD5715" w:rsidRDefault="00BD5715" w:rsidP="00BD5715">
            <w:pPr>
              <w:spacing w:after="160" w:line="259" w:lineRule="auto"/>
              <w:rPr>
                <w:rFonts w:eastAsia="Times New Roman"/>
                <w:sz w:val="16"/>
                <w:szCs w:val="16"/>
                <w:lang w:val="en-GB"/>
              </w:rPr>
            </w:pPr>
          </w:p>
        </w:tc>
        <w:tc>
          <w:tcPr>
            <w:tcW w:w="269" w:type="dxa"/>
            <w:tcBorders>
              <w:top w:val="nil"/>
              <w:left w:val="nil"/>
              <w:bottom w:val="nil"/>
              <w:right w:val="nil"/>
            </w:tcBorders>
            <w:shd w:val="clear" w:color="auto" w:fill="auto"/>
            <w:vAlign w:val="bottom"/>
            <w:hideMark/>
          </w:tcPr>
          <w:p w14:paraId="5E28515C" w14:textId="77777777" w:rsidR="00BD5715" w:rsidRPr="00BD5715" w:rsidRDefault="00BD5715" w:rsidP="00BD5715">
            <w:pPr>
              <w:spacing w:after="160" w:line="259" w:lineRule="auto"/>
              <w:rPr>
                <w:rFonts w:eastAsia="Times New Roman"/>
                <w:sz w:val="16"/>
                <w:szCs w:val="16"/>
                <w:lang w:val="en-GB"/>
              </w:rPr>
            </w:pPr>
          </w:p>
        </w:tc>
        <w:tc>
          <w:tcPr>
            <w:tcW w:w="903" w:type="dxa"/>
            <w:tcBorders>
              <w:top w:val="nil"/>
              <w:left w:val="nil"/>
              <w:bottom w:val="nil"/>
              <w:right w:val="nil"/>
            </w:tcBorders>
            <w:shd w:val="clear" w:color="auto" w:fill="auto"/>
            <w:vAlign w:val="bottom"/>
            <w:hideMark/>
          </w:tcPr>
          <w:p w14:paraId="4BC63127" w14:textId="77777777" w:rsidR="00BD5715" w:rsidRPr="00BD5715" w:rsidRDefault="00BD5715" w:rsidP="00BD5715">
            <w:pPr>
              <w:spacing w:after="160" w:line="259" w:lineRule="auto"/>
              <w:rPr>
                <w:rFonts w:eastAsia="Times New Roman"/>
                <w:sz w:val="16"/>
                <w:szCs w:val="16"/>
                <w:lang w:val="en-GB"/>
              </w:rPr>
            </w:pPr>
          </w:p>
        </w:tc>
        <w:tc>
          <w:tcPr>
            <w:tcW w:w="862" w:type="dxa"/>
            <w:tcBorders>
              <w:top w:val="nil"/>
              <w:left w:val="nil"/>
              <w:bottom w:val="nil"/>
              <w:right w:val="nil"/>
            </w:tcBorders>
            <w:shd w:val="clear" w:color="auto" w:fill="auto"/>
            <w:vAlign w:val="bottom"/>
            <w:hideMark/>
          </w:tcPr>
          <w:p w14:paraId="0D58933E" w14:textId="77777777" w:rsidR="00BD5715" w:rsidRPr="00BD5715" w:rsidRDefault="00BD5715" w:rsidP="00BD5715">
            <w:pPr>
              <w:spacing w:after="160" w:line="259" w:lineRule="auto"/>
              <w:rPr>
                <w:rFonts w:eastAsia="Times New Roman"/>
                <w:sz w:val="16"/>
                <w:szCs w:val="16"/>
                <w:lang w:val="en-GB"/>
              </w:rPr>
            </w:pPr>
          </w:p>
        </w:tc>
        <w:tc>
          <w:tcPr>
            <w:tcW w:w="327" w:type="dxa"/>
            <w:tcBorders>
              <w:top w:val="nil"/>
              <w:left w:val="nil"/>
              <w:bottom w:val="nil"/>
              <w:right w:val="nil"/>
            </w:tcBorders>
            <w:shd w:val="clear" w:color="auto" w:fill="auto"/>
            <w:vAlign w:val="bottom"/>
            <w:hideMark/>
          </w:tcPr>
          <w:p w14:paraId="1A155E7C" w14:textId="77777777" w:rsidR="00BD5715" w:rsidRPr="00BD5715" w:rsidRDefault="00BD5715" w:rsidP="00BD5715">
            <w:pPr>
              <w:spacing w:after="160" w:line="259" w:lineRule="auto"/>
              <w:rPr>
                <w:rFonts w:eastAsia="Times New Roman"/>
                <w:sz w:val="16"/>
                <w:szCs w:val="16"/>
                <w:lang w:val="en-GB"/>
              </w:rPr>
            </w:pPr>
          </w:p>
        </w:tc>
        <w:tc>
          <w:tcPr>
            <w:tcW w:w="850" w:type="dxa"/>
            <w:tcBorders>
              <w:top w:val="nil"/>
              <w:left w:val="nil"/>
              <w:bottom w:val="nil"/>
              <w:right w:val="nil"/>
            </w:tcBorders>
            <w:shd w:val="clear" w:color="auto" w:fill="auto"/>
            <w:vAlign w:val="bottom"/>
            <w:hideMark/>
          </w:tcPr>
          <w:p w14:paraId="40D66DEC" w14:textId="77777777" w:rsidR="00BD5715" w:rsidRPr="00BD5715" w:rsidRDefault="00BD5715" w:rsidP="00BD5715">
            <w:pPr>
              <w:spacing w:after="160" w:line="259" w:lineRule="auto"/>
              <w:rPr>
                <w:rFonts w:eastAsia="Times New Roman"/>
                <w:sz w:val="16"/>
                <w:szCs w:val="16"/>
                <w:lang w:val="en-GB"/>
              </w:rPr>
            </w:pPr>
          </w:p>
        </w:tc>
        <w:tc>
          <w:tcPr>
            <w:tcW w:w="851" w:type="dxa"/>
            <w:tcBorders>
              <w:top w:val="nil"/>
              <w:left w:val="nil"/>
              <w:bottom w:val="nil"/>
              <w:right w:val="nil"/>
            </w:tcBorders>
            <w:shd w:val="clear" w:color="auto" w:fill="auto"/>
            <w:vAlign w:val="bottom"/>
            <w:hideMark/>
          </w:tcPr>
          <w:p w14:paraId="7D43DD62" w14:textId="77777777" w:rsidR="00BD5715" w:rsidRPr="00BD5715" w:rsidRDefault="00BD5715" w:rsidP="00BD5715">
            <w:pPr>
              <w:spacing w:after="160" w:line="259" w:lineRule="auto"/>
              <w:rPr>
                <w:rFonts w:eastAsia="Times New Roman"/>
                <w:sz w:val="16"/>
                <w:szCs w:val="16"/>
                <w:lang w:val="en-GB"/>
              </w:rPr>
            </w:pPr>
          </w:p>
        </w:tc>
      </w:tr>
      <w:tr w:rsidR="00BD5715" w:rsidRPr="00BD5715" w14:paraId="5DD5F909" w14:textId="77777777" w:rsidTr="002A48B2">
        <w:trPr>
          <w:trHeight w:val="255"/>
        </w:trPr>
        <w:tc>
          <w:tcPr>
            <w:tcW w:w="345" w:type="dxa"/>
            <w:tcBorders>
              <w:top w:val="nil"/>
              <w:left w:val="nil"/>
              <w:bottom w:val="nil"/>
              <w:right w:val="nil"/>
            </w:tcBorders>
            <w:shd w:val="clear" w:color="auto" w:fill="auto"/>
            <w:noWrap/>
            <w:vAlign w:val="bottom"/>
            <w:hideMark/>
          </w:tcPr>
          <w:p w14:paraId="66C592AB" w14:textId="77777777" w:rsidR="00BD5715" w:rsidRPr="00BD5715" w:rsidRDefault="00BD5715" w:rsidP="00BD5715">
            <w:pPr>
              <w:spacing w:after="160" w:line="259" w:lineRule="auto"/>
              <w:rPr>
                <w:rFonts w:eastAsia="Times New Roman"/>
                <w:sz w:val="24"/>
                <w:szCs w:val="24"/>
                <w:lang w:val="en-GB"/>
              </w:rPr>
            </w:pPr>
          </w:p>
        </w:tc>
        <w:tc>
          <w:tcPr>
            <w:tcW w:w="2060" w:type="dxa"/>
            <w:tcBorders>
              <w:top w:val="nil"/>
              <w:left w:val="nil"/>
              <w:bottom w:val="nil"/>
              <w:right w:val="nil"/>
            </w:tcBorders>
            <w:shd w:val="clear" w:color="auto" w:fill="auto"/>
            <w:noWrap/>
            <w:vAlign w:val="bottom"/>
            <w:hideMark/>
          </w:tcPr>
          <w:p w14:paraId="44989904"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Haemoglobin</w:t>
            </w:r>
          </w:p>
        </w:tc>
        <w:tc>
          <w:tcPr>
            <w:tcW w:w="856" w:type="dxa"/>
            <w:tcBorders>
              <w:top w:val="nil"/>
              <w:left w:val="nil"/>
              <w:bottom w:val="nil"/>
              <w:right w:val="nil"/>
            </w:tcBorders>
            <w:shd w:val="clear" w:color="auto" w:fill="auto"/>
            <w:noWrap/>
            <w:vAlign w:val="bottom"/>
            <w:hideMark/>
          </w:tcPr>
          <w:p w14:paraId="2D3301B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5 (27·8)</w:t>
            </w:r>
          </w:p>
        </w:tc>
        <w:tc>
          <w:tcPr>
            <w:tcW w:w="899" w:type="dxa"/>
            <w:tcBorders>
              <w:top w:val="nil"/>
              <w:left w:val="nil"/>
              <w:bottom w:val="nil"/>
              <w:right w:val="nil"/>
            </w:tcBorders>
            <w:shd w:val="clear" w:color="auto" w:fill="auto"/>
            <w:noWrap/>
            <w:vAlign w:val="bottom"/>
            <w:hideMark/>
          </w:tcPr>
          <w:p w14:paraId="18D5024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3EC60862"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4E3C6B3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(11·1)</w:t>
            </w:r>
          </w:p>
        </w:tc>
        <w:tc>
          <w:tcPr>
            <w:tcW w:w="862" w:type="dxa"/>
            <w:tcBorders>
              <w:top w:val="nil"/>
              <w:left w:val="nil"/>
              <w:bottom w:val="nil"/>
              <w:right w:val="nil"/>
            </w:tcBorders>
            <w:shd w:val="clear" w:color="auto" w:fill="auto"/>
            <w:noWrap/>
            <w:vAlign w:val="bottom"/>
            <w:hideMark/>
          </w:tcPr>
          <w:p w14:paraId="7EEA387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7A84B6AB"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5060BA2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(16·7) [2 (16·7)]</w:t>
            </w:r>
          </w:p>
        </w:tc>
        <w:tc>
          <w:tcPr>
            <w:tcW w:w="851" w:type="dxa"/>
            <w:tcBorders>
              <w:top w:val="nil"/>
              <w:left w:val="nil"/>
              <w:bottom w:val="nil"/>
              <w:right w:val="nil"/>
            </w:tcBorders>
            <w:shd w:val="clear" w:color="auto" w:fill="auto"/>
            <w:noWrap/>
            <w:vAlign w:val="bottom"/>
            <w:hideMark/>
          </w:tcPr>
          <w:p w14:paraId="29D14F2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096706E2" w14:textId="77777777" w:rsidTr="002A48B2">
        <w:trPr>
          <w:trHeight w:val="255"/>
        </w:trPr>
        <w:tc>
          <w:tcPr>
            <w:tcW w:w="345" w:type="dxa"/>
            <w:tcBorders>
              <w:top w:val="nil"/>
              <w:left w:val="nil"/>
              <w:bottom w:val="nil"/>
              <w:right w:val="nil"/>
            </w:tcBorders>
            <w:shd w:val="clear" w:color="auto" w:fill="auto"/>
            <w:noWrap/>
            <w:vAlign w:val="bottom"/>
            <w:hideMark/>
          </w:tcPr>
          <w:p w14:paraId="74BFA9C1"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noWrap/>
            <w:vAlign w:val="bottom"/>
            <w:hideMark/>
          </w:tcPr>
          <w:p w14:paraId="77E048FF"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White Blood Cells (total)</w:t>
            </w:r>
          </w:p>
        </w:tc>
        <w:tc>
          <w:tcPr>
            <w:tcW w:w="856" w:type="dxa"/>
            <w:tcBorders>
              <w:top w:val="nil"/>
              <w:left w:val="nil"/>
              <w:bottom w:val="nil"/>
              <w:right w:val="nil"/>
            </w:tcBorders>
            <w:shd w:val="clear" w:color="auto" w:fill="auto"/>
            <w:vAlign w:val="bottom"/>
            <w:hideMark/>
          </w:tcPr>
          <w:p w14:paraId="725D507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6 (33·3)</w:t>
            </w:r>
          </w:p>
        </w:tc>
        <w:tc>
          <w:tcPr>
            <w:tcW w:w="899" w:type="dxa"/>
            <w:tcBorders>
              <w:top w:val="nil"/>
              <w:left w:val="nil"/>
              <w:bottom w:val="nil"/>
              <w:right w:val="nil"/>
            </w:tcBorders>
            <w:shd w:val="clear" w:color="auto" w:fill="auto"/>
            <w:noWrap/>
            <w:vAlign w:val="bottom"/>
            <w:hideMark/>
          </w:tcPr>
          <w:p w14:paraId="00E448B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6 (33·3)</w:t>
            </w:r>
          </w:p>
        </w:tc>
        <w:tc>
          <w:tcPr>
            <w:tcW w:w="269" w:type="dxa"/>
            <w:tcBorders>
              <w:top w:val="nil"/>
              <w:left w:val="nil"/>
              <w:bottom w:val="nil"/>
              <w:right w:val="nil"/>
            </w:tcBorders>
            <w:shd w:val="clear" w:color="auto" w:fill="auto"/>
            <w:noWrap/>
            <w:vAlign w:val="bottom"/>
            <w:hideMark/>
          </w:tcPr>
          <w:p w14:paraId="50C5339F"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385A30A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4 (22·2)</w:t>
            </w:r>
          </w:p>
        </w:tc>
        <w:tc>
          <w:tcPr>
            <w:tcW w:w="862" w:type="dxa"/>
            <w:tcBorders>
              <w:top w:val="nil"/>
              <w:left w:val="nil"/>
              <w:bottom w:val="nil"/>
              <w:right w:val="nil"/>
            </w:tcBorders>
            <w:shd w:val="clear" w:color="auto" w:fill="auto"/>
            <w:noWrap/>
            <w:vAlign w:val="bottom"/>
            <w:hideMark/>
          </w:tcPr>
          <w:p w14:paraId="77087BE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4 (22·2)</w:t>
            </w:r>
          </w:p>
        </w:tc>
        <w:tc>
          <w:tcPr>
            <w:tcW w:w="327" w:type="dxa"/>
            <w:tcBorders>
              <w:top w:val="nil"/>
              <w:left w:val="nil"/>
              <w:bottom w:val="nil"/>
              <w:right w:val="nil"/>
            </w:tcBorders>
            <w:shd w:val="clear" w:color="auto" w:fill="auto"/>
            <w:noWrap/>
            <w:vAlign w:val="bottom"/>
            <w:hideMark/>
          </w:tcPr>
          <w:p w14:paraId="1B876BCC"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353F413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6 (50)</w:t>
            </w:r>
          </w:p>
        </w:tc>
        <w:tc>
          <w:tcPr>
            <w:tcW w:w="851" w:type="dxa"/>
            <w:tcBorders>
              <w:top w:val="nil"/>
              <w:left w:val="nil"/>
              <w:bottom w:val="nil"/>
              <w:right w:val="nil"/>
            </w:tcBorders>
            <w:shd w:val="clear" w:color="auto" w:fill="auto"/>
            <w:noWrap/>
            <w:vAlign w:val="bottom"/>
            <w:hideMark/>
          </w:tcPr>
          <w:p w14:paraId="56B56EC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6 (50)</w:t>
            </w:r>
          </w:p>
        </w:tc>
      </w:tr>
      <w:tr w:rsidR="00BD5715" w:rsidRPr="00BD5715" w14:paraId="38AF7EE3" w14:textId="77777777" w:rsidTr="002A48B2">
        <w:trPr>
          <w:trHeight w:val="255"/>
        </w:trPr>
        <w:tc>
          <w:tcPr>
            <w:tcW w:w="345" w:type="dxa"/>
            <w:tcBorders>
              <w:top w:val="nil"/>
              <w:left w:val="nil"/>
              <w:bottom w:val="nil"/>
              <w:right w:val="nil"/>
            </w:tcBorders>
            <w:shd w:val="clear" w:color="auto" w:fill="auto"/>
            <w:noWrap/>
            <w:vAlign w:val="bottom"/>
            <w:hideMark/>
          </w:tcPr>
          <w:p w14:paraId="507FCFFC"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noWrap/>
            <w:vAlign w:val="bottom"/>
            <w:hideMark/>
          </w:tcPr>
          <w:p w14:paraId="525AE61D"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Absolute lymphocytes</w:t>
            </w:r>
          </w:p>
        </w:tc>
        <w:tc>
          <w:tcPr>
            <w:tcW w:w="856" w:type="dxa"/>
            <w:tcBorders>
              <w:top w:val="nil"/>
              <w:left w:val="nil"/>
              <w:bottom w:val="nil"/>
              <w:right w:val="nil"/>
            </w:tcBorders>
            <w:shd w:val="clear" w:color="auto" w:fill="auto"/>
            <w:vAlign w:val="bottom"/>
            <w:hideMark/>
          </w:tcPr>
          <w:p w14:paraId="043AD22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(11·1)</w:t>
            </w:r>
          </w:p>
        </w:tc>
        <w:tc>
          <w:tcPr>
            <w:tcW w:w="899" w:type="dxa"/>
            <w:tcBorders>
              <w:top w:val="nil"/>
              <w:left w:val="nil"/>
              <w:bottom w:val="nil"/>
              <w:right w:val="nil"/>
            </w:tcBorders>
            <w:shd w:val="clear" w:color="auto" w:fill="auto"/>
            <w:noWrap/>
            <w:vAlign w:val="bottom"/>
            <w:hideMark/>
          </w:tcPr>
          <w:p w14:paraId="5F9C35E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06CC8057"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6E643D8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862" w:type="dxa"/>
            <w:tcBorders>
              <w:top w:val="nil"/>
              <w:left w:val="nil"/>
              <w:bottom w:val="nil"/>
              <w:right w:val="nil"/>
            </w:tcBorders>
            <w:shd w:val="clear" w:color="auto" w:fill="auto"/>
            <w:noWrap/>
            <w:vAlign w:val="bottom"/>
            <w:hideMark/>
          </w:tcPr>
          <w:p w14:paraId="16995F8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14F27EB6"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35F3B63A"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(16·7)</w:t>
            </w:r>
          </w:p>
        </w:tc>
        <w:tc>
          <w:tcPr>
            <w:tcW w:w="851" w:type="dxa"/>
            <w:tcBorders>
              <w:top w:val="nil"/>
              <w:left w:val="nil"/>
              <w:bottom w:val="nil"/>
              <w:right w:val="nil"/>
            </w:tcBorders>
            <w:shd w:val="clear" w:color="auto" w:fill="auto"/>
            <w:noWrap/>
            <w:vAlign w:val="bottom"/>
            <w:hideMark/>
          </w:tcPr>
          <w:p w14:paraId="61A2AC0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04DB0E1E" w14:textId="77777777" w:rsidTr="002A48B2">
        <w:trPr>
          <w:trHeight w:val="255"/>
        </w:trPr>
        <w:tc>
          <w:tcPr>
            <w:tcW w:w="345" w:type="dxa"/>
            <w:tcBorders>
              <w:top w:val="nil"/>
              <w:left w:val="nil"/>
              <w:bottom w:val="nil"/>
              <w:right w:val="nil"/>
            </w:tcBorders>
            <w:shd w:val="clear" w:color="auto" w:fill="auto"/>
            <w:noWrap/>
            <w:vAlign w:val="bottom"/>
            <w:hideMark/>
          </w:tcPr>
          <w:p w14:paraId="3FA39039"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noWrap/>
            <w:vAlign w:val="bottom"/>
            <w:hideMark/>
          </w:tcPr>
          <w:p w14:paraId="00E0B8AC"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Absolute neutrophils</w:t>
            </w:r>
          </w:p>
        </w:tc>
        <w:tc>
          <w:tcPr>
            <w:tcW w:w="856" w:type="dxa"/>
            <w:tcBorders>
              <w:top w:val="nil"/>
              <w:left w:val="nil"/>
              <w:bottom w:val="nil"/>
              <w:right w:val="nil"/>
            </w:tcBorders>
            <w:shd w:val="clear" w:color="auto" w:fill="auto"/>
            <w:noWrap/>
            <w:vAlign w:val="bottom"/>
            <w:hideMark/>
          </w:tcPr>
          <w:p w14:paraId="4819496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3 (16·7)</w:t>
            </w:r>
          </w:p>
        </w:tc>
        <w:tc>
          <w:tcPr>
            <w:tcW w:w="899" w:type="dxa"/>
            <w:tcBorders>
              <w:top w:val="nil"/>
              <w:left w:val="nil"/>
              <w:bottom w:val="nil"/>
              <w:right w:val="nil"/>
            </w:tcBorders>
            <w:shd w:val="clear" w:color="auto" w:fill="auto"/>
            <w:noWrap/>
            <w:vAlign w:val="bottom"/>
            <w:hideMark/>
          </w:tcPr>
          <w:p w14:paraId="0D226AC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7C6768F3"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26321A8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5 (27·8)</w:t>
            </w:r>
          </w:p>
        </w:tc>
        <w:tc>
          <w:tcPr>
            <w:tcW w:w="862" w:type="dxa"/>
            <w:tcBorders>
              <w:top w:val="nil"/>
              <w:left w:val="nil"/>
              <w:bottom w:val="nil"/>
              <w:right w:val="nil"/>
            </w:tcBorders>
            <w:shd w:val="clear" w:color="auto" w:fill="auto"/>
            <w:noWrap/>
            <w:vAlign w:val="bottom"/>
            <w:hideMark/>
          </w:tcPr>
          <w:p w14:paraId="6B2F93D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1B46814F"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7ADB792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3 (25·0)</w:t>
            </w:r>
          </w:p>
        </w:tc>
        <w:tc>
          <w:tcPr>
            <w:tcW w:w="851" w:type="dxa"/>
            <w:tcBorders>
              <w:top w:val="nil"/>
              <w:left w:val="nil"/>
              <w:bottom w:val="nil"/>
              <w:right w:val="nil"/>
            </w:tcBorders>
            <w:shd w:val="clear" w:color="auto" w:fill="auto"/>
            <w:noWrap/>
            <w:vAlign w:val="bottom"/>
            <w:hideMark/>
          </w:tcPr>
          <w:p w14:paraId="50C3DBF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74207C5F" w14:textId="77777777" w:rsidTr="002A48B2">
        <w:trPr>
          <w:trHeight w:val="255"/>
        </w:trPr>
        <w:tc>
          <w:tcPr>
            <w:tcW w:w="345" w:type="dxa"/>
            <w:tcBorders>
              <w:top w:val="nil"/>
              <w:left w:val="nil"/>
              <w:bottom w:val="nil"/>
              <w:right w:val="nil"/>
            </w:tcBorders>
            <w:shd w:val="clear" w:color="auto" w:fill="auto"/>
            <w:noWrap/>
            <w:vAlign w:val="bottom"/>
            <w:hideMark/>
          </w:tcPr>
          <w:p w14:paraId="62B957E2"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noWrap/>
            <w:vAlign w:val="bottom"/>
            <w:hideMark/>
          </w:tcPr>
          <w:p w14:paraId="7B6D61C6"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Absolute eosinophils</w:t>
            </w:r>
          </w:p>
        </w:tc>
        <w:tc>
          <w:tcPr>
            <w:tcW w:w="856" w:type="dxa"/>
            <w:tcBorders>
              <w:top w:val="nil"/>
              <w:left w:val="nil"/>
              <w:bottom w:val="nil"/>
              <w:right w:val="nil"/>
            </w:tcBorders>
            <w:shd w:val="clear" w:color="auto" w:fill="auto"/>
            <w:noWrap/>
            <w:vAlign w:val="bottom"/>
            <w:hideMark/>
          </w:tcPr>
          <w:p w14:paraId="2E4CDF9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899" w:type="dxa"/>
            <w:tcBorders>
              <w:top w:val="nil"/>
              <w:left w:val="nil"/>
              <w:bottom w:val="nil"/>
              <w:right w:val="nil"/>
            </w:tcBorders>
            <w:shd w:val="clear" w:color="auto" w:fill="auto"/>
            <w:noWrap/>
            <w:vAlign w:val="bottom"/>
            <w:hideMark/>
          </w:tcPr>
          <w:p w14:paraId="562B7F7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5DC52A74"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6FFA8F8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62" w:type="dxa"/>
            <w:tcBorders>
              <w:top w:val="nil"/>
              <w:left w:val="nil"/>
              <w:bottom w:val="nil"/>
              <w:right w:val="nil"/>
            </w:tcBorders>
            <w:shd w:val="clear" w:color="auto" w:fill="auto"/>
            <w:noWrap/>
            <w:vAlign w:val="bottom"/>
            <w:hideMark/>
          </w:tcPr>
          <w:p w14:paraId="7A60799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6225905D"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5620190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1" w:type="dxa"/>
            <w:tcBorders>
              <w:top w:val="nil"/>
              <w:left w:val="nil"/>
              <w:bottom w:val="nil"/>
              <w:right w:val="nil"/>
            </w:tcBorders>
            <w:shd w:val="clear" w:color="auto" w:fill="auto"/>
            <w:noWrap/>
            <w:vAlign w:val="bottom"/>
            <w:hideMark/>
          </w:tcPr>
          <w:p w14:paraId="286CE1D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0995003C" w14:textId="77777777" w:rsidTr="002A48B2">
        <w:trPr>
          <w:trHeight w:val="255"/>
        </w:trPr>
        <w:tc>
          <w:tcPr>
            <w:tcW w:w="2405" w:type="dxa"/>
            <w:gridSpan w:val="2"/>
            <w:tcBorders>
              <w:top w:val="nil"/>
              <w:left w:val="nil"/>
              <w:bottom w:val="nil"/>
              <w:right w:val="nil"/>
            </w:tcBorders>
            <w:shd w:val="clear" w:color="auto" w:fill="auto"/>
            <w:noWrap/>
            <w:vAlign w:val="bottom"/>
            <w:hideMark/>
          </w:tcPr>
          <w:p w14:paraId="1D503A1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Biochemistry</w:t>
            </w:r>
          </w:p>
        </w:tc>
        <w:tc>
          <w:tcPr>
            <w:tcW w:w="856" w:type="dxa"/>
            <w:tcBorders>
              <w:top w:val="nil"/>
              <w:left w:val="nil"/>
              <w:bottom w:val="nil"/>
              <w:right w:val="nil"/>
            </w:tcBorders>
            <w:shd w:val="clear" w:color="auto" w:fill="auto"/>
            <w:noWrap/>
            <w:vAlign w:val="bottom"/>
            <w:hideMark/>
          </w:tcPr>
          <w:p w14:paraId="29D1DF5F" w14:textId="77777777" w:rsidR="00BD5715" w:rsidRPr="00BD5715" w:rsidRDefault="00BD5715" w:rsidP="00BD5715">
            <w:pPr>
              <w:spacing w:after="160" w:line="259" w:lineRule="auto"/>
              <w:rPr>
                <w:rFonts w:eastAsia="Times New Roman"/>
                <w:color w:val="000000"/>
                <w:sz w:val="16"/>
                <w:szCs w:val="16"/>
                <w:lang w:val="en-GB"/>
              </w:rPr>
            </w:pPr>
          </w:p>
        </w:tc>
        <w:tc>
          <w:tcPr>
            <w:tcW w:w="899" w:type="dxa"/>
            <w:tcBorders>
              <w:top w:val="nil"/>
              <w:left w:val="nil"/>
              <w:bottom w:val="nil"/>
              <w:right w:val="nil"/>
            </w:tcBorders>
            <w:shd w:val="clear" w:color="auto" w:fill="auto"/>
            <w:noWrap/>
            <w:vAlign w:val="bottom"/>
            <w:hideMark/>
          </w:tcPr>
          <w:p w14:paraId="737316E0" w14:textId="77777777" w:rsidR="00BD5715" w:rsidRPr="00BD5715" w:rsidRDefault="00BD5715" w:rsidP="00BD5715">
            <w:pPr>
              <w:spacing w:after="160" w:line="259" w:lineRule="auto"/>
              <w:rPr>
                <w:rFonts w:eastAsia="Times New Roman"/>
                <w:sz w:val="16"/>
                <w:szCs w:val="16"/>
                <w:lang w:val="en-GB"/>
              </w:rPr>
            </w:pPr>
          </w:p>
        </w:tc>
        <w:tc>
          <w:tcPr>
            <w:tcW w:w="269" w:type="dxa"/>
            <w:tcBorders>
              <w:top w:val="nil"/>
              <w:left w:val="nil"/>
              <w:bottom w:val="nil"/>
              <w:right w:val="nil"/>
            </w:tcBorders>
            <w:shd w:val="clear" w:color="auto" w:fill="auto"/>
            <w:noWrap/>
            <w:vAlign w:val="bottom"/>
            <w:hideMark/>
          </w:tcPr>
          <w:p w14:paraId="214187A3" w14:textId="77777777" w:rsidR="00BD5715" w:rsidRPr="00BD5715" w:rsidRDefault="00BD5715" w:rsidP="00BD5715">
            <w:pPr>
              <w:spacing w:after="160" w:line="259" w:lineRule="auto"/>
              <w:rPr>
                <w:rFonts w:eastAsia="Times New Roman"/>
                <w:sz w:val="16"/>
                <w:szCs w:val="16"/>
                <w:lang w:val="en-GB"/>
              </w:rPr>
            </w:pPr>
          </w:p>
        </w:tc>
        <w:tc>
          <w:tcPr>
            <w:tcW w:w="903" w:type="dxa"/>
            <w:tcBorders>
              <w:top w:val="nil"/>
              <w:left w:val="nil"/>
              <w:bottom w:val="nil"/>
              <w:right w:val="nil"/>
            </w:tcBorders>
            <w:shd w:val="clear" w:color="auto" w:fill="auto"/>
            <w:noWrap/>
            <w:vAlign w:val="bottom"/>
            <w:hideMark/>
          </w:tcPr>
          <w:p w14:paraId="69FD4038" w14:textId="77777777" w:rsidR="00BD5715" w:rsidRPr="00BD5715" w:rsidRDefault="00BD5715" w:rsidP="00BD5715">
            <w:pPr>
              <w:spacing w:after="160" w:line="259" w:lineRule="auto"/>
              <w:rPr>
                <w:rFonts w:eastAsia="Times New Roman"/>
                <w:sz w:val="16"/>
                <w:szCs w:val="16"/>
                <w:lang w:val="en-GB"/>
              </w:rPr>
            </w:pPr>
          </w:p>
        </w:tc>
        <w:tc>
          <w:tcPr>
            <w:tcW w:w="862" w:type="dxa"/>
            <w:tcBorders>
              <w:top w:val="nil"/>
              <w:left w:val="nil"/>
              <w:bottom w:val="nil"/>
              <w:right w:val="nil"/>
            </w:tcBorders>
            <w:shd w:val="clear" w:color="auto" w:fill="auto"/>
            <w:noWrap/>
            <w:vAlign w:val="bottom"/>
            <w:hideMark/>
          </w:tcPr>
          <w:p w14:paraId="3395938A" w14:textId="77777777" w:rsidR="00BD5715" w:rsidRPr="00BD5715" w:rsidRDefault="00BD5715" w:rsidP="00BD5715">
            <w:pPr>
              <w:spacing w:after="160" w:line="259" w:lineRule="auto"/>
              <w:rPr>
                <w:rFonts w:eastAsia="Times New Roman"/>
                <w:sz w:val="16"/>
                <w:szCs w:val="16"/>
                <w:lang w:val="en-GB"/>
              </w:rPr>
            </w:pPr>
          </w:p>
        </w:tc>
        <w:tc>
          <w:tcPr>
            <w:tcW w:w="327" w:type="dxa"/>
            <w:tcBorders>
              <w:top w:val="nil"/>
              <w:left w:val="nil"/>
              <w:bottom w:val="nil"/>
              <w:right w:val="nil"/>
            </w:tcBorders>
            <w:shd w:val="clear" w:color="auto" w:fill="auto"/>
            <w:noWrap/>
            <w:vAlign w:val="bottom"/>
            <w:hideMark/>
          </w:tcPr>
          <w:p w14:paraId="0C49DDE4" w14:textId="77777777" w:rsidR="00BD5715" w:rsidRPr="00BD5715" w:rsidRDefault="00BD5715" w:rsidP="00BD5715">
            <w:pPr>
              <w:spacing w:after="160" w:line="259" w:lineRule="auto"/>
              <w:rPr>
                <w:rFonts w:eastAsia="Times New Roman"/>
                <w:sz w:val="16"/>
                <w:szCs w:val="16"/>
                <w:lang w:val="en-GB"/>
              </w:rPr>
            </w:pPr>
          </w:p>
        </w:tc>
        <w:tc>
          <w:tcPr>
            <w:tcW w:w="850" w:type="dxa"/>
            <w:tcBorders>
              <w:top w:val="nil"/>
              <w:left w:val="nil"/>
              <w:bottom w:val="nil"/>
              <w:right w:val="nil"/>
            </w:tcBorders>
            <w:shd w:val="clear" w:color="auto" w:fill="auto"/>
            <w:noWrap/>
            <w:vAlign w:val="bottom"/>
            <w:hideMark/>
          </w:tcPr>
          <w:p w14:paraId="08D2359E" w14:textId="77777777" w:rsidR="00BD5715" w:rsidRPr="00BD5715" w:rsidRDefault="00BD5715" w:rsidP="00BD5715">
            <w:pPr>
              <w:spacing w:after="160" w:line="259" w:lineRule="auto"/>
              <w:rPr>
                <w:rFonts w:eastAsia="Times New Roman"/>
                <w:sz w:val="16"/>
                <w:szCs w:val="16"/>
                <w:lang w:val="en-GB"/>
              </w:rPr>
            </w:pPr>
          </w:p>
        </w:tc>
        <w:tc>
          <w:tcPr>
            <w:tcW w:w="851" w:type="dxa"/>
            <w:tcBorders>
              <w:top w:val="nil"/>
              <w:left w:val="nil"/>
              <w:bottom w:val="nil"/>
              <w:right w:val="nil"/>
            </w:tcBorders>
            <w:shd w:val="clear" w:color="auto" w:fill="auto"/>
            <w:noWrap/>
            <w:vAlign w:val="bottom"/>
            <w:hideMark/>
          </w:tcPr>
          <w:p w14:paraId="035FB450" w14:textId="77777777" w:rsidR="00BD5715" w:rsidRPr="00BD5715" w:rsidRDefault="00BD5715" w:rsidP="00BD5715">
            <w:pPr>
              <w:spacing w:after="160" w:line="259" w:lineRule="auto"/>
              <w:rPr>
                <w:rFonts w:eastAsia="Times New Roman"/>
                <w:sz w:val="16"/>
                <w:szCs w:val="16"/>
                <w:lang w:val="en-GB"/>
              </w:rPr>
            </w:pPr>
          </w:p>
        </w:tc>
      </w:tr>
      <w:tr w:rsidR="00BD5715" w:rsidRPr="00BD5715" w14:paraId="16AB9478" w14:textId="77777777" w:rsidTr="002A48B2">
        <w:trPr>
          <w:trHeight w:val="255"/>
        </w:trPr>
        <w:tc>
          <w:tcPr>
            <w:tcW w:w="345" w:type="dxa"/>
            <w:tcBorders>
              <w:top w:val="nil"/>
              <w:left w:val="nil"/>
              <w:bottom w:val="nil"/>
              <w:right w:val="nil"/>
            </w:tcBorders>
            <w:shd w:val="clear" w:color="auto" w:fill="auto"/>
            <w:noWrap/>
            <w:vAlign w:val="bottom"/>
            <w:hideMark/>
          </w:tcPr>
          <w:p w14:paraId="3436C6DA" w14:textId="77777777" w:rsidR="00BD5715" w:rsidRPr="00BD5715" w:rsidRDefault="00BD5715" w:rsidP="00BD5715">
            <w:pPr>
              <w:spacing w:after="160" w:line="259" w:lineRule="auto"/>
              <w:rPr>
                <w:rFonts w:eastAsia="Times New Roman"/>
                <w:sz w:val="24"/>
                <w:szCs w:val="24"/>
                <w:lang w:val="en-GB"/>
              </w:rPr>
            </w:pPr>
          </w:p>
        </w:tc>
        <w:tc>
          <w:tcPr>
            <w:tcW w:w="2060" w:type="dxa"/>
            <w:tcBorders>
              <w:top w:val="nil"/>
              <w:left w:val="nil"/>
              <w:bottom w:val="nil"/>
              <w:right w:val="nil"/>
            </w:tcBorders>
            <w:shd w:val="clear" w:color="auto" w:fill="auto"/>
            <w:vAlign w:val="bottom"/>
            <w:hideMark/>
          </w:tcPr>
          <w:p w14:paraId="347776D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Sodium</w:t>
            </w:r>
          </w:p>
        </w:tc>
        <w:tc>
          <w:tcPr>
            <w:tcW w:w="856" w:type="dxa"/>
            <w:tcBorders>
              <w:top w:val="nil"/>
              <w:left w:val="nil"/>
              <w:bottom w:val="nil"/>
              <w:right w:val="nil"/>
            </w:tcBorders>
            <w:shd w:val="clear" w:color="auto" w:fill="auto"/>
            <w:noWrap/>
            <w:vAlign w:val="bottom"/>
            <w:hideMark/>
          </w:tcPr>
          <w:p w14:paraId="66178B5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99" w:type="dxa"/>
            <w:tcBorders>
              <w:top w:val="nil"/>
              <w:left w:val="nil"/>
              <w:bottom w:val="nil"/>
              <w:right w:val="nil"/>
            </w:tcBorders>
            <w:shd w:val="clear" w:color="auto" w:fill="auto"/>
            <w:noWrap/>
            <w:vAlign w:val="bottom"/>
            <w:hideMark/>
          </w:tcPr>
          <w:p w14:paraId="30499C5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13007D1F"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14CCBFD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62" w:type="dxa"/>
            <w:tcBorders>
              <w:top w:val="nil"/>
              <w:left w:val="nil"/>
              <w:bottom w:val="nil"/>
              <w:right w:val="nil"/>
            </w:tcBorders>
            <w:shd w:val="clear" w:color="auto" w:fill="auto"/>
            <w:noWrap/>
            <w:vAlign w:val="bottom"/>
            <w:hideMark/>
          </w:tcPr>
          <w:p w14:paraId="0DE9649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4DC3DC00"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6DDBD73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1" w:type="dxa"/>
            <w:tcBorders>
              <w:top w:val="nil"/>
              <w:left w:val="nil"/>
              <w:bottom w:val="nil"/>
              <w:right w:val="nil"/>
            </w:tcBorders>
            <w:shd w:val="clear" w:color="auto" w:fill="auto"/>
            <w:noWrap/>
            <w:vAlign w:val="bottom"/>
            <w:hideMark/>
          </w:tcPr>
          <w:p w14:paraId="25DC7CC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311EA33F" w14:textId="77777777" w:rsidTr="002A48B2">
        <w:trPr>
          <w:trHeight w:val="255"/>
        </w:trPr>
        <w:tc>
          <w:tcPr>
            <w:tcW w:w="345" w:type="dxa"/>
            <w:tcBorders>
              <w:top w:val="nil"/>
              <w:left w:val="nil"/>
              <w:bottom w:val="nil"/>
              <w:right w:val="nil"/>
            </w:tcBorders>
            <w:shd w:val="clear" w:color="auto" w:fill="auto"/>
            <w:noWrap/>
            <w:vAlign w:val="bottom"/>
            <w:hideMark/>
          </w:tcPr>
          <w:p w14:paraId="4F6B7F95"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vAlign w:val="bottom"/>
            <w:hideMark/>
          </w:tcPr>
          <w:p w14:paraId="6A0A559C"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Potassium</w:t>
            </w:r>
          </w:p>
        </w:tc>
        <w:tc>
          <w:tcPr>
            <w:tcW w:w="856" w:type="dxa"/>
            <w:tcBorders>
              <w:top w:val="nil"/>
              <w:left w:val="nil"/>
              <w:bottom w:val="nil"/>
              <w:right w:val="nil"/>
            </w:tcBorders>
            <w:shd w:val="clear" w:color="auto" w:fill="auto"/>
            <w:noWrap/>
            <w:vAlign w:val="bottom"/>
            <w:hideMark/>
          </w:tcPr>
          <w:p w14:paraId="298343C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99" w:type="dxa"/>
            <w:tcBorders>
              <w:top w:val="nil"/>
              <w:left w:val="nil"/>
              <w:bottom w:val="nil"/>
              <w:right w:val="nil"/>
            </w:tcBorders>
            <w:shd w:val="clear" w:color="auto" w:fill="auto"/>
            <w:noWrap/>
            <w:vAlign w:val="bottom"/>
            <w:hideMark/>
          </w:tcPr>
          <w:p w14:paraId="2BCADCD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2085FD05"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4F485A0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62" w:type="dxa"/>
            <w:tcBorders>
              <w:top w:val="nil"/>
              <w:left w:val="nil"/>
              <w:bottom w:val="nil"/>
              <w:right w:val="nil"/>
            </w:tcBorders>
            <w:shd w:val="clear" w:color="auto" w:fill="auto"/>
            <w:noWrap/>
            <w:vAlign w:val="bottom"/>
            <w:hideMark/>
          </w:tcPr>
          <w:p w14:paraId="25B33EC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687CFA0A"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1D913AF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1" w:type="dxa"/>
            <w:tcBorders>
              <w:top w:val="nil"/>
              <w:left w:val="nil"/>
              <w:bottom w:val="nil"/>
              <w:right w:val="nil"/>
            </w:tcBorders>
            <w:shd w:val="clear" w:color="auto" w:fill="auto"/>
            <w:noWrap/>
            <w:vAlign w:val="bottom"/>
            <w:hideMark/>
          </w:tcPr>
          <w:p w14:paraId="679097D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4D6A122F" w14:textId="77777777" w:rsidTr="002A48B2">
        <w:trPr>
          <w:trHeight w:val="255"/>
        </w:trPr>
        <w:tc>
          <w:tcPr>
            <w:tcW w:w="345" w:type="dxa"/>
            <w:tcBorders>
              <w:top w:val="nil"/>
              <w:left w:val="nil"/>
              <w:bottom w:val="nil"/>
              <w:right w:val="nil"/>
            </w:tcBorders>
            <w:shd w:val="clear" w:color="auto" w:fill="auto"/>
            <w:noWrap/>
            <w:vAlign w:val="bottom"/>
            <w:hideMark/>
          </w:tcPr>
          <w:p w14:paraId="7F6976EF"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vAlign w:val="bottom"/>
            <w:hideMark/>
          </w:tcPr>
          <w:p w14:paraId="0C04A0D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Creatinine</w:t>
            </w:r>
          </w:p>
        </w:tc>
        <w:tc>
          <w:tcPr>
            <w:tcW w:w="856" w:type="dxa"/>
            <w:tcBorders>
              <w:top w:val="nil"/>
              <w:left w:val="nil"/>
              <w:bottom w:val="nil"/>
              <w:right w:val="nil"/>
            </w:tcBorders>
            <w:shd w:val="clear" w:color="auto" w:fill="auto"/>
            <w:noWrap/>
            <w:vAlign w:val="bottom"/>
            <w:hideMark/>
          </w:tcPr>
          <w:p w14:paraId="289C29C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99" w:type="dxa"/>
            <w:tcBorders>
              <w:top w:val="nil"/>
              <w:left w:val="nil"/>
              <w:bottom w:val="nil"/>
              <w:right w:val="nil"/>
            </w:tcBorders>
            <w:shd w:val="clear" w:color="auto" w:fill="auto"/>
            <w:noWrap/>
            <w:vAlign w:val="bottom"/>
            <w:hideMark/>
          </w:tcPr>
          <w:p w14:paraId="09FCB6C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3EFCBC32"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00CCA41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62" w:type="dxa"/>
            <w:tcBorders>
              <w:top w:val="nil"/>
              <w:left w:val="nil"/>
              <w:bottom w:val="nil"/>
              <w:right w:val="nil"/>
            </w:tcBorders>
            <w:shd w:val="clear" w:color="auto" w:fill="auto"/>
            <w:noWrap/>
            <w:vAlign w:val="bottom"/>
            <w:hideMark/>
          </w:tcPr>
          <w:p w14:paraId="45BF6BE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5B9B788D"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766C934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1" w:type="dxa"/>
            <w:tcBorders>
              <w:top w:val="nil"/>
              <w:left w:val="nil"/>
              <w:bottom w:val="nil"/>
              <w:right w:val="nil"/>
            </w:tcBorders>
            <w:shd w:val="clear" w:color="auto" w:fill="auto"/>
            <w:noWrap/>
            <w:vAlign w:val="bottom"/>
            <w:hideMark/>
          </w:tcPr>
          <w:p w14:paraId="3E5B3E1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63807552" w14:textId="77777777" w:rsidTr="002A48B2">
        <w:trPr>
          <w:trHeight w:val="255"/>
        </w:trPr>
        <w:tc>
          <w:tcPr>
            <w:tcW w:w="345" w:type="dxa"/>
            <w:tcBorders>
              <w:top w:val="nil"/>
              <w:left w:val="nil"/>
              <w:bottom w:val="nil"/>
              <w:right w:val="nil"/>
            </w:tcBorders>
            <w:shd w:val="clear" w:color="auto" w:fill="auto"/>
            <w:noWrap/>
            <w:vAlign w:val="bottom"/>
            <w:hideMark/>
          </w:tcPr>
          <w:p w14:paraId="79486B63"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nil"/>
              <w:right w:val="nil"/>
            </w:tcBorders>
            <w:shd w:val="clear" w:color="auto" w:fill="auto"/>
            <w:vAlign w:val="bottom"/>
            <w:hideMark/>
          </w:tcPr>
          <w:p w14:paraId="6A4CBEC1"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Urea</w:t>
            </w:r>
          </w:p>
        </w:tc>
        <w:tc>
          <w:tcPr>
            <w:tcW w:w="856" w:type="dxa"/>
            <w:tcBorders>
              <w:top w:val="nil"/>
              <w:left w:val="nil"/>
              <w:bottom w:val="nil"/>
              <w:right w:val="nil"/>
            </w:tcBorders>
            <w:shd w:val="clear" w:color="auto" w:fill="auto"/>
            <w:noWrap/>
            <w:vAlign w:val="bottom"/>
            <w:hideMark/>
          </w:tcPr>
          <w:p w14:paraId="1D3EF3D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99" w:type="dxa"/>
            <w:tcBorders>
              <w:top w:val="nil"/>
              <w:left w:val="nil"/>
              <w:bottom w:val="nil"/>
              <w:right w:val="nil"/>
            </w:tcBorders>
            <w:shd w:val="clear" w:color="auto" w:fill="auto"/>
            <w:noWrap/>
            <w:vAlign w:val="bottom"/>
            <w:hideMark/>
          </w:tcPr>
          <w:p w14:paraId="131C5C8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269" w:type="dxa"/>
            <w:tcBorders>
              <w:top w:val="nil"/>
              <w:left w:val="nil"/>
              <w:bottom w:val="nil"/>
              <w:right w:val="nil"/>
            </w:tcBorders>
            <w:shd w:val="clear" w:color="auto" w:fill="auto"/>
            <w:noWrap/>
            <w:vAlign w:val="bottom"/>
            <w:hideMark/>
          </w:tcPr>
          <w:p w14:paraId="4215E149"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nil"/>
              <w:right w:val="nil"/>
            </w:tcBorders>
            <w:shd w:val="clear" w:color="auto" w:fill="auto"/>
            <w:noWrap/>
            <w:vAlign w:val="bottom"/>
            <w:hideMark/>
          </w:tcPr>
          <w:p w14:paraId="5C70833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62" w:type="dxa"/>
            <w:tcBorders>
              <w:top w:val="nil"/>
              <w:left w:val="nil"/>
              <w:bottom w:val="nil"/>
              <w:right w:val="nil"/>
            </w:tcBorders>
            <w:shd w:val="clear" w:color="auto" w:fill="auto"/>
            <w:noWrap/>
            <w:vAlign w:val="bottom"/>
            <w:hideMark/>
          </w:tcPr>
          <w:p w14:paraId="63678D3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bottom w:val="nil"/>
              <w:right w:val="nil"/>
            </w:tcBorders>
            <w:shd w:val="clear" w:color="auto" w:fill="auto"/>
            <w:noWrap/>
            <w:vAlign w:val="bottom"/>
            <w:hideMark/>
          </w:tcPr>
          <w:p w14:paraId="16A10020"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nil"/>
              <w:right w:val="nil"/>
            </w:tcBorders>
            <w:shd w:val="clear" w:color="auto" w:fill="auto"/>
            <w:noWrap/>
            <w:vAlign w:val="bottom"/>
            <w:hideMark/>
          </w:tcPr>
          <w:p w14:paraId="398E853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1" w:type="dxa"/>
            <w:tcBorders>
              <w:top w:val="nil"/>
              <w:left w:val="nil"/>
              <w:bottom w:val="nil"/>
              <w:right w:val="nil"/>
            </w:tcBorders>
            <w:shd w:val="clear" w:color="auto" w:fill="auto"/>
            <w:noWrap/>
            <w:vAlign w:val="bottom"/>
            <w:hideMark/>
          </w:tcPr>
          <w:p w14:paraId="2B9A8F8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r>
      <w:tr w:rsidR="00BD5715" w:rsidRPr="00BD5715" w14:paraId="5CD35CDE" w14:textId="77777777" w:rsidTr="002A48B2">
        <w:trPr>
          <w:trHeight w:val="255"/>
        </w:trPr>
        <w:tc>
          <w:tcPr>
            <w:tcW w:w="345" w:type="dxa"/>
            <w:tcBorders>
              <w:top w:val="nil"/>
              <w:left w:val="nil"/>
              <w:right w:val="nil"/>
            </w:tcBorders>
            <w:shd w:val="clear" w:color="auto" w:fill="auto"/>
            <w:noWrap/>
            <w:vAlign w:val="bottom"/>
            <w:hideMark/>
          </w:tcPr>
          <w:p w14:paraId="5221B7BC"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right w:val="nil"/>
            </w:tcBorders>
            <w:shd w:val="clear" w:color="auto" w:fill="auto"/>
            <w:vAlign w:val="bottom"/>
            <w:hideMark/>
          </w:tcPr>
          <w:p w14:paraId="7292852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Alanine aminotransferase</w:t>
            </w:r>
          </w:p>
        </w:tc>
        <w:tc>
          <w:tcPr>
            <w:tcW w:w="856" w:type="dxa"/>
            <w:tcBorders>
              <w:top w:val="nil"/>
              <w:left w:val="nil"/>
              <w:right w:val="nil"/>
            </w:tcBorders>
            <w:shd w:val="clear" w:color="auto" w:fill="auto"/>
            <w:noWrap/>
            <w:vAlign w:val="bottom"/>
            <w:hideMark/>
          </w:tcPr>
          <w:p w14:paraId="7A0C266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99" w:type="dxa"/>
            <w:tcBorders>
              <w:top w:val="nil"/>
              <w:left w:val="nil"/>
              <w:right w:val="nil"/>
            </w:tcBorders>
            <w:shd w:val="clear" w:color="auto" w:fill="auto"/>
            <w:noWrap/>
            <w:vAlign w:val="bottom"/>
            <w:hideMark/>
          </w:tcPr>
          <w:p w14:paraId="3F2A1E7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269" w:type="dxa"/>
            <w:tcBorders>
              <w:top w:val="nil"/>
              <w:left w:val="nil"/>
              <w:right w:val="nil"/>
            </w:tcBorders>
            <w:shd w:val="clear" w:color="auto" w:fill="auto"/>
            <w:noWrap/>
            <w:vAlign w:val="bottom"/>
            <w:hideMark/>
          </w:tcPr>
          <w:p w14:paraId="4DDF044F"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right w:val="nil"/>
            </w:tcBorders>
            <w:shd w:val="clear" w:color="auto" w:fill="auto"/>
            <w:noWrap/>
            <w:vAlign w:val="bottom"/>
            <w:hideMark/>
          </w:tcPr>
          <w:p w14:paraId="7FB51F1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62" w:type="dxa"/>
            <w:tcBorders>
              <w:top w:val="nil"/>
              <w:left w:val="nil"/>
              <w:right w:val="nil"/>
            </w:tcBorders>
            <w:shd w:val="clear" w:color="auto" w:fill="auto"/>
            <w:noWrap/>
            <w:vAlign w:val="bottom"/>
            <w:hideMark/>
          </w:tcPr>
          <w:p w14:paraId="6275BD3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27" w:type="dxa"/>
            <w:tcBorders>
              <w:top w:val="nil"/>
              <w:left w:val="nil"/>
              <w:right w:val="nil"/>
            </w:tcBorders>
            <w:shd w:val="clear" w:color="auto" w:fill="auto"/>
            <w:noWrap/>
            <w:vAlign w:val="bottom"/>
            <w:hideMark/>
          </w:tcPr>
          <w:p w14:paraId="59E9ED48"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right w:val="nil"/>
            </w:tcBorders>
            <w:shd w:val="clear" w:color="auto" w:fill="auto"/>
            <w:noWrap/>
            <w:vAlign w:val="bottom"/>
            <w:hideMark/>
          </w:tcPr>
          <w:p w14:paraId="7E40C35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1" w:type="dxa"/>
            <w:tcBorders>
              <w:top w:val="nil"/>
              <w:left w:val="nil"/>
              <w:right w:val="nil"/>
            </w:tcBorders>
            <w:shd w:val="clear" w:color="auto" w:fill="auto"/>
            <w:noWrap/>
            <w:vAlign w:val="bottom"/>
            <w:hideMark/>
          </w:tcPr>
          <w:p w14:paraId="1593A95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(16·7)</w:t>
            </w:r>
          </w:p>
        </w:tc>
      </w:tr>
      <w:tr w:rsidR="00BD5715" w:rsidRPr="00BD5715" w14:paraId="3125F469" w14:textId="77777777" w:rsidTr="002A48B2">
        <w:trPr>
          <w:trHeight w:val="255"/>
        </w:trPr>
        <w:tc>
          <w:tcPr>
            <w:tcW w:w="345" w:type="dxa"/>
            <w:tcBorders>
              <w:top w:val="nil"/>
              <w:left w:val="nil"/>
              <w:bottom w:val="single" w:sz="4" w:space="0" w:color="auto"/>
              <w:right w:val="nil"/>
            </w:tcBorders>
            <w:shd w:val="clear" w:color="auto" w:fill="auto"/>
            <w:noWrap/>
            <w:vAlign w:val="bottom"/>
            <w:hideMark/>
          </w:tcPr>
          <w:p w14:paraId="339EA5B0" w14:textId="77777777" w:rsidR="00BD5715" w:rsidRPr="00BD5715" w:rsidRDefault="00BD5715" w:rsidP="00BD5715">
            <w:pPr>
              <w:spacing w:after="160" w:line="259" w:lineRule="auto"/>
              <w:rPr>
                <w:rFonts w:eastAsia="Times New Roman"/>
                <w:color w:val="000000"/>
                <w:sz w:val="24"/>
                <w:szCs w:val="24"/>
                <w:lang w:val="en-GB"/>
              </w:rPr>
            </w:pPr>
          </w:p>
        </w:tc>
        <w:tc>
          <w:tcPr>
            <w:tcW w:w="2060" w:type="dxa"/>
            <w:tcBorders>
              <w:top w:val="nil"/>
              <w:left w:val="nil"/>
              <w:bottom w:val="single" w:sz="4" w:space="0" w:color="auto"/>
              <w:right w:val="nil"/>
            </w:tcBorders>
            <w:shd w:val="clear" w:color="auto" w:fill="auto"/>
            <w:vAlign w:val="bottom"/>
            <w:hideMark/>
          </w:tcPr>
          <w:p w14:paraId="6847202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Aspartate aminotransferase</w:t>
            </w:r>
          </w:p>
        </w:tc>
        <w:tc>
          <w:tcPr>
            <w:tcW w:w="856" w:type="dxa"/>
            <w:tcBorders>
              <w:top w:val="nil"/>
              <w:left w:val="nil"/>
              <w:bottom w:val="single" w:sz="4" w:space="0" w:color="auto"/>
              <w:right w:val="nil"/>
            </w:tcBorders>
            <w:shd w:val="clear" w:color="auto" w:fill="auto"/>
            <w:noWrap/>
            <w:vAlign w:val="bottom"/>
            <w:hideMark/>
          </w:tcPr>
          <w:p w14:paraId="0BA8B85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99" w:type="dxa"/>
            <w:tcBorders>
              <w:top w:val="nil"/>
              <w:left w:val="nil"/>
              <w:bottom w:val="single" w:sz="4" w:space="0" w:color="auto"/>
              <w:right w:val="nil"/>
            </w:tcBorders>
            <w:shd w:val="clear" w:color="auto" w:fill="auto"/>
            <w:noWrap/>
            <w:vAlign w:val="bottom"/>
            <w:hideMark/>
          </w:tcPr>
          <w:p w14:paraId="62B451A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(11·1)</w:t>
            </w:r>
          </w:p>
        </w:tc>
        <w:tc>
          <w:tcPr>
            <w:tcW w:w="269" w:type="dxa"/>
            <w:tcBorders>
              <w:top w:val="nil"/>
              <w:left w:val="nil"/>
              <w:bottom w:val="single" w:sz="4" w:space="0" w:color="auto"/>
              <w:right w:val="nil"/>
            </w:tcBorders>
            <w:shd w:val="clear" w:color="auto" w:fill="auto"/>
            <w:noWrap/>
            <w:vAlign w:val="bottom"/>
            <w:hideMark/>
          </w:tcPr>
          <w:p w14:paraId="3AAD0CB2" w14:textId="77777777" w:rsidR="00BD5715" w:rsidRPr="00BD5715" w:rsidRDefault="00BD5715" w:rsidP="00BD5715">
            <w:pPr>
              <w:spacing w:after="160" w:line="259" w:lineRule="auto"/>
              <w:rPr>
                <w:rFonts w:eastAsia="Times New Roman"/>
                <w:color w:val="000000"/>
                <w:sz w:val="16"/>
                <w:szCs w:val="16"/>
                <w:lang w:val="en-GB"/>
              </w:rPr>
            </w:pPr>
          </w:p>
        </w:tc>
        <w:tc>
          <w:tcPr>
            <w:tcW w:w="903" w:type="dxa"/>
            <w:tcBorders>
              <w:top w:val="nil"/>
              <w:left w:val="nil"/>
              <w:bottom w:val="single" w:sz="4" w:space="0" w:color="auto"/>
              <w:right w:val="nil"/>
            </w:tcBorders>
            <w:shd w:val="clear" w:color="auto" w:fill="auto"/>
            <w:noWrap/>
            <w:vAlign w:val="bottom"/>
            <w:hideMark/>
          </w:tcPr>
          <w:p w14:paraId="1BCCD5C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62" w:type="dxa"/>
            <w:tcBorders>
              <w:top w:val="nil"/>
              <w:left w:val="nil"/>
              <w:bottom w:val="single" w:sz="4" w:space="0" w:color="auto"/>
              <w:right w:val="nil"/>
            </w:tcBorders>
            <w:shd w:val="clear" w:color="auto" w:fill="auto"/>
            <w:noWrap/>
            <w:vAlign w:val="bottom"/>
            <w:hideMark/>
          </w:tcPr>
          <w:p w14:paraId="1C31968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327" w:type="dxa"/>
            <w:tcBorders>
              <w:top w:val="nil"/>
              <w:left w:val="nil"/>
              <w:bottom w:val="single" w:sz="4" w:space="0" w:color="auto"/>
              <w:right w:val="nil"/>
            </w:tcBorders>
            <w:shd w:val="clear" w:color="auto" w:fill="auto"/>
            <w:noWrap/>
            <w:vAlign w:val="bottom"/>
            <w:hideMark/>
          </w:tcPr>
          <w:p w14:paraId="35684FBF" w14:textId="77777777" w:rsidR="00BD5715" w:rsidRPr="00BD5715" w:rsidRDefault="00BD5715" w:rsidP="00BD5715">
            <w:pPr>
              <w:spacing w:after="160" w:line="259" w:lineRule="auto"/>
              <w:rPr>
                <w:rFonts w:eastAsia="Times New Roman"/>
                <w:color w:val="000000"/>
                <w:sz w:val="16"/>
                <w:szCs w:val="16"/>
                <w:lang w:val="en-GB"/>
              </w:rPr>
            </w:pPr>
          </w:p>
        </w:tc>
        <w:tc>
          <w:tcPr>
            <w:tcW w:w="850" w:type="dxa"/>
            <w:tcBorders>
              <w:top w:val="nil"/>
              <w:left w:val="nil"/>
              <w:bottom w:val="single" w:sz="4" w:space="0" w:color="auto"/>
              <w:right w:val="nil"/>
            </w:tcBorders>
            <w:shd w:val="clear" w:color="auto" w:fill="auto"/>
            <w:noWrap/>
            <w:vAlign w:val="bottom"/>
            <w:hideMark/>
          </w:tcPr>
          <w:p w14:paraId="7DC82DA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1" w:type="dxa"/>
            <w:tcBorders>
              <w:top w:val="nil"/>
              <w:left w:val="nil"/>
              <w:bottom w:val="single" w:sz="4" w:space="0" w:color="auto"/>
              <w:right w:val="nil"/>
            </w:tcBorders>
            <w:shd w:val="clear" w:color="auto" w:fill="auto"/>
            <w:noWrap/>
            <w:vAlign w:val="bottom"/>
            <w:hideMark/>
          </w:tcPr>
          <w:p w14:paraId="038C1C4A"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r>
    </w:tbl>
    <w:p w14:paraId="16DFC9EF" w14:textId="0AA76944" w:rsidR="00BD5715" w:rsidRPr="002A48B2" w:rsidRDefault="00BD5715" w:rsidP="002A48B2">
      <w:pPr>
        <w:spacing w:line="480" w:lineRule="auto"/>
        <w:jc w:val="both"/>
        <w:rPr>
          <w:rFonts w:eastAsia="Times New Roman"/>
          <w:sz w:val="24"/>
          <w:szCs w:val="24"/>
        </w:rPr>
      </w:pPr>
      <w:r w:rsidRPr="002A48B2">
        <w:rPr>
          <w:rFonts w:eastAsia="Times New Roman"/>
          <w:b/>
          <w:sz w:val="24"/>
          <w:szCs w:val="24"/>
        </w:rPr>
        <w:t xml:space="preserve">Table </w:t>
      </w:r>
      <w:r w:rsidR="00C43AD2">
        <w:rPr>
          <w:rFonts w:eastAsia="Times New Roman"/>
          <w:b/>
          <w:sz w:val="24"/>
          <w:szCs w:val="24"/>
        </w:rPr>
        <w:t>E</w:t>
      </w:r>
      <w:r w:rsidR="00EA2153">
        <w:rPr>
          <w:rFonts w:eastAsia="Times New Roman"/>
          <w:b/>
          <w:sz w:val="24"/>
          <w:szCs w:val="24"/>
        </w:rPr>
        <w:t>3</w:t>
      </w:r>
      <w:r w:rsidRPr="002A48B2">
        <w:rPr>
          <w:rFonts w:eastAsia="Times New Roman"/>
          <w:b/>
          <w:sz w:val="24"/>
          <w:szCs w:val="24"/>
        </w:rPr>
        <w:t>.</w:t>
      </w:r>
      <w:r w:rsidRPr="002A48B2">
        <w:rPr>
          <w:rFonts w:eastAsia="Times New Roman"/>
          <w:sz w:val="24"/>
          <w:szCs w:val="24"/>
        </w:rPr>
        <w:t xml:space="preserve"> </w:t>
      </w:r>
      <w:r w:rsidRPr="002A48B2">
        <w:rPr>
          <w:rFonts w:eastAsia="Times New Roman"/>
          <w:b/>
          <w:sz w:val="24"/>
          <w:szCs w:val="24"/>
        </w:rPr>
        <w:t>Hematology and biochemistry abnormalities by maximum severity (any visit)</w:t>
      </w:r>
    </w:p>
    <w:p w14:paraId="5C781A8F" w14:textId="71EA388A" w:rsidR="00C35BC8" w:rsidRDefault="00C35BC8" w:rsidP="002A48B2">
      <w:pPr>
        <w:spacing w:before="120" w:line="480" w:lineRule="auto"/>
        <w:ind w:left="720" w:hanging="720"/>
        <w:jc w:val="both"/>
        <w:rPr>
          <w:b/>
          <w:sz w:val="24"/>
          <w:szCs w:val="24"/>
          <w:lang w:val="en-GB"/>
        </w:rPr>
      </w:pPr>
      <w:r>
        <w:rPr>
          <w:b/>
          <w:sz w:val="24"/>
          <w:szCs w:val="24"/>
          <w:lang w:val="en-GB"/>
        </w:rPr>
        <w:br w:type="page"/>
      </w:r>
    </w:p>
    <w:p w14:paraId="4187FA46" w14:textId="77777777" w:rsidR="00BD5715" w:rsidRDefault="00BD5715" w:rsidP="002A48B2">
      <w:pPr>
        <w:spacing w:before="120" w:line="480" w:lineRule="auto"/>
        <w:ind w:left="720" w:hanging="720"/>
        <w:jc w:val="both"/>
        <w:rPr>
          <w:b/>
          <w:sz w:val="24"/>
          <w:szCs w:val="24"/>
          <w:lang w:val="en-GB"/>
        </w:rPr>
      </w:pPr>
    </w:p>
    <w:tbl>
      <w:tblPr>
        <w:tblW w:w="8897" w:type="dxa"/>
        <w:tblLook w:val="04A0" w:firstRow="1" w:lastRow="0" w:firstColumn="1" w:lastColumn="0" w:noHBand="0" w:noVBand="1"/>
      </w:tblPr>
      <w:tblGrid>
        <w:gridCol w:w="280"/>
        <w:gridCol w:w="1116"/>
        <w:gridCol w:w="279"/>
        <w:gridCol w:w="757"/>
        <w:gridCol w:w="757"/>
        <w:gridCol w:w="463"/>
        <w:gridCol w:w="709"/>
        <w:gridCol w:w="236"/>
        <w:gridCol w:w="473"/>
        <w:gridCol w:w="425"/>
        <w:gridCol w:w="108"/>
        <w:gridCol w:w="236"/>
        <w:gridCol w:w="790"/>
        <w:gridCol w:w="679"/>
        <w:gridCol w:w="171"/>
        <w:gridCol w:w="132"/>
        <w:gridCol w:w="227"/>
        <w:gridCol w:w="66"/>
        <w:gridCol w:w="950"/>
        <w:gridCol w:w="43"/>
      </w:tblGrid>
      <w:tr w:rsidR="00BD5715" w:rsidRPr="00BD5715" w14:paraId="2DB2A5EF" w14:textId="77777777" w:rsidTr="00BD5715">
        <w:trPr>
          <w:trHeight w:val="240"/>
        </w:trPr>
        <w:tc>
          <w:tcPr>
            <w:tcW w:w="280" w:type="dxa"/>
            <w:tcBorders>
              <w:top w:val="nil"/>
              <w:left w:val="nil"/>
              <w:bottom w:val="nil"/>
              <w:right w:val="nil"/>
            </w:tcBorders>
            <w:shd w:val="clear" w:color="auto" w:fill="auto"/>
            <w:noWrap/>
            <w:hideMark/>
          </w:tcPr>
          <w:p w14:paraId="1535D653" w14:textId="77777777" w:rsidR="00BD5715" w:rsidRPr="00BD5715" w:rsidRDefault="00BD5715" w:rsidP="00BD5715">
            <w:pPr>
              <w:spacing w:after="160" w:line="259" w:lineRule="auto"/>
              <w:rPr>
                <w:rFonts w:eastAsia="Times New Roman"/>
                <w:sz w:val="24"/>
                <w:szCs w:val="24"/>
                <w:lang w:val="en-GB"/>
              </w:rPr>
            </w:pPr>
          </w:p>
        </w:tc>
        <w:tc>
          <w:tcPr>
            <w:tcW w:w="1116" w:type="dxa"/>
            <w:tcBorders>
              <w:top w:val="nil"/>
              <w:left w:val="nil"/>
              <w:bottom w:val="nil"/>
              <w:right w:val="nil"/>
            </w:tcBorders>
            <w:shd w:val="clear" w:color="auto" w:fill="auto"/>
            <w:noWrap/>
            <w:hideMark/>
          </w:tcPr>
          <w:p w14:paraId="4D6BE945" w14:textId="77777777" w:rsidR="00BD5715" w:rsidRPr="00BD5715" w:rsidRDefault="00BD5715" w:rsidP="00BD5715">
            <w:pPr>
              <w:spacing w:after="160" w:line="259" w:lineRule="auto"/>
              <w:rPr>
                <w:rFonts w:eastAsia="Times New Roman"/>
                <w:sz w:val="16"/>
                <w:szCs w:val="16"/>
                <w:lang w:val="en-GB"/>
              </w:rPr>
            </w:pPr>
          </w:p>
        </w:tc>
        <w:tc>
          <w:tcPr>
            <w:tcW w:w="279" w:type="dxa"/>
            <w:tcBorders>
              <w:top w:val="nil"/>
              <w:left w:val="nil"/>
              <w:bottom w:val="nil"/>
              <w:right w:val="nil"/>
            </w:tcBorders>
            <w:shd w:val="clear" w:color="auto" w:fill="auto"/>
            <w:noWrap/>
            <w:hideMark/>
          </w:tcPr>
          <w:p w14:paraId="3FE0E1F8" w14:textId="77777777" w:rsidR="00BD5715" w:rsidRPr="00BD5715" w:rsidRDefault="00BD5715" w:rsidP="00BD5715">
            <w:pPr>
              <w:spacing w:after="160" w:line="259" w:lineRule="auto"/>
              <w:rPr>
                <w:rFonts w:eastAsia="Times New Roman"/>
                <w:sz w:val="16"/>
                <w:szCs w:val="16"/>
                <w:lang w:val="en-GB"/>
              </w:rPr>
            </w:pPr>
          </w:p>
        </w:tc>
        <w:tc>
          <w:tcPr>
            <w:tcW w:w="757" w:type="dxa"/>
            <w:tcBorders>
              <w:top w:val="single" w:sz="4" w:space="0" w:color="auto"/>
              <w:left w:val="nil"/>
              <w:bottom w:val="single" w:sz="4" w:space="0" w:color="auto"/>
              <w:right w:val="nil"/>
            </w:tcBorders>
            <w:shd w:val="clear" w:color="auto" w:fill="auto"/>
            <w:noWrap/>
            <w:hideMark/>
          </w:tcPr>
          <w:p w14:paraId="3149C22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Low dose</w:t>
            </w:r>
          </w:p>
        </w:tc>
        <w:tc>
          <w:tcPr>
            <w:tcW w:w="757" w:type="dxa"/>
            <w:tcBorders>
              <w:top w:val="single" w:sz="4" w:space="0" w:color="auto"/>
              <w:left w:val="nil"/>
              <w:bottom w:val="single" w:sz="4" w:space="0" w:color="auto"/>
              <w:right w:val="nil"/>
            </w:tcBorders>
            <w:shd w:val="clear" w:color="auto" w:fill="auto"/>
            <w:noWrap/>
            <w:hideMark/>
          </w:tcPr>
          <w:p w14:paraId="75A9606D"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463" w:type="dxa"/>
            <w:tcBorders>
              <w:top w:val="nil"/>
              <w:left w:val="nil"/>
              <w:bottom w:val="nil"/>
              <w:right w:val="nil"/>
            </w:tcBorders>
            <w:shd w:val="clear" w:color="auto" w:fill="auto"/>
            <w:noWrap/>
            <w:hideMark/>
          </w:tcPr>
          <w:p w14:paraId="7DE519C6" w14:textId="77777777" w:rsidR="00BD5715" w:rsidRPr="00BD5715" w:rsidRDefault="00BD5715" w:rsidP="00BD5715">
            <w:pPr>
              <w:spacing w:after="160" w:line="259" w:lineRule="auto"/>
              <w:rPr>
                <w:rFonts w:eastAsia="Times New Roman"/>
                <w:b/>
                <w:color w:val="000000"/>
                <w:sz w:val="16"/>
                <w:szCs w:val="16"/>
                <w:lang w:val="en-GB"/>
              </w:rPr>
            </w:pPr>
          </w:p>
        </w:tc>
        <w:tc>
          <w:tcPr>
            <w:tcW w:w="709" w:type="dxa"/>
            <w:tcBorders>
              <w:top w:val="single" w:sz="4" w:space="0" w:color="auto"/>
              <w:left w:val="nil"/>
              <w:bottom w:val="single" w:sz="4" w:space="0" w:color="auto"/>
              <w:right w:val="nil"/>
            </w:tcBorders>
            <w:shd w:val="clear" w:color="auto" w:fill="auto"/>
            <w:noWrap/>
            <w:hideMark/>
          </w:tcPr>
          <w:p w14:paraId="591ABB96"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High dose</w:t>
            </w:r>
          </w:p>
        </w:tc>
        <w:tc>
          <w:tcPr>
            <w:tcW w:w="709" w:type="dxa"/>
            <w:gridSpan w:val="2"/>
            <w:tcBorders>
              <w:top w:val="single" w:sz="4" w:space="0" w:color="auto"/>
              <w:left w:val="nil"/>
              <w:bottom w:val="single" w:sz="4" w:space="0" w:color="auto"/>
              <w:right w:val="nil"/>
            </w:tcBorders>
            <w:shd w:val="clear" w:color="auto" w:fill="auto"/>
            <w:noWrap/>
            <w:hideMark/>
          </w:tcPr>
          <w:p w14:paraId="719B50A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425" w:type="dxa"/>
            <w:tcBorders>
              <w:top w:val="nil"/>
              <w:left w:val="nil"/>
              <w:bottom w:val="nil"/>
              <w:right w:val="nil"/>
            </w:tcBorders>
            <w:shd w:val="clear" w:color="auto" w:fill="auto"/>
            <w:noWrap/>
            <w:hideMark/>
          </w:tcPr>
          <w:p w14:paraId="6E728E87" w14:textId="77777777" w:rsidR="00BD5715" w:rsidRPr="00BD5715" w:rsidRDefault="00BD5715" w:rsidP="00BD5715">
            <w:pPr>
              <w:spacing w:after="160" w:line="259" w:lineRule="auto"/>
              <w:rPr>
                <w:rFonts w:eastAsia="Times New Roman"/>
                <w:b/>
                <w:color w:val="000000"/>
                <w:sz w:val="16"/>
                <w:szCs w:val="16"/>
                <w:lang w:val="en-GB"/>
              </w:rPr>
            </w:pPr>
          </w:p>
        </w:tc>
        <w:tc>
          <w:tcPr>
            <w:tcW w:w="1134" w:type="dxa"/>
            <w:gridSpan w:val="3"/>
            <w:tcBorders>
              <w:top w:val="single" w:sz="4" w:space="0" w:color="auto"/>
              <w:left w:val="nil"/>
              <w:bottom w:val="single" w:sz="4" w:space="0" w:color="auto"/>
              <w:right w:val="nil"/>
            </w:tcBorders>
            <w:shd w:val="clear" w:color="auto" w:fill="auto"/>
            <w:noWrap/>
            <w:hideMark/>
          </w:tcPr>
          <w:p w14:paraId="3BD2CC27"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Placebo</w:t>
            </w:r>
          </w:p>
        </w:tc>
        <w:tc>
          <w:tcPr>
            <w:tcW w:w="1209" w:type="dxa"/>
            <w:gridSpan w:val="4"/>
            <w:tcBorders>
              <w:top w:val="single" w:sz="4" w:space="0" w:color="auto"/>
              <w:left w:val="nil"/>
              <w:bottom w:val="single" w:sz="4" w:space="0" w:color="auto"/>
              <w:right w:val="nil"/>
            </w:tcBorders>
            <w:shd w:val="clear" w:color="auto" w:fill="auto"/>
            <w:noWrap/>
            <w:hideMark/>
          </w:tcPr>
          <w:p w14:paraId="20EEB86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1059" w:type="dxa"/>
            <w:gridSpan w:val="3"/>
            <w:tcBorders>
              <w:top w:val="single" w:sz="4" w:space="0" w:color="auto"/>
              <w:left w:val="nil"/>
              <w:right w:val="nil"/>
            </w:tcBorders>
          </w:tcPr>
          <w:p w14:paraId="012619A6"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Test of significance</w:t>
            </w:r>
          </w:p>
        </w:tc>
      </w:tr>
      <w:tr w:rsidR="00BD5715" w:rsidRPr="00BD5715" w14:paraId="1B27684A" w14:textId="77777777" w:rsidTr="00BD5715">
        <w:trPr>
          <w:trHeight w:val="240"/>
        </w:trPr>
        <w:tc>
          <w:tcPr>
            <w:tcW w:w="280" w:type="dxa"/>
            <w:tcBorders>
              <w:top w:val="nil"/>
              <w:left w:val="nil"/>
              <w:bottom w:val="nil"/>
              <w:right w:val="nil"/>
            </w:tcBorders>
            <w:shd w:val="clear" w:color="auto" w:fill="auto"/>
            <w:noWrap/>
            <w:hideMark/>
          </w:tcPr>
          <w:p w14:paraId="3994973F" w14:textId="77777777" w:rsidR="00BD5715" w:rsidRPr="00BD5715" w:rsidRDefault="00BD5715" w:rsidP="00BD5715">
            <w:pPr>
              <w:spacing w:after="160" w:line="259" w:lineRule="auto"/>
              <w:rPr>
                <w:rFonts w:eastAsia="Times New Roman"/>
                <w:color w:val="000000"/>
                <w:sz w:val="24"/>
                <w:szCs w:val="24"/>
                <w:lang w:val="en-GB"/>
              </w:rPr>
            </w:pPr>
          </w:p>
        </w:tc>
        <w:tc>
          <w:tcPr>
            <w:tcW w:w="1116" w:type="dxa"/>
            <w:tcBorders>
              <w:top w:val="nil"/>
              <w:left w:val="nil"/>
              <w:bottom w:val="nil"/>
              <w:right w:val="nil"/>
            </w:tcBorders>
            <w:shd w:val="clear" w:color="auto" w:fill="auto"/>
            <w:noWrap/>
            <w:hideMark/>
          </w:tcPr>
          <w:p w14:paraId="147B0D90" w14:textId="77777777" w:rsidR="00BD5715" w:rsidRPr="00BD5715" w:rsidRDefault="00BD5715" w:rsidP="00BD5715">
            <w:pPr>
              <w:spacing w:after="160" w:line="259" w:lineRule="auto"/>
              <w:rPr>
                <w:rFonts w:eastAsia="Times New Roman"/>
                <w:sz w:val="16"/>
                <w:szCs w:val="16"/>
                <w:lang w:val="en-GB"/>
              </w:rPr>
            </w:pPr>
          </w:p>
        </w:tc>
        <w:tc>
          <w:tcPr>
            <w:tcW w:w="279" w:type="dxa"/>
            <w:tcBorders>
              <w:top w:val="nil"/>
              <w:left w:val="nil"/>
              <w:bottom w:val="nil"/>
              <w:right w:val="nil"/>
            </w:tcBorders>
            <w:shd w:val="clear" w:color="auto" w:fill="auto"/>
            <w:noWrap/>
            <w:hideMark/>
          </w:tcPr>
          <w:p w14:paraId="4FC41BFD" w14:textId="77777777" w:rsidR="00BD5715" w:rsidRPr="00BD5715" w:rsidRDefault="00BD5715" w:rsidP="00BD5715">
            <w:pPr>
              <w:spacing w:after="160" w:line="259" w:lineRule="auto"/>
              <w:rPr>
                <w:rFonts w:eastAsia="Times New Roman"/>
                <w:sz w:val="16"/>
                <w:szCs w:val="16"/>
                <w:lang w:val="en-GB"/>
              </w:rPr>
            </w:pPr>
          </w:p>
        </w:tc>
        <w:tc>
          <w:tcPr>
            <w:tcW w:w="757" w:type="dxa"/>
            <w:tcBorders>
              <w:top w:val="nil"/>
              <w:left w:val="nil"/>
              <w:right w:val="nil"/>
            </w:tcBorders>
            <w:shd w:val="clear" w:color="auto" w:fill="auto"/>
            <w:noWrap/>
            <w:hideMark/>
          </w:tcPr>
          <w:p w14:paraId="3172881C"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Post prime</w:t>
            </w:r>
          </w:p>
        </w:tc>
        <w:tc>
          <w:tcPr>
            <w:tcW w:w="757" w:type="dxa"/>
            <w:tcBorders>
              <w:top w:val="nil"/>
              <w:left w:val="nil"/>
              <w:right w:val="nil"/>
            </w:tcBorders>
            <w:shd w:val="clear" w:color="auto" w:fill="auto"/>
            <w:noWrap/>
            <w:hideMark/>
          </w:tcPr>
          <w:p w14:paraId="11DC73C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Post boost</w:t>
            </w:r>
          </w:p>
        </w:tc>
        <w:tc>
          <w:tcPr>
            <w:tcW w:w="463" w:type="dxa"/>
            <w:tcBorders>
              <w:top w:val="nil"/>
              <w:left w:val="nil"/>
              <w:bottom w:val="nil"/>
              <w:right w:val="nil"/>
            </w:tcBorders>
            <w:shd w:val="clear" w:color="auto" w:fill="auto"/>
            <w:noWrap/>
            <w:hideMark/>
          </w:tcPr>
          <w:p w14:paraId="5152C926" w14:textId="77777777" w:rsidR="00BD5715" w:rsidRPr="00BD5715" w:rsidRDefault="00BD5715" w:rsidP="00BD5715">
            <w:pPr>
              <w:spacing w:after="160" w:line="259" w:lineRule="auto"/>
              <w:rPr>
                <w:rFonts w:eastAsia="Times New Roman"/>
                <w:b/>
                <w:color w:val="000000"/>
                <w:sz w:val="16"/>
                <w:szCs w:val="16"/>
                <w:lang w:val="en-GB"/>
              </w:rPr>
            </w:pPr>
          </w:p>
        </w:tc>
        <w:tc>
          <w:tcPr>
            <w:tcW w:w="709" w:type="dxa"/>
            <w:tcBorders>
              <w:top w:val="nil"/>
              <w:left w:val="nil"/>
              <w:right w:val="nil"/>
            </w:tcBorders>
            <w:shd w:val="clear" w:color="auto" w:fill="auto"/>
            <w:noWrap/>
            <w:hideMark/>
          </w:tcPr>
          <w:p w14:paraId="6FFB9C8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Post prime</w:t>
            </w:r>
          </w:p>
        </w:tc>
        <w:tc>
          <w:tcPr>
            <w:tcW w:w="709" w:type="dxa"/>
            <w:gridSpan w:val="2"/>
            <w:tcBorders>
              <w:top w:val="nil"/>
              <w:left w:val="nil"/>
              <w:right w:val="nil"/>
            </w:tcBorders>
            <w:shd w:val="clear" w:color="auto" w:fill="auto"/>
            <w:noWrap/>
            <w:hideMark/>
          </w:tcPr>
          <w:p w14:paraId="22B1E70D"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Post boost</w:t>
            </w:r>
          </w:p>
        </w:tc>
        <w:tc>
          <w:tcPr>
            <w:tcW w:w="425" w:type="dxa"/>
            <w:tcBorders>
              <w:top w:val="nil"/>
              <w:left w:val="nil"/>
              <w:right w:val="nil"/>
            </w:tcBorders>
            <w:shd w:val="clear" w:color="auto" w:fill="auto"/>
            <w:noWrap/>
            <w:hideMark/>
          </w:tcPr>
          <w:p w14:paraId="1DF9B41E" w14:textId="77777777" w:rsidR="00BD5715" w:rsidRPr="00BD5715" w:rsidRDefault="00BD5715" w:rsidP="00BD5715">
            <w:pPr>
              <w:spacing w:after="160" w:line="259" w:lineRule="auto"/>
              <w:rPr>
                <w:rFonts w:eastAsia="Times New Roman"/>
                <w:b/>
                <w:color w:val="000000"/>
                <w:sz w:val="16"/>
                <w:szCs w:val="16"/>
                <w:lang w:val="en-GB"/>
              </w:rPr>
            </w:pPr>
          </w:p>
        </w:tc>
        <w:tc>
          <w:tcPr>
            <w:tcW w:w="1134" w:type="dxa"/>
            <w:gridSpan w:val="3"/>
            <w:tcBorders>
              <w:top w:val="nil"/>
              <w:left w:val="nil"/>
              <w:right w:val="nil"/>
            </w:tcBorders>
            <w:shd w:val="clear" w:color="auto" w:fill="auto"/>
            <w:noWrap/>
            <w:hideMark/>
          </w:tcPr>
          <w:p w14:paraId="0F7FA6F0"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Post prime</w:t>
            </w:r>
          </w:p>
        </w:tc>
        <w:tc>
          <w:tcPr>
            <w:tcW w:w="1209" w:type="dxa"/>
            <w:gridSpan w:val="4"/>
            <w:tcBorders>
              <w:top w:val="nil"/>
              <w:left w:val="nil"/>
              <w:right w:val="nil"/>
            </w:tcBorders>
            <w:shd w:val="clear" w:color="auto" w:fill="auto"/>
            <w:noWrap/>
            <w:hideMark/>
          </w:tcPr>
          <w:p w14:paraId="2F33F5F8"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Post boost</w:t>
            </w:r>
          </w:p>
        </w:tc>
        <w:tc>
          <w:tcPr>
            <w:tcW w:w="1059" w:type="dxa"/>
            <w:gridSpan w:val="3"/>
            <w:tcBorders>
              <w:top w:val="nil"/>
              <w:left w:val="nil"/>
              <w:right w:val="nil"/>
            </w:tcBorders>
          </w:tcPr>
          <w:p w14:paraId="776FE815" w14:textId="77777777" w:rsidR="00BD5715" w:rsidRPr="00BD5715" w:rsidRDefault="00BD5715" w:rsidP="00BD5715">
            <w:pPr>
              <w:spacing w:after="160" w:line="259" w:lineRule="auto"/>
              <w:rPr>
                <w:rFonts w:eastAsia="Times New Roman"/>
                <w:b/>
                <w:color w:val="000000"/>
                <w:sz w:val="16"/>
                <w:szCs w:val="16"/>
                <w:lang w:val="en-GB"/>
              </w:rPr>
            </w:pPr>
          </w:p>
        </w:tc>
      </w:tr>
      <w:tr w:rsidR="00BD5715" w:rsidRPr="00BD5715" w14:paraId="665A62D2" w14:textId="77777777" w:rsidTr="00BD5715">
        <w:trPr>
          <w:trHeight w:val="240"/>
        </w:trPr>
        <w:tc>
          <w:tcPr>
            <w:tcW w:w="280" w:type="dxa"/>
            <w:tcBorders>
              <w:top w:val="nil"/>
              <w:left w:val="nil"/>
              <w:bottom w:val="nil"/>
              <w:right w:val="nil"/>
            </w:tcBorders>
            <w:shd w:val="clear" w:color="auto" w:fill="auto"/>
            <w:noWrap/>
            <w:hideMark/>
          </w:tcPr>
          <w:p w14:paraId="51D89FB2" w14:textId="77777777" w:rsidR="00BD5715" w:rsidRPr="00BD5715" w:rsidRDefault="00BD5715" w:rsidP="00BD5715">
            <w:pPr>
              <w:spacing w:after="160" w:line="259" w:lineRule="auto"/>
              <w:rPr>
                <w:rFonts w:eastAsia="Times New Roman"/>
                <w:sz w:val="24"/>
                <w:szCs w:val="24"/>
                <w:lang w:val="en-GB"/>
              </w:rPr>
            </w:pPr>
          </w:p>
        </w:tc>
        <w:tc>
          <w:tcPr>
            <w:tcW w:w="1116" w:type="dxa"/>
            <w:tcBorders>
              <w:top w:val="nil"/>
              <w:left w:val="nil"/>
              <w:bottom w:val="nil"/>
              <w:right w:val="nil"/>
            </w:tcBorders>
            <w:shd w:val="clear" w:color="auto" w:fill="auto"/>
            <w:noWrap/>
            <w:hideMark/>
          </w:tcPr>
          <w:p w14:paraId="7E734E12" w14:textId="77777777" w:rsidR="00BD5715" w:rsidRPr="00BD5715" w:rsidRDefault="00BD5715" w:rsidP="00BD5715">
            <w:pPr>
              <w:spacing w:after="160" w:line="259" w:lineRule="auto"/>
              <w:rPr>
                <w:rFonts w:eastAsia="Times New Roman"/>
                <w:sz w:val="16"/>
                <w:szCs w:val="16"/>
                <w:lang w:val="en-GB"/>
              </w:rPr>
            </w:pPr>
          </w:p>
        </w:tc>
        <w:tc>
          <w:tcPr>
            <w:tcW w:w="279" w:type="dxa"/>
            <w:tcBorders>
              <w:top w:val="nil"/>
              <w:left w:val="nil"/>
              <w:bottom w:val="nil"/>
              <w:right w:val="nil"/>
            </w:tcBorders>
            <w:shd w:val="clear" w:color="auto" w:fill="auto"/>
            <w:noWrap/>
            <w:hideMark/>
          </w:tcPr>
          <w:p w14:paraId="288703A6" w14:textId="77777777" w:rsidR="00BD5715" w:rsidRPr="00BD5715" w:rsidRDefault="00BD5715" w:rsidP="00BD5715">
            <w:pPr>
              <w:spacing w:after="160" w:line="259" w:lineRule="auto"/>
              <w:rPr>
                <w:rFonts w:eastAsia="Times New Roman"/>
                <w:sz w:val="16"/>
                <w:szCs w:val="16"/>
                <w:lang w:val="en-GB"/>
              </w:rPr>
            </w:pPr>
          </w:p>
        </w:tc>
        <w:tc>
          <w:tcPr>
            <w:tcW w:w="757" w:type="dxa"/>
            <w:tcBorders>
              <w:top w:val="nil"/>
              <w:left w:val="nil"/>
              <w:bottom w:val="single" w:sz="4" w:space="0" w:color="auto"/>
              <w:right w:val="nil"/>
            </w:tcBorders>
            <w:shd w:val="clear" w:color="auto" w:fill="auto"/>
            <w:noWrap/>
            <w:hideMark/>
          </w:tcPr>
          <w:p w14:paraId="5EA3BB90"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(n=18)</w:t>
            </w:r>
          </w:p>
        </w:tc>
        <w:tc>
          <w:tcPr>
            <w:tcW w:w="757" w:type="dxa"/>
            <w:tcBorders>
              <w:top w:val="nil"/>
              <w:left w:val="nil"/>
              <w:bottom w:val="single" w:sz="4" w:space="0" w:color="auto"/>
              <w:right w:val="nil"/>
            </w:tcBorders>
            <w:shd w:val="clear" w:color="auto" w:fill="auto"/>
            <w:noWrap/>
            <w:hideMark/>
          </w:tcPr>
          <w:p w14:paraId="4A5F6F5C"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(n=17)</w:t>
            </w:r>
          </w:p>
        </w:tc>
        <w:tc>
          <w:tcPr>
            <w:tcW w:w="463" w:type="dxa"/>
            <w:tcBorders>
              <w:top w:val="nil"/>
              <w:left w:val="nil"/>
              <w:bottom w:val="nil"/>
              <w:right w:val="nil"/>
            </w:tcBorders>
            <w:shd w:val="clear" w:color="auto" w:fill="auto"/>
            <w:noWrap/>
            <w:hideMark/>
          </w:tcPr>
          <w:p w14:paraId="4A3FF36A" w14:textId="77777777" w:rsidR="00BD5715" w:rsidRPr="00BD5715" w:rsidRDefault="00BD5715" w:rsidP="00BD5715">
            <w:pPr>
              <w:spacing w:after="160" w:line="259" w:lineRule="auto"/>
              <w:rPr>
                <w:rFonts w:eastAsia="Times New Roman"/>
                <w:b/>
                <w:color w:val="000000"/>
                <w:sz w:val="16"/>
                <w:szCs w:val="16"/>
                <w:lang w:val="en-GB"/>
              </w:rPr>
            </w:pPr>
          </w:p>
        </w:tc>
        <w:tc>
          <w:tcPr>
            <w:tcW w:w="709" w:type="dxa"/>
            <w:tcBorders>
              <w:left w:val="nil"/>
              <w:bottom w:val="single" w:sz="4" w:space="0" w:color="auto"/>
              <w:right w:val="nil"/>
            </w:tcBorders>
            <w:shd w:val="clear" w:color="auto" w:fill="auto"/>
            <w:noWrap/>
            <w:hideMark/>
          </w:tcPr>
          <w:p w14:paraId="1269FEE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(n=18)</w:t>
            </w:r>
          </w:p>
        </w:tc>
        <w:tc>
          <w:tcPr>
            <w:tcW w:w="709" w:type="dxa"/>
            <w:gridSpan w:val="2"/>
            <w:tcBorders>
              <w:left w:val="nil"/>
              <w:bottom w:val="single" w:sz="4" w:space="0" w:color="auto"/>
              <w:right w:val="nil"/>
            </w:tcBorders>
            <w:shd w:val="clear" w:color="auto" w:fill="auto"/>
            <w:noWrap/>
            <w:hideMark/>
          </w:tcPr>
          <w:p w14:paraId="0765A6A3"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(n=18)</w:t>
            </w:r>
          </w:p>
        </w:tc>
        <w:tc>
          <w:tcPr>
            <w:tcW w:w="425" w:type="dxa"/>
            <w:tcBorders>
              <w:left w:val="nil"/>
              <w:bottom w:val="nil"/>
              <w:right w:val="nil"/>
            </w:tcBorders>
            <w:shd w:val="clear" w:color="auto" w:fill="auto"/>
            <w:noWrap/>
            <w:hideMark/>
          </w:tcPr>
          <w:p w14:paraId="61B67B34" w14:textId="77777777" w:rsidR="00BD5715" w:rsidRPr="00BD5715" w:rsidRDefault="00BD5715" w:rsidP="00BD5715">
            <w:pPr>
              <w:spacing w:after="160" w:line="259" w:lineRule="auto"/>
              <w:rPr>
                <w:rFonts w:eastAsia="Times New Roman"/>
                <w:b/>
                <w:color w:val="000000"/>
                <w:sz w:val="16"/>
                <w:szCs w:val="16"/>
                <w:lang w:val="en-GB"/>
              </w:rPr>
            </w:pPr>
          </w:p>
        </w:tc>
        <w:tc>
          <w:tcPr>
            <w:tcW w:w="1134" w:type="dxa"/>
            <w:gridSpan w:val="3"/>
            <w:tcBorders>
              <w:left w:val="nil"/>
              <w:bottom w:val="single" w:sz="4" w:space="0" w:color="auto"/>
              <w:right w:val="nil"/>
            </w:tcBorders>
            <w:shd w:val="clear" w:color="auto" w:fill="auto"/>
            <w:noWrap/>
            <w:hideMark/>
          </w:tcPr>
          <w:p w14:paraId="30A15860"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(n=12)</w:t>
            </w:r>
          </w:p>
        </w:tc>
        <w:tc>
          <w:tcPr>
            <w:tcW w:w="1209" w:type="dxa"/>
            <w:gridSpan w:val="4"/>
            <w:tcBorders>
              <w:left w:val="nil"/>
              <w:bottom w:val="single" w:sz="4" w:space="0" w:color="auto"/>
              <w:right w:val="nil"/>
            </w:tcBorders>
            <w:shd w:val="clear" w:color="auto" w:fill="auto"/>
            <w:noWrap/>
            <w:hideMark/>
          </w:tcPr>
          <w:p w14:paraId="38C83697"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(n=18)</w:t>
            </w:r>
          </w:p>
        </w:tc>
        <w:tc>
          <w:tcPr>
            <w:tcW w:w="1059" w:type="dxa"/>
            <w:gridSpan w:val="3"/>
            <w:tcBorders>
              <w:left w:val="nil"/>
              <w:right w:val="nil"/>
            </w:tcBorders>
          </w:tcPr>
          <w:p w14:paraId="73E2FEEB" w14:textId="77777777" w:rsidR="00BD5715" w:rsidRPr="00BD5715" w:rsidRDefault="00BD5715" w:rsidP="00BD5715">
            <w:pPr>
              <w:spacing w:after="160" w:line="259" w:lineRule="auto"/>
              <w:rPr>
                <w:rFonts w:eastAsia="Times New Roman"/>
                <w:b/>
                <w:color w:val="000000"/>
                <w:sz w:val="16"/>
                <w:szCs w:val="16"/>
                <w:lang w:val="en-GB"/>
              </w:rPr>
            </w:pPr>
          </w:p>
        </w:tc>
      </w:tr>
      <w:tr w:rsidR="00BD5715" w:rsidRPr="00BD5715" w14:paraId="05E1241E" w14:textId="77777777" w:rsidTr="00BD5715">
        <w:trPr>
          <w:trHeight w:val="570"/>
        </w:trPr>
        <w:tc>
          <w:tcPr>
            <w:tcW w:w="280" w:type="dxa"/>
            <w:tcBorders>
              <w:top w:val="nil"/>
              <w:left w:val="nil"/>
              <w:bottom w:val="single" w:sz="4" w:space="0" w:color="auto"/>
              <w:right w:val="nil"/>
            </w:tcBorders>
            <w:shd w:val="clear" w:color="auto" w:fill="auto"/>
            <w:hideMark/>
          </w:tcPr>
          <w:p w14:paraId="348E1065" w14:textId="77777777" w:rsidR="00BD5715" w:rsidRPr="00BD5715" w:rsidRDefault="00BD5715" w:rsidP="00BD5715">
            <w:pPr>
              <w:spacing w:after="160" w:line="259" w:lineRule="auto"/>
              <w:rPr>
                <w:rFonts w:eastAsia="Times New Roman"/>
                <w:color w:val="000000"/>
                <w:sz w:val="24"/>
                <w:szCs w:val="24"/>
                <w:lang w:val="en-GB"/>
              </w:rPr>
            </w:pPr>
            <w:r w:rsidRPr="00BD5715">
              <w:rPr>
                <w:rFonts w:eastAsia="Times New Roman"/>
                <w:color w:val="000000"/>
                <w:sz w:val="24"/>
                <w:szCs w:val="24"/>
                <w:lang w:val="en-GB"/>
              </w:rPr>
              <w:t> </w:t>
            </w:r>
          </w:p>
        </w:tc>
        <w:tc>
          <w:tcPr>
            <w:tcW w:w="1116" w:type="dxa"/>
            <w:tcBorders>
              <w:top w:val="nil"/>
              <w:left w:val="nil"/>
              <w:bottom w:val="single" w:sz="4" w:space="0" w:color="auto"/>
              <w:right w:val="nil"/>
            </w:tcBorders>
            <w:shd w:val="clear" w:color="auto" w:fill="auto"/>
            <w:hideMark/>
          </w:tcPr>
          <w:p w14:paraId="4917C11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 </w:t>
            </w:r>
          </w:p>
        </w:tc>
        <w:tc>
          <w:tcPr>
            <w:tcW w:w="279" w:type="dxa"/>
            <w:tcBorders>
              <w:top w:val="nil"/>
              <w:left w:val="nil"/>
              <w:bottom w:val="single" w:sz="4" w:space="0" w:color="auto"/>
              <w:right w:val="nil"/>
            </w:tcBorders>
            <w:shd w:val="clear" w:color="auto" w:fill="auto"/>
            <w:hideMark/>
          </w:tcPr>
          <w:p w14:paraId="2F5682D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 </w:t>
            </w:r>
          </w:p>
        </w:tc>
        <w:tc>
          <w:tcPr>
            <w:tcW w:w="757" w:type="dxa"/>
            <w:tcBorders>
              <w:top w:val="nil"/>
              <w:left w:val="nil"/>
              <w:bottom w:val="single" w:sz="4" w:space="0" w:color="auto"/>
              <w:right w:val="nil"/>
            </w:tcBorders>
            <w:shd w:val="clear" w:color="auto" w:fill="auto"/>
            <w:hideMark/>
          </w:tcPr>
          <w:p w14:paraId="24E74263"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w:t>
            </w:r>
          </w:p>
        </w:tc>
        <w:tc>
          <w:tcPr>
            <w:tcW w:w="757" w:type="dxa"/>
            <w:tcBorders>
              <w:top w:val="nil"/>
              <w:left w:val="nil"/>
              <w:bottom w:val="single" w:sz="4" w:space="0" w:color="auto"/>
              <w:right w:val="nil"/>
            </w:tcBorders>
            <w:shd w:val="clear" w:color="auto" w:fill="auto"/>
            <w:hideMark/>
          </w:tcPr>
          <w:p w14:paraId="56EA8B3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w:t>
            </w:r>
          </w:p>
        </w:tc>
        <w:tc>
          <w:tcPr>
            <w:tcW w:w="463" w:type="dxa"/>
            <w:tcBorders>
              <w:top w:val="nil"/>
              <w:left w:val="nil"/>
              <w:bottom w:val="single" w:sz="4" w:space="0" w:color="auto"/>
              <w:right w:val="nil"/>
            </w:tcBorders>
            <w:shd w:val="clear" w:color="auto" w:fill="auto"/>
            <w:hideMark/>
          </w:tcPr>
          <w:p w14:paraId="7EEC4A45"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709" w:type="dxa"/>
            <w:tcBorders>
              <w:top w:val="nil"/>
              <w:left w:val="nil"/>
              <w:bottom w:val="single" w:sz="4" w:space="0" w:color="auto"/>
              <w:right w:val="nil"/>
            </w:tcBorders>
            <w:shd w:val="clear" w:color="auto" w:fill="auto"/>
            <w:hideMark/>
          </w:tcPr>
          <w:p w14:paraId="49EA323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w:t>
            </w:r>
          </w:p>
        </w:tc>
        <w:tc>
          <w:tcPr>
            <w:tcW w:w="709" w:type="dxa"/>
            <w:gridSpan w:val="2"/>
            <w:tcBorders>
              <w:top w:val="nil"/>
              <w:left w:val="nil"/>
              <w:bottom w:val="single" w:sz="4" w:space="0" w:color="auto"/>
              <w:right w:val="nil"/>
            </w:tcBorders>
            <w:shd w:val="clear" w:color="auto" w:fill="auto"/>
            <w:hideMark/>
          </w:tcPr>
          <w:p w14:paraId="3895A9F8"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w:t>
            </w:r>
          </w:p>
        </w:tc>
        <w:tc>
          <w:tcPr>
            <w:tcW w:w="425" w:type="dxa"/>
            <w:tcBorders>
              <w:top w:val="nil"/>
              <w:left w:val="nil"/>
              <w:bottom w:val="single" w:sz="4" w:space="0" w:color="auto"/>
              <w:right w:val="nil"/>
            </w:tcBorders>
            <w:shd w:val="clear" w:color="auto" w:fill="auto"/>
            <w:hideMark/>
          </w:tcPr>
          <w:p w14:paraId="60A6733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w:t>
            </w:r>
          </w:p>
        </w:tc>
        <w:tc>
          <w:tcPr>
            <w:tcW w:w="1134" w:type="dxa"/>
            <w:gridSpan w:val="3"/>
            <w:tcBorders>
              <w:top w:val="nil"/>
              <w:left w:val="nil"/>
              <w:bottom w:val="single" w:sz="4" w:space="0" w:color="auto"/>
              <w:right w:val="nil"/>
            </w:tcBorders>
            <w:shd w:val="clear" w:color="auto" w:fill="auto"/>
            <w:hideMark/>
          </w:tcPr>
          <w:p w14:paraId="6C9E38C7"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w:t>
            </w:r>
          </w:p>
        </w:tc>
        <w:tc>
          <w:tcPr>
            <w:tcW w:w="1209" w:type="dxa"/>
            <w:gridSpan w:val="4"/>
            <w:tcBorders>
              <w:top w:val="nil"/>
              <w:left w:val="nil"/>
              <w:bottom w:val="single" w:sz="4" w:space="0" w:color="auto"/>
              <w:right w:val="nil"/>
            </w:tcBorders>
            <w:shd w:val="clear" w:color="auto" w:fill="auto"/>
            <w:hideMark/>
          </w:tcPr>
          <w:p w14:paraId="0CF50E8D"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Any grade (%) [grade 3 (%)]</w:t>
            </w:r>
          </w:p>
        </w:tc>
        <w:tc>
          <w:tcPr>
            <w:tcW w:w="1059" w:type="dxa"/>
            <w:gridSpan w:val="3"/>
            <w:tcBorders>
              <w:top w:val="nil"/>
              <w:left w:val="nil"/>
              <w:bottom w:val="single" w:sz="4" w:space="0" w:color="auto"/>
              <w:right w:val="nil"/>
            </w:tcBorders>
          </w:tcPr>
          <w:p w14:paraId="303BEC33" w14:textId="77777777" w:rsidR="00BD5715" w:rsidRPr="00BD5715" w:rsidRDefault="00BD5715" w:rsidP="00BD5715">
            <w:pPr>
              <w:spacing w:after="160" w:line="259" w:lineRule="auto"/>
              <w:rPr>
                <w:rFonts w:eastAsia="Times New Roman"/>
                <w:b/>
                <w:color w:val="000000"/>
                <w:sz w:val="16"/>
                <w:szCs w:val="16"/>
                <w:lang w:val="en-GB"/>
              </w:rPr>
            </w:pPr>
          </w:p>
        </w:tc>
      </w:tr>
      <w:tr w:rsidR="00BD5715" w:rsidRPr="00BD5715" w14:paraId="0926DAA1" w14:textId="77777777" w:rsidTr="00BD5715">
        <w:trPr>
          <w:gridAfter w:val="2"/>
          <w:wAfter w:w="993" w:type="dxa"/>
          <w:trHeight w:val="240"/>
        </w:trPr>
        <w:tc>
          <w:tcPr>
            <w:tcW w:w="1396" w:type="dxa"/>
            <w:gridSpan w:val="2"/>
            <w:tcBorders>
              <w:top w:val="nil"/>
              <w:left w:val="nil"/>
              <w:bottom w:val="nil"/>
              <w:right w:val="nil"/>
            </w:tcBorders>
            <w:shd w:val="clear" w:color="auto" w:fill="auto"/>
            <w:noWrap/>
            <w:hideMark/>
          </w:tcPr>
          <w:p w14:paraId="2933403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Local</w:t>
            </w:r>
          </w:p>
        </w:tc>
        <w:tc>
          <w:tcPr>
            <w:tcW w:w="279" w:type="dxa"/>
            <w:tcBorders>
              <w:top w:val="nil"/>
              <w:left w:val="nil"/>
              <w:bottom w:val="nil"/>
              <w:right w:val="nil"/>
            </w:tcBorders>
            <w:shd w:val="clear" w:color="auto" w:fill="auto"/>
            <w:noWrap/>
            <w:hideMark/>
          </w:tcPr>
          <w:p w14:paraId="2E33ED27"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191DC338" w14:textId="77777777" w:rsidR="00BD5715" w:rsidRPr="00BD5715" w:rsidRDefault="00BD5715" w:rsidP="00BD5715">
            <w:pPr>
              <w:spacing w:after="160" w:line="259" w:lineRule="auto"/>
              <w:rPr>
                <w:rFonts w:eastAsia="Times New Roman"/>
                <w:sz w:val="16"/>
                <w:szCs w:val="16"/>
                <w:lang w:val="en-GB"/>
              </w:rPr>
            </w:pPr>
          </w:p>
        </w:tc>
        <w:tc>
          <w:tcPr>
            <w:tcW w:w="757" w:type="dxa"/>
            <w:tcBorders>
              <w:top w:val="nil"/>
              <w:left w:val="nil"/>
              <w:bottom w:val="nil"/>
              <w:right w:val="nil"/>
            </w:tcBorders>
            <w:shd w:val="clear" w:color="auto" w:fill="auto"/>
            <w:noWrap/>
            <w:hideMark/>
          </w:tcPr>
          <w:p w14:paraId="25D6EADA" w14:textId="77777777" w:rsidR="00BD5715" w:rsidRPr="00BD5715" w:rsidRDefault="00BD5715" w:rsidP="00BD5715">
            <w:pPr>
              <w:spacing w:after="160" w:line="259" w:lineRule="auto"/>
              <w:rPr>
                <w:rFonts w:eastAsia="Times New Roman"/>
                <w:sz w:val="16"/>
                <w:szCs w:val="16"/>
                <w:lang w:val="en-GB"/>
              </w:rPr>
            </w:pPr>
          </w:p>
        </w:tc>
        <w:tc>
          <w:tcPr>
            <w:tcW w:w="463" w:type="dxa"/>
            <w:tcBorders>
              <w:top w:val="nil"/>
              <w:left w:val="nil"/>
              <w:bottom w:val="nil"/>
              <w:right w:val="nil"/>
            </w:tcBorders>
            <w:shd w:val="clear" w:color="auto" w:fill="auto"/>
            <w:noWrap/>
            <w:hideMark/>
          </w:tcPr>
          <w:p w14:paraId="40FC66D1" w14:textId="77777777" w:rsidR="00BD5715" w:rsidRPr="00BD5715" w:rsidRDefault="00BD5715" w:rsidP="00BD5715">
            <w:pPr>
              <w:spacing w:after="160" w:line="259" w:lineRule="auto"/>
              <w:rPr>
                <w:rFonts w:eastAsia="Times New Roman"/>
                <w:sz w:val="16"/>
                <w:szCs w:val="16"/>
                <w:lang w:val="en-GB"/>
              </w:rPr>
            </w:pPr>
          </w:p>
        </w:tc>
        <w:tc>
          <w:tcPr>
            <w:tcW w:w="709" w:type="dxa"/>
            <w:tcBorders>
              <w:top w:val="nil"/>
              <w:left w:val="nil"/>
              <w:bottom w:val="nil"/>
              <w:right w:val="nil"/>
            </w:tcBorders>
            <w:shd w:val="clear" w:color="auto" w:fill="auto"/>
            <w:noWrap/>
            <w:hideMark/>
          </w:tcPr>
          <w:p w14:paraId="2E012D8E" w14:textId="77777777" w:rsidR="00BD5715" w:rsidRPr="00BD5715" w:rsidRDefault="00BD5715" w:rsidP="00BD5715">
            <w:pPr>
              <w:spacing w:after="160" w:line="259" w:lineRule="auto"/>
              <w:rPr>
                <w:rFonts w:eastAsia="Times New Roman"/>
                <w:sz w:val="16"/>
                <w:szCs w:val="16"/>
                <w:lang w:val="en-GB"/>
              </w:rPr>
            </w:pPr>
          </w:p>
        </w:tc>
        <w:tc>
          <w:tcPr>
            <w:tcW w:w="236" w:type="dxa"/>
            <w:tcBorders>
              <w:top w:val="nil"/>
              <w:left w:val="nil"/>
              <w:bottom w:val="nil"/>
              <w:right w:val="nil"/>
            </w:tcBorders>
            <w:shd w:val="clear" w:color="auto" w:fill="auto"/>
            <w:noWrap/>
            <w:hideMark/>
          </w:tcPr>
          <w:p w14:paraId="7E3D5AF4" w14:textId="77777777" w:rsidR="00BD5715" w:rsidRPr="00BD5715" w:rsidRDefault="00BD5715" w:rsidP="00BD5715">
            <w:pPr>
              <w:spacing w:after="160" w:line="259" w:lineRule="auto"/>
              <w:rPr>
                <w:rFonts w:eastAsia="Times New Roman"/>
                <w:sz w:val="16"/>
                <w:szCs w:val="16"/>
                <w:lang w:val="en-GB"/>
              </w:rPr>
            </w:pPr>
          </w:p>
        </w:tc>
        <w:tc>
          <w:tcPr>
            <w:tcW w:w="1006" w:type="dxa"/>
            <w:gridSpan w:val="3"/>
            <w:tcBorders>
              <w:top w:val="nil"/>
              <w:left w:val="nil"/>
              <w:bottom w:val="nil"/>
              <w:right w:val="nil"/>
            </w:tcBorders>
            <w:shd w:val="clear" w:color="auto" w:fill="auto"/>
            <w:noWrap/>
            <w:hideMark/>
          </w:tcPr>
          <w:p w14:paraId="12D72F97" w14:textId="77777777" w:rsidR="00BD5715" w:rsidRPr="00BD5715" w:rsidRDefault="00BD5715" w:rsidP="00BD5715">
            <w:pPr>
              <w:spacing w:after="160" w:line="259" w:lineRule="auto"/>
              <w:rPr>
                <w:rFonts w:eastAsia="Times New Roman"/>
                <w:sz w:val="16"/>
                <w:szCs w:val="16"/>
                <w:lang w:val="en-GB"/>
              </w:rPr>
            </w:pPr>
          </w:p>
        </w:tc>
        <w:tc>
          <w:tcPr>
            <w:tcW w:w="236" w:type="dxa"/>
            <w:tcBorders>
              <w:top w:val="nil"/>
              <w:left w:val="nil"/>
              <w:bottom w:val="nil"/>
              <w:right w:val="nil"/>
            </w:tcBorders>
            <w:shd w:val="clear" w:color="auto" w:fill="auto"/>
            <w:noWrap/>
            <w:hideMark/>
          </w:tcPr>
          <w:p w14:paraId="64496B86" w14:textId="77777777" w:rsidR="00BD5715" w:rsidRPr="00BD5715" w:rsidRDefault="00BD5715" w:rsidP="00BD5715">
            <w:pPr>
              <w:spacing w:after="160" w:line="259" w:lineRule="auto"/>
              <w:rPr>
                <w:rFonts w:eastAsia="Times New Roman"/>
                <w:sz w:val="16"/>
                <w:szCs w:val="16"/>
                <w:lang w:val="en-GB"/>
              </w:rPr>
            </w:pPr>
          </w:p>
        </w:tc>
        <w:tc>
          <w:tcPr>
            <w:tcW w:w="1469" w:type="dxa"/>
            <w:gridSpan w:val="2"/>
            <w:tcBorders>
              <w:top w:val="nil"/>
              <w:left w:val="nil"/>
              <w:bottom w:val="nil"/>
              <w:right w:val="nil"/>
            </w:tcBorders>
            <w:shd w:val="clear" w:color="auto" w:fill="auto"/>
            <w:noWrap/>
            <w:hideMark/>
          </w:tcPr>
          <w:p w14:paraId="6FAEF24E" w14:textId="77777777" w:rsidR="00BD5715" w:rsidRPr="00BD5715" w:rsidRDefault="00BD5715" w:rsidP="00BD5715">
            <w:pPr>
              <w:spacing w:after="160" w:line="259" w:lineRule="auto"/>
              <w:rPr>
                <w:rFonts w:eastAsia="Times New Roman"/>
                <w:sz w:val="16"/>
                <w:szCs w:val="16"/>
                <w:lang w:val="en-GB"/>
              </w:rPr>
            </w:pPr>
          </w:p>
        </w:tc>
        <w:tc>
          <w:tcPr>
            <w:tcW w:w="303" w:type="dxa"/>
            <w:gridSpan w:val="2"/>
            <w:tcBorders>
              <w:top w:val="nil"/>
              <w:left w:val="nil"/>
              <w:bottom w:val="nil"/>
              <w:right w:val="nil"/>
            </w:tcBorders>
            <w:shd w:val="clear" w:color="auto" w:fill="auto"/>
            <w:noWrap/>
            <w:hideMark/>
          </w:tcPr>
          <w:p w14:paraId="2592997E" w14:textId="77777777" w:rsidR="00BD5715" w:rsidRPr="00BD5715" w:rsidRDefault="00BD5715" w:rsidP="00BD5715">
            <w:pPr>
              <w:spacing w:after="160" w:line="259" w:lineRule="auto"/>
              <w:rPr>
                <w:rFonts w:eastAsia="Times New Roman"/>
                <w:sz w:val="16"/>
                <w:szCs w:val="16"/>
                <w:lang w:val="en-GB"/>
              </w:rPr>
            </w:pPr>
          </w:p>
        </w:tc>
        <w:tc>
          <w:tcPr>
            <w:tcW w:w="293" w:type="dxa"/>
            <w:gridSpan w:val="2"/>
            <w:tcBorders>
              <w:top w:val="nil"/>
              <w:left w:val="nil"/>
              <w:bottom w:val="nil"/>
              <w:right w:val="nil"/>
            </w:tcBorders>
          </w:tcPr>
          <w:p w14:paraId="041733B2" w14:textId="77777777" w:rsidR="00BD5715" w:rsidRPr="00BD5715" w:rsidRDefault="00BD5715" w:rsidP="00BD5715">
            <w:pPr>
              <w:spacing w:after="160" w:line="259" w:lineRule="auto"/>
              <w:rPr>
                <w:rFonts w:eastAsia="Times New Roman"/>
                <w:sz w:val="16"/>
                <w:szCs w:val="16"/>
                <w:lang w:val="en-GB"/>
              </w:rPr>
            </w:pPr>
          </w:p>
        </w:tc>
      </w:tr>
      <w:tr w:rsidR="00BD5715" w:rsidRPr="00BD5715" w14:paraId="122E2DF0"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329E1759" w14:textId="77777777" w:rsidR="00BD5715" w:rsidRPr="00BD5715" w:rsidRDefault="00BD5715" w:rsidP="00BD5715">
            <w:pPr>
              <w:spacing w:after="160" w:line="259" w:lineRule="auto"/>
              <w:rPr>
                <w:rFonts w:eastAsia="Times New Roman"/>
                <w:b/>
                <w:sz w:val="24"/>
                <w:szCs w:val="24"/>
                <w:lang w:val="en-GB"/>
              </w:rPr>
            </w:pPr>
          </w:p>
        </w:tc>
        <w:tc>
          <w:tcPr>
            <w:tcW w:w="1116" w:type="dxa"/>
            <w:tcBorders>
              <w:top w:val="nil"/>
              <w:left w:val="nil"/>
              <w:bottom w:val="nil"/>
              <w:right w:val="nil"/>
            </w:tcBorders>
            <w:shd w:val="clear" w:color="auto" w:fill="auto"/>
            <w:noWrap/>
            <w:hideMark/>
          </w:tcPr>
          <w:p w14:paraId="75F28865"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Epistaxis</w:t>
            </w:r>
          </w:p>
        </w:tc>
        <w:tc>
          <w:tcPr>
            <w:tcW w:w="279" w:type="dxa"/>
            <w:tcBorders>
              <w:top w:val="nil"/>
              <w:left w:val="nil"/>
              <w:bottom w:val="nil"/>
              <w:right w:val="nil"/>
            </w:tcBorders>
            <w:shd w:val="clear" w:color="auto" w:fill="auto"/>
            <w:noWrap/>
            <w:hideMark/>
          </w:tcPr>
          <w:p w14:paraId="74678D70"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43AA008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6BE39BE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15E0CABB"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6BCE2B4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5F5FC16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778B4848"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3560F76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63FF1C9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4CF83986"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69C3A8C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ns</w:t>
            </w:r>
          </w:p>
        </w:tc>
      </w:tr>
      <w:tr w:rsidR="00BD5715" w:rsidRPr="00BD5715" w14:paraId="03BBC75B"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10A515A6"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283C4365"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Facial discomfort</w:t>
            </w:r>
          </w:p>
        </w:tc>
        <w:tc>
          <w:tcPr>
            <w:tcW w:w="279" w:type="dxa"/>
            <w:tcBorders>
              <w:top w:val="nil"/>
              <w:left w:val="nil"/>
              <w:bottom w:val="nil"/>
              <w:right w:val="nil"/>
            </w:tcBorders>
            <w:shd w:val="clear" w:color="auto" w:fill="auto"/>
            <w:noWrap/>
            <w:hideMark/>
          </w:tcPr>
          <w:p w14:paraId="2AF2351C"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28EC4E9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0C8F9B0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7C3BEAEE"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21B0A8E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114D0DF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541DD1B0"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17022AA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(16·7)</w:t>
            </w:r>
          </w:p>
        </w:tc>
        <w:tc>
          <w:tcPr>
            <w:tcW w:w="850" w:type="dxa"/>
            <w:gridSpan w:val="2"/>
            <w:tcBorders>
              <w:top w:val="nil"/>
              <w:left w:val="nil"/>
              <w:bottom w:val="nil"/>
              <w:right w:val="nil"/>
            </w:tcBorders>
            <w:shd w:val="clear" w:color="auto" w:fill="auto"/>
            <w:noWrap/>
            <w:hideMark/>
          </w:tcPr>
          <w:p w14:paraId="492BEB3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34EC6C6F"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6D08C007"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2FCFA42A"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55DB9672"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64276994"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Facial numbness</w:t>
            </w:r>
          </w:p>
        </w:tc>
        <w:tc>
          <w:tcPr>
            <w:tcW w:w="279" w:type="dxa"/>
            <w:tcBorders>
              <w:top w:val="nil"/>
              <w:left w:val="nil"/>
              <w:bottom w:val="nil"/>
              <w:right w:val="nil"/>
            </w:tcBorders>
            <w:shd w:val="clear" w:color="auto" w:fill="auto"/>
            <w:noWrap/>
            <w:hideMark/>
          </w:tcPr>
          <w:p w14:paraId="570A4E9F"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41770D4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0F44CBF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5D506EAF"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71B307C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7C3DBC0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425" w:type="dxa"/>
            <w:tcBorders>
              <w:top w:val="nil"/>
              <w:left w:val="nil"/>
              <w:bottom w:val="nil"/>
              <w:right w:val="nil"/>
            </w:tcBorders>
            <w:shd w:val="clear" w:color="auto" w:fill="auto"/>
            <w:noWrap/>
            <w:hideMark/>
          </w:tcPr>
          <w:p w14:paraId="67631981"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5FD6564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3CB901F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208E2E17"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098AE068"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19A411FC"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4BD9A371"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77600B20"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Facial swelling</w:t>
            </w:r>
          </w:p>
        </w:tc>
        <w:tc>
          <w:tcPr>
            <w:tcW w:w="279" w:type="dxa"/>
            <w:tcBorders>
              <w:top w:val="nil"/>
              <w:left w:val="nil"/>
              <w:bottom w:val="nil"/>
              <w:right w:val="nil"/>
            </w:tcBorders>
            <w:shd w:val="clear" w:color="auto" w:fill="auto"/>
            <w:noWrap/>
            <w:hideMark/>
          </w:tcPr>
          <w:p w14:paraId="3A97CC1A"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6C7DD67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329A597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66672556"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1E103EC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7045B07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3C8F79FB"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6747673A"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394FFC2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4C885295"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24D4FABE"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242ADCA3"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4652A48C"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6B7F6AF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Lacrimation</w:t>
            </w:r>
          </w:p>
        </w:tc>
        <w:tc>
          <w:tcPr>
            <w:tcW w:w="279" w:type="dxa"/>
            <w:tcBorders>
              <w:top w:val="nil"/>
              <w:left w:val="nil"/>
              <w:bottom w:val="nil"/>
              <w:right w:val="nil"/>
            </w:tcBorders>
            <w:shd w:val="clear" w:color="auto" w:fill="auto"/>
            <w:noWrap/>
            <w:hideMark/>
          </w:tcPr>
          <w:p w14:paraId="1236A8D3"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55F7512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0BF0852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25320AE8"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0BD92DE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25C3365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4D0944C8"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77A092E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6631B25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1B939371"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078C15BE"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7712B820"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1B5F1F0D"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2B36F44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Loss of smell</w:t>
            </w:r>
          </w:p>
        </w:tc>
        <w:tc>
          <w:tcPr>
            <w:tcW w:w="279" w:type="dxa"/>
            <w:tcBorders>
              <w:top w:val="nil"/>
              <w:left w:val="nil"/>
              <w:bottom w:val="nil"/>
              <w:right w:val="nil"/>
            </w:tcBorders>
            <w:shd w:val="clear" w:color="auto" w:fill="auto"/>
            <w:noWrap/>
            <w:hideMark/>
          </w:tcPr>
          <w:p w14:paraId="7646880E"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0ADE84B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1596FFA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5CDB98D1"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6F82654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7873A54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0798DBBB"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0E32524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(16·7)</w:t>
            </w:r>
          </w:p>
        </w:tc>
        <w:tc>
          <w:tcPr>
            <w:tcW w:w="850" w:type="dxa"/>
            <w:gridSpan w:val="2"/>
            <w:tcBorders>
              <w:top w:val="nil"/>
              <w:left w:val="nil"/>
              <w:bottom w:val="nil"/>
              <w:right w:val="nil"/>
            </w:tcBorders>
            <w:shd w:val="clear" w:color="auto" w:fill="auto"/>
            <w:noWrap/>
            <w:hideMark/>
          </w:tcPr>
          <w:p w14:paraId="3B8C24B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0A6A85E3"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339F086B"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3A753825"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242E99DD"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2AD17F0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Nasal discomfort</w:t>
            </w:r>
          </w:p>
        </w:tc>
        <w:tc>
          <w:tcPr>
            <w:tcW w:w="279" w:type="dxa"/>
            <w:tcBorders>
              <w:top w:val="nil"/>
              <w:left w:val="nil"/>
              <w:bottom w:val="nil"/>
              <w:right w:val="nil"/>
            </w:tcBorders>
            <w:shd w:val="clear" w:color="auto" w:fill="auto"/>
            <w:noWrap/>
            <w:hideMark/>
          </w:tcPr>
          <w:p w14:paraId="42036E9C"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18B7378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757" w:type="dxa"/>
            <w:tcBorders>
              <w:top w:val="nil"/>
              <w:left w:val="nil"/>
              <w:bottom w:val="nil"/>
              <w:right w:val="nil"/>
            </w:tcBorders>
            <w:shd w:val="clear" w:color="auto" w:fill="auto"/>
            <w:noWrap/>
            <w:hideMark/>
          </w:tcPr>
          <w:p w14:paraId="47DB171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3B123C74"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45A5F93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0B56B35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182AA37D"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36CEC38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850" w:type="dxa"/>
            <w:gridSpan w:val="2"/>
            <w:tcBorders>
              <w:top w:val="nil"/>
              <w:left w:val="nil"/>
              <w:bottom w:val="nil"/>
              <w:right w:val="nil"/>
            </w:tcBorders>
            <w:shd w:val="clear" w:color="auto" w:fill="auto"/>
            <w:noWrap/>
            <w:hideMark/>
          </w:tcPr>
          <w:p w14:paraId="353113E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36D62FCF"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51F4E154"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4EBE3B91"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3DF7BB1C"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63D1E894"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 xml:space="preserve">Nasal pain </w:t>
            </w:r>
          </w:p>
        </w:tc>
        <w:tc>
          <w:tcPr>
            <w:tcW w:w="279" w:type="dxa"/>
            <w:tcBorders>
              <w:top w:val="nil"/>
              <w:left w:val="nil"/>
              <w:bottom w:val="nil"/>
              <w:right w:val="nil"/>
            </w:tcBorders>
            <w:shd w:val="clear" w:color="auto" w:fill="auto"/>
            <w:noWrap/>
            <w:hideMark/>
          </w:tcPr>
          <w:p w14:paraId="06D45394"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1A97182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318568C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66117C5F"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47DD3FC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0DE5558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320F8692"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18AA570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59DA303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2277908F"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5FF17FBC"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22B93750"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73001592"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65487175"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Red eyes</w:t>
            </w:r>
          </w:p>
        </w:tc>
        <w:tc>
          <w:tcPr>
            <w:tcW w:w="279" w:type="dxa"/>
            <w:tcBorders>
              <w:top w:val="nil"/>
              <w:left w:val="nil"/>
              <w:bottom w:val="nil"/>
              <w:right w:val="nil"/>
            </w:tcBorders>
            <w:shd w:val="clear" w:color="auto" w:fill="auto"/>
            <w:noWrap/>
            <w:hideMark/>
          </w:tcPr>
          <w:p w14:paraId="2735733E"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4892CDEA"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42F2734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6A3D72DC"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526C5CB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222E409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63716FDF"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11DD97A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7D0EB84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38BF7B5E"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24EC9267"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4BB3BF29"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368BACE3"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27745C7B" w14:textId="77777777" w:rsidR="00BD5715" w:rsidRPr="00BD5715" w:rsidRDefault="00BD5715" w:rsidP="00BD5715">
            <w:pPr>
              <w:spacing w:after="160" w:line="259" w:lineRule="auto"/>
              <w:rPr>
                <w:rFonts w:eastAsia="Times New Roman"/>
                <w:b/>
                <w:color w:val="000000"/>
                <w:sz w:val="16"/>
                <w:szCs w:val="16"/>
                <w:lang w:val="en-GB"/>
              </w:rPr>
            </w:pPr>
            <w:proofErr w:type="spellStart"/>
            <w:r w:rsidRPr="00BD5715">
              <w:rPr>
                <w:rFonts w:eastAsia="Times New Roman"/>
                <w:b/>
                <w:color w:val="000000"/>
                <w:sz w:val="16"/>
                <w:szCs w:val="16"/>
                <w:lang w:val="en-GB"/>
              </w:rPr>
              <w:t>Rhinorrhea</w:t>
            </w:r>
            <w:proofErr w:type="spellEnd"/>
          </w:p>
        </w:tc>
        <w:tc>
          <w:tcPr>
            <w:tcW w:w="279" w:type="dxa"/>
            <w:tcBorders>
              <w:top w:val="nil"/>
              <w:left w:val="nil"/>
              <w:bottom w:val="nil"/>
              <w:right w:val="nil"/>
            </w:tcBorders>
            <w:shd w:val="clear" w:color="auto" w:fill="auto"/>
            <w:noWrap/>
            <w:hideMark/>
          </w:tcPr>
          <w:p w14:paraId="360C9042"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1B0708F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3 (16·7)</w:t>
            </w:r>
          </w:p>
        </w:tc>
        <w:tc>
          <w:tcPr>
            <w:tcW w:w="757" w:type="dxa"/>
            <w:tcBorders>
              <w:top w:val="nil"/>
              <w:left w:val="nil"/>
              <w:bottom w:val="nil"/>
              <w:right w:val="nil"/>
            </w:tcBorders>
            <w:shd w:val="clear" w:color="auto" w:fill="auto"/>
            <w:noWrap/>
            <w:hideMark/>
          </w:tcPr>
          <w:p w14:paraId="77EF050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(11·8)</w:t>
            </w:r>
          </w:p>
        </w:tc>
        <w:tc>
          <w:tcPr>
            <w:tcW w:w="463" w:type="dxa"/>
            <w:tcBorders>
              <w:top w:val="nil"/>
              <w:left w:val="nil"/>
              <w:bottom w:val="nil"/>
              <w:right w:val="nil"/>
            </w:tcBorders>
            <w:shd w:val="clear" w:color="auto" w:fill="auto"/>
            <w:noWrap/>
            <w:hideMark/>
          </w:tcPr>
          <w:p w14:paraId="279FD015"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38FE6B8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709" w:type="dxa"/>
            <w:gridSpan w:val="2"/>
            <w:tcBorders>
              <w:top w:val="nil"/>
              <w:left w:val="nil"/>
              <w:bottom w:val="nil"/>
              <w:right w:val="nil"/>
            </w:tcBorders>
            <w:shd w:val="clear" w:color="auto" w:fill="auto"/>
            <w:noWrap/>
            <w:hideMark/>
          </w:tcPr>
          <w:p w14:paraId="136EFE5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24203E94"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040D679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114CE68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359" w:type="dxa"/>
            <w:gridSpan w:val="2"/>
            <w:tcBorders>
              <w:top w:val="nil"/>
              <w:left w:val="nil"/>
              <w:bottom w:val="nil"/>
              <w:right w:val="nil"/>
            </w:tcBorders>
          </w:tcPr>
          <w:p w14:paraId="4E357402"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73B040D2"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47C89639"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49B95FEF"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67A23E12"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Sneezing</w:t>
            </w:r>
          </w:p>
        </w:tc>
        <w:tc>
          <w:tcPr>
            <w:tcW w:w="279" w:type="dxa"/>
            <w:tcBorders>
              <w:top w:val="nil"/>
              <w:left w:val="nil"/>
              <w:bottom w:val="nil"/>
              <w:right w:val="nil"/>
            </w:tcBorders>
            <w:shd w:val="clear" w:color="auto" w:fill="auto"/>
            <w:noWrap/>
            <w:hideMark/>
          </w:tcPr>
          <w:p w14:paraId="5634281B"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29F37F6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757" w:type="dxa"/>
            <w:tcBorders>
              <w:top w:val="nil"/>
              <w:left w:val="nil"/>
              <w:bottom w:val="nil"/>
              <w:right w:val="nil"/>
            </w:tcBorders>
            <w:shd w:val="clear" w:color="auto" w:fill="auto"/>
            <w:noWrap/>
            <w:hideMark/>
          </w:tcPr>
          <w:p w14:paraId="7D6B8C5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21F33A4D"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0B10500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0BDBBF6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084B244C"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45BC227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5D832B8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0C2A0DB9"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445D3BB6"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7A520AAC"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7537F221"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7E50CBA1"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Sore throat</w:t>
            </w:r>
          </w:p>
        </w:tc>
        <w:tc>
          <w:tcPr>
            <w:tcW w:w="279" w:type="dxa"/>
            <w:tcBorders>
              <w:top w:val="nil"/>
              <w:left w:val="nil"/>
              <w:bottom w:val="nil"/>
              <w:right w:val="nil"/>
            </w:tcBorders>
            <w:shd w:val="clear" w:color="auto" w:fill="auto"/>
            <w:noWrap/>
            <w:hideMark/>
          </w:tcPr>
          <w:p w14:paraId="7CA0D233"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40ACF25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757" w:type="dxa"/>
            <w:tcBorders>
              <w:top w:val="nil"/>
              <w:left w:val="nil"/>
              <w:bottom w:val="nil"/>
              <w:right w:val="nil"/>
            </w:tcBorders>
            <w:shd w:val="clear" w:color="auto" w:fill="auto"/>
            <w:noWrap/>
            <w:hideMark/>
          </w:tcPr>
          <w:p w14:paraId="45D9477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3B97C752"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48C670E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7FE5244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14ADAF02"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661F92E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6453841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72FEDD23"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36767ACE"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24521AEE"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38706085"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4A33A7D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Stuffy nose</w:t>
            </w:r>
          </w:p>
        </w:tc>
        <w:tc>
          <w:tcPr>
            <w:tcW w:w="279" w:type="dxa"/>
            <w:tcBorders>
              <w:top w:val="nil"/>
              <w:left w:val="nil"/>
              <w:bottom w:val="nil"/>
              <w:right w:val="nil"/>
            </w:tcBorders>
            <w:shd w:val="clear" w:color="auto" w:fill="auto"/>
            <w:noWrap/>
            <w:hideMark/>
          </w:tcPr>
          <w:p w14:paraId="3ABB58B9"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404774B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3 (16·7)</w:t>
            </w:r>
          </w:p>
        </w:tc>
        <w:tc>
          <w:tcPr>
            <w:tcW w:w="757" w:type="dxa"/>
            <w:tcBorders>
              <w:top w:val="nil"/>
              <w:left w:val="nil"/>
              <w:bottom w:val="nil"/>
              <w:right w:val="nil"/>
            </w:tcBorders>
            <w:shd w:val="clear" w:color="auto" w:fill="auto"/>
            <w:noWrap/>
            <w:hideMark/>
          </w:tcPr>
          <w:p w14:paraId="1055839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(5·9)</w:t>
            </w:r>
          </w:p>
        </w:tc>
        <w:tc>
          <w:tcPr>
            <w:tcW w:w="463" w:type="dxa"/>
            <w:tcBorders>
              <w:top w:val="nil"/>
              <w:left w:val="nil"/>
              <w:bottom w:val="nil"/>
              <w:right w:val="nil"/>
            </w:tcBorders>
            <w:shd w:val="clear" w:color="auto" w:fill="auto"/>
            <w:noWrap/>
            <w:hideMark/>
          </w:tcPr>
          <w:p w14:paraId="3BA551E1"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5042F66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33F3F38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30D29CFF"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1ADDAE6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850" w:type="dxa"/>
            <w:gridSpan w:val="2"/>
            <w:tcBorders>
              <w:top w:val="nil"/>
              <w:left w:val="nil"/>
              <w:bottom w:val="nil"/>
              <w:right w:val="nil"/>
            </w:tcBorders>
            <w:shd w:val="clear" w:color="auto" w:fill="auto"/>
            <w:noWrap/>
            <w:hideMark/>
          </w:tcPr>
          <w:p w14:paraId="4577FE4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359" w:type="dxa"/>
            <w:gridSpan w:val="2"/>
            <w:tcBorders>
              <w:top w:val="nil"/>
              <w:left w:val="nil"/>
              <w:bottom w:val="nil"/>
              <w:right w:val="nil"/>
            </w:tcBorders>
          </w:tcPr>
          <w:p w14:paraId="2763D738"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3C4453DD"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6EFED7FA" w14:textId="77777777" w:rsidTr="00BD5715">
        <w:trPr>
          <w:gridAfter w:val="1"/>
          <w:wAfter w:w="43" w:type="dxa"/>
          <w:trHeight w:val="240"/>
        </w:trPr>
        <w:tc>
          <w:tcPr>
            <w:tcW w:w="1396" w:type="dxa"/>
            <w:gridSpan w:val="2"/>
            <w:tcBorders>
              <w:top w:val="nil"/>
              <w:left w:val="nil"/>
              <w:bottom w:val="nil"/>
              <w:right w:val="nil"/>
            </w:tcBorders>
            <w:shd w:val="clear" w:color="auto" w:fill="auto"/>
            <w:noWrap/>
            <w:hideMark/>
          </w:tcPr>
          <w:p w14:paraId="7CDFE789"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Systemic</w:t>
            </w:r>
          </w:p>
        </w:tc>
        <w:tc>
          <w:tcPr>
            <w:tcW w:w="279" w:type="dxa"/>
            <w:tcBorders>
              <w:top w:val="nil"/>
              <w:left w:val="nil"/>
              <w:bottom w:val="nil"/>
              <w:right w:val="nil"/>
            </w:tcBorders>
            <w:shd w:val="clear" w:color="auto" w:fill="auto"/>
            <w:noWrap/>
            <w:hideMark/>
          </w:tcPr>
          <w:p w14:paraId="34C2731F"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tcPr>
          <w:p w14:paraId="22C74BF2"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tcPr>
          <w:p w14:paraId="52B95B07" w14:textId="77777777" w:rsidR="00BD5715" w:rsidRPr="00BD5715" w:rsidRDefault="00BD5715" w:rsidP="00BD5715">
            <w:pPr>
              <w:spacing w:after="160" w:line="259" w:lineRule="auto"/>
              <w:rPr>
                <w:rFonts w:eastAsia="Times New Roman"/>
                <w:color w:val="000000"/>
                <w:sz w:val="16"/>
                <w:szCs w:val="16"/>
                <w:lang w:val="en-GB"/>
              </w:rPr>
            </w:pPr>
          </w:p>
        </w:tc>
        <w:tc>
          <w:tcPr>
            <w:tcW w:w="463" w:type="dxa"/>
            <w:tcBorders>
              <w:top w:val="nil"/>
              <w:left w:val="nil"/>
              <w:bottom w:val="nil"/>
              <w:right w:val="nil"/>
            </w:tcBorders>
            <w:shd w:val="clear" w:color="auto" w:fill="auto"/>
            <w:noWrap/>
          </w:tcPr>
          <w:p w14:paraId="2BE60CC3"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tcPr>
          <w:p w14:paraId="338459ED" w14:textId="77777777" w:rsidR="00BD5715" w:rsidRPr="00BD5715" w:rsidRDefault="00BD5715" w:rsidP="00BD5715">
            <w:pPr>
              <w:spacing w:after="160" w:line="259" w:lineRule="auto"/>
              <w:rPr>
                <w:rFonts w:eastAsia="Times New Roman"/>
                <w:color w:val="000000"/>
                <w:sz w:val="16"/>
                <w:szCs w:val="16"/>
                <w:lang w:val="en-GB"/>
              </w:rPr>
            </w:pPr>
          </w:p>
        </w:tc>
        <w:tc>
          <w:tcPr>
            <w:tcW w:w="709" w:type="dxa"/>
            <w:gridSpan w:val="2"/>
            <w:tcBorders>
              <w:top w:val="nil"/>
              <w:left w:val="nil"/>
              <w:bottom w:val="nil"/>
              <w:right w:val="nil"/>
            </w:tcBorders>
            <w:shd w:val="clear" w:color="auto" w:fill="auto"/>
            <w:noWrap/>
          </w:tcPr>
          <w:p w14:paraId="777A9EB4" w14:textId="77777777" w:rsidR="00BD5715" w:rsidRPr="00BD5715" w:rsidRDefault="00BD5715" w:rsidP="00BD5715">
            <w:pPr>
              <w:spacing w:after="160" w:line="259" w:lineRule="auto"/>
              <w:rPr>
                <w:rFonts w:eastAsia="Times New Roman"/>
                <w:color w:val="000000"/>
                <w:sz w:val="16"/>
                <w:szCs w:val="16"/>
                <w:lang w:val="en-GB"/>
              </w:rPr>
            </w:pPr>
          </w:p>
        </w:tc>
        <w:tc>
          <w:tcPr>
            <w:tcW w:w="425" w:type="dxa"/>
            <w:tcBorders>
              <w:top w:val="nil"/>
              <w:left w:val="nil"/>
              <w:bottom w:val="nil"/>
              <w:right w:val="nil"/>
            </w:tcBorders>
            <w:shd w:val="clear" w:color="auto" w:fill="auto"/>
            <w:noWrap/>
          </w:tcPr>
          <w:p w14:paraId="362755C7"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tcPr>
          <w:p w14:paraId="1E128CD6" w14:textId="77777777" w:rsidR="00BD5715" w:rsidRPr="00BD5715" w:rsidRDefault="00BD5715" w:rsidP="00BD5715">
            <w:pPr>
              <w:spacing w:after="160" w:line="259" w:lineRule="auto"/>
              <w:rPr>
                <w:rFonts w:eastAsia="Times New Roman"/>
                <w:color w:val="000000"/>
                <w:sz w:val="16"/>
                <w:szCs w:val="16"/>
                <w:lang w:val="en-GB"/>
              </w:rPr>
            </w:pPr>
          </w:p>
        </w:tc>
        <w:tc>
          <w:tcPr>
            <w:tcW w:w="850" w:type="dxa"/>
            <w:gridSpan w:val="2"/>
            <w:tcBorders>
              <w:top w:val="nil"/>
              <w:left w:val="nil"/>
              <w:bottom w:val="nil"/>
              <w:right w:val="nil"/>
            </w:tcBorders>
            <w:shd w:val="clear" w:color="auto" w:fill="auto"/>
            <w:noWrap/>
          </w:tcPr>
          <w:p w14:paraId="48B1A38A" w14:textId="77777777" w:rsidR="00BD5715" w:rsidRPr="00BD5715" w:rsidRDefault="00BD5715" w:rsidP="00BD5715">
            <w:pPr>
              <w:spacing w:after="160" w:line="259" w:lineRule="auto"/>
              <w:rPr>
                <w:rFonts w:eastAsia="Times New Roman"/>
                <w:color w:val="000000"/>
                <w:sz w:val="16"/>
                <w:szCs w:val="16"/>
                <w:lang w:val="en-GB"/>
              </w:rPr>
            </w:pPr>
          </w:p>
        </w:tc>
        <w:tc>
          <w:tcPr>
            <w:tcW w:w="359" w:type="dxa"/>
            <w:gridSpan w:val="2"/>
            <w:tcBorders>
              <w:top w:val="nil"/>
              <w:left w:val="nil"/>
              <w:bottom w:val="nil"/>
              <w:right w:val="nil"/>
            </w:tcBorders>
          </w:tcPr>
          <w:p w14:paraId="61DBCF01"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48A14C74" w14:textId="77777777" w:rsidR="00BD5715" w:rsidRPr="00BD5715" w:rsidRDefault="00BD5715" w:rsidP="00BD5715">
            <w:pPr>
              <w:spacing w:after="160" w:line="259" w:lineRule="auto"/>
              <w:rPr>
                <w:rFonts w:eastAsia="Times New Roman"/>
                <w:color w:val="000000"/>
                <w:sz w:val="16"/>
                <w:szCs w:val="16"/>
                <w:lang w:val="en-GB"/>
              </w:rPr>
            </w:pPr>
          </w:p>
        </w:tc>
      </w:tr>
      <w:tr w:rsidR="00BD5715" w:rsidRPr="00BD5715" w14:paraId="7ED0CA3C"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41B089DB"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2CA57019"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Arthralgia</w:t>
            </w:r>
          </w:p>
        </w:tc>
        <w:tc>
          <w:tcPr>
            <w:tcW w:w="279" w:type="dxa"/>
            <w:tcBorders>
              <w:top w:val="nil"/>
              <w:left w:val="nil"/>
              <w:bottom w:val="nil"/>
              <w:right w:val="nil"/>
            </w:tcBorders>
            <w:shd w:val="clear" w:color="auto" w:fill="auto"/>
            <w:noWrap/>
            <w:hideMark/>
          </w:tcPr>
          <w:p w14:paraId="61CA4B3E"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28B5736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5418DCC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58DABE7E"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5ACADFC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33F8E19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6DF32C14"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24EEED6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7D1594A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3FF4B285"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297168DE"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3C29A01B"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2AEB6BD7"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2494DD51"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Chills</w:t>
            </w:r>
          </w:p>
        </w:tc>
        <w:tc>
          <w:tcPr>
            <w:tcW w:w="279" w:type="dxa"/>
            <w:tcBorders>
              <w:top w:val="nil"/>
              <w:left w:val="nil"/>
              <w:bottom w:val="nil"/>
              <w:right w:val="nil"/>
            </w:tcBorders>
            <w:shd w:val="clear" w:color="auto" w:fill="auto"/>
            <w:noWrap/>
            <w:hideMark/>
          </w:tcPr>
          <w:p w14:paraId="7DFB2777"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2726058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78AEEB4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(5·9)</w:t>
            </w:r>
          </w:p>
        </w:tc>
        <w:tc>
          <w:tcPr>
            <w:tcW w:w="463" w:type="dxa"/>
            <w:tcBorders>
              <w:top w:val="nil"/>
              <w:left w:val="nil"/>
              <w:bottom w:val="nil"/>
              <w:right w:val="nil"/>
            </w:tcBorders>
            <w:shd w:val="clear" w:color="auto" w:fill="auto"/>
            <w:noWrap/>
            <w:hideMark/>
          </w:tcPr>
          <w:p w14:paraId="6984D776"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284AAD9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53F2975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1CA5508F"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0D1030E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4130D52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096EEF3A"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7FDC294E"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6C2E2138"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23EFEE92"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46A02ACF"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Fatigue</w:t>
            </w:r>
          </w:p>
        </w:tc>
        <w:tc>
          <w:tcPr>
            <w:tcW w:w="279" w:type="dxa"/>
            <w:tcBorders>
              <w:top w:val="nil"/>
              <w:left w:val="nil"/>
              <w:bottom w:val="nil"/>
              <w:right w:val="nil"/>
            </w:tcBorders>
            <w:shd w:val="clear" w:color="auto" w:fill="auto"/>
            <w:noWrap/>
            <w:hideMark/>
          </w:tcPr>
          <w:p w14:paraId="099723E4"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0648896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(11·1)</w:t>
            </w:r>
          </w:p>
        </w:tc>
        <w:tc>
          <w:tcPr>
            <w:tcW w:w="757" w:type="dxa"/>
            <w:tcBorders>
              <w:top w:val="nil"/>
              <w:left w:val="nil"/>
              <w:bottom w:val="nil"/>
              <w:right w:val="nil"/>
            </w:tcBorders>
            <w:shd w:val="clear" w:color="auto" w:fill="auto"/>
            <w:noWrap/>
            <w:hideMark/>
          </w:tcPr>
          <w:p w14:paraId="27CB979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(11·8)</w:t>
            </w:r>
          </w:p>
        </w:tc>
        <w:tc>
          <w:tcPr>
            <w:tcW w:w="463" w:type="dxa"/>
            <w:tcBorders>
              <w:top w:val="nil"/>
              <w:left w:val="nil"/>
              <w:bottom w:val="nil"/>
              <w:right w:val="nil"/>
            </w:tcBorders>
            <w:shd w:val="clear" w:color="auto" w:fill="auto"/>
            <w:noWrap/>
            <w:hideMark/>
          </w:tcPr>
          <w:p w14:paraId="48829880"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552145E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7882D1B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4DB3E817"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09DBA46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3 (25)</w:t>
            </w:r>
          </w:p>
        </w:tc>
        <w:tc>
          <w:tcPr>
            <w:tcW w:w="850" w:type="dxa"/>
            <w:gridSpan w:val="2"/>
            <w:tcBorders>
              <w:top w:val="nil"/>
              <w:left w:val="nil"/>
              <w:bottom w:val="nil"/>
              <w:right w:val="nil"/>
            </w:tcBorders>
            <w:shd w:val="clear" w:color="auto" w:fill="auto"/>
            <w:noWrap/>
            <w:hideMark/>
          </w:tcPr>
          <w:p w14:paraId="4A3DF7E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359" w:type="dxa"/>
            <w:gridSpan w:val="2"/>
            <w:tcBorders>
              <w:top w:val="nil"/>
              <w:left w:val="nil"/>
              <w:bottom w:val="nil"/>
              <w:right w:val="nil"/>
            </w:tcBorders>
          </w:tcPr>
          <w:p w14:paraId="465C2A84"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58D7DC60"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37C36F75"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40BD5316"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3A2942A4"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Feeling feverish</w:t>
            </w:r>
          </w:p>
        </w:tc>
        <w:tc>
          <w:tcPr>
            <w:tcW w:w="279" w:type="dxa"/>
            <w:tcBorders>
              <w:top w:val="nil"/>
              <w:left w:val="nil"/>
              <w:bottom w:val="nil"/>
              <w:right w:val="nil"/>
            </w:tcBorders>
            <w:shd w:val="clear" w:color="auto" w:fill="auto"/>
            <w:noWrap/>
            <w:hideMark/>
          </w:tcPr>
          <w:p w14:paraId="5BEE6AA3"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647DDFF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2 (11·1)</w:t>
            </w:r>
          </w:p>
        </w:tc>
        <w:tc>
          <w:tcPr>
            <w:tcW w:w="757" w:type="dxa"/>
            <w:tcBorders>
              <w:top w:val="nil"/>
              <w:left w:val="nil"/>
              <w:bottom w:val="nil"/>
              <w:right w:val="nil"/>
            </w:tcBorders>
            <w:shd w:val="clear" w:color="auto" w:fill="auto"/>
            <w:noWrap/>
            <w:hideMark/>
          </w:tcPr>
          <w:p w14:paraId="4C06882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31A35169"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6176F6E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2BEB840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05355857"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6A8AB9E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6709B00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79B2B45D"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57BE39FC"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08D39DBC"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5F97BF75"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5B98D12E"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Itching</w:t>
            </w:r>
          </w:p>
        </w:tc>
        <w:tc>
          <w:tcPr>
            <w:tcW w:w="279" w:type="dxa"/>
            <w:tcBorders>
              <w:top w:val="nil"/>
              <w:left w:val="nil"/>
              <w:bottom w:val="nil"/>
              <w:right w:val="nil"/>
            </w:tcBorders>
            <w:shd w:val="clear" w:color="auto" w:fill="auto"/>
            <w:noWrap/>
            <w:hideMark/>
          </w:tcPr>
          <w:p w14:paraId="109DBE36"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0E96D1B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4AF7565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0DB8BFD9"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03A492B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5B9C663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1A0B3F7A"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3C8EF4D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535323C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378FB2E7"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1ECF1133"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1E948F42"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3956DE5C"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549D3794"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Headache</w:t>
            </w:r>
          </w:p>
        </w:tc>
        <w:tc>
          <w:tcPr>
            <w:tcW w:w="279" w:type="dxa"/>
            <w:tcBorders>
              <w:top w:val="nil"/>
              <w:left w:val="nil"/>
              <w:bottom w:val="nil"/>
              <w:right w:val="nil"/>
            </w:tcBorders>
            <w:shd w:val="clear" w:color="auto" w:fill="auto"/>
            <w:noWrap/>
            <w:hideMark/>
          </w:tcPr>
          <w:p w14:paraId="2E69FF89"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337CEB4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5A5B120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(5·9)</w:t>
            </w:r>
          </w:p>
        </w:tc>
        <w:tc>
          <w:tcPr>
            <w:tcW w:w="463" w:type="dxa"/>
            <w:tcBorders>
              <w:top w:val="nil"/>
              <w:left w:val="nil"/>
              <w:bottom w:val="nil"/>
              <w:right w:val="nil"/>
            </w:tcBorders>
            <w:shd w:val="clear" w:color="auto" w:fill="auto"/>
            <w:noWrap/>
            <w:hideMark/>
          </w:tcPr>
          <w:p w14:paraId="72D08850"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450A4E1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37637B7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7E8532CA"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56FA5B0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850" w:type="dxa"/>
            <w:gridSpan w:val="2"/>
            <w:tcBorders>
              <w:top w:val="nil"/>
              <w:left w:val="nil"/>
              <w:bottom w:val="nil"/>
              <w:right w:val="nil"/>
            </w:tcBorders>
            <w:shd w:val="clear" w:color="auto" w:fill="auto"/>
            <w:noWrap/>
            <w:hideMark/>
          </w:tcPr>
          <w:p w14:paraId="5D8402A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359" w:type="dxa"/>
            <w:gridSpan w:val="2"/>
            <w:tcBorders>
              <w:top w:val="nil"/>
              <w:left w:val="nil"/>
              <w:bottom w:val="nil"/>
              <w:right w:val="nil"/>
            </w:tcBorders>
          </w:tcPr>
          <w:p w14:paraId="2C67717A"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17792BDE"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36BDF84F"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4448A5E0"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3210667B"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Malaise</w:t>
            </w:r>
          </w:p>
        </w:tc>
        <w:tc>
          <w:tcPr>
            <w:tcW w:w="279" w:type="dxa"/>
            <w:tcBorders>
              <w:top w:val="nil"/>
              <w:left w:val="nil"/>
              <w:bottom w:val="nil"/>
              <w:right w:val="nil"/>
            </w:tcBorders>
            <w:shd w:val="clear" w:color="auto" w:fill="auto"/>
            <w:noWrap/>
            <w:hideMark/>
          </w:tcPr>
          <w:p w14:paraId="3A3849EF"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1C793A1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(5·6)</w:t>
            </w:r>
          </w:p>
        </w:tc>
        <w:tc>
          <w:tcPr>
            <w:tcW w:w="757" w:type="dxa"/>
            <w:tcBorders>
              <w:top w:val="nil"/>
              <w:left w:val="nil"/>
              <w:bottom w:val="nil"/>
              <w:right w:val="nil"/>
            </w:tcBorders>
            <w:shd w:val="clear" w:color="auto" w:fill="auto"/>
            <w:noWrap/>
            <w:hideMark/>
          </w:tcPr>
          <w:p w14:paraId="71B5EC7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6B3CFA26"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1D55861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75068ED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17A32142"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683F8F5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696B809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5C319F63"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76BC7413"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032F6519"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30EBCED5"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616A9CF1"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Myalgia</w:t>
            </w:r>
          </w:p>
        </w:tc>
        <w:tc>
          <w:tcPr>
            <w:tcW w:w="279" w:type="dxa"/>
            <w:tcBorders>
              <w:top w:val="nil"/>
              <w:left w:val="nil"/>
              <w:bottom w:val="nil"/>
              <w:right w:val="nil"/>
            </w:tcBorders>
            <w:shd w:val="clear" w:color="auto" w:fill="auto"/>
            <w:noWrap/>
            <w:hideMark/>
          </w:tcPr>
          <w:p w14:paraId="5213A20A"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563C475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6189385B"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6843E8E7"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104ACAB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204EF44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0FFDBA3C"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13DE47FF"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517CBDF4"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nil"/>
              <w:right w:val="nil"/>
            </w:tcBorders>
          </w:tcPr>
          <w:p w14:paraId="39901BF2"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688CF8BD"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10BA85AA" w14:textId="77777777" w:rsidTr="00BD5715">
        <w:trPr>
          <w:gridAfter w:val="1"/>
          <w:wAfter w:w="43" w:type="dxa"/>
          <w:trHeight w:val="240"/>
        </w:trPr>
        <w:tc>
          <w:tcPr>
            <w:tcW w:w="280" w:type="dxa"/>
            <w:tcBorders>
              <w:top w:val="nil"/>
              <w:left w:val="nil"/>
              <w:bottom w:val="nil"/>
              <w:right w:val="nil"/>
            </w:tcBorders>
            <w:shd w:val="clear" w:color="auto" w:fill="auto"/>
            <w:noWrap/>
            <w:hideMark/>
          </w:tcPr>
          <w:p w14:paraId="4C461BEA" w14:textId="77777777" w:rsidR="00BD5715" w:rsidRPr="00BD5715" w:rsidRDefault="00BD5715" w:rsidP="00BD5715">
            <w:pPr>
              <w:spacing w:after="160" w:line="259" w:lineRule="auto"/>
              <w:rPr>
                <w:rFonts w:eastAsia="Times New Roman"/>
                <w:b/>
                <w:color w:val="000000"/>
                <w:sz w:val="24"/>
                <w:szCs w:val="24"/>
                <w:lang w:val="en-GB"/>
              </w:rPr>
            </w:pPr>
          </w:p>
        </w:tc>
        <w:tc>
          <w:tcPr>
            <w:tcW w:w="1116" w:type="dxa"/>
            <w:tcBorders>
              <w:top w:val="nil"/>
              <w:left w:val="nil"/>
              <w:bottom w:val="nil"/>
              <w:right w:val="nil"/>
            </w:tcBorders>
            <w:shd w:val="clear" w:color="auto" w:fill="auto"/>
            <w:noWrap/>
            <w:hideMark/>
          </w:tcPr>
          <w:p w14:paraId="38A9C3D1"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Nausea</w:t>
            </w:r>
          </w:p>
        </w:tc>
        <w:tc>
          <w:tcPr>
            <w:tcW w:w="279" w:type="dxa"/>
            <w:tcBorders>
              <w:top w:val="nil"/>
              <w:left w:val="nil"/>
              <w:bottom w:val="nil"/>
              <w:right w:val="nil"/>
            </w:tcBorders>
            <w:shd w:val="clear" w:color="auto" w:fill="auto"/>
            <w:noWrap/>
            <w:hideMark/>
          </w:tcPr>
          <w:p w14:paraId="63C9F14E"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nil"/>
              <w:right w:val="nil"/>
            </w:tcBorders>
            <w:shd w:val="clear" w:color="auto" w:fill="auto"/>
            <w:noWrap/>
            <w:hideMark/>
          </w:tcPr>
          <w:p w14:paraId="553B2902"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nil"/>
              <w:right w:val="nil"/>
            </w:tcBorders>
            <w:shd w:val="clear" w:color="auto" w:fill="auto"/>
            <w:noWrap/>
            <w:hideMark/>
          </w:tcPr>
          <w:p w14:paraId="59A10C3D"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nil"/>
              <w:right w:val="nil"/>
            </w:tcBorders>
            <w:shd w:val="clear" w:color="auto" w:fill="auto"/>
            <w:noWrap/>
            <w:hideMark/>
          </w:tcPr>
          <w:p w14:paraId="125F6A30"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nil"/>
              <w:right w:val="nil"/>
            </w:tcBorders>
            <w:shd w:val="clear" w:color="auto" w:fill="auto"/>
            <w:noWrap/>
            <w:hideMark/>
          </w:tcPr>
          <w:p w14:paraId="717967BC"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nil"/>
              <w:right w:val="nil"/>
            </w:tcBorders>
            <w:shd w:val="clear" w:color="auto" w:fill="auto"/>
            <w:noWrap/>
            <w:hideMark/>
          </w:tcPr>
          <w:p w14:paraId="598D8F4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nil"/>
              <w:right w:val="nil"/>
            </w:tcBorders>
            <w:shd w:val="clear" w:color="auto" w:fill="auto"/>
            <w:noWrap/>
            <w:hideMark/>
          </w:tcPr>
          <w:p w14:paraId="26BDA979"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nil"/>
              <w:right w:val="nil"/>
            </w:tcBorders>
            <w:shd w:val="clear" w:color="auto" w:fill="auto"/>
            <w:noWrap/>
            <w:hideMark/>
          </w:tcPr>
          <w:p w14:paraId="551B604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nil"/>
              <w:right w:val="nil"/>
            </w:tcBorders>
            <w:shd w:val="clear" w:color="auto" w:fill="auto"/>
            <w:noWrap/>
            <w:hideMark/>
          </w:tcPr>
          <w:p w14:paraId="164924B0"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1 (8·3)</w:t>
            </w:r>
          </w:p>
        </w:tc>
        <w:tc>
          <w:tcPr>
            <w:tcW w:w="359" w:type="dxa"/>
            <w:gridSpan w:val="2"/>
            <w:tcBorders>
              <w:top w:val="nil"/>
              <w:left w:val="nil"/>
              <w:bottom w:val="nil"/>
              <w:right w:val="nil"/>
            </w:tcBorders>
          </w:tcPr>
          <w:p w14:paraId="0F1143D0"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nil"/>
              <w:right w:val="nil"/>
            </w:tcBorders>
            <w:shd w:val="clear" w:color="auto" w:fill="auto"/>
            <w:noWrap/>
          </w:tcPr>
          <w:p w14:paraId="24634E2B"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4687525B" w14:textId="77777777" w:rsidTr="00BD5715">
        <w:trPr>
          <w:gridAfter w:val="1"/>
          <w:wAfter w:w="43" w:type="dxa"/>
          <w:trHeight w:val="240"/>
        </w:trPr>
        <w:tc>
          <w:tcPr>
            <w:tcW w:w="280" w:type="dxa"/>
            <w:tcBorders>
              <w:top w:val="nil"/>
              <w:left w:val="nil"/>
              <w:right w:val="nil"/>
            </w:tcBorders>
            <w:shd w:val="clear" w:color="auto" w:fill="auto"/>
            <w:noWrap/>
            <w:hideMark/>
          </w:tcPr>
          <w:p w14:paraId="5EA68D84" w14:textId="77777777" w:rsidR="00BD5715" w:rsidRPr="00BD5715" w:rsidRDefault="00BD5715" w:rsidP="00BD5715">
            <w:pPr>
              <w:spacing w:after="160" w:line="259" w:lineRule="auto"/>
              <w:rPr>
                <w:rFonts w:eastAsia="Times New Roman"/>
                <w:color w:val="000000"/>
                <w:sz w:val="24"/>
                <w:szCs w:val="24"/>
                <w:lang w:val="en-GB"/>
              </w:rPr>
            </w:pPr>
          </w:p>
        </w:tc>
        <w:tc>
          <w:tcPr>
            <w:tcW w:w="1116" w:type="dxa"/>
            <w:tcBorders>
              <w:top w:val="nil"/>
              <w:left w:val="nil"/>
              <w:right w:val="nil"/>
            </w:tcBorders>
            <w:shd w:val="clear" w:color="auto" w:fill="auto"/>
            <w:noWrap/>
            <w:hideMark/>
          </w:tcPr>
          <w:p w14:paraId="368FFB16"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Rash</w:t>
            </w:r>
          </w:p>
        </w:tc>
        <w:tc>
          <w:tcPr>
            <w:tcW w:w="279" w:type="dxa"/>
            <w:tcBorders>
              <w:top w:val="nil"/>
              <w:left w:val="nil"/>
              <w:right w:val="nil"/>
            </w:tcBorders>
            <w:shd w:val="clear" w:color="auto" w:fill="auto"/>
            <w:noWrap/>
            <w:hideMark/>
          </w:tcPr>
          <w:p w14:paraId="4CA057AE"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right w:val="nil"/>
            </w:tcBorders>
            <w:shd w:val="clear" w:color="auto" w:fill="auto"/>
            <w:noWrap/>
            <w:hideMark/>
          </w:tcPr>
          <w:p w14:paraId="3E507C23"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right w:val="nil"/>
            </w:tcBorders>
            <w:shd w:val="clear" w:color="auto" w:fill="auto"/>
            <w:noWrap/>
            <w:hideMark/>
          </w:tcPr>
          <w:p w14:paraId="30B720F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right w:val="nil"/>
            </w:tcBorders>
            <w:shd w:val="clear" w:color="auto" w:fill="auto"/>
            <w:noWrap/>
            <w:hideMark/>
          </w:tcPr>
          <w:p w14:paraId="7C783376"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right w:val="nil"/>
            </w:tcBorders>
            <w:shd w:val="clear" w:color="auto" w:fill="auto"/>
            <w:noWrap/>
            <w:hideMark/>
          </w:tcPr>
          <w:p w14:paraId="2A5B3B9E"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right w:val="nil"/>
            </w:tcBorders>
            <w:shd w:val="clear" w:color="auto" w:fill="auto"/>
            <w:noWrap/>
            <w:hideMark/>
          </w:tcPr>
          <w:p w14:paraId="090AD8B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right w:val="nil"/>
            </w:tcBorders>
            <w:shd w:val="clear" w:color="auto" w:fill="auto"/>
            <w:noWrap/>
            <w:hideMark/>
          </w:tcPr>
          <w:p w14:paraId="0028C6CA"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right w:val="nil"/>
            </w:tcBorders>
            <w:shd w:val="clear" w:color="auto" w:fill="auto"/>
            <w:noWrap/>
            <w:hideMark/>
          </w:tcPr>
          <w:p w14:paraId="375EF2D9"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right w:val="nil"/>
            </w:tcBorders>
            <w:shd w:val="clear" w:color="auto" w:fill="auto"/>
            <w:noWrap/>
            <w:hideMark/>
          </w:tcPr>
          <w:p w14:paraId="509742E7"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right w:val="nil"/>
            </w:tcBorders>
          </w:tcPr>
          <w:p w14:paraId="55EE7880"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right w:val="nil"/>
            </w:tcBorders>
            <w:shd w:val="clear" w:color="auto" w:fill="auto"/>
            <w:noWrap/>
          </w:tcPr>
          <w:p w14:paraId="3891A583"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r w:rsidR="00BD5715" w:rsidRPr="00BD5715" w14:paraId="7862945E" w14:textId="77777777" w:rsidTr="00BD5715">
        <w:trPr>
          <w:gridAfter w:val="1"/>
          <w:wAfter w:w="43" w:type="dxa"/>
          <w:trHeight w:val="73"/>
        </w:trPr>
        <w:tc>
          <w:tcPr>
            <w:tcW w:w="280" w:type="dxa"/>
            <w:tcBorders>
              <w:top w:val="nil"/>
              <w:left w:val="nil"/>
              <w:bottom w:val="single" w:sz="4" w:space="0" w:color="auto"/>
              <w:right w:val="nil"/>
            </w:tcBorders>
            <w:shd w:val="clear" w:color="auto" w:fill="auto"/>
            <w:noWrap/>
            <w:hideMark/>
          </w:tcPr>
          <w:p w14:paraId="506F36A3" w14:textId="77777777" w:rsidR="00BD5715" w:rsidRPr="00BD5715" w:rsidRDefault="00BD5715" w:rsidP="00BD5715">
            <w:pPr>
              <w:spacing w:after="160" w:line="259" w:lineRule="auto"/>
              <w:rPr>
                <w:rFonts w:eastAsia="Times New Roman"/>
                <w:color w:val="000000"/>
                <w:sz w:val="24"/>
                <w:szCs w:val="24"/>
                <w:lang w:val="en-GB"/>
              </w:rPr>
            </w:pPr>
          </w:p>
        </w:tc>
        <w:tc>
          <w:tcPr>
            <w:tcW w:w="1116" w:type="dxa"/>
            <w:tcBorders>
              <w:top w:val="nil"/>
              <w:left w:val="nil"/>
              <w:bottom w:val="single" w:sz="4" w:space="0" w:color="auto"/>
              <w:right w:val="nil"/>
            </w:tcBorders>
            <w:shd w:val="clear" w:color="auto" w:fill="auto"/>
            <w:noWrap/>
            <w:hideMark/>
          </w:tcPr>
          <w:p w14:paraId="558FF34A" w14:textId="77777777" w:rsidR="00BD5715" w:rsidRPr="00BD5715" w:rsidRDefault="00BD5715" w:rsidP="00BD5715">
            <w:pPr>
              <w:spacing w:after="160" w:line="259" w:lineRule="auto"/>
              <w:rPr>
                <w:rFonts w:eastAsia="Times New Roman"/>
                <w:b/>
                <w:color w:val="000000"/>
                <w:sz w:val="16"/>
                <w:szCs w:val="16"/>
                <w:lang w:val="en-GB"/>
              </w:rPr>
            </w:pPr>
            <w:r w:rsidRPr="00BD5715">
              <w:rPr>
                <w:rFonts w:eastAsia="Times New Roman"/>
                <w:b/>
                <w:color w:val="000000"/>
                <w:sz w:val="16"/>
                <w:szCs w:val="16"/>
                <w:lang w:val="en-GB"/>
              </w:rPr>
              <w:t>Vomiting</w:t>
            </w:r>
          </w:p>
        </w:tc>
        <w:tc>
          <w:tcPr>
            <w:tcW w:w="279" w:type="dxa"/>
            <w:tcBorders>
              <w:top w:val="nil"/>
              <w:left w:val="nil"/>
              <w:bottom w:val="single" w:sz="4" w:space="0" w:color="auto"/>
              <w:right w:val="nil"/>
            </w:tcBorders>
            <w:shd w:val="clear" w:color="auto" w:fill="auto"/>
            <w:noWrap/>
            <w:hideMark/>
          </w:tcPr>
          <w:p w14:paraId="0E754330" w14:textId="77777777" w:rsidR="00BD5715" w:rsidRPr="00BD5715" w:rsidRDefault="00BD5715" w:rsidP="00BD5715">
            <w:pPr>
              <w:spacing w:after="160" w:line="259" w:lineRule="auto"/>
              <w:rPr>
                <w:rFonts w:eastAsia="Times New Roman"/>
                <w:color w:val="000000"/>
                <w:sz w:val="16"/>
                <w:szCs w:val="16"/>
                <w:lang w:val="en-GB"/>
              </w:rPr>
            </w:pPr>
          </w:p>
        </w:tc>
        <w:tc>
          <w:tcPr>
            <w:tcW w:w="757" w:type="dxa"/>
            <w:tcBorders>
              <w:top w:val="nil"/>
              <w:left w:val="nil"/>
              <w:bottom w:val="single" w:sz="4" w:space="0" w:color="auto"/>
              <w:right w:val="nil"/>
            </w:tcBorders>
            <w:shd w:val="clear" w:color="auto" w:fill="auto"/>
            <w:noWrap/>
            <w:hideMark/>
          </w:tcPr>
          <w:p w14:paraId="439F521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57" w:type="dxa"/>
            <w:tcBorders>
              <w:top w:val="nil"/>
              <w:left w:val="nil"/>
              <w:bottom w:val="single" w:sz="4" w:space="0" w:color="auto"/>
              <w:right w:val="nil"/>
            </w:tcBorders>
            <w:shd w:val="clear" w:color="auto" w:fill="auto"/>
            <w:noWrap/>
            <w:hideMark/>
          </w:tcPr>
          <w:p w14:paraId="521D2B66"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63" w:type="dxa"/>
            <w:tcBorders>
              <w:top w:val="nil"/>
              <w:left w:val="nil"/>
              <w:bottom w:val="single" w:sz="4" w:space="0" w:color="auto"/>
              <w:right w:val="nil"/>
            </w:tcBorders>
            <w:shd w:val="clear" w:color="auto" w:fill="auto"/>
            <w:noWrap/>
            <w:hideMark/>
          </w:tcPr>
          <w:p w14:paraId="4416C93D" w14:textId="77777777" w:rsidR="00BD5715" w:rsidRPr="00BD5715" w:rsidRDefault="00BD5715" w:rsidP="00BD5715">
            <w:pPr>
              <w:spacing w:after="160" w:line="259" w:lineRule="auto"/>
              <w:rPr>
                <w:rFonts w:eastAsia="Times New Roman"/>
                <w:color w:val="000000"/>
                <w:sz w:val="16"/>
                <w:szCs w:val="16"/>
                <w:lang w:val="en-GB"/>
              </w:rPr>
            </w:pPr>
          </w:p>
        </w:tc>
        <w:tc>
          <w:tcPr>
            <w:tcW w:w="709" w:type="dxa"/>
            <w:tcBorders>
              <w:top w:val="nil"/>
              <w:left w:val="nil"/>
              <w:bottom w:val="single" w:sz="4" w:space="0" w:color="auto"/>
              <w:right w:val="nil"/>
            </w:tcBorders>
            <w:shd w:val="clear" w:color="auto" w:fill="auto"/>
            <w:noWrap/>
            <w:hideMark/>
          </w:tcPr>
          <w:p w14:paraId="3932F331"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709" w:type="dxa"/>
            <w:gridSpan w:val="2"/>
            <w:tcBorders>
              <w:top w:val="nil"/>
              <w:left w:val="nil"/>
              <w:bottom w:val="single" w:sz="4" w:space="0" w:color="auto"/>
              <w:right w:val="nil"/>
            </w:tcBorders>
            <w:shd w:val="clear" w:color="auto" w:fill="auto"/>
            <w:noWrap/>
            <w:hideMark/>
          </w:tcPr>
          <w:p w14:paraId="72A863F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425" w:type="dxa"/>
            <w:tcBorders>
              <w:top w:val="nil"/>
              <w:left w:val="nil"/>
              <w:bottom w:val="single" w:sz="4" w:space="0" w:color="auto"/>
              <w:right w:val="nil"/>
            </w:tcBorders>
            <w:shd w:val="clear" w:color="auto" w:fill="auto"/>
            <w:noWrap/>
            <w:hideMark/>
          </w:tcPr>
          <w:p w14:paraId="410FA0F2" w14:textId="77777777" w:rsidR="00BD5715" w:rsidRPr="00BD5715" w:rsidRDefault="00BD5715" w:rsidP="00BD5715">
            <w:pPr>
              <w:spacing w:after="160" w:line="259" w:lineRule="auto"/>
              <w:rPr>
                <w:rFonts w:eastAsia="Times New Roman"/>
                <w:color w:val="000000"/>
                <w:sz w:val="16"/>
                <w:szCs w:val="16"/>
                <w:lang w:val="en-GB"/>
              </w:rPr>
            </w:pPr>
          </w:p>
        </w:tc>
        <w:tc>
          <w:tcPr>
            <w:tcW w:w="1134" w:type="dxa"/>
            <w:gridSpan w:val="3"/>
            <w:tcBorders>
              <w:top w:val="nil"/>
              <w:left w:val="nil"/>
              <w:bottom w:val="single" w:sz="4" w:space="0" w:color="auto"/>
              <w:right w:val="nil"/>
            </w:tcBorders>
            <w:shd w:val="clear" w:color="auto" w:fill="auto"/>
            <w:noWrap/>
            <w:hideMark/>
          </w:tcPr>
          <w:p w14:paraId="0F9E2FF8"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850" w:type="dxa"/>
            <w:gridSpan w:val="2"/>
            <w:tcBorders>
              <w:top w:val="nil"/>
              <w:left w:val="nil"/>
              <w:bottom w:val="single" w:sz="4" w:space="0" w:color="auto"/>
              <w:right w:val="nil"/>
            </w:tcBorders>
            <w:shd w:val="clear" w:color="auto" w:fill="auto"/>
            <w:noWrap/>
            <w:hideMark/>
          </w:tcPr>
          <w:p w14:paraId="42A2FE95" w14:textId="77777777" w:rsidR="00BD5715" w:rsidRPr="00BD5715" w:rsidRDefault="00BD5715" w:rsidP="00BD5715">
            <w:pPr>
              <w:spacing w:after="160" w:line="259" w:lineRule="auto"/>
              <w:rPr>
                <w:rFonts w:eastAsia="Times New Roman"/>
                <w:color w:val="000000"/>
                <w:sz w:val="16"/>
                <w:szCs w:val="16"/>
                <w:lang w:val="en-GB"/>
              </w:rPr>
            </w:pPr>
            <w:r w:rsidRPr="00BD5715">
              <w:rPr>
                <w:rFonts w:eastAsia="Times New Roman"/>
                <w:color w:val="000000"/>
                <w:sz w:val="16"/>
                <w:szCs w:val="16"/>
                <w:lang w:val="en-GB"/>
              </w:rPr>
              <w:t>0</w:t>
            </w:r>
          </w:p>
        </w:tc>
        <w:tc>
          <w:tcPr>
            <w:tcW w:w="359" w:type="dxa"/>
            <w:gridSpan w:val="2"/>
            <w:tcBorders>
              <w:top w:val="nil"/>
              <w:left w:val="nil"/>
              <w:bottom w:val="single" w:sz="4" w:space="0" w:color="auto"/>
              <w:right w:val="nil"/>
            </w:tcBorders>
          </w:tcPr>
          <w:p w14:paraId="020D6A88" w14:textId="77777777" w:rsidR="00BD5715" w:rsidRPr="00BD5715" w:rsidRDefault="00BD5715" w:rsidP="00BD5715">
            <w:pPr>
              <w:spacing w:after="160" w:line="259" w:lineRule="auto"/>
              <w:rPr>
                <w:rFonts w:eastAsia="Times New Roman"/>
                <w:color w:val="000000"/>
                <w:sz w:val="16"/>
                <w:szCs w:val="16"/>
                <w:lang w:val="en-GB"/>
              </w:rPr>
            </w:pPr>
          </w:p>
        </w:tc>
        <w:tc>
          <w:tcPr>
            <w:tcW w:w="1016" w:type="dxa"/>
            <w:gridSpan w:val="2"/>
            <w:tcBorders>
              <w:top w:val="nil"/>
              <w:left w:val="nil"/>
              <w:bottom w:val="single" w:sz="4" w:space="0" w:color="auto"/>
              <w:right w:val="nil"/>
            </w:tcBorders>
            <w:shd w:val="clear" w:color="auto" w:fill="auto"/>
            <w:noWrap/>
          </w:tcPr>
          <w:p w14:paraId="57BC930F" w14:textId="77777777" w:rsidR="00BD5715" w:rsidRPr="00BD5715" w:rsidRDefault="00BD5715" w:rsidP="00BD5715">
            <w:pPr>
              <w:spacing w:after="160" w:line="259" w:lineRule="auto"/>
              <w:rPr>
                <w:sz w:val="16"/>
                <w:szCs w:val="16"/>
                <w:lang w:val="en-GB"/>
              </w:rPr>
            </w:pPr>
            <w:r w:rsidRPr="00BD5715">
              <w:rPr>
                <w:rFonts w:eastAsia="Times New Roman"/>
                <w:color w:val="000000"/>
                <w:sz w:val="16"/>
                <w:szCs w:val="16"/>
                <w:lang w:val="en-GB"/>
              </w:rPr>
              <w:t>ns</w:t>
            </w:r>
          </w:p>
        </w:tc>
      </w:tr>
    </w:tbl>
    <w:p w14:paraId="0910B17F" w14:textId="7DC074DA" w:rsidR="002A48B2" w:rsidRDefault="002A48B2" w:rsidP="00D5290E">
      <w:pPr>
        <w:rPr>
          <w:b/>
          <w:sz w:val="24"/>
          <w:szCs w:val="24"/>
          <w:lang w:val="en-GB"/>
        </w:rPr>
        <w:sectPr w:rsidR="002A48B2" w:rsidSect="00844D43">
          <w:headerReference w:type="default" r:id="rId25"/>
          <w:footerReference w:type="default" r:id="rId26"/>
          <w:pgSz w:w="11900" w:h="16840"/>
          <w:pgMar w:top="1418" w:right="1418" w:bottom="1418" w:left="1418" w:header="709" w:footer="709" w:gutter="0"/>
          <w:lnNumType w:countBy="1" w:restart="continuous"/>
          <w:pgNumType w:start="1"/>
          <w:cols w:space="708"/>
          <w:docGrid w:linePitch="360"/>
        </w:sectPr>
      </w:pPr>
      <w:r w:rsidRPr="002A48B2">
        <w:rPr>
          <w:rFonts w:eastAsia="Times New Roman"/>
          <w:b/>
          <w:sz w:val="24"/>
          <w:szCs w:val="24"/>
        </w:rPr>
        <w:t xml:space="preserve">Table </w:t>
      </w:r>
      <w:r w:rsidR="00D5290E">
        <w:rPr>
          <w:rFonts w:eastAsia="Times New Roman"/>
          <w:b/>
          <w:sz w:val="24"/>
          <w:szCs w:val="24"/>
        </w:rPr>
        <w:t>E</w:t>
      </w:r>
      <w:r w:rsidR="00EA2153">
        <w:rPr>
          <w:rFonts w:eastAsia="Times New Roman"/>
          <w:b/>
          <w:sz w:val="24"/>
          <w:szCs w:val="24"/>
        </w:rPr>
        <w:t>4</w:t>
      </w:r>
      <w:r w:rsidRPr="002A48B2">
        <w:rPr>
          <w:rFonts w:eastAsia="Times New Roman"/>
          <w:b/>
          <w:sz w:val="24"/>
          <w:szCs w:val="24"/>
        </w:rPr>
        <w:t>. Solicited adverse events within 1 hour of dosing</w:t>
      </w:r>
    </w:p>
    <w:tbl>
      <w:tblPr>
        <w:tblW w:w="14459" w:type="dxa"/>
        <w:jc w:val="center"/>
        <w:tblLayout w:type="fixed"/>
        <w:tblLook w:val="04A0" w:firstRow="1" w:lastRow="0" w:firstColumn="1" w:lastColumn="0" w:noHBand="0" w:noVBand="1"/>
      </w:tblPr>
      <w:tblGrid>
        <w:gridCol w:w="1134"/>
        <w:gridCol w:w="851"/>
        <w:gridCol w:w="628"/>
        <w:gridCol w:w="650"/>
        <w:gridCol w:w="837"/>
        <w:gridCol w:w="610"/>
        <w:gridCol w:w="677"/>
        <w:gridCol w:w="850"/>
        <w:gridCol w:w="709"/>
        <w:gridCol w:w="709"/>
        <w:gridCol w:w="850"/>
        <w:gridCol w:w="709"/>
        <w:gridCol w:w="683"/>
        <w:gridCol w:w="876"/>
        <w:gridCol w:w="724"/>
        <w:gridCol w:w="694"/>
        <w:gridCol w:w="850"/>
        <w:gridCol w:w="709"/>
        <w:gridCol w:w="709"/>
      </w:tblGrid>
      <w:tr w:rsidR="002A48B2" w:rsidRPr="00A35FB4" w14:paraId="339D80A3" w14:textId="77777777" w:rsidTr="002A48B2">
        <w:trPr>
          <w:trHeight w:val="240"/>
          <w:jc w:val="center"/>
        </w:trPr>
        <w:tc>
          <w:tcPr>
            <w:tcW w:w="1134" w:type="dxa"/>
            <w:tcBorders>
              <w:top w:val="nil"/>
              <w:left w:val="nil"/>
              <w:bottom w:val="nil"/>
              <w:right w:val="nil"/>
            </w:tcBorders>
            <w:shd w:val="clear" w:color="auto" w:fill="auto"/>
            <w:noWrap/>
            <w:vAlign w:val="bottom"/>
            <w:hideMark/>
          </w:tcPr>
          <w:p w14:paraId="0A0CB40F" w14:textId="77777777" w:rsidR="002A48B2" w:rsidRPr="00A35FB4" w:rsidRDefault="002A48B2" w:rsidP="002A48B2">
            <w:pPr>
              <w:rPr>
                <w:rFonts w:eastAsia="Times New Roman"/>
                <w:sz w:val="11"/>
                <w:szCs w:val="16"/>
                <w:lang w:val="en-GB" w:eastAsia="zh-TW"/>
              </w:rPr>
            </w:pPr>
          </w:p>
        </w:tc>
        <w:tc>
          <w:tcPr>
            <w:tcW w:w="851" w:type="dxa"/>
            <w:tcBorders>
              <w:top w:val="single" w:sz="4" w:space="0" w:color="auto"/>
              <w:left w:val="nil"/>
              <w:bottom w:val="single" w:sz="4" w:space="0" w:color="auto"/>
              <w:right w:val="nil"/>
            </w:tcBorders>
            <w:shd w:val="clear" w:color="auto" w:fill="auto"/>
            <w:noWrap/>
            <w:vAlign w:val="bottom"/>
            <w:hideMark/>
          </w:tcPr>
          <w:p w14:paraId="2464573A"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Low dose</w:t>
            </w:r>
          </w:p>
        </w:tc>
        <w:tc>
          <w:tcPr>
            <w:tcW w:w="628" w:type="dxa"/>
            <w:tcBorders>
              <w:top w:val="single" w:sz="4" w:space="0" w:color="auto"/>
              <w:left w:val="nil"/>
              <w:bottom w:val="single" w:sz="4" w:space="0" w:color="auto"/>
              <w:right w:val="nil"/>
            </w:tcBorders>
            <w:shd w:val="clear" w:color="auto" w:fill="auto"/>
            <w:noWrap/>
            <w:vAlign w:val="bottom"/>
            <w:hideMark/>
          </w:tcPr>
          <w:p w14:paraId="38731341"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50" w:type="dxa"/>
            <w:tcBorders>
              <w:top w:val="single" w:sz="4" w:space="0" w:color="auto"/>
              <w:left w:val="nil"/>
              <w:bottom w:val="single" w:sz="4" w:space="0" w:color="auto"/>
              <w:right w:val="nil"/>
            </w:tcBorders>
            <w:shd w:val="clear" w:color="auto" w:fill="auto"/>
            <w:noWrap/>
            <w:vAlign w:val="bottom"/>
            <w:hideMark/>
          </w:tcPr>
          <w:p w14:paraId="31B66D85"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37" w:type="dxa"/>
            <w:tcBorders>
              <w:top w:val="single" w:sz="4" w:space="0" w:color="auto"/>
              <w:left w:val="nil"/>
              <w:bottom w:val="single" w:sz="4" w:space="0" w:color="auto"/>
              <w:right w:val="nil"/>
            </w:tcBorders>
            <w:shd w:val="clear" w:color="auto" w:fill="auto"/>
            <w:noWrap/>
            <w:vAlign w:val="bottom"/>
            <w:hideMark/>
          </w:tcPr>
          <w:p w14:paraId="3E94570A"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10" w:type="dxa"/>
            <w:tcBorders>
              <w:top w:val="single" w:sz="4" w:space="0" w:color="auto"/>
              <w:left w:val="nil"/>
              <w:bottom w:val="single" w:sz="4" w:space="0" w:color="auto"/>
              <w:right w:val="nil"/>
            </w:tcBorders>
            <w:shd w:val="clear" w:color="auto" w:fill="auto"/>
            <w:noWrap/>
            <w:vAlign w:val="bottom"/>
            <w:hideMark/>
          </w:tcPr>
          <w:p w14:paraId="5BDBFEA9"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77" w:type="dxa"/>
            <w:tcBorders>
              <w:top w:val="single" w:sz="4" w:space="0" w:color="auto"/>
              <w:left w:val="nil"/>
              <w:bottom w:val="single" w:sz="4" w:space="0" w:color="auto"/>
              <w:right w:val="nil"/>
            </w:tcBorders>
            <w:shd w:val="clear" w:color="auto" w:fill="auto"/>
            <w:noWrap/>
            <w:vAlign w:val="bottom"/>
            <w:hideMark/>
          </w:tcPr>
          <w:p w14:paraId="21C5860B"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single" w:sz="4" w:space="0" w:color="auto"/>
              <w:left w:val="nil"/>
              <w:bottom w:val="single" w:sz="4" w:space="0" w:color="auto"/>
              <w:right w:val="nil"/>
            </w:tcBorders>
            <w:shd w:val="clear" w:color="auto" w:fill="auto"/>
            <w:noWrap/>
            <w:vAlign w:val="bottom"/>
            <w:hideMark/>
          </w:tcPr>
          <w:p w14:paraId="31B41602"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High dose</w:t>
            </w:r>
          </w:p>
        </w:tc>
        <w:tc>
          <w:tcPr>
            <w:tcW w:w="709" w:type="dxa"/>
            <w:tcBorders>
              <w:top w:val="single" w:sz="4" w:space="0" w:color="auto"/>
              <w:left w:val="nil"/>
              <w:bottom w:val="single" w:sz="4" w:space="0" w:color="auto"/>
              <w:right w:val="nil"/>
            </w:tcBorders>
            <w:shd w:val="clear" w:color="auto" w:fill="auto"/>
            <w:noWrap/>
            <w:vAlign w:val="bottom"/>
            <w:hideMark/>
          </w:tcPr>
          <w:p w14:paraId="64BD258A"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single" w:sz="4" w:space="0" w:color="auto"/>
              <w:left w:val="nil"/>
              <w:bottom w:val="single" w:sz="4" w:space="0" w:color="auto"/>
              <w:right w:val="nil"/>
            </w:tcBorders>
            <w:shd w:val="clear" w:color="auto" w:fill="auto"/>
            <w:noWrap/>
            <w:vAlign w:val="bottom"/>
            <w:hideMark/>
          </w:tcPr>
          <w:p w14:paraId="4755FEAB"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single" w:sz="4" w:space="0" w:color="auto"/>
              <w:left w:val="nil"/>
              <w:bottom w:val="single" w:sz="4" w:space="0" w:color="auto"/>
              <w:right w:val="nil"/>
            </w:tcBorders>
            <w:shd w:val="clear" w:color="auto" w:fill="auto"/>
            <w:noWrap/>
            <w:vAlign w:val="bottom"/>
            <w:hideMark/>
          </w:tcPr>
          <w:p w14:paraId="4917B04D"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single" w:sz="4" w:space="0" w:color="auto"/>
              <w:left w:val="nil"/>
              <w:bottom w:val="single" w:sz="4" w:space="0" w:color="auto"/>
              <w:right w:val="nil"/>
            </w:tcBorders>
            <w:shd w:val="clear" w:color="auto" w:fill="auto"/>
            <w:noWrap/>
            <w:vAlign w:val="bottom"/>
            <w:hideMark/>
          </w:tcPr>
          <w:p w14:paraId="2CD34D12"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83" w:type="dxa"/>
            <w:tcBorders>
              <w:top w:val="single" w:sz="4" w:space="0" w:color="auto"/>
              <w:left w:val="nil"/>
              <w:bottom w:val="single" w:sz="4" w:space="0" w:color="auto"/>
              <w:right w:val="nil"/>
            </w:tcBorders>
            <w:shd w:val="clear" w:color="auto" w:fill="auto"/>
            <w:noWrap/>
            <w:vAlign w:val="bottom"/>
            <w:hideMark/>
          </w:tcPr>
          <w:p w14:paraId="41406FE0"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76" w:type="dxa"/>
            <w:tcBorders>
              <w:top w:val="single" w:sz="4" w:space="0" w:color="auto"/>
              <w:left w:val="nil"/>
              <w:bottom w:val="single" w:sz="4" w:space="0" w:color="auto"/>
              <w:right w:val="nil"/>
            </w:tcBorders>
            <w:shd w:val="clear" w:color="auto" w:fill="auto"/>
            <w:noWrap/>
            <w:vAlign w:val="bottom"/>
            <w:hideMark/>
          </w:tcPr>
          <w:p w14:paraId="6010B106"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Placebo</w:t>
            </w:r>
          </w:p>
        </w:tc>
        <w:tc>
          <w:tcPr>
            <w:tcW w:w="724" w:type="dxa"/>
            <w:tcBorders>
              <w:top w:val="single" w:sz="4" w:space="0" w:color="auto"/>
              <w:left w:val="nil"/>
              <w:bottom w:val="single" w:sz="4" w:space="0" w:color="auto"/>
              <w:right w:val="nil"/>
            </w:tcBorders>
            <w:shd w:val="clear" w:color="auto" w:fill="auto"/>
            <w:noWrap/>
            <w:vAlign w:val="bottom"/>
            <w:hideMark/>
          </w:tcPr>
          <w:p w14:paraId="7B642C69"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94" w:type="dxa"/>
            <w:tcBorders>
              <w:top w:val="single" w:sz="4" w:space="0" w:color="auto"/>
              <w:left w:val="nil"/>
              <w:bottom w:val="single" w:sz="4" w:space="0" w:color="auto"/>
              <w:right w:val="nil"/>
            </w:tcBorders>
            <w:shd w:val="clear" w:color="auto" w:fill="auto"/>
            <w:noWrap/>
            <w:vAlign w:val="bottom"/>
            <w:hideMark/>
          </w:tcPr>
          <w:p w14:paraId="4D08B44D"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single" w:sz="4" w:space="0" w:color="auto"/>
              <w:left w:val="nil"/>
              <w:bottom w:val="single" w:sz="4" w:space="0" w:color="auto"/>
              <w:right w:val="nil"/>
            </w:tcBorders>
            <w:shd w:val="clear" w:color="auto" w:fill="auto"/>
            <w:noWrap/>
            <w:vAlign w:val="bottom"/>
            <w:hideMark/>
          </w:tcPr>
          <w:p w14:paraId="61F9C710"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single" w:sz="4" w:space="0" w:color="auto"/>
              <w:left w:val="nil"/>
              <w:bottom w:val="single" w:sz="4" w:space="0" w:color="auto"/>
              <w:right w:val="nil"/>
            </w:tcBorders>
            <w:shd w:val="clear" w:color="auto" w:fill="auto"/>
            <w:noWrap/>
            <w:vAlign w:val="bottom"/>
            <w:hideMark/>
          </w:tcPr>
          <w:p w14:paraId="46568987"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single" w:sz="4" w:space="0" w:color="auto"/>
              <w:left w:val="nil"/>
              <w:bottom w:val="single" w:sz="4" w:space="0" w:color="auto"/>
              <w:right w:val="nil"/>
            </w:tcBorders>
            <w:shd w:val="clear" w:color="auto" w:fill="auto"/>
            <w:noWrap/>
            <w:vAlign w:val="bottom"/>
            <w:hideMark/>
          </w:tcPr>
          <w:p w14:paraId="00E6DC49"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r>
      <w:tr w:rsidR="002A48B2" w:rsidRPr="00A35FB4" w14:paraId="52EDE6E7" w14:textId="77777777" w:rsidTr="002A48B2">
        <w:trPr>
          <w:trHeight w:val="240"/>
          <w:jc w:val="center"/>
        </w:trPr>
        <w:tc>
          <w:tcPr>
            <w:tcW w:w="1134" w:type="dxa"/>
            <w:tcBorders>
              <w:top w:val="nil"/>
              <w:left w:val="nil"/>
              <w:bottom w:val="nil"/>
              <w:right w:val="nil"/>
            </w:tcBorders>
            <w:shd w:val="clear" w:color="auto" w:fill="auto"/>
            <w:noWrap/>
            <w:vAlign w:val="bottom"/>
            <w:hideMark/>
          </w:tcPr>
          <w:p w14:paraId="3C5CB5D2" w14:textId="77777777" w:rsidR="002A48B2" w:rsidRPr="00A35FB4" w:rsidRDefault="002A48B2" w:rsidP="002A48B2">
            <w:pPr>
              <w:rPr>
                <w:rFonts w:eastAsia="Times New Roman"/>
                <w:sz w:val="11"/>
                <w:szCs w:val="16"/>
                <w:lang w:val="en-GB" w:eastAsia="zh-TW"/>
              </w:rPr>
            </w:pPr>
          </w:p>
        </w:tc>
        <w:tc>
          <w:tcPr>
            <w:tcW w:w="851" w:type="dxa"/>
            <w:tcBorders>
              <w:top w:val="nil"/>
              <w:left w:val="nil"/>
              <w:bottom w:val="single" w:sz="4" w:space="0" w:color="auto"/>
              <w:right w:val="nil"/>
            </w:tcBorders>
            <w:shd w:val="clear" w:color="auto" w:fill="auto"/>
            <w:noWrap/>
            <w:vAlign w:val="bottom"/>
            <w:hideMark/>
          </w:tcPr>
          <w:p w14:paraId="4BB81F01"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Post prime</w:t>
            </w:r>
          </w:p>
        </w:tc>
        <w:tc>
          <w:tcPr>
            <w:tcW w:w="628" w:type="dxa"/>
            <w:tcBorders>
              <w:top w:val="nil"/>
              <w:left w:val="nil"/>
              <w:bottom w:val="single" w:sz="4" w:space="0" w:color="auto"/>
              <w:right w:val="nil"/>
            </w:tcBorders>
            <w:shd w:val="clear" w:color="auto" w:fill="auto"/>
            <w:noWrap/>
            <w:vAlign w:val="bottom"/>
            <w:hideMark/>
          </w:tcPr>
          <w:p w14:paraId="718A461F"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50" w:type="dxa"/>
            <w:tcBorders>
              <w:top w:val="nil"/>
              <w:left w:val="nil"/>
              <w:bottom w:val="single" w:sz="4" w:space="0" w:color="auto"/>
              <w:right w:val="nil"/>
            </w:tcBorders>
            <w:shd w:val="clear" w:color="auto" w:fill="auto"/>
            <w:noWrap/>
            <w:vAlign w:val="bottom"/>
            <w:hideMark/>
          </w:tcPr>
          <w:p w14:paraId="60B10E84"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37" w:type="dxa"/>
            <w:tcBorders>
              <w:top w:val="nil"/>
              <w:left w:val="nil"/>
              <w:bottom w:val="single" w:sz="4" w:space="0" w:color="auto"/>
              <w:right w:val="nil"/>
            </w:tcBorders>
            <w:shd w:val="clear" w:color="auto" w:fill="auto"/>
            <w:noWrap/>
            <w:vAlign w:val="bottom"/>
            <w:hideMark/>
          </w:tcPr>
          <w:p w14:paraId="0386D684"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Post boost</w:t>
            </w:r>
          </w:p>
        </w:tc>
        <w:tc>
          <w:tcPr>
            <w:tcW w:w="610" w:type="dxa"/>
            <w:tcBorders>
              <w:top w:val="nil"/>
              <w:left w:val="nil"/>
              <w:bottom w:val="single" w:sz="4" w:space="0" w:color="auto"/>
              <w:right w:val="nil"/>
            </w:tcBorders>
            <w:shd w:val="clear" w:color="auto" w:fill="auto"/>
            <w:noWrap/>
            <w:vAlign w:val="bottom"/>
            <w:hideMark/>
          </w:tcPr>
          <w:p w14:paraId="66E04364"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77" w:type="dxa"/>
            <w:tcBorders>
              <w:top w:val="nil"/>
              <w:left w:val="nil"/>
              <w:bottom w:val="single" w:sz="4" w:space="0" w:color="auto"/>
              <w:right w:val="nil"/>
            </w:tcBorders>
            <w:shd w:val="clear" w:color="auto" w:fill="auto"/>
            <w:noWrap/>
            <w:vAlign w:val="bottom"/>
            <w:hideMark/>
          </w:tcPr>
          <w:p w14:paraId="4486516F"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nil"/>
              <w:left w:val="nil"/>
              <w:bottom w:val="single" w:sz="4" w:space="0" w:color="auto"/>
              <w:right w:val="nil"/>
            </w:tcBorders>
            <w:shd w:val="clear" w:color="auto" w:fill="auto"/>
            <w:noWrap/>
            <w:vAlign w:val="bottom"/>
            <w:hideMark/>
          </w:tcPr>
          <w:p w14:paraId="6FEEDDB2"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Post prime</w:t>
            </w:r>
          </w:p>
        </w:tc>
        <w:tc>
          <w:tcPr>
            <w:tcW w:w="709" w:type="dxa"/>
            <w:tcBorders>
              <w:top w:val="nil"/>
              <w:left w:val="nil"/>
              <w:bottom w:val="single" w:sz="4" w:space="0" w:color="auto"/>
              <w:right w:val="nil"/>
            </w:tcBorders>
            <w:shd w:val="clear" w:color="auto" w:fill="auto"/>
            <w:noWrap/>
            <w:vAlign w:val="bottom"/>
            <w:hideMark/>
          </w:tcPr>
          <w:p w14:paraId="39BBF5B8"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nil"/>
              <w:left w:val="nil"/>
              <w:bottom w:val="single" w:sz="4" w:space="0" w:color="auto"/>
              <w:right w:val="nil"/>
            </w:tcBorders>
            <w:shd w:val="clear" w:color="auto" w:fill="auto"/>
            <w:noWrap/>
            <w:vAlign w:val="bottom"/>
            <w:hideMark/>
          </w:tcPr>
          <w:p w14:paraId="7ACE57A7"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nil"/>
              <w:left w:val="nil"/>
              <w:bottom w:val="single" w:sz="4" w:space="0" w:color="auto"/>
              <w:right w:val="nil"/>
            </w:tcBorders>
            <w:shd w:val="clear" w:color="auto" w:fill="auto"/>
            <w:noWrap/>
            <w:vAlign w:val="bottom"/>
            <w:hideMark/>
          </w:tcPr>
          <w:p w14:paraId="59058A44"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Post boost</w:t>
            </w:r>
          </w:p>
        </w:tc>
        <w:tc>
          <w:tcPr>
            <w:tcW w:w="709" w:type="dxa"/>
            <w:tcBorders>
              <w:top w:val="nil"/>
              <w:left w:val="nil"/>
              <w:bottom w:val="single" w:sz="4" w:space="0" w:color="auto"/>
              <w:right w:val="nil"/>
            </w:tcBorders>
            <w:shd w:val="clear" w:color="auto" w:fill="auto"/>
            <w:noWrap/>
            <w:vAlign w:val="bottom"/>
            <w:hideMark/>
          </w:tcPr>
          <w:p w14:paraId="4496426C"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83" w:type="dxa"/>
            <w:tcBorders>
              <w:top w:val="nil"/>
              <w:left w:val="nil"/>
              <w:bottom w:val="single" w:sz="4" w:space="0" w:color="auto"/>
              <w:right w:val="nil"/>
            </w:tcBorders>
            <w:shd w:val="clear" w:color="auto" w:fill="auto"/>
            <w:noWrap/>
            <w:vAlign w:val="bottom"/>
            <w:hideMark/>
          </w:tcPr>
          <w:p w14:paraId="537EFC67"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76" w:type="dxa"/>
            <w:tcBorders>
              <w:top w:val="nil"/>
              <w:left w:val="nil"/>
              <w:bottom w:val="single" w:sz="4" w:space="0" w:color="auto"/>
              <w:right w:val="nil"/>
            </w:tcBorders>
            <w:shd w:val="clear" w:color="auto" w:fill="auto"/>
            <w:noWrap/>
            <w:vAlign w:val="bottom"/>
            <w:hideMark/>
          </w:tcPr>
          <w:p w14:paraId="49A5ED15"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Post prime</w:t>
            </w:r>
          </w:p>
        </w:tc>
        <w:tc>
          <w:tcPr>
            <w:tcW w:w="724" w:type="dxa"/>
            <w:tcBorders>
              <w:top w:val="nil"/>
              <w:left w:val="nil"/>
              <w:bottom w:val="single" w:sz="4" w:space="0" w:color="auto"/>
              <w:right w:val="nil"/>
            </w:tcBorders>
            <w:shd w:val="clear" w:color="auto" w:fill="auto"/>
            <w:noWrap/>
            <w:vAlign w:val="bottom"/>
            <w:hideMark/>
          </w:tcPr>
          <w:p w14:paraId="7D852D85"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94" w:type="dxa"/>
            <w:tcBorders>
              <w:top w:val="nil"/>
              <w:left w:val="nil"/>
              <w:bottom w:val="single" w:sz="4" w:space="0" w:color="auto"/>
              <w:right w:val="nil"/>
            </w:tcBorders>
            <w:shd w:val="clear" w:color="auto" w:fill="auto"/>
            <w:noWrap/>
            <w:vAlign w:val="bottom"/>
            <w:hideMark/>
          </w:tcPr>
          <w:p w14:paraId="793040EC"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nil"/>
              <w:left w:val="nil"/>
              <w:bottom w:val="single" w:sz="4" w:space="0" w:color="auto"/>
              <w:right w:val="nil"/>
            </w:tcBorders>
            <w:shd w:val="clear" w:color="auto" w:fill="auto"/>
            <w:noWrap/>
            <w:vAlign w:val="bottom"/>
            <w:hideMark/>
          </w:tcPr>
          <w:p w14:paraId="4B379672"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Post boost</w:t>
            </w:r>
          </w:p>
        </w:tc>
        <w:tc>
          <w:tcPr>
            <w:tcW w:w="709" w:type="dxa"/>
            <w:tcBorders>
              <w:top w:val="nil"/>
              <w:left w:val="nil"/>
              <w:bottom w:val="single" w:sz="4" w:space="0" w:color="auto"/>
              <w:right w:val="nil"/>
            </w:tcBorders>
            <w:shd w:val="clear" w:color="auto" w:fill="auto"/>
            <w:noWrap/>
            <w:vAlign w:val="bottom"/>
            <w:hideMark/>
          </w:tcPr>
          <w:p w14:paraId="2E935EDE"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nil"/>
              <w:left w:val="nil"/>
              <w:bottom w:val="single" w:sz="4" w:space="0" w:color="auto"/>
              <w:right w:val="nil"/>
            </w:tcBorders>
            <w:shd w:val="clear" w:color="auto" w:fill="auto"/>
            <w:noWrap/>
            <w:vAlign w:val="bottom"/>
            <w:hideMark/>
          </w:tcPr>
          <w:p w14:paraId="66AB411D"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r>
      <w:tr w:rsidR="002A48B2" w:rsidRPr="00A35FB4" w14:paraId="6A329E6A" w14:textId="77777777" w:rsidTr="002A48B2">
        <w:trPr>
          <w:trHeight w:val="240"/>
          <w:jc w:val="center"/>
        </w:trPr>
        <w:tc>
          <w:tcPr>
            <w:tcW w:w="1134" w:type="dxa"/>
            <w:tcBorders>
              <w:top w:val="nil"/>
              <w:left w:val="nil"/>
              <w:bottom w:val="nil"/>
              <w:right w:val="nil"/>
            </w:tcBorders>
            <w:shd w:val="clear" w:color="auto" w:fill="auto"/>
            <w:noWrap/>
            <w:vAlign w:val="bottom"/>
            <w:hideMark/>
          </w:tcPr>
          <w:p w14:paraId="0BBFFEF1" w14:textId="77777777" w:rsidR="002A48B2" w:rsidRPr="00A35FB4" w:rsidRDefault="002A48B2" w:rsidP="002A48B2">
            <w:pPr>
              <w:rPr>
                <w:rFonts w:eastAsia="Times New Roman"/>
                <w:sz w:val="11"/>
                <w:szCs w:val="16"/>
                <w:lang w:val="en-GB" w:eastAsia="zh-TW"/>
              </w:rPr>
            </w:pPr>
          </w:p>
        </w:tc>
        <w:tc>
          <w:tcPr>
            <w:tcW w:w="851" w:type="dxa"/>
            <w:tcBorders>
              <w:top w:val="nil"/>
              <w:left w:val="nil"/>
              <w:bottom w:val="single" w:sz="4" w:space="0" w:color="auto"/>
              <w:right w:val="nil"/>
            </w:tcBorders>
            <w:shd w:val="clear" w:color="auto" w:fill="auto"/>
            <w:noWrap/>
            <w:vAlign w:val="bottom"/>
            <w:hideMark/>
          </w:tcPr>
          <w:p w14:paraId="5FA420EA"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(n=18)</w:t>
            </w:r>
          </w:p>
        </w:tc>
        <w:tc>
          <w:tcPr>
            <w:tcW w:w="628" w:type="dxa"/>
            <w:tcBorders>
              <w:top w:val="nil"/>
              <w:left w:val="nil"/>
              <w:bottom w:val="single" w:sz="4" w:space="0" w:color="auto"/>
              <w:right w:val="nil"/>
            </w:tcBorders>
            <w:shd w:val="clear" w:color="auto" w:fill="auto"/>
            <w:noWrap/>
            <w:vAlign w:val="bottom"/>
            <w:hideMark/>
          </w:tcPr>
          <w:p w14:paraId="368FA825"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50" w:type="dxa"/>
            <w:tcBorders>
              <w:top w:val="nil"/>
              <w:left w:val="nil"/>
              <w:bottom w:val="single" w:sz="4" w:space="0" w:color="auto"/>
              <w:right w:val="nil"/>
            </w:tcBorders>
            <w:shd w:val="clear" w:color="auto" w:fill="auto"/>
            <w:noWrap/>
            <w:vAlign w:val="bottom"/>
            <w:hideMark/>
          </w:tcPr>
          <w:p w14:paraId="403265F0"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37" w:type="dxa"/>
            <w:tcBorders>
              <w:top w:val="nil"/>
              <w:left w:val="nil"/>
              <w:bottom w:val="single" w:sz="4" w:space="0" w:color="auto"/>
              <w:right w:val="nil"/>
            </w:tcBorders>
            <w:shd w:val="clear" w:color="auto" w:fill="auto"/>
            <w:noWrap/>
            <w:vAlign w:val="bottom"/>
            <w:hideMark/>
          </w:tcPr>
          <w:p w14:paraId="687D8180"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(n=17)</w:t>
            </w:r>
          </w:p>
        </w:tc>
        <w:tc>
          <w:tcPr>
            <w:tcW w:w="610" w:type="dxa"/>
            <w:tcBorders>
              <w:top w:val="nil"/>
              <w:left w:val="nil"/>
              <w:bottom w:val="single" w:sz="4" w:space="0" w:color="auto"/>
              <w:right w:val="nil"/>
            </w:tcBorders>
            <w:shd w:val="clear" w:color="auto" w:fill="auto"/>
            <w:noWrap/>
            <w:vAlign w:val="bottom"/>
            <w:hideMark/>
          </w:tcPr>
          <w:p w14:paraId="31DDF91F"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77" w:type="dxa"/>
            <w:tcBorders>
              <w:top w:val="nil"/>
              <w:left w:val="nil"/>
              <w:bottom w:val="single" w:sz="4" w:space="0" w:color="auto"/>
              <w:right w:val="nil"/>
            </w:tcBorders>
            <w:shd w:val="clear" w:color="auto" w:fill="auto"/>
            <w:noWrap/>
            <w:vAlign w:val="bottom"/>
            <w:hideMark/>
          </w:tcPr>
          <w:p w14:paraId="2BAAEA23"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nil"/>
              <w:left w:val="nil"/>
              <w:bottom w:val="single" w:sz="4" w:space="0" w:color="auto"/>
              <w:right w:val="nil"/>
            </w:tcBorders>
            <w:shd w:val="clear" w:color="auto" w:fill="auto"/>
            <w:noWrap/>
            <w:vAlign w:val="bottom"/>
            <w:hideMark/>
          </w:tcPr>
          <w:p w14:paraId="56E50C51"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(n=18)</w:t>
            </w:r>
          </w:p>
        </w:tc>
        <w:tc>
          <w:tcPr>
            <w:tcW w:w="709" w:type="dxa"/>
            <w:tcBorders>
              <w:top w:val="nil"/>
              <w:left w:val="nil"/>
              <w:bottom w:val="single" w:sz="4" w:space="0" w:color="auto"/>
              <w:right w:val="nil"/>
            </w:tcBorders>
            <w:shd w:val="clear" w:color="auto" w:fill="auto"/>
            <w:noWrap/>
            <w:vAlign w:val="bottom"/>
            <w:hideMark/>
          </w:tcPr>
          <w:p w14:paraId="2C1663D5"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nil"/>
              <w:left w:val="nil"/>
              <w:bottom w:val="single" w:sz="4" w:space="0" w:color="auto"/>
              <w:right w:val="nil"/>
            </w:tcBorders>
            <w:shd w:val="clear" w:color="auto" w:fill="auto"/>
            <w:noWrap/>
            <w:vAlign w:val="bottom"/>
            <w:hideMark/>
          </w:tcPr>
          <w:p w14:paraId="7200A523"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nil"/>
              <w:left w:val="nil"/>
              <w:bottom w:val="single" w:sz="4" w:space="0" w:color="auto"/>
              <w:right w:val="nil"/>
            </w:tcBorders>
            <w:shd w:val="clear" w:color="auto" w:fill="auto"/>
            <w:noWrap/>
            <w:vAlign w:val="bottom"/>
            <w:hideMark/>
          </w:tcPr>
          <w:p w14:paraId="1DCC29DA"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(n=18)</w:t>
            </w:r>
          </w:p>
        </w:tc>
        <w:tc>
          <w:tcPr>
            <w:tcW w:w="709" w:type="dxa"/>
            <w:tcBorders>
              <w:top w:val="nil"/>
              <w:left w:val="nil"/>
              <w:bottom w:val="single" w:sz="4" w:space="0" w:color="auto"/>
              <w:right w:val="nil"/>
            </w:tcBorders>
            <w:shd w:val="clear" w:color="auto" w:fill="auto"/>
            <w:noWrap/>
            <w:vAlign w:val="bottom"/>
            <w:hideMark/>
          </w:tcPr>
          <w:p w14:paraId="3C6E46AB"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83" w:type="dxa"/>
            <w:tcBorders>
              <w:top w:val="nil"/>
              <w:left w:val="nil"/>
              <w:bottom w:val="single" w:sz="4" w:space="0" w:color="auto"/>
              <w:right w:val="nil"/>
            </w:tcBorders>
            <w:shd w:val="clear" w:color="auto" w:fill="auto"/>
            <w:noWrap/>
            <w:vAlign w:val="bottom"/>
            <w:hideMark/>
          </w:tcPr>
          <w:p w14:paraId="6D99E9FB"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76" w:type="dxa"/>
            <w:tcBorders>
              <w:top w:val="nil"/>
              <w:left w:val="nil"/>
              <w:bottom w:val="single" w:sz="4" w:space="0" w:color="auto"/>
              <w:right w:val="nil"/>
            </w:tcBorders>
            <w:shd w:val="clear" w:color="auto" w:fill="auto"/>
            <w:noWrap/>
            <w:vAlign w:val="bottom"/>
            <w:hideMark/>
          </w:tcPr>
          <w:p w14:paraId="44B2368C"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(n=12)</w:t>
            </w:r>
          </w:p>
        </w:tc>
        <w:tc>
          <w:tcPr>
            <w:tcW w:w="724" w:type="dxa"/>
            <w:tcBorders>
              <w:top w:val="nil"/>
              <w:left w:val="nil"/>
              <w:bottom w:val="single" w:sz="4" w:space="0" w:color="auto"/>
              <w:right w:val="nil"/>
            </w:tcBorders>
            <w:shd w:val="clear" w:color="auto" w:fill="auto"/>
            <w:noWrap/>
            <w:vAlign w:val="bottom"/>
            <w:hideMark/>
          </w:tcPr>
          <w:p w14:paraId="03E37626"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694" w:type="dxa"/>
            <w:tcBorders>
              <w:top w:val="nil"/>
              <w:left w:val="nil"/>
              <w:bottom w:val="single" w:sz="4" w:space="0" w:color="auto"/>
              <w:right w:val="nil"/>
            </w:tcBorders>
            <w:shd w:val="clear" w:color="auto" w:fill="auto"/>
            <w:noWrap/>
            <w:vAlign w:val="bottom"/>
            <w:hideMark/>
          </w:tcPr>
          <w:p w14:paraId="483848C0"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850" w:type="dxa"/>
            <w:tcBorders>
              <w:top w:val="nil"/>
              <w:left w:val="nil"/>
              <w:bottom w:val="single" w:sz="4" w:space="0" w:color="auto"/>
              <w:right w:val="nil"/>
            </w:tcBorders>
            <w:shd w:val="clear" w:color="auto" w:fill="auto"/>
            <w:noWrap/>
            <w:vAlign w:val="bottom"/>
            <w:hideMark/>
          </w:tcPr>
          <w:p w14:paraId="324BC963"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(n=12)</w:t>
            </w:r>
          </w:p>
        </w:tc>
        <w:tc>
          <w:tcPr>
            <w:tcW w:w="709" w:type="dxa"/>
            <w:tcBorders>
              <w:top w:val="nil"/>
              <w:left w:val="nil"/>
              <w:bottom w:val="single" w:sz="4" w:space="0" w:color="auto"/>
              <w:right w:val="nil"/>
            </w:tcBorders>
            <w:shd w:val="clear" w:color="auto" w:fill="auto"/>
            <w:noWrap/>
            <w:vAlign w:val="bottom"/>
            <w:hideMark/>
          </w:tcPr>
          <w:p w14:paraId="2079BA6D"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c>
          <w:tcPr>
            <w:tcW w:w="709" w:type="dxa"/>
            <w:tcBorders>
              <w:top w:val="nil"/>
              <w:left w:val="nil"/>
              <w:bottom w:val="single" w:sz="4" w:space="0" w:color="auto"/>
              <w:right w:val="nil"/>
            </w:tcBorders>
            <w:shd w:val="clear" w:color="auto" w:fill="auto"/>
            <w:noWrap/>
            <w:vAlign w:val="bottom"/>
            <w:hideMark/>
          </w:tcPr>
          <w:p w14:paraId="78F1AACE"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w:t>
            </w:r>
          </w:p>
        </w:tc>
      </w:tr>
      <w:tr w:rsidR="002A48B2" w:rsidRPr="00A35FB4" w14:paraId="0C6537D1" w14:textId="77777777" w:rsidTr="002A48B2">
        <w:trPr>
          <w:trHeight w:val="460"/>
          <w:jc w:val="center"/>
        </w:trPr>
        <w:tc>
          <w:tcPr>
            <w:tcW w:w="1134" w:type="dxa"/>
            <w:tcBorders>
              <w:top w:val="nil"/>
              <w:left w:val="nil"/>
              <w:bottom w:val="single" w:sz="4" w:space="0" w:color="auto"/>
              <w:right w:val="nil"/>
            </w:tcBorders>
            <w:shd w:val="clear" w:color="auto" w:fill="auto"/>
            <w:vAlign w:val="bottom"/>
            <w:hideMark/>
          </w:tcPr>
          <w:p w14:paraId="32F432D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 </w:t>
            </w:r>
          </w:p>
        </w:tc>
        <w:tc>
          <w:tcPr>
            <w:tcW w:w="851" w:type="dxa"/>
            <w:tcBorders>
              <w:top w:val="nil"/>
              <w:left w:val="nil"/>
              <w:bottom w:val="single" w:sz="4" w:space="0" w:color="auto"/>
              <w:right w:val="nil"/>
            </w:tcBorders>
            <w:shd w:val="clear" w:color="auto" w:fill="auto"/>
            <w:vAlign w:val="bottom"/>
            <w:hideMark/>
          </w:tcPr>
          <w:p w14:paraId="5D4EE58D"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Any grade (%) [grade 3 (%)]</w:t>
            </w:r>
          </w:p>
        </w:tc>
        <w:tc>
          <w:tcPr>
            <w:tcW w:w="628" w:type="dxa"/>
            <w:tcBorders>
              <w:top w:val="nil"/>
              <w:left w:val="nil"/>
              <w:bottom w:val="single" w:sz="4" w:space="0" w:color="auto"/>
              <w:right w:val="nil"/>
            </w:tcBorders>
            <w:shd w:val="clear" w:color="auto" w:fill="auto"/>
            <w:vAlign w:val="bottom"/>
            <w:hideMark/>
          </w:tcPr>
          <w:p w14:paraId="11697B50"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TTO (IQR)</w:t>
            </w:r>
          </w:p>
          <w:p w14:paraId="36C939B3" w14:textId="1F3A1682"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650" w:type="dxa"/>
            <w:tcBorders>
              <w:top w:val="nil"/>
              <w:left w:val="nil"/>
              <w:bottom w:val="single" w:sz="4" w:space="0" w:color="auto"/>
              <w:right w:val="nil"/>
            </w:tcBorders>
            <w:shd w:val="clear" w:color="auto" w:fill="auto"/>
            <w:vAlign w:val="bottom"/>
            <w:hideMark/>
          </w:tcPr>
          <w:p w14:paraId="101AE952"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duration (IQR)</w:t>
            </w:r>
          </w:p>
          <w:p w14:paraId="60B75BF2" w14:textId="72C360E3"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837" w:type="dxa"/>
            <w:tcBorders>
              <w:top w:val="nil"/>
              <w:left w:val="nil"/>
              <w:bottom w:val="single" w:sz="4" w:space="0" w:color="auto"/>
              <w:right w:val="nil"/>
            </w:tcBorders>
            <w:shd w:val="clear" w:color="auto" w:fill="auto"/>
            <w:vAlign w:val="bottom"/>
            <w:hideMark/>
          </w:tcPr>
          <w:p w14:paraId="754F3D89"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Any grade (%) [grade 3 (%)]</w:t>
            </w:r>
          </w:p>
        </w:tc>
        <w:tc>
          <w:tcPr>
            <w:tcW w:w="610" w:type="dxa"/>
            <w:tcBorders>
              <w:top w:val="nil"/>
              <w:left w:val="nil"/>
              <w:bottom w:val="single" w:sz="4" w:space="0" w:color="auto"/>
              <w:right w:val="nil"/>
            </w:tcBorders>
            <w:shd w:val="clear" w:color="auto" w:fill="auto"/>
            <w:vAlign w:val="bottom"/>
            <w:hideMark/>
          </w:tcPr>
          <w:p w14:paraId="6F4743CC"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TTO (IQR)</w:t>
            </w:r>
          </w:p>
          <w:p w14:paraId="7BF89CD0" w14:textId="6EECF218"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677" w:type="dxa"/>
            <w:tcBorders>
              <w:top w:val="nil"/>
              <w:left w:val="nil"/>
              <w:bottom w:val="single" w:sz="4" w:space="0" w:color="auto"/>
              <w:right w:val="nil"/>
            </w:tcBorders>
            <w:shd w:val="clear" w:color="auto" w:fill="auto"/>
            <w:vAlign w:val="bottom"/>
            <w:hideMark/>
          </w:tcPr>
          <w:p w14:paraId="77FA91D4"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duration (IQR)</w:t>
            </w:r>
          </w:p>
          <w:p w14:paraId="0BA4D512" w14:textId="2E7A416F"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850" w:type="dxa"/>
            <w:tcBorders>
              <w:top w:val="nil"/>
              <w:left w:val="nil"/>
              <w:bottom w:val="single" w:sz="4" w:space="0" w:color="auto"/>
              <w:right w:val="nil"/>
            </w:tcBorders>
            <w:shd w:val="clear" w:color="auto" w:fill="auto"/>
            <w:vAlign w:val="bottom"/>
            <w:hideMark/>
          </w:tcPr>
          <w:p w14:paraId="4D8ED09B"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Any grade (%) [grade 3 (%)]</w:t>
            </w:r>
          </w:p>
        </w:tc>
        <w:tc>
          <w:tcPr>
            <w:tcW w:w="709" w:type="dxa"/>
            <w:tcBorders>
              <w:top w:val="nil"/>
              <w:left w:val="nil"/>
              <w:bottom w:val="single" w:sz="4" w:space="0" w:color="auto"/>
              <w:right w:val="nil"/>
            </w:tcBorders>
            <w:shd w:val="clear" w:color="auto" w:fill="auto"/>
            <w:vAlign w:val="bottom"/>
            <w:hideMark/>
          </w:tcPr>
          <w:p w14:paraId="0FF5426E"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TTO (IQR)</w:t>
            </w:r>
          </w:p>
          <w:p w14:paraId="7AE5A591" w14:textId="0273C590"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709" w:type="dxa"/>
            <w:tcBorders>
              <w:top w:val="nil"/>
              <w:left w:val="nil"/>
              <w:bottom w:val="single" w:sz="4" w:space="0" w:color="auto"/>
              <w:right w:val="nil"/>
            </w:tcBorders>
            <w:shd w:val="clear" w:color="auto" w:fill="auto"/>
            <w:vAlign w:val="bottom"/>
            <w:hideMark/>
          </w:tcPr>
          <w:p w14:paraId="6CBC17D9"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duration (IQR)</w:t>
            </w:r>
          </w:p>
          <w:p w14:paraId="570DB505" w14:textId="7F66997B"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850" w:type="dxa"/>
            <w:tcBorders>
              <w:top w:val="nil"/>
              <w:left w:val="nil"/>
              <w:bottom w:val="single" w:sz="4" w:space="0" w:color="auto"/>
              <w:right w:val="nil"/>
            </w:tcBorders>
            <w:shd w:val="clear" w:color="auto" w:fill="auto"/>
            <w:vAlign w:val="bottom"/>
            <w:hideMark/>
          </w:tcPr>
          <w:p w14:paraId="43E658B5"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Any grade (%) [grade 3 (%)]</w:t>
            </w:r>
          </w:p>
        </w:tc>
        <w:tc>
          <w:tcPr>
            <w:tcW w:w="709" w:type="dxa"/>
            <w:tcBorders>
              <w:top w:val="nil"/>
              <w:left w:val="nil"/>
              <w:bottom w:val="single" w:sz="4" w:space="0" w:color="auto"/>
              <w:right w:val="nil"/>
            </w:tcBorders>
            <w:shd w:val="clear" w:color="auto" w:fill="auto"/>
            <w:vAlign w:val="bottom"/>
            <w:hideMark/>
          </w:tcPr>
          <w:p w14:paraId="0A8E2E87"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TTO (IQR)</w:t>
            </w:r>
          </w:p>
          <w:p w14:paraId="76E5F410" w14:textId="1047731A"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683" w:type="dxa"/>
            <w:tcBorders>
              <w:top w:val="nil"/>
              <w:left w:val="nil"/>
              <w:bottom w:val="single" w:sz="4" w:space="0" w:color="auto"/>
              <w:right w:val="nil"/>
            </w:tcBorders>
            <w:shd w:val="clear" w:color="auto" w:fill="auto"/>
            <w:vAlign w:val="bottom"/>
            <w:hideMark/>
          </w:tcPr>
          <w:p w14:paraId="3CB367CD"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duration (IQR)</w:t>
            </w:r>
          </w:p>
          <w:p w14:paraId="6ED1019F" w14:textId="7F7A4375"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876" w:type="dxa"/>
            <w:tcBorders>
              <w:top w:val="nil"/>
              <w:left w:val="nil"/>
              <w:bottom w:val="single" w:sz="4" w:space="0" w:color="auto"/>
              <w:right w:val="nil"/>
            </w:tcBorders>
            <w:shd w:val="clear" w:color="auto" w:fill="auto"/>
            <w:vAlign w:val="bottom"/>
            <w:hideMark/>
          </w:tcPr>
          <w:p w14:paraId="63381BAF"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Any grade (%) [grade 3 (%)]</w:t>
            </w:r>
          </w:p>
        </w:tc>
        <w:tc>
          <w:tcPr>
            <w:tcW w:w="724" w:type="dxa"/>
            <w:tcBorders>
              <w:top w:val="nil"/>
              <w:left w:val="nil"/>
              <w:bottom w:val="single" w:sz="4" w:space="0" w:color="auto"/>
              <w:right w:val="nil"/>
            </w:tcBorders>
            <w:shd w:val="clear" w:color="auto" w:fill="auto"/>
            <w:vAlign w:val="bottom"/>
            <w:hideMark/>
          </w:tcPr>
          <w:p w14:paraId="5307C9F8"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TTO (IQR)</w:t>
            </w:r>
          </w:p>
          <w:p w14:paraId="7A8AEA34" w14:textId="48C45173"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694" w:type="dxa"/>
            <w:tcBorders>
              <w:top w:val="nil"/>
              <w:left w:val="nil"/>
              <w:bottom w:val="single" w:sz="4" w:space="0" w:color="auto"/>
              <w:right w:val="nil"/>
            </w:tcBorders>
            <w:shd w:val="clear" w:color="auto" w:fill="auto"/>
            <w:vAlign w:val="bottom"/>
            <w:hideMark/>
          </w:tcPr>
          <w:p w14:paraId="6EFDE39A"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duration (IQR)</w:t>
            </w:r>
          </w:p>
          <w:p w14:paraId="3E47C0BB" w14:textId="3CAD9EF9"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850" w:type="dxa"/>
            <w:tcBorders>
              <w:top w:val="nil"/>
              <w:left w:val="nil"/>
              <w:bottom w:val="single" w:sz="4" w:space="0" w:color="auto"/>
              <w:right w:val="nil"/>
            </w:tcBorders>
            <w:shd w:val="clear" w:color="auto" w:fill="auto"/>
            <w:vAlign w:val="bottom"/>
            <w:hideMark/>
          </w:tcPr>
          <w:p w14:paraId="61B998E1"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Any grade (%) [grade 3 (%)]</w:t>
            </w:r>
          </w:p>
        </w:tc>
        <w:tc>
          <w:tcPr>
            <w:tcW w:w="709" w:type="dxa"/>
            <w:tcBorders>
              <w:top w:val="nil"/>
              <w:left w:val="nil"/>
              <w:bottom w:val="single" w:sz="4" w:space="0" w:color="auto"/>
              <w:right w:val="nil"/>
            </w:tcBorders>
            <w:shd w:val="clear" w:color="auto" w:fill="auto"/>
            <w:vAlign w:val="bottom"/>
            <w:hideMark/>
          </w:tcPr>
          <w:p w14:paraId="1FF242E6"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TTO (IQR)</w:t>
            </w:r>
          </w:p>
          <w:p w14:paraId="282ACC80" w14:textId="19FC0B29"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c>
          <w:tcPr>
            <w:tcW w:w="709" w:type="dxa"/>
            <w:tcBorders>
              <w:top w:val="nil"/>
              <w:left w:val="nil"/>
              <w:bottom w:val="single" w:sz="4" w:space="0" w:color="auto"/>
              <w:right w:val="nil"/>
            </w:tcBorders>
            <w:shd w:val="clear" w:color="auto" w:fill="auto"/>
            <w:vAlign w:val="bottom"/>
            <w:hideMark/>
          </w:tcPr>
          <w:p w14:paraId="6C9FADD6" w14:textId="77777777" w:rsidR="002A48B2"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Median duration (IQR)</w:t>
            </w:r>
          </w:p>
          <w:p w14:paraId="0CF41F66" w14:textId="26C5409D" w:rsidR="00A35FB4" w:rsidRPr="00A35FB4" w:rsidRDefault="00A35FB4" w:rsidP="002A48B2">
            <w:pPr>
              <w:rPr>
                <w:rFonts w:eastAsia="Times New Roman"/>
                <w:b/>
                <w:color w:val="000000"/>
                <w:sz w:val="11"/>
                <w:szCs w:val="16"/>
                <w:lang w:val="en-GB" w:eastAsia="zh-TW"/>
              </w:rPr>
            </w:pPr>
            <w:r>
              <w:rPr>
                <w:rFonts w:eastAsia="Times New Roman"/>
                <w:b/>
                <w:color w:val="000000"/>
                <w:sz w:val="11"/>
                <w:szCs w:val="16"/>
                <w:lang w:val="en-GB" w:eastAsia="zh-TW"/>
              </w:rPr>
              <w:t>(days)</w:t>
            </w:r>
          </w:p>
        </w:tc>
      </w:tr>
      <w:tr w:rsidR="002A48B2" w:rsidRPr="00A35FB4" w14:paraId="015E3BEC" w14:textId="77777777" w:rsidTr="002A48B2">
        <w:trPr>
          <w:trHeight w:val="240"/>
          <w:jc w:val="center"/>
        </w:trPr>
        <w:tc>
          <w:tcPr>
            <w:tcW w:w="14459" w:type="dxa"/>
            <w:gridSpan w:val="19"/>
            <w:tcBorders>
              <w:top w:val="single" w:sz="4" w:space="0" w:color="auto"/>
            </w:tcBorders>
            <w:shd w:val="clear" w:color="auto" w:fill="auto"/>
            <w:vAlign w:val="bottom"/>
          </w:tcPr>
          <w:p w14:paraId="221B0367" w14:textId="77777777" w:rsidR="002A48B2" w:rsidRPr="00A35FB4" w:rsidRDefault="002A48B2" w:rsidP="002A48B2">
            <w:pPr>
              <w:rPr>
                <w:rFonts w:eastAsia="Times New Roman"/>
                <w:b/>
                <w:sz w:val="11"/>
                <w:szCs w:val="16"/>
                <w:lang w:val="en-GB" w:eastAsia="zh-TW"/>
              </w:rPr>
            </w:pPr>
            <w:r w:rsidRPr="00A35FB4">
              <w:rPr>
                <w:rFonts w:eastAsia="Times New Roman"/>
                <w:b/>
                <w:color w:val="000000"/>
                <w:sz w:val="11"/>
                <w:szCs w:val="16"/>
                <w:lang w:val="en-GB" w:eastAsia="zh-TW"/>
              </w:rPr>
              <w:t>Local</w:t>
            </w:r>
          </w:p>
        </w:tc>
      </w:tr>
      <w:tr w:rsidR="002A48B2" w:rsidRPr="00A35FB4" w14:paraId="69DFE778" w14:textId="77777777" w:rsidTr="002A48B2">
        <w:trPr>
          <w:trHeight w:val="240"/>
          <w:jc w:val="center"/>
        </w:trPr>
        <w:tc>
          <w:tcPr>
            <w:tcW w:w="1134" w:type="dxa"/>
            <w:shd w:val="clear" w:color="auto" w:fill="auto"/>
            <w:noWrap/>
            <w:vAlign w:val="bottom"/>
            <w:hideMark/>
          </w:tcPr>
          <w:p w14:paraId="172D7460"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Epistaxis</w:t>
            </w:r>
          </w:p>
        </w:tc>
        <w:tc>
          <w:tcPr>
            <w:tcW w:w="851" w:type="dxa"/>
            <w:shd w:val="clear" w:color="auto" w:fill="auto"/>
            <w:noWrap/>
            <w:vAlign w:val="bottom"/>
            <w:hideMark/>
          </w:tcPr>
          <w:p w14:paraId="45D63DB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 (0)</w:t>
            </w:r>
          </w:p>
        </w:tc>
        <w:tc>
          <w:tcPr>
            <w:tcW w:w="628" w:type="dxa"/>
            <w:shd w:val="clear" w:color="auto" w:fill="auto"/>
            <w:noWrap/>
            <w:vAlign w:val="bottom"/>
            <w:hideMark/>
          </w:tcPr>
          <w:p w14:paraId="470AC60D" w14:textId="77777777" w:rsidR="002A48B2" w:rsidRPr="00A35FB4" w:rsidRDefault="002A48B2" w:rsidP="002A48B2">
            <w:pPr>
              <w:rPr>
                <w:rFonts w:eastAsia="Times New Roman"/>
                <w:color w:val="000000"/>
                <w:sz w:val="11"/>
                <w:szCs w:val="16"/>
                <w:lang w:val="en-GB" w:eastAsia="zh-TW"/>
              </w:rPr>
            </w:pPr>
          </w:p>
        </w:tc>
        <w:tc>
          <w:tcPr>
            <w:tcW w:w="650" w:type="dxa"/>
            <w:shd w:val="clear" w:color="auto" w:fill="auto"/>
            <w:noWrap/>
            <w:vAlign w:val="bottom"/>
            <w:hideMark/>
          </w:tcPr>
          <w:p w14:paraId="035CA8CF" w14:textId="77777777" w:rsidR="002A48B2" w:rsidRPr="00A35FB4" w:rsidRDefault="002A48B2" w:rsidP="002A48B2">
            <w:pPr>
              <w:rPr>
                <w:rFonts w:eastAsia="Times New Roman"/>
                <w:sz w:val="11"/>
                <w:szCs w:val="16"/>
                <w:lang w:val="en-GB" w:eastAsia="zh-TW"/>
              </w:rPr>
            </w:pPr>
          </w:p>
        </w:tc>
        <w:tc>
          <w:tcPr>
            <w:tcW w:w="837" w:type="dxa"/>
            <w:shd w:val="clear" w:color="auto" w:fill="auto"/>
            <w:noWrap/>
            <w:vAlign w:val="bottom"/>
            <w:hideMark/>
          </w:tcPr>
          <w:p w14:paraId="14C4B6A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shd w:val="clear" w:color="auto" w:fill="auto"/>
            <w:noWrap/>
            <w:vAlign w:val="bottom"/>
            <w:hideMark/>
          </w:tcPr>
          <w:p w14:paraId="599F4FD9" w14:textId="77777777" w:rsidR="002A48B2" w:rsidRPr="00A35FB4" w:rsidRDefault="002A48B2" w:rsidP="002A48B2">
            <w:pPr>
              <w:rPr>
                <w:rFonts w:eastAsia="Times New Roman"/>
                <w:color w:val="000000"/>
                <w:sz w:val="11"/>
                <w:szCs w:val="16"/>
                <w:lang w:val="en-GB" w:eastAsia="zh-TW"/>
              </w:rPr>
            </w:pPr>
          </w:p>
        </w:tc>
        <w:tc>
          <w:tcPr>
            <w:tcW w:w="677" w:type="dxa"/>
            <w:shd w:val="clear" w:color="auto" w:fill="auto"/>
            <w:noWrap/>
            <w:vAlign w:val="bottom"/>
            <w:hideMark/>
          </w:tcPr>
          <w:p w14:paraId="4FC7205B"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25312BC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6A6A7B7D"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12105BB4"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189AD47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(11·1)</w:t>
            </w:r>
          </w:p>
        </w:tc>
        <w:tc>
          <w:tcPr>
            <w:tcW w:w="709" w:type="dxa"/>
            <w:shd w:val="clear" w:color="auto" w:fill="auto"/>
            <w:noWrap/>
            <w:vAlign w:val="bottom"/>
            <w:hideMark/>
          </w:tcPr>
          <w:p w14:paraId="06D4DAE8" w14:textId="458CF5D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2·5 (</w:t>
            </w:r>
            <w:r w:rsidR="005C04F5">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683" w:type="dxa"/>
            <w:shd w:val="clear" w:color="auto" w:fill="auto"/>
            <w:noWrap/>
            <w:vAlign w:val="bottom"/>
            <w:hideMark/>
          </w:tcPr>
          <w:p w14:paraId="2EDEA051" w14:textId="7751CE91"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2DB9197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3111F1F9"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187CA2D8"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007FF39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(16·7)</w:t>
            </w:r>
          </w:p>
        </w:tc>
        <w:tc>
          <w:tcPr>
            <w:tcW w:w="709" w:type="dxa"/>
            <w:shd w:val="clear" w:color="auto" w:fill="auto"/>
            <w:noWrap/>
            <w:vAlign w:val="bottom"/>
            <w:hideMark/>
          </w:tcPr>
          <w:p w14:paraId="47B0A765" w14:textId="747BB23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194AF6">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709" w:type="dxa"/>
            <w:shd w:val="clear" w:color="auto" w:fill="auto"/>
            <w:noWrap/>
            <w:vAlign w:val="bottom"/>
            <w:hideMark/>
          </w:tcPr>
          <w:p w14:paraId="5F12A8BB" w14:textId="7C6EA24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r>
      <w:tr w:rsidR="002A48B2" w:rsidRPr="00A35FB4" w14:paraId="5FD90302" w14:textId="77777777" w:rsidTr="002A48B2">
        <w:trPr>
          <w:trHeight w:val="240"/>
          <w:jc w:val="center"/>
        </w:trPr>
        <w:tc>
          <w:tcPr>
            <w:tcW w:w="1134" w:type="dxa"/>
            <w:shd w:val="clear" w:color="auto" w:fill="auto"/>
            <w:noWrap/>
            <w:vAlign w:val="bottom"/>
            <w:hideMark/>
          </w:tcPr>
          <w:p w14:paraId="4DBFE91E"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Facial discomfort</w:t>
            </w:r>
          </w:p>
        </w:tc>
        <w:tc>
          <w:tcPr>
            <w:tcW w:w="851" w:type="dxa"/>
            <w:shd w:val="clear" w:color="auto" w:fill="auto"/>
            <w:noWrap/>
            <w:vAlign w:val="bottom"/>
            <w:hideMark/>
          </w:tcPr>
          <w:p w14:paraId="565F0DC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28" w:type="dxa"/>
            <w:shd w:val="clear" w:color="auto" w:fill="auto"/>
            <w:noWrap/>
            <w:vAlign w:val="bottom"/>
            <w:hideMark/>
          </w:tcPr>
          <w:p w14:paraId="17A031A9" w14:textId="77777777" w:rsidR="002A48B2" w:rsidRPr="00A35FB4" w:rsidRDefault="002A48B2" w:rsidP="002A48B2">
            <w:pPr>
              <w:rPr>
                <w:rFonts w:eastAsia="Times New Roman"/>
                <w:color w:val="000000"/>
                <w:sz w:val="11"/>
                <w:szCs w:val="16"/>
                <w:lang w:val="en-GB" w:eastAsia="zh-TW"/>
              </w:rPr>
            </w:pPr>
          </w:p>
        </w:tc>
        <w:tc>
          <w:tcPr>
            <w:tcW w:w="650" w:type="dxa"/>
            <w:shd w:val="clear" w:color="auto" w:fill="auto"/>
            <w:noWrap/>
            <w:vAlign w:val="bottom"/>
            <w:hideMark/>
          </w:tcPr>
          <w:p w14:paraId="779DD3DE" w14:textId="77777777" w:rsidR="002A48B2" w:rsidRPr="00A35FB4" w:rsidRDefault="002A48B2" w:rsidP="002A48B2">
            <w:pPr>
              <w:rPr>
                <w:rFonts w:eastAsia="Times New Roman"/>
                <w:sz w:val="11"/>
                <w:szCs w:val="16"/>
                <w:lang w:val="en-GB" w:eastAsia="zh-TW"/>
              </w:rPr>
            </w:pPr>
          </w:p>
        </w:tc>
        <w:tc>
          <w:tcPr>
            <w:tcW w:w="837" w:type="dxa"/>
            <w:shd w:val="clear" w:color="auto" w:fill="auto"/>
            <w:noWrap/>
            <w:vAlign w:val="bottom"/>
            <w:hideMark/>
          </w:tcPr>
          <w:p w14:paraId="7CD5E3AE"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shd w:val="clear" w:color="auto" w:fill="auto"/>
            <w:noWrap/>
            <w:vAlign w:val="bottom"/>
            <w:hideMark/>
          </w:tcPr>
          <w:p w14:paraId="348C8A1D" w14:textId="77777777" w:rsidR="002A48B2" w:rsidRPr="00A35FB4" w:rsidRDefault="002A48B2" w:rsidP="002A48B2">
            <w:pPr>
              <w:rPr>
                <w:rFonts w:eastAsia="Times New Roman"/>
                <w:color w:val="000000"/>
                <w:sz w:val="11"/>
                <w:szCs w:val="16"/>
                <w:lang w:val="en-GB" w:eastAsia="zh-TW"/>
              </w:rPr>
            </w:pPr>
          </w:p>
        </w:tc>
        <w:tc>
          <w:tcPr>
            <w:tcW w:w="677" w:type="dxa"/>
            <w:shd w:val="clear" w:color="auto" w:fill="auto"/>
            <w:noWrap/>
            <w:vAlign w:val="bottom"/>
            <w:hideMark/>
          </w:tcPr>
          <w:p w14:paraId="0E9B56C6"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785CB46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1781E8C1"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6DCAE809"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1C349CC1"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296E58C7" w14:textId="235FE80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83" w:type="dxa"/>
            <w:shd w:val="clear" w:color="auto" w:fill="auto"/>
            <w:noWrap/>
            <w:vAlign w:val="bottom"/>
            <w:hideMark/>
          </w:tcPr>
          <w:p w14:paraId="09509AC5" w14:textId="5370CA1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(0)</w:t>
            </w:r>
          </w:p>
        </w:tc>
        <w:tc>
          <w:tcPr>
            <w:tcW w:w="876" w:type="dxa"/>
            <w:shd w:val="clear" w:color="auto" w:fill="auto"/>
            <w:noWrap/>
            <w:vAlign w:val="bottom"/>
            <w:hideMark/>
          </w:tcPr>
          <w:p w14:paraId="744E2E3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(16·7)</w:t>
            </w:r>
          </w:p>
        </w:tc>
        <w:tc>
          <w:tcPr>
            <w:tcW w:w="724" w:type="dxa"/>
            <w:shd w:val="clear" w:color="auto" w:fill="auto"/>
            <w:noWrap/>
            <w:vAlign w:val="bottom"/>
            <w:hideMark/>
          </w:tcPr>
          <w:p w14:paraId="764ED13C" w14:textId="439E953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48BDD6EB" w14:textId="6532DE1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35EAD36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09" w:type="dxa"/>
            <w:shd w:val="clear" w:color="auto" w:fill="auto"/>
            <w:noWrap/>
            <w:vAlign w:val="bottom"/>
            <w:hideMark/>
          </w:tcPr>
          <w:p w14:paraId="0CBD150D" w14:textId="2581680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4CDD4626" w14:textId="440700D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r>
      <w:tr w:rsidR="002A48B2" w:rsidRPr="00A35FB4" w14:paraId="434AF3C6" w14:textId="77777777" w:rsidTr="002A48B2">
        <w:trPr>
          <w:trHeight w:val="240"/>
          <w:jc w:val="center"/>
        </w:trPr>
        <w:tc>
          <w:tcPr>
            <w:tcW w:w="1134" w:type="dxa"/>
            <w:shd w:val="clear" w:color="auto" w:fill="auto"/>
            <w:noWrap/>
            <w:vAlign w:val="bottom"/>
            <w:hideMark/>
          </w:tcPr>
          <w:p w14:paraId="23555073"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Facial numbness</w:t>
            </w:r>
          </w:p>
        </w:tc>
        <w:tc>
          <w:tcPr>
            <w:tcW w:w="851" w:type="dxa"/>
            <w:shd w:val="clear" w:color="auto" w:fill="auto"/>
            <w:noWrap/>
            <w:vAlign w:val="bottom"/>
            <w:hideMark/>
          </w:tcPr>
          <w:p w14:paraId="1AFC14C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28" w:type="dxa"/>
            <w:shd w:val="clear" w:color="auto" w:fill="auto"/>
            <w:noWrap/>
            <w:vAlign w:val="bottom"/>
            <w:hideMark/>
          </w:tcPr>
          <w:p w14:paraId="53B52D2B" w14:textId="77777777" w:rsidR="002A48B2" w:rsidRPr="00A35FB4" w:rsidRDefault="002A48B2" w:rsidP="002A48B2">
            <w:pPr>
              <w:rPr>
                <w:rFonts w:eastAsia="Times New Roman"/>
                <w:color w:val="000000"/>
                <w:sz w:val="11"/>
                <w:szCs w:val="16"/>
                <w:lang w:val="en-GB" w:eastAsia="zh-TW"/>
              </w:rPr>
            </w:pPr>
          </w:p>
        </w:tc>
        <w:tc>
          <w:tcPr>
            <w:tcW w:w="650" w:type="dxa"/>
            <w:shd w:val="clear" w:color="auto" w:fill="auto"/>
            <w:noWrap/>
            <w:vAlign w:val="bottom"/>
            <w:hideMark/>
          </w:tcPr>
          <w:p w14:paraId="6892AA87" w14:textId="77777777" w:rsidR="002A48B2" w:rsidRPr="00A35FB4" w:rsidRDefault="002A48B2" w:rsidP="002A48B2">
            <w:pPr>
              <w:rPr>
                <w:rFonts w:eastAsia="Times New Roman"/>
                <w:sz w:val="11"/>
                <w:szCs w:val="16"/>
                <w:lang w:val="en-GB" w:eastAsia="zh-TW"/>
              </w:rPr>
            </w:pPr>
          </w:p>
        </w:tc>
        <w:tc>
          <w:tcPr>
            <w:tcW w:w="837" w:type="dxa"/>
            <w:shd w:val="clear" w:color="auto" w:fill="auto"/>
            <w:noWrap/>
            <w:vAlign w:val="bottom"/>
            <w:hideMark/>
          </w:tcPr>
          <w:p w14:paraId="5DA4EA1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shd w:val="clear" w:color="auto" w:fill="auto"/>
            <w:noWrap/>
            <w:vAlign w:val="bottom"/>
            <w:hideMark/>
          </w:tcPr>
          <w:p w14:paraId="1AB44CAB" w14:textId="77777777" w:rsidR="002A48B2" w:rsidRPr="00A35FB4" w:rsidRDefault="002A48B2" w:rsidP="002A48B2">
            <w:pPr>
              <w:rPr>
                <w:rFonts w:eastAsia="Times New Roman"/>
                <w:color w:val="000000"/>
                <w:sz w:val="11"/>
                <w:szCs w:val="16"/>
                <w:lang w:val="en-GB" w:eastAsia="zh-TW"/>
              </w:rPr>
            </w:pPr>
          </w:p>
        </w:tc>
        <w:tc>
          <w:tcPr>
            <w:tcW w:w="677" w:type="dxa"/>
            <w:shd w:val="clear" w:color="auto" w:fill="auto"/>
            <w:noWrap/>
            <w:vAlign w:val="bottom"/>
            <w:hideMark/>
          </w:tcPr>
          <w:p w14:paraId="11EE0255"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72DC31E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47409AC" w14:textId="3FB05B1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72A3C45A" w14:textId="62037D9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0FB0ABB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7B8E24E" w14:textId="581FDB2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83" w:type="dxa"/>
            <w:shd w:val="clear" w:color="auto" w:fill="auto"/>
            <w:noWrap/>
            <w:vAlign w:val="bottom"/>
            <w:hideMark/>
          </w:tcPr>
          <w:p w14:paraId="5ACE74BE" w14:textId="32504F6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(0)</w:t>
            </w:r>
          </w:p>
        </w:tc>
        <w:tc>
          <w:tcPr>
            <w:tcW w:w="876" w:type="dxa"/>
            <w:shd w:val="clear" w:color="auto" w:fill="auto"/>
            <w:noWrap/>
            <w:vAlign w:val="bottom"/>
            <w:hideMark/>
          </w:tcPr>
          <w:p w14:paraId="3D6195E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63BFD86A"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51DE4821"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5781E9D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2DF58EE4"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40777EDE" w14:textId="77777777" w:rsidR="002A48B2" w:rsidRPr="00A35FB4" w:rsidRDefault="002A48B2" w:rsidP="002A48B2">
            <w:pPr>
              <w:rPr>
                <w:rFonts w:eastAsia="Times New Roman"/>
                <w:sz w:val="11"/>
                <w:szCs w:val="16"/>
                <w:lang w:val="en-GB" w:eastAsia="zh-TW"/>
              </w:rPr>
            </w:pPr>
          </w:p>
        </w:tc>
      </w:tr>
      <w:tr w:rsidR="002A48B2" w:rsidRPr="00A35FB4" w14:paraId="391D77AF" w14:textId="77777777" w:rsidTr="002A48B2">
        <w:trPr>
          <w:trHeight w:val="240"/>
          <w:jc w:val="center"/>
        </w:trPr>
        <w:tc>
          <w:tcPr>
            <w:tcW w:w="1134" w:type="dxa"/>
            <w:shd w:val="clear" w:color="auto" w:fill="auto"/>
            <w:noWrap/>
            <w:vAlign w:val="bottom"/>
            <w:hideMark/>
          </w:tcPr>
          <w:p w14:paraId="2D76C6B3"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Facial swelling</w:t>
            </w:r>
          </w:p>
        </w:tc>
        <w:tc>
          <w:tcPr>
            <w:tcW w:w="851" w:type="dxa"/>
            <w:shd w:val="clear" w:color="auto" w:fill="auto"/>
            <w:noWrap/>
            <w:vAlign w:val="bottom"/>
            <w:hideMark/>
          </w:tcPr>
          <w:p w14:paraId="40B19DB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628" w:type="dxa"/>
            <w:shd w:val="clear" w:color="auto" w:fill="auto"/>
            <w:noWrap/>
            <w:vAlign w:val="bottom"/>
            <w:hideMark/>
          </w:tcPr>
          <w:p w14:paraId="78FC4367" w14:textId="2E51883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650" w:type="dxa"/>
            <w:shd w:val="clear" w:color="auto" w:fill="auto"/>
            <w:noWrap/>
            <w:vAlign w:val="bottom"/>
            <w:hideMark/>
          </w:tcPr>
          <w:p w14:paraId="00B2C307" w14:textId="58E29D6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37" w:type="dxa"/>
            <w:shd w:val="clear" w:color="auto" w:fill="auto"/>
            <w:noWrap/>
            <w:vAlign w:val="bottom"/>
            <w:hideMark/>
          </w:tcPr>
          <w:p w14:paraId="64F099B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shd w:val="clear" w:color="auto" w:fill="auto"/>
            <w:noWrap/>
            <w:vAlign w:val="bottom"/>
            <w:hideMark/>
          </w:tcPr>
          <w:p w14:paraId="7D45E7D5" w14:textId="77777777" w:rsidR="002A48B2" w:rsidRPr="00A35FB4" w:rsidRDefault="002A48B2" w:rsidP="002A48B2">
            <w:pPr>
              <w:rPr>
                <w:rFonts w:eastAsia="Times New Roman"/>
                <w:color w:val="000000"/>
                <w:sz w:val="11"/>
                <w:szCs w:val="16"/>
                <w:lang w:val="en-GB" w:eastAsia="zh-TW"/>
              </w:rPr>
            </w:pPr>
          </w:p>
        </w:tc>
        <w:tc>
          <w:tcPr>
            <w:tcW w:w="677" w:type="dxa"/>
            <w:shd w:val="clear" w:color="auto" w:fill="auto"/>
            <w:noWrap/>
            <w:vAlign w:val="bottom"/>
            <w:hideMark/>
          </w:tcPr>
          <w:p w14:paraId="7DDBC053"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726E2A5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75BEF28" w14:textId="1010AFF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(0)</w:t>
            </w:r>
          </w:p>
        </w:tc>
        <w:tc>
          <w:tcPr>
            <w:tcW w:w="709" w:type="dxa"/>
            <w:shd w:val="clear" w:color="auto" w:fill="auto"/>
            <w:noWrap/>
            <w:vAlign w:val="bottom"/>
            <w:hideMark/>
          </w:tcPr>
          <w:p w14:paraId="6CF27C03" w14:textId="234352F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2D8C7EE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1EDD2B8" w14:textId="3483944B"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83" w:type="dxa"/>
            <w:shd w:val="clear" w:color="auto" w:fill="auto"/>
            <w:noWrap/>
            <w:vAlign w:val="bottom"/>
            <w:hideMark/>
          </w:tcPr>
          <w:p w14:paraId="1BB98C0D" w14:textId="3E31D72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383E92D6"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5393EA7E"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6C97B9F0"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13C5280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0D9E1194"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04151D9B" w14:textId="77777777" w:rsidR="002A48B2" w:rsidRPr="00A35FB4" w:rsidRDefault="002A48B2" w:rsidP="002A48B2">
            <w:pPr>
              <w:rPr>
                <w:rFonts w:eastAsia="Times New Roman"/>
                <w:sz w:val="11"/>
                <w:szCs w:val="16"/>
                <w:lang w:val="en-GB" w:eastAsia="zh-TW"/>
              </w:rPr>
            </w:pPr>
          </w:p>
        </w:tc>
      </w:tr>
      <w:tr w:rsidR="002A48B2" w:rsidRPr="00A35FB4" w14:paraId="5CB9A34E" w14:textId="77777777" w:rsidTr="002A48B2">
        <w:trPr>
          <w:trHeight w:val="240"/>
          <w:jc w:val="center"/>
        </w:trPr>
        <w:tc>
          <w:tcPr>
            <w:tcW w:w="1134" w:type="dxa"/>
            <w:shd w:val="clear" w:color="auto" w:fill="auto"/>
            <w:noWrap/>
            <w:vAlign w:val="bottom"/>
            <w:hideMark/>
          </w:tcPr>
          <w:p w14:paraId="3A854D24"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Lacrimation</w:t>
            </w:r>
          </w:p>
        </w:tc>
        <w:tc>
          <w:tcPr>
            <w:tcW w:w="851" w:type="dxa"/>
            <w:shd w:val="clear" w:color="auto" w:fill="auto"/>
            <w:noWrap/>
            <w:vAlign w:val="bottom"/>
            <w:hideMark/>
          </w:tcPr>
          <w:p w14:paraId="26ED2C61"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628" w:type="dxa"/>
            <w:shd w:val="clear" w:color="auto" w:fill="auto"/>
            <w:noWrap/>
            <w:vAlign w:val="bottom"/>
            <w:hideMark/>
          </w:tcPr>
          <w:p w14:paraId="73CC57F5" w14:textId="2214979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A35FB4">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650" w:type="dxa"/>
            <w:shd w:val="clear" w:color="auto" w:fill="auto"/>
            <w:noWrap/>
            <w:vAlign w:val="bottom"/>
            <w:hideMark/>
          </w:tcPr>
          <w:p w14:paraId="0157403A" w14:textId="44D6271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37" w:type="dxa"/>
            <w:shd w:val="clear" w:color="auto" w:fill="auto"/>
            <w:noWrap/>
            <w:vAlign w:val="bottom"/>
            <w:hideMark/>
          </w:tcPr>
          <w:p w14:paraId="0B47AC0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(5·9)</w:t>
            </w:r>
          </w:p>
        </w:tc>
        <w:tc>
          <w:tcPr>
            <w:tcW w:w="610" w:type="dxa"/>
            <w:shd w:val="clear" w:color="auto" w:fill="auto"/>
            <w:noWrap/>
            <w:vAlign w:val="bottom"/>
            <w:hideMark/>
          </w:tcPr>
          <w:p w14:paraId="579FD399" w14:textId="4A23E68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7 (0)</w:t>
            </w:r>
          </w:p>
        </w:tc>
        <w:tc>
          <w:tcPr>
            <w:tcW w:w="677" w:type="dxa"/>
            <w:shd w:val="clear" w:color="auto" w:fill="auto"/>
            <w:noWrap/>
            <w:vAlign w:val="bottom"/>
            <w:hideMark/>
          </w:tcPr>
          <w:p w14:paraId="2985835D" w14:textId="6BD2AEA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020D62C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5694080C" w14:textId="65197C3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709" w:type="dxa"/>
            <w:shd w:val="clear" w:color="auto" w:fill="auto"/>
            <w:noWrap/>
            <w:vAlign w:val="bottom"/>
            <w:hideMark/>
          </w:tcPr>
          <w:p w14:paraId="08058956" w14:textId="47B2CAA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5C04F5">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850" w:type="dxa"/>
            <w:shd w:val="clear" w:color="auto" w:fill="auto"/>
            <w:noWrap/>
            <w:vAlign w:val="bottom"/>
            <w:hideMark/>
          </w:tcPr>
          <w:p w14:paraId="57724B9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w:t>
            </w:r>
          </w:p>
        </w:tc>
        <w:tc>
          <w:tcPr>
            <w:tcW w:w="709" w:type="dxa"/>
            <w:shd w:val="clear" w:color="auto" w:fill="auto"/>
            <w:noWrap/>
            <w:vAlign w:val="bottom"/>
            <w:hideMark/>
          </w:tcPr>
          <w:p w14:paraId="56CB6F52" w14:textId="77777777" w:rsidR="002A48B2" w:rsidRPr="00A35FB4" w:rsidRDefault="002A48B2" w:rsidP="002A48B2">
            <w:pPr>
              <w:rPr>
                <w:rFonts w:eastAsia="Times New Roman"/>
                <w:color w:val="000000"/>
                <w:sz w:val="11"/>
                <w:szCs w:val="16"/>
                <w:lang w:val="en-GB" w:eastAsia="zh-TW"/>
              </w:rPr>
            </w:pPr>
          </w:p>
        </w:tc>
        <w:tc>
          <w:tcPr>
            <w:tcW w:w="683" w:type="dxa"/>
            <w:shd w:val="clear" w:color="auto" w:fill="auto"/>
            <w:noWrap/>
            <w:vAlign w:val="bottom"/>
            <w:hideMark/>
          </w:tcPr>
          <w:p w14:paraId="557A79D9" w14:textId="77777777" w:rsidR="002A48B2" w:rsidRPr="00A35FB4" w:rsidRDefault="002A48B2" w:rsidP="002A48B2">
            <w:pPr>
              <w:rPr>
                <w:rFonts w:eastAsia="Times New Roman"/>
                <w:sz w:val="11"/>
                <w:szCs w:val="16"/>
                <w:lang w:val="en-GB" w:eastAsia="zh-TW"/>
              </w:rPr>
            </w:pPr>
          </w:p>
        </w:tc>
        <w:tc>
          <w:tcPr>
            <w:tcW w:w="876" w:type="dxa"/>
            <w:shd w:val="clear" w:color="auto" w:fill="auto"/>
            <w:noWrap/>
            <w:vAlign w:val="bottom"/>
            <w:hideMark/>
          </w:tcPr>
          <w:p w14:paraId="56A16A9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24" w:type="dxa"/>
            <w:shd w:val="clear" w:color="auto" w:fill="auto"/>
            <w:noWrap/>
            <w:vAlign w:val="bottom"/>
            <w:hideMark/>
          </w:tcPr>
          <w:p w14:paraId="09835796" w14:textId="3AE433F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0EC3CD78" w14:textId="7739E05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08AE1C0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1A754109"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1F4CB49D" w14:textId="77777777" w:rsidR="002A48B2" w:rsidRPr="00A35FB4" w:rsidRDefault="002A48B2" w:rsidP="002A48B2">
            <w:pPr>
              <w:rPr>
                <w:rFonts w:eastAsia="Times New Roman"/>
                <w:sz w:val="11"/>
                <w:szCs w:val="16"/>
                <w:lang w:val="en-GB" w:eastAsia="zh-TW"/>
              </w:rPr>
            </w:pPr>
          </w:p>
        </w:tc>
      </w:tr>
      <w:tr w:rsidR="002A48B2" w:rsidRPr="00A35FB4" w14:paraId="71AE10FC" w14:textId="77777777" w:rsidTr="002A48B2">
        <w:trPr>
          <w:trHeight w:val="240"/>
          <w:jc w:val="center"/>
        </w:trPr>
        <w:tc>
          <w:tcPr>
            <w:tcW w:w="1134" w:type="dxa"/>
            <w:shd w:val="clear" w:color="auto" w:fill="auto"/>
            <w:noWrap/>
            <w:vAlign w:val="bottom"/>
            <w:hideMark/>
          </w:tcPr>
          <w:p w14:paraId="58BAD0FC"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Loss of smell</w:t>
            </w:r>
          </w:p>
        </w:tc>
        <w:tc>
          <w:tcPr>
            <w:tcW w:w="851" w:type="dxa"/>
            <w:shd w:val="clear" w:color="auto" w:fill="auto"/>
            <w:noWrap/>
            <w:vAlign w:val="bottom"/>
            <w:hideMark/>
          </w:tcPr>
          <w:p w14:paraId="11F031B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(16·7)</w:t>
            </w:r>
          </w:p>
        </w:tc>
        <w:tc>
          <w:tcPr>
            <w:tcW w:w="628" w:type="dxa"/>
            <w:shd w:val="clear" w:color="auto" w:fill="auto"/>
            <w:noWrap/>
            <w:vAlign w:val="bottom"/>
            <w:hideMark/>
          </w:tcPr>
          <w:p w14:paraId="46B0B923" w14:textId="714F908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1.0</w:t>
            </w:r>
            <w:r w:rsidRPr="00A35FB4">
              <w:rPr>
                <w:rFonts w:eastAsia="Times New Roman"/>
                <w:color w:val="000000"/>
                <w:sz w:val="11"/>
                <w:szCs w:val="16"/>
                <w:lang w:val="en-GB" w:eastAsia="zh-TW"/>
              </w:rPr>
              <w:t>)</w:t>
            </w:r>
          </w:p>
        </w:tc>
        <w:tc>
          <w:tcPr>
            <w:tcW w:w="650" w:type="dxa"/>
            <w:shd w:val="clear" w:color="auto" w:fill="auto"/>
            <w:noWrap/>
            <w:vAlign w:val="bottom"/>
            <w:hideMark/>
          </w:tcPr>
          <w:p w14:paraId="04BB4444" w14:textId="4B2B66A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37" w:type="dxa"/>
            <w:shd w:val="clear" w:color="auto" w:fill="auto"/>
            <w:noWrap/>
            <w:vAlign w:val="bottom"/>
            <w:hideMark/>
          </w:tcPr>
          <w:p w14:paraId="1F36A24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(23·5)</w:t>
            </w:r>
          </w:p>
        </w:tc>
        <w:tc>
          <w:tcPr>
            <w:tcW w:w="610" w:type="dxa"/>
            <w:shd w:val="clear" w:color="auto" w:fill="auto"/>
            <w:noWrap/>
            <w:vAlign w:val="bottom"/>
            <w:hideMark/>
          </w:tcPr>
          <w:p w14:paraId="0DFCFCED" w14:textId="1B78D13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4·5 (</w:t>
            </w:r>
            <w:r w:rsidR="00AF4F9C">
              <w:rPr>
                <w:rFonts w:eastAsia="Times New Roman"/>
                <w:color w:val="000000"/>
                <w:sz w:val="11"/>
                <w:szCs w:val="16"/>
                <w:lang w:val="en-GB" w:eastAsia="zh-TW"/>
              </w:rPr>
              <w:t>4</w:t>
            </w:r>
            <w:r w:rsidRPr="00A35FB4">
              <w:rPr>
                <w:rFonts w:eastAsia="Times New Roman"/>
                <w:color w:val="000000"/>
                <w:sz w:val="11"/>
                <w:szCs w:val="16"/>
                <w:lang w:val="en-GB" w:eastAsia="zh-TW"/>
              </w:rPr>
              <w:t>·5)</w:t>
            </w:r>
          </w:p>
        </w:tc>
        <w:tc>
          <w:tcPr>
            <w:tcW w:w="677" w:type="dxa"/>
            <w:shd w:val="clear" w:color="auto" w:fill="auto"/>
            <w:noWrap/>
            <w:vAlign w:val="bottom"/>
            <w:hideMark/>
          </w:tcPr>
          <w:p w14:paraId="3D7FD63B" w14:textId="3E150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9015CB">
              <w:rPr>
                <w:rFonts w:eastAsia="Times New Roman"/>
                <w:color w:val="000000"/>
                <w:sz w:val="11"/>
                <w:szCs w:val="16"/>
                <w:lang w:val="en-GB" w:eastAsia="zh-TW"/>
              </w:rPr>
              <w:t>1</w:t>
            </w:r>
            <w:r w:rsidRPr="00A35FB4">
              <w:rPr>
                <w:rFonts w:eastAsia="Times New Roman"/>
                <w:color w:val="000000"/>
                <w:sz w:val="11"/>
                <w:szCs w:val="16"/>
                <w:lang w:val="en-GB" w:eastAsia="zh-TW"/>
              </w:rPr>
              <w:t>·5)</w:t>
            </w:r>
          </w:p>
        </w:tc>
        <w:tc>
          <w:tcPr>
            <w:tcW w:w="850" w:type="dxa"/>
            <w:shd w:val="clear" w:color="auto" w:fill="auto"/>
            <w:noWrap/>
            <w:vAlign w:val="bottom"/>
            <w:hideMark/>
          </w:tcPr>
          <w:p w14:paraId="6C4A6FD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7EB2A110" w14:textId="303AA41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25D9E81D" w14:textId="14E326D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7 (0)</w:t>
            </w:r>
          </w:p>
        </w:tc>
        <w:tc>
          <w:tcPr>
            <w:tcW w:w="850" w:type="dxa"/>
            <w:shd w:val="clear" w:color="auto" w:fill="auto"/>
            <w:noWrap/>
            <w:vAlign w:val="bottom"/>
            <w:hideMark/>
          </w:tcPr>
          <w:p w14:paraId="33AA596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2934BF74" w14:textId="77777777" w:rsidR="002A48B2" w:rsidRPr="00A35FB4" w:rsidRDefault="002A48B2" w:rsidP="002A48B2">
            <w:pPr>
              <w:rPr>
                <w:rFonts w:eastAsia="Times New Roman"/>
                <w:color w:val="000000"/>
                <w:sz w:val="11"/>
                <w:szCs w:val="16"/>
                <w:lang w:val="en-GB" w:eastAsia="zh-TW"/>
              </w:rPr>
            </w:pPr>
          </w:p>
        </w:tc>
        <w:tc>
          <w:tcPr>
            <w:tcW w:w="683" w:type="dxa"/>
            <w:shd w:val="clear" w:color="auto" w:fill="auto"/>
            <w:noWrap/>
            <w:vAlign w:val="bottom"/>
            <w:hideMark/>
          </w:tcPr>
          <w:p w14:paraId="67A1825B" w14:textId="77777777" w:rsidR="002A48B2" w:rsidRPr="00A35FB4" w:rsidRDefault="002A48B2" w:rsidP="002A48B2">
            <w:pPr>
              <w:rPr>
                <w:rFonts w:eastAsia="Times New Roman"/>
                <w:sz w:val="11"/>
                <w:szCs w:val="16"/>
                <w:lang w:val="en-GB" w:eastAsia="zh-TW"/>
              </w:rPr>
            </w:pPr>
          </w:p>
        </w:tc>
        <w:tc>
          <w:tcPr>
            <w:tcW w:w="876" w:type="dxa"/>
            <w:shd w:val="clear" w:color="auto" w:fill="auto"/>
            <w:noWrap/>
            <w:vAlign w:val="bottom"/>
            <w:hideMark/>
          </w:tcPr>
          <w:p w14:paraId="3A12C64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(25)</w:t>
            </w:r>
          </w:p>
        </w:tc>
        <w:tc>
          <w:tcPr>
            <w:tcW w:w="724" w:type="dxa"/>
            <w:shd w:val="clear" w:color="auto" w:fill="auto"/>
            <w:noWrap/>
            <w:vAlign w:val="bottom"/>
            <w:hideMark/>
          </w:tcPr>
          <w:p w14:paraId="7D4CACB6" w14:textId="68D85FF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018AC10D" w14:textId="610BABD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B42ED8">
              <w:rPr>
                <w:rFonts w:eastAsia="Times New Roman"/>
                <w:color w:val="000000"/>
                <w:sz w:val="11"/>
                <w:szCs w:val="16"/>
                <w:lang w:val="en-GB" w:eastAsia="zh-TW"/>
              </w:rPr>
              <w:t>4</w:t>
            </w:r>
            <w:r w:rsidRPr="00A35FB4">
              <w:rPr>
                <w:rFonts w:eastAsia="Times New Roman"/>
                <w:color w:val="000000"/>
                <w:sz w:val="11"/>
                <w:szCs w:val="16"/>
                <w:lang w:val="en-GB" w:eastAsia="zh-TW"/>
              </w:rPr>
              <w:t>)</w:t>
            </w:r>
          </w:p>
        </w:tc>
        <w:tc>
          <w:tcPr>
            <w:tcW w:w="850" w:type="dxa"/>
            <w:shd w:val="clear" w:color="auto" w:fill="auto"/>
            <w:noWrap/>
            <w:vAlign w:val="bottom"/>
            <w:hideMark/>
          </w:tcPr>
          <w:p w14:paraId="431CB7C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3FC460DC"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6BC4A2FF" w14:textId="77777777" w:rsidR="002A48B2" w:rsidRPr="00A35FB4" w:rsidRDefault="002A48B2" w:rsidP="002A48B2">
            <w:pPr>
              <w:rPr>
                <w:rFonts w:eastAsia="Times New Roman"/>
                <w:sz w:val="11"/>
                <w:szCs w:val="16"/>
                <w:lang w:val="en-GB" w:eastAsia="zh-TW"/>
              </w:rPr>
            </w:pPr>
          </w:p>
        </w:tc>
      </w:tr>
      <w:tr w:rsidR="002A48B2" w:rsidRPr="00A35FB4" w14:paraId="0D6EC27A" w14:textId="77777777" w:rsidTr="002A48B2">
        <w:trPr>
          <w:trHeight w:val="240"/>
          <w:jc w:val="center"/>
        </w:trPr>
        <w:tc>
          <w:tcPr>
            <w:tcW w:w="1134" w:type="dxa"/>
            <w:shd w:val="clear" w:color="auto" w:fill="auto"/>
            <w:noWrap/>
            <w:vAlign w:val="bottom"/>
            <w:hideMark/>
          </w:tcPr>
          <w:p w14:paraId="3DCE9998"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Nasal discomfort</w:t>
            </w:r>
          </w:p>
        </w:tc>
        <w:tc>
          <w:tcPr>
            <w:tcW w:w="851" w:type="dxa"/>
            <w:shd w:val="clear" w:color="auto" w:fill="auto"/>
            <w:noWrap/>
            <w:vAlign w:val="bottom"/>
            <w:hideMark/>
          </w:tcPr>
          <w:p w14:paraId="39E7346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(16·7)</w:t>
            </w:r>
          </w:p>
        </w:tc>
        <w:tc>
          <w:tcPr>
            <w:tcW w:w="628" w:type="dxa"/>
            <w:shd w:val="clear" w:color="auto" w:fill="auto"/>
            <w:noWrap/>
            <w:vAlign w:val="bottom"/>
            <w:hideMark/>
          </w:tcPr>
          <w:p w14:paraId="75D271F7" w14:textId="46BBB2C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50" w:type="dxa"/>
            <w:shd w:val="clear" w:color="auto" w:fill="auto"/>
            <w:noWrap/>
            <w:vAlign w:val="bottom"/>
            <w:hideMark/>
          </w:tcPr>
          <w:p w14:paraId="256AF80F" w14:textId="1AB2F8B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37" w:type="dxa"/>
            <w:shd w:val="clear" w:color="auto" w:fill="auto"/>
            <w:noWrap/>
            <w:vAlign w:val="bottom"/>
            <w:hideMark/>
          </w:tcPr>
          <w:p w14:paraId="13BB1D8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(17·6)</w:t>
            </w:r>
          </w:p>
        </w:tc>
        <w:tc>
          <w:tcPr>
            <w:tcW w:w="610" w:type="dxa"/>
            <w:shd w:val="clear" w:color="auto" w:fill="auto"/>
            <w:noWrap/>
            <w:vAlign w:val="bottom"/>
            <w:hideMark/>
          </w:tcPr>
          <w:p w14:paraId="0C67D7B3" w14:textId="0356381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w:t>
            </w:r>
            <w:r w:rsidR="009015CB">
              <w:rPr>
                <w:rFonts w:eastAsia="Times New Roman"/>
                <w:color w:val="000000"/>
                <w:sz w:val="11"/>
                <w:szCs w:val="16"/>
                <w:lang w:val="en-GB" w:eastAsia="zh-TW"/>
              </w:rPr>
              <w:t>6</w:t>
            </w:r>
            <w:r w:rsidRPr="00A35FB4">
              <w:rPr>
                <w:rFonts w:eastAsia="Times New Roman"/>
                <w:color w:val="000000"/>
                <w:sz w:val="11"/>
                <w:szCs w:val="16"/>
                <w:lang w:val="en-GB" w:eastAsia="zh-TW"/>
              </w:rPr>
              <w:t>)</w:t>
            </w:r>
          </w:p>
        </w:tc>
        <w:tc>
          <w:tcPr>
            <w:tcW w:w="677" w:type="dxa"/>
            <w:shd w:val="clear" w:color="auto" w:fill="auto"/>
            <w:noWrap/>
            <w:vAlign w:val="bottom"/>
            <w:hideMark/>
          </w:tcPr>
          <w:p w14:paraId="06CAAED8" w14:textId="40E7716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9015CB">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50" w:type="dxa"/>
            <w:shd w:val="clear" w:color="auto" w:fill="auto"/>
            <w:noWrap/>
            <w:vAlign w:val="bottom"/>
            <w:hideMark/>
          </w:tcPr>
          <w:p w14:paraId="28A24C84"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(16·7)</w:t>
            </w:r>
          </w:p>
        </w:tc>
        <w:tc>
          <w:tcPr>
            <w:tcW w:w="709" w:type="dxa"/>
            <w:shd w:val="clear" w:color="auto" w:fill="auto"/>
            <w:noWrap/>
            <w:vAlign w:val="bottom"/>
            <w:hideMark/>
          </w:tcPr>
          <w:p w14:paraId="755E38B2" w14:textId="549A6951"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709" w:type="dxa"/>
            <w:shd w:val="clear" w:color="auto" w:fill="auto"/>
            <w:noWrap/>
            <w:vAlign w:val="bottom"/>
            <w:hideMark/>
          </w:tcPr>
          <w:p w14:paraId="3AB1EF36" w14:textId="124CF4C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w:t>
            </w:r>
          </w:p>
        </w:tc>
        <w:tc>
          <w:tcPr>
            <w:tcW w:w="850" w:type="dxa"/>
            <w:shd w:val="clear" w:color="auto" w:fill="auto"/>
            <w:noWrap/>
            <w:vAlign w:val="bottom"/>
            <w:hideMark/>
          </w:tcPr>
          <w:p w14:paraId="5732CFD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(11·1)</w:t>
            </w:r>
          </w:p>
        </w:tc>
        <w:tc>
          <w:tcPr>
            <w:tcW w:w="709" w:type="dxa"/>
            <w:shd w:val="clear" w:color="auto" w:fill="auto"/>
            <w:noWrap/>
            <w:vAlign w:val="bottom"/>
            <w:hideMark/>
          </w:tcPr>
          <w:p w14:paraId="535C7A84" w14:textId="396E654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83" w:type="dxa"/>
            <w:shd w:val="clear" w:color="auto" w:fill="auto"/>
            <w:noWrap/>
            <w:vAlign w:val="bottom"/>
            <w:hideMark/>
          </w:tcPr>
          <w:p w14:paraId="1DD50D1F" w14:textId="339D297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(2)</w:t>
            </w:r>
          </w:p>
        </w:tc>
        <w:tc>
          <w:tcPr>
            <w:tcW w:w="876" w:type="dxa"/>
            <w:shd w:val="clear" w:color="auto" w:fill="auto"/>
            <w:noWrap/>
            <w:vAlign w:val="bottom"/>
            <w:hideMark/>
          </w:tcPr>
          <w:p w14:paraId="116518B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(25)</w:t>
            </w:r>
          </w:p>
        </w:tc>
        <w:tc>
          <w:tcPr>
            <w:tcW w:w="724" w:type="dxa"/>
            <w:shd w:val="clear" w:color="auto" w:fill="auto"/>
            <w:noWrap/>
            <w:vAlign w:val="bottom"/>
            <w:hideMark/>
          </w:tcPr>
          <w:p w14:paraId="6E71A54D" w14:textId="65FEC64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18DF7B1A" w14:textId="74D7C70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B42ED8">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50" w:type="dxa"/>
            <w:shd w:val="clear" w:color="auto" w:fill="auto"/>
            <w:noWrap/>
            <w:vAlign w:val="bottom"/>
            <w:hideMark/>
          </w:tcPr>
          <w:p w14:paraId="50825F4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09" w:type="dxa"/>
            <w:shd w:val="clear" w:color="auto" w:fill="auto"/>
            <w:noWrap/>
            <w:vAlign w:val="bottom"/>
            <w:hideMark/>
          </w:tcPr>
          <w:p w14:paraId="348ED20F" w14:textId="06B231D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661D4F0E" w14:textId="6484347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r>
      <w:tr w:rsidR="002A48B2" w:rsidRPr="00A35FB4" w14:paraId="54592C83" w14:textId="77777777" w:rsidTr="002A48B2">
        <w:trPr>
          <w:trHeight w:val="240"/>
          <w:jc w:val="center"/>
        </w:trPr>
        <w:tc>
          <w:tcPr>
            <w:tcW w:w="1134" w:type="dxa"/>
            <w:shd w:val="clear" w:color="auto" w:fill="auto"/>
            <w:noWrap/>
            <w:vAlign w:val="bottom"/>
            <w:hideMark/>
          </w:tcPr>
          <w:p w14:paraId="6D27757E"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 xml:space="preserve">Nasal pain </w:t>
            </w:r>
          </w:p>
        </w:tc>
        <w:tc>
          <w:tcPr>
            <w:tcW w:w="851" w:type="dxa"/>
            <w:shd w:val="clear" w:color="auto" w:fill="auto"/>
            <w:noWrap/>
            <w:vAlign w:val="bottom"/>
            <w:hideMark/>
          </w:tcPr>
          <w:p w14:paraId="1DD3654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628" w:type="dxa"/>
            <w:shd w:val="clear" w:color="auto" w:fill="auto"/>
            <w:noWrap/>
            <w:vAlign w:val="bottom"/>
            <w:hideMark/>
          </w:tcPr>
          <w:p w14:paraId="51E1FEA2" w14:textId="03ECB39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(0)</w:t>
            </w:r>
          </w:p>
        </w:tc>
        <w:tc>
          <w:tcPr>
            <w:tcW w:w="650" w:type="dxa"/>
            <w:shd w:val="clear" w:color="auto" w:fill="auto"/>
            <w:noWrap/>
            <w:vAlign w:val="bottom"/>
            <w:hideMark/>
          </w:tcPr>
          <w:p w14:paraId="65F26783" w14:textId="554E5B3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 xml:space="preserve">1 </w:t>
            </w:r>
            <w:r w:rsidR="00A35FB4">
              <w:rPr>
                <w:rFonts w:eastAsia="Times New Roman"/>
                <w:color w:val="000000"/>
                <w:sz w:val="11"/>
                <w:szCs w:val="16"/>
                <w:lang w:val="en-GB" w:eastAsia="zh-TW"/>
              </w:rPr>
              <w:t>(</w:t>
            </w:r>
            <w:r w:rsidRPr="00A35FB4">
              <w:rPr>
                <w:rFonts w:eastAsia="Times New Roman"/>
                <w:color w:val="000000"/>
                <w:sz w:val="11"/>
                <w:szCs w:val="16"/>
                <w:lang w:val="en-GB" w:eastAsia="zh-TW"/>
              </w:rPr>
              <w:t>0)</w:t>
            </w:r>
          </w:p>
        </w:tc>
        <w:tc>
          <w:tcPr>
            <w:tcW w:w="837" w:type="dxa"/>
            <w:shd w:val="clear" w:color="auto" w:fill="auto"/>
            <w:noWrap/>
            <w:vAlign w:val="bottom"/>
            <w:hideMark/>
          </w:tcPr>
          <w:p w14:paraId="1F7A048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shd w:val="clear" w:color="auto" w:fill="auto"/>
            <w:noWrap/>
            <w:vAlign w:val="bottom"/>
            <w:hideMark/>
          </w:tcPr>
          <w:p w14:paraId="270D67A5" w14:textId="77777777" w:rsidR="002A48B2" w:rsidRPr="00A35FB4" w:rsidRDefault="002A48B2" w:rsidP="002A48B2">
            <w:pPr>
              <w:rPr>
                <w:rFonts w:eastAsia="Times New Roman"/>
                <w:color w:val="000000"/>
                <w:sz w:val="11"/>
                <w:szCs w:val="16"/>
                <w:lang w:val="en-GB" w:eastAsia="zh-TW"/>
              </w:rPr>
            </w:pPr>
          </w:p>
        </w:tc>
        <w:tc>
          <w:tcPr>
            <w:tcW w:w="677" w:type="dxa"/>
            <w:shd w:val="clear" w:color="auto" w:fill="auto"/>
            <w:noWrap/>
            <w:vAlign w:val="bottom"/>
            <w:hideMark/>
          </w:tcPr>
          <w:p w14:paraId="484DF74A"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72149D4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1BE1E2D7" w14:textId="0F1ECA7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43C8214E" w14:textId="39D6D64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850" w:type="dxa"/>
            <w:shd w:val="clear" w:color="auto" w:fill="auto"/>
            <w:noWrap/>
            <w:vAlign w:val="bottom"/>
            <w:hideMark/>
          </w:tcPr>
          <w:p w14:paraId="6FB286F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(11·1)</w:t>
            </w:r>
          </w:p>
        </w:tc>
        <w:tc>
          <w:tcPr>
            <w:tcW w:w="709" w:type="dxa"/>
            <w:shd w:val="clear" w:color="auto" w:fill="auto"/>
            <w:noWrap/>
            <w:vAlign w:val="bottom"/>
            <w:hideMark/>
          </w:tcPr>
          <w:p w14:paraId="2EEFFB69" w14:textId="4C8123D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4·5 (</w:t>
            </w:r>
            <w:r w:rsidR="005C04F5">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683" w:type="dxa"/>
            <w:shd w:val="clear" w:color="auto" w:fill="auto"/>
            <w:noWrap/>
            <w:vAlign w:val="bottom"/>
            <w:hideMark/>
          </w:tcPr>
          <w:p w14:paraId="478CAA9C" w14:textId="008D607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7A79F6B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24" w:type="dxa"/>
            <w:shd w:val="clear" w:color="auto" w:fill="auto"/>
            <w:noWrap/>
            <w:vAlign w:val="bottom"/>
            <w:hideMark/>
          </w:tcPr>
          <w:p w14:paraId="33FBA939" w14:textId="5D1BDA4B"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5897AD39" w14:textId="6D19968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4DDD426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3C49CD20"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764F1EB0" w14:textId="77777777" w:rsidR="002A48B2" w:rsidRPr="00A35FB4" w:rsidRDefault="002A48B2" w:rsidP="002A48B2">
            <w:pPr>
              <w:rPr>
                <w:rFonts w:eastAsia="Times New Roman"/>
                <w:sz w:val="11"/>
                <w:szCs w:val="16"/>
                <w:lang w:val="en-GB" w:eastAsia="zh-TW"/>
              </w:rPr>
            </w:pPr>
          </w:p>
        </w:tc>
      </w:tr>
      <w:tr w:rsidR="002A48B2" w:rsidRPr="00A35FB4" w14:paraId="0D3F8E0F" w14:textId="77777777" w:rsidTr="002A48B2">
        <w:trPr>
          <w:trHeight w:val="240"/>
          <w:jc w:val="center"/>
        </w:trPr>
        <w:tc>
          <w:tcPr>
            <w:tcW w:w="1134" w:type="dxa"/>
            <w:shd w:val="clear" w:color="auto" w:fill="auto"/>
            <w:noWrap/>
            <w:vAlign w:val="bottom"/>
            <w:hideMark/>
          </w:tcPr>
          <w:p w14:paraId="7C0D910D"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Red eyes</w:t>
            </w:r>
          </w:p>
        </w:tc>
        <w:tc>
          <w:tcPr>
            <w:tcW w:w="851" w:type="dxa"/>
            <w:shd w:val="clear" w:color="auto" w:fill="auto"/>
            <w:noWrap/>
            <w:vAlign w:val="bottom"/>
            <w:hideMark/>
          </w:tcPr>
          <w:p w14:paraId="2F829C6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28" w:type="dxa"/>
            <w:shd w:val="clear" w:color="auto" w:fill="auto"/>
            <w:noWrap/>
            <w:vAlign w:val="bottom"/>
            <w:hideMark/>
          </w:tcPr>
          <w:p w14:paraId="40B6FED9" w14:textId="77777777" w:rsidR="002A48B2" w:rsidRPr="00A35FB4" w:rsidRDefault="002A48B2" w:rsidP="002A48B2">
            <w:pPr>
              <w:rPr>
                <w:rFonts w:eastAsia="Times New Roman"/>
                <w:color w:val="000000"/>
                <w:sz w:val="11"/>
                <w:szCs w:val="16"/>
                <w:lang w:val="en-GB" w:eastAsia="zh-TW"/>
              </w:rPr>
            </w:pPr>
          </w:p>
        </w:tc>
        <w:tc>
          <w:tcPr>
            <w:tcW w:w="650" w:type="dxa"/>
            <w:shd w:val="clear" w:color="auto" w:fill="auto"/>
            <w:noWrap/>
            <w:vAlign w:val="bottom"/>
            <w:hideMark/>
          </w:tcPr>
          <w:p w14:paraId="475BA618" w14:textId="77777777" w:rsidR="002A48B2" w:rsidRPr="00A35FB4" w:rsidRDefault="002A48B2" w:rsidP="002A48B2">
            <w:pPr>
              <w:rPr>
                <w:rFonts w:eastAsia="Times New Roman"/>
                <w:sz w:val="11"/>
                <w:szCs w:val="16"/>
                <w:lang w:val="en-GB" w:eastAsia="zh-TW"/>
              </w:rPr>
            </w:pPr>
          </w:p>
        </w:tc>
        <w:tc>
          <w:tcPr>
            <w:tcW w:w="837" w:type="dxa"/>
            <w:shd w:val="clear" w:color="auto" w:fill="auto"/>
            <w:noWrap/>
            <w:vAlign w:val="bottom"/>
            <w:hideMark/>
          </w:tcPr>
          <w:p w14:paraId="21FFC9B4"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(5·9)</w:t>
            </w:r>
          </w:p>
        </w:tc>
        <w:tc>
          <w:tcPr>
            <w:tcW w:w="610" w:type="dxa"/>
            <w:shd w:val="clear" w:color="auto" w:fill="auto"/>
            <w:noWrap/>
            <w:vAlign w:val="bottom"/>
            <w:hideMark/>
          </w:tcPr>
          <w:p w14:paraId="6CE9AFD7" w14:textId="2B1F4BA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7 (0)</w:t>
            </w:r>
          </w:p>
        </w:tc>
        <w:tc>
          <w:tcPr>
            <w:tcW w:w="677" w:type="dxa"/>
            <w:shd w:val="clear" w:color="auto" w:fill="auto"/>
            <w:noWrap/>
            <w:vAlign w:val="bottom"/>
            <w:hideMark/>
          </w:tcPr>
          <w:p w14:paraId="5C0BC6D0" w14:textId="03997A9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4AD6EF3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32A38F55"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47BE89DE"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73BBE941"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AF05A21" w14:textId="16589D1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(0)</w:t>
            </w:r>
          </w:p>
        </w:tc>
        <w:tc>
          <w:tcPr>
            <w:tcW w:w="683" w:type="dxa"/>
            <w:shd w:val="clear" w:color="auto" w:fill="auto"/>
            <w:noWrap/>
            <w:vAlign w:val="bottom"/>
            <w:hideMark/>
          </w:tcPr>
          <w:p w14:paraId="41BE4CAD" w14:textId="2FACE49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3C90548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0807840E"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2361CBBA"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79D172B6"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732AAFA4"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47A12CC6" w14:textId="77777777" w:rsidR="002A48B2" w:rsidRPr="00A35FB4" w:rsidRDefault="002A48B2" w:rsidP="002A48B2">
            <w:pPr>
              <w:rPr>
                <w:rFonts w:eastAsia="Times New Roman"/>
                <w:sz w:val="11"/>
                <w:szCs w:val="16"/>
                <w:lang w:val="en-GB" w:eastAsia="zh-TW"/>
              </w:rPr>
            </w:pPr>
          </w:p>
        </w:tc>
      </w:tr>
      <w:tr w:rsidR="002A48B2" w:rsidRPr="00A35FB4" w14:paraId="14AA9AD3" w14:textId="77777777" w:rsidTr="002A48B2">
        <w:trPr>
          <w:trHeight w:val="240"/>
          <w:jc w:val="center"/>
        </w:trPr>
        <w:tc>
          <w:tcPr>
            <w:tcW w:w="1134" w:type="dxa"/>
            <w:shd w:val="clear" w:color="auto" w:fill="auto"/>
            <w:noWrap/>
            <w:vAlign w:val="bottom"/>
            <w:hideMark/>
          </w:tcPr>
          <w:p w14:paraId="5A399F07" w14:textId="77777777" w:rsidR="002A48B2" w:rsidRPr="00A35FB4" w:rsidRDefault="002A48B2" w:rsidP="002A48B2">
            <w:pPr>
              <w:rPr>
                <w:rFonts w:eastAsia="Times New Roman"/>
                <w:b/>
                <w:color w:val="000000"/>
                <w:sz w:val="11"/>
                <w:szCs w:val="16"/>
                <w:lang w:val="en-GB" w:eastAsia="zh-TW"/>
              </w:rPr>
            </w:pPr>
            <w:proofErr w:type="spellStart"/>
            <w:r w:rsidRPr="00A35FB4">
              <w:rPr>
                <w:rFonts w:eastAsia="Times New Roman"/>
                <w:b/>
                <w:color w:val="000000"/>
                <w:sz w:val="11"/>
                <w:szCs w:val="16"/>
                <w:lang w:val="en-GB" w:eastAsia="zh-TW"/>
              </w:rPr>
              <w:t>Rhinorrhea</w:t>
            </w:r>
            <w:proofErr w:type="spellEnd"/>
          </w:p>
        </w:tc>
        <w:tc>
          <w:tcPr>
            <w:tcW w:w="851" w:type="dxa"/>
            <w:shd w:val="clear" w:color="auto" w:fill="auto"/>
            <w:noWrap/>
            <w:vAlign w:val="bottom"/>
            <w:hideMark/>
          </w:tcPr>
          <w:p w14:paraId="6F96B79E"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8 (44)</w:t>
            </w:r>
          </w:p>
        </w:tc>
        <w:tc>
          <w:tcPr>
            <w:tcW w:w="628" w:type="dxa"/>
            <w:shd w:val="clear" w:color="auto" w:fill="auto"/>
            <w:noWrap/>
            <w:vAlign w:val="bottom"/>
            <w:hideMark/>
          </w:tcPr>
          <w:p w14:paraId="040F0DB5" w14:textId="2284F17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650" w:type="dxa"/>
            <w:shd w:val="clear" w:color="auto" w:fill="auto"/>
            <w:noWrap/>
            <w:vAlign w:val="bottom"/>
            <w:hideMark/>
          </w:tcPr>
          <w:p w14:paraId="508D7C0B" w14:textId="7E104DB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2·5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37" w:type="dxa"/>
            <w:shd w:val="clear" w:color="auto" w:fill="auto"/>
            <w:noWrap/>
            <w:vAlign w:val="bottom"/>
            <w:hideMark/>
          </w:tcPr>
          <w:p w14:paraId="5EDCA10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(29·4)</w:t>
            </w:r>
          </w:p>
        </w:tc>
        <w:tc>
          <w:tcPr>
            <w:tcW w:w="610" w:type="dxa"/>
            <w:shd w:val="clear" w:color="auto" w:fill="auto"/>
            <w:noWrap/>
            <w:vAlign w:val="bottom"/>
            <w:hideMark/>
          </w:tcPr>
          <w:p w14:paraId="511ADDD0" w14:textId="0DA2168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w:t>
            </w:r>
            <w:r w:rsidR="009015CB">
              <w:rPr>
                <w:rFonts w:eastAsia="Times New Roman"/>
                <w:color w:val="000000"/>
                <w:sz w:val="11"/>
                <w:szCs w:val="16"/>
                <w:lang w:val="en-GB" w:eastAsia="zh-TW"/>
              </w:rPr>
              <w:t>4</w:t>
            </w:r>
            <w:r w:rsidRPr="00A35FB4">
              <w:rPr>
                <w:rFonts w:eastAsia="Times New Roman"/>
                <w:color w:val="000000"/>
                <w:sz w:val="11"/>
                <w:szCs w:val="16"/>
                <w:lang w:val="en-GB" w:eastAsia="zh-TW"/>
              </w:rPr>
              <w:t>)</w:t>
            </w:r>
          </w:p>
        </w:tc>
        <w:tc>
          <w:tcPr>
            <w:tcW w:w="677" w:type="dxa"/>
            <w:shd w:val="clear" w:color="auto" w:fill="auto"/>
            <w:noWrap/>
            <w:vAlign w:val="bottom"/>
            <w:hideMark/>
          </w:tcPr>
          <w:p w14:paraId="0EBC64F5" w14:textId="501E56FB"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9015CB">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50" w:type="dxa"/>
            <w:shd w:val="clear" w:color="auto" w:fill="auto"/>
            <w:noWrap/>
            <w:vAlign w:val="bottom"/>
            <w:hideMark/>
          </w:tcPr>
          <w:p w14:paraId="6C79D02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(33·3)</w:t>
            </w:r>
          </w:p>
        </w:tc>
        <w:tc>
          <w:tcPr>
            <w:tcW w:w="709" w:type="dxa"/>
            <w:shd w:val="clear" w:color="auto" w:fill="auto"/>
            <w:noWrap/>
            <w:vAlign w:val="bottom"/>
            <w:hideMark/>
          </w:tcPr>
          <w:p w14:paraId="1833A7D6" w14:textId="5DE1923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5C04F5">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709" w:type="dxa"/>
            <w:shd w:val="clear" w:color="auto" w:fill="auto"/>
            <w:noWrap/>
            <w:vAlign w:val="bottom"/>
            <w:hideMark/>
          </w:tcPr>
          <w:p w14:paraId="10BA88CC" w14:textId="7229AB81"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(1)</w:t>
            </w:r>
          </w:p>
        </w:tc>
        <w:tc>
          <w:tcPr>
            <w:tcW w:w="850" w:type="dxa"/>
            <w:shd w:val="clear" w:color="auto" w:fill="auto"/>
            <w:noWrap/>
            <w:vAlign w:val="bottom"/>
            <w:hideMark/>
          </w:tcPr>
          <w:p w14:paraId="5F1EBB9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(22·2)</w:t>
            </w:r>
          </w:p>
        </w:tc>
        <w:tc>
          <w:tcPr>
            <w:tcW w:w="709" w:type="dxa"/>
            <w:shd w:val="clear" w:color="auto" w:fill="auto"/>
            <w:noWrap/>
            <w:vAlign w:val="bottom"/>
            <w:hideMark/>
          </w:tcPr>
          <w:p w14:paraId="390FACFB" w14:textId="56DBBEA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683" w:type="dxa"/>
            <w:shd w:val="clear" w:color="auto" w:fill="auto"/>
            <w:noWrap/>
            <w:vAlign w:val="bottom"/>
            <w:hideMark/>
          </w:tcPr>
          <w:p w14:paraId="296BEF34" w14:textId="61ED296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5C04F5">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876" w:type="dxa"/>
            <w:shd w:val="clear" w:color="auto" w:fill="auto"/>
            <w:noWrap/>
            <w:vAlign w:val="bottom"/>
            <w:hideMark/>
          </w:tcPr>
          <w:p w14:paraId="2CC4657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(25)</w:t>
            </w:r>
          </w:p>
        </w:tc>
        <w:tc>
          <w:tcPr>
            <w:tcW w:w="724" w:type="dxa"/>
            <w:shd w:val="clear" w:color="auto" w:fill="auto"/>
            <w:noWrap/>
            <w:vAlign w:val="bottom"/>
            <w:hideMark/>
          </w:tcPr>
          <w:p w14:paraId="0574B22A" w14:textId="1376E8D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68E3B060" w14:textId="262D7DB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B42ED8">
              <w:rPr>
                <w:rFonts w:eastAsia="Times New Roman"/>
                <w:color w:val="000000"/>
                <w:sz w:val="11"/>
                <w:szCs w:val="16"/>
                <w:lang w:val="en-GB" w:eastAsia="zh-TW"/>
              </w:rPr>
              <w:t>5</w:t>
            </w:r>
            <w:r w:rsidRPr="00A35FB4">
              <w:rPr>
                <w:rFonts w:eastAsia="Times New Roman"/>
                <w:color w:val="000000"/>
                <w:sz w:val="11"/>
                <w:szCs w:val="16"/>
                <w:lang w:val="en-GB" w:eastAsia="zh-TW"/>
              </w:rPr>
              <w:t>)</w:t>
            </w:r>
          </w:p>
        </w:tc>
        <w:tc>
          <w:tcPr>
            <w:tcW w:w="850" w:type="dxa"/>
            <w:shd w:val="clear" w:color="auto" w:fill="auto"/>
            <w:noWrap/>
            <w:vAlign w:val="bottom"/>
            <w:hideMark/>
          </w:tcPr>
          <w:p w14:paraId="01F238C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(25)</w:t>
            </w:r>
          </w:p>
        </w:tc>
        <w:tc>
          <w:tcPr>
            <w:tcW w:w="709" w:type="dxa"/>
            <w:shd w:val="clear" w:color="auto" w:fill="auto"/>
            <w:noWrap/>
            <w:vAlign w:val="bottom"/>
            <w:hideMark/>
          </w:tcPr>
          <w:p w14:paraId="44790555" w14:textId="7F43CEB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194AF6">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709" w:type="dxa"/>
            <w:shd w:val="clear" w:color="auto" w:fill="auto"/>
            <w:noWrap/>
            <w:vAlign w:val="bottom"/>
            <w:hideMark/>
          </w:tcPr>
          <w:p w14:paraId="71CE5BF4" w14:textId="0B98B25B"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w:t>
            </w:r>
            <w:r w:rsidR="00AC7934">
              <w:rPr>
                <w:rFonts w:eastAsia="Times New Roman"/>
                <w:color w:val="000000"/>
                <w:sz w:val="11"/>
                <w:szCs w:val="16"/>
                <w:lang w:val="en-GB" w:eastAsia="zh-TW"/>
              </w:rPr>
              <w:t>4</w:t>
            </w:r>
            <w:r w:rsidRPr="00A35FB4">
              <w:rPr>
                <w:rFonts w:eastAsia="Times New Roman"/>
                <w:color w:val="000000"/>
                <w:sz w:val="11"/>
                <w:szCs w:val="16"/>
                <w:lang w:val="en-GB" w:eastAsia="zh-TW"/>
              </w:rPr>
              <w:t>)</w:t>
            </w:r>
          </w:p>
        </w:tc>
      </w:tr>
      <w:tr w:rsidR="002A48B2" w:rsidRPr="00A35FB4" w14:paraId="36A8E1FD" w14:textId="77777777" w:rsidTr="002A48B2">
        <w:trPr>
          <w:trHeight w:val="240"/>
          <w:jc w:val="center"/>
        </w:trPr>
        <w:tc>
          <w:tcPr>
            <w:tcW w:w="1134" w:type="dxa"/>
            <w:shd w:val="clear" w:color="auto" w:fill="auto"/>
            <w:noWrap/>
            <w:vAlign w:val="bottom"/>
            <w:hideMark/>
          </w:tcPr>
          <w:p w14:paraId="70025BCE"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Sneezing</w:t>
            </w:r>
          </w:p>
        </w:tc>
        <w:tc>
          <w:tcPr>
            <w:tcW w:w="851" w:type="dxa"/>
            <w:shd w:val="clear" w:color="auto" w:fill="auto"/>
            <w:noWrap/>
            <w:vAlign w:val="bottom"/>
            <w:hideMark/>
          </w:tcPr>
          <w:p w14:paraId="2588CEC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(33·3)</w:t>
            </w:r>
          </w:p>
        </w:tc>
        <w:tc>
          <w:tcPr>
            <w:tcW w:w="628" w:type="dxa"/>
            <w:shd w:val="clear" w:color="auto" w:fill="auto"/>
            <w:noWrap/>
            <w:vAlign w:val="bottom"/>
            <w:hideMark/>
          </w:tcPr>
          <w:p w14:paraId="0C721D63" w14:textId="5760767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A35FB4">
              <w:rPr>
                <w:rFonts w:eastAsia="Times New Roman"/>
                <w:color w:val="000000"/>
                <w:sz w:val="11"/>
                <w:szCs w:val="16"/>
                <w:lang w:val="en-GB" w:eastAsia="zh-TW"/>
              </w:rPr>
              <w:t>4</w:t>
            </w:r>
            <w:r w:rsidRPr="00A35FB4">
              <w:rPr>
                <w:rFonts w:eastAsia="Times New Roman"/>
                <w:color w:val="000000"/>
                <w:sz w:val="11"/>
                <w:szCs w:val="16"/>
                <w:lang w:val="en-GB" w:eastAsia="zh-TW"/>
              </w:rPr>
              <w:t>)</w:t>
            </w:r>
          </w:p>
        </w:tc>
        <w:tc>
          <w:tcPr>
            <w:tcW w:w="650" w:type="dxa"/>
            <w:shd w:val="clear" w:color="auto" w:fill="auto"/>
            <w:noWrap/>
            <w:vAlign w:val="bottom"/>
            <w:hideMark/>
          </w:tcPr>
          <w:p w14:paraId="10DE1810" w14:textId="31CB64E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837" w:type="dxa"/>
            <w:shd w:val="clear" w:color="auto" w:fill="auto"/>
            <w:noWrap/>
            <w:vAlign w:val="bottom"/>
            <w:hideMark/>
          </w:tcPr>
          <w:p w14:paraId="334DE106"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(11·8)</w:t>
            </w:r>
          </w:p>
        </w:tc>
        <w:tc>
          <w:tcPr>
            <w:tcW w:w="610" w:type="dxa"/>
            <w:shd w:val="clear" w:color="auto" w:fill="auto"/>
            <w:noWrap/>
            <w:vAlign w:val="bottom"/>
            <w:hideMark/>
          </w:tcPr>
          <w:p w14:paraId="4DBE7A65" w14:textId="569ED56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9015CB">
              <w:rPr>
                <w:rFonts w:eastAsia="Times New Roman"/>
                <w:color w:val="000000"/>
                <w:sz w:val="11"/>
                <w:szCs w:val="16"/>
                <w:lang w:val="en-GB" w:eastAsia="zh-TW"/>
              </w:rPr>
              <w:t>4</w:t>
            </w:r>
            <w:r w:rsidRPr="00A35FB4">
              <w:rPr>
                <w:rFonts w:eastAsia="Times New Roman"/>
                <w:color w:val="000000"/>
                <w:sz w:val="11"/>
                <w:szCs w:val="16"/>
                <w:lang w:val="en-GB" w:eastAsia="zh-TW"/>
              </w:rPr>
              <w:t>)</w:t>
            </w:r>
          </w:p>
        </w:tc>
        <w:tc>
          <w:tcPr>
            <w:tcW w:w="677" w:type="dxa"/>
            <w:shd w:val="clear" w:color="auto" w:fill="auto"/>
            <w:noWrap/>
            <w:vAlign w:val="bottom"/>
            <w:hideMark/>
          </w:tcPr>
          <w:p w14:paraId="1F6A5F04" w14:textId="2B4208E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4ECBECA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0419D9B" w14:textId="38F6B2E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709" w:type="dxa"/>
            <w:shd w:val="clear" w:color="auto" w:fill="auto"/>
            <w:noWrap/>
            <w:vAlign w:val="bottom"/>
            <w:hideMark/>
          </w:tcPr>
          <w:p w14:paraId="7047F0DD" w14:textId="534B26D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12F038E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(16·7)</w:t>
            </w:r>
          </w:p>
        </w:tc>
        <w:tc>
          <w:tcPr>
            <w:tcW w:w="709" w:type="dxa"/>
            <w:shd w:val="clear" w:color="auto" w:fill="auto"/>
            <w:noWrap/>
            <w:vAlign w:val="bottom"/>
            <w:hideMark/>
          </w:tcPr>
          <w:p w14:paraId="24C416CA" w14:textId="3A414E9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5C04F5">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83" w:type="dxa"/>
            <w:shd w:val="clear" w:color="auto" w:fill="auto"/>
            <w:noWrap/>
            <w:vAlign w:val="bottom"/>
            <w:hideMark/>
          </w:tcPr>
          <w:p w14:paraId="11AB1C8D" w14:textId="1A2E00FB"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5C04F5">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76" w:type="dxa"/>
            <w:shd w:val="clear" w:color="auto" w:fill="auto"/>
            <w:noWrap/>
            <w:vAlign w:val="bottom"/>
            <w:hideMark/>
          </w:tcPr>
          <w:p w14:paraId="6C73068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(16·7)</w:t>
            </w:r>
          </w:p>
        </w:tc>
        <w:tc>
          <w:tcPr>
            <w:tcW w:w="724" w:type="dxa"/>
            <w:shd w:val="clear" w:color="auto" w:fill="auto"/>
            <w:noWrap/>
            <w:vAlign w:val="bottom"/>
            <w:hideMark/>
          </w:tcPr>
          <w:p w14:paraId="13CEDA9D" w14:textId="7134BC5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(1)</w:t>
            </w:r>
          </w:p>
        </w:tc>
        <w:tc>
          <w:tcPr>
            <w:tcW w:w="694" w:type="dxa"/>
            <w:shd w:val="clear" w:color="auto" w:fill="auto"/>
            <w:noWrap/>
            <w:vAlign w:val="bottom"/>
            <w:hideMark/>
          </w:tcPr>
          <w:p w14:paraId="01A583E5" w14:textId="1D1E477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B42ED8">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850" w:type="dxa"/>
            <w:shd w:val="clear" w:color="auto" w:fill="auto"/>
            <w:noWrap/>
            <w:vAlign w:val="bottom"/>
            <w:hideMark/>
          </w:tcPr>
          <w:p w14:paraId="45C186E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(16·7)</w:t>
            </w:r>
          </w:p>
        </w:tc>
        <w:tc>
          <w:tcPr>
            <w:tcW w:w="709" w:type="dxa"/>
            <w:shd w:val="clear" w:color="auto" w:fill="auto"/>
            <w:noWrap/>
            <w:vAlign w:val="bottom"/>
            <w:hideMark/>
          </w:tcPr>
          <w:p w14:paraId="2C61849E" w14:textId="7D152F2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3·5 (</w:t>
            </w:r>
            <w:r w:rsidR="00194AF6">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709" w:type="dxa"/>
            <w:shd w:val="clear" w:color="auto" w:fill="auto"/>
            <w:noWrap/>
            <w:vAlign w:val="bottom"/>
            <w:hideMark/>
          </w:tcPr>
          <w:p w14:paraId="34297CE3" w14:textId="2CF9043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(1)</w:t>
            </w:r>
          </w:p>
        </w:tc>
      </w:tr>
      <w:tr w:rsidR="002A48B2" w:rsidRPr="00A35FB4" w14:paraId="3DF74981" w14:textId="77777777" w:rsidTr="002A48B2">
        <w:trPr>
          <w:trHeight w:val="240"/>
          <w:jc w:val="center"/>
        </w:trPr>
        <w:tc>
          <w:tcPr>
            <w:tcW w:w="1134" w:type="dxa"/>
            <w:shd w:val="clear" w:color="auto" w:fill="auto"/>
            <w:noWrap/>
            <w:vAlign w:val="bottom"/>
            <w:hideMark/>
          </w:tcPr>
          <w:p w14:paraId="07F2725E"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Sore throat</w:t>
            </w:r>
          </w:p>
        </w:tc>
        <w:tc>
          <w:tcPr>
            <w:tcW w:w="851" w:type="dxa"/>
            <w:shd w:val="clear" w:color="auto" w:fill="auto"/>
            <w:noWrap/>
            <w:vAlign w:val="bottom"/>
            <w:hideMark/>
          </w:tcPr>
          <w:p w14:paraId="7B1A304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(11·1)</w:t>
            </w:r>
          </w:p>
        </w:tc>
        <w:tc>
          <w:tcPr>
            <w:tcW w:w="628" w:type="dxa"/>
            <w:shd w:val="clear" w:color="auto" w:fill="auto"/>
            <w:noWrap/>
            <w:vAlign w:val="bottom"/>
            <w:hideMark/>
          </w:tcPr>
          <w:p w14:paraId="36B9F89E" w14:textId="76C4D46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50" w:type="dxa"/>
            <w:shd w:val="clear" w:color="auto" w:fill="auto"/>
            <w:noWrap/>
            <w:vAlign w:val="bottom"/>
            <w:hideMark/>
          </w:tcPr>
          <w:p w14:paraId="1783987F" w14:textId="7994698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37" w:type="dxa"/>
            <w:shd w:val="clear" w:color="auto" w:fill="auto"/>
            <w:noWrap/>
            <w:vAlign w:val="bottom"/>
            <w:hideMark/>
          </w:tcPr>
          <w:p w14:paraId="2E7E047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(5·9) [1(5·9)]</w:t>
            </w:r>
          </w:p>
        </w:tc>
        <w:tc>
          <w:tcPr>
            <w:tcW w:w="610" w:type="dxa"/>
            <w:shd w:val="clear" w:color="auto" w:fill="auto"/>
            <w:noWrap/>
            <w:vAlign w:val="bottom"/>
            <w:hideMark/>
          </w:tcPr>
          <w:p w14:paraId="337E629C" w14:textId="0A42C25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w:t>
            </w:r>
            <w:r w:rsidR="009015CB">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677" w:type="dxa"/>
            <w:shd w:val="clear" w:color="auto" w:fill="auto"/>
            <w:noWrap/>
            <w:vAlign w:val="bottom"/>
            <w:hideMark/>
          </w:tcPr>
          <w:p w14:paraId="1299CD8C" w14:textId="1F13663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850" w:type="dxa"/>
            <w:shd w:val="clear" w:color="auto" w:fill="auto"/>
            <w:noWrap/>
            <w:vAlign w:val="bottom"/>
            <w:hideMark/>
          </w:tcPr>
          <w:p w14:paraId="316F234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(27·8)</w:t>
            </w:r>
          </w:p>
        </w:tc>
        <w:tc>
          <w:tcPr>
            <w:tcW w:w="709" w:type="dxa"/>
            <w:shd w:val="clear" w:color="auto" w:fill="auto"/>
            <w:noWrap/>
            <w:vAlign w:val="bottom"/>
            <w:hideMark/>
          </w:tcPr>
          <w:p w14:paraId="0FA9A6E7" w14:textId="797474F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709" w:type="dxa"/>
            <w:shd w:val="clear" w:color="auto" w:fill="auto"/>
            <w:noWrap/>
            <w:vAlign w:val="bottom"/>
            <w:hideMark/>
          </w:tcPr>
          <w:p w14:paraId="7A74974C" w14:textId="7132CEF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5C04F5">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850" w:type="dxa"/>
            <w:shd w:val="clear" w:color="auto" w:fill="auto"/>
            <w:noWrap/>
            <w:vAlign w:val="bottom"/>
            <w:hideMark/>
          </w:tcPr>
          <w:p w14:paraId="65DD4554"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(16·7)</w:t>
            </w:r>
          </w:p>
        </w:tc>
        <w:tc>
          <w:tcPr>
            <w:tcW w:w="709" w:type="dxa"/>
            <w:shd w:val="clear" w:color="auto" w:fill="auto"/>
            <w:noWrap/>
            <w:vAlign w:val="bottom"/>
            <w:hideMark/>
          </w:tcPr>
          <w:p w14:paraId="74B99821" w14:textId="14F1164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(3)</w:t>
            </w:r>
          </w:p>
        </w:tc>
        <w:tc>
          <w:tcPr>
            <w:tcW w:w="683" w:type="dxa"/>
            <w:shd w:val="clear" w:color="auto" w:fill="auto"/>
            <w:noWrap/>
            <w:vAlign w:val="bottom"/>
            <w:hideMark/>
          </w:tcPr>
          <w:p w14:paraId="0F0E2A6B" w14:textId="32F785C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w:t>
            </w:r>
          </w:p>
        </w:tc>
        <w:tc>
          <w:tcPr>
            <w:tcW w:w="876" w:type="dxa"/>
            <w:shd w:val="clear" w:color="auto" w:fill="auto"/>
            <w:noWrap/>
            <w:vAlign w:val="bottom"/>
            <w:hideMark/>
          </w:tcPr>
          <w:p w14:paraId="2D7E0B3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(25)</w:t>
            </w:r>
          </w:p>
        </w:tc>
        <w:tc>
          <w:tcPr>
            <w:tcW w:w="724" w:type="dxa"/>
            <w:shd w:val="clear" w:color="auto" w:fill="auto"/>
            <w:noWrap/>
            <w:vAlign w:val="bottom"/>
            <w:hideMark/>
          </w:tcPr>
          <w:p w14:paraId="5781D7C2" w14:textId="60B0DE0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F47CA3">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694" w:type="dxa"/>
            <w:shd w:val="clear" w:color="auto" w:fill="auto"/>
            <w:noWrap/>
            <w:vAlign w:val="bottom"/>
            <w:hideMark/>
          </w:tcPr>
          <w:p w14:paraId="2B3F1AF3" w14:textId="2A02E71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B42ED8">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50" w:type="dxa"/>
            <w:shd w:val="clear" w:color="auto" w:fill="auto"/>
            <w:noWrap/>
            <w:vAlign w:val="bottom"/>
            <w:hideMark/>
          </w:tcPr>
          <w:p w14:paraId="2EF99E3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(41·7)</w:t>
            </w:r>
          </w:p>
        </w:tc>
        <w:tc>
          <w:tcPr>
            <w:tcW w:w="709" w:type="dxa"/>
            <w:shd w:val="clear" w:color="auto" w:fill="auto"/>
            <w:noWrap/>
            <w:vAlign w:val="bottom"/>
            <w:hideMark/>
          </w:tcPr>
          <w:p w14:paraId="393777D3" w14:textId="1DD242A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194AF6">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709" w:type="dxa"/>
            <w:shd w:val="clear" w:color="auto" w:fill="auto"/>
            <w:noWrap/>
            <w:vAlign w:val="bottom"/>
            <w:hideMark/>
          </w:tcPr>
          <w:p w14:paraId="1FFCBD4F" w14:textId="52D9B16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w:t>
            </w:r>
            <w:r w:rsidR="00AC7934">
              <w:rPr>
                <w:rFonts w:eastAsia="Times New Roman"/>
                <w:color w:val="000000"/>
                <w:sz w:val="11"/>
                <w:szCs w:val="16"/>
                <w:lang w:val="en-GB" w:eastAsia="zh-TW"/>
              </w:rPr>
              <w:t>3</w:t>
            </w:r>
            <w:r w:rsidRPr="00A35FB4">
              <w:rPr>
                <w:rFonts w:eastAsia="Times New Roman"/>
                <w:color w:val="000000"/>
                <w:sz w:val="11"/>
                <w:szCs w:val="16"/>
                <w:lang w:val="en-GB" w:eastAsia="zh-TW"/>
              </w:rPr>
              <w:t>)</w:t>
            </w:r>
          </w:p>
        </w:tc>
      </w:tr>
      <w:tr w:rsidR="002A48B2" w:rsidRPr="00A35FB4" w14:paraId="561FCB7B" w14:textId="77777777" w:rsidTr="002A48B2">
        <w:trPr>
          <w:trHeight w:val="240"/>
          <w:jc w:val="center"/>
        </w:trPr>
        <w:tc>
          <w:tcPr>
            <w:tcW w:w="1134" w:type="dxa"/>
            <w:shd w:val="clear" w:color="auto" w:fill="auto"/>
            <w:noWrap/>
            <w:vAlign w:val="bottom"/>
            <w:hideMark/>
          </w:tcPr>
          <w:p w14:paraId="52CBB07B"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Stuffy nose</w:t>
            </w:r>
          </w:p>
        </w:tc>
        <w:tc>
          <w:tcPr>
            <w:tcW w:w="851" w:type="dxa"/>
            <w:shd w:val="clear" w:color="auto" w:fill="auto"/>
            <w:noWrap/>
            <w:vAlign w:val="bottom"/>
            <w:hideMark/>
          </w:tcPr>
          <w:p w14:paraId="6B3E379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8 (44·4)</w:t>
            </w:r>
          </w:p>
        </w:tc>
        <w:tc>
          <w:tcPr>
            <w:tcW w:w="628" w:type="dxa"/>
            <w:shd w:val="clear" w:color="auto" w:fill="auto"/>
            <w:noWrap/>
            <w:vAlign w:val="bottom"/>
            <w:hideMark/>
          </w:tcPr>
          <w:p w14:paraId="4CE8BFE7" w14:textId="594889B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A35FB4">
              <w:rPr>
                <w:rFonts w:eastAsia="Times New Roman"/>
                <w:color w:val="000000"/>
                <w:sz w:val="11"/>
                <w:szCs w:val="16"/>
                <w:lang w:val="en-GB" w:eastAsia="zh-TW"/>
              </w:rPr>
              <w:t>0</w:t>
            </w:r>
            <w:r w:rsidRPr="00A35FB4">
              <w:rPr>
                <w:rFonts w:eastAsia="Times New Roman"/>
                <w:color w:val="000000"/>
                <w:sz w:val="11"/>
                <w:szCs w:val="16"/>
                <w:lang w:val="en-GB" w:eastAsia="zh-TW"/>
              </w:rPr>
              <w:t>·5)</w:t>
            </w:r>
          </w:p>
        </w:tc>
        <w:tc>
          <w:tcPr>
            <w:tcW w:w="650" w:type="dxa"/>
            <w:shd w:val="clear" w:color="auto" w:fill="auto"/>
            <w:noWrap/>
            <w:vAlign w:val="bottom"/>
            <w:hideMark/>
          </w:tcPr>
          <w:p w14:paraId="1816E58D" w14:textId="3BECBB4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2·5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·5)</w:t>
            </w:r>
          </w:p>
        </w:tc>
        <w:tc>
          <w:tcPr>
            <w:tcW w:w="837" w:type="dxa"/>
            <w:shd w:val="clear" w:color="auto" w:fill="auto"/>
            <w:noWrap/>
            <w:vAlign w:val="bottom"/>
            <w:hideMark/>
          </w:tcPr>
          <w:p w14:paraId="4171038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(29·4)</w:t>
            </w:r>
          </w:p>
        </w:tc>
        <w:tc>
          <w:tcPr>
            <w:tcW w:w="610" w:type="dxa"/>
            <w:shd w:val="clear" w:color="auto" w:fill="auto"/>
            <w:noWrap/>
            <w:vAlign w:val="bottom"/>
            <w:hideMark/>
          </w:tcPr>
          <w:p w14:paraId="27A11974" w14:textId="40E13F2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9015CB">
              <w:rPr>
                <w:rFonts w:eastAsia="Times New Roman"/>
                <w:color w:val="000000"/>
                <w:sz w:val="11"/>
                <w:szCs w:val="16"/>
                <w:lang w:val="en-GB" w:eastAsia="zh-TW"/>
              </w:rPr>
              <w:t>4</w:t>
            </w:r>
            <w:r w:rsidRPr="00A35FB4">
              <w:rPr>
                <w:rFonts w:eastAsia="Times New Roman"/>
                <w:color w:val="000000"/>
                <w:sz w:val="11"/>
                <w:szCs w:val="16"/>
                <w:lang w:val="en-GB" w:eastAsia="zh-TW"/>
              </w:rPr>
              <w:t>)</w:t>
            </w:r>
          </w:p>
        </w:tc>
        <w:tc>
          <w:tcPr>
            <w:tcW w:w="677" w:type="dxa"/>
            <w:shd w:val="clear" w:color="auto" w:fill="auto"/>
            <w:noWrap/>
            <w:vAlign w:val="bottom"/>
            <w:hideMark/>
          </w:tcPr>
          <w:p w14:paraId="6A5A2E96" w14:textId="4CB1469B"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850" w:type="dxa"/>
            <w:shd w:val="clear" w:color="auto" w:fill="auto"/>
            <w:noWrap/>
            <w:vAlign w:val="bottom"/>
            <w:hideMark/>
          </w:tcPr>
          <w:p w14:paraId="20BA1A3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(33·3)</w:t>
            </w:r>
          </w:p>
        </w:tc>
        <w:tc>
          <w:tcPr>
            <w:tcW w:w="709" w:type="dxa"/>
            <w:shd w:val="clear" w:color="auto" w:fill="auto"/>
            <w:noWrap/>
            <w:vAlign w:val="bottom"/>
            <w:hideMark/>
          </w:tcPr>
          <w:p w14:paraId="1E8C9523" w14:textId="4A1BAD6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w:t>
            </w:r>
          </w:p>
        </w:tc>
        <w:tc>
          <w:tcPr>
            <w:tcW w:w="709" w:type="dxa"/>
            <w:shd w:val="clear" w:color="auto" w:fill="auto"/>
            <w:noWrap/>
            <w:vAlign w:val="bottom"/>
            <w:hideMark/>
          </w:tcPr>
          <w:p w14:paraId="12421B70" w14:textId="038AACF1"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5C04F5">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850" w:type="dxa"/>
            <w:shd w:val="clear" w:color="auto" w:fill="auto"/>
            <w:noWrap/>
            <w:vAlign w:val="bottom"/>
            <w:hideMark/>
          </w:tcPr>
          <w:p w14:paraId="0D23424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(22·2)</w:t>
            </w:r>
          </w:p>
        </w:tc>
        <w:tc>
          <w:tcPr>
            <w:tcW w:w="709" w:type="dxa"/>
            <w:shd w:val="clear" w:color="auto" w:fill="auto"/>
            <w:noWrap/>
            <w:vAlign w:val="bottom"/>
            <w:hideMark/>
          </w:tcPr>
          <w:p w14:paraId="1CB14B52" w14:textId="32EC62D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5C04F5">
              <w:rPr>
                <w:rFonts w:eastAsia="Times New Roman"/>
                <w:color w:val="000000"/>
                <w:sz w:val="11"/>
                <w:szCs w:val="16"/>
                <w:lang w:val="en-GB" w:eastAsia="zh-TW"/>
              </w:rPr>
              <w:t>2)</w:t>
            </w:r>
          </w:p>
        </w:tc>
        <w:tc>
          <w:tcPr>
            <w:tcW w:w="683" w:type="dxa"/>
            <w:shd w:val="clear" w:color="auto" w:fill="auto"/>
            <w:noWrap/>
            <w:vAlign w:val="bottom"/>
            <w:hideMark/>
          </w:tcPr>
          <w:p w14:paraId="58A359DC" w14:textId="272726B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5C04F5">
              <w:rPr>
                <w:rFonts w:eastAsia="Times New Roman"/>
                <w:color w:val="000000"/>
                <w:sz w:val="11"/>
                <w:szCs w:val="16"/>
                <w:lang w:val="en-GB" w:eastAsia="zh-TW"/>
              </w:rPr>
              <w:t>2)</w:t>
            </w:r>
          </w:p>
        </w:tc>
        <w:tc>
          <w:tcPr>
            <w:tcW w:w="876" w:type="dxa"/>
            <w:shd w:val="clear" w:color="auto" w:fill="auto"/>
            <w:noWrap/>
            <w:vAlign w:val="bottom"/>
            <w:hideMark/>
          </w:tcPr>
          <w:p w14:paraId="0DBB3B4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(33·3)</w:t>
            </w:r>
          </w:p>
        </w:tc>
        <w:tc>
          <w:tcPr>
            <w:tcW w:w="724" w:type="dxa"/>
            <w:shd w:val="clear" w:color="auto" w:fill="auto"/>
            <w:noWrap/>
            <w:vAlign w:val="bottom"/>
            <w:hideMark/>
          </w:tcPr>
          <w:p w14:paraId="62DE7513" w14:textId="7CBF9C9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694" w:type="dxa"/>
            <w:shd w:val="clear" w:color="auto" w:fill="auto"/>
            <w:noWrap/>
            <w:vAlign w:val="bottom"/>
            <w:hideMark/>
          </w:tcPr>
          <w:p w14:paraId="0B3E4906" w14:textId="701E702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B42ED8">
              <w:rPr>
                <w:rFonts w:eastAsia="Times New Roman"/>
                <w:color w:val="000000"/>
                <w:sz w:val="11"/>
                <w:szCs w:val="16"/>
                <w:lang w:val="en-GB" w:eastAsia="zh-TW"/>
              </w:rPr>
              <w:t>4</w:t>
            </w:r>
            <w:r w:rsidRPr="00A35FB4">
              <w:rPr>
                <w:rFonts w:eastAsia="Times New Roman"/>
                <w:color w:val="000000"/>
                <w:sz w:val="11"/>
                <w:szCs w:val="16"/>
                <w:lang w:val="en-GB" w:eastAsia="zh-TW"/>
              </w:rPr>
              <w:t>·5)</w:t>
            </w:r>
          </w:p>
        </w:tc>
        <w:tc>
          <w:tcPr>
            <w:tcW w:w="850" w:type="dxa"/>
            <w:shd w:val="clear" w:color="auto" w:fill="auto"/>
            <w:noWrap/>
            <w:vAlign w:val="bottom"/>
            <w:hideMark/>
          </w:tcPr>
          <w:p w14:paraId="6F842CF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7 (58·3)</w:t>
            </w:r>
          </w:p>
        </w:tc>
        <w:tc>
          <w:tcPr>
            <w:tcW w:w="709" w:type="dxa"/>
            <w:shd w:val="clear" w:color="auto" w:fill="auto"/>
            <w:noWrap/>
            <w:vAlign w:val="bottom"/>
            <w:hideMark/>
          </w:tcPr>
          <w:p w14:paraId="3CBDEC01" w14:textId="6344A5B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194AF6">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709" w:type="dxa"/>
            <w:shd w:val="clear" w:color="auto" w:fill="auto"/>
            <w:noWrap/>
            <w:vAlign w:val="bottom"/>
            <w:hideMark/>
          </w:tcPr>
          <w:p w14:paraId="5D13A7F8" w14:textId="2BCC66C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AC7934">
              <w:rPr>
                <w:rFonts w:eastAsia="Times New Roman"/>
                <w:color w:val="000000"/>
                <w:sz w:val="11"/>
                <w:szCs w:val="16"/>
                <w:lang w:val="en-GB" w:eastAsia="zh-TW"/>
              </w:rPr>
              <w:t>3</w:t>
            </w:r>
            <w:r w:rsidRPr="00A35FB4">
              <w:rPr>
                <w:rFonts w:eastAsia="Times New Roman"/>
                <w:color w:val="000000"/>
                <w:sz w:val="11"/>
                <w:szCs w:val="16"/>
                <w:lang w:val="en-GB" w:eastAsia="zh-TW"/>
              </w:rPr>
              <w:t>)</w:t>
            </w:r>
          </w:p>
        </w:tc>
      </w:tr>
      <w:tr w:rsidR="002A48B2" w:rsidRPr="00A35FB4" w14:paraId="26F7F1DF" w14:textId="77777777" w:rsidTr="002A48B2">
        <w:trPr>
          <w:trHeight w:val="240"/>
          <w:jc w:val="center"/>
        </w:trPr>
        <w:tc>
          <w:tcPr>
            <w:tcW w:w="14459" w:type="dxa"/>
            <w:gridSpan w:val="19"/>
            <w:shd w:val="clear" w:color="auto" w:fill="auto"/>
            <w:noWrap/>
            <w:vAlign w:val="bottom"/>
            <w:hideMark/>
          </w:tcPr>
          <w:p w14:paraId="1CCE073A" w14:textId="77777777" w:rsidR="002A48B2" w:rsidRPr="00A35FB4" w:rsidRDefault="002A48B2" w:rsidP="002A48B2">
            <w:pPr>
              <w:rPr>
                <w:rFonts w:eastAsia="Times New Roman"/>
                <w:b/>
                <w:sz w:val="11"/>
                <w:szCs w:val="16"/>
                <w:lang w:val="en-GB" w:eastAsia="zh-TW"/>
              </w:rPr>
            </w:pPr>
            <w:r w:rsidRPr="00A35FB4">
              <w:rPr>
                <w:rFonts w:eastAsia="Times New Roman"/>
                <w:b/>
                <w:color w:val="000000"/>
                <w:sz w:val="11"/>
                <w:szCs w:val="16"/>
                <w:lang w:val="en-GB" w:eastAsia="zh-TW"/>
              </w:rPr>
              <w:t>Systemic</w:t>
            </w:r>
          </w:p>
        </w:tc>
      </w:tr>
      <w:tr w:rsidR="002A48B2" w:rsidRPr="00A35FB4" w14:paraId="2CF01E47" w14:textId="77777777" w:rsidTr="002A48B2">
        <w:trPr>
          <w:trHeight w:val="240"/>
          <w:jc w:val="center"/>
        </w:trPr>
        <w:tc>
          <w:tcPr>
            <w:tcW w:w="1134" w:type="dxa"/>
            <w:shd w:val="clear" w:color="auto" w:fill="auto"/>
            <w:noWrap/>
            <w:vAlign w:val="bottom"/>
            <w:hideMark/>
          </w:tcPr>
          <w:p w14:paraId="1106BB86"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Arthralgia</w:t>
            </w:r>
          </w:p>
        </w:tc>
        <w:tc>
          <w:tcPr>
            <w:tcW w:w="851" w:type="dxa"/>
            <w:shd w:val="clear" w:color="auto" w:fill="auto"/>
            <w:noWrap/>
            <w:vAlign w:val="bottom"/>
            <w:hideMark/>
          </w:tcPr>
          <w:p w14:paraId="4A54D06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628" w:type="dxa"/>
            <w:shd w:val="clear" w:color="auto" w:fill="auto"/>
            <w:noWrap/>
            <w:vAlign w:val="bottom"/>
            <w:hideMark/>
          </w:tcPr>
          <w:p w14:paraId="32CBFF9F" w14:textId="0AD09EB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50" w:type="dxa"/>
            <w:shd w:val="clear" w:color="auto" w:fill="auto"/>
            <w:noWrap/>
            <w:vAlign w:val="bottom"/>
            <w:hideMark/>
          </w:tcPr>
          <w:p w14:paraId="571A486F" w14:textId="070747C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837" w:type="dxa"/>
            <w:shd w:val="clear" w:color="auto" w:fill="auto"/>
            <w:noWrap/>
            <w:vAlign w:val="bottom"/>
            <w:hideMark/>
          </w:tcPr>
          <w:p w14:paraId="2659A3B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(11·8)</w:t>
            </w:r>
          </w:p>
        </w:tc>
        <w:tc>
          <w:tcPr>
            <w:tcW w:w="610" w:type="dxa"/>
            <w:shd w:val="clear" w:color="auto" w:fill="auto"/>
            <w:noWrap/>
            <w:vAlign w:val="bottom"/>
            <w:hideMark/>
          </w:tcPr>
          <w:p w14:paraId="57EA71B4" w14:textId="282F9CD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w:t>
            </w:r>
            <w:r w:rsidR="009015CB">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77" w:type="dxa"/>
            <w:shd w:val="clear" w:color="auto" w:fill="auto"/>
            <w:noWrap/>
            <w:vAlign w:val="bottom"/>
            <w:hideMark/>
          </w:tcPr>
          <w:p w14:paraId="5818F881" w14:textId="296FDB2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51025F34"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630B2EC5" w14:textId="6684704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709" w:type="dxa"/>
            <w:shd w:val="clear" w:color="auto" w:fill="auto"/>
            <w:noWrap/>
            <w:vAlign w:val="bottom"/>
            <w:hideMark/>
          </w:tcPr>
          <w:p w14:paraId="3F0E3673" w14:textId="12DD8BB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1F4BAF6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35958D50" w14:textId="77777777" w:rsidR="002A48B2" w:rsidRPr="00A35FB4" w:rsidRDefault="002A48B2" w:rsidP="002A48B2">
            <w:pPr>
              <w:rPr>
                <w:rFonts w:eastAsia="Times New Roman"/>
                <w:color w:val="000000"/>
                <w:sz w:val="11"/>
                <w:szCs w:val="16"/>
                <w:lang w:val="en-GB" w:eastAsia="zh-TW"/>
              </w:rPr>
            </w:pPr>
          </w:p>
        </w:tc>
        <w:tc>
          <w:tcPr>
            <w:tcW w:w="683" w:type="dxa"/>
            <w:shd w:val="clear" w:color="auto" w:fill="auto"/>
            <w:noWrap/>
            <w:vAlign w:val="bottom"/>
            <w:hideMark/>
          </w:tcPr>
          <w:p w14:paraId="455B100D" w14:textId="77777777" w:rsidR="002A48B2" w:rsidRPr="00A35FB4" w:rsidRDefault="002A48B2" w:rsidP="002A48B2">
            <w:pPr>
              <w:rPr>
                <w:rFonts w:eastAsia="Times New Roman"/>
                <w:sz w:val="11"/>
                <w:szCs w:val="16"/>
                <w:lang w:val="en-GB" w:eastAsia="zh-TW"/>
              </w:rPr>
            </w:pPr>
          </w:p>
        </w:tc>
        <w:tc>
          <w:tcPr>
            <w:tcW w:w="876" w:type="dxa"/>
            <w:shd w:val="clear" w:color="auto" w:fill="auto"/>
            <w:noWrap/>
            <w:vAlign w:val="bottom"/>
            <w:hideMark/>
          </w:tcPr>
          <w:p w14:paraId="5183A25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41F76807"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4B5EA384"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08B3EA08"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7925D7AB"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3BCFC61D" w14:textId="77777777" w:rsidR="002A48B2" w:rsidRPr="00A35FB4" w:rsidRDefault="002A48B2" w:rsidP="002A48B2">
            <w:pPr>
              <w:rPr>
                <w:rFonts w:eastAsia="Times New Roman"/>
                <w:sz w:val="11"/>
                <w:szCs w:val="16"/>
                <w:lang w:val="en-GB" w:eastAsia="zh-TW"/>
              </w:rPr>
            </w:pPr>
          </w:p>
        </w:tc>
      </w:tr>
      <w:tr w:rsidR="002A48B2" w:rsidRPr="00A35FB4" w14:paraId="0130F783" w14:textId="77777777" w:rsidTr="002A48B2">
        <w:trPr>
          <w:trHeight w:val="240"/>
          <w:jc w:val="center"/>
        </w:trPr>
        <w:tc>
          <w:tcPr>
            <w:tcW w:w="1134" w:type="dxa"/>
            <w:shd w:val="clear" w:color="auto" w:fill="auto"/>
            <w:noWrap/>
            <w:vAlign w:val="bottom"/>
            <w:hideMark/>
          </w:tcPr>
          <w:p w14:paraId="12C6582C"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Chills</w:t>
            </w:r>
          </w:p>
        </w:tc>
        <w:tc>
          <w:tcPr>
            <w:tcW w:w="851" w:type="dxa"/>
            <w:shd w:val="clear" w:color="auto" w:fill="auto"/>
            <w:noWrap/>
            <w:vAlign w:val="bottom"/>
            <w:hideMark/>
          </w:tcPr>
          <w:p w14:paraId="5E31434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28" w:type="dxa"/>
            <w:shd w:val="clear" w:color="auto" w:fill="auto"/>
            <w:noWrap/>
            <w:vAlign w:val="bottom"/>
            <w:hideMark/>
          </w:tcPr>
          <w:p w14:paraId="22F017CD" w14:textId="77777777" w:rsidR="002A48B2" w:rsidRPr="00A35FB4" w:rsidRDefault="002A48B2" w:rsidP="002A48B2">
            <w:pPr>
              <w:rPr>
                <w:rFonts w:eastAsia="Times New Roman"/>
                <w:color w:val="000000"/>
                <w:sz w:val="11"/>
                <w:szCs w:val="16"/>
                <w:lang w:val="en-GB" w:eastAsia="zh-TW"/>
              </w:rPr>
            </w:pPr>
          </w:p>
        </w:tc>
        <w:tc>
          <w:tcPr>
            <w:tcW w:w="650" w:type="dxa"/>
            <w:shd w:val="clear" w:color="auto" w:fill="auto"/>
            <w:noWrap/>
            <w:vAlign w:val="bottom"/>
            <w:hideMark/>
          </w:tcPr>
          <w:p w14:paraId="6FCDCEBD" w14:textId="77777777" w:rsidR="002A48B2" w:rsidRPr="00A35FB4" w:rsidRDefault="002A48B2" w:rsidP="002A48B2">
            <w:pPr>
              <w:rPr>
                <w:rFonts w:eastAsia="Times New Roman"/>
                <w:sz w:val="11"/>
                <w:szCs w:val="16"/>
                <w:lang w:val="en-GB" w:eastAsia="zh-TW"/>
              </w:rPr>
            </w:pPr>
          </w:p>
        </w:tc>
        <w:tc>
          <w:tcPr>
            <w:tcW w:w="837" w:type="dxa"/>
            <w:shd w:val="clear" w:color="auto" w:fill="auto"/>
            <w:noWrap/>
            <w:vAlign w:val="bottom"/>
            <w:hideMark/>
          </w:tcPr>
          <w:p w14:paraId="45811C8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(11·8)</w:t>
            </w:r>
          </w:p>
        </w:tc>
        <w:tc>
          <w:tcPr>
            <w:tcW w:w="610" w:type="dxa"/>
            <w:shd w:val="clear" w:color="auto" w:fill="auto"/>
            <w:noWrap/>
            <w:vAlign w:val="bottom"/>
            <w:hideMark/>
          </w:tcPr>
          <w:p w14:paraId="052F2D73" w14:textId="6EAE571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w:t>
            </w:r>
            <w:r w:rsidR="009015CB">
              <w:rPr>
                <w:rFonts w:eastAsia="Times New Roman"/>
                <w:color w:val="000000"/>
                <w:sz w:val="11"/>
                <w:szCs w:val="16"/>
                <w:lang w:val="en-GB" w:eastAsia="zh-TW"/>
              </w:rPr>
              <w:t>6</w:t>
            </w:r>
            <w:r w:rsidRPr="00A35FB4">
              <w:rPr>
                <w:rFonts w:eastAsia="Times New Roman"/>
                <w:color w:val="000000"/>
                <w:sz w:val="11"/>
                <w:szCs w:val="16"/>
                <w:lang w:val="en-GB" w:eastAsia="zh-TW"/>
              </w:rPr>
              <w:t>)</w:t>
            </w:r>
          </w:p>
        </w:tc>
        <w:tc>
          <w:tcPr>
            <w:tcW w:w="677" w:type="dxa"/>
            <w:shd w:val="clear" w:color="auto" w:fill="auto"/>
            <w:noWrap/>
            <w:vAlign w:val="bottom"/>
            <w:hideMark/>
          </w:tcPr>
          <w:p w14:paraId="7DEF4B2C" w14:textId="020A7EA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6023D23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594566B8" w14:textId="1BED4A6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(0)</w:t>
            </w:r>
          </w:p>
        </w:tc>
        <w:tc>
          <w:tcPr>
            <w:tcW w:w="709" w:type="dxa"/>
            <w:shd w:val="clear" w:color="auto" w:fill="auto"/>
            <w:noWrap/>
            <w:vAlign w:val="bottom"/>
            <w:hideMark/>
          </w:tcPr>
          <w:p w14:paraId="568284A6" w14:textId="272E2F5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6827AC0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550016BC" w14:textId="24333F6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(0)</w:t>
            </w:r>
          </w:p>
        </w:tc>
        <w:tc>
          <w:tcPr>
            <w:tcW w:w="683" w:type="dxa"/>
            <w:shd w:val="clear" w:color="auto" w:fill="auto"/>
            <w:noWrap/>
            <w:vAlign w:val="bottom"/>
            <w:hideMark/>
          </w:tcPr>
          <w:p w14:paraId="7F7503FC" w14:textId="26A4118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4726C4A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3552CF93"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44F207E1"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1425158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09" w:type="dxa"/>
            <w:shd w:val="clear" w:color="auto" w:fill="auto"/>
            <w:noWrap/>
            <w:vAlign w:val="bottom"/>
            <w:hideMark/>
          </w:tcPr>
          <w:p w14:paraId="6DB7F797" w14:textId="3AC8905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7 (0)</w:t>
            </w:r>
          </w:p>
        </w:tc>
        <w:tc>
          <w:tcPr>
            <w:tcW w:w="709" w:type="dxa"/>
            <w:shd w:val="clear" w:color="auto" w:fill="auto"/>
            <w:noWrap/>
            <w:vAlign w:val="bottom"/>
            <w:hideMark/>
          </w:tcPr>
          <w:p w14:paraId="45A25F5B" w14:textId="14A805E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r>
      <w:tr w:rsidR="002A48B2" w:rsidRPr="00A35FB4" w14:paraId="23BF1AB7" w14:textId="77777777" w:rsidTr="002A48B2">
        <w:trPr>
          <w:trHeight w:val="240"/>
          <w:jc w:val="center"/>
        </w:trPr>
        <w:tc>
          <w:tcPr>
            <w:tcW w:w="1134" w:type="dxa"/>
            <w:shd w:val="clear" w:color="auto" w:fill="auto"/>
            <w:noWrap/>
            <w:vAlign w:val="bottom"/>
            <w:hideMark/>
          </w:tcPr>
          <w:p w14:paraId="4E93FAB6"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Fatigue</w:t>
            </w:r>
          </w:p>
        </w:tc>
        <w:tc>
          <w:tcPr>
            <w:tcW w:w="851" w:type="dxa"/>
            <w:shd w:val="clear" w:color="auto" w:fill="auto"/>
            <w:noWrap/>
            <w:vAlign w:val="bottom"/>
            <w:hideMark/>
          </w:tcPr>
          <w:p w14:paraId="44924D32" w14:textId="77777777" w:rsid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 xml:space="preserve">9 (50) </w:t>
            </w:r>
          </w:p>
          <w:p w14:paraId="1E05F2B6" w14:textId="22C0413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w:t>
            </w:r>
            <w:r w:rsidR="00A35FB4">
              <w:rPr>
                <w:rFonts w:eastAsia="Times New Roman"/>
                <w:color w:val="000000"/>
                <w:sz w:val="11"/>
                <w:szCs w:val="16"/>
                <w:lang w:val="en-GB" w:eastAsia="zh-TW"/>
              </w:rPr>
              <w:t xml:space="preserve"> </w:t>
            </w:r>
            <w:r w:rsidRPr="00A35FB4">
              <w:rPr>
                <w:rFonts w:eastAsia="Times New Roman"/>
                <w:color w:val="000000"/>
                <w:sz w:val="11"/>
                <w:szCs w:val="16"/>
                <w:lang w:val="en-GB" w:eastAsia="zh-TW"/>
              </w:rPr>
              <w:t>(5·6)]</w:t>
            </w:r>
          </w:p>
        </w:tc>
        <w:tc>
          <w:tcPr>
            <w:tcW w:w="628" w:type="dxa"/>
            <w:shd w:val="clear" w:color="auto" w:fill="auto"/>
            <w:noWrap/>
            <w:vAlign w:val="bottom"/>
            <w:hideMark/>
          </w:tcPr>
          <w:p w14:paraId="653CDFD8" w14:textId="376A5F6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50" w:type="dxa"/>
            <w:shd w:val="clear" w:color="auto" w:fill="auto"/>
            <w:noWrap/>
            <w:vAlign w:val="bottom"/>
            <w:hideMark/>
          </w:tcPr>
          <w:p w14:paraId="6B64565B" w14:textId="19CDB8B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37" w:type="dxa"/>
            <w:shd w:val="clear" w:color="auto" w:fill="auto"/>
            <w:noWrap/>
            <w:vAlign w:val="bottom"/>
            <w:hideMark/>
          </w:tcPr>
          <w:p w14:paraId="0351C8B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7 (41·2)</w:t>
            </w:r>
          </w:p>
        </w:tc>
        <w:tc>
          <w:tcPr>
            <w:tcW w:w="610" w:type="dxa"/>
            <w:shd w:val="clear" w:color="auto" w:fill="auto"/>
            <w:noWrap/>
            <w:vAlign w:val="bottom"/>
            <w:hideMark/>
          </w:tcPr>
          <w:p w14:paraId="738CC381" w14:textId="6632E56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9015CB">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77" w:type="dxa"/>
            <w:shd w:val="clear" w:color="auto" w:fill="auto"/>
            <w:noWrap/>
            <w:vAlign w:val="bottom"/>
            <w:hideMark/>
          </w:tcPr>
          <w:p w14:paraId="7A351536" w14:textId="0121E11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850" w:type="dxa"/>
            <w:shd w:val="clear" w:color="auto" w:fill="auto"/>
            <w:noWrap/>
            <w:vAlign w:val="bottom"/>
            <w:hideMark/>
          </w:tcPr>
          <w:p w14:paraId="617BB85E"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(33·3) [1(5·6)]</w:t>
            </w:r>
          </w:p>
        </w:tc>
        <w:tc>
          <w:tcPr>
            <w:tcW w:w="709" w:type="dxa"/>
            <w:shd w:val="clear" w:color="auto" w:fill="auto"/>
            <w:noWrap/>
            <w:vAlign w:val="bottom"/>
            <w:hideMark/>
          </w:tcPr>
          <w:p w14:paraId="625CE2CF" w14:textId="4021E7C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709" w:type="dxa"/>
            <w:shd w:val="clear" w:color="auto" w:fill="auto"/>
            <w:noWrap/>
            <w:vAlign w:val="bottom"/>
            <w:hideMark/>
          </w:tcPr>
          <w:p w14:paraId="20761849" w14:textId="300E63E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5C04F5">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850" w:type="dxa"/>
            <w:shd w:val="clear" w:color="auto" w:fill="auto"/>
            <w:noWrap/>
            <w:vAlign w:val="bottom"/>
            <w:hideMark/>
          </w:tcPr>
          <w:p w14:paraId="6D8E706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(33·3)</w:t>
            </w:r>
          </w:p>
        </w:tc>
        <w:tc>
          <w:tcPr>
            <w:tcW w:w="709" w:type="dxa"/>
            <w:shd w:val="clear" w:color="auto" w:fill="auto"/>
            <w:noWrap/>
            <w:vAlign w:val="bottom"/>
            <w:hideMark/>
          </w:tcPr>
          <w:p w14:paraId="0C79F423" w14:textId="6CE9B62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5C04F5">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83" w:type="dxa"/>
            <w:shd w:val="clear" w:color="auto" w:fill="auto"/>
            <w:noWrap/>
            <w:vAlign w:val="bottom"/>
            <w:hideMark/>
          </w:tcPr>
          <w:p w14:paraId="3D978D80" w14:textId="60F1CAE1"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1831E3">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876" w:type="dxa"/>
            <w:shd w:val="clear" w:color="auto" w:fill="auto"/>
            <w:noWrap/>
            <w:vAlign w:val="bottom"/>
            <w:hideMark/>
          </w:tcPr>
          <w:p w14:paraId="7A1C367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7 (58·3)</w:t>
            </w:r>
          </w:p>
        </w:tc>
        <w:tc>
          <w:tcPr>
            <w:tcW w:w="724" w:type="dxa"/>
            <w:shd w:val="clear" w:color="auto" w:fill="auto"/>
            <w:noWrap/>
            <w:vAlign w:val="bottom"/>
            <w:hideMark/>
          </w:tcPr>
          <w:p w14:paraId="2762AB08" w14:textId="683100D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F47CA3">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94" w:type="dxa"/>
            <w:shd w:val="clear" w:color="auto" w:fill="auto"/>
            <w:noWrap/>
            <w:vAlign w:val="bottom"/>
            <w:hideMark/>
          </w:tcPr>
          <w:p w14:paraId="0F481B1D" w14:textId="294C694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B42ED8">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50" w:type="dxa"/>
            <w:shd w:val="clear" w:color="auto" w:fill="auto"/>
            <w:noWrap/>
            <w:vAlign w:val="bottom"/>
            <w:hideMark/>
          </w:tcPr>
          <w:p w14:paraId="5C44ECC4"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(41·7)</w:t>
            </w:r>
          </w:p>
        </w:tc>
        <w:tc>
          <w:tcPr>
            <w:tcW w:w="709" w:type="dxa"/>
            <w:shd w:val="clear" w:color="auto" w:fill="auto"/>
            <w:noWrap/>
            <w:vAlign w:val="bottom"/>
            <w:hideMark/>
          </w:tcPr>
          <w:p w14:paraId="5B3C151C" w14:textId="6E653F9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2B02C151" w14:textId="22B8547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r>
      <w:tr w:rsidR="002A48B2" w:rsidRPr="00A35FB4" w14:paraId="05E2E844" w14:textId="77777777" w:rsidTr="002A48B2">
        <w:trPr>
          <w:trHeight w:val="240"/>
          <w:jc w:val="center"/>
        </w:trPr>
        <w:tc>
          <w:tcPr>
            <w:tcW w:w="1134" w:type="dxa"/>
            <w:shd w:val="clear" w:color="auto" w:fill="auto"/>
            <w:noWrap/>
            <w:vAlign w:val="bottom"/>
            <w:hideMark/>
          </w:tcPr>
          <w:p w14:paraId="7570B399"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Feeling feverish</w:t>
            </w:r>
          </w:p>
        </w:tc>
        <w:tc>
          <w:tcPr>
            <w:tcW w:w="851" w:type="dxa"/>
            <w:shd w:val="clear" w:color="auto" w:fill="auto"/>
            <w:noWrap/>
            <w:vAlign w:val="bottom"/>
            <w:hideMark/>
          </w:tcPr>
          <w:p w14:paraId="7FA6DB9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(16·7)</w:t>
            </w:r>
          </w:p>
        </w:tc>
        <w:tc>
          <w:tcPr>
            <w:tcW w:w="628" w:type="dxa"/>
            <w:shd w:val="clear" w:color="auto" w:fill="auto"/>
            <w:noWrap/>
            <w:vAlign w:val="bottom"/>
            <w:hideMark/>
          </w:tcPr>
          <w:p w14:paraId="3F43C038" w14:textId="7C1DFCB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50" w:type="dxa"/>
            <w:shd w:val="clear" w:color="auto" w:fill="auto"/>
            <w:noWrap/>
            <w:vAlign w:val="bottom"/>
            <w:hideMark/>
          </w:tcPr>
          <w:p w14:paraId="25320860" w14:textId="3868B71B"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837" w:type="dxa"/>
            <w:shd w:val="clear" w:color="auto" w:fill="auto"/>
            <w:noWrap/>
            <w:vAlign w:val="bottom"/>
            <w:hideMark/>
          </w:tcPr>
          <w:p w14:paraId="0B78112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(5·9)</w:t>
            </w:r>
          </w:p>
        </w:tc>
        <w:tc>
          <w:tcPr>
            <w:tcW w:w="610" w:type="dxa"/>
            <w:shd w:val="clear" w:color="auto" w:fill="auto"/>
            <w:noWrap/>
            <w:vAlign w:val="bottom"/>
            <w:hideMark/>
          </w:tcPr>
          <w:p w14:paraId="183713E9" w14:textId="6DB6573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(0)</w:t>
            </w:r>
          </w:p>
        </w:tc>
        <w:tc>
          <w:tcPr>
            <w:tcW w:w="677" w:type="dxa"/>
            <w:shd w:val="clear" w:color="auto" w:fill="auto"/>
            <w:noWrap/>
            <w:vAlign w:val="bottom"/>
            <w:hideMark/>
          </w:tcPr>
          <w:p w14:paraId="14038619" w14:textId="622D022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850" w:type="dxa"/>
            <w:shd w:val="clear" w:color="auto" w:fill="auto"/>
            <w:noWrap/>
            <w:vAlign w:val="bottom"/>
            <w:hideMark/>
          </w:tcPr>
          <w:p w14:paraId="663C264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2C9455CB" w14:textId="51FF984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51AC1FD7" w14:textId="1CBDE3E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534E65C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1A45C7E" w14:textId="2B224EC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w:t>
            </w:r>
            <w:r w:rsidR="005C04F5">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683" w:type="dxa"/>
            <w:shd w:val="clear" w:color="auto" w:fill="auto"/>
            <w:noWrap/>
            <w:vAlign w:val="bottom"/>
            <w:hideMark/>
          </w:tcPr>
          <w:p w14:paraId="197CFA49" w14:textId="39E5D7A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6A9A71F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24" w:type="dxa"/>
            <w:shd w:val="clear" w:color="auto" w:fill="auto"/>
            <w:noWrap/>
            <w:vAlign w:val="bottom"/>
            <w:hideMark/>
          </w:tcPr>
          <w:p w14:paraId="42125BCB" w14:textId="589B19E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55585B1A" w14:textId="6DDED2B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39ABE4E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09" w:type="dxa"/>
            <w:shd w:val="clear" w:color="auto" w:fill="auto"/>
            <w:noWrap/>
            <w:vAlign w:val="bottom"/>
            <w:hideMark/>
          </w:tcPr>
          <w:p w14:paraId="1279B123" w14:textId="1190693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(0)</w:t>
            </w:r>
          </w:p>
        </w:tc>
        <w:tc>
          <w:tcPr>
            <w:tcW w:w="709" w:type="dxa"/>
            <w:shd w:val="clear" w:color="auto" w:fill="auto"/>
            <w:noWrap/>
            <w:vAlign w:val="bottom"/>
            <w:hideMark/>
          </w:tcPr>
          <w:p w14:paraId="618D542B" w14:textId="3DEFA65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r>
      <w:tr w:rsidR="002A48B2" w:rsidRPr="00A35FB4" w14:paraId="722A8C8D" w14:textId="77777777" w:rsidTr="002A48B2">
        <w:trPr>
          <w:trHeight w:val="240"/>
          <w:jc w:val="center"/>
        </w:trPr>
        <w:tc>
          <w:tcPr>
            <w:tcW w:w="1134" w:type="dxa"/>
            <w:shd w:val="clear" w:color="auto" w:fill="auto"/>
            <w:noWrap/>
            <w:vAlign w:val="bottom"/>
            <w:hideMark/>
          </w:tcPr>
          <w:p w14:paraId="6CF528BB"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Itching</w:t>
            </w:r>
          </w:p>
        </w:tc>
        <w:tc>
          <w:tcPr>
            <w:tcW w:w="851" w:type="dxa"/>
            <w:shd w:val="clear" w:color="auto" w:fill="auto"/>
            <w:noWrap/>
            <w:vAlign w:val="bottom"/>
            <w:hideMark/>
          </w:tcPr>
          <w:p w14:paraId="14287856"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628" w:type="dxa"/>
            <w:shd w:val="clear" w:color="auto" w:fill="auto"/>
            <w:noWrap/>
            <w:vAlign w:val="bottom"/>
            <w:hideMark/>
          </w:tcPr>
          <w:p w14:paraId="6F9D2C05" w14:textId="0A63C25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(0)</w:t>
            </w:r>
          </w:p>
        </w:tc>
        <w:tc>
          <w:tcPr>
            <w:tcW w:w="650" w:type="dxa"/>
            <w:shd w:val="clear" w:color="auto" w:fill="auto"/>
            <w:noWrap/>
            <w:vAlign w:val="bottom"/>
            <w:hideMark/>
          </w:tcPr>
          <w:p w14:paraId="7BAE9F2B" w14:textId="14D7AD0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837" w:type="dxa"/>
            <w:shd w:val="clear" w:color="auto" w:fill="auto"/>
            <w:noWrap/>
            <w:vAlign w:val="bottom"/>
            <w:hideMark/>
          </w:tcPr>
          <w:p w14:paraId="751D2F6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shd w:val="clear" w:color="auto" w:fill="auto"/>
            <w:noWrap/>
            <w:vAlign w:val="bottom"/>
            <w:hideMark/>
          </w:tcPr>
          <w:p w14:paraId="7BB15DB5" w14:textId="77777777" w:rsidR="002A48B2" w:rsidRPr="00A35FB4" w:rsidRDefault="002A48B2" w:rsidP="002A48B2">
            <w:pPr>
              <w:rPr>
                <w:rFonts w:eastAsia="Times New Roman"/>
                <w:color w:val="000000"/>
                <w:sz w:val="11"/>
                <w:szCs w:val="16"/>
                <w:lang w:val="en-GB" w:eastAsia="zh-TW"/>
              </w:rPr>
            </w:pPr>
          </w:p>
        </w:tc>
        <w:tc>
          <w:tcPr>
            <w:tcW w:w="677" w:type="dxa"/>
            <w:shd w:val="clear" w:color="auto" w:fill="auto"/>
            <w:noWrap/>
            <w:vAlign w:val="bottom"/>
            <w:hideMark/>
          </w:tcPr>
          <w:p w14:paraId="5E64E55C"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5FBFD6F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5DA65B5B" w14:textId="1117F4C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(0)</w:t>
            </w:r>
          </w:p>
        </w:tc>
        <w:tc>
          <w:tcPr>
            <w:tcW w:w="709" w:type="dxa"/>
            <w:shd w:val="clear" w:color="auto" w:fill="auto"/>
            <w:noWrap/>
            <w:vAlign w:val="bottom"/>
            <w:hideMark/>
          </w:tcPr>
          <w:p w14:paraId="520B908B" w14:textId="4F2DCB7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5C04F5">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850" w:type="dxa"/>
            <w:shd w:val="clear" w:color="auto" w:fill="auto"/>
            <w:noWrap/>
            <w:vAlign w:val="bottom"/>
            <w:hideMark/>
          </w:tcPr>
          <w:p w14:paraId="20B50036"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5AD5D7AE" w14:textId="72701A9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(0)</w:t>
            </w:r>
          </w:p>
        </w:tc>
        <w:tc>
          <w:tcPr>
            <w:tcW w:w="683" w:type="dxa"/>
            <w:shd w:val="clear" w:color="auto" w:fill="auto"/>
            <w:noWrap/>
            <w:vAlign w:val="bottom"/>
            <w:hideMark/>
          </w:tcPr>
          <w:p w14:paraId="58C013AA" w14:textId="29537C55"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5BBF385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51E19522"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56231B48"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1BDA828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28CD778A"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6D6FB974" w14:textId="77777777" w:rsidR="002A48B2" w:rsidRPr="00A35FB4" w:rsidRDefault="002A48B2" w:rsidP="002A48B2">
            <w:pPr>
              <w:rPr>
                <w:rFonts w:eastAsia="Times New Roman"/>
                <w:sz w:val="11"/>
                <w:szCs w:val="16"/>
                <w:lang w:val="en-GB" w:eastAsia="zh-TW"/>
              </w:rPr>
            </w:pPr>
          </w:p>
        </w:tc>
      </w:tr>
      <w:tr w:rsidR="002A48B2" w:rsidRPr="00A35FB4" w14:paraId="3B5F7A3A" w14:textId="77777777" w:rsidTr="002A48B2">
        <w:trPr>
          <w:trHeight w:val="240"/>
          <w:jc w:val="center"/>
        </w:trPr>
        <w:tc>
          <w:tcPr>
            <w:tcW w:w="1134" w:type="dxa"/>
            <w:shd w:val="clear" w:color="auto" w:fill="auto"/>
            <w:noWrap/>
            <w:vAlign w:val="bottom"/>
            <w:hideMark/>
          </w:tcPr>
          <w:p w14:paraId="655EEF56"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Headache</w:t>
            </w:r>
          </w:p>
        </w:tc>
        <w:tc>
          <w:tcPr>
            <w:tcW w:w="851" w:type="dxa"/>
            <w:shd w:val="clear" w:color="auto" w:fill="auto"/>
            <w:noWrap/>
            <w:vAlign w:val="bottom"/>
            <w:hideMark/>
          </w:tcPr>
          <w:p w14:paraId="0610A8A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8 (44·4)</w:t>
            </w:r>
          </w:p>
        </w:tc>
        <w:tc>
          <w:tcPr>
            <w:tcW w:w="628" w:type="dxa"/>
            <w:shd w:val="clear" w:color="auto" w:fill="auto"/>
            <w:noWrap/>
            <w:vAlign w:val="bottom"/>
            <w:hideMark/>
          </w:tcPr>
          <w:p w14:paraId="48231CE2" w14:textId="2567D29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50" w:type="dxa"/>
            <w:shd w:val="clear" w:color="auto" w:fill="auto"/>
            <w:noWrap/>
            <w:vAlign w:val="bottom"/>
            <w:hideMark/>
          </w:tcPr>
          <w:p w14:paraId="0617DA81" w14:textId="0444A2B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A35FB4">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837" w:type="dxa"/>
            <w:shd w:val="clear" w:color="auto" w:fill="auto"/>
            <w:noWrap/>
            <w:vAlign w:val="bottom"/>
            <w:hideMark/>
          </w:tcPr>
          <w:p w14:paraId="5C263684"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(23·5)</w:t>
            </w:r>
          </w:p>
        </w:tc>
        <w:tc>
          <w:tcPr>
            <w:tcW w:w="610" w:type="dxa"/>
            <w:shd w:val="clear" w:color="auto" w:fill="auto"/>
            <w:noWrap/>
            <w:vAlign w:val="bottom"/>
            <w:hideMark/>
          </w:tcPr>
          <w:p w14:paraId="410653E0" w14:textId="3DBEAA9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9015CB">
              <w:rPr>
                <w:rFonts w:eastAsia="Times New Roman"/>
                <w:color w:val="000000"/>
                <w:sz w:val="11"/>
                <w:szCs w:val="16"/>
                <w:lang w:val="en-GB" w:eastAsia="zh-TW"/>
              </w:rPr>
              <w:t>3</w:t>
            </w:r>
            <w:r w:rsidRPr="00A35FB4">
              <w:rPr>
                <w:rFonts w:eastAsia="Times New Roman"/>
                <w:color w:val="000000"/>
                <w:sz w:val="11"/>
                <w:szCs w:val="16"/>
                <w:lang w:val="en-GB" w:eastAsia="zh-TW"/>
              </w:rPr>
              <w:t>·5)</w:t>
            </w:r>
          </w:p>
        </w:tc>
        <w:tc>
          <w:tcPr>
            <w:tcW w:w="677" w:type="dxa"/>
            <w:shd w:val="clear" w:color="auto" w:fill="auto"/>
            <w:noWrap/>
            <w:vAlign w:val="bottom"/>
            <w:hideMark/>
          </w:tcPr>
          <w:p w14:paraId="2ACC7DC3" w14:textId="35E0022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9015CB">
              <w:rPr>
                <w:rFonts w:eastAsia="Times New Roman"/>
                <w:color w:val="000000"/>
                <w:sz w:val="11"/>
                <w:szCs w:val="16"/>
                <w:lang w:val="en-GB" w:eastAsia="zh-TW"/>
              </w:rPr>
              <w:t>0</w:t>
            </w:r>
            <w:r w:rsidRPr="00A35FB4">
              <w:rPr>
                <w:rFonts w:eastAsia="Times New Roman"/>
                <w:color w:val="000000"/>
                <w:sz w:val="11"/>
                <w:szCs w:val="16"/>
                <w:lang w:val="en-GB" w:eastAsia="zh-TW"/>
              </w:rPr>
              <w:t>·5)</w:t>
            </w:r>
          </w:p>
        </w:tc>
        <w:tc>
          <w:tcPr>
            <w:tcW w:w="850" w:type="dxa"/>
            <w:shd w:val="clear" w:color="auto" w:fill="auto"/>
            <w:noWrap/>
            <w:vAlign w:val="bottom"/>
            <w:hideMark/>
          </w:tcPr>
          <w:p w14:paraId="02015CF6"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8 (44·4)</w:t>
            </w:r>
          </w:p>
        </w:tc>
        <w:tc>
          <w:tcPr>
            <w:tcW w:w="709" w:type="dxa"/>
            <w:shd w:val="clear" w:color="auto" w:fill="auto"/>
            <w:noWrap/>
            <w:vAlign w:val="bottom"/>
            <w:hideMark/>
          </w:tcPr>
          <w:p w14:paraId="095808E9" w14:textId="2716E21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5C04F5">
              <w:rPr>
                <w:rFonts w:eastAsia="Times New Roman"/>
                <w:color w:val="000000"/>
                <w:sz w:val="11"/>
                <w:szCs w:val="16"/>
                <w:lang w:val="en-GB" w:eastAsia="zh-TW"/>
              </w:rPr>
              <w:t>4</w:t>
            </w:r>
            <w:r w:rsidRPr="00A35FB4">
              <w:rPr>
                <w:rFonts w:eastAsia="Times New Roman"/>
                <w:color w:val="000000"/>
                <w:sz w:val="11"/>
                <w:szCs w:val="16"/>
                <w:lang w:val="en-GB" w:eastAsia="zh-TW"/>
              </w:rPr>
              <w:t>·5)</w:t>
            </w:r>
          </w:p>
        </w:tc>
        <w:tc>
          <w:tcPr>
            <w:tcW w:w="709" w:type="dxa"/>
            <w:shd w:val="clear" w:color="auto" w:fill="auto"/>
            <w:noWrap/>
            <w:vAlign w:val="bottom"/>
            <w:hideMark/>
          </w:tcPr>
          <w:p w14:paraId="115A8753" w14:textId="3E038B0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850" w:type="dxa"/>
            <w:shd w:val="clear" w:color="auto" w:fill="auto"/>
            <w:noWrap/>
            <w:vAlign w:val="bottom"/>
            <w:hideMark/>
          </w:tcPr>
          <w:p w14:paraId="590639D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8 (44·4)</w:t>
            </w:r>
          </w:p>
        </w:tc>
        <w:tc>
          <w:tcPr>
            <w:tcW w:w="709" w:type="dxa"/>
            <w:shd w:val="clear" w:color="auto" w:fill="auto"/>
            <w:noWrap/>
            <w:vAlign w:val="bottom"/>
            <w:hideMark/>
          </w:tcPr>
          <w:p w14:paraId="5EE678C9" w14:textId="158897B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2·5 (</w:t>
            </w:r>
            <w:r w:rsidR="005C04F5">
              <w:rPr>
                <w:rFonts w:eastAsia="Times New Roman"/>
                <w:color w:val="000000"/>
                <w:sz w:val="11"/>
                <w:szCs w:val="16"/>
                <w:lang w:val="en-GB" w:eastAsia="zh-TW"/>
              </w:rPr>
              <w:t>3</w:t>
            </w:r>
            <w:r w:rsidRPr="00A35FB4">
              <w:rPr>
                <w:rFonts w:eastAsia="Times New Roman"/>
                <w:color w:val="000000"/>
                <w:sz w:val="11"/>
                <w:szCs w:val="16"/>
                <w:lang w:val="en-GB" w:eastAsia="zh-TW"/>
              </w:rPr>
              <w:t>·</w:t>
            </w:r>
            <w:r w:rsidR="005C04F5">
              <w:rPr>
                <w:rFonts w:eastAsia="Times New Roman"/>
                <w:color w:val="000000"/>
                <w:sz w:val="11"/>
                <w:szCs w:val="16"/>
                <w:lang w:val="en-GB" w:eastAsia="zh-TW"/>
              </w:rPr>
              <w:t>5</w:t>
            </w:r>
            <w:r w:rsidRPr="00A35FB4">
              <w:rPr>
                <w:rFonts w:eastAsia="Times New Roman"/>
                <w:color w:val="000000"/>
                <w:sz w:val="11"/>
                <w:szCs w:val="16"/>
                <w:lang w:val="en-GB" w:eastAsia="zh-TW"/>
              </w:rPr>
              <w:t>)</w:t>
            </w:r>
          </w:p>
        </w:tc>
        <w:tc>
          <w:tcPr>
            <w:tcW w:w="683" w:type="dxa"/>
            <w:shd w:val="clear" w:color="auto" w:fill="auto"/>
            <w:noWrap/>
            <w:vAlign w:val="bottom"/>
            <w:hideMark/>
          </w:tcPr>
          <w:p w14:paraId="4AB4A0AB" w14:textId="1655943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876" w:type="dxa"/>
            <w:shd w:val="clear" w:color="auto" w:fill="auto"/>
            <w:noWrap/>
            <w:vAlign w:val="bottom"/>
            <w:hideMark/>
          </w:tcPr>
          <w:p w14:paraId="0E849E4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(33·3)</w:t>
            </w:r>
          </w:p>
        </w:tc>
        <w:tc>
          <w:tcPr>
            <w:tcW w:w="724" w:type="dxa"/>
            <w:shd w:val="clear" w:color="auto" w:fill="auto"/>
            <w:noWrap/>
            <w:vAlign w:val="bottom"/>
            <w:hideMark/>
          </w:tcPr>
          <w:p w14:paraId="10B9FC8B" w14:textId="4D7E1C5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(0·5)</w:t>
            </w:r>
          </w:p>
        </w:tc>
        <w:tc>
          <w:tcPr>
            <w:tcW w:w="694" w:type="dxa"/>
            <w:shd w:val="clear" w:color="auto" w:fill="auto"/>
            <w:noWrap/>
            <w:vAlign w:val="bottom"/>
            <w:hideMark/>
          </w:tcPr>
          <w:p w14:paraId="4A1A0AAE" w14:textId="2C54F58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(1·5)</w:t>
            </w:r>
          </w:p>
        </w:tc>
        <w:tc>
          <w:tcPr>
            <w:tcW w:w="850" w:type="dxa"/>
            <w:shd w:val="clear" w:color="auto" w:fill="auto"/>
            <w:noWrap/>
            <w:vAlign w:val="bottom"/>
            <w:hideMark/>
          </w:tcPr>
          <w:p w14:paraId="6418992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(25)</w:t>
            </w:r>
          </w:p>
        </w:tc>
        <w:tc>
          <w:tcPr>
            <w:tcW w:w="709" w:type="dxa"/>
            <w:shd w:val="clear" w:color="auto" w:fill="auto"/>
            <w:noWrap/>
            <w:vAlign w:val="bottom"/>
            <w:hideMark/>
          </w:tcPr>
          <w:p w14:paraId="1EB8C5F0" w14:textId="67AB77B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194AF6">
              <w:rPr>
                <w:rFonts w:eastAsia="Times New Roman"/>
                <w:color w:val="000000"/>
                <w:sz w:val="11"/>
                <w:szCs w:val="16"/>
                <w:lang w:val="en-GB" w:eastAsia="zh-TW"/>
              </w:rPr>
              <w:t>6</w:t>
            </w:r>
            <w:r w:rsidRPr="00A35FB4">
              <w:rPr>
                <w:rFonts w:eastAsia="Times New Roman"/>
                <w:color w:val="000000"/>
                <w:sz w:val="11"/>
                <w:szCs w:val="16"/>
                <w:lang w:val="en-GB" w:eastAsia="zh-TW"/>
              </w:rPr>
              <w:t>)</w:t>
            </w:r>
          </w:p>
        </w:tc>
        <w:tc>
          <w:tcPr>
            <w:tcW w:w="709" w:type="dxa"/>
            <w:shd w:val="clear" w:color="auto" w:fill="auto"/>
            <w:noWrap/>
            <w:vAlign w:val="bottom"/>
            <w:hideMark/>
          </w:tcPr>
          <w:p w14:paraId="318E4E52" w14:textId="137D86C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AC7934">
              <w:rPr>
                <w:rFonts w:eastAsia="Times New Roman"/>
                <w:color w:val="000000"/>
                <w:sz w:val="11"/>
                <w:szCs w:val="16"/>
                <w:lang w:val="en-GB" w:eastAsia="zh-TW"/>
              </w:rPr>
              <w:t>3</w:t>
            </w:r>
            <w:r w:rsidRPr="00A35FB4">
              <w:rPr>
                <w:rFonts w:eastAsia="Times New Roman"/>
                <w:color w:val="000000"/>
                <w:sz w:val="11"/>
                <w:szCs w:val="16"/>
                <w:lang w:val="en-GB" w:eastAsia="zh-TW"/>
              </w:rPr>
              <w:t>)</w:t>
            </w:r>
          </w:p>
        </w:tc>
      </w:tr>
      <w:tr w:rsidR="002A48B2" w:rsidRPr="00A35FB4" w14:paraId="1978627D" w14:textId="77777777" w:rsidTr="002A48B2">
        <w:trPr>
          <w:trHeight w:val="240"/>
          <w:jc w:val="center"/>
        </w:trPr>
        <w:tc>
          <w:tcPr>
            <w:tcW w:w="1134" w:type="dxa"/>
            <w:shd w:val="clear" w:color="auto" w:fill="auto"/>
            <w:noWrap/>
            <w:vAlign w:val="bottom"/>
            <w:hideMark/>
          </w:tcPr>
          <w:p w14:paraId="58E0E620"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Malaise</w:t>
            </w:r>
          </w:p>
        </w:tc>
        <w:tc>
          <w:tcPr>
            <w:tcW w:w="851" w:type="dxa"/>
            <w:shd w:val="clear" w:color="auto" w:fill="auto"/>
            <w:noWrap/>
            <w:vAlign w:val="bottom"/>
            <w:hideMark/>
          </w:tcPr>
          <w:p w14:paraId="5A1F8B46" w14:textId="77777777" w:rsid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 xml:space="preserve">2 (11·1) </w:t>
            </w:r>
          </w:p>
          <w:p w14:paraId="46E93869" w14:textId="40CB80F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w:t>
            </w:r>
            <w:r w:rsidR="00A35FB4">
              <w:rPr>
                <w:rFonts w:eastAsia="Times New Roman"/>
                <w:color w:val="000000"/>
                <w:sz w:val="11"/>
                <w:szCs w:val="16"/>
                <w:lang w:val="en-GB" w:eastAsia="zh-TW"/>
              </w:rPr>
              <w:t xml:space="preserve"> </w:t>
            </w:r>
            <w:r w:rsidRPr="00A35FB4">
              <w:rPr>
                <w:rFonts w:eastAsia="Times New Roman"/>
                <w:color w:val="000000"/>
                <w:sz w:val="11"/>
                <w:szCs w:val="16"/>
                <w:lang w:val="en-GB" w:eastAsia="zh-TW"/>
              </w:rPr>
              <w:t>(5·6)]</w:t>
            </w:r>
          </w:p>
        </w:tc>
        <w:tc>
          <w:tcPr>
            <w:tcW w:w="628" w:type="dxa"/>
            <w:shd w:val="clear" w:color="auto" w:fill="auto"/>
            <w:noWrap/>
            <w:vAlign w:val="bottom"/>
            <w:hideMark/>
          </w:tcPr>
          <w:p w14:paraId="7C25E55D" w14:textId="3C7468AA"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50" w:type="dxa"/>
            <w:shd w:val="clear" w:color="auto" w:fill="auto"/>
            <w:noWrap/>
            <w:vAlign w:val="bottom"/>
            <w:hideMark/>
          </w:tcPr>
          <w:p w14:paraId="54DD1D17" w14:textId="3160D6F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37" w:type="dxa"/>
            <w:shd w:val="clear" w:color="auto" w:fill="auto"/>
            <w:noWrap/>
            <w:vAlign w:val="bottom"/>
            <w:hideMark/>
          </w:tcPr>
          <w:p w14:paraId="41B1E26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(11·8) [1(5·9)]</w:t>
            </w:r>
          </w:p>
        </w:tc>
        <w:tc>
          <w:tcPr>
            <w:tcW w:w="610" w:type="dxa"/>
            <w:shd w:val="clear" w:color="auto" w:fill="auto"/>
            <w:noWrap/>
            <w:vAlign w:val="bottom"/>
            <w:hideMark/>
          </w:tcPr>
          <w:p w14:paraId="60469A13" w14:textId="1524CE5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4·5 (</w:t>
            </w:r>
            <w:r w:rsidR="009015CB">
              <w:rPr>
                <w:rFonts w:eastAsia="Times New Roman"/>
                <w:color w:val="000000"/>
                <w:sz w:val="11"/>
                <w:szCs w:val="16"/>
                <w:lang w:val="en-GB" w:eastAsia="zh-TW"/>
              </w:rPr>
              <w:t>3</w:t>
            </w:r>
            <w:r w:rsidRPr="00A35FB4">
              <w:rPr>
                <w:rFonts w:eastAsia="Times New Roman"/>
                <w:color w:val="000000"/>
                <w:sz w:val="11"/>
                <w:szCs w:val="16"/>
                <w:lang w:val="en-GB" w:eastAsia="zh-TW"/>
              </w:rPr>
              <w:t>)</w:t>
            </w:r>
          </w:p>
        </w:tc>
        <w:tc>
          <w:tcPr>
            <w:tcW w:w="677" w:type="dxa"/>
            <w:shd w:val="clear" w:color="auto" w:fill="auto"/>
            <w:noWrap/>
            <w:vAlign w:val="bottom"/>
            <w:hideMark/>
          </w:tcPr>
          <w:p w14:paraId="0F91A7E4" w14:textId="06E9AB4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9015CB">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850" w:type="dxa"/>
            <w:shd w:val="clear" w:color="auto" w:fill="auto"/>
            <w:noWrap/>
            <w:vAlign w:val="bottom"/>
            <w:hideMark/>
          </w:tcPr>
          <w:p w14:paraId="61E2994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(11·1)</w:t>
            </w:r>
          </w:p>
        </w:tc>
        <w:tc>
          <w:tcPr>
            <w:tcW w:w="709" w:type="dxa"/>
            <w:shd w:val="clear" w:color="auto" w:fill="auto"/>
            <w:noWrap/>
            <w:vAlign w:val="bottom"/>
            <w:hideMark/>
          </w:tcPr>
          <w:p w14:paraId="4D1E8B76" w14:textId="7FCBE9F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27D90BD4" w14:textId="666D4D9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3·5 (</w:t>
            </w:r>
            <w:r w:rsidR="005C04F5">
              <w:rPr>
                <w:rFonts w:eastAsia="Times New Roman"/>
                <w:color w:val="000000"/>
                <w:sz w:val="11"/>
                <w:szCs w:val="16"/>
                <w:lang w:val="en-GB" w:eastAsia="zh-TW"/>
              </w:rPr>
              <w:t>5</w:t>
            </w:r>
            <w:r w:rsidRPr="00A35FB4">
              <w:rPr>
                <w:rFonts w:eastAsia="Times New Roman"/>
                <w:color w:val="000000"/>
                <w:sz w:val="11"/>
                <w:szCs w:val="16"/>
                <w:lang w:val="en-GB" w:eastAsia="zh-TW"/>
              </w:rPr>
              <w:t>)</w:t>
            </w:r>
          </w:p>
        </w:tc>
        <w:tc>
          <w:tcPr>
            <w:tcW w:w="850" w:type="dxa"/>
            <w:shd w:val="clear" w:color="auto" w:fill="auto"/>
            <w:noWrap/>
            <w:vAlign w:val="bottom"/>
            <w:hideMark/>
          </w:tcPr>
          <w:p w14:paraId="4CA7955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5417FAF9" w14:textId="77777777" w:rsidR="002A48B2" w:rsidRPr="00A35FB4" w:rsidRDefault="002A48B2" w:rsidP="002A48B2">
            <w:pPr>
              <w:rPr>
                <w:rFonts w:eastAsia="Times New Roman"/>
                <w:color w:val="000000"/>
                <w:sz w:val="11"/>
                <w:szCs w:val="16"/>
                <w:lang w:val="en-GB" w:eastAsia="zh-TW"/>
              </w:rPr>
            </w:pPr>
          </w:p>
        </w:tc>
        <w:tc>
          <w:tcPr>
            <w:tcW w:w="683" w:type="dxa"/>
            <w:shd w:val="clear" w:color="auto" w:fill="auto"/>
            <w:noWrap/>
            <w:vAlign w:val="bottom"/>
            <w:hideMark/>
          </w:tcPr>
          <w:p w14:paraId="3704054A" w14:textId="77777777" w:rsidR="002A48B2" w:rsidRPr="00A35FB4" w:rsidRDefault="002A48B2" w:rsidP="002A48B2">
            <w:pPr>
              <w:rPr>
                <w:rFonts w:eastAsia="Times New Roman"/>
                <w:sz w:val="11"/>
                <w:szCs w:val="16"/>
                <w:lang w:val="en-GB" w:eastAsia="zh-TW"/>
              </w:rPr>
            </w:pPr>
          </w:p>
        </w:tc>
        <w:tc>
          <w:tcPr>
            <w:tcW w:w="876" w:type="dxa"/>
            <w:shd w:val="clear" w:color="auto" w:fill="auto"/>
            <w:noWrap/>
            <w:vAlign w:val="bottom"/>
            <w:hideMark/>
          </w:tcPr>
          <w:p w14:paraId="304BB1C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24" w:type="dxa"/>
            <w:shd w:val="clear" w:color="auto" w:fill="auto"/>
            <w:noWrap/>
            <w:vAlign w:val="bottom"/>
            <w:hideMark/>
          </w:tcPr>
          <w:p w14:paraId="62EF636C" w14:textId="5DD6EB9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94" w:type="dxa"/>
            <w:shd w:val="clear" w:color="auto" w:fill="auto"/>
            <w:noWrap/>
            <w:vAlign w:val="bottom"/>
            <w:hideMark/>
          </w:tcPr>
          <w:p w14:paraId="14C6216B" w14:textId="0C6B14C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850" w:type="dxa"/>
            <w:shd w:val="clear" w:color="auto" w:fill="auto"/>
            <w:noWrap/>
            <w:vAlign w:val="bottom"/>
            <w:hideMark/>
          </w:tcPr>
          <w:p w14:paraId="0FFCD10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09" w:type="dxa"/>
            <w:shd w:val="clear" w:color="auto" w:fill="auto"/>
            <w:noWrap/>
            <w:vAlign w:val="bottom"/>
            <w:hideMark/>
          </w:tcPr>
          <w:p w14:paraId="70EBB422" w14:textId="38788A1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(0)</w:t>
            </w:r>
          </w:p>
        </w:tc>
        <w:tc>
          <w:tcPr>
            <w:tcW w:w="709" w:type="dxa"/>
            <w:shd w:val="clear" w:color="auto" w:fill="auto"/>
            <w:noWrap/>
            <w:vAlign w:val="bottom"/>
            <w:hideMark/>
          </w:tcPr>
          <w:p w14:paraId="1D6A7E34" w14:textId="1ECC12A1"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r>
      <w:tr w:rsidR="002A48B2" w:rsidRPr="00A35FB4" w14:paraId="117F7CB5" w14:textId="77777777" w:rsidTr="002A48B2">
        <w:trPr>
          <w:trHeight w:val="240"/>
          <w:jc w:val="center"/>
        </w:trPr>
        <w:tc>
          <w:tcPr>
            <w:tcW w:w="1134" w:type="dxa"/>
            <w:shd w:val="clear" w:color="auto" w:fill="auto"/>
            <w:noWrap/>
            <w:vAlign w:val="bottom"/>
            <w:hideMark/>
          </w:tcPr>
          <w:p w14:paraId="3A6727D5"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Myalgia</w:t>
            </w:r>
          </w:p>
        </w:tc>
        <w:tc>
          <w:tcPr>
            <w:tcW w:w="851" w:type="dxa"/>
            <w:shd w:val="clear" w:color="auto" w:fill="auto"/>
            <w:noWrap/>
            <w:vAlign w:val="bottom"/>
            <w:hideMark/>
          </w:tcPr>
          <w:p w14:paraId="226FE8B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(27·8)</w:t>
            </w:r>
          </w:p>
        </w:tc>
        <w:tc>
          <w:tcPr>
            <w:tcW w:w="628" w:type="dxa"/>
            <w:shd w:val="clear" w:color="auto" w:fill="auto"/>
            <w:noWrap/>
            <w:vAlign w:val="bottom"/>
            <w:hideMark/>
          </w:tcPr>
          <w:p w14:paraId="3A3FF2F3" w14:textId="483FE38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(1)</w:t>
            </w:r>
          </w:p>
        </w:tc>
        <w:tc>
          <w:tcPr>
            <w:tcW w:w="650" w:type="dxa"/>
            <w:shd w:val="clear" w:color="auto" w:fill="auto"/>
            <w:noWrap/>
            <w:vAlign w:val="bottom"/>
            <w:hideMark/>
          </w:tcPr>
          <w:p w14:paraId="425823C7" w14:textId="4D875493"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A35FB4">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837" w:type="dxa"/>
            <w:shd w:val="clear" w:color="auto" w:fill="auto"/>
            <w:noWrap/>
            <w:vAlign w:val="bottom"/>
            <w:hideMark/>
          </w:tcPr>
          <w:p w14:paraId="4A61586B"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(17·6)</w:t>
            </w:r>
          </w:p>
        </w:tc>
        <w:tc>
          <w:tcPr>
            <w:tcW w:w="610" w:type="dxa"/>
            <w:shd w:val="clear" w:color="auto" w:fill="auto"/>
            <w:noWrap/>
            <w:vAlign w:val="bottom"/>
            <w:hideMark/>
          </w:tcPr>
          <w:p w14:paraId="1389D385" w14:textId="5A8EB58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5 (</w:t>
            </w:r>
            <w:r w:rsidR="009015CB">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77" w:type="dxa"/>
            <w:shd w:val="clear" w:color="auto" w:fill="auto"/>
            <w:noWrap/>
            <w:vAlign w:val="bottom"/>
            <w:hideMark/>
          </w:tcPr>
          <w:p w14:paraId="29845635" w14:textId="176275E6"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9015CB">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850" w:type="dxa"/>
            <w:shd w:val="clear" w:color="auto" w:fill="auto"/>
            <w:noWrap/>
            <w:vAlign w:val="bottom"/>
            <w:hideMark/>
          </w:tcPr>
          <w:p w14:paraId="54EBEE4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7A209DB0"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504E53DC"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67F4008D"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(11·1)</w:t>
            </w:r>
          </w:p>
        </w:tc>
        <w:tc>
          <w:tcPr>
            <w:tcW w:w="709" w:type="dxa"/>
            <w:shd w:val="clear" w:color="auto" w:fill="auto"/>
            <w:noWrap/>
            <w:vAlign w:val="bottom"/>
            <w:hideMark/>
          </w:tcPr>
          <w:p w14:paraId="16C61511" w14:textId="4A187C8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w:t>
            </w:r>
            <w:r w:rsidR="005C04F5">
              <w:rPr>
                <w:rFonts w:eastAsia="Times New Roman"/>
                <w:color w:val="000000"/>
                <w:sz w:val="11"/>
                <w:szCs w:val="16"/>
                <w:lang w:val="en-GB" w:eastAsia="zh-TW"/>
              </w:rPr>
              <w:t>1</w:t>
            </w:r>
            <w:r w:rsidRPr="00A35FB4">
              <w:rPr>
                <w:rFonts w:eastAsia="Times New Roman"/>
                <w:color w:val="000000"/>
                <w:sz w:val="11"/>
                <w:szCs w:val="16"/>
                <w:lang w:val="en-GB" w:eastAsia="zh-TW"/>
              </w:rPr>
              <w:t>)</w:t>
            </w:r>
          </w:p>
        </w:tc>
        <w:tc>
          <w:tcPr>
            <w:tcW w:w="683" w:type="dxa"/>
            <w:shd w:val="clear" w:color="auto" w:fill="auto"/>
            <w:noWrap/>
            <w:vAlign w:val="bottom"/>
            <w:hideMark/>
          </w:tcPr>
          <w:p w14:paraId="4822D99C" w14:textId="146DE88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7C03047E"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(16·7)</w:t>
            </w:r>
          </w:p>
        </w:tc>
        <w:tc>
          <w:tcPr>
            <w:tcW w:w="724" w:type="dxa"/>
            <w:shd w:val="clear" w:color="auto" w:fill="auto"/>
            <w:noWrap/>
            <w:vAlign w:val="bottom"/>
            <w:hideMark/>
          </w:tcPr>
          <w:p w14:paraId="1AD05946" w14:textId="6637DC3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F47CA3">
              <w:rPr>
                <w:rFonts w:eastAsia="Times New Roman"/>
                <w:color w:val="000000"/>
                <w:sz w:val="11"/>
                <w:szCs w:val="16"/>
                <w:lang w:val="en-GB" w:eastAsia="zh-TW"/>
              </w:rPr>
              <w:t>2</w:t>
            </w:r>
            <w:r w:rsidRPr="00A35FB4">
              <w:rPr>
                <w:rFonts w:eastAsia="Times New Roman"/>
                <w:color w:val="000000"/>
                <w:sz w:val="11"/>
                <w:szCs w:val="16"/>
                <w:lang w:val="en-GB" w:eastAsia="zh-TW"/>
              </w:rPr>
              <w:t>)</w:t>
            </w:r>
          </w:p>
        </w:tc>
        <w:tc>
          <w:tcPr>
            <w:tcW w:w="694" w:type="dxa"/>
            <w:shd w:val="clear" w:color="auto" w:fill="auto"/>
            <w:noWrap/>
            <w:vAlign w:val="bottom"/>
            <w:hideMark/>
          </w:tcPr>
          <w:p w14:paraId="45FDA3E0" w14:textId="28278B7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1·5 (1)</w:t>
            </w:r>
          </w:p>
        </w:tc>
        <w:tc>
          <w:tcPr>
            <w:tcW w:w="850" w:type="dxa"/>
            <w:shd w:val="clear" w:color="auto" w:fill="auto"/>
            <w:noWrap/>
            <w:vAlign w:val="bottom"/>
            <w:hideMark/>
          </w:tcPr>
          <w:p w14:paraId="2E84B33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09" w:type="dxa"/>
            <w:shd w:val="clear" w:color="auto" w:fill="auto"/>
            <w:noWrap/>
            <w:vAlign w:val="bottom"/>
            <w:hideMark/>
          </w:tcPr>
          <w:p w14:paraId="33DC6C4C" w14:textId="040B4AD9"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2A336A3D" w14:textId="428B575E"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r>
      <w:tr w:rsidR="002A48B2" w:rsidRPr="00A35FB4" w14:paraId="385AEC00" w14:textId="77777777" w:rsidTr="002A48B2">
        <w:trPr>
          <w:trHeight w:val="240"/>
          <w:jc w:val="center"/>
        </w:trPr>
        <w:tc>
          <w:tcPr>
            <w:tcW w:w="1134" w:type="dxa"/>
            <w:shd w:val="clear" w:color="auto" w:fill="auto"/>
            <w:noWrap/>
            <w:vAlign w:val="bottom"/>
            <w:hideMark/>
          </w:tcPr>
          <w:p w14:paraId="62DFD75C"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Nausea</w:t>
            </w:r>
          </w:p>
        </w:tc>
        <w:tc>
          <w:tcPr>
            <w:tcW w:w="851" w:type="dxa"/>
            <w:shd w:val="clear" w:color="auto" w:fill="auto"/>
            <w:noWrap/>
            <w:vAlign w:val="bottom"/>
            <w:hideMark/>
          </w:tcPr>
          <w:p w14:paraId="4055D9A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628" w:type="dxa"/>
            <w:shd w:val="clear" w:color="auto" w:fill="auto"/>
            <w:noWrap/>
            <w:vAlign w:val="bottom"/>
            <w:hideMark/>
          </w:tcPr>
          <w:p w14:paraId="388CF2AE" w14:textId="30F9045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(0)</w:t>
            </w:r>
          </w:p>
        </w:tc>
        <w:tc>
          <w:tcPr>
            <w:tcW w:w="650" w:type="dxa"/>
            <w:shd w:val="clear" w:color="auto" w:fill="auto"/>
            <w:noWrap/>
            <w:vAlign w:val="bottom"/>
            <w:hideMark/>
          </w:tcPr>
          <w:p w14:paraId="1246CA77" w14:textId="50E7F9C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w:t>
            </w:r>
            <w:r w:rsidR="00AF4F9C">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837" w:type="dxa"/>
            <w:shd w:val="clear" w:color="auto" w:fill="auto"/>
            <w:noWrap/>
            <w:vAlign w:val="bottom"/>
            <w:hideMark/>
          </w:tcPr>
          <w:p w14:paraId="40D1F51F"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(5·9)</w:t>
            </w:r>
          </w:p>
        </w:tc>
        <w:tc>
          <w:tcPr>
            <w:tcW w:w="610" w:type="dxa"/>
            <w:shd w:val="clear" w:color="auto" w:fill="auto"/>
            <w:noWrap/>
            <w:vAlign w:val="bottom"/>
            <w:hideMark/>
          </w:tcPr>
          <w:p w14:paraId="51B58173" w14:textId="751A4E7C"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6 (</w:t>
            </w:r>
            <w:r w:rsidR="009015CB">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677" w:type="dxa"/>
            <w:shd w:val="clear" w:color="auto" w:fill="auto"/>
            <w:noWrap/>
            <w:vAlign w:val="bottom"/>
            <w:hideMark/>
          </w:tcPr>
          <w:p w14:paraId="3B33F4CA" w14:textId="22FC244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w:t>
            </w:r>
            <w:r w:rsidR="009015CB">
              <w:rPr>
                <w:rFonts w:eastAsia="Times New Roman"/>
                <w:color w:val="000000"/>
                <w:sz w:val="11"/>
                <w:szCs w:val="16"/>
                <w:lang w:val="en-GB" w:eastAsia="zh-TW"/>
              </w:rPr>
              <w:t>0</w:t>
            </w:r>
            <w:r w:rsidRPr="00A35FB4">
              <w:rPr>
                <w:rFonts w:eastAsia="Times New Roman"/>
                <w:color w:val="000000"/>
                <w:sz w:val="11"/>
                <w:szCs w:val="16"/>
                <w:lang w:val="en-GB" w:eastAsia="zh-TW"/>
              </w:rPr>
              <w:t>)</w:t>
            </w:r>
          </w:p>
        </w:tc>
        <w:tc>
          <w:tcPr>
            <w:tcW w:w="850" w:type="dxa"/>
            <w:shd w:val="clear" w:color="auto" w:fill="auto"/>
            <w:noWrap/>
            <w:vAlign w:val="bottom"/>
            <w:hideMark/>
          </w:tcPr>
          <w:p w14:paraId="5342C55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4398AFC2" w14:textId="41BB432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2 (0)</w:t>
            </w:r>
          </w:p>
        </w:tc>
        <w:tc>
          <w:tcPr>
            <w:tcW w:w="709" w:type="dxa"/>
            <w:shd w:val="clear" w:color="auto" w:fill="auto"/>
            <w:noWrap/>
            <w:vAlign w:val="bottom"/>
            <w:hideMark/>
          </w:tcPr>
          <w:p w14:paraId="539B7E91" w14:textId="11C3790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0F535965"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B992D92" w14:textId="019F99C2"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683" w:type="dxa"/>
            <w:shd w:val="clear" w:color="auto" w:fill="auto"/>
            <w:noWrap/>
            <w:vAlign w:val="bottom"/>
            <w:hideMark/>
          </w:tcPr>
          <w:p w14:paraId="0E75DE28" w14:textId="2972935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5AD86D2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3BDFB1EE"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0FB9C59D"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64DEDCD1"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(8·3)</w:t>
            </w:r>
          </w:p>
        </w:tc>
        <w:tc>
          <w:tcPr>
            <w:tcW w:w="709" w:type="dxa"/>
            <w:shd w:val="clear" w:color="auto" w:fill="auto"/>
            <w:noWrap/>
            <w:vAlign w:val="bottom"/>
            <w:hideMark/>
          </w:tcPr>
          <w:p w14:paraId="54CA3463" w14:textId="51217448"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709" w:type="dxa"/>
            <w:shd w:val="clear" w:color="auto" w:fill="auto"/>
            <w:noWrap/>
            <w:vAlign w:val="bottom"/>
            <w:hideMark/>
          </w:tcPr>
          <w:p w14:paraId="6C489A78" w14:textId="459C50D4"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r>
      <w:tr w:rsidR="002A48B2" w:rsidRPr="00A35FB4" w14:paraId="554AD415" w14:textId="77777777" w:rsidTr="002A48B2">
        <w:trPr>
          <w:trHeight w:val="240"/>
          <w:jc w:val="center"/>
        </w:trPr>
        <w:tc>
          <w:tcPr>
            <w:tcW w:w="1134" w:type="dxa"/>
            <w:shd w:val="clear" w:color="auto" w:fill="auto"/>
            <w:noWrap/>
            <w:vAlign w:val="bottom"/>
            <w:hideMark/>
          </w:tcPr>
          <w:p w14:paraId="131C7FF7"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Rash</w:t>
            </w:r>
          </w:p>
        </w:tc>
        <w:tc>
          <w:tcPr>
            <w:tcW w:w="851" w:type="dxa"/>
            <w:shd w:val="clear" w:color="auto" w:fill="auto"/>
            <w:noWrap/>
            <w:vAlign w:val="bottom"/>
            <w:hideMark/>
          </w:tcPr>
          <w:p w14:paraId="4765D08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628" w:type="dxa"/>
            <w:shd w:val="clear" w:color="auto" w:fill="auto"/>
            <w:noWrap/>
            <w:vAlign w:val="bottom"/>
            <w:hideMark/>
          </w:tcPr>
          <w:p w14:paraId="27FE259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4·0 (4·0-4·0)</w:t>
            </w:r>
          </w:p>
        </w:tc>
        <w:tc>
          <w:tcPr>
            <w:tcW w:w="650" w:type="dxa"/>
            <w:shd w:val="clear" w:color="auto" w:fill="auto"/>
            <w:noWrap/>
            <w:vAlign w:val="bottom"/>
            <w:hideMark/>
          </w:tcPr>
          <w:p w14:paraId="5BF5A597"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3·0 (3·0-3·0)</w:t>
            </w:r>
          </w:p>
        </w:tc>
        <w:tc>
          <w:tcPr>
            <w:tcW w:w="837" w:type="dxa"/>
            <w:shd w:val="clear" w:color="auto" w:fill="auto"/>
            <w:noWrap/>
            <w:vAlign w:val="bottom"/>
            <w:hideMark/>
          </w:tcPr>
          <w:p w14:paraId="79DE7C7A"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shd w:val="clear" w:color="auto" w:fill="auto"/>
            <w:noWrap/>
            <w:vAlign w:val="bottom"/>
            <w:hideMark/>
          </w:tcPr>
          <w:p w14:paraId="675A405D" w14:textId="77777777" w:rsidR="002A48B2" w:rsidRPr="00A35FB4" w:rsidRDefault="002A48B2" w:rsidP="002A48B2">
            <w:pPr>
              <w:rPr>
                <w:rFonts w:eastAsia="Times New Roman"/>
                <w:color w:val="000000"/>
                <w:sz w:val="11"/>
                <w:szCs w:val="16"/>
                <w:lang w:val="en-GB" w:eastAsia="zh-TW"/>
              </w:rPr>
            </w:pPr>
          </w:p>
        </w:tc>
        <w:tc>
          <w:tcPr>
            <w:tcW w:w="677" w:type="dxa"/>
            <w:shd w:val="clear" w:color="auto" w:fill="auto"/>
            <w:noWrap/>
            <w:vAlign w:val="bottom"/>
            <w:hideMark/>
          </w:tcPr>
          <w:p w14:paraId="0C642D4B"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7A2A533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44C81F74" w14:textId="635FA1AF"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4 (0)</w:t>
            </w:r>
          </w:p>
        </w:tc>
        <w:tc>
          <w:tcPr>
            <w:tcW w:w="709" w:type="dxa"/>
            <w:shd w:val="clear" w:color="auto" w:fill="auto"/>
            <w:noWrap/>
            <w:vAlign w:val="bottom"/>
            <w:hideMark/>
          </w:tcPr>
          <w:p w14:paraId="4C6B8C51" w14:textId="62D2142D"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50" w:type="dxa"/>
            <w:shd w:val="clear" w:color="auto" w:fill="auto"/>
            <w:noWrap/>
            <w:vAlign w:val="bottom"/>
            <w:hideMark/>
          </w:tcPr>
          <w:p w14:paraId="54F2DDD6"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(5·6)</w:t>
            </w:r>
          </w:p>
        </w:tc>
        <w:tc>
          <w:tcPr>
            <w:tcW w:w="709" w:type="dxa"/>
            <w:shd w:val="clear" w:color="auto" w:fill="auto"/>
            <w:noWrap/>
            <w:vAlign w:val="bottom"/>
            <w:hideMark/>
          </w:tcPr>
          <w:p w14:paraId="04352F7D" w14:textId="4D6061A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3 (0)</w:t>
            </w:r>
          </w:p>
        </w:tc>
        <w:tc>
          <w:tcPr>
            <w:tcW w:w="683" w:type="dxa"/>
            <w:shd w:val="clear" w:color="auto" w:fill="auto"/>
            <w:noWrap/>
            <w:vAlign w:val="bottom"/>
            <w:hideMark/>
          </w:tcPr>
          <w:p w14:paraId="076B9299" w14:textId="680C4CC0"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1 (0)</w:t>
            </w:r>
          </w:p>
        </w:tc>
        <w:tc>
          <w:tcPr>
            <w:tcW w:w="876" w:type="dxa"/>
            <w:shd w:val="clear" w:color="auto" w:fill="auto"/>
            <w:noWrap/>
            <w:vAlign w:val="bottom"/>
            <w:hideMark/>
          </w:tcPr>
          <w:p w14:paraId="44E3B64C"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shd w:val="clear" w:color="auto" w:fill="auto"/>
            <w:noWrap/>
            <w:vAlign w:val="bottom"/>
            <w:hideMark/>
          </w:tcPr>
          <w:p w14:paraId="6ED55CB8" w14:textId="77777777" w:rsidR="002A48B2" w:rsidRPr="00A35FB4" w:rsidRDefault="002A48B2" w:rsidP="002A48B2">
            <w:pPr>
              <w:rPr>
                <w:rFonts w:eastAsia="Times New Roman"/>
                <w:color w:val="000000"/>
                <w:sz w:val="11"/>
                <w:szCs w:val="16"/>
                <w:lang w:val="en-GB" w:eastAsia="zh-TW"/>
              </w:rPr>
            </w:pPr>
          </w:p>
        </w:tc>
        <w:tc>
          <w:tcPr>
            <w:tcW w:w="694" w:type="dxa"/>
            <w:shd w:val="clear" w:color="auto" w:fill="auto"/>
            <w:noWrap/>
            <w:vAlign w:val="bottom"/>
            <w:hideMark/>
          </w:tcPr>
          <w:p w14:paraId="0A52FA41" w14:textId="77777777" w:rsidR="002A48B2" w:rsidRPr="00A35FB4" w:rsidRDefault="002A48B2" w:rsidP="002A48B2">
            <w:pPr>
              <w:rPr>
                <w:rFonts w:eastAsia="Times New Roman"/>
                <w:sz w:val="11"/>
                <w:szCs w:val="16"/>
                <w:lang w:val="en-GB" w:eastAsia="zh-TW"/>
              </w:rPr>
            </w:pPr>
          </w:p>
        </w:tc>
        <w:tc>
          <w:tcPr>
            <w:tcW w:w="850" w:type="dxa"/>
            <w:shd w:val="clear" w:color="auto" w:fill="auto"/>
            <w:noWrap/>
            <w:vAlign w:val="bottom"/>
            <w:hideMark/>
          </w:tcPr>
          <w:p w14:paraId="2C574962"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shd w:val="clear" w:color="auto" w:fill="auto"/>
            <w:noWrap/>
            <w:vAlign w:val="bottom"/>
            <w:hideMark/>
          </w:tcPr>
          <w:p w14:paraId="2BA7102A" w14:textId="77777777" w:rsidR="002A48B2" w:rsidRPr="00A35FB4" w:rsidRDefault="002A48B2" w:rsidP="002A48B2">
            <w:pPr>
              <w:rPr>
                <w:rFonts w:eastAsia="Times New Roman"/>
                <w:color w:val="000000"/>
                <w:sz w:val="11"/>
                <w:szCs w:val="16"/>
                <w:lang w:val="en-GB" w:eastAsia="zh-TW"/>
              </w:rPr>
            </w:pPr>
          </w:p>
        </w:tc>
        <w:tc>
          <w:tcPr>
            <w:tcW w:w="709" w:type="dxa"/>
            <w:shd w:val="clear" w:color="auto" w:fill="auto"/>
            <w:noWrap/>
            <w:vAlign w:val="bottom"/>
            <w:hideMark/>
          </w:tcPr>
          <w:p w14:paraId="4323F3C0" w14:textId="77777777" w:rsidR="002A48B2" w:rsidRPr="00A35FB4" w:rsidRDefault="002A48B2" w:rsidP="002A48B2">
            <w:pPr>
              <w:rPr>
                <w:rFonts w:eastAsia="Times New Roman"/>
                <w:sz w:val="11"/>
                <w:szCs w:val="16"/>
                <w:lang w:val="en-GB" w:eastAsia="zh-TW"/>
              </w:rPr>
            </w:pPr>
          </w:p>
        </w:tc>
      </w:tr>
      <w:tr w:rsidR="002A48B2" w:rsidRPr="00A35FB4" w14:paraId="0F5A4D6C" w14:textId="77777777" w:rsidTr="002A48B2">
        <w:trPr>
          <w:trHeight w:val="240"/>
          <w:jc w:val="center"/>
        </w:trPr>
        <w:tc>
          <w:tcPr>
            <w:tcW w:w="1134" w:type="dxa"/>
            <w:tcBorders>
              <w:bottom w:val="single" w:sz="4" w:space="0" w:color="auto"/>
            </w:tcBorders>
            <w:shd w:val="clear" w:color="auto" w:fill="auto"/>
            <w:noWrap/>
            <w:vAlign w:val="bottom"/>
            <w:hideMark/>
          </w:tcPr>
          <w:p w14:paraId="32B70079" w14:textId="77777777" w:rsidR="002A48B2" w:rsidRPr="00A35FB4" w:rsidRDefault="002A48B2" w:rsidP="002A48B2">
            <w:pPr>
              <w:rPr>
                <w:rFonts w:eastAsia="Times New Roman"/>
                <w:b/>
                <w:color w:val="000000"/>
                <w:sz w:val="11"/>
                <w:szCs w:val="16"/>
                <w:lang w:val="en-GB" w:eastAsia="zh-TW"/>
              </w:rPr>
            </w:pPr>
            <w:r w:rsidRPr="00A35FB4">
              <w:rPr>
                <w:rFonts w:eastAsia="Times New Roman"/>
                <w:b/>
                <w:color w:val="000000"/>
                <w:sz w:val="11"/>
                <w:szCs w:val="16"/>
                <w:lang w:val="en-GB" w:eastAsia="zh-TW"/>
              </w:rPr>
              <w:t>Vomiting</w:t>
            </w:r>
          </w:p>
        </w:tc>
        <w:tc>
          <w:tcPr>
            <w:tcW w:w="851" w:type="dxa"/>
            <w:tcBorders>
              <w:bottom w:val="single" w:sz="4" w:space="0" w:color="auto"/>
            </w:tcBorders>
            <w:shd w:val="clear" w:color="auto" w:fill="auto"/>
            <w:noWrap/>
            <w:vAlign w:val="bottom"/>
            <w:hideMark/>
          </w:tcPr>
          <w:p w14:paraId="3199E971"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28" w:type="dxa"/>
            <w:tcBorders>
              <w:bottom w:val="single" w:sz="4" w:space="0" w:color="auto"/>
            </w:tcBorders>
            <w:shd w:val="clear" w:color="auto" w:fill="auto"/>
            <w:noWrap/>
            <w:vAlign w:val="bottom"/>
            <w:hideMark/>
          </w:tcPr>
          <w:p w14:paraId="789D5277" w14:textId="77777777" w:rsidR="002A48B2" w:rsidRPr="00A35FB4" w:rsidRDefault="002A48B2" w:rsidP="002A48B2">
            <w:pPr>
              <w:rPr>
                <w:rFonts w:eastAsia="Times New Roman"/>
                <w:color w:val="000000"/>
                <w:sz w:val="11"/>
                <w:szCs w:val="16"/>
                <w:lang w:val="en-GB" w:eastAsia="zh-TW"/>
              </w:rPr>
            </w:pPr>
          </w:p>
        </w:tc>
        <w:tc>
          <w:tcPr>
            <w:tcW w:w="650" w:type="dxa"/>
            <w:tcBorders>
              <w:bottom w:val="single" w:sz="4" w:space="0" w:color="auto"/>
            </w:tcBorders>
            <w:shd w:val="clear" w:color="auto" w:fill="auto"/>
            <w:noWrap/>
            <w:vAlign w:val="bottom"/>
            <w:hideMark/>
          </w:tcPr>
          <w:p w14:paraId="467184D5" w14:textId="77777777" w:rsidR="002A48B2" w:rsidRPr="00A35FB4" w:rsidRDefault="002A48B2" w:rsidP="002A48B2">
            <w:pPr>
              <w:rPr>
                <w:rFonts w:eastAsia="Times New Roman"/>
                <w:sz w:val="11"/>
                <w:szCs w:val="16"/>
                <w:lang w:val="en-GB" w:eastAsia="zh-TW"/>
              </w:rPr>
            </w:pPr>
          </w:p>
        </w:tc>
        <w:tc>
          <w:tcPr>
            <w:tcW w:w="837" w:type="dxa"/>
            <w:tcBorders>
              <w:bottom w:val="single" w:sz="4" w:space="0" w:color="auto"/>
            </w:tcBorders>
            <w:shd w:val="clear" w:color="auto" w:fill="auto"/>
            <w:noWrap/>
            <w:vAlign w:val="bottom"/>
            <w:hideMark/>
          </w:tcPr>
          <w:p w14:paraId="0C01C4E9"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610" w:type="dxa"/>
            <w:tcBorders>
              <w:bottom w:val="single" w:sz="4" w:space="0" w:color="auto"/>
            </w:tcBorders>
            <w:shd w:val="clear" w:color="auto" w:fill="auto"/>
            <w:noWrap/>
            <w:vAlign w:val="bottom"/>
            <w:hideMark/>
          </w:tcPr>
          <w:p w14:paraId="3AEBD6D7" w14:textId="77777777" w:rsidR="002A48B2" w:rsidRPr="00A35FB4" w:rsidRDefault="002A48B2" w:rsidP="002A48B2">
            <w:pPr>
              <w:rPr>
                <w:rFonts w:eastAsia="Times New Roman"/>
                <w:color w:val="000000"/>
                <w:sz w:val="11"/>
                <w:szCs w:val="16"/>
                <w:lang w:val="en-GB" w:eastAsia="zh-TW"/>
              </w:rPr>
            </w:pPr>
          </w:p>
        </w:tc>
        <w:tc>
          <w:tcPr>
            <w:tcW w:w="677" w:type="dxa"/>
            <w:tcBorders>
              <w:bottom w:val="single" w:sz="4" w:space="0" w:color="auto"/>
            </w:tcBorders>
            <w:shd w:val="clear" w:color="auto" w:fill="auto"/>
            <w:noWrap/>
            <w:vAlign w:val="bottom"/>
            <w:hideMark/>
          </w:tcPr>
          <w:p w14:paraId="049DD8CA" w14:textId="77777777" w:rsidR="002A48B2" w:rsidRPr="00A35FB4" w:rsidRDefault="002A48B2" w:rsidP="002A48B2">
            <w:pPr>
              <w:rPr>
                <w:rFonts w:eastAsia="Times New Roman"/>
                <w:sz w:val="11"/>
                <w:szCs w:val="16"/>
                <w:lang w:val="en-GB" w:eastAsia="zh-TW"/>
              </w:rPr>
            </w:pPr>
          </w:p>
        </w:tc>
        <w:tc>
          <w:tcPr>
            <w:tcW w:w="850" w:type="dxa"/>
            <w:tcBorders>
              <w:bottom w:val="single" w:sz="4" w:space="0" w:color="auto"/>
            </w:tcBorders>
            <w:shd w:val="clear" w:color="auto" w:fill="auto"/>
            <w:noWrap/>
            <w:vAlign w:val="bottom"/>
            <w:hideMark/>
          </w:tcPr>
          <w:p w14:paraId="36927954"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tcBorders>
              <w:bottom w:val="single" w:sz="4" w:space="0" w:color="auto"/>
            </w:tcBorders>
            <w:shd w:val="clear" w:color="auto" w:fill="auto"/>
            <w:noWrap/>
            <w:vAlign w:val="bottom"/>
            <w:hideMark/>
          </w:tcPr>
          <w:p w14:paraId="2C454AFB" w14:textId="77777777" w:rsidR="002A48B2" w:rsidRPr="00A35FB4" w:rsidRDefault="002A48B2" w:rsidP="002A48B2">
            <w:pPr>
              <w:rPr>
                <w:rFonts w:eastAsia="Times New Roman"/>
                <w:color w:val="000000"/>
                <w:sz w:val="11"/>
                <w:szCs w:val="16"/>
                <w:lang w:val="en-GB" w:eastAsia="zh-TW"/>
              </w:rPr>
            </w:pPr>
          </w:p>
        </w:tc>
        <w:tc>
          <w:tcPr>
            <w:tcW w:w="709" w:type="dxa"/>
            <w:tcBorders>
              <w:bottom w:val="single" w:sz="4" w:space="0" w:color="auto"/>
            </w:tcBorders>
            <w:shd w:val="clear" w:color="auto" w:fill="auto"/>
            <w:noWrap/>
            <w:vAlign w:val="bottom"/>
            <w:hideMark/>
          </w:tcPr>
          <w:p w14:paraId="795A5340" w14:textId="77777777" w:rsidR="002A48B2" w:rsidRPr="00A35FB4" w:rsidRDefault="002A48B2" w:rsidP="002A48B2">
            <w:pPr>
              <w:rPr>
                <w:rFonts w:eastAsia="Times New Roman"/>
                <w:sz w:val="11"/>
                <w:szCs w:val="16"/>
                <w:lang w:val="en-GB" w:eastAsia="zh-TW"/>
              </w:rPr>
            </w:pPr>
          </w:p>
        </w:tc>
        <w:tc>
          <w:tcPr>
            <w:tcW w:w="850" w:type="dxa"/>
            <w:tcBorders>
              <w:bottom w:val="single" w:sz="4" w:space="0" w:color="auto"/>
            </w:tcBorders>
            <w:shd w:val="clear" w:color="auto" w:fill="auto"/>
            <w:noWrap/>
            <w:vAlign w:val="bottom"/>
            <w:hideMark/>
          </w:tcPr>
          <w:p w14:paraId="1938B6D0"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tcBorders>
              <w:bottom w:val="single" w:sz="4" w:space="0" w:color="auto"/>
            </w:tcBorders>
            <w:shd w:val="clear" w:color="auto" w:fill="auto"/>
            <w:noWrap/>
            <w:vAlign w:val="bottom"/>
            <w:hideMark/>
          </w:tcPr>
          <w:p w14:paraId="2FCA0714" w14:textId="77777777" w:rsidR="002A48B2" w:rsidRPr="00A35FB4" w:rsidRDefault="002A48B2" w:rsidP="002A48B2">
            <w:pPr>
              <w:rPr>
                <w:rFonts w:eastAsia="Times New Roman"/>
                <w:color w:val="000000"/>
                <w:sz w:val="11"/>
                <w:szCs w:val="16"/>
                <w:lang w:val="en-GB" w:eastAsia="zh-TW"/>
              </w:rPr>
            </w:pPr>
          </w:p>
        </w:tc>
        <w:tc>
          <w:tcPr>
            <w:tcW w:w="683" w:type="dxa"/>
            <w:tcBorders>
              <w:bottom w:val="single" w:sz="4" w:space="0" w:color="auto"/>
            </w:tcBorders>
            <w:shd w:val="clear" w:color="auto" w:fill="auto"/>
            <w:noWrap/>
            <w:vAlign w:val="bottom"/>
            <w:hideMark/>
          </w:tcPr>
          <w:p w14:paraId="747E68F9" w14:textId="77777777" w:rsidR="002A48B2" w:rsidRPr="00A35FB4" w:rsidRDefault="002A48B2" w:rsidP="002A48B2">
            <w:pPr>
              <w:rPr>
                <w:rFonts w:eastAsia="Times New Roman"/>
                <w:sz w:val="11"/>
                <w:szCs w:val="16"/>
                <w:lang w:val="en-GB" w:eastAsia="zh-TW"/>
              </w:rPr>
            </w:pPr>
          </w:p>
        </w:tc>
        <w:tc>
          <w:tcPr>
            <w:tcW w:w="876" w:type="dxa"/>
            <w:tcBorders>
              <w:bottom w:val="single" w:sz="4" w:space="0" w:color="auto"/>
            </w:tcBorders>
            <w:shd w:val="clear" w:color="auto" w:fill="auto"/>
            <w:noWrap/>
            <w:vAlign w:val="bottom"/>
            <w:hideMark/>
          </w:tcPr>
          <w:p w14:paraId="308E0913"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24" w:type="dxa"/>
            <w:tcBorders>
              <w:bottom w:val="single" w:sz="4" w:space="0" w:color="auto"/>
            </w:tcBorders>
            <w:shd w:val="clear" w:color="auto" w:fill="auto"/>
            <w:noWrap/>
            <w:vAlign w:val="bottom"/>
            <w:hideMark/>
          </w:tcPr>
          <w:p w14:paraId="53FEF80A" w14:textId="77777777" w:rsidR="002A48B2" w:rsidRPr="00A35FB4" w:rsidRDefault="002A48B2" w:rsidP="002A48B2">
            <w:pPr>
              <w:rPr>
                <w:rFonts w:eastAsia="Times New Roman"/>
                <w:color w:val="000000"/>
                <w:sz w:val="11"/>
                <w:szCs w:val="16"/>
                <w:lang w:val="en-GB" w:eastAsia="zh-TW"/>
              </w:rPr>
            </w:pPr>
          </w:p>
        </w:tc>
        <w:tc>
          <w:tcPr>
            <w:tcW w:w="694" w:type="dxa"/>
            <w:tcBorders>
              <w:bottom w:val="single" w:sz="4" w:space="0" w:color="auto"/>
            </w:tcBorders>
            <w:shd w:val="clear" w:color="auto" w:fill="auto"/>
            <w:noWrap/>
            <w:vAlign w:val="bottom"/>
            <w:hideMark/>
          </w:tcPr>
          <w:p w14:paraId="777E852D" w14:textId="77777777" w:rsidR="002A48B2" w:rsidRPr="00A35FB4" w:rsidRDefault="002A48B2" w:rsidP="002A48B2">
            <w:pPr>
              <w:rPr>
                <w:rFonts w:eastAsia="Times New Roman"/>
                <w:sz w:val="11"/>
                <w:szCs w:val="16"/>
                <w:lang w:val="en-GB" w:eastAsia="zh-TW"/>
              </w:rPr>
            </w:pPr>
          </w:p>
        </w:tc>
        <w:tc>
          <w:tcPr>
            <w:tcW w:w="850" w:type="dxa"/>
            <w:tcBorders>
              <w:bottom w:val="single" w:sz="4" w:space="0" w:color="auto"/>
            </w:tcBorders>
            <w:shd w:val="clear" w:color="auto" w:fill="auto"/>
            <w:noWrap/>
            <w:vAlign w:val="bottom"/>
            <w:hideMark/>
          </w:tcPr>
          <w:p w14:paraId="4BC7FE9E" w14:textId="77777777" w:rsidR="002A48B2" w:rsidRPr="00A35FB4" w:rsidRDefault="002A48B2" w:rsidP="002A48B2">
            <w:pPr>
              <w:rPr>
                <w:rFonts w:eastAsia="Times New Roman"/>
                <w:color w:val="000000"/>
                <w:sz w:val="11"/>
                <w:szCs w:val="16"/>
                <w:lang w:val="en-GB" w:eastAsia="zh-TW"/>
              </w:rPr>
            </w:pPr>
            <w:r w:rsidRPr="00A35FB4">
              <w:rPr>
                <w:rFonts w:eastAsia="Times New Roman"/>
                <w:color w:val="000000"/>
                <w:sz w:val="11"/>
                <w:szCs w:val="16"/>
                <w:lang w:val="en-GB" w:eastAsia="zh-TW"/>
              </w:rPr>
              <w:t>0</w:t>
            </w:r>
          </w:p>
        </w:tc>
        <w:tc>
          <w:tcPr>
            <w:tcW w:w="709" w:type="dxa"/>
            <w:tcBorders>
              <w:bottom w:val="single" w:sz="4" w:space="0" w:color="auto"/>
            </w:tcBorders>
            <w:shd w:val="clear" w:color="auto" w:fill="auto"/>
            <w:noWrap/>
            <w:vAlign w:val="bottom"/>
            <w:hideMark/>
          </w:tcPr>
          <w:p w14:paraId="527FC332" w14:textId="77777777" w:rsidR="002A48B2" w:rsidRPr="00A35FB4" w:rsidRDefault="002A48B2" w:rsidP="002A48B2">
            <w:pPr>
              <w:rPr>
                <w:rFonts w:eastAsia="Times New Roman"/>
                <w:color w:val="000000"/>
                <w:sz w:val="11"/>
                <w:szCs w:val="16"/>
                <w:lang w:val="en-GB" w:eastAsia="zh-TW"/>
              </w:rPr>
            </w:pPr>
          </w:p>
        </w:tc>
        <w:tc>
          <w:tcPr>
            <w:tcW w:w="709" w:type="dxa"/>
            <w:tcBorders>
              <w:bottom w:val="single" w:sz="4" w:space="0" w:color="auto"/>
            </w:tcBorders>
            <w:shd w:val="clear" w:color="auto" w:fill="auto"/>
            <w:noWrap/>
            <w:vAlign w:val="bottom"/>
            <w:hideMark/>
          </w:tcPr>
          <w:p w14:paraId="0A70402A" w14:textId="77777777" w:rsidR="002A48B2" w:rsidRPr="00A35FB4" w:rsidRDefault="002A48B2" w:rsidP="002A48B2">
            <w:pPr>
              <w:rPr>
                <w:rFonts w:eastAsia="Times New Roman"/>
                <w:sz w:val="11"/>
                <w:szCs w:val="16"/>
                <w:lang w:val="en-GB" w:eastAsia="zh-TW"/>
              </w:rPr>
            </w:pPr>
          </w:p>
        </w:tc>
      </w:tr>
    </w:tbl>
    <w:p w14:paraId="60E40E81" w14:textId="2AEE3427" w:rsidR="002A48B2" w:rsidRPr="002A48B2" w:rsidRDefault="002A48B2" w:rsidP="002A48B2">
      <w:pPr>
        <w:spacing w:before="120" w:line="480" w:lineRule="auto"/>
        <w:jc w:val="both"/>
        <w:rPr>
          <w:rFonts w:eastAsia="Times New Roman"/>
          <w:sz w:val="24"/>
          <w:szCs w:val="24"/>
        </w:rPr>
      </w:pPr>
      <w:r w:rsidRPr="002A48B2">
        <w:rPr>
          <w:rFonts w:eastAsia="Times New Roman"/>
          <w:b/>
          <w:sz w:val="24"/>
          <w:szCs w:val="24"/>
        </w:rPr>
        <w:t xml:space="preserve">Table </w:t>
      </w:r>
      <w:r w:rsidR="00D5290E">
        <w:rPr>
          <w:rFonts w:eastAsia="Times New Roman"/>
          <w:b/>
          <w:sz w:val="24"/>
          <w:szCs w:val="24"/>
        </w:rPr>
        <w:t>E</w:t>
      </w:r>
      <w:r w:rsidR="00EA2153">
        <w:rPr>
          <w:rFonts w:eastAsia="Times New Roman"/>
          <w:b/>
          <w:sz w:val="24"/>
          <w:szCs w:val="24"/>
        </w:rPr>
        <w:t>5</w:t>
      </w:r>
      <w:r w:rsidRPr="002A48B2">
        <w:rPr>
          <w:rFonts w:eastAsia="Times New Roman"/>
          <w:b/>
          <w:sz w:val="24"/>
          <w:szCs w:val="24"/>
        </w:rPr>
        <w:t>. Solicited adverse events</w:t>
      </w:r>
    </w:p>
    <w:p w14:paraId="2BD7D3CE" w14:textId="58E5F5B9" w:rsidR="002A48B2" w:rsidRPr="002A48B2" w:rsidRDefault="002A48B2" w:rsidP="002A48B2">
      <w:pPr>
        <w:spacing w:line="480" w:lineRule="auto"/>
        <w:jc w:val="both"/>
        <w:rPr>
          <w:b/>
          <w:sz w:val="24"/>
          <w:szCs w:val="24"/>
          <w:lang w:val="en-GB"/>
        </w:rPr>
      </w:pPr>
    </w:p>
    <w:sectPr w:rsidR="002A48B2" w:rsidRPr="002A48B2" w:rsidSect="00D5290E">
      <w:pgSz w:w="16840" w:h="1190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AE060" w14:textId="77777777" w:rsidR="007C5E70" w:rsidRDefault="007C5E70" w:rsidP="00103F63">
      <w:r>
        <w:separator/>
      </w:r>
    </w:p>
  </w:endnote>
  <w:endnote w:type="continuationSeparator" w:id="0">
    <w:p w14:paraId="57CC1F16" w14:textId="77777777" w:rsidR="007C5E70" w:rsidRDefault="007C5E70" w:rsidP="00103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swiss"/>
    <w:pitch w:val="variable"/>
    <w:sig w:usb0="00000000" w:usb1="5000A1FF" w:usb2="00000000" w:usb3="00000000" w:csb0="000001B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Shaker 2 Lancet Regular">
    <w:altName w:val="Shaker 2 Lancet 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70132" w14:textId="66811C42" w:rsidR="0074371D" w:rsidRDefault="0074371D">
    <w:pPr>
      <w:pStyle w:val="Footer"/>
      <w:jc w:val="right"/>
    </w:pPr>
  </w:p>
  <w:p w14:paraId="02030BC4" w14:textId="77777777" w:rsidR="0074371D" w:rsidRDefault="00743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162980"/>
      <w:docPartObj>
        <w:docPartGallery w:val="Page Numbers (Bottom of Page)"/>
        <w:docPartUnique/>
      </w:docPartObj>
    </w:sdtPr>
    <w:sdtEndPr>
      <w:rPr>
        <w:noProof/>
      </w:rPr>
    </w:sdtEndPr>
    <w:sdtContent>
      <w:p w14:paraId="3836FDA0" w14:textId="6AFA4282" w:rsidR="0074371D" w:rsidRDefault="0074371D">
        <w:pPr>
          <w:pStyle w:val="Footer"/>
          <w:jc w:val="right"/>
        </w:pPr>
        <w:r>
          <w:fldChar w:fldCharType="begin"/>
        </w:r>
        <w:r>
          <w:instrText xml:space="preserve"> PAGE   \* MERGEFORMAT </w:instrText>
        </w:r>
        <w:r>
          <w:fldChar w:fldCharType="separate"/>
        </w:r>
        <w:r w:rsidR="00AA03A7">
          <w:rPr>
            <w:noProof/>
          </w:rPr>
          <w:t>18</w:t>
        </w:r>
        <w:r>
          <w:rPr>
            <w:noProof/>
          </w:rPr>
          <w:fldChar w:fldCharType="end"/>
        </w:r>
      </w:p>
    </w:sdtContent>
  </w:sdt>
  <w:p w14:paraId="71AFE57D" w14:textId="77777777" w:rsidR="0074371D" w:rsidRDefault="007437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676371"/>
      <w:docPartObj>
        <w:docPartGallery w:val="Page Numbers (Bottom of Page)"/>
        <w:docPartUnique/>
      </w:docPartObj>
    </w:sdtPr>
    <w:sdtEndPr>
      <w:rPr>
        <w:noProof/>
      </w:rPr>
    </w:sdtEndPr>
    <w:sdtContent>
      <w:p w14:paraId="5601599E" w14:textId="77777777" w:rsidR="0074371D" w:rsidRDefault="0074371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CD7E9CE" w14:textId="77777777" w:rsidR="0074371D" w:rsidRDefault="007437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334622"/>
      <w:docPartObj>
        <w:docPartGallery w:val="Page Numbers (Bottom of Page)"/>
        <w:docPartUnique/>
      </w:docPartObj>
    </w:sdtPr>
    <w:sdtEndPr>
      <w:rPr>
        <w:noProof/>
      </w:rPr>
    </w:sdtEndPr>
    <w:sdtContent>
      <w:p w14:paraId="0FA253CC" w14:textId="77777777" w:rsidR="0074371D" w:rsidRDefault="0074371D">
        <w:pPr>
          <w:pStyle w:val="Footer"/>
          <w:jc w:val="right"/>
        </w:pPr>
        <w:r>
          <w:fldChar w:fldCharType="begin"/>
        </w:r>
        <w:r>
          <w:instrText xml:space="preserve"> PAGE   \* MERGEFORMAT </w:instrText>
        </w:r>
        <w:r>
          <w:fldChar w:fldCharType="separate"/>
        </w:r>
        <w:r w:rsidR="00AA03A7">
          <w:rPr>
            <w:noProof/>
          </w:rPr>
          <w:t>19</w:t>
        </w:r>
        <w:r>
          <w:rPr>
            <w:noProof/>
          </w:rPr>
          <w:fldChar w:fldCharType="end"/>
        </w:r>
      </w:p>
    </w:sdtContent>
  </w:sdt>
  <w:p w14:paraId="61756ED5" w14:textId="77777777" w:rsidR="0074371D" w:rsidRDefault="00743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6FA42" w14:textId="77777777" w:rsidR="007C5E70" w:rsidRDefault="007C5E70" w:rsidP="00103F63">
      <w:r>
        <w:separator/>
      </w:r>
    </w:p>
  </w:footnote>
  <w:footnote w:type="continuationSeparator" w:id="0">
    <w:p w14:paraId="4F9D20E3" w14:textId="77777777" w:rsidR="007C5E70" w:rsidRDefault="007C5E70" w:rsidP="00103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F2644" w14:textId="77777777" w:rsidR="0074371D" w:rsidRDefault="0074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BF27996"/>
    <w:multiLevelType w:val="multilevel"/>
    <w:tmpl w:val="A464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88B"/>
    <w:rsid w:val="00002967"/>
    <w:rsid w:val="00006E75"/>
    <w:rsid w:val="00010B1F"/>
    <w:rsid w:val="000155E7"/>
    <w:rsid w:val="00017336"/>
    <w:rsid w:val="000238FF"/>
    <w:rsid w:val="0003180C"/>
    <w:rsid w:val="000361A5"/>
    <w:rsid w:val="00040434"/>
    <w:rsid w:val="00041EA3"/>
    <w:rsid w:val="00046826"/>
    <w:rsid w:val="00046982"/>
    <w:rsid w:val="00053B52"/>
    <w:rsid w:val="0005494A"/>
    <w:rsid w:val="00056DB7"/>
    <w:rsid w:val="000603C3"/>
    <w:rsid w:val="000605D6"/>
    <w:rsid w:val="00063BE2"/>
    <w:rsid w:val="00070E03"/>
    <w:rsid w:val="00076F0D"/>
    <w:rsid w:val="0008498B"/>
    <w:rsid w:val="00084C5D"/>
    <w:rsid w:val="00085C17"/>
    <w:rsid w:val="00094A1B"/>
    <w:rsid w:val="000A3019"/>
    <w:rsid w:val="000A54A3"/>
    <w:rsid w:val="000A6237"/>
    <w:rsid w:val="000B0A44"/>
    <w:rsid w:val="000B4689"/>
    <w:rsid w:val="000C2DB4"/>
    <w:rsid w:val="000E136E"/>
    <w:rsid w:val="000E5864"/>
    <w:rsid w:val="000E674E"/>
    <w:rsid w:val="000F0218"/>
    <w:rsid w:val="000F0276"/>
    <w:rsid w:val="000F20AD"/>
    <w:rsid w:val="00101C94"/>
    <w:rsid w:val="0010344B"/>
    <w:rsid w:val="00103F63"/>
    <w:rsid w:val="00111F19"/>
    <w:rsid w:val="00114185"/>
    <w:rsid w:val="00115B74"/>
    <w:rsid w:val="00115F66"/>
    <w:rsid w:val="00124069"/>
    <w:rsid w:val="0013553A"/>
    <w:rsid w:val="001358DC"/>
    <w:rsid w:val="001375B7"/>
    <w:rsid w:val="00140C81"/>
    <w:rsid w:val="0014130A"/>
    <w:rsid w:val="001427FE"/>
    <w:rsid w:val="0014458A"/>
    <w:rsid w:val="00144E36"/>
    <w:rsid w:val="0015490E"/>
    <w:rsid w:val="00155218"/>
    <w:rsid w:val="00155903"/>
    <w:rsid w:val="00170A15"/>
    <w:rsid w:val="001816D5"/>
    <w:rsid w:val="001831E3"/>
    <w:rsid w:val="00186F09"/>
    <w:rsid w:val="00187E5F"/>
    <w:rsid w:val="0019063B"/>
    <w:rsid w:val="00194AF6"/>
    <w:rsid w:val="001A38BB"/>
    <w:rsid w:val="001A45A7"/>
    <w:rsid w:val="001A6A0D"/>
    <w:rsid w:val="001B05CC"/>
    <w:rsid w:val="001B16DE"/>
    <w:rsid w:val="001B4698"/>
    <w:rsid w:val="001C51EA"/>
    <w:rsid w:val="001E3469"/>
    <w:rsid w:val="001E3A9F"/>
    <w:rsid w:val="001E530D"/>
    <w:rsid w:val="001F3726"/>
    <w:rsid w:val="001F3807"/>
    <w:rsid w:val="001F5D97"/>
    <w:rsid w:val="001F7099"/>
    <w:rsid w:val="001F73BE"/>
    <w:rsid w:val="00200767"/>
    <w:rsid w:val="00200E69"/>
    <w:rsid w:val="0020216F"/>
    <w:rsid w:val="0022063A"/>
    <w:rsid w:val="0022385E"/>
    <w:rsid w:val="00226549"/>
    <w:rsid w:val="002357F7"/>
    <w:rsid w:val="002373C9"/>
    <w:rsid w:val="00240036"/>
    <w:rsid w:val="00242124"/>
    <w:rsid w:val="00242FF7"/>
    <w:rsid w:val="00243261"/>
    <w:rsid w:val="00264336"/>
    <w:rsid w:val="002671F4"/>
    <w:rsid w:val="00267AA2"/>
    <w:rsid w:val="00267B42"/>
    <w:rsid w:val="002752E9"/>
    <w:rsid w:val="00280FC4"/>
    <w:rsid w:val="002844AB"/>
    <w:rsid w:val="00285821"/>
    <w:rsid w:val="00285FF8"/>
    <w:rsid w:val="00291C5A"/>
    <w:rsid w:val="002A48B2"/>
    <w:rsid w:val="002A4D3F"/>
    <w:rsid w:val="002A5185"/>
    <w:rsid w:val="002A7545"/>
    <w:rsid w:val="002A75BD"/>
    <w:rsid w:val="002B1A60"/>
    <w:rsid w:val="002B27DA"/>
    <w:rsid w:val="002B65EE"/>
    <w:rsid w:val="002B6E71"/>
    <w:rsid w:val="002C49F1"/>
    <w:rsid w:val="002D50FE"/>
    <w:rsid w:val="002D5625"/>
    <w:rsid w:val="002E1186"/>
    <w:rsid w:val="002E2EB1"/>
    <w:rsid w:val="002E52CC"/>
    <w:rsid w:val="002E6F92"/>
    <w:rsid w:val="002F7953"/>
    <w:rsid w:val="00301CB3"/>
    <w:rsid w:val="00302711"/>
    <w:rsid w:val="003261F0"/>
    <w:rsid w:val="00326E63"/>
    <w:rsid w:val="00331B2E"/>
    <w:rsid w:val="00335826"/>
    <w:rsid w:val="00335DFD"/>
    <w:rsid w:val="003376C6"/>
    <w:rsid w:val="0034296F"/>
    <w:rsid w:val="00343305"/>
    <w:rsid w:val="00346ADD"/>
    <w:rsid w:val="00347AFB"/>
    <w:rsid w:val="00360BB9"/>
    <w:rsid w:val="0036284B"/>
    <w:rsid w:val="00366C36"/>
    <w:rsid w:val="00370103"/>
    <w:rsid w:val="003748AD"/>
    <w:rsid w:val="00376EC8"/>
    <w:rsid w:val="00381F7D"/>
    <w:rsid w:val="00385E4D"/>
    <w:rsid w:val="00391478"/>
    <w:rsid w:val="00393252"/>
    <w:rsid w:val="003937E4"/>
    <w:rsid w:val="003952C1"/>
    <w:rsid w:val="003A44ED"/>
    <w:rsid w:val="003A4867"/>
    <w:rsid w:val="003B57BA"/>
    <w:rsid w:val="003B68AF"/>
    <w:rsid w:val="003C0AB4"/>
    <w:rsid w:val="003C2FEB"/>
    <w:rsid w:val="003C5129"/>
    <w:rsid w:val="003C65A7"/>
    <w:rsid w:val="003D46A9"/>
    <w:rsid w:val="003E05E3"/>
    <w:rsid w:val="003E2117"/>
    <w:rsid w:val="003E2FB5"/>
    <w:rsid w:val="003E7EA9"/>
    <w:rsid w:val="003F08D1"/>
    <w:rsid w:val="003F50BB"/>
    <w:rsid w:val="004024E7"/>
    <w:rsid w:val="0040717D"/>
    <w:rsid w:val="004137D7"/>
    <w:rsid w:val="00421C50"/>
    <w:rsid w:val="00422F1A"/>
    <w:rsid w:val="004235A7"/>
    <w:rsid w:val="0042492C"/>
    <w:rsid w:val="00433CA7"/>
    <w:rsid w:val="00445D7C"/>
    <w:rsid w:val="004552D9"/>
    <w:rsid w:val="00460098"/>
    <w:rsid w:val="004611EF"/>
    <w:rsid w:val="00476B5C"/>
    <w:rsid w:val="0048069A"/>
    <w:rsid w:val="00481638"/>
    <w:rsid w:val="00482289"/>
    <w:rsid w:val="0048258A"/>
    <w:rsid w:val="004834C0"/>
    <w:rsid w:val="00485B85"/>
    <w:rsid w:val="004876F5"/>
    <w:rsid w:val="00490E0A"/>
    <w:rsid w:val="004917FA"/>
    <w:rsid w:val="00493586"/>
    <w:rsid w:val="00497896"/>
    <w:rsid w:val="004A0A18"/>
    <w:rsid w:val="004A6688"/>
    <w:rsid w:val="004B3503"/>
    <w:rsid w:val="004B36BD"/>
    <w:rsid w:val="004B3B3E"/>
    <w:rsid w:val="004B6F53"/>
    <w:rsid w:val="004C31DB"/>
    <w:rsid w:val="004C699D"/>
    <w:rsid w:val="004D40CD"/>
    <w:rsid w:val="004D5E0A"/>
    <w:rsid w:val="004D7ECB"/>
    <w:rsid w:val="004E1380"/>
    <w:rsid w:val="004F0308"/>
    <w:rsid w:val="004F3295"/>
    <w:rsid w:val="004F3D49"/>
    <w:rsid w:val="004F536C"/>
    <w:rsid w:val="00504B13"/>
    <w:rsid w:val="00506CC5"/>
    <w:rsid w:val="005114FA"/>
    <w:rsid w:val="005209E0"/>
    <w:rsid w:val="00520EB3"/>
    <w:rsid w:val="005219D8"/>
    <w:rsid w:val="00524541"/>
    <w:rsid w:val="00525083"/>
    <w:rsid w:val="0053064E"/>
    <w:rsid w:val="00534223"/>
    <w:rsid w:val="00534A26"/>
    <w:rsid w:val="005422BC"/>
    <w:rsid w:val="00545741"/>
    <w:rsid w:val="005470C3"/>
    <w:rsid w:val="00547646"/>
    <w:rsid w:val="00560584"/>
    <w:rsid w:val="00570886"/>
    <w:rsid w:val="00575AD2"/>
    <w:rsid w:val="00583E54"/>
    <w:rsid w:val="00587A30"/>
    <w:rsid w:val="005903A6"/>
    <w:rsid w:val="005A2BCC"/>
    <w:rsid w:val="005A4FA8"/>
    <w:rsid w:val="005A6F13"/>
    <w:rsid w:val="005A77C2"/>
    <w:rsid w:val="005B03BF"/>
    <w:rsid w:val="005C04F5"/>
    <w:rsid w:val="005C26A9"/>
    <w:rsid w:val="00601FA1"/>
    <w:rsid w:val="006065B3"/>
    <w:rsid w:val="0060712B"/>
    <w:rsid w:val="006075FB"/>
    <w:rsid w:val="00612C3B"/>
    <w:rsid w:val="00612F02"/>
    <w:rsid w:val="006156C3"/>
    <w:rsid w:val="006257A8"/>
    <w:rsid w:val="0062713D"/>
    <w:rsid w:val="00634631"/>
    <w:rsid w:val="00640D2E"/>
    <w:rsid w:val="006423CF"/>
    <w:rsid w:val="00645C98"/>
    <w:rsid w:val="006465B5"/>
    <w:rsid w:val="006467ED"/>
    <w:rsid w:val="00664D07"/>
    <w:rsid w:val="0066505D"/>
    <w:rsid w:val="00666B96"/>
    <w:rsid w:val="006678E8"/>
    <w:rsid w:val="00680C91"/>
    <w:rsid w:val="006819C0"/>
    <w:rsid w:val="00685D29"/>
    <w:rsid w:val="00687B28"/>
    <w:rsid w:val="006974EE"/>
    <w:rsid w:val="006B3641"/>
    <w:rsid w:val="006B3AAD"/>
    <w:rsid w:val="006C06D5"/>
    <w:rsid w:val="006C25E9"/>
    <w:rsid w:val="006C4388"/>
    <w:rsid w:val="006D1123"/>
    <w:rsid w:val="006D2D16"/>
    <w:rsid w:val="006D4A3A"/>
    <w:rsid w:val="006D5A30"/>
    <w:rsid w:val="006E4DF6"/>
    <w:rsid w:val="006F1E9C"/>
    <w:rsid w:val="006F2C15"/>
    <w:rsid w:val="006F2EAD"/>
    <w:rsid w:val="007219E2"/>
    <w:rsid w:val="00722949"/>
    <w:rsid w:val="00722E2D"/>
    <w:rsid w:val="00723BB2"/>
    <w:rsid w:val="00723E15"/>
    <w:rsid w:val="00725C6C"/>
    <w:rsid w:val="00730C67"/>
    <w:rsid w:val="00733124"/>
    <w:rsid w:val="00733350"/>
    <w:rsid w:val="007436D9"/>
    <w:rsid w:val="0074371D"/>
    <w:rsid w:val="00743C9C"/>
    <w:rsid w:val="00754366"/>
    <w:rsid w:val="007628C7"/>
    <w:rsid w:val="0076426F"/>
    <w:rsid w:val="00764AD5"/>
    <w:rsid w:val="00764FB0"/>
    <w:rsid w:val="00767357"/>
    <w:rsid w:val="00776AE3"/>
    <w:rsid w:val="00777BE7"/>
    <w:rsid w:val="00783A5C"/>
    <w:rsid w:val="00785A8E"/>
    <w:rsid w:val="007B4438"/>
    <w:rsid w:val="007B5CC7"/>
    <w:rsid w:val="007B5F71"/>
    <w:rsid w:val="007C03AE"/>
    <w:rsid w:val="007C33D9"/>
    <w:rsid w:val="007C3D9F"/>
    <w:rsid w:val="007C5252"/>
    <w:rsid w:val="007C5E70"/>
    <w:rsid w:val="007D0FA2"/>
    <w:rsid w:val="007F5948"/>
    <w:rsid w:val="00803B2B"/>
    <w:rsid w:val="0081457D"/>
    <w:rsid w:val="008148EC"/>
    <w:rsid w:val="008200E4"/>
    <w:rsid w:val="00821FE2"/>
    <w:rsid w:val="008222A1"/>
    <w:rsid w:val="008222A9"/>
    <w:rsid w:val="008238FB"/>
    <w:rsid w:val="00827E16"/>
    <w:rsid w:val="0083087D"/>
    <w:rsid w:val="00844D43"/>
    <w:rsid w:val="008473F0"/>
    <w:rsid w:val="008478E9"/>
    <w:rsid w:val="00866935"/>
    <w:rsid w:val="00866B97"/>
    <w:rsid w:val="00884FF3"/>
    <w:rsid w:val="0088784F"/>
    <w:rsid w:val="0089241B"/>
    <w:rsid w:val="0089653C"/>
    <w:rsid w:val="008A0989"/>
    <w:rsid w:val="008A2A87"/>
    <w:rsid w:val="008A2DB4"/>
    <w:rsid w:val="008A4889"/>
    <w:rsid w:val="008B004A"/>
    <w:rsid w:val="008B448F"/>
    <w:rsid w:val="008C3E0C"/>
    <w:rsid w:val="008C4DCE"/>
    <w:rsid w:val="008C662D"/>
    <w:rsid w:val="008D1CDE"/>
    <w:rsid w:val="008D6928"/>
    <w:rsid w:val="008E288B"/>
    <w:rsid w:val="008E2F71"/>
    <w:rsid w:val="008F60D6"/>
    <w:rsid w:val="009014A9"/>
    <w:rsid w:val="009015CB"/>
    <w:rsid w:val="00902A05"/>
    <w:rsid w:val="0090428D"/>
    <w:rsid w:val="009060BC"/>
    <w:rsid w:val="00906AC8"/>
    <w:rsid w:val="00916680"/>
    <w:rsid w:val="00916E55"/>
    <w:rsid w:val="00917BCD"/>
    <w:rsid w:val="0092036C"/>
    <w:rsid w:val="00923B32"/>
    <w:rsid w:val="00924E99"/>
    <w:rsid w:val="009251D7"/>
    <w:rsid w:val="009329A8"/>
    <w:rsid w:val="00934D02"/>
    <w:rsid w:val="009431A5"/>
    <w:rsid w:val="009508E4"/>
    <w:rsid w:val="00951AF6"/>
    <w:rsid w:val="009535FC"/>
    <w:rsid w:val="009638B4"/>
    <w:rsid w:val="009716F0"/>
    <w:rsid w:val="00974C84"/>
    <w:rsid w:val="00984435"/>
    <w:rsid w:val="00986DD0"/>
    <w:rsid w:val="0099115C"/>
    <w:rsid w:val="009A47EE"/>
    <w:rsid w:val="009A6048"/>
    <w:rsid w:val="009A64BC"/>
    <w:rsid w:val="009A6A00"/>
    <w:rsid w:val="009B11A0"/>
    <w:rsid w:val="009B3670"/>
    <w:rsid w:val="009B3E56"/>
    <w:rsid w:val="009B57AA"/>
    <w:rsid w:val="009B7CE7"/>
    <w:rsid w:val="009B7FF2"/>
    <w:rsid w:val="009C2269"/>
    <w:rsid w:val="009C35DC"/>
    <w:rsid w:val="009D04AD"/>
    <w:rsid w:val="009D3776"/>
    <w:rsid w:val="009E61B7"/>
    <w:rsid w:val="009F3724"/>
    <w:rsid w:val="009F4E1F"/>
    <w:rsid w:val="00A00CF7"/>
    <w:rsid w:val="00A124EA"/>
    <w:rsid w:val="00A13FAD"/>
    <w:rsid w:val="00A16F50"/>
    <w:rsid w:val="00A24EE5"/>
    <w:rsid w:val="00A27573"/>
    <w:rsid w:val="00A27E26"/>
    <w:rsid w:val="00A3139F"/>
    <w:rsid w:val="00A32FC4"/>
    <w:rsid w:val="00A3408C"/>
    <w:rsid w:val="00A35FB4"/>
    <w:rsid w:val="00A4075F"/>
    <w:rsid w:val="00A41389"/>
    <w:rsid w:val="00A541D3"/>
    <w:rsid w:val="00A57DFF"/>
    <w:rsid w:val="00A61915"/>
    <w:rsid w:val="00A622D3"/>
    <w:rsid w:val="00A63D8E"/>
    <w:rsid w:val="00A6761D"/>
    <w:rsid w:val="00A70664"/>
    <w:rsid w:val="00A7099C"/>
    <w:rsid w:val="00A74E50"/>
    <w:rsid w:val="00A76A47"/>
    <w:rsid w:val="00A926F7"/>
    <w:rsid w:val="00A95B7B"/>
    <w:rsid w:val="00A970D3"/>
    <w:rsid w:val="00A972C1"/>
    <w:rsid w:val="00AA03A7"/>
    <w:rsid w:val="00AA117D"/>
    <w:rsid w:val="00AA1BE1"/>
    <w:rsid w:val="00AA49BF"/>
    <w:rsid w:val="00AA4A66"/>
    <w:rsid w:val="00AB0C25"/>
    <w:rsid w:val="00AB387C"/>
    <w:rsid w:val="00AB4DFA"/>
    <w:rsid w:val="00AB62C6"/>
    <w:rsid w:val="00AC0F62"/>
    <w:rsid w:val="00AC7934"/>
    <w:rsid w:val="00AD62EB"/>
    <w:rsid w:val="00AF07AF"/>
    <w:rsid w:val="00AF07D3"/>
    <w:rsid w:val="00AF1815"/>
    <w:rsid w:val="00AF2D03"/>
    <w:rsid w:val="00AF4F9C"/>
    <w:rsid w:val="00B0046C"/>
    <w:rsid w:val="00B024C7"/>
    <w:rsid w:val="00B03A65"/>
    <w:rsid w:val="00B04B13"/>
    <w:rsid w:val="00B070A7"/>
    <w:rsid w:val="00B10702"/>
    <w:rsid w:val="00B1251F"/>
    <w:rsid w:val="00B17B4C"/>
    <w:rsid w:val="00B20692"/>
    <w:rsid w:val="00B30884"/>
    <w:rsid w:val="00B35831"/>
    <w:rsid w:val="00B42ED8"/>
    <w:rsid w:val="00B432ED"/>
    <w:rsid w:val="00B47D22"/>
    <w:rsid w:val="00B5152D"/>
    <w:rsid w:val="00B529C3"/>
    <w:rsid w:val="00B57640"/>
    <w:rsid w:val="00B64042"/>
    <w:rsid w:val="00B65841"/>
    <w:rsid w:val="00B7078E"/>
    <w:rsid w:val="00B76286"/>
    <w:rsid w:val="00B77B43"/>
    <w:rsid w:val="00B805F1"/>
    <w:rsid w:val="00B95DCA"/>
    <w:rsid w:val="00BA2C7A"/>
    <w:rsid w:val="00BC0D6F"/>
    <w:rsid w:val="00BC1E30"/>
    <w:rsid w:val="00BC2DE4"/>
    <w:rsid w:val="00BD404D"/>
    <w:rsid w:val="00BD5715"/>
    <w:rsid w:val="00BD5CCC"/>
    <w:rsid w:val="00BD7B44"/>
    <w:rsid w:val="00BE0625"/>
    <w:rsid w:val="00BE29BF"/>
    <w:rsid w:val="00C00D25"/>
    <w:rsid w:val="00C016DC"/>
    <w:rsid w:val="00C02C09"/>
    <w:rsid w:val="00C110F0"/>
    <w:rsid w:val="00C12DF9"/>
    <w:rsid w:val="00C13DAD"/>
    <w:rsid w:val="00C175C7"/>
    <w:rsid w:val="00C24D01"/>
    <w:rsid w:val="00C25BB2"/>
    <w:rsid w:val="00C25DF3"/>
    <w:rsid w:val="00C267BA"/>
    <w:rsid w:val="00C3084F"/>
    <w:rsid w:val="00C31F55"/>
    <w:rsid w:val="00C324C1"/>
    <w:rsid w:val="00C33092"/>
    <w:rsid w:val="00C35BC8"/>
    <w:rsid w:val="00C40A1E"/>
    <w:rsid w:val="00C43AD2"/>
    <w:rsid w:val="00C45728"/>
    <w:rsid w:val="00C457AE"/>
    <w:rsid w:val="00C46903"/>
    <w:rsid w:val="00C50A52"/>
    <w:rsid w:val="00C52FFC"/>
    <w:rsid w:val="00C53210"/>
    <w:rsid w:val="00C609FE"/>
    <w:rsid w:val="00C7146B"/>
    <w:rsid w:val="00C7397E"/>
    <w:rsid w:val="00C7774C"/>
    <w:rsid w:val="00C85878"/>
    <w:rsid w:val="00C85FDA"/>
    <w:rsid w:val="00C937E8"/>
    <w:rsid w:val="00C95935"/>
    <w:rsid w:val="00CA1A39"/>
    <w:rsid w:val="00CA4768"/>
    <w:rsid w:val="00CC1AF4"/>
    <w:rsid w:val="00CC2C08"/>
    <w:rsid w:val="00CC5C7E"/>
    <w:rsid w:val="00CD607E"/>
    <w:rsid w:val="00CD7A07"/>
    <w:rsid w:val="00CE10C2"/>
    <w:rsid w:val="00CE2658"/>
    <w:rsid w:val="00CE40BE"/>
    <w:rsid w:val="00CE5A90"/>
    <w:rsid w:val="00CE7E60"/>
    <w:rsid w:val="00CF0224"/>
    <w:rsid w:val="00CF137C"/>
    <w:rsid w:val="00CF303D"/>
    <w:rsid w:val="00CF4433"/>
    <w:rsid w:val="00CF5264"/>
    <w:rsid w:val="00D048AC"/>
    <w:rsid w:val="00D13989"/>
    <w:rsid w:val="00D3032D"/>
    <w:rsid w:val="00D370E3"/>
    <w:rsid w:val="00D43460"/>
    <w:rsid w:val="00D444E6"/>
    <w:rsid w:val="00D5290E"/>
    <w:rsid w:val="00D55C96"/>
    <w:rsid w:val="00D601E3"/>
    <w:rsid w:val="00D62D32"/>
    <w:rsid w:val="00D669F1"/>
    <w:rsid w:val="00D71EEC"/>
    <w:rsid w:val="00D8663D"/>
    <w:rsid w:val="00DA1B86"/>
    <w:rsid w:val="00DA2132"/>
    <w:rsid w:val="00DA2366"/>
    <w:rsid w:val="00DA3AA6"/>
    <w:rsid w:val="00DA509C"/>
    <w:rsid w:val="00DA6AA7"/>
    <w:rsid w:val="00DB582F"/>
    <w:rsid w:val="00DB603D"/>
    <w:rsid w:val="00DC1DC0"/>
    <w:rsid w:val="00DC2271"/>
    <w:rsid w:val="00DC4248"/>
    <w:rsid w:val="00DC6245"/>
    <w:rsid w:val="00DD1E0D"/>
    <w:rsid w:val="00DD4D79"/>
    <w:rsid w:val="00DD7D02"/>
    <w:rsid w:val="00DE7DBD"/>
    <w:rsid w:val="00DF34D3"/>
    <w:rsid w:val="00DF40BE"/>
    <w:rsid w:val="00E00FB7"/>
    <w:rsid w:val="00E10B67"/>
    <w:rsid w:val="00E11E40"/>
    <w:rsid w:val="00E13652"/>
    <w:rsid w:val="00E1513A"/>
    <w:rsid w:val="00E16447"/>
    <w:rsid w:val="00E25646"/>
    <w:rsid w:val="00E278CE"/>
    <w:rsid w:val="00E3232A"/>
    <w:rsid w:val="00E35C00"/>
    <w:rsid w:val="00E379DC"/>
    <w:rsid w:val="00E42B26"/>
    <w:rsid w:val="00E55C7F"/>
    <w:rsid w:val="00E56A39"/>
    <w:rsid w:val="00E57438"/>
    <w:rsid w:val="00E70E1C"/>
    <w:rsid w:val="00E71656"/>
    <w:rsid w:val="00E73EEE"/>
    <w:rsid w:val="00E876EC"/>
    <w:rsid w:val="00E903F6"/>
    <w:rsid w:val="00E9217E"/>
    <w:rsid w:val="00E97649"/>
    <w:rsid w:val="00EA093D"/>
    <w:rsid w:val="00EA13F1"/>
    <w:rsid w:val="00EA2153"/>
    <w:rsid w:val="00EB3A79"/>
    <w:rsid w:val="00EE24C5"/>
    <w:rsid w:val="00EE2CA9"/>
    <w:rsid w:val="00F003C5"/>
    <w:rsid w:val="00F20713"/>
    <w:rsid w:val="00F27F53"/>
    <w:rsid w:val="00F3373C"/>
    <w:rsid w:val="00F33FD5"/>
    <w:rsid w:val="00F368F7"/>
    <w:rsid w:val="00F40160"/>
    <w:rsid w:val="00F47CA3"/>
    <w:rsid w:val="00F52318"/>
    <w:rsid w:val="00F5312B"/>
    <w:rsid w:val="00F5562F"/>
    <w:rsid w:val="00F618F8"/>
    <w:rsid w:val="00F6594E"/>
    <w:rsid w:val="00F67795"/>
    <w:rsid w:val="00F75C45"/>
    <w:rsid w:val="00F90225"/>
    <w:rsid w:val="00F92393"/>
    <w:rsid w:val="00F945A3"/>
    <w:rsid w:val="00F9484E"/>
    <w:rsid w:val="00F97A5C"/>
    <w:rsid w:val="00FA0E76"/>
    <w:rsid w:val="00FA2C21"/>
    <w:rsid w:val="00FA5F87"/>
    <w:rsid w:val="00FA6555"/>
    <w:rsid w:val="00FB02B5"/>
    <w:rsid w:val="00FB3B6D"/>
    <w:rsid w:val="00FB572E"/>
    <w:rsid w:val="00FB762B"/>
    <w:rsid w:val="00FC04B7"/>
    <w:rsid w:val="00FC269C"/>
    <w:rsid w:val="00FC5625"/>
    <w:rsid w:val="00FC7834"/>
    <w:rsid w:val="00FD018B"/>
    <w:rsid w:val="00FD677D"/>
    <w:rsid w:val="00FD6C51"/>
    <w:rsid w:val="00FE1B98"/>
    <w:rsid w:val="00FE7197"/>
    <w:rsid w:val="00FF1A75"/>
    <w:rsid w:val="00FF1BDF"/>
    <w:rsid w:val="00FF22AC"/>
    <w:rsid w:val="00FF7BE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BA32A"/>
  <w15:chartTrackingRefBased/>
  <w15:docId w15:val="{F69DF070-A602-495B-AB18-F3145C88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7C2"/>
    <w:rPr>
      <w:rFonts w:ascii="Times New Roman" w:eastAsia="Calibri" w:hAnsi="Times New Roman" w:cs="Times New Roman"/>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8E288B"/>
    <w:pPr>
      <w:spacing w:before="120"/>
    </w:pPr>
    <w:rPr>
      <w:rFonts w:ascii="Times New Roman" w:eastAsia="Times New Roman" w:hAnsi="Times New Roman" w:cs="Times New Roman"/>
      <w:lang w:val="en-US" w:eastAsia="en-US"/>
    </w:rPr>
  </w:style>
  <w:style w:type="paragraph" w:customStyle="1" w:styleId="1stparatext">
    <w:name w:val="1st para text"/>
    <w:basedOn w:val="BaseText"/>
    <w:rsid w:val="008E288B"/>
  </w:style>
  <w:style w:type="paragraph" w:customStyle="1" w:styleId="BaseHeading">
    <w:name w:val="Base_Heading"/>
    <w:rsid w:val="008E288B"/>
    <w:pPr>
      <w:keepNext/>
      <w:spacing w:before="240"/>
      <w:outlineLvl w:val="0"/>
    </w:pPr>
    <w:rPr>
      <w:rFonts w:ascii="Times New Roman" w:eastAsia="Times New Roman" w:hAnsi="Times New Roman" w:cs="Times New Roman"/>
      <w:kern w:val="28"/>
      <w:sz w:val="28"/>
      <w:szCs w:val="28"/>
      <w:lang w:val="en-US" w:eastAsia="en-US"/>
    </w:rPr>
  </w:style>
  <w:style w:type="paragraph" w:customStyle="1" w:styleId="AbstractHead">
    <w:name w:val="Abstract Head"/>
    <w:basedOn w:val="BaseHeading"/>
    <w:rsid w:val="008E288B"/>
  </w:style>
  <w:style w:type="paragraph" w:customStyle="1" w:styleId="AbstractSummary">
    <w:name w:val="Abstract/Summary"/>
    <w:basedOn w:val="BaseText"/>
    <w:rsid w:val="008E288B"/>
  </w:style>
  <w:style w:type="paragraph" w:customStyle="1" w:styleId="Referencesandnotes">
    <w:name w:val="References and notes"/>
    <w:basedOn w:val="BaseText"/>
    <w:rsid w:val="008E288B"/>
    <w:pPr>
      <w:ind w:left="720" w:hanging="720"/>
    </w:pPr>
  </w:style>
  <w:style w:type="paragraph" w:customStyle="1" w:styleId="Acknowledgement">
    <w:name w:val="Acknowledgement"/>
    <w:basedOn w:val="Referencesandnotes"/>
    <w:rsid w:val="008E288B"/>
  </w:style>
  <w:style w:type="paragraph" w:customStyle="1" w:styleId="Subhead">
    <w:name w:val="Subhead"/>
    <w:basedOn w:val="BaseHeading"/>
    <w:rsid w:val="008E288B"/>
    <w:rPr>
      <w:b/>
      <w:bCs/>
      <w:sz w:val="24"/>
      <w:szCs w:val="24"/>
    </w:rPr>
  </w:style>
  <w:style w:type="paragraph" w:customStyle="1" w:styleId="AppendixHead">
    <w:name w:val="AppendixHead"/>
    <w:basedOn w:val="Subhead"/>
    <w:rsid w:val="008E288B"/>
  </w:style>
  <w:style w:type="paragraph" w:customStyle="1" w:styleId="AppendixSubhead">
    <w:name w:val="AppendixSubhead"/>
    <w:basedOn w:val="Subhead"/>
    <w:rsid w:val="008E288B"/>
  </w:style>
  <w:style w:type="paragraph" w:customStyle="1" w:styleId="Articletype">
    <w:name w:val="Article type"/>
    <w:basedOn w:val="BaseText"/>
    <w:rsid w:val="008E288B"/>
  </w:style>
  <w:style w:type="character" w:customStyle="1" w:styleId="aubase">
    <w:name w:val="au_base"/>
    <w:rsid w:val="008E288B"/>
    <w:rPr>
      <w:sz w:val="24"/>
    </w:rPr>
  </w:style>
  <w:style w:type="character" w:customStyle="1" w:styleId="aucollab">
    <w:name w:val="au_collab"/>
    <w:rsid w:val="008E288B"/>
    <w:rPr>
      <w:sz w:val="24"/>
      <w:bdr w:val="none" w:sz="0" w:space="0" w:color="auto"/>
      <w:shd w:val="clear" w:color="auto" w:fill="C0C0C0"/>
    </w:rPr>
  </w:style>
  <w:style w:type="character" w:customStyle="1" w:styleId="audeg">
    <w:name w:val="au_deg"/>
    <w:rsid w:val="008E288B"/>
    <w:rPr>
      <w:sz w:val="24"/>
      <w:bdr w:val="none" w:sz="0" w:space="0" w:color="auto"/>
      <w:shd w:val="clear" w:color="auto" w:fill="FFFF00"/>
    </w:rPr>
  </w:style>
  <w:style w:type="character" w:customStyle="1" w:styleId="aufname">
    <w:name w:val="au_fname"/>
    <w:rsid w:val="008E288B"/>
    <w:rPr>
      <w:sz w:val="24"/>
      <w:bdr w:val="none" w:sz="0" w:space="0" w:color="auto"/>
      <w:shd w:val="clear" w:color="auto" w:fill="00FFFF"/>
    </w:rPr>
  </w:style>
  <w:style w:type="character" w:customStyle="1" w:styleId="aurole">
    <w:name w:val="au_role"/>
    <w:rsid w:val="008E288B"/>
    <w:rPr>
      <w:sz w:val="24"/>
      <w:bdr w:val="none" w:sz="0" w:space="0" w:color="auto"/>
      <w:shd w:val="clear" w:color="auto" w:fill="808000"/>
    </w:rPr>
  </w:style>
  <w:style w:type="character" w:customStyle="1" w:styleId="ausuffix">
    <w:name w:val="au_suffix"/>
    <w:rsid w:val="008E288B"/>
    <w:rPr>
      <w:sz w:val="24"/>
      <w:bdr w:val="none" w:sz="0" w:space="0" w:color="auto"/>
      <w:shd w:val="clear" w:color="auto" w:fill="FF00FF"/>
    </w:rPr>
  </w:style>
  <w:style w:type="character" w:customStyle="1" w:styleId="ausurname">
    <w:name w:val="au_surname"/>
    <w:rsid w:val="008E288B"/>
    <w:rPr>
      <w:sz w:val="24"/>
      <w:bdr w:val="none" w:sz="0" w:space="0" w:color="auto"/>
      <w:shd w:val="clear" w:color="auto" w:fill="00FF00"/>
    </w:rPr>
  </w:style>
  <w:style w:type="paragraph" w:customStyle="1" w:styleId="AuthorAttribute">
    <w:name w:val="Author Attribute"/>
    <w:basedOn w:val="BaseText"/>
    <w:rsid w:val="008E288B"/>
    <w:pPr>
      <w:spacing w:before="480"/>
    </w:pPr>
  </w:style>
  <w:style w:type="paragraph" w:customStyle="1" w:styleId="Footnote">
    <w:name w:val="Footnote"/>
    <w:basedOn w:val="BaseText"/>
    <w:rsid w:val="008E288B"/>
  </w:style>
  <w:style w:type="paragraph" w:customStyle="1" w:styleId="AuthorFootnote">
    <w:name w:val="AuthorFootnote"/>
    <w:basedOn w:val="Footnote"/>
    <w:rsid w:val="008E288B"/>
    <w:pPr>
      <w:autoSpaceDE w:val="0"/>
      <w:autoSpaceDN w:val="0"/>
      <w:adjustRightInd w:val="0"/>
    </w:pPr>
    <w:rPr>
      <w:lang w:bidi="he-IL"/>
    </w:rPr>
  </w:style>
  <w:style w:type="paragraph" w:customStyle="1" w:styleId="Authors">
    <w:name w:val="Authors"/>
    <w:basedOn w:val="BaseText"/>
    <w:rsid w:val="008E288B"/>
    <w:pPr>
      <w:spacing w:after="360"/>
      <w:jc w:val="center"/>
    </w:pPr>
  </w:style>
  <w:style w:type="paragraph" w:styleId="BalloonText">
    <w:name w:val="Balloon Text"/>
    <w:basedOn w:val="Normal"/>
    <w:link w:val="BalloonTextChar"/>
    <w:semiHidden/>
    <w:rsid w:val="008E288B"/>
    <w:rPr>
      <w:rFonts w:ascii="Lucida Grande" w:eastAsia="Times New Roman" w:hAnsi="Lucida Grande"/>
      <w:sz w:val="18"/>
      <w:szCs w:val="18"/>
    </w:rPr>
  </w:style>
  <w:style w:type="character" w:customStyle="1" w:styleId="BalloonTextChar">
    <w:name w:val="Balloon Text Char"/>
    <w:basedOn w:val="DefaultParagraphFont"/>
    <w:link w:val="BalloonText"/>
    <w:semiHidden/>
    <w:rsid w:val="008E288B"/>
    <w:rPr>
      <w:rFonts w:ascii="Lucida Grande" w:eastAsia="Times New Roman" w:hAnsi="Lucida Grande" w:cs="Times New Roman"/>
      <w:sz w:val="18"/>
      <w:szCs w:val="18"/>
      <w:lang w:val="en-US" w:eastAsia="en-US"/>
    </w:rPr>
  </w:style>
  <w:style w:type="character" w:customStyle="1" w:styleId="bibarticle">
    <w:name w:val="bib_article"/>
    <w:rsid w:val="008E288B"/>
    <w:rPr>
      <w:sz w:val="24"/>
      <w:bdr w:val="none" w:sz="0" w:space="0" w:color="auto"/>
      <w:shd w:val="clear" w:color="auto" w:fill="00FFFF"/>
    </w:rPr>
  </w:style>
  <w:style w:type="character" w:customStyle="1" w:styleId="bibbase">
    <w:name w:val="bib_base"/>
    <w:rsid w:val="008E288B"/>
    <w:rPr>
      <w:sz w:val="24"/>
    </w:rPr>
  </w:style>
  <w:style w:type="character" w:customStyle="1" w:styleId="bibcomment">
    <w:name w:val="bib_comment"/>
    <w:basedOn w:val="bibbase"/>
    <w:rsid w:val="008E288B"/>
    <w:rPr>
      <w:sz w:val="24"/>
    </w:rPr>
  </w:style>
  <w:style w:type="character" w:customStyle="1" w:styleId="bibdeg">
    <w:name w:val="bib_deg"/>
    <w:basedOn w:val="bibbase"/>
    <w:rsid w:val="008E288B"/>
    <w:rPr>
      <w:sz w:val="24"/>
    </w:rPr>
  </w:style>
  <w:style w:type="character" w:customStyle="1" w:styleId="bibdoi">
    <w:name w:val="bib_doi"/>
    <w:rsid w:val="008E288B"/>
    <w:rPr>
      <w:sz w:val="24"/>
      <w:bdr w:val="none" w:sz="0" w:space="0" w:color="auto"/>
      <w:shd w:val="clear" w:color="auto" w:fill="00FF00"/>
    </w:rPr>
  </w:style>
  <w:style w:type="character" w:customStyle="1" w:styleId="bibetal">
    <w:name w:val="bib_etal"/>
    <w:rsid w:val="008E288B"/>
    <w:rPr>
      <w:sz w:val="24"/>
      <w:bdr w:val="none" w:sz="0" w:space="0" w:color="auto"/>
      <w:shd w:val="clear" w:color="auto" w:fill="008080"/>
    </w:rPr>
  </w:style>
  <w:style w:type="character" w:customStyle="1" w:styleId="bibfname">
    <w:name w:val="bib_fname"/>
    <w:rsid w:val="008E288B"/>
    <w:rPr>
      <w:sz w:val="24"/>
      <w:bdr w:val="none" w:sz="0" w:space="0" w:color="auto"/>
      <w:shd w:val="clear" w:color="auto" w:fill="FFFF00"/>
    </w:rPr>
  </w:style>
  <w:style w:type="character" w:customStyle="1" w:styleId="bibfpage">
    <w:name w:val="bib_fpage"/>
    <w:rsid w:val="008E288B"/>
    <w:rPr>
      <w:sz w:val="24"/>
      <w:bdr w:val="none" w:sz="0" w:space="0" w:color="auto"/>
      <w:shd w:val="clear" w:color="auto" w:fill="808080"/>
    </w:rPr>
  </w:style>
  <w:style w:type="character" w:customStyle="1" w:styleId="bibissue">
    <w:name w:val="bib_issue"/>
    <w:rsid w:val="008E288B"/>
    <w:rPr>
      <w:sz w:val="24"/>
      <w:bdr w:val="none" w:sz="0" w:space="0" w:color="auto"/>
      <w:shd w:val="clear" w:color="auto" w:fill="FFFF00"/>
    </w:rPr>
  </w:style>
  <w:style w:type="character" w:customStyle="1" w:styleId="bibjournal">
    <w:name w:val="bib_journal"/>
    <w:rsid w:val="008E288B"/>
    <w:rPr>
      <w:sz w:val="24"/>
      <w:bdr w:val="none" w:sz="0" w:space="0" w:color="auto"/>
      <w:shd w:val="clear" w:color="auto" w:fill="808000"/>
    </w:rPr>
  </w:style>
  <w:style w:type="character" w:customStyle="1" w:styleId="biblpage">
    <w:name w:val="bib_lpage"/>
    <w:rsid w:val="008E288B"/>
    <w:rPr>
      <w:sz w:val="24"/>
      <w:bdr w:val="none" w:sz="0" w:space="0" w:color="auto"/>
      <w:shd w:val="clear" w:color="auto" w:fill="808080"/>
    </w:rPr>
  </w:style>
  <w:style w:type="character" w:customStyle="1" w:styleId="bibmedline">
    <w:name w:val="bib_medline"/>
    <w:basedOn w:val="bibbase"/>
    <w:rsid w:val="008E288B"/>
    <w:rPr>
      <w:sz w:val="24"/>
    </w:rPr>
  </w:style>
  <w:style w:type="character" w:customStyle="1" w:styleId="bibnumber">
    <w:name w:val="bib_number"/>
    <w:basedOn w:val="bibbase"/>
    <w:rsid w:val="008E288B"/>
    <w:rPr>
      <w:sz w:val="24"/>
    </w:rPr>
  </w:style>
  <w:style w:type="character" w:customStyle="1" w:styleId="biborganization">
    <w:name w:val="bib_organization"/>
    <w:rsid w:val="008E288B"/>
    <w:rPr>
      <w:sz w:val="24"/>
      <w:bdr w:val="none" w:sz="0" w:space="0" w:color="auto"/>
      <w:shd w:val="clear" w:color="auto" w:fill="808000"/>
    </w:rPr>
  </w:style>
  <w:style w:type="character" w:customStyle="1" w:styleId="bibsuffix">
    <w:name w:val="bib_suffix"/>
    <w:basedOn w:val="bibbase"/>
    <w:rsid w:val="008E288B"/>
    <w:rPr>
      <w:sz w:val="24"/>
    </w:rPr>
  </w:style>
  <w:style w:type="character" w:customStyle="1" w:styleId="bibsuppl">
    <w:name w:val="bib_suppl"/>
    <w:rsid w:val="008E288B"/>
    <w:rPr>
      <w:sz w:val="24"/>
      <w:bdr w:val="none" w:sz="0" w:space="0" w:color="auto"/>
      <w:shd w:val="clear" w:color="auto" w:fill="FFFF00"/>
    </w:rPr>
  </w:style>
  <w:style w:type="character" w:customStyle="1" w:styleId="bibsurname">
    <w:name w:val="bib_surname"/>
    <w:rsid w:val="008E288B"/>
    <w:rPr>
      <w:sz w:val="24"/>
      <w:bdr w:val="none" w:sz="0" w:space="0" w:color="auto"/>
      <w:shd w:val="clear" w:color="auto" w:fill="FFFF00"/>
    </w:rPr>
  </w:style>
  <w:style w:type="character" w:customStyle="1" w:styleId="bibunpubl">
    <w:name w:val="bib_unpubl"/>
    <w:basedOn w:val="bibbase"/>
    <w:rsid w:val="008E288B"/>
    <w:rPr>
      <w:sz w:val="24"/>
    </w:rPr>
  </w:style>
  <w:style w:type="character" w:customStyle="1" w:styleId="biburl">
    <w:name w:val="bib_url"/>
    <w:rsid w:val="008E288B"/>
    <w:rPr>
      <w:sz w:val="24"/>
      <w:bdr w:val="none" w:sz="0" w:space="0" w:color="auto"/>
      <w:shd w:val="clear" w:color="auto" w:fill="00FF00"/>
    </w:rPr>
  </w:style>
  <w:style w:type="character" w:customStyle="1" w:styleId="bibvolume">
    <w:name w:val="bib_volume"/>
    <w:rsid w:val="008E288B"/>
    <w:rPr>
      <w:sz w:val="24"/>
      <w:bdr w:val="none" w:sz="0" w:space="0" w:color="auto"/>
      <w:shd w:val="clear" w:color="auto" w:fill="00FF00"/>
    </w:rPr>
  </w:style>
  <w:style w:type="character" w:customStyle="1" w:styleId="bibyear">
    <w:name w:val="bib_year"/>
    <w:rsid w:val="008E288B"/>
    <w:rPr>
      <w:sz w:val="24"/>
      <w:bdr w:val="none" w:sz="0" w:space="0" w:color="auto"/>
      <w:shd w:val="clear" w:color="auto" w:fill="FF00FF"/>
    </w:rPr>
  </w:style>
  <w:style w:type="paragraph" w:customStyle="1" w:styleId="BookorMeetingInformation">
    <w:name w:val="Book or Meeting Information"/>
    <w:basedOn w:val="BaseText"/>
    <w:rsid w:val="008E288B"/>
  </w:style>
  <w:style w:type="paragraph" w:customStyle="1" w:styleId="BookInformation">
    <w:name w:val="BookInformation"/>
    <w:basedOn w:val="BaseText"/>
    <w:rsid w:val="008E288B"/>
  </w:style>
  <w:style w:type="paragraph" w:customStyle="1" w:styleId="Level2Head">
    <w:name w:val="Level 2 Head"/>
    <w:basedOn w:val="BaseHeading"/>
    <w:rsid w:val="008E288B"/>
    <w:pPr>
      <w:outlineLvl w:val="1"/>
    </w:pPr>
    <w:rPr>
      <w:i/>
      <w:iCs/>
      <w:sz w:val="24"/>
      <w:szCs w:val="24"/>
    </w:rPr>
  </w:style>
  <w:style w:type="paragraph" w:customStyle="1" w:styleId="BoxLevel2Head">
    <w:name w:val="BoxLevel 2 Head"/>
    <w:basedOn w:val="Level2Head"/>
    <w:rsid w:val="008E288B"/>
    <w:pPr>
      <w:shd w:val="clear" w:color="auto" w:fill="E6E6E6"/>
    </w:pPr>
  </w:style>
  <w:style w:type="paragraph" w:customStyle="1" w:styleId="BoxListUnnumbered">
    <w:name w:val="BoxListUnnumbered"/>
    <w:basedOn w:val="BaseText"/>
    <w:rsid w:val="008E288B"/>
    <w:pPr>
      <w:shd w:val="clear" w:color="auto" w:fill="E6E6E6"/>
      <w:ind w:left="1080" w:hanging="360"/>
    </w:pPr>
  </w:style>
  <w:style w:type="paragraph" w:customStyle="1" w:styleId="BoxList">
    <w:name w:val="BoxList"/>
    <w:basedOn w:val="BoxListUnnumbered"/>
    <w:rsid w:val="008E288B"/>
  </w:style>
  <w:style w:type="paragraph" w:customStyle="1" w:styleId="BoxSubhead">
    <w:name w:val="BoxSubhead"/>
    <w:basedOn w:val="Subhead"/>
    <w:rsid w:val="008E288B"/>
    <w:pPr>
      <w:shd w:val="clear" w:color="auto" w:fill="E6E6E6"/>
    </w:pPr>
  </w:style>
  <w:style w:type="paragraph" w:customStyle="1" w:styleId="Paragraph">
    <w:name w:val="Paragraph"/>
    <w:basedOn w:val="BaseText"/>
    <w:rsid w:val="008E288B"/>
    <w:pPr>
      <w:ind w:firstLine="720"/>
    </w:pPr>
  </w:style>
  <w:style w:type="paragraph" w:customStyle="1" w:styleId="BoxText">
    <w:name w:val="BoxText"/>
    <w:basedOn w:val="Paragraph"/>
    <w:rsid w:val="008E288B"/>
    <w:pPr>
      <w:shd w:val="clear" w:color="auto" w:fill="E6E6E6"/>
    </w:pPr>
  </w:style>
  <w:style w:type="paragraph" w:customStyle="1" w:styleId="BoxTitle">
    <w:name w:val="BoxTitle"/>
    <w:basedOn w:val="BaseHeading"/>
    <w:rsid w:val="008E288B"/>
    <w:pPr>
      <w:shd w:val="clear" w:color="auto" w:fill="E6E6E6"/>
    </w:pPr>
    <w:rPr>
      <w:b/>
      <w:sz w:val="24"/>
      <w:szCs w:val="24"/>
    </w:rPr>
  </w:style>
  <w:style w:type="paragraph" w:customStyle="1" w:styleId="BulletedText">
    <w:name w:val="Bulleted Text"/>
    <w:basedOn w:val="BaseText"/>
    <w:rsid w:val="008E288B"/>
    <w:pPr>
      <w:ind w:left="720" w:hanging="720"/>
    </w:pPr>
  </w:style>
  <w:style w:type="paragraph" w:customStyle="1" w:styleId="career-magazine">
    <w:name w:val="career-magazine"/>
    <w:basedOn w:val="BaseText"/>
    <w:rsid w:val="008E288B"/>
    <w:pPr>
      <w:jc w:val="right"/>
    </w:pPr>
    <w:rPr>
      <w:color w:val="FF0000"/>
    </w:rPr>
  </w:style>
  <w:style w:type="paragraph" w:customStyle="1" w:styleId="career-stage">
    <w:name w:val="career-stage"/>
    <w:basedOn w:val="BaseText"/>
    <w:rsid w:val="008E288B"/>
    <w:pPr>
      <w:jc w:val="right"/>
    </w:pPr>
    <w:rPr>
      <w:color w:val="339966"/>
    </w:rPr>
  </w:style>
  <w:style w:type="character" w:customStyle="1" w:styleId="citebase">
    <w:name w:val="cite_base"/>
    <w:rsid w:val="008E288B"/>
    <w:rPr>
      <w:sz w:val="24"/>
    </w:rPr>
  </w:style>
  <w:style w:type="character" w:customStyle="1" w:styleId="citebib">
    <w:name w:val="cite_bib"/>
    <w:rsid w:val="008E288B"/>
    <w:rPr>
      <w:sz w:val="24"/>
      <w:bdr w:val="none" w:sz="0" w:space="0" w:color="auto"/>
      <w:shd w:val="clear" w:color="auto" w:fill="00FFFF"/>
    </w:rPr>
  </w:style>
  <w:style w:type="character" w:customStyle="1" w:styleId="citebox">
    <w:name w:val="cite_box"/>
    <w:basedOn w:val="citebase"/>
    <w:rsid w:val="008E288B"/>
    <w:rPr>
      <w:sz w:val="24"/>
    </w:rPr>
  </w:style>
  <w:style w:type="character" w:customStyle="1" w:styleId="citeen">
    <w:name w:val="cite_en"/>
    <w:rsid w:val="008E288B"/>
    <w:rPr>
      <w:sz w:val="24"/>
      <w:shd w:val="clear" w:color="auto" w:fill="FFFF00"/>
      <w:vertAlign w:val="superscript"/>
    </w:rPr>
  </w:style>
  <w:style w:type="character" w:customStyle="1" w:styleId="citeeq">
    <w:name w:val="cite_eq"/>
    <w:rsid w:val="008E288B"/>
    <w:rPr>
      <w:sz w:val="24"/>
      <w:bdr w:val="none" w:sz="0" w:space="0" w:color="auto"/>
      <w:shd w:val="clear" w:color="auto" w:fill="FF99CC"/>
    </w:rPr>
  </w:style>
  <w:style w:type="character" w:customStyle="1" w:styleId="citefig">
    <w:name w:val="cite_fig"/>
    <w:rsid w:val="008E288B"/>
    <w:rPr>
      <w:color w:val="000000"/>
      <w:sz w:val="24"/>
      <w:bdr w:val="none" w:sz="0" w:space="0" w:color="auto"/>
      <w:shd w:val="clear" w:color="auto" w:fill="00FF00"/>
    </w:rPr>
  </w:style>
  <w:style w:type="character" w:customStyle="1" w:styleId="citefn">
    <w:name w:val="cite_fn"/>
    <w:rsid w:val="008E288B"/>
    <w:rPr>
      <w:sz w:val="24"/>
      <w:bdr w:val="none" w:sz="0" w:space="0" w:color="auto"/>
      <w:shd w:val="clear" w:color="auto" w:fill="FF0000"/>
    </w:rPr>
  </w:style>
  <w:style w:type="character" w:customStyle="1" w:styleId="citetbl">
    <w:name w:val="cite_tbl"/>
    <w:rsid w:val="008E288B"/>
    <w:rPr>
      <w:color w:val="000000"/>
      <w:sz w:val="24"/>
      <w:bdr w:val="none" w:sz="0" w:space="0" w:color="auto"/>
      <w:shd w:val="clear" w:color="auto" w:fill="FF00FF"/>
    </w:rPr>
  </w:style>
  <w:style w:type="character" w:styleId="CommentReference">
    <w:name w:val="annotation reference"/>
    <w:rsid w:val="008E288B"/>
    <w:rPr>
      <w:sz w:val="18"/>
      <w:szCs w:val="18"/>
    </w:rPr>
  </w:style>
  <w:style w:type="paragraph" w:styleId="CommentText">
    <w:name w:val="annotation text"/>
    <w:basedOn w:val="Normal"/>
    <w:link w:val="CommentTextChar"/>
    <w:semiHidden/>
    <w:rsid w:val="008E288B"/>
    <w:rPr>
      <w:rFonts w:eastAsia="Times New Roman"/>
    </w:rPr>
  </w:style>
  <w:style w:type="character" w:customStyle="1" w:styleId="CommentTextChar">
    <w:name w:val="Comment Text Char"/>
    <w:basedOn w:val="DefaultParagraphFont"/>
    <w:link w:val="CommentText"/>
    <w:semiHidden/>
    <w:rsid w:val="008E288B"/>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8E288B"/>
    <w:rPr>
      <w:b/>
      <w:bCs/>
    </w:rPr>
  </w:style>
  <w:style w:type="character" w:customStyle="1" w:styleId="CommentSubjectChar">
    <w:name w:val="Comment Subject Char"/>
    <w:basedOn w:val="CommentTextChar"/>
    <w:link w:val="CommentSubject"/>
    <w:uiPriority w:val="99"/>
    <w:semiHidden/>
    <w:rsid w:val="008E288B"/>
    <w:rPr>
      <w:rFonts w:ascii="Times New Roman" w:eastAsia="Times New Roman" w:hAnsi="Times New Roman" w:cs="Times New Roman"/>
      <w:b/>
      <w:bCs/>
      <w:sz w:val="20"/>
      <w:szCs w:val="20"/>
      <w:lang w:val="en-US" w:eastAsia="en-US"/>
    </w:rPr>
  </w:style>
  <w:style w:type="paragraph" w:customStyle="1" w:styleId="ContinuedParagraph">
    <w:name w:val="ContinuedParagraph"/>
    <w:basedOn w:val="Paragraph"/>
    <w:rsid w:val="008E288B"/>
    <w:pPr>
      <w:ind w:firstLine="0"/>
    </w:pPr>
  </w:style>
  <w:style w:type="character" w:customStyle="1" w:styleId="ContractNumber">
    <w:name w:val="Contract Number"/>
    <w:rsid w:val="008E288B"/>
    <w:rPr>
      <w:sz w:val="24"/>
      <w:szCs w:val="24"/>
      <w:bdr w:val="none" w:sz="0" w:space="0" w:color="auto"/>
      <w:shd w:val="clear" w:color="auto" w:fill="CCFFCC"/>
    </w:rPr>
  </w:style>
  <w:style w:type="character" w:customStyle="1" w:styleId="ContractSponsor">
    <w:name w:val="Contract Sponsor"/>
    <w:rsid w:val="008E288B"/>
    <w:rPr>
      <w:sz w:val="24"/>
      <w:szCs w:val="24"/>
      <w:bdr w:val="none" w:sz="0" w:space="0" w:color="auto"/>
      <w:shd w:val="clear" w:color="auto" w:fill="FFCC99"/>
    </w:rPr>
  </w:style>
  <w:style w:type="paragraph" w:customStyle="1" w:styleId="Correspondence">
    <w:name w:val="Correspondence"/>
    <w:basedOn w:val="BaseText"/>
    <w:rsid w:val="008E288B"/>
    <w:pPr>
      <w:spacing w:before="0" w:after="240"/>
    </w:pPr>
  </w:style>
  <w:style w:type="paragraph" w:customStyle="1" w:styleId="DateAccepted">
    <w:name w:val="Date Accepted"/>
    <w:basedOn w:val="BaseText"/>
    <w:rsid w:val="008E288B"/>
    <w:pPr>
      <w:spacing w:before="360"/>
    </w:pPr>
  </w:style>
  <w:style w:type="paragraph" w:customStyle="1" w:styleId="Deck">
    <w:name w:val="Deck"/>
    <w:basedOn w:val="BaseHeading"/>
    <w:rsid w:val="008E288B"/>
    <w:pPr>
      <w:outlineLvl w:val="1"/>
    </w:pPr>
  </w:style>
  <w:style w:type="paragraph" w:customStyle="1" w:styleId="DefTerm">
    <w:name w:val="DefTerm"/>
    <w:basedOn w:val="BaseText"/>
    <w:rsid w:val="008E288B"/>
    <w:pPr>
      <w:ind w:left="720"/>
    </w:pPr>
  </w:style>
  <w:style w:type="paragraph" w:customStyle="1" w:styleId="Definition">
    <w:name w:val="Definition"/>
    <w:basedOn w:val="DefTerm"/>
    <w:rsid w:val="008E288B"/>
    <w:pPr>
      <w:ind w:left="1080" w:hanging="360"/>
    </w:pPr>
  </w:style>
  <w:style w:type="paragraph" w:customStyle="1" w:styleId="DefListTitle">
    <w:name w:val="DefListTitle"/>
    <w:basedOn w:val="BaseHeading"/>
    <w:rsid w:val="008E288B"/>
  </w:style>
  <w:style w:type="paragraph" w:customStyle="1" w:styleId="discipline">
    <w:name w:val="discipline"/>
    <w:basedOn w:val="BaseText"/>
    <w:rsid w:val="008E288B"/>
    <w:pPr>
      <w:jc w:val="right"/>
    </w:pPr>
    <w:rPr>
      <w:color w:val="993366"/>
    </w:rPr>
  </w:style>
  <w:style w:type="paragraph" w:customStyle="1" w:styleId="Editors">
    <w:name w:val="Editors"/>
    <w:basedOn w:val="Authors"/>
    <w:rsid w:val="008E288B"/>
  </w:style>
  <w:style w:type="character" w:styleId="Emphasis">
    <w:name w:val="Emphasis"/>
    <w:uiPriority w:val="20"/>
    <w:qFormat/>
    <w:rsid w:val="008E288B"/>
    <w:rPr>
      <w:i/>
      <w:iCs/>
    </w:rPr>
  </w:style>
  <w:style w:type="character" w:styleId="EndnoteReference">
    <w:name w:val="endnote reference"/>
    <w:semiHidden/>
    <w:rsid w:val="008E288B"/>
    <w:rPr>
      <w:vertAlign w:val="superscript"/>
    </w:rPr>
  </w:style>
  <w:style w:type="paragraph" w:styleId="EndnoteText">
    <w:name w:val="endnote text"/>
    <w:basedOn w:val="Normal"/>
    <w:link w:val="EndnoteTextChar"/>
    <w:semiHidden/>
    <w:rsid w:val="008E288B"/>
    <w:rPr>
      <w:rFonts w:ascii="Cambria" w:eastAsia="Cambria" w:hAnsi="Cambria"/>
    </w:rPr>
  </w:style>
  <w:style w:type="character" w:customStyle="1" w:styleId="EndnoteTextChar">
    <w:name w:val="Endnote Text Char"/>
    <w:basedOn w:val="DefaultParagraphFont"/>
    <w:link w:val="EndnoteText"/>
    <w:semiHidden/>
    <w:rsid w:val="008E288B"/>
    <w:rPr>
      <w:rFonts w:ascii="Cambria" w:eastAsia="Cambria" w:hAnsi="Cambria" w:cs="Times New Roman"/>
      <w:sz w:val="20"/>
      <w:szCs w:val="20"/>
      <w:lang w:val="en-US" w:eastAsia="en-US"/>
    </w:rPr>
  </w:style>
  <w:style w:type="character" w:customStyle="1" w:styleId="eqno">
    <w:name w:val="eq_no"/>
    <w:basedOn w:val="citebase"/>
    <w:rsid w:val="008E288B"/>
    <w:rPr>
      <w:sz w:val="24"/>
    </w:rPr>
  </w:style>
  <w:style w:type="paragraph" w:customStyle="1" w:styleId="Equation">
    <w:name w:val="Equation"/>
    <w:basedOn w:val="BaseText"/>
    <w:rsid w:val="008E288B"/>
    <w:pPr>
      <w:jc w:val="center"/>
    </w:pPr>
  </w:style>
  <w:style w:type="paragraph" w:customStyle="1" w:styleId="FieldCodes">
    <w:name w:val="FieldCodes"/>
    <w:basedOn w:val="BaseText"/>
    <w:rsid w:val="008E288B"/>
  </w:style>
  <w:style w:type="paragraph" w:customStyle="1" w:styleId="Legend">
    <w:name w:val="Legend"/>
    <w:basedOn w:val="BaseHeading"/>
    <w:rsid w:val="008E288B"/>
    <w:rPr>
      <w:sz w:val="24"/>
      <w:szCs w:val="24"/>
    </w:rPr>
  </w:style>
  <w:style w:type="paragraph" w:customStyle="1" w:styleId="FigureCopyright">
    <w:name w:val="FigureCopyright"/>
    <w:basedOn w:val="Legend"/>
    <w:rsid w:val="008E288B"/>
    <w:pPr>
      <w:autoSpaceDE w:val="0"/>
      <w:autoSpaceDN w:val="0"/>
      <w:adjustRightInd w:val="0"/>
      <w:spacing w:before="80"/>
    </w:pPr>
    <w:rPr>
      <w:lang w:bidi="he-IL"/>
    </w:rPr>
  </w:style>
  <w:style w:type="paragraph" w:customStyle="1" w:styleId="FigureCredit">
    <w:name w:val="FigureCredit"/>
    <w:basedOn w:val="FigureCopyright"/>
    <w:rsid w:val="008E288B"/>
  </w:style>
  <w:style w:type="character" w:styleId="FollowedHyperlink">
    <w:name w:val="FollowedHyperlink"/>
    <w:rsid w:val="008E288B"/>
    <w:rPr>
      <w:color w:val="800080"/>
      <w:u w:val="single"/>
    </w:rPr>
  </w:style>
  <w:style w:type="paragraph" w:styleId="Footer">
    <w:name w:val="footer"/>
    <w:basedOn w:val="Normal"/>
    <w:link w:val="FooterChar"/>
    <w:uiPriority w:val="99"/>
    <w:rsid w:val="008E288B"/>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8E288B"/>
    <w:rPr>
      <w:rFonts w:ascii="Times New Roman" w:eastAsia="Times New Roman" w:hAnsi="Times New Roman" w:cs="Times New Roman"/>
      <w:sz w:val="20"/>
      <w:szCs w:val="20"/>
      <w:lang w:val="en-US" w:eastAsia="en-US"/>
    </w:rPr>
  </w:style>
  <w:style w:type="character" w:styleId="FootnoteReference">
    <w:name w:val="footnote reference"/>
    <w:semiHidden/>
    <w:rsid w:val="008E288B"/>
    <w:rPr>
      <w:vertAlign w:val="superscript"/>
    </w:rPr>
  </w:style>
  <w:style w:type="paragraph" w:customStyle="1" w:styleId="Gloss">
    <w:name w:val="Gloss"/>
    <w:basedOn w:val="AbstractSummary"/>
    <w:rsid w:val="008E288B"/>
  </w:style>
  <w:style w:type="paragraph" w:customStyle="1" w:styleId="Glossary">
    <w:name w:val="Glossary"/>
    <w:basedOn w:val="BaseText"/>
    <w:rsid w:val="008E288B"/>
  </w:style>
  <w:style w:type="paragraph" w:customStyle="1" w:styleId="GlossHead">
    <w:name w:val="GlossHead"/>
    <w:basedOn w:val="AbstractHead"/>
    <w:rsid w:val="008E288B"/>
  </w:style>
  <w:style w:type="paragraph" w:customStyle="1" w:styleId="GraphicAltText">
    <w:name w:val="GraphicAltText"/>
    <w:basedOn w:val="Legend"/>
    <w:rsid w:val="008E288B"/>
    <w:pPr>
      <w:autoSpaceDE w:val="0"/>
      <w:autoSpaceDN w:val="0"/>
      <w:adjustRightInd w:val="0"/>
    </w:pPr>
  </w:style>
  <w:style w:type="paragraph" w:customStyle="1" w:styleId="GraphicCredit">
    <w:name w:val="GraphicCredit"/>
    <w:basedOn w:val="FigureCredit"/>
    <w:rsid w:val="008E288B"/>
  </w:style>
  <w:style w:type="paragraph" w:customStyle="1" w:styleId="Head">
    <w:name w:val="Head"/>
    <w:basedOn w:val="BaseHeading"/>
    <w:rsid w:val="008E288B"/>
    <w:pPr>
      <w:spacing w:before="120" w:after="120"/>
      <w:jc w:val="center"/>
    </w:pPr>
    <w:rPr>
      <w:b/>
      <w:bCs/>
    </w:rPr>
  </w:style>
  <w:style w:type="paragraph" w:styleId="Header">
    <w:name w:val="header"/>
    <w:basedOn w:val="Normal"/>
    <w:link w:val="HeaderChar"/>
    <w:rsid w:val="008E288B"/>
    <w:pPr>
      <w:tabs>
        <w:tab w:val="center" w:pos="4320"/>
        <w:tab w:val="right" w:pos="8640"/>
      </w:tabs>
    </w:pPr>
    <w:rPr>
      <w:rFonts w:eastAsia="Times New Roman"/>
    </w:rPr>
  </w:style>
  <w:style w:type="character" w:customStyle="1" w:styleId="HeaderChar">
    <w:name w:val="Header Char"/>
    <w:basedOn w:val="DefaultParagraphFont"/>
    <w:link w:val="Header"/>
    <w:rsid w:val="008E288B"/>
    <w:rPr>
      <w:rFonts w:ascii="Times New Roman" w:eastAsia="Times New Roman" w:hAnsi="Times New Roman" w:cs="Times New Roman"/>
      <w:sz w:val="20"/>
      <w:szCs w:val="20"/>
      <w:lang w:val="en-US" w:eastAsia="en-US"/>
    </w:rPr>
  </w:style>
  <w:style w:type="character" w:styleId="HTMLAcronym">
    <w:name w:val="HTML Acronym"/>
    <w:basedOn w:val="DefaultParagraphFont"/>
    <w:rsid w:val="008E288B"/>
  </w:style>
  <w:style w:type="character" w:styleId="HTMLCite">
    <w:name w:val="HTML Cite"/>
    <w:rsid w:val="008E288B"/>
    <w:rPr>
      <w:i/>
      <w:iCs/>
    </w:rPr>
  </w:style>
  <w:style w:type="character" w:styleId="HTMLCode">
    <w:name w:val="HTML Code"/>
    <w:rsid w:val="008E288B"/>
    <w:rPr>
      <w:rFonts w:ascii="Courier New" w:hAnsi="Courier New" w:cs="Courier New"/>
      <w:sz w:val="20"/>
      <w:szCs w:val="20"/>
    </w:rPr>
  </w:style>
  <w:style w:type="character" w:styleId="HTMLDefinition">
    <w:name w:val="HTML Definition"/>
    <w:rsid w:val="008E288B"/>
    <w:rPr>
      <w:i/>
      <w:iCs/>
    </w:rPr>
  </w:style>
  <w:style w:type="character" w:styleId="HTMLKeyboard">
    <w:name w:val="HTML Keyboard"/>
    <w:rsid w:val="008E288B"/>
    <w:rPr>
      <w:rFonts w:ascii="Courier New" w:hAnsi="Courier New" w:cs="Courier New"/>
      <w:sz w:val="20"/>
      <w:szCs w:val="20"/>
    </w:rPr>
  </w:style>
  <w:style w:type="paragraph" w:styleId="HTMLPreformatted">
    <w:name w:val="HTML Preformatted"/>
    <w:basedOn w:val="Normal"/>
    <w:link w:val="HTMLPreformattedChar"/>
    <w:rsid w:val="008E288B"/>
    <w:rPr>
      <w:rFonts w:ascii="Consolas" w:eastAsia="Times New Roman" w:hAnsi="Consolas"/>
    </w:rPr>
  </w:style>
  <w:style w:type="character" w:customStyle="1" w:styleId="HTMLPreformattedChar">
    <w:name w:val="HTML Preformatted Char"/>
    <w:basedOn w:val="DefaultParagraphFont"/>
    <w:link w:val="HTMLPreformatted"/>
    <w:rsid w:val="008E288B"/>
    <w:rPr>
      <w:rFonts w:ascii="Consolas" w:eastAsia="Times New Roman" w:hAnsi="Consolas" w:cs="Times New Roman"/>
      <w:sz w:val="20"/>
      <w:szCs w:val="20"/>
      <w:lang w:val="en-US" w:eastAsia="en-US"/>
    </w:rPr>
  </w:style>
  <w:style w:type="character" w:styleId="HTMLSample">
    <w:name w:val="HTML Sample"/>
    <w:rsid w:val="008E288B"/>
    <w:rPr>
      <w:rFonts w:ascii="Courier New" w:hAnsi="Courier New" w:cs="Courier New"/>
    </w:rPr>
  </w:style>
  <w:style w:type="character" w:styleId="HTMLTypewriter">
    <w:name w:val="HTML Typewriter"/>
    <w:rsid w:val="008E288B"/>
    <w:rPr>
      <w:rFonts w:ascii="Courier New" w:hAnsi="Courier New" w:cs="Courier New"/>
      <w:sz w:val="20"/>
      <w:szCs w:val="20"/>
    </w:rPr>
  </w:style>
  <w:style w:type="character" w:styleId="HTMLVariable">
    <w:name w:val="HTML Variable"/>
    <w:rsid w:val="008E288B"/>
    <w:rPr>
      <w:i/>
      <w:iCs/>
    </w:rPr>
  </w:style>
  <w:style w:type="character" w:styleId="Hyperlink">
    <w:name w:val="Hyperlink"/>
    <w:rsid w:val="008E288B"/>
    <w:rPr>
      <w:color w:val="0000FF"/>
      <w:u w:val="single"/>
    </w:rPr>
  </w:style>
  <w:style w:type="paragraph" w:customStyle="1" w:styleId="InstructionsText">
    <w:name w:val="Instructions Text"/>
    <w:basedOn w:val="BaseText"/>
    <w:rsid w:val="008E288B"/>
  </w:style>
  <w:style w:type="paragraph" w:customStyle="1" w:styleId="Overline">
    <w:name w:val="Overline"/>
    <w:basedOn w:val="BaseText"/>
    <w:rsid w:val="008E288B"/>
  </w:style>
  <w:style w:type="paragraph" w:customStyle="1" w:styleId="IssueName">
    <w:name w:val="IssueName"/>
    <w:basedOn w:val="Overline"/>
    <w:rsid w:val="008E288B"/>
  </w:style>
  <w:style w:type="paragraph" w:customStyle="1" w:styleId="Keywords">
    <w:name w:val="Keywords"/>
    <w:basedOn w:val="BaseText"/>
    <w:rsid w:val="008E288B"/>
  </w:style>
  <w:style w:type="paragraph" w:customStyle="1" w:styleId="Level3Head">
    <w:name w:val="Level 3 Head"/>
    <w:basedOn w:val="BaseHeading"/>
    <w:rsid w:val="008E288B"/>
    <w:pPr>
      <w:outlineLvl w:val="2"/>
    </w:pPr>
    <w:rPr>
      <w:sz w:val="24"/>
      <w:szCs w:val="24"/>
      <w:u w:val="single"/>
    </w:rPr>
  </w:style>
  <w:style w:type="paragraph" w:customStyle="1" w:styleId="Level4Head">
    <w:name w:val="Level 4 Head"/>
    <w:basedOn w:val="BaseHeading"/>
    <w:rsid w:val="008E288B"/>
    <w:pPr>
      <w:ind w:left="346"/>
    </w:pPr>
    <w:rPr>
      <w:sz w:val="24"/>
      <w:szCs w:val="24"/>
    </w:rPr>
  </w:style>
  <w:style w:type="character" w:styleId="LineNumber">
    <w:name w:val="line number"/>
    <w:basedOn w:val="DefaultParagraphFont"/>
    <w:rsid w:val="008E288B"/>
  </w:style>
  <w:style w:type="paragraph" w:customStyle="1" w:styleId="Literaryquote">
    <w:name w:val="Literary quote"/>
    <w:basedOn w:val="BaseText"/>
    <w:rsid w:val="008E288B"/>
    <w:pPr>
      <w:ind w:left="1440" w:right="1440"/>
    </w:pPr>
  </w:style>
  <w:style w:type="paragraph" w:customStyle="1" w:styleId="MaterialsText">
    <w:name w:val="Materials Text"/>
    <w:basedOn w:val="BaseText"/>
    <w:rsid w:val="008E288B"/>
  </w:style>
  <w:style w:type="paragraph" w:customStyle="1" w:styleId="NoteInProof">
    <w:name w:val="NoteInProof"/>
    <w:basedOn w:val="BaseText"/>
    <w:rsid w:val="008E288B"/>
  </w:style>
  <w:style w:type="paragraph" w:customStyle="1" w:styleId="Notes">
    <w:name w:val="Notes"/>
    <w:basedOn w:val="BaseText"/>
    <w:rsid w:val="008E288B"/>
    <w:rPr>
      <w:i/>
    </w:rPr>
  </w:style>
  <w:style w:type="paragraph" w:customStyle="1" w:styleId="Notes-Helvetica">
    <w:name w:val="Notes-Helvetica"/>
    <w:basedOn w:val="BaseText"/>
    <w:rsid w:val="008E288B"/>
    <w:rPr>
      <w:i/>
    </w:rPr>
  </w:style>
  <w:style w:type="paragraph" w:customStyle="1" w:styleId="NumberedInstructions">
    <w:name w:val="Numbered Instructions"/>
    <w:basedOn w:val="BaseText"/>
    <w:rsid w:val="008E288B"/>
  </w:style>
  <w:style w:type="paragraph" w:customStyle="1" w:styleId="OutlineLevel1">
    <w:name w:val="OutlineLevel1"/>
    <w:basedOn w:val="BaseHeading"/>
    <w:rsid w:val="008E288B"/>
    <w:rPr>
      <w:b/>
      <w:bCs/>
    </w:rPr>
  </w:style>
  <w:style w:type="paragraph" w:customStyle="1" w:styleId="OutlineLevel2">
    <w:name w:val="OutlineLevel2"/>
    <w:basedOn w:val="BaseHeading"/>
    <w:rsid w:val="008E288B"/>
    <w:pPr>
      <w:ind w:left="360"/>
      <w:outlineLvl w:val="1"/>
    </w:pPr>
    <w:rPr>
      <w:b/>
      <w:bCs/>
      <w:sz w:val="24"/>
      <w:szCs w:val="24"/>
    </w:rPr>
  </w:style>
  <w:style w:type="paragraph" w:customStyle="1" w:styleId="OutlineLevel3">
    <w:name w:val="OutlineLevel3"/>
    <w:basedOn w:val="BaseHeading"/>
    <w:rsid w:val="008E288B"/>
    <w:pPr>
      <w:ind w:left="720"/>
      <w:outlineLvl w:val="2"/>
    </w:pPr>
    <w:rPr>
      <w:b/>
      <w:bCs/>
      <w:sz w:val="24"/>
      <w:szCs w:val="24"/>
    </w:rPr>
  </w:style>
  <w:style w:type="character" w:styleId="PageNumber">
    <w:name w:val="page number"/>
    <w:basedOn w:val="DefaultParagraphFont"/>
    <w:rsid w:val="008E288B"/>
  </w:style>
  <w:style w:type="paragraph" w:customStyle="1" w:styleId="Preformat">
    <w:name w:val="Preformat"/>
    <w:basedOn w:val="BaseText"/>
    <w:rsid w:val="008E288B"/>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8E288B"/>
  </w:style>
  <w:style w:type="paragraph" w:customStyle="1" w:styleId="ProductInformation">
    <w:name w:val="ProductInformation"/>
    <w:basedOn w:val="BaseText"/>
    <w:rsid w:val="008E288B"/>
  </w:style>
  <w:style w:type="paragraph" w:customStyle="1" w:styleId="ProductTitle">
    <w:name w:val="ProductTitle"/>
    <w:basedOn w:val="BaseText"/>
    <w:rsid w:val="008E288B"/>
    <w:rPr>
      <w:b/>
      <w:bCs/>
    </w:rPr>
  </w:style>
  <w:style w:type="paragraph" w:customStyle="1" w:styleId="PublishedOnline">
    <w:name w:val="Published Online"/>
    <w:basedOn w:val="DateAccepted"/>
    <w:rsid w:val="008E288B"/>
  </w:style>
  <w:style w:type="paragraph" w:customStyle="1" w:styleId="RecipeMaterials">
    <w:name w:val="Recipe Materials"/>
    <w:basedOn w:val="BaseText"/>
    <w:rsid w:val="008E288B"/>
  </w:style>
  <w:style w:type="paragraph" w:customStyle="1" w:styleId="Refhead">
    <w:name w:val="Ref head"/>
    <w:basedOn w:val="BaseHeading"/>
    <w:rsid w:val="008E288B"/>
    <w:pPr>
      <w:spacing w:before="120" w:after="120"/>
    </w:pPr>
    <w:rPr>
      <w:b/>
      <w:bCs/>
      <w:sz w:val="24"/>
      <w:szCs w:val="24"/>
    </w:rPr>
  </w:style>
  <w:style w:type="paragraph" w:customStyle="1" w:styleId="ReferenceNote">
    <w:name w:val="Reference Note"/>
    <w:basedOn w:val="Referencesandnotes"/>
    <w:rsid w:val="008E288B"/>
  </w:style>
  <w:style w:type="paragraph" w:customStyle="1" w:styleId="ReferencesandnotesLong">
    <w:name w:val="References and notes Long"/>
    <w:basedOn w:val="BaseText"/>
    <w:rsid w:val="008E288B"/>
    <w:pPr>
      <w:ind w:left="720" w:hanging="720"/>
    </w:pPr>
  </w:style>
  <w:style w:type="paragraph" w:customStyle="1" w:styleId="region">
    <w:name w:val="region"/>
    <w:basedOn w:val="BaseText"/>
    <w:rsid w:val="008E288B"/>
    <w:pPr>
      <w:jc w:val="right"/>
    </w:pPr>
    <w:rPr>
      <w:color w:val="0000FF"/>
    </w:rPr>
  </w:style>
  <w:style w:type="paragraph" w:customStyle="1" w:styleId="RelatedArticle">
    <w:name w:val="RelatedArticle"/>
    <w:basedOn w:val="Referencesandnotes"/>
    <w:rsid w:val="008E288B"/>
  </w:style>
  <w:style w:type="paragraph" w:customStyle="1" w:styleId="RunHead">
    <w:name w:val="RunHead"/>
    <w:basedOn w:val="BaseText"/>
    <w:rsid w:val="008E288B"/>
  </w:style>
  <w:style w:type="paragraph" w:customStyle="1" w:styleId="SOMContent">
    <w:name w:val="SOMContent"/>
    <w:basedOn w:val="1stparatext"/>
    <w:rsid w:val="008E288B"/>
  </w:style>
  <w:style w:type="paragraph" w:customStyle="1" w:styleId="SOMHead">
    <w:name w:val="SOMHead"/>
    <w:basedOn w:val="BaseHeading"/>
    <w:rsid w:val="008E288B"/>
    <w:rPr>
      <w:b/>
      <w:sz w:val="24"/>
      <w:szCs w:val="24"/>
    </w:rPr>
  </w:style>
  <w:style w:type="paragraph" w:customStyle="1" w:styleId="Speaker">
    <w:name w:val="Speaker"/>
    <w:basedOn w:val="Paragraph"/>
    <w:rsid w:val="008E288B"/>
    <w:pPr>
      <w:autoSpaceDE w:val="0"/>
      <w:autoSpaceDN w:val="0"/>
      <w:adjustRightInd w:val="0"/>
    </w:pPr>
    <w:rPr>
      <w:b/>
      <w:lang w:bidi="he-IL"/>
    </w:rPr>
  </w:style>
  <w:style w:type="paragraph" w:customStyle="1" w:styleId="Speech">
    <w:name w:val="Speech"/>
    <w:basedOn w:val="Paragraph"/>
    <w:rsid w:val="008E288B"/>
    <w:pPr>
      <w:autoSpaceDE w:val="0"/>
      <w:autoSpaceDN w:val="0"/>
      <w:adjustRightInd w:val="0"/>
    </w:pPr>
    <w:rPr>
      <w:lang w:bidi="he-IL"/>
    </w:rPr>
  </w:style>
  <w:style w:type="character" w:styleId="Strong">
    <w:name w:val="Strong"/>
    <w:uiPriority w:val="22"/>
    <w:qFormat/>
    <w:rsid w:val="008E288B"/>
    <w:rPr>
      <w:b/>
      <w:bCs/>
    </w:rPr>
  </w:style>
  <w:style w:type="paragraph" w:customStyle="1" w:styleId="SX-Abstract">
    <w:name w:val="SX-Abstract"/>
    <w:basedOn w:val="Normal"/>
    <w:qFormat/>
    <w:rsid w:val="008E288B"/>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8E288B"/>
    <w:pPr>
      <w:spacing w:after="160" w:line="190" w:lineRule="exact"/>
    </w:pPr>
    <w:rPr>
      <w:rFonts w:ascii="BlissRegular" w:eastAsia="Times New Roman" w:hAnsi="BlissRegular"/>
      <w:sz w:val="16"/>
    </w:rPr>
  </w:style>
  <w:style w:type="paragraph" w:customStyle="1" w:styleId="SX-Articlehead">
    <w:name w:val="SX-Article head"/>
    <w:basedOn w:val="Normal"/>
    <w:qFormat/>
    <w:rsid w:val="008E288B"/>
    <w:pPr>
      <w:spacing w:before="210" w:line="210" w:lineRule="exact"/>
      <w:ind w:firstLine="288"/>
      <w:jc w:val="both"/>
    </w:pPr>
    <w:rPr>
      <w:rFonts w:eastAsia="Times New Roman"/>
      <w:b/>
      <w:sz w:val="18"/>
    </w:rPr>
  </w:style>
  <w:style w:type="paragraph" w:customStyle="1" w:styleId="SX-Authornames">
    <w:name w:val="SX-Author names"/>
    <w:basedOn w:val="Normal"/>
    <w:rsid w:val="008E288B"/>
    <w:pPr>
      <w:spacing w:after="120" w:line="210" w:lineRule="exact"/>
    </w:pPr>
    <w:rPr>
      <w:rFonts w:ascii="BlissMedium" w:eastAsia="Times New Roman" w:hAnsi="BlissMedium"/>
    </w:rPr>
  </w:style>
  <w:style w:type="paragraph" w:customStyle="1" w:styleId="SX-Bodytext">
    <w:name w:val="SX-Body text"/>
    <w:basedOn w:val="Normal"/>
    <w:next w:val="Normal"/>
    <w:rsid w:val="008E288B"/>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8E288B"/>
    <w:pPr>
      <w:ind w:firstLine="0"/>
    </w:pPr>
  </w:style>
  <w:style w:type="paragraph" w:customStyle="1" w:styleId="SX-Correspondence">
    <w:name w:val="SX-Correspondence"/>
    <w:basedOn w:val="SX-Affiliation"/>
    <w:qFormat/>
    <w:rsid w:val="008E288B"/>
    <w:pPr>
      <w:spacing w:after="80"/>
    </w:pPr>
  </w:style>
  <w:style w:type="paragraph" w:customStyle="1" w:styleId="SX-Date">
    <w:name w:val="SX-Date"/>
    <w:basedOn w:val="Normal"/>
    <w:qFormat/>
    <w:rsid w:val="008E288B"/>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8E288B"/>
    <w:pPr>
      <w:autoSpaceDE w:val="0"/>
      <w:autoSpaceDN w:val="0"/>
      <w:adjustRightInd w:val="0"/>
      <w:spacing w:line="240" w:lineRule="auto"/>
      <w:jc w:val="center"/>
    </w:pPr>
  </w:style>
  <w:style w:type="paragraph" w:customStyle="1" w:styleId="SX-Legend">
    <w:name w:val="SX-Legend"/>
    <w:basedOn w:val="SX-Authornames"/>
    <w:rsid w:val="008E288B"/>
    <w:pPr>
      <w:jc w:val="both"/>
    </w:pPr>
    <w:rPr>
      <w:sz w:val="18"/>
    </w:rPr>
  </w:style>
  <w:style w:type="paragraph" w:customStyle="1" w:styleId="SX-References">
    <w:name w:val="SX-References"/>
    <w:basedOn w:val="Normal"/>
    <w:rsid w:val="008E288B"/>
    <w:pPr>
      <w:spacing w:line="190" w:lineRule="exact"/>
      <w:ind w:left="245" w:hanging="245"/>
      <w:jc w:val="both"/>
    </w:pPr>
    <w:rPr>
      <w:rFonts w:eastAsia="Times New Roman"/>
      <w:sz w:val="16"/>
    </w:rPr>
  </w:style>
  <w:style w:type="paragraph" w:customStyle="1" w:styleId="SX-RefHead">
    <w:name w:val="SX-RefHead"/>
    <w:basedOn w:val="Normal"/>
    <w:rsid w:val="008E288B"/>
    <w:pPr>
      <w:spacing w:before="200" w:line="190" w:lineRule="exact"/>
    </w:pPr>
    <w:rPr>
      <w:rFonts w:eastAsia="Times New Roman"/>
      <w:b/>
      <w:sz w:val="16"/>
    </w:rPr>
  </w:style>
  <w:style w:type="character" w:customStyle="1" w:styleId="SX-reflink">
    <w:name w:val="SX-reflink"/>
    <w:uiPriority w:val="1"/>
    <w:qFormat/>
    <w:rsid w:val="008E288B"/>
    <w:rPr>
      <w:color w:val="0000FF"/>
      <w:sz w:val="16"/>
      <w:u w:val="words"/>
      <w:bdr w:val="none" w:sz="0" w:space="0" w:color="auto"/>
      <w:shd w:val="clear" w:color="auto" w:fill="FFFFFF"/>
    </w:rPr>
  </w:style>
  <w:style w:type="paragraph" w:customStyle="1" w:styleId="SX-SOMHead">
    <w:name w:val="SX-SOMHead"/>
    <w:basedOn w:val="SX-RefHead"/>
    <w:rsid w:val="008E288B"/>
  </w:style>
  <w:style w:type="paragraph" w:customStyle="1" w:styleId="SX-Tablehead">
    <w:name w:val="SX-Tablehead"/>
    <w:basedOn w:val="Normal"/>
    <w:qFormat/>
    <w:rsid w:val="008E288B"/>
    <w:rPr>
      <w:rFonts w:eastAsia="Times New Roman"/>
      <w:szCs w:val="24"/>
    </w:rPr>
  </w:style>
  <w:style w:type="paragraph" w:customStyle="1" w:styleId="SX-Tablelegend">
    <w:name w:val="SX-Tablelegend"/>
    <w:basedOn w:val="Normal"/>
    <w:qFormat/>
    <w:rsid w:val="008E288B"/>
    <w:pPr>
      <w:spacing w:line="190" w:lineRule="exact"/>
      <w:ind w:left="245" w:hanging="245"/>
      <w:jc w:val="both"/>
    </w:pPr>
    <w:rPr>
      <w:rFonts w:eastAsia="Times New Roman"/>
      <w:sz w:val="16"/>
    </w:rPr>
  </w:style>
  <w:style w:type="paragraph" w:customStyle="1" w:styleId="SX-Tabletext">
    <w:name w:val="SX-Tabletext"/>
    <w:basedOn w:val="Normal"/>
    <w:qFormat/>
    <w:rsid w:val="008E288B"/>
    <w:pPr>
      <w:spacing w:line="210" w:lineRule="exact"/>
      <w:jc w:val="center"/>
    </w:pPr>
    <w:rPr>
      <w:rFonts w:eastAsia="Times New Roman"/>
      <w:sz w:val="18"/>
    </w:rPr>
  </w:style>
  <w:style w:type="paragraph" w:customStyle="1" w:styleId="SX-Tabletitle">
    <w:name w:val="SX-Tabletitle"/>
    <w:basedOn w:val="Normal"/>
    <w:qFormat/>
    <w:rsid w:val="008E288B"/>
    <w:pPr>
      <w:spacing w:after="120" w:line="210" w:lineRule="exact"/>
      <w:jc w:val="both"/>
    </w:pPr>
    <w:rPr>
      <w:rFonts w:ascii="BlissMedium" w:eastAsia="Times New Roman" w:hAnsi="BlissMedium"/>
      <w:sz w:val="18"/>
    </w:rPr>
  </w:style>
  <w:style w:type="paragraph" w:customStyle="1" w:styleId="SX-Title">
    <w:name w:val="SX-Title"/>
    <w:basedOn w:val="Normal"/>
    <w:rsid w:val="008E288B"/>
    <w:pPr>
      <w:spacing w:after="240" w:line="500" w:lineRule="exact"/>
    </w:pPr>
    <w:rPr>
      <w:rFonts w:ascii="BlissBold" w:eastAsia="Times New Roman" w:hAnsi="BlissBold"/>
      <w:b/>
      <w:sz w:val="44"/>
    </w:rPr>
  </w:style>
  <w:style w:type="paragraph" w:customStyle="1" w:styleId="Tablecolumnhead">
    <w:name w:val="Table column head"/>
    <w:basedOn w:val="BaseText"/>
    <w:rsid w:val="008E288B"/>
    <w:pPr>
      <w:spacing w:before="0"/>
    </w:pPr>
  </w:style>
  <w:style w:type="paragraph" w:customStyle="1" w:styleId="Tabletext">
    <w:name w:val="Table text"/>
    <w:basedOn w:val="BaseText"/>
    <w:rsid w:val="008E288B"/>
    <w:pPr>
      <w:spacing w:before="0"/>
    </w:pPr>
  </w:style>
  <w:style w:type="paragraph" w:customStyle="1" w:styleId="TableLegend">
    <w:name w:val="TableLegend"/>
    <w:basedOn w:val="BaseText"/>
    <w:rsid w:val="008E288B"/>
    <w:pPr>
      <w:spacing w:before="0"/>
    </w:pPr>
  </w:style>
  <w:style w:type="paragraph" w:customStyle="1" w:styleId="TableTitle">
    <w:name w:val="TableTitle"/>
    <w:basedOn w:val="BaseHeading"/>
    <w:rsid w:val="008E288B"/>
  </w:style>
  <w:style w:type="paragraph" w:customStyle="1" w:styleId="Teaser">
    <w:name w:val="Teaser"/>
    <w:basedOn w:val="BaseText"/>
    <w:rsid w:val="008E288B"/>
  </w:style>
  <w:style w:type="paragraph" w:customStyle="1" w:styleId="TWIS">
    <w:name w:val="TWIS"/>
    <w:basedOn w:val="AbstractSummary"/>
    <w:rsid w:val="008E288B"/>
    <w:pPr>
      <w:autoSpaceDE w:val="0"/>
      <w:autoSpaceDN w:val="0"/>
      <w:adjustRightInd w:val="0"/>
    </w:pPr>
  </w:style>
  <w:style w:type="paragraph" w:customStyle="1" w:styleId="TWISorEC">
    <w:name w:val="TWIS or EC"/>
    <w:basedOn w:val="Normal"/>
    <w:rsid w:val="008E288B"/>
    <w:pPr>
      <w:spacing w:line="210" w:lineRule="exact"/>
    </w:pPr>
    <w:rPr>
      <w:rFonts w:ascii="BlissRegular" w:eastAsia="Times New Roman" w:hAnsi="BlissRegular"/>
      <w:sz w:val="19"/>
    </w:rPr>
  </w:style>
  <w:style w:type="paragraph" w:customStyle="1" w:styleId="work-sector">
    <w:name w:val="work-sector"/>
    <w:basedOn w:val="BaseText"/>
    <w:rsid w:val="008E288B"/>
    <w:pPr>
      <w:jc w:val="right"/>
    </w:pPr>
    <w:rPr>
      <w:color w:val="003300"/>
    </w:rPr>
  </w:style>
  <w:style w:type="paragraph" w:customStyle="1" w:styleId="DOI">
    <w:name w:val="DOI"/>
    <w:basedOn w:val="DateAccepted"/>
    <w:qFormat/>
    <w:rsid w:val="008E288B"/>
  </w:style>
  <w:style w:type="character" w:customStyle="1" w:styleId="custom-cit-author">
    <w:name w:val="custom-cit-author"/>
    <w:basedOn w:val="DefaultParagraphFont"/>
    <w:rsid w:val="008E288B"/>
  </w:style>
  <w:style w:type="character" w:customStyle="1" w:styleId="custom-cit-title">
    <w:name w:val="custom-cit-title"/>
    <w:basedOn w:val="DefaultParagraphFont"/>
    <w:rsid w:val="008E288B"/>
  </w:style>
  <w:style w:type="character" w:customStyle="1" w:styleId="custom-cit-jour-title">
    <w:name w:val="custom-cit-jour-title"/>
    <w:basedOn w:val="DefaultParagraphFont"/>
    <w:rsid w:val="008E288B"/>
  </w:style>
  <w:style w:type="character" w:customStyle="1" w:styleId="custom-cit-volume">
    <w:name w:val="custom-cit-volume"/>
    <w:basedOn w:val="DefaultParagraphFont"/>
    <w:rsid w:val="008E288B"/>
  </w:style>
  <w:style w:type="character" w:customStyle="1" w:styleId="custom-cit-volume-sep">
    <w:name w:val="custom-cit-volume-sep"/>
    <w:basedOn w:val="DefaultParagraphFont"/>
    <w:rsid w:val="008E288B"/>
  </w:style>
  <w:style w:type="character" w:customStyle="1" w:styleId="custom-cit-fpage">
    <w:name w:val="custom-cit-fpage"/>
    <w:basedOn w:val="DefaultParagraphFont"/>
    <w:rsid w:val="008E288B"/>
  </w:style>
  <w:style w:type="character" w:customStyle="1" w:styleId="custom-cit-date">
    <w:name w:val="custom-cit-date"/>
    <w:basedOn w:val="DefaultParagraphFont"/>
    <w:rsid w:val="008E288B"/>
  </w:style>
  <w:style w:type="paragraph" w:styleId="NormalWeb">
    <w:name w:val="Normal (Web)"/>
    <w:basedOn w:val="Normal"/>
    <w:uiPriority w:val="99"/>
    <w:semiHidden/>
    <w:unhideWhenUsed/>
    <w:rsid w:val="008E288B"/>
    <w:rPr>
      <w:sz w:val="24"/>
      <w:szCs w:val="24"/>
    </w:rPr>
  </w:style>
  <w:style w:type="paragraph" w:styleId="Revision">
    <w:name w:val="Revision"/>
    <w:hidden/>
    <w:uiPriority w:val="99"/>
    <w:semiHidden/>
    <w:rsid w:val="008E288B"/>
    <w:rPr>
      <w:rFonts w:ascii="Times New Roman" w:eastAsia="Calibri" w:hAnsi="Times New Roman" w:cs="Times New Roman"/>
      <w:sz w:val="20"/>
      <w:szCs w:val="20"/>
      <w:lang w:val="en-US" w:eastAsia="en-US"/>
    </w:rPr>
  </w:style>
  <w:style w:type="paragraph" w:styleId="Bibliography">
    <w:name w:val="Bibliography"/>
    <w:basedOn w:val="Normal"/>
    <w:next w:val="Normal"/>
    <w:uiPriority w:val="37"/>
    <w:unhideWhenUsed/>
    <w:rsid w:val="008E288B"/>
    <w:pPr>
      <w:tabs>
        <w:tab w:val="left" w:pos="384"/>
      </w:tabs>
      <w:spacing w:line="480" w:lineRule="auto"/>
      <w:ind w:left="384" w:hanging="384"/>
    </w:pPr>
  </w:style>
  <w:style w:type="paragraph" w:styleId="FootnoteText">
    <w:name w:val="footnote text"/>
    <w:basedOn w:val="Normal"/>
    <w:link w:val="FootnoteTextChar"/>
    <w:uiPriority w:val="99"/>
    <w:semiHidden/>
    <w:unhideWhenUsed/>
    <w:rsid w:val="008E288B"/>
  </w:style>
  <w:style w:type="character" w:customStyle="1" w:styleId="FootnoteTextChar">
    <w:name w:val="Footnote Text Char"/>
    <w:basedOn w:val="DefaultParagraphFont"/>
    <w:link w:val="FootnoteText"/>
    <w:uiPriority w:val="99"/>
    <w:semiHidden/>
    <w:rsid w:val="008E288B"/>
    <w:rPr>
      <w:rFonts w:ascii="Times New Roman" w:eastAsia="Calibri" w:hAnsi="Times New Roman" w:cs="Times New Roman"/>
      <w:sz w:val="20"/>
      <w:szCs w:val="20"/>
      <w:lang w:val="en-US" w:eastAsia="en-US"/>
    </w:rPr>
  </w:style>
  <w:style w:type="character" w:customStyle="1" w:styleId="UnresolvedMention1">
    <w:name w:val="Unresolved Mention1"/>
    <w:uiPriority w:val="99"/>
    <w:semiHidden/>
    <w:unhideWhenUsed/>
    <w:rsid w:val="008E288B"/>
    <w:rPr>
      <w:color w:val="605E5C"/>
      <w:shd w:val="clear" w:color="auto" w:fill="E1DFDD"/>
    </w:rPr>
  </w:style>
  <w:style w:type="paragraph" w:styleId="NoSpacing">
    <w:name w:val="No Spacing"/>
    <w:uiPriority w:val="1"/>
    <w:qFormat/>
    <w:rsid w:val="008E288B"/>
    <w:rPr>
      <w:rFonts w:ascii="Times New Roman" w:eastAsia="Calibri" w:hAnsi="Times New Roman" w:cs="Times New Roman"/>
      <w:sz w:val="20"/>
      <w:szCs w:val="20"/>
      <w:lang w:val="en-US" w:eastAsia="en-US"/>
    </w:rPr>
  </w:style>
  <w:style w:type="character" w:customStyle="1" w:styleId="A4">
    <w:name w:val="A4"/>
    <w:uiPriority w:val="99"/>
    <w:rsid w:val="008E288B"/>
    <w:rPr>
      <w:rFonts w:cs="Shaker 2 Lancet Regular"/>
      <w:color w:val="221E1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hiu@imperial.ac.uk" TargetMode="External"/><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sjournals.org"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p.openshaw@imperial.ac.uk" TargetMode="Externa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94171-CF4C-4449-B94F-859A7A803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28712</Words>
  <Characters>163659</Characters>
  <Application>Microsoft Office Word</Application>
  <DocSecurity>0</DocSecurity>
  <Lines>1363</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Chiu</dc:creator>
  <cp:keywords/>
  <dc:description/>
  <cp:lastModifiedBy>Lewis, Gale E</cp:lastModifiedBy>
  <cp:revision>2</cp:revision>
  <cp:lastPrinted>2018-12-04T18:20:00Z</cp:lastPrinted>
  <dcterms:created xsi:type="dcterms:W3CDTF">2019-01-31T13:01:00Z</dcterms:created>
  <dcterms:modified xsi:type="dcterms:W3CDTF">2019-01-31T13:01:00Z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id="35rDZLyI"/&gt;&lt;style id="http://www.zotero.org/styles/american-journal-of-respiratory-and-critical-care-medicine" hasBibliography="1" bibliographyStyleHasBeenSet="1"/&gt;&lt;prefs&gt;&lt;pref name="fieldType" v</vt:lpwstr>
  </property>
  <property fmtid="{D5CDD505-2E9C-101B-9397-08002B2CF9AE}" pid="3" name="ZOTERO_PREF_2">
    <vt:lpwstr>alue="Field"/&gt;&lt;/prefs&gt;&lt;/data&gt;</vt:lpwstr>
  </property>
  <property fmtid="{D5CDD505-2E9C-101B-9397-08002B2CF9AE}" pid="4" name="FileId">
    <vt:lpwstr>487309</vt:lpwstr>
  </property>
  <property fmtid="{D5CDD505-2E9C-101B-9397-08002B2CF9AE}" pid="5" name="StyleId">
    <vt:lpwstr>http://www.zotero.org/styles/vancouver</vt:lpwstr>
  </property>
</Properties>
</file>