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C166B05" w:rsidR="00920126" w:rsidRDefault="00920126">
      <w:pPr>
        <w:rPr>
          <w:b/>
        </w:rPr>
      </w:pPr>
    </w:p>
    <w:p w14:paraId="00000002" w14:textId="56D84E0E" w:rsidR="00920126" w:rsidRPr="006752C0" w:rsidRDefault="00920126">
      <w:pPr>
        <w:rPr>
          <w:rFonts w:ascii="Arial" w:hAnsi="Arial" w:cs="Arial"/>
          <w:b/>
        </w:rPr>
      </w:pPr>
    </w:p>
    <w:p w14:paraId="00000003" w14:textId="35232EEE" w:rsidR="00920126" w:rsidRPr="00577A9E" w:rsidRDefault="00803966">
      <w:pPr>
        <w:rPr>
          <w:b/>
        </w:rPr>
      </w:pPr>
      <w:r w:rsidRPr="00577A9E">
        <w:rPr>
          <w:rFonts w:ascii="Arial" w:hAnsi="Arial" w:cs="Arial"/>
          <w:b/>
        </w:rPr>
        <w:t>Assessing Public Perceptions of Virtual Primary Care During the COVID-19 Pandemic in the UK, Germany, Sweden, and Italy: A Topic Modeling Approach.</w:t>
      </w:r>
    </w:p>
    <w:p w14:paraId="00000004" w14:textId="77777777" w:rsidR="00920126" w:rsidRDefault="00920126">
      <w:pPr>
        <w:rPr>
          <w:b/>
        </w:rPr>
      </w:pPr>
    </w:p>
    <w:p w14:paraId="00000005" w14:textId="77777777" w:rsidR="00920126" w:rsidRDefault="00803966">
      <w:pPr>
        <w:rPr>
          <w:rFonts w:ascii="Arial" w:eastAsia="Arial" w:hAnsi="Arial" w:cs="Arial"/>
          <w:b/>
          <w:sz w:val="20"/>
          <w:szCs w:val="20"/>
        </w:rPr>
      </w:pPr>
      <w:r>
        <w:rPr>
          <w:rFonts w:ascii="Arial" w:eastAsia="Arial" w:hAnsi="Arial" w:cs="Arial"/>
          <w:b/>
          <w:sz w:val="20"/>
          <w:szCs w:val="20"/>
        </w:rPr>
        <w:t xml:space="preserve">Abstract </w:t>
      </w:r>
    </w:p>
    <w:p w14:paraId="00000006" w14:textId="77777777" w:rsidR="00920126" w:rsidRDefault="00920126">
      <w:pPr>
        <w:rPr>
          <w:rFonts w:ascii="Arial" w:eastAsia="Arial" w:hAnsi="Arial" w:cs="Arial"/>
          <w:sz w:val="20"/>
          <w:szCs w:val="20"/>
        </w:rPr>
      </w:pPr>
    </w:p>
    <w:p w14:paraId="00000007" w14:textId="1F37015D" w:rsidR="00920126" w:rsidRDefault="00803966">
      <w:pPr>
        <w:rPr>
          <w:rFonts w:ascii="Arial" w:eastAsia="Arial" w:hAnsi="Arial" w:cs="Arial"/>
          <w:sz w:val="20"/>
          <w:szCs w:val="20"/>
        </w:rPr>
      </w:pPr>
      <w:r>
        <w:rPr>
          <w:rFonts w:ascii="Arial" w:eastAsia="Arial" w:hAnsi="Arial" w:cs="Arial"/>
          <w:b/>
          <w:sz w:val="20"/>
          <w:szCs w:val="20"/>
        </w:rPr>
        <w:t>Background:</w:t>
      </w:r>
      <w:r>
        <w:rPr>
          <w:rFonts w:ascii="Arial" w:eastAsia="Arial" w:hAnsi="Arial" w:cs="Arial"/>
          <w:sz w:val="20"/>
          <w:szCs w:val="20"/>
        </w:rPr>
        <w:t xml:space="preserve"> The COVID-19 pandemic has driven the transition from face-to-face visits to virtual care delivery. In this study, we explore patients' perceptions of the benefits and challenges of using virtual primary care technologies during the pandemic, using machine learning approaches.</w:t>
      </w:r>
    </w:p>
    <w:p w14:paraId="00000008" w14:textId="77777777" w:rsidR="00920126" w:rsidRDefault="00920126">
      <w:pPr>
        <w:rPr>
          <w:rFonts w:ascii="Arial" w:eastAsia="Arial" w:hAnsi="Arial" w:cs="Arial"/>
          <w:sz w:val="20"/>
          <w:szCs w:val="20"/>
        </w:rPr>
      </w:pPr>
    </w:p>
    <w:p w14:paraId="00000009" w14:textId="485A51F5" w:rsidR="00920126" w:rsidRDefault="00803966">
      <w:pPr>
        <w:rPr>
          <w:rFonts w:ascii="Arial" w:eastAsia="Arial" w:hAnsi="Arial" w:cs="Arial"/>
          <w:sz w:val="20"/>
          <w:szCs w:val="20"/>
        </w:rPr>
      </w:pPr>
      <w:r>
        <w:rPr>
          <w:rFonts w:ascii="Arial" w:eastAsia="Arial" w:hAnsi="Arial" w:cs="Arial"/>
          <w:b/>
          <w:sz w:val="20"/>
          <w:szCs w:val="20"/>
        </w:rPr>
        <w:t>Methods:</w:t>
      </w:r>
      <w:r>
        <w:rPr>
          <w:rFonts w:ascii="Arial" w:eastAsia="Arial" w:hAnsi="Arial" w:cs="Arial"/>
          <w:sz w:val="20"/>
          <w:szCs w:val="20"/>
        </w:rPr>
        <w:t xml:space="preserve"> A cross-sectional survey was conducted in August 2020 in Italy, Sweden, Germany, and the UK. Latent Dirichlet Allocation was used to identify themes of two open-ended questions. Comparisons between participant characteristics were made using Wilcoxon rank-sum test. </w:t>
      </w:r>
    </w:p>
    <w:p w14:paraId="0000000A" w14:textId="77777777" w:rsidR="00920126" w:rsidRDefault="00920126">
      <w:pPr>
        <w:rPr>
          <w:rFonts w:ascii="Arial" w:eastAsia="Arial" w:hAnsi="Arial" w:cs="Arial"/>
          <w:sz w:val="20"/>
          <w:szCs w:val="20"/>
        </w:rPr>
      </w:pPr>
    </w:p>
    <w:p w14:paraId="0000000B" w14:textId="05206F4B" w:rsidR="00920126" w:rsidRDefault="00803966">
      <w:pPr>
        <w:rPr>
          <w:rFonts w:ascii="Arial" w:eastAsia="Arial" w:hAnsi="Arial" w:cs="Arial"/>
          <w:b/>
          <w:sz w:val="20"/>
          <w:szCs w:val="20"/>
        </w:rPr>
      </w:pPr>
      <w:r>
        <w:rPr>
          <w:rFonts w:ascii="Arial" w:eastAsia="Arial" w:hAnsi="Arial" w:cs="Arial"/>
          <w:b/>
          <w:sz w:val="20"/>
          <w:szCs w:val="20"/>
        </w:rPr>
        <w:t xml:space="preserve">Findings: </w:t>
      </w:r>
      <w:r>
        <w:rPr>
          <w:rFonts w:ascii="Arial" w:eastAsia="Arial" w:hAnsi="Arial" w:cs="Arial"/>
          <w:sz w:val="20"/>
          <w:szCs w:val="20"/>
        </w:rPr>
        <w:t xml:space="preserve">6,331 participants were included (51.7% female; 42.4% +55 years; 60.5% white ethnicity; 86.6% low literacy). The benefits extracted included: primary care delivery, infection control, reducing contacts, virtual care, timeliness, patient-doctor interaction, convenience and safety. Participants from Sweden were most likely to mention </w:t>
      </w:r>
      <w:r w:rsidR="005D1980">
        <w:rPr>
          <w:rFonts w:ascii="Arial" w:eastAsia="Arial" w:hAnsi="Arial" w:cs="Arial"/>
          <w:sz w:val="20"/>
          <w:szCs w:val="20"/>
        </w:rPr>
        <w:t>“</w:t>
      </w:r>
      <w:r>
        <w:rPr>
          <w:rFonts w:ascii="Arial" w:eastAsia="Arial" w:hAnsi="Arial" w:cs="Arial"/>
          <w:sz w:val="20"/>
          <w:szCs w:val="20"/>
        </w:rPr>
        <w:t>primary care deliver</w:t>
      </w:r>
      <w:r w:rsidR="005D1980">
        <w:rPr>
          <w:rFonts w:ascii="Arial" w:eastAsia="Arial" w:hAnsi="Arial" w:cs="Arial"/>
          <w:sz w:val="20"/>
          <w:szCs w:val="20"/>
        </w:rPr>
        <w:t>y”</w:t>
      </w:r>
      <w:r>
        <w:rPr>
          <w:rFonts w:ascii="Arial" w:eastAsia="Arial" w:hAnsi="Arial" w:cs="Arial"/>
          <w:sz w:val="20"/>
          <w:szCs w:val="20"/>
        </w:rPr>
        <w:t xml:space="preserve"> (UK P=0.007, IT P=0.03, DE P&lt;0.001), from the UK </w:t>
      </w:r>
      <w:r w:rsidR="005D1980">
        <w:rPr>
          <w:rFonts w:ascii="Arial" w:eastAsia="Arial" w:hAnsi="Arial" w:cs="Arial"/>
          <w:sz w:val="20"/>
          <w:szCs w:val="20"/>
        </w:rPr>
        <w:t>“</w:t>
      </w:r>
      <w:r>
        <w:rPr>
          <w:rFonts w:ascii="Arial" w:eastAsia="Arial" w:hAnsi="Arial" w:cs="Arial"/>
          <w:sz w:val="20"/>
          <w:szCs w:val="20"/>
        </w:rPr>
        <w:t>virtual care</w:t>
      </w:r>
      <w:r w:rsidR="005D1980">
        <w:rPr>
          <w:rFonts w:ascii="Arial" w:eastAsia="Arial" w:hAnsi="Arial" w:cs="Arial"/>
          <w:sz w:val="20"/>
          <w:szCs w:val="20"/>
        </w:rPr>
        <w:t>”</w:t>
      </w:r>
      <w:r>
        <w:rPr>
          <w:rFonts w:ascii="Arial" w:eastAsia="Arial" w:hAnsi="Arial" w:cs="Arial"/>
          <w:sz w:val="20"/>
          <w:szCs w:val="20"/>
        </w:rPr>
        <w:t xml:space="preserve"> (SE P&lt;0.001, IT P&lt;0.001, DE P&lt;0.001) and from Italy </w:t>
      </w:r>
      <w:r w:rsidR="005D1980">
        <w:rPr>
          <w:rFonts w:ascii="Arial" w:eastAsia="Arial" w:hAnsi="Arial" w:cs="Arial"/>
          <w:sz w:val="20"/>
          <w:szCs w:val="20"/>
        </w:rPr>
        <w:t>“</w:t>
      </w:r>
      <w:r>
        <w:rPr>
          <w:rFonts w:ascii="Arial" w:eastAsia="Arial" w:hAnsi="Arial" w:cs="Arial"/>
          <w:sz w:val="20"/>
          <w:szCs w:val="20"/>
        </w:rPr>
        <w:t>patient-doctor interaction</w:t>
      </w:r>
      <w:r w:rsidR="005D1980">
        <w:rPr>
          <w:rFonts w:ascii="Arial" w:eastAsia="Arial" w:hAnsi="Arial" w:cs="Arial"/>
          <w:sz w:val="20"/>
          <w:szCs w:val="20"/>
        </w:rPr>
        <w:t>”</w:t>
      </w:r>
      <w:r>
        <w:rPr>
          <w:rFonts w:ascii="Arial" w:eastAsia="Arial" w:hAnsi="Arial" w:cs="Arial"/>
          <w:sz w:val="20"/>
          <w:szCs w:val="20"/>
        </w:rPr>
        <w:t xml:space="preserve"> (UK P&lt;0.001, SE P&lt;0.001, DE P&lt;0.001). The challenges included: diagnostic difficulties, physical examination, digital health risks, technical challenges, virtual care, data security and protection and lack of personal contact. </w:t>
      </w:r>
      <w:r w:rsidR="005D1980">
        <w:rPr>
          <w:rFonts w:ascii="Arial" w:eastAsia="Arial" w:hAnsi="Arial" w:cs="Arial"/>
          <w:sz w:val="20"/>
          <w:szCs w:val="20"/>
        </w:rPr>
        <w:t>“</w:t>
      </w:r>
      <w:r>
        <w:rPr>
          <w:rFonts w:ascii="Arial" w:eastAsia="Arial" w:hAnsi="Arial" w:cs="Arial"/>
          <w:sz w:val="20"/>
          <w:szCs w:val="20"/>
        </w:rPr>
        <w:t>Diagnostic difficulties</w:t>
      </w:r>
      <w:r w:rsidR="005D1980">
        <w:rPr>
          <w:rFonts w:ascii="Arial" w:eastAsia="Arial" w:hAnsi="Arial" w:cs="Arial"/>
          <w:sz w:val="20"/>
          <w:szCs w:val="20"/>
        </w:rPr>
        <w:t>”</w:t>
      </w:r>
      <w:r>
        <w:rPr>
          <w:rFonts w:ascii="Arial" w:eastAsia="Arial" w:hAnsi="Arial" w:cs="Arial"/>
          <w:sz w:val="20"/>
          <w:szCs w:val="20"/>
        </w:rPr>
        <w:t xml:space="preserve"> w</w:t>
      </w:r>
      <w:r w:rsidR="00EE0E9D">
        <w:rPr>
          <w:rFonts w:ascii="Arial" w:eastAsia="Arial" w:hAnsi="Arial" w:cs="Arial"/>
          <w:sz w:val="20"/>
          <w:szCs w:val="20"/>
        </w:rPr>
        <w:t>as</w:t>
      </w:r>
      <w:r>
        <w:rPr>
          <w:rFonts w:ascii="Arial" w:eastAsia="Arial" w:hAnsi="Arial" w:cs="Arial"/>
          <w:sz w:val="20"/>
          <w:szCs w:val="20"/>
        </w:rPr>
        <w:t xml:space="preserve"> most significantly mentioned in Sweden (UK P=0.009, IT P&lt;0.001, DE P&lt;0.001), </w:t>
      </w:r>
      <w:r w:rsidR="00EE0E9D">
        <w:rPr>
          <w:rFonts w:ascii="Arial" w:eastAsia="Arial" w:hAnsi="Arial" w:cs="Arial"/>
          <w:sz w:val="20"/>
          <w:szCs w:val="20"/>
        </w:rPr>
        <w:t>“</w:t>
      </w:r>
      <w:r>
        <w:rPr>
          <w:rFonts w:ascii="Arial" w:eastAsia="Arial" w:hAnsi="Arial" w:cs="Arial"/>
          <w:sz w:val="20"/>
          <w:szCs w:val="20"/>
        </w:rPr>
        <w:t>virtual care</w:t>
      </w:r>
      <w:r w:rsidR="00EE0E9D">
        <w:rPr>
          <w:rFonts w:ascii="Arial" w:eastAsia="Arial" w:hAnsi="Arial" w:cs="Arial"/>
          <w:sz w:val="20"/>
          <w:szCs w:val="20"/>
        </w:rPr>
        <w:t>”</w:t>
      </w:r>
      <w:r>
        <w:rPr>
          <w:rFonts w:ascii="Arial" w:eastAsia="Arial" w:hAnsi="Arial" w:cs="Arial"/>
          <w:sz w:val="20"/>
          <w:szCs w:val="20"/>
        </w:rPr>
        <w:t xml:space="preserve"> in the UK (IT P=0.02, SE P=0.001, DE P&lt;0.001), and </w:t>
      </w:r>
      <w:r w:rsidR="00EE0E9D">
        <w:rPr>
          <w:rFonts w:ascii="Arial" w:eastAsia="Arial" w:hAnsi="Arial" w:cs="Arial"/>
          <w:sz w:val="20"/>
          <w:szCs w:val="20"/>
        </w:rPr>
        <w:t>“</w:t>
      </w:r>
      <w:r>
        <w:rPr>
          <w:rFonts w:ascii="Arial" w:eastAsia="Arial" w:hAnsi="Arial" w:cs="Arial"/>
          <w:sz w:val="20"/>
          <w:szCs w:val="20"/>
        </w:rPr>
        <w:t>data security and protection</w:t>
      </w:r>
      <w:r w:rsidR="00EE0E9D">
        <w:rPr>
          <w:rFonts w:ascii="Arial" w:eastAsia="Arial" w:hAnsi="Arial" w:cs="Arial"/>
          <w:sz w:val="20"/>
          <w:szCs w:val="20"/>
        </w:rPr>
        <w:t>”</w:t>
      </w:r>
      <w:r>
        <w:rPr>
          <w:rFonts w:ascii="Arial" w:eastAsia="Arial" w:hAnsi="Arial" w:cs="Arial"/>
          <w:sz w:val="20"/>
          <w:szCs w:val="20"/>
        </w:rPr>
        <w:t xml:space="preserve"> in Germany (UK P&lt;0.001, IT P=0.019, SE P&lt;0.001).</w:t>
      </w:r>
    </w:p>
    <w:p w14:paraId="0000000C" w14:textId="77777777" w:rsidR="00920126" w:rsidRDefault="00920126">
      <w:pPr>
        <w:rPr>
          <w:rFonts w:ascii="Avenir" w:eastAsia="Avenir" w:hAnsi="Avenir" w:cs="Avenir"/>
          <w:sz w:val="20"/>
          <w:szCs w:val="20"/>
        </w:rPr>
      </w:pPr>
    </w:p>
    <w:p w14:paraId="0000000D" w14:textId="77392534" w:rsidR="00920126" w:rsidRDefault="00803966">
      <w:pPr>
        <w:rPr>
          <w:rFonts w:ascii="Arial" w:eastAsia="Arial" w:hAnsi="Arial" w:cs="Arial"/>
          <w:sz w:val="20"/>
          <w:szCs w:val="20"/>
        </w:rPr>
      </w:pPr>
      <w:r>
        <w:rPr>
          <w:rFonts w:ascii="Arial" w:eastAsia="Arial" w:hAnsi="Arial" w:cs="Arial"/>
          <w:b/>
          <w:sz w:val="20"/>
          <w:szCs w:val="20"/>
        </w:rPr>
        <w:t xml:space="preserve">Interpretation: </w:t>
      </w:r>
      <w:r>
        <w:rPr>
          <w:rFonts w:ascii="Arial" w:eastAsia="Arial" w:hAnsi="Arial" w:cs="Arial"/>
          <w:sz w:val="20"/>
          <w:szCs w:val="20"/>
        </w:rPr>
        <w:t xml:space="preserve">Our study </w:t>
      </w:r>
      <w:r w:rsidR="00050F1C">
        <w:rPr>
          <w:rFonts w:ascii="Arial" w:eastAsia="Arial" w:hAnsi="Arial" w:cs="Arial"/>
          <w:sz w:val="20"/>
          <w:szCs w:val="20"/>
        </w:rPr>
        <w:t>reinforces</w:t>
      </w:r>
      <w:r>
        <w:rPr>
          <w:rFonts w:ascii="Arial" w:eastAsia="Arial" w:hAnsi="Arial" w:cs="Arial"/>
          <w:sz w:val="20"/>
          <w:szCs w:val="20"/>
        </w:rPr>
        <w:t xml:space="preserve"> the feasibility of </w:t>
      </w:r>
      <w:r w:rsidR="00050F1C">
        <w:rPr>
          <w:rFonts w:ascii="Arial" w:eastAsia="Arial" w:hAnsi="Arial" w:cs="Arial"/>
          <w:sz w:val="20"/>
          <w:szCs w:val="20"/>
        </w:rPr>
        <w:t xml:space="preserve">using </w:t>
      </w:r>
      <w:r>
        <w:rPr>
          <w:rFonts w:ascii="Arial" w:eastAsia="Arial" w:hAnsi="Arial" w:cs="Arial"/>
          <w:sz w:val="20"/>
          <w:szCs w:val="20"/>
        </w:rPr>
        <w:t>machine learning to explore large qualitative datasets. Our findings contribute to a better identification of the lessons learned during the pandemic and inform improvements in policy and practice.</w:t>
      </w:r>
    </w:p>
    <w:p w14:paraId="0000000E" w14:textId="77777777" w:rsidR="00920126" w:rsidRDefault="00920126"/>
    <w:p w14:paraId="0000000F" w14:textId="4D669259" w:rsidR="00920126" w:rsidRPr="006752C0" w:rsidRDefault="00920126">
      <w:pPr>
        <w:rPr>
          <w:rFonts w:ascii="Arial" w:hAnsi="Arial" w:cs="Arial"/>
        </w:rPr>
      </w:pPr>
    </w:p>
    <w:p w14:paraId="00000011" w14:textId="5B783704" w:rsidR="00920126" w:rsidRPr="006752C0" w:rsidRDefault="00803966">
      <w:pPr>
        <w:rPr>
          <w:rFonts w:ascii="Arial" w:eastAsia="Arial" w:hAnsi="Arial" w:cs="Arial"/>
          <w:b/>
          <w:sz w:val="20"/>
          <w:szCs w:val="20"/>
        </w:rPr>
      </w:pPr>
      <w:r w:rsidRPr="006752C0">
        <w:rPr>
          <w:rFonts w:ascii="Arial" w:hAnsi="Arial" w:cs="Arial"/>
        </w:rPr>
        <w:br w:type="page"/>
      </w:r>
    </w:p>
    <w:p w14:paraId="00000012" w14:textId="77777777" w:rsidR="00920126" w:rsidRPr="000C73C6" w:rsidRDefault="00803966">
      <w:pPr>
        <w:pStyle w:val="Heading1"/>
        <w:rPr>
          <w:rFonts w:ascii="Arial" w:eastAsia="Arial" w:hAnsi="Arial" w:cs="Arial"/>
          <w:sz w:val="20"/>
          <w:szCs w:val="20"/>
        </w:rPr>
      </w:pPr>
      <w:r w:rsidRPr="000C73C6">
        <w:rPr>
          <w:rFonts w:ascii="Arial" w:eastAsia="Arial" w:hAnsi="Arial" w:cs="Arial"/>
          <w:sz w:val="20"/>
          <w:szCs w:val="20"/>
        </w:rPr>
        <w:lastRenderedPageBreak/>
        <w:t>Introduction</w:t>
      </w:r>
    </w:p>
    <w:p w14:paraId="00000013" w14:textId="77777777" w:rsidR="00920126" w:rsidRPr="000C73C6" w:rsidRDefault="00803966">
      <w:pPr>
        <w:rPr>
          <w:rFonts w:ascii="Arial" w:eastAsia="Arial" w:hAnsi="Arial" w:cs="Arial"/>
          <w:i/>
          <w:sz w:val="20"/>
          <w:szCs w:val="20"/>
        </w:rPr>
      </w:pPr>
      <w:r w:rsidRPr="000C73C6">
        <w:rPr>
          <w:rFonts w:ascii="Arial" w:eastAsia="Arial" w:hAnsi="Arial" w:cs="Arial"/>
          <w:i/>
          <w:sz w:val="20"/>
          <w:szCs w:val="20"/>
        </w:rPr>
        <w:t>Background</w:t>
      </w:r>
    </w:p>
    <w:p w14:paraId="00000014" w14:textId="25DAE39C" w:rsidR="00920126" w:rsidRPr="000C73C6" w:rsidRDefault="00803966">
      <w:pPr>
        <w:rPr>
          <w:rFonts w:ascii="Arial" w:eastAsia="Arial" w:hAnsi="Arial" w:cs="Arial"/>
          <w:sz w:val="20"/>
          <w:szCs w:val="20"/>
        </w:rPr>
      </w:pPr>
      <w:r w:rsidRPr="000C73C6">
        <w:rPr>
          <w:rFonts w:ascii="Arial" w:eastAsia="Arial" w:hAnsi="Arial" w:cs="Arial"/>
          <w:sz w:val="20"/>
          <w:szCs w:val="20"/>
        </w:rPr>
        <w:t>The COVID-19 pandemic has caused unprecedented disruption in many European countries. The requirement to implement strong social distancing measures</w:t>
      </w:r>
      <w:r w:rsidR="005D1980">
        <w:rPr>
          <w:rFonts w:ascii="Arial" w:eastAsia="Arial" w:hAnsi="Arial" w:cs="Arial"/>
          <w:sz w:val="20"/>
          <w:szCs w:val="20"/>
        </w:rPr>
        <w:t xml:space="preserve"> such as restrictions on gatherings or lockdowns</w:t>
      </w:r>
      <w:r w:rsidRPr="000C73C6">
        <w:rPr>
          <w:rFonts w:ascii="Arial" w:eastAsia="Arial" w:hAnsi="Arial" w:cs="Arial"/>
          <w:sz w:val="20"/>
          <w:szCs w:val="20"/>
        </w:rPr>
        <w:t xml:space="preserve"> to protect patients and providers resulted in a massive adoption of virtual care in General Practice. As a response, many European countries have developed national guidance on reshaping primary care, removed regulatory barriers, thus further accelerating the uptake of virtual primary care</w:t>
      </w:r>
      <w:r w:rsidR="004625F7">
        <w:rPr>
          <w:rFonts w:ascii="Arial" w:eastAsia="Arial" w:hAnsi="Arial" w:cs="Arial"/>
          <w:sz w:val="20"/>
          <w:szCs w:val="20"/>
        </w:rPr>
        <w:t xml:space="preserve"> </w:t>
      </w:r>
      <w:r w:rsidR="000C73C6" w:rsidRPr="000C73C6">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{"citationItems":[{"id":"ITEM-1","itemData":{"ISSN":"1356-1030","abstract":"73 Providing health services effectively 16 Bielicki JA, Duval X, Gobat N, et al. Monitoring approaches for health-care workers during the COVID-19 pandemic. Lancet Infectious Diseases, 2020. https://doi. Summary: The COVID-19 pandemic saw a rapid rise in the use of remote consultations by telephone and video link. Remote consultations proved important as a way of supporting non-severe COVID-19 patients, reducing pressure on inpatient care, and maintaining access to routine services. Although remote consultations cannot fully replace face-to-face consultations, it is a cost effective and efficient way of enabling access to care that was being promoted long before the current pandemic but with relatively low uptake in most systems. Further development of remote consultation infrastructure would build greater surge capacity into systems to help protect from future shocks while also ensuring platforms are designed to protect patient confidentiality.","author":[{"dropping-particle":"","family":"Richardson","given":"By Erica","non-dropping-particle":"","parse-names":false,"suffix":""},{"dropping-particle":"","family":"Aissat","given":"Dalhia","non-dropping-particle":"","parse-names":false,"suffix":""},{"dropping-particle":"","family":"Williams","given":"Gemma A","non-dropping-particle":"","parse-names":false,"suffix":""},{"dropping-particle":"","family":"Fahy","given":"Nick","non-dropping-particle":"","parse-names":false,"suffix":""}],"container-title":"Eurohealth","id":"ITEM-1","issue":"2","issued":{"date-parts":[["2020"]]},"page":"73-76","title":"Keeping what works: remote consultations during the COVID-19 pandemic","type":"article-journal","volume":"26"},"uris":["http://www.mendeley.com/documents/?uuid=fdb9c5a4-1d71-4f3e-94d1-f068256d325e"]}],"mendeley":{"formattedCitation":"(Richardson et al., 2020)","plainTextFormattedCitation":"(Richardson et al., 2020)","previouslyFormattedCitation":"(Richardson et al., 2020)"},"properties":{"noteIndex":0},"schema":"https://github.com/citation-style-language/schema/raw/master/csl-citation.json"}</w:instrText>
      </w:r>
      <w:r w:rsidR="000C73C6" w:rsidRPr="000C73C6">
        <w:rPr>
          <w:rFonts w:ascii="Arial" w:eastAsia="Arial" w:hAnsi="Arial" w:cs="Arial"/>
          <w:sz w:val="20"/>
          <w:szCs w:val="20"/>
        </w:rPr>
        <w:fldChar w:fldCharType="separate"/>
      </w:r>
      <w:r w:rsidR="004625F7" w:rsidRPr="004625F7">
        <w:rPr>
          <w:rFonts w:ascii="Arial" w:eastAsia="Arial" w:hAnsi="Arial" w:cs="Arial"/>
          <w:noProof/>
          <w:sz w:val="20"/>
          <w:szCs w:val="20"/>
        </w:rPr>
        <w:t>(Richardson et al., 2020)</w:t>
      </w:r>
      <w:r w:rsidR="000C73C6" w:rsidRPr="000C73C6">
        <w:rPr>
          <w:rFonts w:ascii="Arial" w:eastAsia="Arial" w:hAnsi="Arial" w:cs="Arial"/>
          <w:sz w:val="20"/>
          <w:szCs w:val="20"/>
        </w:rPr>
        <w:fldChar w:fldCharType="end"/>
      </w:r>
      <w:r w:rsidR="004625F7">
        <w:rPr>
          <w:rFonts w:ascii="Arial" w:eastAsia="Arial" w:hAnsi="Arial" w:cs="Arial"/>
          <w:sz w:val="20"/>
          <w:szCs w:val="20"/>
        </w:rPr>
        <w:t xml:space="preserve">. </w:t>
      </w:r>
      <w:r w:rsidRPr="000C73C6">
        <w:rPr>
          <w:rFonts w:ascii="Arial" w:eastAsia="Arial" w:hAnsi="Arial" w:cs="Arial"/>
          <w:sz w:val="20"/>
          <w:szCs w:val="20"/>
        </w:rPr>
        <w:t xml:space="preserve"> </w:t>
      </w:r>
    </w:p>
    <w:p w14:paraId="72A1ABA2" w14:textId="5513668F" w:rsidR="00050F1C" w:rsidRDefault="00803966">
      <w:pPr>
        <w:rPr>
          <w:rFonts w:ascii="Arial" w:eastAsia="Arial" w:hAnsi="Arial" w:cs="Arial"/>
          <w:sz w:val="20"/>
          <w:szCs w:val="20"/>
        </w:rPr>
      </w:pPr>
      <w:r w:rsidRPr="000C73C6">
        <w:rPr>
          <w:rFonts w:ascii="Arial" w:hAnsi="Arial" w:cs="Arial"/>
          <w:sz w:val="20"/>
          <w:szCs w:val="20"/>
        </w:rPr>
        <w:t xml:space="preserve">Germany’s </w:t>
      </w:r>
      <w:r w:rsidR="005D1980">
        <w:rPr>
          <w:rFonts w:ascii="Arial" w:hAnsi="Arial" w:cs="Arial"/>
          <w:sz w:val="20"/>
          <w:szCs w:val="20"/>
        </w:rPr>
        <w:t xml:space="preserve">deficits in the </w:t>
      </w:r>
      <w:r w:rsidRPr="000C73C6">
        <w:rPr>
          <w:rFonts w:ascii="Arial" w:hAnsi="Arial" w:cs="Arial"/>
          <w:sz w:val="20"/>
          <w:szCs w:val="20"/>
        </w:rPr>
        <w:t>digital</w:t>
      </w:r>
      <w:r w:rsidR="005D1980">
        <w:rPr>
          <w:rFonts w:ascii="Arial" w:hAnsi="Arial" w:cs="Arial"/>
          <w:sz w:val="20"/>
          <w:szCs w:val="20"/>
        </w:rPr>
        <w:t>isation of the</w:t>
      </w:r>
      <w:r w:rsidRPr="000C73C6">
        <w:rPr>
          <w:rFonts w:ascii="Arial" w:hAnsi="Arial" w:cs="Arial"/>
          <w:sz w:val="20"/>
          <w:szCs w:val="20"/>
        </w:rPr>
        <w:t xml:space="preserve"> healthcare </w:t>
      </w:r>
      <w:r w:rsidR="005D1980">
        <w:rPr>
          <w:rFonts w:ascii="Arial" w:hAnsi="Arial" w:cs="Arial"/>
          <w:sz w:val="20"/>
          <w:szCs w:val="20"/>
        </w:rPr>
        <w:t xml:space="preserve">system </w:t>
      </w:r>
      <w:r w:rsidRPr="000C73C6">
        <w:rPr>
          <w:rFonts w:ascii="Arial" w:hAnsi="Arial" w:cs="Arial"/>
          <w:sz w:val="20"/>
          <w:szCs w:val="20"/>
        </w:rPr>
        <w:t>were addressed by the Digital Health Care Act (</w:t>
      </w:r>
      <w:proofErr w:type="spellStart"/>
      <w:r w:rsidRPr="000C73C6">
        <w:rPr>
          <w:rFonts w:ascii="Arial" w:hAnsi="Arial" w:cs="Arial"/>
          <w:sz w:val="20"/>
          <w:szCs w:val="20"/>
        </w:rPr>
        <w:t>Digitale-Versorgung-Gesetz</w:t>
      </w:r>
      <w:proofErr w:type="spellEnd"/>
      <w:r w:rsidRPr="000C73C6">
        <w:rPr>
          <w:rFonts w:ascii="Arial" w:hAnsi="Arial" w:cs="Arial"/>
          <w:sz w:val="20"/>
          <w:szCs w:val="20"/>
        </w:rPr>
        <w:t>) enabling remote consultations and digital prescriptions, promoting the integration of virtual care into the healthcare system and facilitating reimbursement for digital health services</w:t>
      </w:r>
      <w:r w:rsidR="004625F7">
        <w:rPr>
          <w:rFonts w:ascii="Arial" w:hAnsi="Arial" w:cs="Arial"/>
          <w:sz w:val="20"/>
          <w:szCs w:val="20"/>
        </w:rPr>
        <w:t xml:space="preserve"> </w:t>
      </w:r>
      <w:r w:rsidR="000C73C6" w:rsidRPr="000C73C6">
        <w:rPr>
          <w:rFonts w:ascii="Arial" w:hAnsi="Arial" w:cs="Arial"/>
          <w:sz w:val="20"/>
          <w:szCs w:val="20"/>
        </w:rPr>
        <w:fldChar w:fldCharType="begin" w:fldLock="1"/>
      </w:r>
      <w:r w:rsidR="004625F7">
        <w:rPr>
          <w:rFonts w:ascii="Arial" w:hAnsi="Arial" w:cs="Arial"/>
          <w:sz w:val="20"/>
          <w:szCs w:val="20"/>
        </w:rPr>
        <w:instrText>ADDIN CSL_CITATION {"citationItems":[{"id":"ITEM-1","itemData":{"URL":"https://www.bertelsmann-stiftung.de/en/publications/publication/did/summary-smarthealthsystems-focus-europe","accessed":{"date-parts":[["2021","11","10"]]},"author":[{"dropping-particle":"","family":"Bertelsmann Stiftung","given":"","non-dropping-particle":"","parse-names":false,"suffix":""}],"id":"ITEM-1","issued":{"date-parts":[["2019"]]},"title":"Summary #SmartHealthSystems – Focus Europe","type":"webpage"},"uris":["http://www.mendeley.com/documents/?uuid=4c474b4d-cbd1-4b6c-8442-fd980b26347c"]},{"id":"ITEM-2","itemData":{"URL":"https://www.bundesgesundheitsministerium.de/en/digital-healthcare-act.html","author":[{"dropping-particle":"","family":"German Federal Ministry of Health","given":"","non-dropping-particle":"","parse-names":false,"suffix":""}],"id":"ITEM-2","issued":{"date-parts":[["0"]]},"title":"Digital Healthcare Act (Digitale-Versorgung-Gesetz)","type":"webpage"},"uris":["http://www.mendeley.com/documents/?uuid=ae14db7a-2b72-4c1c-ac5f-3298072f70cb"]},{"id":"ITEM-3","itemData":{"DOI":"10.1093/jamia/ocaa067","ISSN":"1527-974X (Electronic)","PMID":"32311034","abstract":"The novel coronavirus disease-19 (COVID-19) pandemic has altered our economy,  society, and healthcare system. While this crisis has presented the U.S. healthcare delivery system with unprecedented challenges, the pandemic has catalyzed rapid adoption of telehealth, or the entire spectrum of activities used to deliver care at a distance. Using examples reported by U.S. healthcare organizations, including ours, we describe the role that telehealth has played in transforming healthcare delivery during the 3 phases of the U.S. COVID-19 pandemic: (1) stay-at-home outpatient care, (2) initial COVID-19 hospital surge, and (3) postpandemic recovery. Within each of these 3 phases, we examine how people, process, and technology work together to support a successful telehealth transformation. Whether healthcare enterprises are ready or not, the new reality is that virtual care has arrived.","author":[{"dropping-particle":"","family":"Wosik","given":"Jedrek","non-dropping-particle":"","parse-names":false,"suffix":""},{"dropping-particle":"","family":"Fudim","given":"Marat","non-dropping-particle":"","parse-names":false,"suffix":""},{"dropping-particle":"","family":"Cameron","given":"Blake","non-dropping-particle":"","parse-names":false,"suffix":""},{"dropping-particle":"","family":"Gellad","given":"Ziad F","non-dropping-particle":"","parse-names":false,"suffix":""},{"dropping-particle":"","family":"Cho","given":"Alex","non-dropping-particle":"","parse-names":false,"suffix":""},{"dropping-particle":"","family":"Phinney","given":"Donna","non-dropping-particle":"","parse-names":false,"suffix":""},{"dropping-particle":"","family":"Curtis","given":"Simon","non-dropping-particle":"","parse-names":false,"suffix":""},{"dropping-particle":"","family":"Roman","given":"Matthew","non-dropping-particle":"","parse-names":false,"suffix":""},{"dropping-particle":"","family":"Poon","given":"Eric G","non-dropping-particle":"","parse-names":false,"suffix":""},{"dropping-particle":"","family":"Ferranti","given":"Jeffrey","non-dropping-particle":"","parse-names":false,"suffix":""},{"dropping-particle":"","family":"Katz","given":"Jason N","non-dropping-particle":"","parse-names":false,"suffix":""},{"dropping-particle":"","family":"Tcheng","given":"James","non-dropping-particle":"","parse-names":false,"suffix":""}],"container-title":"Journal of the American Medical Informatics Association : JAMIA","id":"ITEM-3","issue":"6","issued":{"date-parts":[["2020","6"]]},"language":"eng","page":"957-962","publisher-place":"England","title":"Telehealth transformation: COVID-19 and the rise of virtual care.","type":"article-journal","volume":"27"},"uris":["http://www.mendeley.com/documents/?uuid=0a1cb721-18b7-47d3-94d1-6211767ba50f"]}],"mendeley":{"formattedCitation":"(Bertelsmann Stiftung, 2019; German Federal Ministry of Health, n.d.; Wosik et al., 2020)","plainTextFormattedCitation":"(Bertelsmann Stiftung, 2019; German Federal Ministry of Health, n.d.; Wosik et al., 2020)","previouslyFormattedCitation":"(Bertelsmann Stiftung, 2019; German Federal Ministry of Health, n.d.; Wosik et al., 2020)"},"properties":{"noteIndex":0},"schema":"https://github.com/citation-style-language/schema/raw/master/csl-citation.json"}</w:instrText>
      </w:r>
      <w:r w:rsidR="000C73C6" w:rsidRPr="000C73C6">
        <w:rPr>
          <w:rFonts w:ascii="Arial" w:hAnsi="Arial" w:cs="Arial"/>
          <w:sz w:val="20"/>
          <w:szCs w:val="20"/>
        </w:rPr>
        <w:fldChar w:fldCharType="separate"/>
      </w:r>
      <w:r w:rsidR="004625F7" w:rsidRPr="004625F7">
        <w:rPr>
          <w:rFonts w:ascii="Arial" w:hAnsi="Arial" w:cs="Arial"/>
          <w:noProof/>
          <w:sz w:val="20"/>
          <w:szCs w:val="20"/>
        </w:rPr>
        <w:t>(Bertelsmann Stiftung, 2019; German Federal Ministry of Health, n.d.; Wosik et al., 2020)</w:t>
      </w:r>
      <w:r w:rsidR="000C73C6" w:rsidRPr="000C73C6">
        <w:rPr>
          <w:rFonts w:ascii="Arial" w:hAnsi="Arial" w:cs="Arial"/>
          <w:sz w:val="20"/>
          <w:szCs w:val="20"/>
        </w:rPr>
        <w:fldChar w:fldCharType="end"/>
      </w:r>
      <w:r w:rsidR="004625F7">
        <w:rPr>
          <w:rFonts w:ascii="Arial" w:hAnsi="Arial" w:cs="Arial"/>
          <w:sz w:val="20"/>
          <w:szCs w:val="20"/>
        </w:rPr>
        <w:t>.</w:t>
      </w:r>
      <w:r w:rsidR="005D1980">
        <w:rPr>
          <w:rFonts w:ascii="Arial" w:hAnsi="Arial" w:cs="Arial"/>
          <w:sz w:val="20"/>
          <w:szCs w:val="20"/>
        </w:rPr>
        <w:t xml:space="preserve"> During the pandemic the German Association of Statutory Health Insurance Physicians and </w:t>
      </w:r>
      <w:r w:rsidR="00D42302">
        <w:rPr>
          <w:rFonts w:ascii="Arial" w:hAnsi="Arial" w:cs="Arial"/>
          <w:sz w:val="20"/>
          <w:szCs w:val="20"/>
        </w:rPr>
        <w:t xml:space="preserve">the </w:t>
      </w:r>
      <w:r w:rsidR="005D1980">
        <w:rPr>
          <w:rFonts w:ascii="Arial" w:hAnsi="Arial" w:cs="Arial"/>
          <w:sz w:val="20"/>
          <w:szCs w:val="20"/>
        </w:rPr>
        <w:t>Association of Health Insurance</w:t>
      </w:r>
      <w:r w:rsidR="00780926">
        <w:rPr>
          <w:rFonts w:ascii="Arial" w:hAnsi="Arial" w:cs="Arial"/>
          <w:sz w:val="20"/>
          <w:szCs w:val="20"/>
        </w:rPr>
        <w:t xml:space="preserve"> </w:t>
      </w:r>
      <w:r w:rsidR="005D1980">
        <w:rPr>
          <w:rFonts w:ascii="Arial" w:hAnsi="Arial" w:cs="Arial"/>
          <w:sz w:val="20"/>
          <w:szCs w:val="20"/>
        </w:rPr>
        <w:t xml:space="preserve">Funds </w:t>
      </w:r>
      <w:r w:rsidR="00780926" w:rsidRPr="00780926">
        <w:rPr>
          <w:rFonts w:ascii="Arial" w:hAnsi="Arial" w:cs="Arial"/>
          <w:sz w:val="20"/>
          <w:szCs w:val="20"/>
        </w:rPr>
        <w:t>have extended the possible number of cases and the scope of services that can be provided via video consultation</w:t>
      </w:r>
      <w:r w:rsidR="004625F7">
        <w:rPr>
          <w:rFonts w:ascii="Arial" w:hAnsi="Arial" w:cs="Arial"/>
          <w:sz w:val="20"/>
          <w:szCs w:val="20"/>
        </w:rPr>
        <w:t xml:space="preserve"> </w:t>
      </w:r>
      <w:r w:rsidR="00780926">
        <w:rPr>
          <w:rFonts w:ascii="Arial" w:hAnsi="Arial" w:cs="Arial"/>
          <w:sz w:val="20"/>
          <w:szCs w:val="20"/>
        </w:rPr>
        <w:fldChar w:fldCharType="begin" w:fldLock="1"/>
      </w:r>
      <w:r w:rsidR="004625F7">
        <w:rPr>
          <w:rFonts w:ascii="Arial" w:hAnsi="Arial" w:cs="Arial"/>
          <w:sz w:val="20"/>
          <w:szCs w:val="20"/>
        </w:rPr>
        <w:instrText>ADDIN CSL_CITATION {"citationItems":[{"id":"ITEM-1","itemData":{"DOI":"10.1038/s41746-020-0306-7","ISSN":"2398-6352","abstract":"Reimbursement is a key challenge for many new digital health solutions, whose importance and value have been highlighted and expanded by the current COVID-19 pandemic. Germany’s new Digital Healthcare Act (Digitale–Versorgung–Gesetz or DVG) entitles all individuals covered by statutory health insurance to reimbursement for certain digital health applications (i.e., insurers will pay for their use). Since Germany, like the United States (US), is a multi-payer health care system, the new Act provides a particularly interesting case study for US policymakers. We first provide an overview of the new German DVG and outline the landscape for reimbursement of digital health solutions in the US, including recent changes to policies governing telehealth during the COVID-19 pandemic. We then discuss challenges and unanswered questions raised by the DVG, ranging from the limited scope of the Act to privacy issues. Lastly, we highlight early lessons and opportunities for other countries.","author":[{"dropping-particle":"","family":"Gerke","given":"Sara","non-dropping-particle":"","parse-names":false,"suffix":""},{"dropping-particle":"","family":"Stern","given":"Ariel D","non-dropping-particle":"","parse-names":false,"suffix":""},{"dropping-particle":"","family":"Minssen","given":"Timo","non-dropping-particle":"","parse-names":false,"suffix":""}],"container-title":"npj Digital Medicine","id":"ITEM-1","issue":"1","issued":{"date-parts":[["2020"]]},"page":"94","title":"Germany’s digital health reforms in the COVID-19 era: lessons and opportunities for other countries","type":"article-journal","volume":"3"},"uris":["http://www.mendeley.com/documents/?uuid=5faa74b4-757f-41a8-8a31-d65d5cca5eba"]}],"mendeley":{"formattedCitation":"(Gerke et al., 2020)","plainTextFormattedCitation":"(Gerke et al., 2020)","previouslyFormattedCitation":"(Gerke et al., 2020)"},"properties":{"noteIndex":0},"schema":"https://github.com/citation-style-language/schema/raw/master/csl-citation.json"}</w:instrText>
      </w:r>
      <w:r w:rsidR="00780926">
        <w:rPr>
          <w:rFonts w:ascii="Arial" w:hAnsi="Arial" w:cs="Arial"/>
          <w:sz w:val="20"/>
          <w:szCs w:val="20"/>
        </w:rPr>
        <w:fldChar w:fldCharType="separate"/>
      </w:r>
      <w:r w:rsidR="004625F7" w:rsidRPr="004625F7">
        <w:rPr>
          <w:rFonts w:ascii="Arial" w:hAnsi="Arial" w:cs="Arial"/>
          <w:noProof/>
          <w:sz w:val="20"/>
          <w:szCs w:val="20"/>
        </w:rPr>
        <w:t>(Gerke et al., 2020)</w:t>
      </w:r>
      <w:r w:rsidR="00780926">
        <w:rPr>
          <w:rFonts w:ascii="Arial" w:hAnsi="Arial" w:cs="Arial"/>
          <w:sz w:val="20"/>
          <w:szCs w:val="20"/>
        </w:rPr>
        <w:fldChar w:fldCharType="end"/>
      </w:r>
      <w:r w:rsidR="004625F7">
        <w:rPr>
          <w:rFonts w:ascii="Arial" w:hAnsi="Arial" w:cs="Arial"/>
          <w:sz w:val="20"/>
          <w:szCs w:val="20"/>
        </w:rPr>
        <w:t>.</w:t>
      </w:r>
      <w:r w:rsidRPr="000C73C6">
        <w:rPr>
          <w:rFonts w:ascii="Arial" w:hAnsi="Arial" w:cs="Arial"/>
          <w:sz w:val="20"/>
          <w:szCs w:val="20"/>
        </w:rPr>
        <w:t xml:space="preserve"> Sweden has long been at the forefront of incorporating virtual care into its healthcare system, even before the pandemic, in areas such as remote monitoring, teleconsultations, primary care</w:t>
      </w:r>
      <w:r w:rsidR="00D42302">
        <w:rPr>
          <w:rFonts w:ascii="Arial" w:hAnsi="Arial" w:cs="Arial"/>
          <w:sz w:val="20"/>
          <w:szCs w:val="20"/>
        </w:rPr>
        <w:t xml:space="preserve">, </w:t>
      </w:r>
      <w:r w:rsidRPr="000C73C6">
        <w:rPr>
          <w:rFonts w:ascii="Arial" w:hAnsi="Arial" w:cs="Arial"/>
          <w:sz w:val="20"/>
          <w:szCs w:val="20"/>
        </w:rPr>
        <w:t xml:space="preserve"> triage and advice services</w:t>
      </w:r>
      <w:r w:rsidR="004625F7">
        <w:rPr>
          <w:rFonts w:ascii="Arial" w:hAnsi="Arial" w:cs="Arial"/>
          <w:sz w:val="20"/>
          <w:szCs w:val="20"/>
        </w:rPr>
        <w:t xml:space="preserve"> </w:t>
      </w:r>
      <w:r w:rsidR="000C73C6" w:rsidRPr="000C73C6">
        <w:rPr>
          <w:rFonts w:ascii="Arial" w:hAnsi="Arial" w:cs="Arial"/>
          <w:sz w:val="20"/>
          <w:szCs w:val="20"/>
        </w:rPr>
        <w:fldChar w:fldCharType="begin" w:fldLock="1"/>
      </w:r>
      <w:r w:rsidR="004625F7">
        <w:rPr>
          <w:rFonts w:ascii="Arial" w:hAnsi="Arial" w:cs="Arial"/>
          <w:sz w:val="20"/>
          <w:szCs w:val="20"/>
        </w:rPr>
        <w:instrText>ADDIN CSL_CITATION {"citationItems":[{"id":"ITEM-1","itemData":{"DOI":"10.1080/02813432.2021.1913904","ISSN":"0281-3432","author":[{"dropping-particle":"","family":"Gabrielsson-Järhult","given":"Felicia","non-dropping-particle":"","parse-names":false,"suffix":""},{"dropping-particle":"","family":"Kjellström","given":"Sofia","non-dropping-particle":"","parse-names":false,"suffix":""},{"dropping-particle":"","family":"Josefsson","given":"Kristina Areskoug","non-dropping-particle":"","parse-names":false,"suffix":""}],"container-title":"Scandinavian Journal of Primary Health Care","id":"ITEM-1","issue":"2","issued":{"date-parts":[["2021","4","3"]]},"note":"doi: 10.1080/02813432.2021.1913904","page":"204-213","title":"Telemedicine consultations with physicians in Swedish primary care: a mixed methods study of users’ experiences and care patterns","type":"article-journal","volume":"39"},"uris":["http://www.mendeley.com/documents/?uuid=f9516fa0-a7e0-4e73-be5a-4a96212616a7"]},{"id":"ITEM-2","itemData":{"DOI":"10.1080/02813432.2021.1882082","ISSN":"1502-7724 (Electronic)","PMID":"33650941","abstract":"OBJECTIVE: To describe physicians' experiences of video consultation with new  patients visiting a publicly owned virtual primary care clinic. DESIGN: In this qualitative study, data were collected from semi-structured individual interviews and analysed by systematic text condensation. SETTING: A publicly owned virtual primary care clinic in Region Västra Götaland, Sweden. SUBJECTS: Ten primary care physicians working at the clinic. RESULTS: Connecting with a patient over video could be either straightforward or deficient, depending on communication and the patient's condition. Clinical experience, communication skills, and involving patients throughout the consultation and examination were crucial for assessments over video where patients were guided to perform self-examination. The flexibility of work and the regulated assignment online were positive for the physicians' work situation and wellbeing. Providing video consultation within the same organisation as the patient's regular health centre was considered to facilitate patient care and safety. Video consultation was considered suitable for some diagnoses and for some patients not able to reach a primary healthcare centre, though doubts were expressed about the healthcare and social benefits of this virtual care service. CONCLUSION: For the physicians, video consultation induced changes in the basis for assessment of primary care patients. The limitations on informational exchange demanded an extended form of patient involvement founded upon consultation skills, clinical experience and new skills for virtual examination. Combining virtual care with traditional general practice has the potential to reduce the workload for the individual physician and ensure medical competence in virtual primary care. Video consultation experienced suitable in some situations, but easy access to it expressed problematic in terms of medical prioritisation in healthcare.KEY POINTSVideo consultation is suitable for primary care visits for some patients, but physicians' experiences of this are rarely studied. •Clinical experience and consultation skills are important for video assessment of primary care patients which involves physician-guided patient self-examination.•Video consultation facilitates care in some situations and could benefit from the provider being connected to patient's regular health centre.•Virtual care offers a flexible way of working but challenges healthcare prioritisation from the primary care phys…","author":[{"dropping-particle":"","family":"Björndell","given":"Cajsa","non-dropping-particle":"","parse-names":false,"suffix":""},{"dropping-particle":"","family":"Premberg","given":"Åsa","non-dropping-particle":"","parse-names":false,"suffix":""}],"container-title":"Scandinavian journal of primary health care","id":"ITEM-2","issue":"1","issued":{"date-parts":[["2021","3"]]},"language":"eng","page":"67-76","publisher-place":"United States","title":"Physicians' experiences of video consultation with patients at a public virtual  primary care clinic: a qualitative interview study.","type":"article-journal","volume":"39"},"uris":["http://www.mendeley.com/documents/?uuid=32da8264-90ce-499d-8e65-fa53adb555ca"]},{"id":"ITEM-3","itemData":{"DOI":"10.1016/j.ijmedinf.2019.04.016","ISSN":"1872-8243 (Electronic)","PMID":"31128825","abstract":"OBJECTIVE: As digital technologies for health continue to develop, the ability to provide primary care services to patients with new symptoms will grow. In Sweden, two providers of digital primary care have expanded rapidly over the past years giving rise to a heated debate with clear policy implications. The purpose of the study is to present a descriptive review of digital primary care as currently under development in Sweden. METHODS: Descriptive analysis of national coverage data on the utilization of digital care by sex, age, place of residence, socioeconomic status, and most common diagnoses. The data are compared with samples of corresponding data on traditional, office-based primary care, out-of-hours care, and on non-emergency telephone consultations to obtain a comparative analysis of digital care. RESULTS: Digital primary care in Sweden has increased rapidly over the past two years. Currently, more than 30,000 digital consultations are made per month, equivalent to around two percent of all physician-led primary care. Digital care differs in some ways to that of traditional care as users are generally younger and seek for different conditions compared with office-based primary care. Digital care is also similar to traditional care as utilization is higher in metropolitan areas compared with rural areas. Similar to general health care use, there is a negative correlation between use of digital care and socioeconomic status. User profiles by age and sex of digital care are also similar to those of out-of-hours care and non-emergency telephone medical consultations. CONCLUSIONS: By providing a detailed description of the development of digital primary care the study contributes to a growing understanding of the contributions that digital technologies can make to health care. Based on current trends digital primary care is likely to continue to increase in frequency over the coming years. As technologies develop and the public becomes more familiar to interacting with medical providers over the Internet also the scope of digital care is likely to expand. As the provision of digital primary care expands across Europe and beyond, policy makers will need to develop regulating capacities to ensure its safe, effective and equitable integration into existing health systems.","author":[{"dropping-particle":"","family":"Ekman","given":"Björn","non-dropping-particle":"","parse-names":false,"suffix":""},{"dropping-particle"</w:instrText>
      </w:r>
      <w:r w:rsidR="004625F7" w:rsidRPr="004625F7">
        <w:rPr>
          <w:rFonts w:ascii="Arial" w:hAnsi="Arial" w:cs="Arial"/>
          <w:sz w:val="20"/>
          <w:szCs w:val="20"/>
          <w:lang w:val="de-DE"/>
        </w:rPr>
        <w:instrText>:"","family":"Thulesius","given":"Hans","non-dropping-particle":"","parse-names":false,"suffix":""},{"dropping-particle":"","family":"Wilkens","given":"Jens","non-dropping-particle":"","parse-names":false,"suffix":""},{"dropping-particle":"","family":"Lindgren","given":"Anna","non-dropping-particle":"","parse-names":false,"suffix":""},{"dropping-particle":"","family":"Cronberg","given":"Olof","non-dropping-particle":"","parse-names":false,"suffix":""},{"dropping-particle":"","family":"Arvidsson","given":"Eva","non-dropping-particle":"","parse-names":false,"suffix":""}],"container-title":"International Journal of Medical Informatics","id":"ITEM-3","issued":{"date-parts":[["2019","7"]]},"language":"eng","page":"134-140","publisher-place":"Ireland","title":"Utilization of digital primary care in Sweden: descriptive analysis of claims data on demographics, socioeconomics, and diagnoses","type":"article-journal","volume":"127"},"uris":["http://www.mendeley.com/documents/?uuid=c2d4a28b-1a79-4181-969a-ac875d015b2c"]}],"mendeley":{"formattedCitation":"(Björndell and Premberg, 2021; Ekman et al., 2019; Gabrielsson-Järhult et al., 2021)","plainTextFormattedCitation":"(Björndell and Premberg, 2021; Ekman et al., 2019; Gabrielsson-Järhult et al., 2021)","previouslyFormattedCitation":"(Björndell and Premberg, 2021; Ekman et al., 2019; Gabrielsson-Järhult et al., 2021)"},"properties":{"noteIndex":0},"schema":"https://github.com/citation-style-language/schema/raw/master/csl-citation.json"}</w:instrText>
      </w:r>
      <w:r w:rsidR="000C73C6" w:rsidRPr="000C73C6">
        <w:rPr>
          <w:rFonts w:ascii="Arial" w:hAnsi="Arial" w:cs="Arial"/>
          <w:sz w:val="20"/>
          <w:szCs w:val="20"/>
        </w:rPr>
        <w:fldChar w:fldCharType="separate"/>
      </w:r>
      <w:r w:rsidR="004625F7" w:rsidRPr="004625F7">
        <w:rPr>
          <w:rFonts w:ascii="Arial" w:hAnsi="Arial" w:cs="Arial"/>
          <w:noProof/>
          <w:sz w:val="20"/>
          <w:szCs w:val="20"/>
          <w:lang w:val="de-DE"/>
        </w:rPr>
        <w:t>(Björndell and Premberg, 2021; Ekman et al., 2019; Gabrielsson-Järhult et al., 2021)</w:t>
      </w:r>
      <w:r w:rsidR="000C73C6" w:rsidRPr="000C73C6">
        <w:rPr>
          <w:rFonts w:ascii="Arial" w:hAnsi="Arial" w:cs="Arial"/>
          <w:sz w:val="20"/>
          <w:szCs w:val="20"/>
        </w:rPr>
        <w:fldChar w:fldCharType="end"/>
      </w:r>
      <w:r w:rsidR="004625F7" w:rsidRPr="004625F7">
        <w:rPr>
          <w:rFonts w:ascii="Arial" w:hAnsi="Arial" w:cs="Arial"/>
          <w:sz w:val="20"/>
          <w:szCs w:val="20"/>
          <w:lang w:val="de-DE"/>
        </w:rPr>
        <w:t xml:space="preserve">. </w:t>
      </w:r>
      <w:r w:rsidRPr="000C73C6">
        <w:rPr>
          <w:rFonts w:ascii="Arial" w:hAnsi="Arial" w:cs="Arial"/>
          <w:sz w:val="20"/>
          <w:szCs w:val="20"/>
        </w:rPr>
        <w:t>In the United Kingdom, the National Health Service (NHS) Long Term Plan has promoted the integration of digital health technologies, including virtual care, to improve patient access and experience</w:t>
      </w:r>
      <w:r w:rsidR="004625F7">
        <w:rPr>
          <w:rFonts w:ascii="Arial" w:hAnsi="Arial" w:cs="Arial"/>
          <w:sz w:val="20"/>
          <w:szCs w:val="20"/>
        </w:rPr>
        <w:t xml:space="preserve"> </w:t>
      </w:r>
      <w:r w:rsidR="000C73C6" w:rsidRPr="000C73C6">
        <w:rPr>
          <w:rFonts w:ascii="Arial" w:hAnsi="Arial" w:cs="Arial"/>
          <w:sz w:val="20"/>
          <w:szCs w:val="20"/>
        </w:rPr>
        <w:fldChar w:fldCharType="begin" w:fldLock="1"/>
      </w:r>
      <w:r w:rsidR="004625F7">
        <w:rPr>
          <w:rFonts w:ascii="Arial" w:hAnsi="Arial" w:cs="Arial"/>
          <w:sz w:val="20"/>
          <w:szCs w:val="20"/>
        </w:rPr>
        <w:instrText>ADDIN CSL_CITATION {"citationItems":[{"id":"ITEM-1","itemData":{"URL":"https://www.longtermplan.nhs.uk/publication/nhs-long-term-plan/","accessed":{"date-parts":[["2021","5","6"]]},"author":[{"dropping-particle":"","family":"NHS England","given":"","non-dropping-particle":"","parse-names":false,"suffix":""}],"id":"ITEM-1","issued":{"date-parts":[["2019"]]},"title":"The NHS Long Term Plan","type":"webpage"},"uris":["http://www.mendeley.com/documents/?uuid=07c5af97-2ac5-46df-9607-c9b57c23e236"]}],"mendeley":{"formattedCitation":"(NHS England, 2019)","plainTextFormattedCitation":"(NHS England, 2019)","previouslyFormattedCitation":"(NHS England, 2019)"},"properties":{"noteIndex":0},"schema":"https://github.com/citation-style-language/schema/raw/master/csl-citation.json"}</w:instrText>
      </w:r>
      <w:r w:rsidR="000C73C6" w:rsidRPr="000C73C6">
        <w:rPr>
          <w:rFonts w:ascii="Arial" w:hAnsi="Arial" w:cs="Arial"/>
          <w:sz w:val="20"/>
          <w:szCs w:val="20"/>
        </w:rPr>
        <w:fldChar w:fldCharType="separate"/>
      </w:r>
      <w:r w:rsidR="004625F7" w:rsidRPr="004625F7">
        <w:rPr>
          <w:rFonts w:ascii="Arial" w:hAnsi="Arial" w:cs="Arial"/>
          <w:noProof/>
          <w:sz w:val="20"/>
          <w:szCs w:val="20"/>
        </w:rPr>
        <w:t>(NHS England, 2019)</w:t>
      </w:r>
      <w:r w:rsidR="000C73C6" w:rsidRPr="000C73C6">
        <w:rPr>
          <w:rFonts w:ascii="Arial" w:hAnsi="Arial" w:cs="Arial"/>
          <w:sz w:val="20"/>
          <w:szCs w:val="20"/>
        </w:rPr>
        <w:fldChar w:fldCharType="end"/>
      </w:r>
      <w:r w:rsidR="004625F7">
        <w:rPr>
          <w:rFonts w:ascii="Arial" w:hAnsi="Arial" w:cs="Arial"/>
          <w:sz w:val="20"/>
          <w:szCs w:val="20"/>
        </w:rPr>
        <w:t>.</w:t>
      </w:r>
      <w:r w:rsidR="000C73C6" w:rsidRPr="000C73C6">
        <w:rPr>
          <w:rFonts w:ascii="Arial" w:hAnsi="Arial" w:cs="Arial"/>
          <w:sz w:val="20"/>
          <w:szCs w:val="20"/>
        </w:rPr>
        <w:t xml:space="preserve"> </w:t>
      </w:r>
      <w:r w:rsidRPr="000C73C6">
        <w:rPr>
          <w:rFonts w:ascii="Arial" w:hAnsi="Arial" w:cs="Arial"/>
          <w:sz w:val="20"/>
          <w:szCs w:val="20"/>
        </w:rPr>
        <w:t>The NHS has also launched platforms such as NHS Digital and NHS App, which provide access to virtual consultations, online prescriptions, and digital health records</w:t>
      </w:r>
      <w:r w:rsidR="004625F7">
        <w:rPr>
          <w:rFonts w:ascii="Arial" w:hAnsi="Arial" w:cs="Arial"/>
          <w:sz w:val="20"/>
          <w:szCs w:val="20"/>
        </w:rPr>
        <w:t xml:space="preserve"> </w:t>
      </w:r>
      <w:r w:rsidR="000C73C6" w:rsidRPr="000C73C6">
        <w:rPr>
          <w:rFonts w:ascii="Arial" w:hAnsi="Arial" w:cs="Arial"/>
          <w:sz w:val="20"/>
          <w:szCs w:val="20"/>
        </w:rPr>
        <w:fldChar w:fldCharType="begin" w:fldLock="1"/>
      </w:r>
      <w:r w:rsidR="004625F7">
        <w:rPr>
          <w:rFonts w:ascii="Arial" w:hAnsi="Arial" w:cs="Arial"/>
          <w:sz w:val="20"/>
          <w:szCs w:val="20"/>
        </w:rPr>
        <w:instrText>ADDIN CSL_CITATION {"citationItems":[{"id":"ITEM-1","itemData":{"URL":"https://www.nhs.uk/nhs-app/","author":[{"dropping-particle":"","family":"NHS Digital","given":"","non-dropping-particle":"","parse-names":false,"suffix":""}],"id":"ITEM-1","issued":{"date-parts":[["0"]]},"title":"NHS App","type":"webpage"},"uris":["http://www.mendeley.com/documents/?uuid=9e6b171d-8be0-4377-88f2-aba5c85b9095"]}],"mendeley":{"formattedCitation":"(NHS Digital, n.d.)","plainTextFormattedCitation":"(NHS Digital, n.d.)","previouslyFormattedCitation":"(NHS Digital, n.d.)"},"properties":{"noteIndex":0},"schema":"https://github.com/citation-style-language/schema/raw/master/csl-citation.json"}</w:instrText>
      </w:r>
      <w:r w:rsidR="000C73C6" w:rsidRPr="000C73C6">
        <w:rPr>
          <w:rFonts w:ascii="Arial" w:hAnsi="Arial" w:cs="Arial"/>
          <w:sz w:val="20"/>
          <w:szCs w:val="20"/>
        </w:rPr>
        <w:fldChar w:fldCharType="separate"/>
      </w:r>
      <w:r w:rsidR="004625F7" w:rsidRPr="004625F7">
        <w:rPr>
          <w:rFonts w:ascii="Arial" w:hAnsi="Arial" w:cs="Arial"/>
          <w:noProof/>
          <w:sz w:val="20"/>
          <w:szCs w:val="20"/>
        </w:rPr>
        <w:t>(NHS Digital, n.d.)</w:t>
      </w:r>
      <w:r w:rsidR="000C73C6" w:rsidRPr="000C73C6">
        <w:rPr>
          <w:rFonts w:ascii="Arial" w:hAnsi="Arial" w:cs="Arial"/>
          <w:sz w:val="20"/>
          <w:szCs w:val="20"/>
        </w:rPr>
        <w:fldChar w:fldCharType="end"/>
      </w:r>
      <w:r w:rsidR="004625F7">
        <w:rPr>
          <w:rFonts w:ascii="Arial" w:hAnsi="Arial" w:cs="Arial"/>
          <w:sz w:val="20"/>
          <w:szCs w:val="20"/>
        </w:rPr>
        <w:t>.</w:t>
      </w:r>
      <w:r w:rsidR="000C73C6" w:rsidRPr="000C73C6">
        <w:rPr>
          <w:rFonts w:ascii="Arial" w:hAnsi="Arial" w:cs="Arial"/>
          <w:sz w:val="20"/>
          <w:szCs w:val="20"/>
        </w:rPr>
        <w:t xml:space="preserve"> </w:t>
      </w:r>
      <w:r w:rsidRPr="000C73C6">
        <w:rPr>
          <w:rFonts w:ascii="Arial" w:hAnsi="Arial" w:cs="Arial"/>
          <w:sz w:val="20"/>
          <w:szCs w:val="20"/>
        </w:rPr>
        <w:t>Although the availability and diffusion of large-scale remote care solutions were initially limited</w:t>
      </w:r>
      <w:r w:rsidR="000C73C6" w:rsidRPr="000C73C6">
        <w:rPr>
          <w:rFonts w:ascii="Arial" w:hAnsi="Arial" w:cs="Arial"/>
          <w:sz w:val="20"/>
          <w:szCs w:val="20"/>
        </w:rPr>
        <w:t xml:space="preserve">, </w:t>
      </w:r>
      <w:r w:rsidRPr="000C73C6">
        <w:rPr>
          <w:rFonts w:ascii="Arial" w:hAnsi="Arial" w:cs="Arial"/>
          <w:sz w:val="20"/>
          <w:szCs w:val="20"/>
        </w:rPr>
        <w:t>the pandemic has prompted the issuance of various legislative acts</w:t>
      </w:r>
      <w:r w:rsidR="004625F7">
        <w:rPr>
          <w:rFonts w:ascii="Arial" w:hAnsi="Arial" w:cs="Arial"/>
          <w:sz w:val="20"/>
          <w:szCs w:val="20"/>
        </w:rPr>
        <w:t xml:space="preserve"> </w:t>
      </w:r>
      <w:r w:rsidR="000C73C6" w:rsidRPr="000C73C6">
        <w:rPr>
          <w:rFonts w:ascii="Arial" w:hAnsi="Arial" w:cs="Arial"/>
          <w:sz w:val="20"/>
          <w:szCs w:val="20"/>
        </w:rPr>
        <w:fldChar w:fldCharType="begin" w:fldLock="1"/>
      </w:r>
      <w:r w:rsidR="004625F7">
        <w:rPr>
          <w:rFonts w:ascii="Arial" w:hAnsi="Arial" w:cs="Arial"/>
          <w:sz w:val="20"/>
          <w:szCs w:val="20"/>
        </w:rPr>
        <w:instrText>ADDIN CSL_CITATION {"citationItems":[{"id":"ITEM-1","itemData":{"DOI":"10.1089/tmj.2020.0106","ISSN":"1530-5627","abstract":"In the time of COVID-19 epidemic, Italy was found unprepared to manage lockdown patients with chronic diseases, due to limited availability and diffusion of large-scale telemedicine solutions. The scattered distribution and heterogeneity of available tools, the lack of integration with the electronic health record of the national health system, the poor interconnection between telemedicine services operating at different levels, the lack of a real multidisciplinary approach to the patient's management, the heavy privacy regulations, and lack of clear guidelines, together with the lack of reimbursement, all hinder the implementation of effective telemedicine solutions for long-term patients' management. This COVID-19 epidemic should help promote better use and a larger integration of telemedicine services in the armamentarium of health care services. Telemedicine must no longer be considered as an option or add-on to react to an emergency.","author":[{"dropping-particle":"","family":"Omboni","given":"Stefano","non-dropping-particle":"","parse-names":false,"suffix":""}],"container-title":"Telemedicine and e-Health","id":"ITEM-1","issue":"8","issued":{"date-parts":[["2020","4","22"]]},"note":"doi: 10.1089/tmj.2020.0106","page":"973-975","publisher":"Mary Ann Liebert, Inc., publishers","title":"Telemedicine During the COVID-19 in Italy: A Missed Opportunity?","type":"article-journal","volume":"26"},"uris":["http://www.mendeley.com/documents/?uuid=5071829d-bd67-48dd-983a-5f401cdb928a"]},{"id":"ITEM-2","itemData":{"URL":"https://www.osborneclarke.com/insights/telemedicine-italy-takes-next-step-following-pandemic-regulatory-advance","author":[{"dropping-particle":"","family":"Osborne Clarke","given":"","non-dropping-particle":"","parse-names":false,"suffix":""}],"id":"ITEM-2","issued":{"date-parts":[["2023"]]},"title":"Telemedicine in Italy takes next step following pandemic regulatory advanc","type":"webpage"},"uris":["http://www.mendeley.com/documents/?uuid=51a57e1f-dc7e-4824-9ad3-d1dfad1894b1"]}],"mendeley":{"formattedCitation":"(Omboni, 2020; Osborne Clarke, 2023)","plainTextFormattedCitation":"(Omboni, 2020; Osborne Clarke, 2023)","previouslyFormattedCitation":"(Omboni, 2020; Osborne Clarke, 2023)"},"properties":{"noteIndex":0},"schema":"https://github.com/citation-style-language/schema/raw/master/csl-citation.json"}</w:instrText>
      </w:r>
      <w:r w:rsidR="000C73C6" w:rsidRPr="000C73C6">
        <w:rPr>
          <w:rFonts w:ascii="Arial" w:hAnsi="Arial" w:cs="Arial"/>
          <w:sz w:val="20"/>
          <w:szCs w:val="20"/>
        </w:rPr>
        <w:fldChar w:fldCharType="separate"/>
      </w:r>
      <w:r w:rsidR="004625F7" w:rsidRPr="004625F7">
        <w:rPr>
          <w:rFonts w:ascii="Arial" w:hAnsi="Arial" w:cs="Arial"/>
          <w:noProof/>
          <w:sz w:val="20"/>
          <w:szCs w:val="20"/>
        </w:rPr>
        <w:t>(Omboni, 2020; Osborne Clarke, 2023)</w:t>
      </w:r>
      <w:r w:rsidR="000C73C6" w:rsidRPr="000C73C6">
        <w:rPr>
          <w:rFonts w:ascii="Arial" w:hAnsi="Arial" w:cs="Arial"/>
          <w:sz w:val="20"/>
          <w:szCs w:val="20"/>
        </w:rPr>
        <w:fldChar w:fldCharType="end"/>
      </w:r>
      <w:r w:rsidR="004625F7">
        <w:rPr>
          <w:rFonts w:ascii="Arial" w:hAnsi="Arial" w:cs="Arial"/>
          <w:sz w:val="20"/>
          <w:szCs w:val="20"/>
        </w:rPr>
        <w:t>.</w:t>
      </w:r>
      <w:r w:rsidRPr="000C73C6">
        <w:rPr>
          <w:rFonts w:ascii="Arial" w:hAnsi="Arial" w:cs="Arial"/>
          <w:sz w:val="20"/>
          <w:szCs w:val="20"/>
        </w:rPr>
        <w:t xml:space="preserve"> In Europe, initiatives and policies, such as the Digital Health and Care Strategy, the European Health Data Space and Digital Green Certificates (COVID-19 passports) have been launched to foster innovation, enhanc</w:t>
      </w:r>
      <w:r w:rsidR="00D42302">
        <w:rPr>
          <w:rFonts w:ascii="Arial" w:hAnsi="Arial" w:cs="Arial"/>
          <w:sz w:val="20"/>
          <w:szCs w:val="20"/>
        </w:rPr>
        <w:t>e</w:t>
      </w:r>
      <w:r w:rsidRPr="000C73C6">
        <w:rPr>
          <w:rFonts w:ascii="Arial" w:hAnsi="Arial" w:cs="Arial"/>
          <w:sz w:val="20"/>
          <w:szCs w:val="20"/>
        </w:rPr>
        <w:t xml:space="preserve"> health services and improv</w:t>
      </w:r>
      <w:r w:rsidR="00D42302">
        <w:rPr>
          <w:rFonts w:ascii="Arial" w:hAnsi="Arial" w:cs="Arial"/>
          <w:sz w:val="20"/>
          <w:szCs w:val="20"/>
        </w:rPr>
        <w:t>e</w:t>
      </w:r>
      <w:r w:rsidRPr="000C73C6">
        <w:rPr>
          <w:rFonts w:ascii="Arial" w:hAnsi="Arial" w:cs="Arial"/>
          <w:sz w:val="20"/>
          <w:szCs w:val="20"/>
        </w:rPr>
        <w:t xml:space="preserve"> interoperability of digital solutions across countries</w:t>
      </w:r>
      <w:r w:rsidR="004625F7">
        <w:rPr>
          <w:rFonts w:ascii="Arial" w:hAnsi="Arial" w:cs="Arial"/>
          <w:sz w:val="20"/>
          <w:szCs w:val="20"/>
        </w:rPr>
        <w:t xml:space="preserve"> </w:t>
      </w:r>
      <w:r w:rsidR="000C73C6" w:rsidRPr="000C73C6">
        <w:rPr>
          <w:rFonts w:ascii="Arial" w:hAnsi="Arial" w:cs="Arial"/>
          <w:sz w:val="20"/>
          <w:szCs w:val="20"/>
        </w:rPr>
        <w:fldChar w:fldCharType="begin" w:fldLock="1"/>
      </w:r>
      <w:r w:rsidR="004625F7">
        <w:rPr>
          <w:rFonts w:ascii="Arial" w:hAnsi="Arial" w:cs="Arial"/>
          <w:sz w:val="20"/>
          <w:szCs w:val="20"/>
        </w:rPr>
        <w:instrText>ADDIN CSL_CITATION {"citationItems":[{"id":"ITEM-1","itemData":{"URL":"https://health.ec.europa.eu/ehealth-digital-health-and-care_en","accessed":{"date-parts":[["2023","8","12"]]},"author":[{"dropping-particle":"","family":"European Commission","given":"","non-dropping-particle":"","parse-names":false,"suffix":""}],"id":"ITEM-1","issued":{"date-parts":[["0"]]},"title":"eHealth : Digital health and care","type":"webpage"},"uris":["http://www.mendeley.com/documents/?uuid=8c813b21-1ae3-4a71-829e-dfd5e5a963ed"]}],"mendeley":{"formattedCitation":"(European Commission, n.d.)","plainTextFormattedCitation":"(European Commission, n.d.)","previouslyFormattedCitation":"(European Commission, n.d.)"},"properties":{"noteIndex":0},"schema":"https://github.com/citation-style-language/schema/raw/master/csl-citation.json"}</w:instrText>
      </w:r>
      <w:r w:rsidR="000C73C6" w:rsidRPr="000C73C6">
        <w:rPr>
          <w:rFonts w:ascii="Arial" w:hAnsi="Arial" w:cs="Arial"/>
          <w:sz w:val="20"/>
          <w:szCs w:val="20"/>
        </w:rPr>
        <w:fldChar w:fldCharType="separate"/>
      </w:r>
      <w:r w:rsidR="004625F7" w:rsidRPr="004625F7">
        <w:rPr>
          <w:rFonts w:ascii="Arial" w:hAnsi="Arial" w:cs="Arial"/>
          <w:noProof/>
          <w:sz w:val="20"/>
          <w:szCs w:val="20"/>
        </w:rPr>
        <w:t>(European Commission, n.d.)</w:t>
      </w:r>
      <w:r w:rsidR="000C73C6" w:rsidRPr="000C73C6">
        <w:rPr>
          <w:rFonts w:ascii="Arial" w:hAnsi="Arial" w:cs="Arial"/>
          <w:sz w:val="20"/>
          <w:szCs w:val="20"/>
        </w:rPr>
        <w:fldChar w:fldCharType="end"/>
      </w:r>
      <w:r w:rsidR="004625F7">
        <w:rPr>
          <w:rFonts w:ascii="Arial" w:hAnsi="Arial" w:cs="Arial"/>
          <w:sz w:val="20"/>
          <w:szCs w:val="20"/>
        </w:rPr>
        <w:t xml:space="preserve">. </w:t>
      </w:r>
      <w:r w:rsidRPr="000C73C6">
        <w:rPr>
          <w:rFonts w:ascii="Arial" w:eastAsia="Arial" w:hAnsi="Arial" w:cs="Arial"/>
          <w:sz w:val="20"/>
          <w:szCs w:val="20"/>
        </w:rPr>
        <w:t>Virtual care has been embraced as a suitable means of bridging the gap in service delivery and improving healthcare delivery during the pandemic. However, the rapid adoption has raised concerns about the quality of care, potential inequalities in access to care, lack of trust among users and not replacing in-person consultations</w:t>
      </w:r>
      <w:r w:rsidR="004625F7">
        <w:rPr>
          <w:rFonts w:ascii="Arial" w:eastAsia="Arial" w:hAnsi="Arial" w:cs="Arial"/>
          <w:sz w:val="20"/>
          <w:szCs w:val="20"/>
        </w:rPr>
        <w:t xml:space="preserve"> </w:t>
      </w:r>
      <w:r w:rsidR="000C73C6" w:rsidRPr="000C73C6">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{"citationItems":[{"id":"ITEM-1","itemData":{"DOI":"10.1016/S0140-6736(20)30818-7","ISSN":"1474547X","PMID":"32278374","author":[{"dropping-particle":"","family":"Webster","given":"Paul","non-dropping-particle":"","parse-names":false,"suffix":""}],"container-title":"Lancet (London, England)","id":"ITEM-1","issue":"10231","issued":{"date-parts":[["2020"]]},"page":"1180-1181","publisher":"Elsevier Ltd","title":"Virtual health care in the era of COVID-19","type":"article-journal","volume":"395"},"uris":["http://www.mendeley.com/documents/?uuid=c450a537-b15a-425f-8fef-42b403d06aa8"]},{"id":"ITEM-2","itemData":{"URL":"https://www.cocir.org/fileadmin/Events_2020/Digitalisation_16_Nov/4._COCIR_event_16_Nov._2020_-_Michele_Calabro.pdf","accessed":{"date-parts":[["2021","6","30"]]},"author":[{"dropping-particle":"","family":"European Patients' Forum","given":"","non-dropping-particle":"","parse-names":false,"suffix":""}],"id":"ITEM-2","issued":{"date-parts":[["2020"]]},"title":"Digitalisation of healthcare: the new normal","type":"webpage"},"uris":["http://www.mendeley.com/documents/?uuid=7aaedb73-8dc4-4fc7-88cc-354df26b3b54"]}],"mendeley":{"formattedCitation":"(European Patients’ Forum, 2020; Webster, 2020)","plainTextFormattedCitation":"(European Patients’ Forum, 2020; Webster, 2020)","previouslyFormattedCitation":"(European Patients’ Forum, 2020; Webster, 2020)"},"properties":{"noteIndex":0},"schema":"https://github.com/citation-style-language/schema/raw/master/csl-citation.json"}</w:instrText>
      </w:r>
      <w:r w:rsidR="000C73C6" w:rsidRPr="000C73C6">
        <w:rPr>
          <w:rFonts w:ascii="Arial" w:eastAsia="Arial" w:hAnsi="Arial" w:cs="Arial"/>
          <w:sz w:val="20"/>
          <w:szCs w:val="20"/>
        </w:rPr>
        <w:fldChar w:fldCharType="separate"/>
      </w:r>
      <w:r w:rsidR="004625F7" w:rsidRPr="004625F7">
        <w:rPr>
          <w:rFonts w:ascii="Arial" w:eastAsia="Arial" w:hAnsi="Arial" w:cs="Arial"/>
          <w:noProof/>
          <w:sz w:val="20"/>
          <w:szCs w:val="20"/>
        </w:rPr>
        <w:t>(European Patients’ Forum, 2020; Webster, 2020)</w:t>
      </w:r>
      <w:r w:rsidR="000C73C6" w:rsidRPr="000C73C6">
        <w:rPr>
          <w:rFonts w:ascii="Arial" w:eastAsia="Arial" w:hAnsi="Arial" w:cs="Arial"/>
          <w:sz w:val="20"/>
          <w:szCs w:val="20"/>
        </w:rPr>
        <w:fldChar w:fldCharType="end"/>
      </w:r>
      <w:r w:rsidR="004625F7">
        <w:rPr>
          <w:rFonts w:ascii="Arial" w:eastAsia="Arial" w:hAnsi="Arial" w:cs="Arial"/>
          <w:sz w:val="20"/>
          <w:szCs w:val="20"/>
        </w:rPr>
        <w:t>.</w:t>
      </w:r>
      <w:r w:rsidR="00780926">
        <w:rPr>
          <w:rFonts w:ascii="Arial" w:eastAsia="Arial" w:hAnsi="Arial" w:cs="Arial"/>
          <w:sz w:val="20"/>
          <w:szCs w:val="20"/>
        </w:rPr>
        <w:t xml:space="preserve"> </w:t>
      </w:r>
      <w:r w:rsidRPr="000C73C6">
        <w:rPr>
          <w:rFonts w:ascii="Arial" w:eastAsia="Arial" w:hAnsi="Arial" w:cs="Arial"/>
          <w:sz w:val="20"/>
          <w:szCs w:val="20"/>
        </w:rPr>
        <w:t>While for many patients this shift was their first exposure to virtual care, this mode of delivery is likely to become a common service model in the post-pandemic future. Therefore, the pandemic can be seen as a unique opportunity to explore the potential long-term impact of virtual primary care on the quality and safety of care by learning from its main users: patients</w:t>
      </w:r>
      <w:r w:rsidR="000C73C6">
        <w:rPr>
          <w:rFonts w:ascii="Arial" w:eastAsia="Arial" w:hAnsi="Arial" w:cs="Arial"/>
          <w:sz w:val="20"/>
          <w:szCs w:val="20"/>
        </w:rPr>
        <w:t>.</w:t>
      </w:r>
    </w:p>
    <w:p w14:paraId="00000018" w14:textId="6A2117CE" w:rsidR="00920126" w:rsidRPr="000C73C6" w:rsidRDefault="00050F1C">
      <w:pPr>
        <w:rPr>
          <w:rFonts w:ascii="Arial" w:eastAsia="Arial" w:hAnsi="Arial" w:cs="Arial"/>
          <w:sz w:val="20"/>
          <w:szCs w:val="20"/>
        </w:rPr>
      </w:pPr>
      <w:r w:rsidRPr="00B86AB7">
        <w:rPr>
          <w:rFonts w:ascii="Arial" w:eastAsia="Arial" w:hAnsi="Arial" w:cs="Arial"/>
          <w:sz w:val="20"/>
          <w:szCs w:val="20"/>
        </w:rPr>
        <w:t>The integration of digital technologies into healthcare has led to changes in the way patients perceive and engage with health</w:t>
      </w:r>
      <w:r w:rsidR="00D42302">
        <w:rPr>
          <w:rFonts w:ascii="Arial" w:eastAsia="Arial" w:hAnsi="Arial" w:cs="Arial"/>
          <w:sz w:val="20"/>
          <w:szCs w:val="20"/>
        </w:rPr>
        <w:t xml:space="preserve"> </w:t>
      </w:r>
      <w:r w:rsidRPr="00B86AB7">
        <w:rPr>
          <w:rFonts w:ascii="Arial" w:eastAsia="Arial" w:hAnsi="Arial" w:cs="Arial"/>
          <w:sz w:val="20"/>
          <w:szCs w:val="20"/>
        </w:rPr>
        <w:t>services. The introduction of digital health technologies has improved information sharing, facilitated decision-making processes, created pathways for information sharing and support, strengthened self-management skills and encouraged better health promotion</w:t>
      </w:r>
      <w:r w:rsidR="004625F7">
        <w:rPr>
          <w:rFonts w:ascii="Arial" w:eastAsia="Arial" w:hAnsi="Arial" w:cs="Arial"/>
          <w:sz w:val="20"/>
          <w:szCs w:val="20"/>
        </w:rPr>
        <w:t xml:space="preserve"> </w:t>
      </w:r>
      <w:r>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{"citationItems":[{"id":"ITEM-1","itemData":{"ISSN":"0148-9917","author":[{"dropping-particle":"","family":"Frank","given":"Seth R","non-dropping-particle":"","parse-names":false,"suffix":""}],"container-title":"The Journal of ambulatory care management","id":"ITEM-1","issue":"2","issued":{"date-parts":[["2000"]]},"page":"8-17","publisher":"LWW","title":"Digital health care—the convergence of health care and the Internet","type":"article-journal","volume":"23"},"uris":["http://www.mendeley.com/documents/?uuid=21180894-7e49-4f66-8b7a-2a2aeb5f8f8c"]}],"mendeley":{"formattedCitation":"(Frank, 2000)","plainTextFormattedCitation":"(Frank, 2000)","previouslyFormattedCitation":"(Frank, 2000)"},"properties":{"noteIndex":0},"schema":"https://github.com/citation-style-language/schema/raw/master/csl-citation.json"}</w:instrText>
      </w:r>
      <w:r>
        <w:rPr>
          <w:rFonts w:ascii="Arial" w:eastAsia="Arial" w:hAnsi="Arial" w:cs="Arial"/>
          <w:sz w:val="20"/>
          <w:szCs w:val="20"/>
        </w:rPr>
        <w:fldChar w:fldCharType="separate"/>
      </w:r>
      <w:r w:rsidR="004625F7" w:rsidRPr="004625F7">
        <w:rPr>
          <w:rFonts w:ascii="Arial" w:eastAsia="Arial" w:hAnsi="Arial" w:cs="Arial"/>
          <w:noProof/>
          <w:sz w:val="20"/>
          <w:szCs w:val="20"/>
        </w:rPr>
        <w:t>(Frank, 2000)</w:t>
      </w:r>
      <w:r>
        <w:rPr>
          <w:rFonts w:ascii="Arial" w:eastAsia="Arial" w:hAnsi="Arial" w:cs="Arial"/>
          <w:sz w:val="20"/>
          <w:szCs w:val="20"/>
        </w:rPr>
        <w:fldChar w:fldCharType="end"/>
      </w:r>
      <w:r w:rsidR="004625F7">
        <w:rPr>
          <w:rFonts w:ascii="Arial" w:eastAsia="Arial" w:hAnsi="Arial" w:cs="Arial"/>
          <w:sz w:val="20"/>
          <w:szCs w:val="20"/>
        </w:rPr>
        <w:t xml:space="preserve">. </w:t>
      </w:r>
      <w:r w:rsidRPr="00B86AB7">
        <w:rPr>
          <w:rFonts w:ascii="Arial" w:eastAsia="Arial" w:hAnsi="Arial" w:cs="Arial"/>
          <w:sz w:val="20"/>
          <w:szCs w:val="20"/>
        </w:rPr>
        <w:t>Research shows that patients' ability to access and rely on digital information influences their decisions about healthcare providers</w:t>
      </w:r>
      <w:r w:rsidR="004625F7">
        <w:rPr>
          <w:rFonts w:ascii="Arial" w:eastAsia="Arial" w:hAnsi="Arial" w:cs="Arial"/>
          <w:sz w:val="20"/>
          <w:szCs w:val="20"/>
        </w:rPr>
        <w:t xml:space="preserve"> </w:t>
      </w:r>
      <w:r>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{"citationItems":[{"id":"ITEM-1","itemData":{"DOI":"https://doi.org/10.1016/j.heliyon.2022.e09351","ISSN":"2405-8440","abstract":"Digital healthcare has been greatly benefiting the public health system, especially during the COVID-19 pandemic. In digital healthcare, information communication through the Internet is crucial. The current study explores how patients' accessibility and trust in Internet information influence their decisions and ex-post assessment of healthcare providers by employing the Bayesian Mindsponge Framework (BMF) on a dataset of 1,459 Vietnamese patients. We find that patients’ accessibility to Internet information positively affects the perceived sufficiency of information for choosing a healthcare provider, and their trust in the information intensifies this effect. Internet information accessibility is negatively associated with post-treatment assessment of healthcare providers, and trust also moderates this effect. Moreover, patients considering professional reputation important while making a decision are more likely to regard their choices as optimal, whereas patients considering services important have contradicting tendencies. Based on these findings, a concern about the risk of eroding trust toward Internet sources about healthcare information is raised. Thus, quality control and public trust-building measures need to be taken to improve the effectiveness of healthcare-related communication through the Internet and facilitate the implementation of digital healthcare.","author":[{"dropping-particle":"","family":"Vuong","given":"Quan-Hoang","non-dropping-particle":"","parse-names":false,"suffix":""},{"dropping-particle":"","family":"Le","given":"Tam-Tri","non-dropping-particle":"","parse-names":false,"suffix":""},{"dropping-particle":"","family":"La","given":"Viet-Phuong","non-dropping-particle":"","parse-names":false,"suffix":""},{"dropping-particle":"","family":"Nguyen","given":"Minh-Hoang","non-dropping-particle":"","parse-names":false,"suffix":""}],"container-title":"Heliyon","id":"ITEM-1","issue":"5","issued":{"date-parts":[["2022"]]},"page":"e09351","title":"The psychological mechanism of internet information processing for post-treatment evaluation","type":"article-journal","volume":"8"},"uris":["http://www.mendeley.com/documents/?uuid=8d1d5c9f-b562-4123-bc11-7a07e62cc619"]}],"mendeley":{"formattedCitation":"(Vuong et al., 2022)","plainTextFormattedCitation":"(Vuong et al., 2022)","previouslyFormattedCitation":"(Vuong et al., 2022)"},"properties":{"noteIndex":0},"schema":"https://github.com/citation-style-language/schema/raw/master/csl-citation.json"}</w:instrText>
      </w:r>
      <w:r>
        <w:rPr>
          <w:rFonts w:ascii="Arial" w:eastAsia="Arial" w:hAnsi="Arial" w:cs="Arial"/>
          <w:sz w:val="20"/>
          <w:szCs w:val="20"/>
        </w:rPr>
        <w:fldChar w:fldCharType="separate"/>
      </w:r>
      <w:r w:rsidR="004625F7" w:rsidRPr="004625F7">
        <w:rPr>
          <w:rFonts w:ascii="Arial" w:eastAsia="Arial" w:hAnsi="Arial" w:cs="Arial"/>
          <w:noProof/>
          <w:sz w:val="20"/>
          <w:szCs w:val="20"/>
        </w:rPr>
        <w:t>(Vuong et al., 2022)</w:t>
      </w:r>
      <w:r>
        <w:rPr>
          <w:rFonts w:ascii="Arial" w:eastAsia="Arial" w:hAnsi="Arial" w:cs="Arial"/>
          <w:sz w:val="20"/>
          <w:szCs w:val="20"/>
        </w:rPr>
        <w:fldChar w:fldCharType="end"/>
      </w:r>
      <w:r w:rsidR="004625F7">
        <w:rPr>
          <w:rFonts w:ascii="Arial" w:eastAsia="Arial" w:hAnsi="Arial" w:cs="Arial"/>
          <w:sz w:val="20"/>
          <w:szCs w:val="20"/>
        </w:rPr>
        <w:t xml:space="preserve">. </w:t>
      </w:r>
      <w:r w:rsidR="00803966" w:rsidRPr="000C73C6">
        <w:rPr>
          <w:rFonts w:ascii="Arial" w:eastAsia="Arial" w:hAnsi="Arial" w:cs="Arial"/>
          <w:sz w:val="20"/>
          <w:szCs w:val="20"/>
        </w:rPr>
        <w:t>Some studies reported high levels of satisfaction with virtual care services in primary care and outpatient settings during the pandemic</w:t>
      </w:r>
      <w:r w:rsidR="004625F7">
        <w:rPr>
          <w:rFonts w:ascii="Arial" w:eastAsia="Arial" w:hAnsi="Arial" w:cs="Arial"/>
          <w:sz w:val="20"/>
          <w:szCs w:val="20"/>
        </w:rPr>
        <w:t xml:space="preserve"> </w:t>
      </w:r>
      <w:r w:rsidR="00926673">
        <w:rPr>
          <w:rFonts w:ascii="Arial" w:eastAsia="Arial" w:hAnsi="Arial" w:cs="Arial"/>
          <w:sz w:val="20"/>
          <w:szCs w:val="20"/>
        </w:rPr>
        <w:fldChar w:fldCharType="begin" w:fldLock="1"/>
      </w:r>
      <w:r w:rsidR="004625F7">
        <w:rPr>
          <w:rFonts w:ascii="Arial" w:eastAsia="Arial" w:hAnsi="Arial" w:cs="Arial"/>
          <w:sz w:val="20"/>
          <w:szCs w:val="20"/>
        </w:rPr>
        <w:instrText xml:space="preserve">ADDIN CSL_CITATION {"citationItems":[{"id":"ITEM-1","itemData":{"DOI":"10.2196/20786","ISSN":"14388871","PMID":"32810841","abstract":"Background: New York City was the international epicenter of the COVID-19 pandemic. Health care providers responded by rapidly transitioning from in-person to video consultations. Telemedicine (ie, video visits) is a potentially disruptive innovation; however, little is known about patient satisfaction with this emerging alternative to the traditional clinical encounter. Objective: This study aimed to determine if patient satisfaction differs between video and in-person visits. Methods: In this retrospective observational cohort study, we analyzed 38,609 Press Ganey patient satisfaction survey outcomes from clinic encounters (620 video visits vs 37,989 in-person visits) at a single-institution, urban, quaternary academic medical center in New York City for patients aged 18 years, from April 1, 2019, to March 31, 2020. Time was categorized as pre-COVID-19 and COVID-19 (before vs after March 4, 2020). Wilcoxon-Mann-Whitney tests and multivariable linear regression were used for hypothesis testing and statistical modeling, respectively. Results: We experienced an 8729% increase in video visit utilization during the COVID-19 pandemic compared to the same period last year. Video visit Press Ganey scores were significantly higher than in-person visits (94.9% vs 92.5%; P&lt;.001). In adjusted analyses, video visits (parameter estimate [PE] 2.18; 95% CI 1.20-3.16) and the COVID-19 period (PE 0.55; 95% CI 0.04-1.06) were associated with higher patient satisfaction. Younger age (PE -2.05; 95% CI -2.66 to -1.22), female gender (PE -0.73; 95% CI -0.96 to -0.50), and new visit type (PE -0.75; 95% CI -1.00 to -0.49) were associated with lower patient satisfaction. Conclusions: Patient satisfaction with video visits is high and is not a barrier toward a paradigm shift away from traditional in-person clinic visits. Future research comparing other clinic visit quality indicators is needed to guide and implement the widespread adoption of telemedicine.","author":[{"dropping-particle":"","family":"Ramaswamy","given":"Ashwin","non-dropping-particle":"","parse-names":false,"suffix":""},{"dropping-particle":"","family":"Yu","given":"Miko","non-dropping-particle":"","parse-names":false,"suffix":""},{"dropping-particle":"","family":"Drangsholt","given":"Siri","non-dropping-particle":"","parse-names":false,"suffix":""},{"dropping-particle":"","family":"Ng","given":"Eric","non-dropping-particle":"","parse-names":false,"suffix":""},{"dropping-particle":"","family":"Culligan","given":"Patrick J.","non-dropping-particle":"","parse-names":false,"suffix":""},{"dropping-particle":"","family":"Schlegel","given":"Peter N.","non-dropping-particle":"","parse-names":false,"suffix":""},{"dropping-particle":"","family":"Hu","given":"Jim C.","non-dropping-particle":"","parse-names":false,"suffix":""}],"container-title":"Journal of Medical Internet Research","id":"ITEM-1","issue":"9","issued":{"date-parts":[["2020"]]},"page":"1-9","title":"Patient satisfaction with telemedicine during the COVID-19 pandemic: retrospective cohort study","type":"article-journal","volume":"22"},"uris":["http://www.mendeley.com/documents/?uuid=3e8b2d82-d635-473d-a559-d4fe4a79b009"]},{"id":"ITEM-2","itemData":{"DOI":"10.1089/tmj.2020.0168","ISSN":"15563669","PMID":"32614689","abstract":"Purpose: This study sought to determine whether the necessitated use of telemedicine due to coronavirus disease 2019, and limited choice of both the provider and patient, impacts the perceptions of telemedicine by patients who experienced telemedicine prepandemic and those who first experienced telemedicine during the pandemic. Methodology: Participants for this survey were a convenience sample. An invitation to participate was shared through social media and e-mail listservs. To participate, individuals had to be at least 18 years of age and gave consent to their data being used. The online survey took </w:instrText>
      </w:r>
      <w:r w:rsidR="004625F7">
        <w:rPr>
          <w:rFonts w:ascii="Cambria Math" w:eastAsia="Arial" w:hAnsi="Cambria Math" w:cs="Cambria Math"/>
          <w:sz w:val="20"/>
          <w:szCs w:val="20"/>
        </w:rPr>
        <w:instrText>∼</w:instrText>
      </w:r>
      <w:r w:rsidR="004625F7">
        <w:rPr>
          <w:rFonts w:ascii="Arial" w:eastAsia="Arial" w:hAnsi="Arial" w:cs="Arial"/>
          <w:sz w:val="20"/>
          <w:szCs w:val="20"/>
        </w:rPr>
        <w:instrText>10-15 min to complete, the survey was available from March 31 to April 20, 2020. Results: Two hundred sixty-four (n = 264, 60.8%) individuals had used telemedicine on or before December 2019 and 170 (39.2%) individuals used telemedicine for the first time January 2020 or later. There were no significant differences in demographics between groups, except that new users were more likely to have a primary care physician [F(407) = 13.51, p &lt; 0.001]. Satisfaction of telemedicine was measured using a 10-item scale, demonstrating that all participants were overall satisfied with their telemedicine experience(s), (mean = 1.67, standard deviation = 0.61). Broadly, the differences in perceptions between the groups included the reasons for using telemedicine, perceptions of quality of in-person care, continuity of care, and a technical issue. Conclusions: Overall, patients are satisfied using telemedicine, however, for new users, both providers and patients, some acclimation needs to occur.","author":[{"dropping-particle":"","family":"Holtz","given":"Bree E.","non-dropping-particle":"","parse-names":false,"suffix":""}],"container-title":"Telemedicine and e-Health","id":"ITEM-2","issue":"1","issued":{"date-parts":[["2021"]]},"page":"107-112","title":"Patients perceptions of telemedicine visits before and after the coronavirus disease 2019 pandemic","type":"article-journal","volume":"27"},"uris":["http://www.mendeley.com/documents/?uuid=53c3020f-51e6-4374-a361-c5e3a579c36b"]},{"id":"ITEM-3","itemData":{"DOI":"10.1186/s12875-020-01336-1","ISSN":"14712296","PMID":"33308161","abstract":"Background: During the first COVID-19 pandemic ‘lockdown’ in Aotearoa/New Zealand (March–May 2020, in which strict ‘stay at home’ measures were introduced), general practices were advised to use telephone and video consultations (telehealth) wherever possible instead of the usual in-person visits. This was a sudden change for most practices and patients. This research aimed to explore how patients accessed general practice during lockdown and evaluate their experiences with telehealth, to inform how telehealth could be most effectively used in the future. Methods: Using a mixed-method approach, we undertook an online survey and in-depth interviews with adults (&gt; 18 years) who had contact with practices during lockdown, recruited through social media and email lists. We present descriptive statistics from the survey data (n = 1010) and qualitative analysis of interview data (n = 38) and open-ended survey questions, using a framework of access to health care, from the patient’s perspective. Results: In general, patients reported high satisfaction with telehealth in general practice during lockdown. Telehealth was convenient and allowed patients to safely access health care without having to weigh-up the fear of COVID-19 infection against the need to be seen. Telehealth worked best for routine and familiar health issues and when rapport was established between patients and clinicians. This was easier with a pre-existing clinical relationship, but not impossible without one. Telehealth was less suitable when a physical examination was needed, when the diagnosis was unknown or for patients who had a strong preference to be seen in-person. Conclusions: Even in this disruptive lockdown period, that prompted an unexpected and rapid implementation of telehealth services in general practices, most patients had positive experiences with telehealth. In the future, patients want the choice of consultation type to match their needs, circumstances, and preferences. Technological issues and funding barriers may need to be addressed, and clear communication for both patients and clinicians is needed about key aspects of telehealth (e.g. cost, appropriateness, privacy). Maintaining telehealth as an option post-lockdown has the potential to increase timely and safe access to primary health care for many patients.","author":[{"dropping-particle":"","family":"Imlach","given":"Fiona","non-dropping-particle":"","parse-names":false,"suffix":""},{"dropping-particle":"","family":"McKinlay","given":"Eileen","non-dropping-particle":"","parse-names":false,"suffix":""},{"dropping-particle":"","family":"Middleton","given":"Lesley","non-dropping-particle":"","parse-names":false,"suffix":""},{"dropping-particle":"","family":"Kennedy","given":"Jonathan","non-dropping-particle":"","parse-names":false,"suffix":""},{"dropping-particle":"","family":"Pledger","given":"Megan","non-dropping-particle":"","parse-names":false,"suffix":""},{"dropping-particle":"","family":"Russell","given":"Lynne","non-dropping-particle":"","parse-names":false,"suffix":""},{"dropping-particle":"","family":"Churchward","given":"Marianna","non-dropping-particle":"","parse-names":false,"suffix":""},{"dropping-particle":"","family":"Cumming","given":"Jacqueline","non-dropping-particle":"","parse-names":false,"suffix":""},{"dropping-particle":"","family":"McBride-Henry","given":"Karen","non-dropping-particle":"","parse-names":false,"suffix":""}],"container-title":"BMC Family Practice","id":"ITEM-3","issue":"1","issued":{"date-parts":[["2020"]]},"page":"1-14","title":"Telehealth consultations in general practice during a pandemic lockdown: survey and interviews on patient experiences and preferences","type":"article-journal","volume":"21"},"uris":["http://www.mendeley.com/documents/?uuid=f523822c-538c-4e0a-a626-86f12b81d845"]},{"id":"ITEM-4","itemData":{"DOI":"10.1089/tmj.2021.0174","ISSN":"1556-3669 (electronic)","abstract":"Background: During the COVID-19 pandemic telemedicine was rapidly expanded and incorporated into day-to-day practice by primary care providers to allow continued access to care for patients during this time. The quick adoption of telemedicine occurred out of necessity for social distancing, and evidence-based approaches are needed to determine the future utility of this approach to delivering care. The objective of this study was to identify factors associated with both provider and patient satisfaction with telemedicine visits in a primary care setting during the COVID-19 pandemic. Method(s): This survey-based study was conducted in 2020. Surveys were distributed electronically by e-mail to providers and patients. Participant(s): Surveys related to satisfaction levels with telemedicine were distributed to 73 primary care providers and 6,626 patients. Main Outcomes and Measures: The primary measures of this study were satisfaction level with telemedicine in primary care. Result(s): Studies were completed by 23 primary care providers and 1,692 patients. Most patient participants were female (70.8%), white (89.7%), non-Hispanic or non-Latino (96.6%), and Massachusetts residents (96.9%). Variables that were found to be significantly associated with higher levels of satisfaction with telemedicine visits included: travel time saved &gt;30min (odds ratio [OR] 1.8), having an easy visit connection (OR=3.2), use of Zoom© video visit over telephone only (OR=2.8), and identifying as female (OR 1.8). Conclusions and Relevance: Patients and providers reported high levels of satisfaction with telemedicine visits in a primary care setting. Providers felt that telemedicine visits usually take the same amount or less time than in-person visits. Both providers and patients reported a desire to see telemedicine visits continued after the pandemic. Patients who saved more than 30min of travel time found it easy to connect or those who were female were more likely to be satisfied with telemedicine visits, while those that had telephone visits were less likely to be satisfied than those that had Zoom© visits.","author":[{"dropping-particle":"","family":"Vosburg","given":"R Wesley","non-dropping-particle":"","parse-names":false,"suffix":""},{"dropping-particle":"","family":"Robinson","given":"Korntey A","non-dropping-particle":"","parse-names":false,"suffix":""}],"container-title":"Telemedicine and e-Health","id":"ITEM-4","issued":{"date-parts":[["2021"]]},"language":"English","title":"Telemedicine in primary care during the COVID-19 pandemic: provider and patient satisfaction examined","type":"article-journal"},"uris":["http://www.mendeley.com/documents/?uuid=ca359c14-5c74-462a-a0b6-8643f124a2a6"]},{"id":"ITEM-5","itemData":{"DOI":"10.1089/tmj.2021.0055","ISSN":"1556-3669 (electronic)","abstract":"Background: The coronavirus disease 2019 (COVID-19) pandemic has disrupted the health care system in various ways, one of which is the implementation of telemedicine as a part of the daily clinical practice for many physicians. Sofia is a Mexican health care and technology startup that implemented an app-based telemedicine program during this pandemic in Mexico. Material(s) and Method(s): The telemedicine program included on-demand video consultations with internal medicine specialists from March to September 2020. In the following study, we present a descriptive analysis of all the patients in the telemedicine program, called Coronaid. Result(s): 2,585 video consultations were conducted for a total of 1,545 patients and 44.4% of these were associated with respiratory symptoms. Of all patients, 46% were female and the mean age was 34 years, 52.2% were overweight or obese, and 25% presented at least one comorbid condition. Aside from respiratory complaints, the most common chief complaints were associated with gastrointestinal, psychiatric, and genitourinary symptoms. Patient satisfaction after video consultation services was &gt;80%. Discussion(s): During the COVID-19 pandemic, an application-based telemedicine program had a high patient satisfaction rate in a significant sample of young patients, which can be attributed to the accessibility of the medical services and widespread use of smartphones in this patient demographic. Conclusion(s): Telemedicine has proven to be a useful, safe, and effective tool to improve patients' health, which has been boosted by the COVID-19 pandemic. The use of mobile applications and video consultation services can encourage patients to improve their health and prevent complications in the short and long terms.","author":[{"dropping-particle":"","family":"Morgenstern-Kaplan","given":"Dan","non-dropping-</w:instrText>
      </w:r>
      <w:r w:rsidR="004625F7" w:rsidRPr="004625F7">
        <w:rPr>
          <w:rFonts w:ascii="Arial" w:eastAsia="Arial" w:hAnsi="Arial" w:cs="Arial"/>
          <w:sz w:val="20"/>
          <w:szCs w:val="20"/>
          <w:lang w:val="de-DE"/>
        </w:rPr>
        <w:instrText>particle":"","parse-names":false,"suffix":""},{"dropping-particle":"","family":"Rocha-Haro","given":"Andrea","non-dropping-particle":"","parse-names":false,"suffix":""},{"dropping-particle":"","family":"Canales-Albarran","given":"Sofia Jimena","non-dropping-particle":"","parse-names":false,"suffix":""},{"dropping-particle":"","family":"Nunez-Garcia","given":"Edgar","non-dropping-particle":"","parse-names":false,"suffix":""},{"dropping-particle":"","family":"Leon-Mayorga","given":"Yasshid","non-dropping-particle":"","parse-names":false,"suffix":""}],"container-title":"Telemedicine and e-Health","id":"ITEM-5","issued":{"date-parts":[["2021"]]},"language":"English","title":"An app-based telemedicine program for primary care and specialist video consultations during the COVID-19 pandemic in Mexico","type":"article-journal"},"uris":["http://www.mendeley.com/documents/?uuid=9e3ee6c8-39b3-420d-a647-6057cc0c69c3"]}],"mendeley":{"formattedCitation":"(Holtz, 2021; Imlach et al., 2020; Morgenstern-Kaplan et al., 2021; Ramaswamy et al., 2020; Vosburg and Robinson, 2021)","plainTextFormattedCitation":"(Holtz, 2021; Imlach et al., 2020; Morgenstern-Kaplan et al., 2021; Ramaswamy et al., 2020; Vosburg and Robinson, 2021)","previouslyFormattedCitation":"(Holtz, 2021; Imlach et al., 2020; Morgenstern-Kaplan et al., 2021; Ramaswamy et al., 2020; Vosburg and Robinson, 2021)"},"properties":{"noteIndex":0},"schema":"https://github.com/citation-style-language/schema/raw/master/csl-citation.json"}</w:instrText>
      </w:r>
      <w:r w:rsidR="00926673">
        <w:rPr>
          <w:rFonts w:ascii="Arial" w:eastAsia="Arial" w:hAnsi="Arial" w:cs="Arial"/>
          <w:sz w:val="20"/>
          <w:szCs w:val="20"/>
        </w:rPr>
        <w:fldChar w:fldCharType="separate"/>
      </w:r>
      <w:r w:rsidR="004625F7" w:rsidRPr="004625F7">
        <w:rPr>
          <w:rFonts w:ascii="Arial" w:eastAsia="Arial" w:hAnsi="Arial" w:cs="Arial"/>
          <w:noProof/>
          <w:sz w:val="20"/>
          <w:szCs w:val="20"/>
          <w:lang w:val="de-DE"/>
        </w:rPr>
        <w:t>(Holtz, 2021; Imlach et al., 2020; Morgenstern-Kaplan et al., 2021; Ramaswamy et al., 2020; Vosburg and Robinson, 2021)</w:t>
      </w:r>
      <w:r w:rsidR="00926673">
        <w:rPr>
          <w:rFonts w:ascii="Arial" w:eastAsia="Arial" w:hAnsi="Arial" w:cs="Arial"/>
          <w:sz w:val="20"/>
          <w:szCs w:val="20"/>
        </w:rPr>
        <w:fldChar w:fldCharType="end"/>
      </w:r>
      <w:r w:rsidR="004625F7" w:rsidRPr="004625F7">
        <w:rPr>
          <w:rFonts w:ascii="Arial" w:eastAsia="Arial" w:hAnsi="Arial" w:cs="Arial"/>
          <w:sz w:val="20"/>
          <w:szCs w:val="20"/>
          <w:lang w:val="de-DE"/>
        </w:rPr>
        <w:t xml:space="preserve">. </w:t>
      </w:r>
      <w:r w:rsidR="00926673">
        <w:rPr>
          <w:rFonts w:ascii="Arial" w:eastAsia="Arial" w:hAnsi="Arial" w:cs="Arial"/>
          <w:sz w:val="20"/>
          <w:szCs w:val="20"/>
        </w:rPr>
        <w:t xml:space="preserve">A </w:t>
      </w:r>
      <w:r w:rsidR="00803966" w:rsidRPr="000C73C6">
        <w:rPr>
          <w:rFonts w:ascii="Arial" w:eastAsia="Arial" w:hAnsi="Arial" w:cs="Arial"/>
          <w:sz w:val="20"/>
          <w:szCs w:val="20"/>
        </w:rPr>
        <w:t>cross-sectional study in the United States found that patients who experienced remote care first during the pandemic were motivated by avoiding long waiting times and the risk of infection</w:t>
      </w:r>
      <w:r w:rsidR="004625F7">
        <w:rPr>
          <w:rFonts w:ascii="Arial" w:eastAsia="Arial" w:hAnsi="Arial" w:cs="Arial"/>
          <w:sz w:val="20"/>
          <w:szCs w:val="20"/>
        </w:rPr>
        <w:t xml:space="preserve"> </w:t>
      </w:r>
      <w:r w:rsidR="00926673">
        <w:rPr>
          <w:rFonts w:ascii="Arial" w:eastAsia="Arial" w:hAnsi="Arial" w:cs="Arial"/>
          <w:sz w:val="20"/>
          <w:szCs w:val="20"/>
        </w:rPr>
        <w:fldChar w:fldCharType="begin" w:fldLock="1"/>
      </w:r>
      <w:r w:rsidR="004625F7">
        <w:rPr>
          <w:rFonts w:ascii="Arial" w:eastAsia="Arial" w:hAnsi="Arial" w:cs="Arial"/>
          <w:sz w:val="20"/>
          <w:szCs w:val="20"/>
        </w:rPr>
        <w:instrText xml:space="preserve">ADDIN CSL_CITATION {"citationItems":[{"id":"ITEM-1","itemData":{"DOI":"10.1089/tmj.2020.0168","ISSN":"15563669","PMID":"32614689","abstract":"Purpose: This study sought to determine whether the necessitated use of telemedicine due to coronavirus disease 2019, and limited choice of both the provider and patient, impacts the perceptions of telemedicine by patients who experienced telemedicine prepandemic and those who first experienced telemedicine during the pandemic. Methodology: Participants for this survey were a convenience sample. An invitation to participate was shared through social media and e-mail listservs. To participate, individuals had to be at least 18 years of age and gave consent to their data being used. The online survey took </w:instrText>
      </w:r>
      <w:r w:rsidR="004625F7">
        <w:rPr>
          <w:rFonts w:ascii="Cambria Math" w:eastAsia="Arial" w:hAnsi="Cambria Math" w:cs="Cambria Math"/>
          <w:sz w:val="20"/>
          <w:szCs w:val="20"/>
        </w:rPr>
        <w:instrText>∼</w:instrText>
      </w:r>
      <w:r w:rsidR="004625F7">
        <w:rPr>
          <w:rFonts w:ascii="Arial" w:eastAsia="Arial" w:hAnsi="Arial" w:cs="Arial"/>
          <w:sz w:val="20"/>
          <w:szCs w:val="20"/>
        </w:rPr>
        <w:instrText>10-15 min to complete, the survey was available from March 31 to April 20, 2020. Results: Two hundred sixty-four (n = 264, 60.8%) individuals had used telemedicine on or before December 2019 and 170 (39.2%) individuals used telemedicine for the first time January 2020 or later. There were no significant differences in demographics between groups, except that new users were more likely to have a primary care physician [F(407) = 13.51, p &lt; 0.001]. Satisfaction of telemedicine was measured using a 10-item scale, demonstrating that all participants were overall satisfied with their telemedicine experience(s), (mean = 1.67, standard deviation = 0.61). Broadly, the differences in perceptions between the groups included the reasons for using telemedicine, perceptions of quality of in-person care, continuity of care, and a technical issue. Conclusions: Overall, patients are satisfied using telemedicine, however, for new users, both providers and patients, some acclimation needs to occur.","author":[{"dropping-particle":"","family":"Holtz","given":"Bree E.","non-dropping-particle":"","parse-names":false,"suffix":""}],"container-title":"Telemedicine and e-Health","id":"ITEM-1","issue":"1","issued":{"date-parts":[["2021"]]},"page":"107-112","title":"Patients perceptions of telemedicine visits before and after the coronavirus disease 2019 pandemic","type":"article-journal","volume":"27"},"uris":["http://www.mendeley.com/documents/?uuid=53c3020f-51e6-4374-a361-c5e3a579c36b"]}],"mendeley":{"formattedCitation":"(Holtz, 2021)","plainTextFormattedCitation":"(Holtz, 2021)","previouslyFormattedCitation":"(Holtz, 2021)"},"properties":{"noteIndex":0},"schema":"https://github.com/citation-style-language/schema/raw/master/csl-citation.json"}</w:instrText>
      </w:r>
      <w:r w:rsidR="00926673">
        <w:rPr>
          <w:rFonts w:ascii="Arial" w:eastAsia="Arial" w:hAnsi="Arial" w:cs="Arial"/>
          <w:sz w:val="20"/>
          <w:szCs w:val="20"/>
        </w:rPr>
        <w:fldChar w:fldCharType="separate"/>
      </w:r>
      <w:r w:rsidR="004625F7" w:rsidRPr="004625F7">
        <w:rPr>
          <w:rFonts w:ascii="Arial" w:eastAsia="Arial" w:hAnsi="Arial" w:cs="Arial"/>
          <w:noProof/>
          <w:sz w:val="20"/>
          <w:szCs w:val="20"/>
        </w:rPr>
        <w:t>(Holtz, 2021)</w:t>
      </w:r>
      <w:r w:rsidR="00926673">
        <w:rPr>
          <w:rFonts w:ascii="Arial" w:eastAsia="Arial" w:hAnsi="Arial" w:cs="Arial"/>
          <w:sz w:val="20"/>
          <w:szCs w:val="20"/>
        </w:rPr>
        <w:fldChar w:fldCharType="end"/>
      </w:r>
      <w:r w:rsidR="004625F7">
        <w:rPr>
          <w:rFonts w:ascii="Arial" w:eastAsia="Arial" w:hAnsi="Arial" w:cs="Arial"/>
          <w:sz w:val="20"/>
          <w:szCs w:val="20"/>
        </w:rPr>
        <w:t xml:space="preserve">. </w:t>
      </w:r>
      <w:r w:rsidR="00803966" w:rsidRPr="000C73C6">
        <w:rPr>
          <w:rFonts w:ascii="Arial" w:eastAsia="Arial" w:hAnsi="Arial" w:cs="Arial"/>
          <w:sz w:val="20"/>
          <w:szCs w:val="20"/>
        </w:rPr>
        <w:t>However, in contrast to patients who already used remote services, they continued to wish for face-to-face visits</w:t>
      </w:r>
      <w:r w:rsidR="004625F7">
        <w:rPr>
          <w:rFonts w:ascii="Arial" w:eastAsia="Arial" w:hAnsi="Arial" w:cs="Arial"/>
          <w:sz w:val="20"/>
          <w:szCs w:val="20"/>
        </w:rPr>
        <w:t xml:space="preserve"> </w:t>
      </w:r>
      <w:r w:rsidR="00926673">
        <w:rPr>
          <w:rFonts w:ascii="Arial" w:eastAsia="Arial" w:hAnsi="Arial" w:cs="Arial"/>
          <w:sz w:val="20"/>
          <w:szCs w:val="20"/>
        </w:rPr>
        <w:fldChar w:fldCharType="begin" w:fldLock="1"/>
      </w:r>
      <w:r w:rsidR="004625F7">
        <w:rPr>
          <w:rFonts w:ascii="Arial" w:eastAsia="Arial" w:hAnsi="Arial" w:cs="Arial"/>
          <w:sz w:val="20"/>
          <w:szCs w:val="20"/>
        </w:rPr>
        <w:instrText xml:space="preserve">ADDIN CSL_CITATION {"citationItems":[{"id":"ITEM-1","itemData":{"DOI":"10.1089/tmj.2020.0168","ISSN":"15563669","PMID":"32614689","abstract":"Purpose: This study sought to determine whether the necessitated use of telemedicine due to coronavirus disease 2019, and limited choice of both the provider and patient, impacts the perceptions of telemedicine by patients who experienced telemedicine prepandemic and those who first experienced telemedicine during the pandemic. Methodology: Participants for this survey were a convenience sample. An invitation to participate was shared through social media and e-mail listservs. To participate, individuals had to be at least 18 years of age and gave consent to their data being used. The online survey took </w:instrText>
      </w:r>
      <w:r w:rsidR="004625F7">
        <w:rPr>
          <w:rFonts w:ascii="Cambria Math" w:eastAsia="Arial" w:hAnsi="Cambria Math" w:cs="Cambria Math"/>
          <w:sz w:val="20"/>
          <w:szCs w:val="20"/>
        </w:rPr>
        <w:instrText>∼</w:instrText>
      </w:r>
      <w:r w:rsidR="004625F7">
        <w:rPr>
          <w:rFonts w:ascii="Arial" w:eastAsia="Arial" w:hAnsi="Arial" w:cs="Arial"/>
          <w:sz w:val="20"/>
          <w:szCs w:val="20"/>
        </w:rPr>
        <w:instrText>10-15 min to complete, the survey was available from March 31 to April 20, 2020. Results: Two hundred sixty-four (n = 264, 60.8%) individuals had used telemedicine on or before December 2019 and 170 (39.2%) individuals used telemedicine for the first time January 2020 or later. There were no significant differences in demographics between groups, except that new users were more likely to have a primary care physician [F(407) = 13.51, p &lt; 0.001]. Satisfaction of telemedicine was measured using a 10-item scale, demonstrating that all participants were overall satisfied with their telemedicine experience(s), (mean = 1.67, standard deviation = 0.61). Broadly, the differences in perceptions between the groups included the reasons for using telemedicine, perceptions of quality of in-person care, continuity of care, and a technical issue. Conclusions: Overall, patients are satisfied using telemedicine, however, for new users, both providers and patients, some acclimation needs to occur.","author":[{"dropping-particle":"","family":"Holtz","given":"Bree E.","non-dropping-particle":"","parse-names":false,"suffix":""}],"container-title":"Telemedicine and e-Health","id":"ITEM-1","issue":"1","issued":{"date-parts":[["2021"]]},"page":"107-112","title":"Patients perceptions of telemedicine visits before and after the coronavirus disease 2019 pandemic","type":"article-journal","volume":"27"},"uris":["http://www.mendeley.com/documents/?uuid=53c3020f-51e6-4374-a361-c5e3a579c36b"]}],"mendeley":{"formattedCitation":"(Holtz, 2021)","plainTextFormattedCitation":"(Holtz, 2021)","previouslyFormattedCitation":"(Holtz, 2021)"},"properties":{"noteIndex":0},"schema":"https://github.com/citation-style-language/schema/raw/master/csl-citation.json"}</w:instrText>
      </w:r>
      <w:r w:rsidR="00926673">
        <w:rPr>
          <w:rFonts w:ascii="Arial" w:eastAsia="Arial" w:hAnsi="Arial" w:cs="Arial"/>
          <w:sz w:val="20"/>
          <w:szCs w:val="20"/>
        </w:rPr>
        <w:fldChar w:fldCharType="separate"/>
      </w:r>
      <w:r w:rsidR="004625F7" w:rsidRPr="004625F7">
        <w:rPr>
          <w:rFonts w:ascii="Arial" w:eastAsia="Arial" w:hAnsi="Arial" w:cs="Arial"/>
          <w:noProof/>
          <w:sz w:val="20"/>
          <w:szCs w:val="20"/>
        </w:rPr>
        <w:t>(Holtz, 2021)</w:t>
      </w:r>
      <w:r w:rsidR="00926673">
        <w:rPr>
          <w:rFonts w:ascii="Arial" w:eastAsia="Arial" w:hAnsi="Arial" w:cs="Arial"/>
          <w:sz w:val="20"/>
          <w:szCs w:val="20"/>
        </w:rPr>
        <w:fldChar w:fldCharType="end"/>
      </w:r>
      <w:r w:rsidR="004625F7">
        <w:rPr>
          <w:rFonts w:ascii="Arial" w:eastAsia="Arial" w:hAnsi="Arial" w:cs="Arial"/>
          <w:sz w:val="20"/>
          <w:szCs w:val="20"/>
        </w:rPr>
        <w:t>.</w:t>
      </w:r>
      <w:r w:rsidR="00803966" w:rsidRPr="000C73C6">
        <w:rPr>
          <w:rFonts w:ascii="Arial" w:eastAsia="Arial" w:hAnsi="Arial" w:cs="Arial"/>
          <w:sz w:val="20"/>
          <w:szCs w:val="20"/>
        </w:rPr>
        <w:t xml:space="preserve"> A mixed-methods study conducted in New Zealand found that patients using remote care consultations during lockdown reported high user satisfaction</w:t>
      </w:r>
      <w:r w:rsidR="004625F7">
        <w:rPr>
          <w:rFonts w:ascii="Arial" w:eastAsia="Arial" w:hAnsi="Arial" w:cs="Arial"/>
          <w:sz w:val="20"/>
          <w:szCs w:val="20"/>
        </w:rPr>
        <w:t xml:space="preserve"> </w:t>
      </w:r>
      <w:r w:rsidR="00926673">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{"citationItems":[{"id":"ITEM-1","itemData":{"DOI":"10.1186/s12875-020-01336-1","ISSN":"14712296","PMID":"33308161","abstract":"Background: During the first COVID-19 pandemic ‘lockdown’ in Aotearoa/New Zealand (March–May 2020, in which strict ‘stay at home’ measures were introduced), general practices were advised to use telephone and video consultations (telehealth) wherever possible instead of the usual in-person visits. This was a sudden change for most practices and patients. This research aimed to explore how patients accessed general practice during lockdown and evaluate their experiences with telehealth, to inform how telehealth could be most effectively used in the future. Methods: Using a mixed-method approach, we undertook an online survey and in-depth interviews with adults (&gt; 18 years) who had contact with practices during lockdown, recruited through social media and email lists. We present descriptive statistics from the survey data (n = 1010) and qualitative analysis of interview data (n = 38) and open-ended survey questions, using a framework of access to health care, from the patient’s perspective. Results: In general, patients reported high satisfaction with telehealth in general practice during lockdown. Telehealth was convenient and allowed patients to safely access health care without having to weigh-up the fear of COVID-19 infection against the need to be seen. Telehealth worked best for routine and familiar health issues and when rapport was established between patients and clinicians. This was easier with a pre-existing clinical relationship, but not impossible without one. Telehealth was less suitable when a physical examination was needed, when the diagnosis was unknown or for patients who had a strong preference to be seen in-person. Conclusions: Even in this disruptive lockdown period, that prompted an unexpected and rapid implementation of telehealth services in general practices, most patients had positive experiences with telehealth. In the future, patients want the choice of consultation type to match their needs, circumstances, and preferences. Technological issues and funding barriers may need to be addressed, and clear communication for both patients and clinicians is needed about key aspects of telehealth (e.g. cost, appropriateness, privacy). Maintaining telehealth as an option post-lockdown has the potential to increase timely and safe access to primary health care for many patients.","author":[{"dropping-particle":"","family":"Imlach","given":"Fiona","non-dropping-particle":"","parse-names":false,"suffix":""},{"dropping-particle":"","family":"McKinlay","given":"Eileen","non-dropping-particle":"","parse-names":false,"suffix":""},{"dropping-particle":"","family":"Middleton","given":"Lesley","non-dropping-particle":"","parse-names":false,"suffix":""},{"dropping-particle":"","family":"Kennedy","given":"Jonathan","non-dropping-particle":"","parse-names":false,"suffix":""},{"dropping-particle":"","family":"Pledger","given":"Megan","non-dropping-particle":"","parse-names":false,"suffix":""},{"dropping-particle":"","family":"Russell","given":"Lynne","non-dropping-particle":"","parse-names":false,"suffix":""},{"dropping-particle":"","family":"Churchward","given":"Marianna","non-dropping-particle":"","parse-names":false,"suffix":""},{"dropping-particle":"","family":"Cumming","given":"Jacqueline","non-dropping-particle":"","parse-names":false,"suffix":""},{"dropping-particle":"","family":"McBride-Henry","given":"Karen","non-dropping-particle":"","parse-names":false,"suffix":""}],"container-title":"BMC Family Practice","id":"ITEM-1","issue":"1","issued":{"date-parts":[["2020"]]},"page":"1-14","title":"Telehealth consultations in general practice during a pandemic lockdown: survey and interviews on patient experiences and preferences","type":"article-journal","volume":"21"},"uris":["http://www.mendeley.com/documents/?uuid=f523822c-538c-4e0a-a626-86f12b81d845"]}],"mendeley":{"formattedCitation":"(Imlach et al., 2020)","plainTextFormattedCitation":"(Imlach et al., 2020)","previouslyFormattedCitation":"(Imlach et al., 2020)"},"properties":{"noteIndex":0},"schema":"https://github.com/citation-style-language/schema/raw/master/csl-citation.json"}</w:instrText>
      </w:r>
      <w:r w:rsidR="00926673">
        <w:rPr>
          <w:rFonts w:ascii="Arial" w:eastAsia="Arial" w:hAnsi="Arial" w:cs="Arial"/>
          <w:sz w:val="20"/>
          <w:szCs w:val="20"/>
        </w:rPr>
        <w:fldChar w:fldCharType="separate"/>
      </w:r>
      <w:r w:rsidR="004625F7" w:rsidRPr="004625F7">
        <w:rPr>
          <w:rFonts w:ascii="Arial" w:eastAsia="Arial" w:hAnsi="Arial" w:cs="Arial"/>
          <w:noProof/>
          <w:sz w:val="20"/>
          <w:szCs w:val="20"/>
        </w:rPr>
        <w:t>(Imlach et al., 2020)</w:t>
      </w:r>
      <w:r w:rsidR="00926673">
        <w:rPr>
          <w:rFonts w:ascii="Arial" w:eastAsia="Arial" w:hAnsi="Arial" w:cs="Arial"/>
          <w:sz w:val="20"/>
          <w:szCs w:val="20"/>
        </w:rPr>
        <w:fldChar w:fldCharType="end"/>
      </w:r>
      <w:r w:rsidR="004625F7">
        <w:rPr>
          <w:rFonts w:ascii="Arial" w:eastAsia="Arial" w:hAnsi="Arial" w:cs="Arial"/>
          <w:sz w:val="20"/>
          <w:szCs w:val="20"/>
        </w:rPr>
        <w:t xml:space="preserve">. </w:t>
      </w:r>
      <w:r w:rsidR="00803966" w:rsidRPr="000C73C6">
        <w:rPr>
          <w:rFonts w:ascii="Arial" w:eastAsia="Arial" w:hAnsi="Arial" w:cs="Arial"/>
          <w:sz w:val="20"/>
          <w:szCs w:val="20"/>
        </w:rPr>
        <w:t>The study also found that remote care was perceived to be most suited for scenarios where a patient-provider relationship already existed, for example in the context of routine check-ups and known health problems. Remote care was considered less appropriate when a physical examination was required</w:t>
      </w:r>
      <w:r w:rsidR="00780926">
        <w:rPr>
          <w:rFonts w:ascii="Arial" w:eastAsia="Arial" w:hAnsi="Arial" w:cs="Arial"/>
          <w:sz w:val="20"/>
          <w:szCs w:val="20"/>
        </w:rPr>
        <w:t xml:space="preserve">, </w:t>
      </w:r>
      <w:r w:rsidR="00803966" w:rsidRPr="000C73C6">
        <w:rPr>
          <w:rFonts w:ascii="Arial" w:eastAsia="Arial" w:hAnsi="Arial" w:cs="Arial"/>
          <w:sz w:val="20"/>
          <w:szCs w:val="20"/>
        </w:rPr>
        <w:t>when the diagnosis was unclear an</w:t>
      </w:r>
      <w:r w:rsidR="00D42302">
        <w:rPr>
          <w:rFonts w:ascii="Arial" w:eastAsia="Arial" w:hAnsi="Arial" w:cs="Arial"/>
          <w:sz w:val="20"/>
          <w:szCs w:val="20"/>
        </w:rPr>
        <w:t>d</w:t>
      </w:r>
      <w:r w:rsidR="00803966" w:rsidRPr="000C73C6">
        <w:rPr>
          <w:rFonts w:ascii="Arial" w:eastAsia="Arial" w:hAnsi="Arial" w:cs="Arial"/>
          <w:sz w:val="20"/>
          <w:szCs w:val="20"/>
        </w:rPr>
        <w:t xml:space="preserve"> for patients who preferred face-to-face visits</w:t>
      </w:r>
      <w:r w:rsidR="004625F7">
        <w:rPr>
          <w:rFonts w:ascii="Arial" w:eastAsia="Arial" w:hAnsi="Arial" w:cs="Arial"/>
          <w:sz w:val="20"/>
          <w:szCs w:val="20"/>
        </w:rPr>
        <w:t xml:space="preserve"> </w:t>
      </w:r>
      <w:r w:rsidR="00926673">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{"citationItems":[{"id":"ITEM-1","itemData":{"DOI":"10.1186/s12875-020-01336-1","ISSN":"14712296","PMID":"33308161","abstract":"Background: During the first COVID-19 pandemic ‘lockdown’ in Aotearoa/New Zealand (March–May 2020, in which strict ‘stay at home’ measures were introduced), general practices were advised to use telephone and video consultations (telehealth) wherever possible instead of the usual in-person visits. This was a sudden change for most practices and patients. This research aimed to explore how patients accessed general practice during lockdown and evaluate their experiences with telehealth, to inform how telehealth could be most effectively used in the future. Methods: Using a mixed-method approach, we undertook an online survey and in-depth interviews with adults (&gt; 18 years) who had contact with practices during lockdown, recruited through social media and email lists. We present descriptive statistics from the survey data (n = 1010) and qualitative analysis of interview data (n = 38) and open-ended survey questions, using a framework of access to health care, from the patient’s perspective. Results: In general, patients reported high satisfaction with telehealth in general practice during lockdown. Telehealth was convenient and allowed patients to safely access health care without having to weigh-up the fear of COVID-19 infection against the need to be seen. Telehealth worked best for routine and familiar health issues and when rapport was established between patients and clinicians. This was easier with a pre-existing clinical relationship, but not impossible without one. Telehealth was less suitable when a physical examination was needed, when the diagnosis was unknown or for patients who had a strong preference to be seen in-person. Conclusions: Even in this disruptive lockdown period, that prompted an unexpected and rapid implementation of telehealth services in general practices, most patients had positive experiences with telehealth. In the future, patients want the choice of consultation type to match their needs, circumstances, and preferences. Technological issues and funding barriers may need to be addressed, and clear communication for both patients and clinicians is needed about key aspects of telehealth (e.g. cost, appropriateness, privacy). Maintaining telehealth as an option post-lockdown has the potential to increase timely and safe access to primary health care for many patients.","author":[{"dropping-particle":"","family":"Imlach","given":"Fiona","non-dropping-particle":"","parse-names":false,"suffix":""},{"dropping-particle":"","family":"McKinlay","given":"Eileen","non-dropping-particle":"","parse-names":false,"suffix":""},{"dropping-particle":"","family":"Middleton","given":"Lesley","non-dropping-particle":"","parse-names":false,"suffix":""},{"dropping-particle":"","family":"Kennedy","given":"Jonathan","non-dropping-particle":"","parse-names":false,"suffix":""},{"dropping-particle":"","family":"Pledger","given":"Megan","non-dropping-particle":"","parse-names":false,"suffix":""},{"dropping-particle":"","family":"Russell","given":"Lynne","non-dropping-particle":"","parse-names":false,"suffix":""},{"dropping-particle":"","family":"Churchward","given":"Marianna","non-dropping-particle":"","parse-names":false,"suffix":""},{"dropping-particle":"","family":"Cumming","given":"Jacqueline","non-dropping-particle":"","parse-names":false,"suffix":""},{"dropping-particle":"","family":"McBride-Henry","given":"Karen","non-dropping-particle":"","parse-names":false,"suffix":""}],"container-title":"BMC Family Practice","id":"ITEM-1","issue":"1","issued":{"date-parts":[["2020"]]},"page":"1-14","title":"Telehealth consultations in general practice during a pandemic lockdown: survey and interviews on patient experiences and preferences","type":"article-journal","volume":"21"},"uris":["http://www.mendeley.com/documents/?uuid=f523822c-538c-4e0a-a626-86f12b81d845"]}],"mendeley":{"formattedCitation":"(Imlach et al., 2020)","plainTextFormattedCitation":"(Imlach et al., 2020)","previouslyFormattedCitation":"(Imlach et al., 2020)"},"properties":{"noteIndex":0},"schema":"https://github.com/citation-style-language/schema/raw/master/csl-citation.json"}</w:instrText>
      </w:r>
      <w:r w:rsidR="00926673">
        <w:rPr>
          <w:rFonts w:ascii="Arial" w:eastAsia="Arial" w:hAnsi="Arial" w:cs="Arial"/>
          <w:sz w:val="20"/>
          <w:szCs w:val="20"/>
        </w:rPr>
        <w:fldChar w:fldCharType="separate"/>
      </w:r>
      <w:r w:rsidR="004625F7" w:rsidRPr="004625F7">
        <w:rPr>
          <w:rFonts w:ascii="Arial" w:eastAsia="Arial" w:hAnsi="Arial" w:cs="Arial"/>
          <w:noProof/>
          <w:sz w:val="20"/>
          <w:szCs w:val="20"/>
        </w:rPr>
        <w:t>(Imlach et al., 2020)</w:t>
      </w:r>
      <w:r w:rsidR="00926673">
        <w:rPr>
          <w:rFonts w:ascii="Arial" w:eastAsia="Arial" w:hAnsi="Arial" w:cs="Arial"/>
          <w:sz w:val="20"/>
          <w:szCs w:val="20"/>
        </w:rPr>
        <w:fldChar w:fldCharType="end"/>
      </w:r>
      <w:r w:rsidR="004625F7">
        <w:rPr>
          <w:rFonts w:ascii="Arial" w:eastAsia="Arial" w:hAnsi="Arial" w:cs="Arial"/>
          <w:sz w:val="20"/>
          <w:szCs w:val="20"/>
        </w:rPr>
        <w:t xml:space="preserve">. </w:t>
      </w:r>
      <w:r w:rsidR="00803966" w:rsidRPr="000C73C6">
        <w:rPr>
          <w:rFonts w:ascii="Arial" w:eastAsia="Arial" w:hAnsi="Arial" w:cs="Arial"/>
          <w:sz w:val="20"/>
          <w:szCs w:val="20"/>
        </w:rPr>
        <w:t>Most of the studies mentioned above focused on patient satisfaction only and on specific geographical areas, lacking demographic diversity, and scarcely characterising the digital literacy level of the users. There is</w:t>
      </w:r>
      <w:r w:rsidR="00D42302">
        <w:rPr>
          <w:rFonts w:ascii="Arial" w:eastAsia="Arial" w:hAnsi="Arial" w:cs="Arial"/>
          <w:sz w:val="20"/>
          <w:szCs w:val="20"/>
        </w:rPr>
        <w:t>,</w:t>
      </w:r>
      <w:r w:rsidR="00803966" w:rsidRPr="000C73C6">
        <w:rPr>
          <w:rFonts w:ascii="Arial" w:eastAsia="Arial" w:hAnsi="Arial" w:cs="Arial"/>
          <w:sz w:val="20"/>
          <w:szCs w:val="20"/>
        </w:rPr>
        <w:t xml:space="preserve"> therefore</w:t>
      </w:r>
      <w:r w:rsidR="00D42302">
        <w:rPr>
          <w:rFonts w:ascii="Arial" w:eastAsia="Arial" w:hAnsi="Arial" w:cs="Arial"/>
          <w:sz w:val="20"/>
          <w:szCs w:val="20"/>
        </w:rPr>
        <w:t>,</w:t>
      </w:r>
      <w:r w:rsidR="00803966" w:rsidRPr="000C73C6">
        <w:rPr>
          <w:rFonts w:ascii="Arial" w:eastAsia="Arial" w:hAnsi="Arial" w:cs="Arial"/>
          <w:sz w:val="20"/>
          <w:szCs w:val="20"/>
        </w:rPr>
        <w:t xml:space="preserve"> an opportunity to explore patients' experience and perspectives on the use of virtual care in European primary care systems, in particular</w:t>
      </w:r>
      <w:r w:rsidR="00D42302">
        <w:rPr>
          <w:rFonts w:ascii="Arial" w:eastAsia="Arial" w:hAnsi="Arial" w:cs="Arial"/>
          <w:sz w:val="20"/>
          <w:szCs w:val="20"/>
        </w:rPr>
        <w:t>,</w:t>
      </w:r>
      <w:r w:rsidR="00803966" w:rsidRPr="000C73C6">
        <w:rPr>
          <w:rFonts w:ascii="Arial" w:eastAsia="Arial" w:hAnsi="Arial" w:cs="Arial"/>
          <w:sz w:val="20"/>
          <w:szCs w:val="20"/>
        </w:rPr>
        <w:t xml:space="preserve"> capitalising on large-scale datasets and data mining approaches to extract novel insights about what worked, and what needs to be improved.</w:t>
      </w:r>
    </w:p>
    <w:p w14:paraId="00000019" w14:textId="7EF8F465" w:rsidR="00920126" w:rsidRPr="000C73C6" w:rsidRDefault="00803966">
      <w:pPr>
        <w:rPr>
          <w:rFonts w:ascii="Arial" w:eastAsia="Arial" w:hAnsi="Arial" w:cs="Arial"/>
          <w:sz w:val="20"/>
          <w:szCs w:val="20"/>
        </w:rPr>
      </w:pPr>
      <w:r w:rsidRPr="000C73C6">
        <w:rPr>
          <w:rFonts w:ascii="Arial" w:eastAsia="Arial" w:hAnsi="Arial" w:cs="Arial"/>
          <w:sz w:val="20"/>
          <w:szCs w:val="20"/>
        </w:rPr>
        <w:t xml:space="preserve">Topic modelling is a type of statistical modelling technique used to extract valuable information and patterns from large amounts of unstructured, text-based data. Various machine learning algorithms </w:t>
      </w:r>
      <w:r w:rsidRPr="000C73C6">
        <w:rPr>
          <w:rFonts w:ascii="Arial" w:eastAsia="Arial" w:hAnsi="Arial" w:cs="Arial"/>
          <w:sz w:val="20"/>
          <w:szCs w:val="20"/>
        </w:rPr>
        <w:lastRenderedPageBreak/>
        <w:t>have been utilised for topic modelling, including Non-negative Matrix Factorisation (NMF) or Probabilistic Latent Semantic Analysis (PLSA)</w:t>
      </w:r>
      <w:r w:rsidR="004625F7">
        <w:rPr>
          <w:rFonts w:ascii="Arial" w:eastAsia="Arial" w:hAnsi="Arial" w:cs="Arial"/>
          <w:sz w:val="20"/>
          <w:szCs w:val="20"/>
        </w:rPr>
        <w:t xml:space="preserve"> </w:t>
      </w:r>
      <w:r w:rsidR="00926673">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{"citationItems":[{"id":"ITEM-1","itemData":{"ISBN":"1558606149","abstract":"Probabilistic Latent Semantic Analysis is a novel statistical technique for the analysis of two-mode and co-occurrence data, which has applications in information retrieval and filtering, natural language processing, machine learning from text, and in related areas. Compared to standard Latent Semantic Analysis which stems from linear algebra and performs a Singular Value Decomposition of co-occurrence tables, the proposed method is based on a mixture decomposition derived from a latent class model. This results in a more principled approach which has a solid foundation in statistics. In order to avoid overfitting, we propose a widely applicable generalization of maximum likelihood model fitting by tempered EM. Our approach yields substantial and consistent improvements over Latent Semantic Analysis in a number of experiments.","author":[{"dropping-particle":"","family":"Hofmann","given":"Thomas","non-dropping-particle":"","parse-names":false,"suffix":""}],"collection-title":"UAI'99","container-title":"Proceedings of the Fifteenth Conference on Uncertainty in Artificial Intelligence","id":"ITEM-1","issued":{"date-parts":[["1999"]]},"page":"289–296","publisher":"Morgan Kaufmann Publishers Inc.","publisher-place":"San Francisco, CA, USA","title":"Probabilistic Latent Semantic Analysis","type":"paper-conference"},"uris":["http://www.mendeley.com/documents/?uuid=eede5ae4-e148-4fe0-b43e-9692498e9cb3"]},{"id":"ITEM-2","itemData":{"DOI":"10.1038/44565","ISSN":"1476-4687","abstract":"Is perception of the whole based on perception of its parts? There is psychological1 and physiological2,3 evidence for parts-based representations in the brain, and certain computational theories of object recognition rely on such representations4,5. But little is known about how brains or computers might learn the parts of objects. Here we demonstrate an algorithm for non-negative matrix factorization that is able to learn parts of faces and semantic features of text. This is in contrast to other methods, such as principal components analysis and vector quantization, that learn holistic, not parts-based, representations. Non-negative matrix factorization is distinguished from the other methods by its use of non-negativity constraints. These constraints lead to a parts-based representation because they allow only additive, not subtractive, combinations. When non-negative matrix factorization is implemented as a neural network, parts-based representations emerge by virtue of two properties: the firing rates of neurons are never negative and synaptic strengths do not change sign.","author":[{"dropping-particle":"","family":"Lee","given":"Daniel D","non-dropping-particle":"","parse-names":false,"suffix":""},{"dropping-particle":"","family":"Seung","given":"H Sebastian","non-dropping-particle":"","parse-names":false,"suffix":""}],"container-title":"Nature","id":"ITEM-2","issue":"6755","issued":{"date-parts":[["1999"]]},"page":"788-791","title":"Learning the parts of objects by non-negative matrix factorization","type":"article-journal","volume":"401"},"uris":["http://www.mendeley.com/documents/?uuid=e8ceed6c-dd20-44a1-8574-44de5f019c2f"]}],"mendeley":{"formattedCitation":"(Hofmann, 1999; Lee and Seung, 1999)","plainTextFormattedCitation":"(Hofmann, 1999; Lee and Seung, 1999)","previouslyFormattedCitation":"(Hofmann, 1999; Lee and Seung, 1999)"},"properties":{"noteIndex":0},"schema":"https://github.com/citation-style-language/schema/raw/master/csl-citation.json"}</w:instrText>
      </w:r>
      <w:r w:rsidR="00926673">
        <w:rPr>
          <w:rFonts w:ascii="Arial" w:eastAsia="Arial" w:hAnsi="Arial" w:cs="Arial"/>
          <w:sz w:val="20"/>
          <w:szCs w:val="20"/>
        </w:rPr>
        <w:fldChar w:fldCharType="separate"/>
      </w:r>
      <w:r w:rsidR="004625F7" w:rsidRPr="004625F7">
        <w:rPr>
          <w:rFonts w:ascii="Arial" w:eastAsia="Arial" w:hAnsi="Arial" w:cs="Arial"/>
          <w:noProof/>
          <w:sz w:val="20"/>
          <w:szCs w:val="20"/>
        </w:rPr>
        <w:t>(Hofmann, 1999; Lee and Seung, 1999)</w:t>
      </w:r>
      <w:r w:rsidR="00926673">
        <w:rPr>
          <w:rFonts w:ascii="Arial" w:eastAsia="Arial" w:hAnsi="Arial" w:cs="Arial"/>
          <w:sz w:val="20"/>
          <w:szCs w:val="20"/>
        </w:rPr>
        <w:fldChar w:fldCharType="end"/>
      </w:r>
      <w:r w:rsidR="004625F7">
        <w:rPr>
          <w:rFonts w:ascii="Arial" w:eastAsia="Arial" w:hAnsi="Arial" w:cs="Arial"/>
          <w:sz w:val="20"/>
          <w:szCs w:val="20"/>
        </w:rPr>
        <w:t xml:space="preserve">. </w:t>
      </w:r>
      <w:r w:rsidRPr="000C73C6">
        <w:rPr>
          <w:rFonts w:ascii="Arial" w:eastAsia="Arial" w:hAnsi="Arial" w:cs="Arial"/>
          <w:sz w:val="20"/>
          <w:szCs w:val="20"/>
        </w:rPr>
        <w:t xml:space="preserve">Latent Dirichlet Allocation (LDA), introduced by </w:t>
      </w:r>
      <w:proofErr w:type="spellStart"/>
      <w:r w:rsidRPr="0098359A">
        <w:rPr>
          <w:rFonts w:ascii="Arial" w:eastAsia="Arial" w:hAnsi="Arial" w:cs="Arial"/>
          <w:i/>
          <w:iCs/>
          <w:sz w:val="20"/>
          <w:szCs w:val="20"/>
        </w:rPr>
        <w:t>Blei</w:t>
      </w:r>
      <w:proofErr w:type="spellEnd"/>
      <w:r w:rsidRPr="0098359A">
        <w:rPr>
          <w:rFonts w:ascii="Arial" w:eastAsia="Arial" w:hAnsi="Arial" w:cs="Arial"/>
          <w:i/>
          <w:iCs/>
          <w:sz w:val="20"/>
          <w:szCs w:val="20"/>
        </w:rPr>
        <w:t xml:space="preserve"> et al.</w:t>
      </w:r>
      <w:r w:rsidRPr="000C73C6">
        <w:rPr>
          <w:rFonts w:ascii="Arial" w:eastAsia="Arial" w:hAnsi="Arial" w:cs="Arial"/>
          <w:sz w:val="20"/>
          <w:szCs w:val="20"/>
        </w:rPr>
        <w:t xml:space="preserve"> (2003), is a probabilistic generative model used to discover latent topics and their distribution in large sets of unlabelled data</w:t>
      </w:r>
      <w:r w:rsidR="004625F7">
        <w:rPr>
          <w:rFonts w:ascii="Arial" w:eastAsia="Arial" w:hAnsi="Arial" w:cs="Arial"/>
          <w:sz w:val="20"/>
          <w:szCs w:val="20"/>
        </w:rPr>
        <w:t xml:space="preserve"> </w:t>
      </w:r>
      <w:r w:rsidR="00926673">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{"citationItems":[{"id":"ITEM-1","itemData":{"DOI":"10.5555/944919.944937","ISSN":"1532-4435","author":[{"dropping-particle":"","family":"Blei","given":"David M","non-dropping-particle":"","parse-names":false,"suffix":""},{"dropping-particle":"","family":"Ng","given":"Andrew Y","non-dropping-particle":"","parse-names":false,"suffix":""},{"dropping-particle":"","family":"Jordan","given":"Michael I","non-dropping-particle":"","parse-names":false,"suffix":""}],"container-title":"Journal of Machine Learning Research","id":"ITEM-1","issued":{"date-parts":[["2003"]]},"page":"993-1022","title":"Latent dirichlet allocation","type":"article-journal","volume":"3"},"uris":["http://www.mendeley.com/documents/?uuid=665ee879-050d-45b0-8e9f-3578d199b8d6"]}],"mendeley":{"formattedCitation":"(Blei et al., 2003)","plainTextFormattedCitation":"(Blei et al., 2003)","previouslyFormattedCitation":"(Blei et al., 2003)"},"properties":{"noteIndex":0},"schema":"https://github.com/citation-style-language/schema/raw/master/csl-citation.json"}</w:instrText>
      </w:r>
      <w:r w:rsidR="00926673">
        <w:rPr>
          <w:rFonts w:ascii="Arial" w:eastAsia="Arial" w:hAnsi="Arial" w:cs="Arial"/>
          <w:sz w:val="20"/>
          <w:szCs w:val="20"/>
        </w:rPr>
        <w:fldChar w:fldCharType="separate"/>
      </w:r>
      <w:r w:rsidR="004625F7" w:rsidRPr="004625F7">
        <w:rPr>
          <w:rFonts w:ascii="Arial" w:eastAsia="Arial" w:hAnsi="Arial" w:cs="Arial"/>
          <w:noProof/>
          <w:sz w:val="20"/>
          <w:szCs w:val="20"/>
        </w:rPr>
        <w:t>(Blei et al., 2003)</w:t>
      </w:r>
      <w:r w:rsidR="00926673">
        <w:rPr>
          <w:rFonts w:ascii="Arial" w:eastAsia="Arial" w:hAnsi="Arial" w:cs="Arial"/>
          <w:sz w:val="20"/>
          <w:szCs w:val="20"/>
        </w:rPr>
        <w:fldChar w:fldCharType="end"/>
      </w:r>
      <w:r w:rsidR="004625F7">
        <w:rPr>
          <w:rFonts w:ascii="Arial" w:eastAsia="Arial" w:hAnsi="Arial" w:cs="Arial"/>
          <w:sz w:val="20"/>
          <w:szCs w:val="20"/>
        </w:rPr>
        <w:t xml:space="preserve">. </w:t>
      </w:r>
      <w:r w:rsidRPr="000C73C6">
        <w:rPr>
          <w:rFonts w:ascii="Arial" w:eastAsia="Arial" w:hAnsi="Arial" w:cs="Arial"/>
          <w:sz w:val="20"/>
          <w:szCs w:val="20"/>
        </w:rPr>
        <w:t>Topic modelling is gaining interest in qualitative research for analysing of prescription data,</w:t>
      </w:r>
      <w:r w:rsidR="00050F1C">
        <w:rPr>
          <w:rFonts w:ascii="Arial" w:eastAsia="Arial" w:hAnsi="Arial" w:cs="Arial"/>
          <w:sz w:val="20"/>
          <w:szCs w:val="20"/>
        </w:rPr>
        <w:t xml:space="preserve"> </w:t>
      </w:r>
      <w:r w:rsidRPr="000C73C6">
        <w:rPr>
          <w:rFonts w:ascii="Arial" w:eastAsia="Arial" w:hAnsi="Arial" w:cs="Arial"/>
          <w:sz w:val="20"/>
          <w:szCs w:val="20"/>
        </w:rPr>
        <w:t>clinical reports, patient feedback or databases, e.g. to identify core ventilation technologies to be used during the pandemic</w:t>
      </w:r>
      <w:r w:rsidR="004625F7">
        <w:rPr>
          <w:rFonts w:ascii="Arial" w:eastAsia="Arial" w:hAnsi="Arial" w:cs="Arial"/>
          <w:sz w:val="20"/>
          <w:szCs w:val="20"/>
        </w:rPr>
        <w:t xml:space="preserve"> </w:t>
      </w:r>
      <w:r w:rsidR="006A66A7">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{"citationItems":[{"id":"ITEM-1","itemData":{"DOI":"10.1016/j.jbi.2017.09.003","ISSN":"1532-0464","abstract":"Wide variance exists among individuals and institutions for treating patients with medicine. This paper analyzes prescription patterns using a topic model with more than four million prescriptions. Specifically, we propose the disease-medicine pattern model (DMPM) to extract patterns from a large collection of insurance data by considering disease codes joined with prescribed medicines. We analyzed insurance prescription data from 2011 with DMPM and found prescription patterns that could not be identified by traditional simple disease classification, such as the International Classification of Diseases (ICD). We analyzed the identified prescription patterns from multiple aspects. First, we found that our model better explain unseen prescriptions than other probabilistic models. Second, we analyzed the similarities of the extracted patterns to identify their characteristics. Third, we compared the identified patterns from DMPM to the known disease categorization, ICD. This comparison showed what additional information can be provided by the data-oriented bottom-up patterns in contrast to the knowledge-based top-down categorization. The comparison results showed that the bottom-up categorization allowed for the identification of (1) diverse treatment options for the same disease symptoms, and (2) diverse disease cases sharing the same prescription options. Additionally, the extracted bottom-up patterns revealed treatment differences based on basic patient information better than the top-down categorization. We conclude that this data-oriented analysis will be an effective alternative method for analyzing the complex interwoven disease-prescription relationship.","author":[{"dropping-particle":"","family":"Park","given":"Sungrae","non-dropping-particle":"","parse-names":false,"suffix":""},{"dropping-particle":"","family":"Choi","given":"Doosup","non-dropping-particle":"","parse-names":false,"suffix":""},{"dropping-particle":"","family":"Kim","given":"Minki","non-dropping-particle":"","parse-names":false,"suffix":""},{"dropping-particle":"","family":"Cha","given":"Wonchul","non-dropping-particle":"","parse-names":false,"suffix":""},{"dropping-particle":"","family":"Kim","given":"Chuhyun","non-dropping-particle":"","parse-names":false,"suffix":""},{"dropping-particle":"","family":"Moon","given":"Il-Chul","non-dropping-particle":"","parse-names":false,"suffix":""}],"container-title":"Journal of Biomedical Informatics","id":"ITEM-1","issued":{"date-parts":[["2017"]]},"page":"35-47","title":"Identifying prescription patterns with a topic model of diseases and medications","type":"article-journal","volume":"75"},"uris":["http://www.mendeley.com/documents/?uuid=5e937ea2-9dce-4e51-9273-b0b920b3ea84"]},{"id":"ITEM-2","itemData":{"author":[{"dropping-particle":"","family":"Arnold","given":"Corey","non-dropping-particle":"","parse-names":false,"suffix":""},{"dropping-particle":"","family":"Speier","given":"William","non-dropping-particle":"","parse-names":false,"suffix":""}],"container-title":"Proceedings of the 35th international ACM SIGIR conference on Research and Development in Information Retrieval","id":"ITEM-2","issued":{"date-parts":[["2012"]]},"page":"1031-1032","publisher":"Association for Computing Machinery","publisher-place":"Portland, OR","title":"A topic model of clinical reports","type":"paper-conference"},"uris":["http://www.mendeley.com/documents/?uuid=248cc254-3bdd-42df-ad01-291aee5a6cd8"]},{"id":"ITEM-3","itemData":{"ISSN":"0018-9391","author":[{"dropping-particle":"","family":"Durmuşoğlu","given":"Alptekin","non-dropping-particle":"","parse-names":false,"suffix":""},{"dropping-particle":"","family":"Durmuşoğlu","given":"Zeynep Didem Unutmaz","non-dropping-particle":"","parse-names":false,"suffix":""}],"container-title":"IEEE Transactions on Engineering Management","id":"ITEM-3","issued":{"date-parts":[["2022"]]},"publisher":"IEEE","title":"Remembering Medical Ventilators and Masks in the Days of COVID-19: Patenting in the Last Decade in Respiratory Technologies","type":"article-journal"},"uris":["http://www.mendeley.com/documents/?uuid=7fce9ad6-b023-4d97-b8ca-966f4c78e884"]}],"mendeley":{"formattedCitation":"(Arnold and Speier, 2012; Durmuşoğlu and Durmuşoğlu, 2022; Park et al., 2017)","plainTextFormattedCitation":"(Arnold and Speier, 2012; Durmuşoğlu and Durmuşoğlu, 2022; Park et al., 2017)","previouslyFormattedCitation":"(Arnold and Speier, 2012; Durmuşoğlu and Durmuşoğlu, 2022; Park et al., 2017)"},"properties":{"noteIndex":0},"schema":"https://github.com/citation-style-language/schema/raw/master/csl-citation.json"}</w:instrText>
      </w:r>
      <w:r w:rsidR="006A66A7">
        <w:rPr>
          <w:rFonts w:ascii="Arial" w:eastAsia="Arial" w:hAnsi="Arial" w:cs="Arial"/>
          <w:sz w:val="20"/>
          <w:szCs w:val="20"/>
        </w:rPr>
        <w:fldChar w:fldCharType="separate"/>
      </w:r>
      <w:r w:rsidR="004625F7" w:rsidRPr="004625F7">
        <w:rPr>
          <w:rFonts w:ascii="Arial" w:eastAsia="Arial" w:hAnsi="Arial" w:cs="Arial"/>
          <w:noProof/>
          <w:sz w:val="20"/>
          <w:szCs w:val="20"/>
        </w:rPr>
        <w:t>(Arnold and Speier, 2012; Durmuşoğlu and Durmuşoğlu, 2022; Park et al., 2017)</w:t>
      </w:r>
      <w:r w:rsidR="006A66A7">
        <w:rPr>
          <w:rFonts w:ascii="Arial" w:eastAsia="Arial" w:hAnsi="Arial" w:cs="Arial"/>
          <w:sz w:val="20"/>
          <w:szCs w:val="20"/>
        </w:rPr>
        <w:fldChar w:fldCharType="end"/>
      </w:r>
      <w:r w:rsidR="004625F7">
        <w:rPr>
          <w:rFonts w:ascii="Arial" w:eastAsia="Arial" w:hAnsi="Arial" w:cs="Arial"/>
          <w:sz w:val="20"/>
          <w:szCs w:val="20"/>
        </w:rPr>
        <w:t xml:space="preserve">. </w:t>
      </w:r>
      <w:r w:rsidRPr="000C73C6">
        <w:rPr>
          <w:rFonts w:ascii="Arial" w:eastAsia="Arial" w:hAnsi="Arial" w:cs="Arial"/>
          <w:sz w:val="20"/>
          <w:szCs w:val="20"/>
        </w:rPr>
        <w:t>Due to its automated approach, topic modelling offers a quick and efficient way to conduct exploratory, unsupervised analysis surpassing other qualitative methods such as manual coding, grounded theory or content analysis. The data-driven nature of topic modelling enables the identification of emerging topics, tracking topic changes over time and assessing the topic prevalence</w:t>
      </w:r>
      <w:r w:rsidR="004625F7">
        <w:rPr>
          <w:rFonts w:ascii="Arial" w:eastAsia="Arial" w:hAnsi="Arial" w:cs="Arial"/>
          <w:sz w:val="20"/>
          <w:szCs w:val="20"/>
        </w:rPr>
        <w:t xml:space="preserve"> </w:t>
      </w:r>
      <w:r w:rsidR="006A66A7">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10.1073/pnas.0307752101","author":[{"dropping-particle":"","family":"Griffiths","given":"T","non-dropping-particle":"","parse-names":false,"suffix":""},{"dropping-particle":"","family":"Steyvers","given":"M","non-dropping-particle":"","parse-names":false,"suffix":""}],"container-title":"Proceedings of the National Academy of Sciences of the United States of America","id":"ITEM-1","issued":{"date-parts":[["2004"]]},"page":"5228-5235","title":"Finding scientific topics","type":"article-journal","volume":"101"},"uris":["http://www.mendeley.com/documents/?uuid=d3904a17-9ad7-406c-9af6-96a2d4fea3d7"]}],"mendeley":{"formattedCitation":"(Griffiths and Steyvers, 2004)","plainTextFormattedCitation":"(Griffiths and Steyvers, 2004)","previouslyFormattedCitation":"(Griffiths and Steyvers, 2004)"},"properties":{"noteIndex":0},"schema":"https://github.com/citation-style-language/schema/raw/master/csl-citation.json"}</w:instrText>
      </w:r>
      <w:r w:rsidR="006A66A7">
        <w:rPr>
          <w:rFonts w:ascii="Arial" w:eastAsia="Arial" w:hAnsi="Arial" w:cs="Arial"/>
          <w:sz w:val="20"/>
          <w:szCs w:val="20"/>
        </w:rPr>
        <w:fldChar w:fldCharType="separate"/>
      </w:r>
      <w:r w:rsidR="004625F7" w:rsidRPr="004625F7">
        <w:rPr>
          <w:rFonts w:ascii="Arial" w:eastAsia="Arial" w:hAnsi="Arial" w:cs="Arial"/>
          <w:noProof/>
          <w:sz w:val="20"/>
          <w:szCs w:val="20"/>
        </w:rPr>
        <w:t>(Griffiths and Steyvers, 2004)</w:t>
      </w:r>
      <w:r w:rsidR="006A66A7">
        <w:rPr>
          <w:rFonts w:ascii="Arial" w:eastAsia="Arial" w:hAnsi="Arial" w:cs="Arial"/>
          <w:sz w:val="20"/>
          <w:szCs w:val="20"/>
        </w:rPr>
        <w:fldChar w:fldCharType="end"/>
      </w:r>
      <w:r w:rsidR="004625F7">
        <w:rPr>
          <w:rFonts w:ascii="Arial" w:eastAsia="Arial" w:hAnsi="Arial" w:cs="Arial"/>
          <w:sz w:val="20"/>
          <w:szCs w:val="20"/>
        </w:rPr>
        <w:t xml:space="preserve">. </w:t>
      </w:r>
      <w:r w:rsidRPr="000C73C6">
        <w:rPr>
          <w:rFonts w:ascii="Arial" w:eastAsia="Arial" w:hAnsi="Arial" w:cs="Arial"/>
          <w:sz w:val="20"/>
          <w:szCs w:val="20"/>
        </w:rPr>
        <w:t xml:space="preserve">This can be </w:t>
      </w:r>
      <w:r w:rsidRPr="000C73C6">
        <w:rPr>
          <w:rFonts w:ascii="Arial" w:hAnsi="Arial" w:cs="Arial"/>
          <w:sz w:val="20"/>
          <w:szCs w:val="20"/>
        </w:rPr>
        <w:t>particularly useful i</w:t>
      </w:r>
      <w:r w:rsidRPr="000C73C6">
        <w:rPr>
          <w:rFonts w:ascii="Arial" w:eastAsia="Arial" w:hAnsi="Arial" w:cs="Arial"/>
          <w:sz w:val="20"/>
          <w:szCs w:val="20"/>
        </w:rPr>
        <w:t>n emergenc</w:t>
      </w:r>
      <w:r w:rsidR="00D42302">
        <w:rPr>
          <w:rFonts w:ascii="Arial" w:eastAsia="Arial" w:hAnsi="Arial" w:cs="Arial"/>
          <w:sz w:val="20"/>
          <w:szCs w:val="20"/>
        </w:rPr>
        <w:t xml:space="preserve">ies </w:t>
      </w:r>
      <w:r w:rsidRPr="000C73C6">
        <w:rPr>
          <w:rFonts w:ascii="Arial" w:eastAsia="Arial" w:hAnsi="Arial" w:cs="Arial"/>
          <w:sz w:val="20"/>
          <w:szCs w:val="20"/>
        </w:rPr>
        <w:t>such as a pandemic, when a rapid assessment is needed to inform policy and practice. However, topic modelling has limitations in terms of interpretability, as it may generate ambiguous or overlapping topics without specific domain expertise</w:t>
      </w:r>
      <w:r w:rsidR="004625F7">
        <w:rPr>
          <w:rFonts w:ascii="Arial" w:eastAsia="Arial" w:hAnsi="Arial" w:cs="Arial"/>
          <w:sz w:val="20"/>
          <w:szCs w:val="20"/>
        </w:rPr>
        <w:t xml:space="preserve"> </w:t>
      </w:r>
      <w:r w:rsidR="006A66A7">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author":[{"dropping-particle":"","family":"Chang","given":"Jonathan","non-dropping-particle":"","parse-names":false,"suffix":""},{"dropping-particle":"","family":"Gerrish","given":"Sean","non-dropping-particle":"","parse-names":false,"suffix":""},{"dropping-particle":"","family":"Wang","given":"Chong","non-dropping-particle":"","parse-names":false,"suffix":""},{"dropping-particle":"","family":"Boyd-Graber","given":"Jordan","non-dropping-particle":"","parse-names":false,"suffix":""},{"dropping-particle":"","family":"Blei","given":"David","non-dropping-particle":"","parse-names":false,"suffix":""}],"container-title":"Advances in neural information processing systems","id":"ITEM-1","issued":{"date-parts":[["2009"]]},"title":"Reading tea leaves: How humans interpret topic models","type":"article-journal","volume":"22"},"uris":["http://www.mendeley.com/documents/?uuid=d9cd4681-3ca3-42ed-aea6-4e7973adc22b"]}],"mendeley":{"formattedCitation":"(Chang et al., 2009)","plainTextFormattedCitation":"(Chang et al., 2009)","previouslyFormattedCitation":"(Chang et al., 2009)"},"properties":{"noteIndex":0},"schema":"https://github.com/citation-style-language/schema/raw/master/csl-citation.json"}</w:instrText>
      </w:r>
      <w:r w:rsidR="006A66A7">
        <w:rPr>
          <w:rFonts w:ascii="Arial" w:eastAsia="Arial" w:hAnsi="Arial" w:cs="Arial"/>
          <w:sz w:val="20"/>
          <w:szCs w:val="20"/>
        </w:rPr>
        <w:fldChar w:fldCharType="separate"/>
      </w:r>
      <w:r w:rsidR="004625F7" w:rsidRPr="004625F7">
        <w:rPr>
          <w:rFonts w:ascii="Arial" w:eastAsia="Arial" w:hAnsi="Arial" w:cs="Arial"/>
          <w:noProof/>
          <w:sz w:val="20"/>
          <w:szCs w:val="20"/>
        </w:rPr>
        <w:t>(Chang et al., 2009)</w:t>
      </w:r>
      <w:r w:rsidR="006A66A7">
        <w:rPr>
          <w:rFonts w:ascii="Arial" w:eastAsia="Arial" w:hAnsi="Arial" w:cs="Arial"/>
          <w:sz w:val="20"/>
          <w:szCs w:val="20"/>
        </w:rPr>
        <w:fldChar w:fldCharType="end"/>
      </w:r>
      <w:r w:rsidR="004625F7">
        <w:rPr>
          <w:rFonts w:ascii="Arial" w:eastAsia="Arial" w:hAnsi="Arial" w:cs="Arial"/>
          <w:sz w:val="20"/>
          <w:szCs w:val="20"/>
        </w:rPr>
        <w:t>.</w:t>
      </w:r>
      <w:r w:rsidRPr="000C73C6">
        <w:rPr>
          <w:rFonts w:ascii="Arial" w:eastAsia="Arial" w:hAnsi="Arial" w:cs="Arial"/>
          <w:sz w:val="20"/>
          <w:szCs w:val="20"/>
        </w:rPr>
        <w:t xml:space="preserve"> Additionally</w:t>
      </w:r>
      <w:r w:rsidR="00A45B5F">
        <w:rPr>
          <w:rFonts w:ascii="Arial" w:eastAsia="Arial" w:hAnsi="Arial" w:cs="Arial"/>
          <w:sz w:val="20"/>
          <w:szCs w:val="20"/>
        </w:rPr>
        <w:t>,</w:t>
      </w:r>
      <w:r w:rsidRPr="000C73C6">
        <w:rPr>
          <w:rFonts w:ascii="Arial" w:eastAsia="Arial" w:hAnsi="Arial" w:cs="Arial"/>
          <w:sz w:val="20"/>
          <w:szCs w:val="20"/>
        </w:rPr>
        <w:t xml:space="preserve"> it lacks contextual understanding and semantic meaning of text, and requires significant </w:t>
      </w:r>
      <w:r w:rsidR="00A45B5F" w:rsidRPr="000C73C6">
        <w:rPr>
          <w:rFonts w:ascii="Arial" w:eastAsia="Arial" w:hAnsi="Arial" w:cs="Arial"/>
          <w:sz w:val="20"/>
          <w:szCs w:val="20"/>
        </w:rPr>
        <w:t>pre-processing</w:t>
      </w:r>
      <w:r w:rsidRPr="000C73C6">
        <w:rPr>
          <w:rFonts w:ascii="Arial" w:eastAsia="Arial" w:hAnsi="Arial" w:cs="Arial"/>
          <w:sz w:val="20"/>
          <w:szCs w:val="20"/>
        </w:rPr>
        <w:t xml:space="preserve"> steps. </w:t>
      </w:r>
    </w:p>
    <w:p w14:paraId="0000001A" w14:textId="285134CB" w:rsidR="00920126" w:rsidRPr="000C73C6" w:rsidRDefault="00803966">
      <w:pPr>
        <w:rPr>
          <w:rFonts w:ascii="Arial" w:eastAsia="Arial" w:hAnsi="Arial" w:cs="Arial"/>
          <w:sz w:val="20"/>
          <w:szCs w:val="20"/>
          <w:highlight w:val="yellow"/>
        </w:rPr>
      </w:pPr>
      <w:r w:rsidRPr="000C73C6">
        <w:rPr>
          <w:rFonts w:ascii="Arial" w:eastAsia="Arial" w:hAnsi="Arial" w:cs="Arial"/>
          <w:sz w:val="20"/>
          <w:szCs w:val="20"/>
        </w:rPr>
        <w:t xml:space="preserve"> </w:t>
      </w:r>
    </w:p>
    <w:p w14:paraId="0000001B" w14:textId="77777777" w:rsidR="00920126" w:rsidRPr="000C73C6" w:rsidRDefault="00803966">
      <w:pPr>
        <w:rPr>
          <w:rFonts w:ascii="Arial" w:eastAsia="Arial" w:hAnsi="Arial" w:cs="Arial"/>
          <w:i/>
          <w:sz w:val="20"/>
          <w:szCs w:val="20"/>
        </w:rPr>
      </w:pPr>
      <w:r w:rsidRPr="000C73C6">
        <w:rPr>
          <w:rFonts w:ascii="Arial" w:eastAsia="Arial" w:hAnsi="Arial" w:cs="Arial"/>
          <w:i/>
          <w:sz w:val="20"/>
          <w:szCs w:val="20"/>
        </w:rPr>
        <w:t>Aim</w:t>
      </w:r>
    </w:p>
    <w:p w14:paraId="0000001C" w14:textId="58839DB6" w:rsidR="00920126" w:rsidRPr="000C73C6" w:rsidRDefault="00803966">
      <w:pPr>
        <w:widowControl w:val="0"/>
        <w:pBdr>
          <w:top w:val="nil"/>
          <w:left w:val="nil"/>
          <w:bottom w:val="nil"/>
          <w:right w:val="nil"/>
          <w:between w:val="nil"/>
        </w:pBdr>
        <w:shd w:val="clear" w:color="auto" w:fill="auto"/>
        <w:rPr>
          <w:rFonts w:ascii="Arial" w:eastAsia="Arial" w:hAnsi="Arial" w:cs="Arial"/>
          <w:sz w:val="20"/>
          <w:szCs w:val="20"/>
        </w:rPr>
      </w:pPr>
      <w:r w:rsidRPr="000C73C6">
        <w:rPr>
          <w:rFonts w:ascii="Arial" w:eastAsia="Arial" w:hAnsi="Arial" w:cs="Arial"/>
          <w:sz w:val="20"/>
          <w:szCs w:val="20"/>
        </w:rPr>
        <w:t>While there is some evidence assessing the benefits and challenges, as perceived by General Practitioners, the patients’ voice has been seldom heard. In this study, we systematically explore and synthesise patients' experiences and perceptions of the key benefits and challenges of using virtual primary care technologies during the COVID-19 pandemic, using LDA as a machine</w:t>
      </w:r>
      <w:r w:rsidR="00A45B5F">
        <w:rPr>
          <w:rFonts w:ascii="Arial" w:eastAsia="Arial" w:hAnsi="Arial" w:cs="Arial"/>
          <w:sz w:val="20"/>
          <w:szCs w:val="20"/>
        </w:rPr>
        <w:t xml:space="preserve"> </w:t>
      </w:r>
      <w:r w:rsidRPr="000C73C6">
        <w:rPr>
          <w:rFonts w:ascii="Arial" w:eastAsia="Arial" w:hAnsi="Arial" w:cs="Arial"/>
          <w:sz w:val="20"/>
          <w:szCs w:val="20"/>
        </w:rPr>
        <w:t>learning technique for topic modelling. The findings allow us to learn from this major real-life experiment of virtual care provided during the pandemic and inform the delivery of virtual care in the post-pandemic future.</w:t>
      </w:r>
    </w:p>
    <w:p w14:paraId="0000001D" w14:textId="77777777" w:rsidR="00920126" w:rsidRPr="000C73C6" w:rsidRDefault="00920126">
      <w:pPr>
        <w:widowControl w:val="0"/>
        <w:pBdr>
          <w:top w:val="nil"/>
          <w:left w:val="nil"/>
          <w:bottom w:val="nil"/>
          <w:right w:val="nil"/>
          <w:between w:val="nil"/>
        </w:pBdr>
        <w:rPr>
          <w:rFonts w:ascii="Arial" w:eastAsia="Arial" w:hAnsi="Arial" w:cs="Arial"/>
          <w:sz w:val="20"/>
          <w:szCs w:val="20"/>
        </w:rPr>
      </w:pPr>
    </w:p>
    <w:p w14:paraId="0000001E" w14:textId="77777777" w:rsidR="00920126" w:rsidRPr="000C73C6" w:rsidRDefault="00803966">
      <w:pPr>
        <w:pStyle w:val="Heading1"/>
        <w:rPr>
          <w:rFonts w:ascii="Arial" w:eastAsia="Arial" w:hAnsi="Arial" w:cs="Arial"/>
          <w:sz w:val="20"/>
          <w:szCs w:val="20"/>
        </w:rPr>
      </w:pPr>
      <w:r w:rsidRPr="000C73C6">
        <w:rPr>
          <w:rFonts w:ascii="Arial" w:eastAsia="Arial" w:hAnsi="Arial" w:cs="Arial"/>
          <w:sz w:val="20"/>
          <w:szCs w:val="20"/>
        </w:rPr>
        <w:t>Methods</w:t>
      </w:r>
    </w:p>
    <w:p w14:paraId="0000001F" w14:textId="77777777" w:rsidR="00920126" w:rsidRPr="000C73C6" w:rsidRDefault="00803966">
      <w:pPr>
        <w:rPr>
          <w:rFonts w:ascii="Arial" w:eastAsia="Arial" w:hAnsi="Arial" w:cs="Arial"/>
          <w:i/>
          <w:sz w:val="20"/>
          <w:szCs w:val="20"/>
        </w:rPr>
      </w:pPr>
      <w:r w:rsidRPr="000C73C6">
        <w:rPr>
          <w:rFonts w:ascii="Arial" w:eastAsia="Arial" w:hAnsi="Arial" w:cs="Arial"/>
          <w:i/>
          <w:sz w:val="20"/>
          <w:szCs w:val="20"/>
        </w:rPr>
        <w:t xml:space="preserve">Study design and participants </w:t>
      </w:r>
    </w:p>
    <w:p w14:paraId="00000020" w14:textId="3905758A" w:rsidR="00920126" w:rsidRPr="000C73C6" w:rsidRDefault="00803966">
      <w:pPr>
        <w:rPr>
          <w:rFonts w:ascii="Arial" w:eastAsia="Arial" w:hAnsi="Arial" w:cs="Arial"/>
          <w:sz w:val="20"/>
          <w:szCs w:val="20"/>
        </w:rPr>
      </w:pPr>
      <w:r w:rsidRPr="000C73C6">
        <w:rPr>
          <w:rFonts w:ascii="Arial" w:eastAsia="Arial" w:hAnsi="Arial" w:cs="Arial"/>
          <w:sz w:val="20"/>
          <w:szCs w:val="20"/>
        </w:rPr>
        <w:t>This study is a secondary analysis of data collected in a cross-sectional online survey. The survey was hosted on the online platform Qualtrics. Participants were included if aged 18 years and over and able to speak, read and write in the official language of their country. Recruitment took place in August 2020 in partnership with YouGov, including via standard advertising, and strategic partnerships with a broad range of websites. Stratified sampling was used to recruit participants from four different healthcare settings (Germany, Italy, Sweden, and the UK). The samples were nationally representative in terms of age, sex, social class, and education level. The survey was conducted in the respective mother tongue of the country. The survey adhered to the Strengthening the Reporting of Observational Studies in Epidemiology (STROBE) guideline for cross-sectional studies</w:t>
      </w:r>
      <w:r w:rsidR="004625F7">
        <w:rPr>
          <w:rFonts w:ascii="Arial" w:eastAsia="Arial" w:hAnsi="Arial" w:cs="Arial"/>
          <w:sz w:val="20"/>
          <w:szCs w:val="20"/>
        </w:rPr>
        <w:t xml:space="preserve"> </w:t>
      </w:r>
      <w:r>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{"citationItems":[{"id":"ITEM-1","itemData":{"DOI":"10.1136/bmj.39335.541782.AD","abstract":"Poor reporting of research hampers assessment and makes it less useful. An international group of methodologists, researchers, and journal editors sets out guidelines to improve reports of observational studies Summary Much biomedical research is observational. The reporting of such research is often inadequate, which hampers the assessment of its strengths and weaknesses and of a study&amp;#039;s generalisability. The Strengthening the Reporting of Observational Studies in Epidemiology (STROBE) Initiative developed recommendations on what should be included in an accurate and complete report of an observational study. We defined the scope of the recommendations to cover three main study designs: cohort, case-control and cross-sectional studies. We convened a 2-day workshop in September, 2004, with methodologists, researchers, and journal editors to draft a checklist of items. This list was subsequently revised during several meetings of the coordinating group and in e-mail discussions with the larger group of STROBE contributors, taking into account empirical evidence and methodological considerations. The workshop and the subsequent iterative process of consultation and revision resulted in a checklist of 22 items (the STROBE statement) that relate to the title, abstract, introduction, methods, results, and discussion sections of articles. 18 items are common to all three study designs and four are specific for cohort, case-control, or cross sectional studies. A detailed explanation and elaboration document is published separately and is freely available on the websites of PLoS Medicine, Epidemiology, and Annals of Internal Medicine. We hope that the STROBE statement will contribute to improving the quality of reporting of observational studies. Many questions in medical research are investigated in observational studies.1 Much of the research into the cause of diseases relies on cohort, case-control, or cross sectional studies. Observational studies also have a role in research into the benefits and harms of medical interventions.2 Randomised trials cannot answer …","author":[{"dropping-particle":"von","family":"Elm","given":"Erik","non-dropping-particle":"","parse-names":false,"suffix":""},{"dropping-particle":"","family":"Altman","given":"Douglas G","non-dropping-particle":"","parse-names":false,"suffix":""},{"dropping-particle":"","family":"Egger","given":"Matthias","non-dropping-particle":"","parse-names":false,"suffix":""},{"dropping-particle":"","family":"Pocock","given":"Stuart J","non-dropping-particle":"","parse-names":false,"suffix":""},{"dropping-particle":"","family":"Gøtzsche","given":"Peter C","non-dropping-particle":"","parse-names":false,"suffix":""},{"dropping-particle":"","family":"Vandenbroucke","given":"Jan P","non-dropping-particle":"","parse-names":false,"suffix":""}],"container-title":"BMJ","id":"ITEM-1","issue":"7624","issued":{"date-parts":[["2007","10","18"]]},"page":"806-808","title":"Strengthening the reporting of observational studies in epidemiology (STROBE) statement: guidelines for reporting observational studies","type":"article-journal","volume":"335"},"uris":["http://www.mendeley.com/documents/?uuid=f6ecb03d-c00a-4c48-bdea-c13167d1453b"]}],"mendeley":{"formattedCitation":"(Elm et al., 2007)","plainTextFormattedCitation":"(Elm et al., 2007)","previouslyFormattedCitation":"(Elm et al., 2007)"},"properties":{"noteIndex":0},"schema":"https://github.com/citation-style-language/schema/raw/master/csl-citation.json"}</w:instrText>
      </w:r>
      <w:r>
        <w:rPr>
          <w:rFonts w:ascii="Arial" w:eastAsia="Arial" w:hAnsi="Arial" w:cs="Arial"/>
          <w:sz w:val="20"/>
          <w:szCs w:val="20"/>
        </w:rPr>
        <w:fldChar w:fldCharType="separate"/>
      </w:r>
      <w:r w:rsidR="004625F7" w:rsidRPr="004625F7">
        <w:rPr>
          <w:rFonts w:ascii="Arial" w:eastAsia="Arial" w:hAnsi="Arial" w:cs="Arial"/>
          <w:noProof/>
          <w:sz w:val="20"/>
          <w:szCs w:val="20"/>
        </w:rPr>
        <w:t>(Elm et al., 2007)</w:t>
      </w:r>
      <w:r>
        <w:rPr>
          <w:rFonts w:ascii="Arial" w:eastAsia="Arial" w:hAnsi="Arial" w:cs="Arial"/>
          <w:sz w:val="20"/>
          <w:szCs w:val="20"/>
        </w:rPr>
        <w:fldChar w:fldCharType="end"/>
      </w:r>
      <w:r w:rsidR="004625F7">
        <w:rPr>
          <w:rFonts w:ascii="Arial" w:eastAsia="Arial" w:hAnsi="Arial" w:cs="Arial"/>
          <w:sz w:val="20"/>
          <w:szCs w:val="20"/>
        </w:rPr>
        <w:t>.</w:t>
      </w:r>
      <w:r w:rsidRPr="000C73C6">
        <w:rPr>
          <w:rFonts w:ascii="Arial" w:eastAsia="Arial" w:hAnsi="Arial" w:cs="Arial"/>
          <w:sz w:val="20"/>
          <w:szCs w:val="20"/>
        </w:rPr>
        <w:t xml:space="preserve"> The detailed methodology has been published elsewhere</w:t>
      </w:r>
      <w:r w:rsidR="004625F7">
        <w:rPr>
          <w:rFonts w:ascii="Arial" w:eastAsia="Arial" w:hAnsi="Arial" w:cs="Arial"/>
          <w:sz w:val="20"/>
          <w:szCs w:val="20"/>
        </w:rPr>
        <w:t xml:space="preserve"> </w:t>
      </w:r>
      <w:r>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{"citationItems":[{"id":"ITEM-1","itemData":{"DOI":"10.1177/1357633X211066235","ISSN":"1357-633X","abstract":"IntroductionWith the onset of Coronavirus disease (COVID-19), primary care has swiftly transitioned from face-to-face to virtual care, yet it remains largely unknown how this has impacted the quality and safety of care. We aim to evaluate patient use of virtual primary care models during COVID-19, including change in uptake, perceived impact on the quality and safety of care and willingness of future use.MethodologyAn online cross-sectional survey was administered to the public across the United Kingdom, Sweden, Italy and Germany. McNemar tests were conducted to test pre- and post-pandemic differences in uptake for each technology. One-way analysis of variance was conducted to examine patient experience ratings and perceived impacts on healthcare quality and safety across demographic characteristics.ResultsRespondents (n?=?6326) reported an increased use of telephone consultations (?+?6.3%, p?&lt;?.001), patient-initiated services (?+?1.5%, n?=?98, p?&lt;?0.001), video consultations (?+?1.4%, p?&lt;?.001), remote triage (?+?1.3, p?&lt;?0.001) and secure messaging systems (?+?0.9%, p?=?.019). Experience rates using virtual care technologies were higher for men (2.4??±??1.0 vs. 2.3??±??0.9, p?&lt;?.001), those with higher literacy (2.8??±??1.0 vs. 2.3??±??0.9, p?&lt;?.001), and participants from Germany (2.5??±??0.9, p?&lt;?.001). Healthcare timeliness and efficiency were the dimensions most often reported as being positively impacted by virtual technologies (60.2%, n?=?2793 and 55.7%, n?=?2,401, respectively), followed by effectiveness (46.5%, n?=?1802), safety (45.5%, n?=?1822), patient-centredness (45.2%, n?=?45.2) and equity (42.9%, n?=?1726). Interest in future use was highest for telephone consultations (55.9%), patient-initiated digital services (56.1%), secure messaging systems (43.4%), online triage (35.1%), video consultations (37.0%) and chat consultations (30.1%), although significant variation was observed between countries and patient characteristics.DiscussionFuture work must examine the drivers and determinants of positive experiences using remote care to co-create a supportive environment that ensures equitable adoption and use. Comparative analysis between countries and health systems offers the opportunity for policymakers to learn from best practices internationally.","author":[{"dropping-particle":"","family":"Neves","given":"Ana Luisa","non-dropping-particle":"","parse-names":false,"suffix":""},{"dropping-particle":"","family":"Dael","given":"Jackie","non-dropping-particle":"van","parse-names":false,"suffix":""},{"dropping-particle":"","family":"O’Brien","given":"Niki","non-dropping-particle":"","parse-names":false,"suffix":""},{"dropping-particle":"","family":"Flott","given":"Kelsey","non-dropping-particle":"","parse-names":false,"suffix":""},{"dropping-particle":"","family":"Ghafur","given":"Saira","non-dropping-particle":"","parse-names":false,"suffix":""},{"dropping-particle":"","family":"Darzi","given":"Ara","non-dropping-particle":"","parse-names":false,"suffix":""},{"dropping-particle":"","family":"Mayer","given":"Erik","non-dropping-particle":"","parse-names":false,"suffix":""}],"container-title":"Journal of Telemedicine and Telecare","id":"ITEM-1","issued":{"date-parts":[["2021","12","22"]]},"note":"doi: 10.1177/1357633X211066235","page":"1357633X211066235","publisher":"SAGE Publications","title":"Use and impact of virtual primary care on quality and safety: The public's perspectives during the COVID-19 pandemic","type":"article-journal"},"uris":["http://www.mendeley.com/documents/?uuid=2a5d2873-798c-4ac6-a229-9386b9d63c44"]}],"mendeley":{"formattedCitation":"(Neves et al., 2021)","plainTextFormattedCitation":"(Neves et al., 2021)","previouslyFormattedCitation":"(Neves et al., 2021)"},"properties":{"noteIndex":0},"schema":"https://github.com/citation-style-language/schema/raw/master/csl-citation.json"}</w:instrText>
      </w:r>
      <w:r>
        <w:rPr>
          <w:rFonts w:ascii="Arial" w:eastAsia="Arial" w:hAnsi="Arial" w:cs="Arial"/>
          <w:sz w:val="20"/>
          <w:szCs w:val="20"/>
        </w:rPr>
        <w:fldChar w:fldCharType="separate"/>
      </w:r>
      <w:r w:rsidR="004625F7" w:rsidRPr="004625F7">
        <w:rPr>
          <w:rFonts w:ascii="Arial" w:eastAsia="Arial" w:hAnsi="Arial" w:cs="Arial"/>
          <w:noProof/>
          <w:sz w:val="20"/>
          <w:szCs w:val="20"/>
        </w:rPr>
        <w:t>(Neves et al., 2021)</w:t>
      </w:r>
      <w:r>
        <w:rPr>
          <w:rFonts w:ascii="Arial" w:eastAsia="Arial" w:hAnsi="Arial" w:cs="Arial"/>
          <w:sz w:val="20"/>
          <w:szCs w:val="20"/>
        </w:rPr>
        <w:fldChar w:fldCharType="end"/>
      </w:r>
      <w:r w:rsidR="004625F7">
        <w:rPr>
          <w:rFonts w:ascii="Arial" w:eastAsia="Arial" w:hAnsi="Arial" w:cs="Arial"/>
          <w:sz w:val="20"/>
          <w:szCs w:val="20"/>
        </w:rPr>
        <w:t xml:space="preserve">. </w:t>
      </w:r>
      <w:r w:rsidRPr="000C73C6">
        <w:rPr>
          <w:rFonts w:ascii="Arial" w:eastAsia="Arial" w:hAnsi="Arial" w:cs="Arial"/>
          <w:sz w:val="20"/>
          <w:szCs w:val="20"/>
        </w:rPr>
        <w:t xml:space="preserve"> </w:t>
      </w:r>
    </w:p>
    <w:p w14:paraId="00000021" w14:textId="77777777" w:rsidR="00920126" w:rsidRPr="000C73C6" w:rsidRDefault="00920126">
      <w:pPr>
        <w:rPr>
          <w:rFonts w:ascii="Arial" w:eastAsia="Arial" w:hAnsi="Arial" w:cs="Arial"/>
          <w:i/>
          <w:sz w:val="20"/>
          <w:szCs w:val="20"/>
        </w:rPr>
      </w:pPr>
    </w:p>
    <w:p w14:paraId="00000022" w14:textId="77777777" w:rsidR="00920126" w:rsidRPr="000C73C6" w:rsidRDefault="00803966">
      <w:pPr>
        <w:rPr>
          <w:rFonts w:ascii="Arial" w:eastAsia="Arial" w:hAnsi="Arial" w:cs="Arial"/>
          <w:i/>
          <w:sz w:val="20"/>
          <w:szCs w:val="20"/>
        </w:rPr>
      </w:pPr>
      <w:r w:rsidRPr="000C73C6">
        <w:rPr>
          <w:rFonts w:ascii="Arial" w:eastAsia="Arial" w:hAnsi="Arial" w:cs="Arial"/>
          <w:i/>
          <w:sz w:val="20"/>
          <w:szCs w:val="20"/>
        </w:rPr>
        <w:t>Survey development</w:t>
      </w:r>
    </w:p>
    <w:p w14:paraId="00000023" w14:textId="224143C4" w:rsidR="00920126" w:rsidRPr="000C73C6" w:rsidRDefault="00803966">
      <w:pPr>
        <w:rPr>
          <w:rFonts w:ascii="Arial" w:eastAsia="Arial" w:hAnsi="Arial" w:cs="Arial"/>
          <w:sz w:val="20"/>
          <w:szCs w:val="20"/>
        </w:rPr>
      </w:pPr>
      <w:r w:rsidRPr="000C73C6">
        <w:rPr>
          <w:rFonts w:ascii="Arial" w:eastAsia="Arial" w:hAnsi="Arial" w:cs="Arial"/>
          <w:sz w:val="20"/>
          <w:szCs w:val="20"/>
        </w:rPr>
        <w:t xml:space="preserve">The survey was developed based on a rapid review of the subject and expert consultation. Table 1 shows the four survey sections and </w:t>
      </w:r>
      <w:r w:rsidR="006F7DBE">
        <w:rPr>
          <w:rFonts w:ascii="Arial" w:eastAsia="Arial" w:hAnsi="Arial" w:cs="Arial"/>
          <w:sz w:val="20"/>
          <w:szCs w:val="20"/>
        </w:rPr>
        <w:t xml:space="preserve">their </w:t>
      </w:r>
      <w:r w:rsidRPr="000C73C6">
        <w:rPr>
          <w:rFonts w:ascii="Arial" w:eastAsia="Arial" w:hAnsi="Arial" w:cs="Arial"/>
          <w:sz w:val="20"/>
          <w:szCs w:val="20"/>
        </w:rPr>
        <w:t>respective questions. The complete survey questions are provided elsewhere</w:t>
      </w:r>
      <w:r w:rsidR="004625F7">
        <w:rPr>
          <w:rFonts w:ascii="Arial" w:eastAsia="Arial" w:hAnsi="Arial" w:cs="Arial"/>
          <w:sz w:val="20"/>
          <w:szCs w:val="20"/>
        </w:rPr>
        <w:t xml:space="preserve"> </w:t>
      </w:r>
      <w:r>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{"citationItems":[{"id":"ITEM-1","itemData":{"DOI":"10.1177/1357633X211066235","ISSN":"1357-633X","abstract":"IntroductionWith the onset of Coronavirus disease (COVID-19), primary care has swiftly transitioned from face-to-face to virtual care, yet it remains largely unknown how this has impacted the quality and safety of care. We aim to evaluate patient use of virtual primary care models during COVID-19, including change in uptake, perceived impact on the quality and safety of care and willingness of future use.MethodologyAn online cross-sectional survey was administered to the public across the United Kingdom, Sweden, Italy and Germany. McNemar tests were conducted to test pre- and post-pandemic differences in uptake for each technology. One-way analysis of variance was conducted to examine patient experience ratings and perceived impacts on healthcare quality and safety across demographic characteristics.ResultsRespondents (n?=?6326) reported an increased use of telephone consultations (?+?6.3%, p?&lt;?.001), patient-initiated services (?+?1.5%, n?=?98, p?&lt;?0.001), video consultations (?+?1.4%, p?&lt;?.001), remote triage (?+?1.3, p?&lt;?0.001) and secure messaging systems (?+?0.9%, p?=?.019). Experience rates using virtual care technologies were higher for men (2.4??±??1.0 vs. 2.3??±??0.9, p?&lt;?.001), those with higher literacy (2.8??±??1.0 vs. 2.3??±??0.9, p?&lt;?.001), and participants from Germany (2.5??±??0.9, p?&lt;?.001). Healthcare timeliness and efficiency were the dimensions most often reported as being positively impacted by virtual technologies (60.2%, n?=?2793 and 55.7%, n?=?2,401, respectively), followed by effectiveness (46.5%, n?=?1802), safety (45.5%, n?=?1822), patient-centredness (45.2%, n?=?45.2) and equity (42.9%, n?=?1726). Interest in future use was highest for telephone consultations (55.9%), patient-initiated digital services (56.1%), secure messaging systems (43.4%), online triage (35.1%), video consultations (37.0%) and chat consultations (30.1%), although significant variation was observed between countries and patient characteristics.DiscussionFuture work must examine the drivers and determinants of positive experiences using remote care to co-create a supportive environment that ensures equitable adoption and use. Comparative analysis between countries and health systems offers the opportunity for policymakers to learn from best practices internationally.","author":[{"dropping-particle":"","family":"Neves","given":"Ana Luisa","non-dropping-particle":"","parse-names":false,"suffix":""},{"dropping-particle":"","family":"Dael","given":"Jackie","non-dropping-particle":"van","parse-names":false,"suffix":""},{"dropping-particle":"","family":"O’Brien","given":"Niki","non-dropping-particle":"","parse-names":false,"suffix":""},{"dropping-particle":"","family":"Flott","given":"Kelsey","non-dropping-particle":"","parse-names":false,"suffix":""},{"dropping-particle":"","family":"Ghafur","given":"Saira","non-dropping-particle":"","parse-names":false,"suffix":""},{"dropping-particle":"","family":"Darzi","given":"Ara","non-dropping-particle":"","parse-names":false,"suffix":""},{"dropping-particle":"","family":"Mayer","given":"Erik","non-dropping-particle":"","parse-names":false,"suffix":""}],"container-title":"Journal of Telemedicine and Telecare","id":"ITEM-1","issued":{"date-parts":[["2021","12","22"]]},"note":"doi: 10.1177/1357633X211066235","page":"1357633X211066235","publisher":"SAGE Publications","title":"Use and impact of virtual primary care on quality and safety: The public's perspectives during the COVID-19 pandemic","type":"article-journal"},"uris":["http://www.mendeley.com/documents/?uuid=2a5d2873-798c-4ac6-a229-9386b9d63c44"]}],"mendeley":{"formattedCitation":"(Neves et al., 2021)","plainTextFormattedCitation":"(Neves et al., 2021)","previouslyFormattedCitation":"(Neves et al., 2021)"},"properties":{"noteIndex":0},"schema":"https://github.com/citation-style-language/schema/raw/master/csl-citation.json"}</w:instrText>
      </w:r>
      <w:r>
        <w:rPr>
          <w:rFonts w:ascii="Arial" w:eastAsia="Arial" w:hAnsi="Arial" w:cs="Arial"/>
          <w:sz w:val="20"/>
          <w:szCs w:val="20"/>
        </w:rPr>
        <w:fldChar w:fldCharType="separate"/>
      </w:r>
      <w:r w:rsidR="004625F7" w:rsidRPr="004625F7">
        <w:rPr>
          <w:rFonts w:ascii="Arial" w:eastAsia="Arial" w:hAnsi="Arial" w:cs="Arial"/>
          <w:noProof/>
          <w:sz w:val="20"/>
          <w:szCs w:val="20"/>
        </w:rPr>
        <w:t>(Neves et al., 2021)</w:t>
      </w:r>
      <w:r>
        <w:rPr>
          <w:rFonts w:ascii="Arial" w:eastAsia="Arial" w:hAnsi="Arial" w:cs="Arial"/>
          <w:sz w:val="20"/>
          <w:szCs w:val="20"/>
        </w:rPr>
        <w:fldChar w:fldCharType="end"/>
      </w:r>
      <w:r w:rsidR="004625F7">
        <w:rPr>
          <w:rFonts w:ascii="Arial" w:eastAsia="Arial" w:hAnsi="Arial" w:cs="Arial"/>
          <w:sz w:val="20"/>
          <w:szCs w:val="20"/>
        </w:rPr>
        <w:t xml:space="preserve">. </w:t>
      </w:r>
      <w:r w:rsidRPr="000C73C6">
        <w:rPr>
          <w:rFonts w:ascii="Arial" w:eastAsia="Arial" w:hAnsi="Arial" w:cs="Arial"/>
          <w:sz w:val="20"/>
          <w:szCs w:val="20"/>
        </w:rPr>
        <w:t>This study focused on the analysis of the demographic data and two open-ended questions evaluating the patients’ perception o</w:t>
      </w:r>
      <w:r w:rsidR="006F7DBE">
        <w:rPr>
          <w:rFonts w:ascii="Arial" w:eastAsia="Arial" w:hAnsi="Arial" w:cs="Arial"/>
          <w:sz w:val="20"/>
          <w:szCs w:val="20"/>
        </w:rPr>
        <w:t>f</w:t>
      </w:r>
      <w:r w:rsidRPr="000C73C6">
        <w:rPr>
          <w:rFonts w:ascii="Arial" w:eastAsia="Arial" w:hAnsi="Arial" w:cs="Arial"/>
          <w:sz w:val="20"/>
          <w:szCs w:val="20"/>
        </w:rPr>
        <w:t xml:space="preserve"> the main benefits and challenges of using virtual care during the COVID-19 pandemic and were used for topic modelling.</w:t>
      </w:r>
    </w:p>
    <w:p w14:paraId="00000024" w14:textId="77777777" w:rsidR="00920126" w:rsidRPr="000C73C6" w:rsidRDefault="00920126">
      <w:pPr>
        <w:rPr>
          <w:rFonts w:ascii="Arial" w:eastAsia="Arial" w:hAnsi="Arial" w:cs="Arial"/>
          <w:sz w:val="20"/>
          <w:szCs w:val="20"/>
        </w:rPr>
      </w:pPr>
    </w:p>
    <w:p w14:paraId="00000025" w14:textId="77777777" w:rsidR="00920126" w:rsidRPr="000C73C6" w:rsidRDefault="00803966">
      <w:pPr>
        <w:rPr>
          <w:rFonts w:ascii="Arial" w:eastAsia="Arial" w:hAnsi="Arial" w:cs="Arial"/>
          <w:i/>
          <w:sz w:val="20"/>
          <w:szCs w:val="20"/>
        </w:rPr>
      </w:pPr>
      <w:r w:rsidRPr="000C73C6">
        <w:rPr>
          <w:rFonts w:ascii="Arial" w:eastAsia="Arial" w:hAnsi="Arial" w:cs="Arial"/>
          <w:i/>
          <w:sz w:val="20"/>
          <w:szCs w:val="20"/>
        </w:rPr>
        <w:t>Data collection</w:t>
      </w:r>
    </w:p>
    <w:p w14:paraId="00000026" w14:textId="6D4AA8DF" w:rsidR="00920126" w:rsidRPr="000C73C6" w:rsidRDefault="00803966">
      <w:pPr>
        <w:rPr>
          <w:rFonts w:ascii="Arial" w:eastAsia="Arial" w:hAnsi="Arial" w:cs="Arial"/>
          <w:sz w:val="20"/>
          <w:szCs w:val="20"/>
        </w:rPr>
      </w:pPr>
      <w:r w:rsidRPr="000C73C6">
        <w:rPr>
          <w:rFonts w:ascii="Arial" w:eastAsia="Arial" w:hAnsi="Arial" w:cs="Arial"/>
          <w:sz w:val="20"/>
          <w:szCs w:val="20"/>
        </w:rPr>
        <w:t>The patient characteristics included sex (male, female), age</w:t>
      </w:r>
      <w:r w:rsidR="006F7DBE">
        <w:rPr>
          <w:rFonts w:ascii="Arial" w:eastAsia="Arial" w:hAnsi="Arial" w:cs="Arial"/>
          <w:sz w:val="20"/>
          <w:szCs w:val="20"/>
        </w:rPr>
        <w:t xml:space="preserve"> </w:t>
      </w:r>
      <w:r w:rsidRPr="000C73C6">
        <w:rPr>
          <w:rFonts w:ascii="Arial" w:eastAsia="Arial" w:hAnsi="Arial" w:cs="Arial"/>
          <w:sz w:val="20"/>
          <w:szCs w:val="20"/>
        </w:rPr>
        <w:t>groups (18-24, 25-34, 35-44, 45-54, 55+), and country of residence (Germany, Sweden, Italy, the UK). Digital literacy was assessed using the eHealth Literacy Scale (eHEALS) tool, which identifies six core literacy skills: traditional literacy, health literacy, information literacy, academic literacy, media literacy and computer literacy. Based on these competencies, the eHEALS tool assesses participants’ knowledge, comfort, and perceived ability to find, evaluate, and apply digital health information</w:t>
      </w:r>
      <w:r w:rsidR="004625F7">
        <w:rPr>
          <w:rFonts w:ascii="Arial" w:eastAsia="Arial" w:hAnsi="Arial" w:cs="Arial"/>
          <w:sz w:val="20"/>
          <w:szCs w:val="20"/>
        </w:rPr>
        <w:t xml:space="preserve"> </w:t>
      </w:r>
      <w:r>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{"citationItems":[{"id":"ITEM-1","itemData":{"DOI":"10.2196/jmir.8.4.e27","ISSN":"14388871","PMID":"17213046","abstract":"Background: Electronic health resources are helpful only when people are able to use them, yet there remain few tools available to assess consumers' capacity for engaging in eHealth. Over 40% of US and Canadian adults have low basic literacy levels, suggesting that eHealth resources are likely to be inaccessible to large segments of the population. Using information technology for health requires eHealth literacy - the ability to read, use computers, search for information, understand health information, and put it into context. The eHealth Literacy Scale (eHEALS) was designed (1) to assess consumers' perceived skills at using information technology for health and (2) to aid in determining the fit between eHealth programs and consumers. Objectives: The eHEALS is an 8-item measure of eHealth literacy developed to measure consumers' combined knowledge, comfort, and perceived skills at finding, evaluating, and applying electronic health information to health problems. The objective of the study was to psychometrically evaluate the properties of the eHEALS within a population context. A youth population was chosen as the focus for the initial development primarily because they have high levels of eHealth use and familiarity with information technology tools. Methods: Data were collected at baseline, post-intervention, and 3- and 6-month follow-up using control group data as part of a single session, randomized intervention trial evaluating Web-based eHealth programs. Scale reliability was tested using item analysis for internal consistency (coefficient alpha) and test-retest reliability estimates. Principal components factor analysis was used to determine the theoretical fit of the measures with the data. Results: A total of 664 participants (370 boys; 294 girls) aged 13 to 21 (mean = 14.95; SD = 1.24) completed the eHEALS at four time points over 6 months. Item analysis was performed on the 8-item scale at baseline, producing a tight fitting scale with ? = .88. Item-scale correlations ranged from r = .51 to .76. Test-retest reliability showed modest stability over time from baseline to 6-month follow-up (r = .68 to .40). Principal components analysis produced a single factor solution (56% of variance). Factor loadings ranged from .60 to .84 among the 8 items. Conclusions: The eHEALS reliably and consistently captures the eHealth literacy concept in repeated administrations, showing promise as tool for assessing consumer comfort and skill in using informati…","author":[{"dropping-particle":"","family":"Norman","given":"Cameron D.","non-dropping-particle":"","parse-names":false,"suffix":""},{"dropping-particle":"","family":"Skinner","given":"Harvey A.","non-dropping-particle":"","parse-names":false,"suffix":""}],"container-title":"Journal of Medical Internet Research","id":"ITEM-1","issue":"4","issued":{"date-parts":[["2006"]]},"page":"1-7","title":"eHEALS: The eHealth literacy scale","type":"article-journal","volume":"8"},"uris":["http://www.mendeley.com/documents/?uuid=fd8a4b06-bc73-43f4-b8b2-c9c177858a42"]}],"mendeley":{"formattedCitation":"(Norman and Skinner, 2006)","plainTextFormattedCitation":"(Norman and Skinner, 2006)","previouslyFormattedCitation":"(Norman and Skinner, 2006)"},"properties":{"noteIndex":0},"schema":"https://github.com/citation-style-language/schema/raw/master/csl-citation.json"}</w:instrText>
      </w:r>
      <w:r>
        <w:rPr>
          <w:rFonts w:ascii="Arial" w:eastAsia="Arial" w:hAnsi="Arial" w:cs="Arial"/>
          <w:sz w:val="20"/>
          <w:szCs w:val="20"/>
        </w:rPr>
        <w:fldChar w:fldCharType="separate"/>
      </w:r>
      <w:r w:rsidR="004625F7" w:rsidRPr="004625F7">
        <w:rPr>
          <w:rFonts w:ascii="Arial" w:eastAsia="Arial" w:hAnsi="Arial" w:cs="Arial"/>
          <w:noProof/>
          <w:sz w:val="20"/>
          <w:szCs w:val="20"/>
        </w:rPr>
        <w:t>(Norman and Skinner, 2006)</w:t>
      </w:r>
      <w:r>
        <w:rPr>
          <w:rFonts w:ascii="Arial" w:eastAsia="Arial" w:hAnsi="Arial" w:cs="Arial"/>
          <w:sz w:val="20"/>
          <w:szCs w:val="20"/>
        </w:rPr>
        <w:fldChar w:fldCharType="end"/>
      </w:r>
      <w:r w:rsidR="004625F7">
        <w:rPr>
          <w:rFonts w:ascii="Arial" w:eastAsia="Arial" w:hAnsi="Arial" w:cs="Arial"/>
          <w:sz w:val="20"/>
          <w:szCs w:val="20"/>
        </w:rPr>
        <w:t>.</w:t>
      </w:r>
      <w:r w:rsidRPr="000C73C6">
        <w:rPr>
          <w:rFonts w:ascii="Arial" w:eastAsia="Arial" w:hAnsi="Arial" w:cs="Arial"/>
          <w:sz w:val="20"/>
          <w:szCs w:val="20"/>
        </w:rPr>
        <w:t xml:space="preserve"> The validity and reliability of eHEALS were demonstrated across different health conditions and the score was translated into different languages</w:t>
      </w:r>
      <w:r w:rsidR="004625F7">
        <w:rPr>
          <w:rFonts w:ascii="Arial" w:eastAsia="Arial" w:hAnsi="Arial" w:cs="Arial"/>
          <w:sz w:val="20"/>
          <w:szCs w:val="20"/>
        </w:rPr>
        <w:t xml:space="preserve"> </w:t>
      </w:r>
      <w:r>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{"citationItems":[{"id":"ITEM-1","itemData":{"DOI":"https://doi.org/10.1016/j.pec.2016.09.008","ISSN":"0738-3991","abstract":"Background Chronic disease patients are affected by low computer and health literacy, which negatively affects their ability to benefit from access to online health information. Objective To estimate reliability and confirm model specifications for eHealth Literacy Scale (eHEALS) scores among chronic disease patients using Classical Test (CTT) and Item Response Theory techniques. Methods A stratified sample of Black/African American (N=341) and Caucasian (N=343) adults with chronic disease completed an online survey including the eHEALS. Item discrimination was explored using bi-variate correlations and Cronbach’s alpha for internal consistency. A categorical confirmatory factor analysis tested a one-factor structure of eHEALS scores. Item characteristic curves, in-fit/outfit statistics, omega coefficient, and item reliability and separation estimates were computed. Results A 1-factor structure of eHEALS was confirmed by statistically significant standardized item loadings, acceptable model fit indices (CFI/TLI&gt;0.90), and 70% variance explained by the model. Item response categories increased with higher theta levels, and there was evidence of acceptable reliability (ω=0.94; item reliability=89; item separation=8.54). Conclusion eHEALS scores are a valid and reliable measure of self-reported eHealth literacy among Internet-using chronic disease patients. Practice implications Providers can use eHEALS to help identify patients’ eHealth literacy skills.","author":[{"dropping-particle":"","family":"Paige","given":"Samantha R","non-dropping-particle":"","parse-names":false,"suffix":""},{"dropping-particle":"","family":"Krieger","given":"Janice L","non-dropping-particle":"","parse-names":false,"suffix":""},{"dropping-particle":"","family":"Stellefson","given":"Michael","non-dropping-particle":"","parse-names":false,"suffix":""},{"dropping-particle":"","family":"Alber","given":"Julia M","non-dropping-particle":"","parse-names":false,"suffix":""}],"container-title":"Patient Education and Counseling","id":"ITEM-1","issue":"2","issued":{"date-parts":[["2017"]]},"page":"320-326","title":"eHealth literacy in chronic disease patients: An item response theory analysis of the eHealth literacy scale (eHEALS)","type":"article-journal","volume":"100"},"uris":["http://www.mendeley.com/documents/?uuid=d82f3ad9-b176-40b4-a6be-eeb8d36ba907"]},{"id":"ITEM-2","itemData":{"DOI":"10.2196/jmir.1840","ISSN":"1438-8871 (Electronic)","PMID":"22071338","abstract":"BACKGROUND: The Internet increases the availability of health information, which consequently expands the amount of skills that health care consumers must have to obtain and evaluate health information. Norman and Skinner in 2006 developed an 8-item self-report eHealth literacy scale to measure these skills: the eHealth Literacy Scale (eHEALS). This instrument has been available only in English and there are no data on its validity. OBJECTIVES: The objective of our study was to assess the internal consistency and the construct and predictive validity of a Dutch translation of the eHEALS in two populations. METHODS: We examined the translated scale in a sample of patients with rheumatic diseases (n = 189; study 1) and in a stratified sample of the Dutch population (n = 88; study 2). We determined Cronbach alpha coefficients and analyzed the principal components. Convergent validity was determined by studying correlations with age, education, and current (health-related) Internet use. Furthermore, in study 2 we assessed the predictive validity of the instrument by comparing scores on the eHEALS with an actual performance test. RESULTS: The internal consistency of the scale was sufficient: alpha = .93 in study 1 and alpha = .92 in study 2. In both studies the 8 items loaded on 1 single component (respectively 67% and 63% of variance). Correlations between eHEALS and age and education were not found. Significant, though weak, correlations were found between the eHEALS and quantity of Internet use (r = .24, P = .001 and r = .24, P = .02, respectively). Contrary to expectations, correlations between the eHEALS and successfully completed tasks on a performance test were weak and nonsignificant: r = .18 (P = .09). The t tests showed no significant differences in scores on the eHEALS between participants who scored below and above median scores of the performance test. CONCLUSIONS: The eHEALS was assessed as unidimensional in a principal component analysis and the internal consistency of the scale was high, which makes the reliability adequate. However, findings suggest that the validity of the eHEALS instrument requires further study, since the relationship with Internet use was weak and expected relationships with age, education, and actual performance were not significant. Further research to develop a self-report instrument with high correlations with people's actual eHealth literacy skills is warranted.","author":[{"dropping-particle":"","family":"Vaart","given":"Rosalie","non-dropping-particle":"van der","parse-names":false,"suffix":""},{"dropping-particle":"","family":"Deursen","given":"Alexander Jam","non-dropping-particle":"van","parse-names":false,"suffix":""},{"dropping-particle":"","family":"Drossaert","given":"Constance Hc","non-dropping-particle":"","parse-names":false,"suffix":""},{"dropping-particle":"","family":"Taal","given":"Erik","non-dropping-particle":"","parse-names":false,"suffix":""},{"dropping-particle":"","family":"Dijk","given":"Jan Amg","non-dropping-particle":"van","parse-names":false,"suffix":""},{"dropping-particle":"","family":"Laar","given":"Mart Afj","non-dropping-particle":"van de","parse-names":false,"suffix":""}],"container-title":"Journal of Medical Internet Research","id":"ITEM-2","issue":"4","issued":{"date-parts":[["2011","11"]]},"language":"eng","page":"e86","title":"Does the eHealth Literacy Scale (eHEALS) measure what it intends to measure? Validation of a Dutch version of the eHEALS in two adult populations.","type":"article-journal","volume":"13"},"uris":["http://www.mendeley.com/documents/?uuid=cd0e4875-6957-4ddd-9e2d-7073461d8640"]}],"mendeley":{"formattedCitation":"(Paige et al., 2017; van der Vaart et al., 2011)","plainTextFormattedCitation":"(Paige et al., 2017; van der Vaart et al., 2011)","previouslyFormattedCitation":"(Paige et al., 2017; van der Vaart et al., 2011)"},"properties":{"noteIndex":0},"schema":"https://github.com/citation-style-language/schema/raw/master/csl-citation.json"}</w:instrText>
      </w:r>
      <w:r>
        <w:rPr>
          <w:rFonts w:ascii="Arial" w:eastAsia="Arial" w:hAnsi="Arial" w:cs="Arial"/>
          <w:sz w:val="20"/>
          <w:szCs w:val="20"/>
        </w:rPr>
        <w:fldChar w:fldCharType="separate"/>
      </w:r>
      <w:r w:rsidR="004625F7" w:rsidRPr="004625F7">
        <w:rPr>
          <w:rFonts w:ascii="Arial" w:eastAsia="Arial" w:hAnsi="Arial" w:cs="Arial"/>
          <w:noProof/>
          <w:sz w:val="20"/>
          <w:szCs w:val="20"/>
        </w:rPr>
        <w:t>(Paige et al., 2017; van der Vaart et al., 2011)</w:t>
      </w:r>
      <w:r>
        <w:rPr>
          <w:rFonts w:ascii="Arial" w:eastAsia="Arial" w:hAnsi="Arial" w:cs="Arial"/>
          <w:sz w:val="20"/>
          <w:szCs w:val="20"/>
        </w:rPr>
        <w:fldChar w:fldCharType="end"/>
      </w:r>
      <w:r w:rsidR="004625F7">
        <w:rPr>
          <w:rFonts w:ascii="Arial" w:eastAsia="Arial" w:hAnsi="Arial" w:cs="Arial"/>
          <w:sz w:val="20"/>
          <w:szCs w:val="20"/>
        </w:rPr>
        <w:t xml:space="preserve">. </w:t>
      </w:r>
      <w:r w:rsidRPr="000C73C6">
        <w:rPr>
          <w:rFonts w:ascii="Arial" w:eastAsia="Arial" w:hAnsi="Arial" w:cs="Arial"/>
          <w:sz w:val="20"/>
          <w:szCs w:val="20"/>
        </w:rPr>
        <w:t xml:space="preserve"> </w:t>
      </w:r>
    </w:p>
    <w:p w14:paraId="00000027" w14:textId="3E168B42" w:rsidR="00920126" w:rsidRPr="000C73C6" w:rsidRDefault="00803966">
      <w:pPr>
        <w:rPr>
          <w:rFonts w:ascii="Arial" w:eastAsia="Arial" w:hAnsi="Arial" w:cs="Arial"/>
          <w:i/>
          <w:sz w:val="20"/>
          <w:szCs w:val="20"/>
        </w:rPr>
      </w:pPr>
      <w:r w:rsidRPr="000C73C6">
        <w:rPr>
          <w:rFonts w:ascii="Arial" w:eastAsia="Arial" w:hAnsi="Arial" w:cs="Arial"/>
          <w:sz w:val="20"/>
          <w:szCs w:val="20"/>
        </w:rPr>
        <w:t>Perceptions o</w:t>
      </w:r>
      <w:r w:rsidR="006F7DBE">
        <w:rPr>
          <w:rFonts w:ascii="Arial" w:eastAsia="Arial" w:hAnsi="Arial" w:cs="Arial"/>
          <w:sz w:val="20"/>
          <w:szCs w:val="20"/>
        </w:rPr>
        <w:t>f</w:t>
      </w:r>
      <w:r w:rsidRPr="000C73C6">
        <w:rPr>
          <w:rFonts w:ascii="Arial" w:eastAsia="Arial" w:hAnsi="Arial" w:cs="Arial"/>
          <w:sz w:val="20"/>
          <w:szCs w:val="20"/>
        </w:rPr>
        <w:t xml:space="preserve"> benefits and challenges of using virtual care during the COVID-19 pandemic were assessed using the following free-text questions: “In your opinion, what do you think would be the main benefits of using virtual technologies when accessing primary care during the COVID-19 pandemic?” and “In your opinion, what are the main challenges of using virtual technologies when accessing primary care during the COVID-19 pandemic?”</w:t>
      </w:r>
    </w:p>
    <w:p w14:paraId="00000028" w14:textId="59A42F78" w:rsidR="00920126" w:rsidRPr="000C73C6" w:rsidRDefault="00920126">
      <w:pPr>
        <w:rPr>
          <w:rFonts w:ascii="Arial" w:eastAsia="Arial" w:hAnsi="Arial" w:cs="Arial"/>
          <w:sz w:val="20"/>
          <w:szCs w:val="20"/>
        </w:rPr>
      </w:pPr>
    </w:p>
    <w:p w14:paraId="00000029" w14:textId="77777777" w:rsidR="00920126" w:rsidRPr="000C73C6" w:rsidRDefault="00803966">
      <w:pPr>
        <w:rPr>
          <w:rFonts w:ascii="Arial" w:eastAsia="Arial" w:hAnsi="Arial" w:cs="Arial"/>
          <w:sz w:val="20"/>
          <w:szCs w:val="20"/>
        </w:rPr>
      </w:pPr>
      <w:r w:rsidRPr="000C73C6">
        <w:rPr>
          <w:rFonts w:ascii="Arial" w:eastAsia="Arial" w:hAnsi="Arial" w:cs="Arial"/>
          <w:b/>
          <w:sz w:val="20"/>
          <w:szCs w:val="20"/>
        </w:rPr>
        <w:lastRenderedPageBreak/>
        <w:t>Table 1:</w:t>
      </w:r>
      <w:r w:rsidRPr="000C73C6">
        <w:rPr>
          <w:rFonts w:ascii="Arial" w:eastAsia="Arial" w:hAnsi="Arial" w:cs="Arial"/>
          <w:sz w:val="20"/>
          <w:szCs w:val="20"/>
        </w:rPr>
        <w:t xml:space="preserve"> Survey structure and types of questions </w:t>
      </w:r>
    </w:p>
    <w:p w14:paraId="0000002A" w14:textId="77777777" w:rsidR="00920126" w:rsidRPr="000C73C6" w:rsidRDefault="00920126">
      <w:pPr>
        <w:rPr>
          <w:rFonts w:ascii="Arial" w:eastAsia="Arial" w:hAnsi="Arial" w:cs="Arial"/>
          <w:i/>
          <w:sz w:val="20"/>
          <w:szCs w:val="20"/>
        </w:rPr>
      </w:pPr>
    </w:p>
    <w:p w14:paraId="0000002B" w14:textId="77777777" w:rsidR="00920126" w:rsidRPr="000C73C6" w:rsidRDefault="00803966">
      <w:pPr>
        <w:rPr>
          <w:rFonts w:ascii="Arial" w:eastAsia="Arial" w:hAnsi="Arial" w:cs="Arial"/>
          <w:sz w:val="20"/>
          <w:szCs w:val="20"/>
        </w:rPr>
      </w:pPr>
      <w:r w:rsidRPr="000C73C6">
        <w:rPr>
          <w:rFonts w:ascii="Arial" w:eastAsia="Arial" w:hAnsi="Arial" w:cs="Arial"/>
          <w:i/>
          <w:sz w:val="20"/>
          <w:szCs w:val="20"/>
        </w:rPr>
        <w:t>Data preparation</w:t>
      </w:r>
    </w:p>
    <w:p w14:paraId="2B02CE62" w14:textId="7C9F6D5B" w:rsidR="00D42302" w:rsidRPr="00D42302" w:rsidRDefault="00776AF2" w:rsidP="0098359A">
      <w:pPr>
        <w:tabs>
          <w:tab w:val="left" w:pos="4678"/>
        </w:tabs>
        <w:rPr>
          <w:rFonts w:ascii="Arial" w:eastAsia="Arial Unicode MS" w:hAnsi="Arial" w:cs="Arial"/>
          <w:sz w:val="20"/>
          <w:szCs w:val="20"/>
        </w:rPr>
      </w:pPr>
      <w:r w:rsidRPr="000C73C6">
        <w:rPr>
          <w:rFonts w:ascii="Arial" w:eastAsia="Arial" w:hAnsi="Arial" w:cs="Arial"/>
          <w:sz w:val="20"/>
          <w:szCs w:val="20"/>
        </w:rPr>
        <w:t xml:space="preserve">Text-based responses were translated by the research team using the artificial intelligence language translation software </w:t>
      </w:r>
      <w:proofErr w:type="spellStart"/>
      <w:r w:rsidRPr="000C73C6">
        <w:rPr>
          <w:rFonts w:ascii="Arial" w:eastAsia="Arial" w:hAnsi="Arial" w:cs="Arial"/>
          <w:sz w:val="20"/>
          <w:szCs w:val="20"/>
        </w:rPr>
        <w:t>DeepL</w:t>
      </w:r>
      <w:proofErr w:type="spellEnd"/>
      <w:r>
        <w:rPr>
          <w:rFonts w:ascii="Arial" w:eastAsia="Arial" w:hAnsi="Arial" w:cs="Arial"/>
          <w:sz w:val="20"/>
          <w:szCs w:val="20"/>
        </w:rPr>
        <w:t xml:space="preserve"> </w:t>
      </w:r>
      <w:r w:rsidR="00780926">
        <w:rPr>
          <w:rFonts w:ascii="Arial" w:eastAsia="Arial" w:hAnsi="Arial" w:cs="Arial"/>
          <w:sz w:val="20"/>
          <w:szCs w:val="20"/>
        </w:rPr>
        <w:t>(</w:t>
      </w:r>
      <w:r w:rsidRPr="000C73C6">
        <w:rPr>
          <w:rFonts w:ascii="Arial" w:eastAsia="Arial Unicode MS" w:hAnsi="Arial" w:cs="Arial"/>
          <w:sz w:val="20"/>
          <w:szCs w:val="20"/>
        </w:rPr>
        <w:t>version 2.6.63019</w:t>
      </w:r>
      <w:r w:rsidR="004625F7">
        <w:rPr>
          <w:rFonts w:ascii="Arial" w:eastAsia="Arial Unicode MS" w:hAnsi="Arial" w:cs="Arial"/>
          <w:sz w:val="20"/>
          <w:szCs w:val="20"/>
        </w:rPr>
        <w:t xml:space="preserve">, </w:t>
      </w:r>
      <w:r>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{"citationItems":[{"id":"ITEM-1","itemData":{"URL":"https://www.deepl.com/translator","accessed":{"date-parts":[["2023","7","14"]]},"author":[{"dropping-particle":"","family":"DeepL SE","given":"","non-dropping-particle":"","parse-names":false,"suffix":""}],"id":"ITEM-1","issued":{"date-parts":[["2017"]]},"title":"DeepL","type":"webpage"},"uris":["http://www.mendeley.com/documents/?uuid=432f516c-1d99-4910-afc0-3fc99360a8f0"]}],"mendeley":{"formattedCitation":"(DeepL SE, 2017)","manualFormatting":"DeepL SE, 2017)","plainTextFormattedCitation":"(DeepL SE, 2017)","previouslyFormattedCitation":"(DeepL SE, 2017)"},"properties":{"noteIndex":0},"schema":"https://github.com/citation-style-language/schema/raw/master/csl-citation.json"}</w:instrText>
      </w:r>
      <w:r>
        <w:rPr>
          <w:rFonts w:ascii="Arial" w:eastAsia="Arial" w:hAnsi="Arial" w:cs="Arial"/>
          <w:sz w:val="20"/>
          <w:szCs w:val="20"/>
        </w:rPr>
        <w:fldChar w:fldCharType="separate"/>
      </w:r>
      <w:r w:rsidR="004625F7" w:rsidRPr="004625F7">
        <w:rPr>
          <w:rFonts w:ascii="Arial" w:eastAsia="Arial" w:hAnsi="Arial" w:cs="Arial"/>
          <w:noProof/>
          <w:sz w:val="20"/>
          <w:szCs w:val="20"/>
        </w:rPr>
        <w:t>DeepL SE, 2017)</w:t>
      </w:r>
      <w:r>
        <w:rPr>
          <w:rFonts w:ascii="Arial" w:eastAsia="Arial" w:hAnsi="Arial" w:cs="Arial"/>
          <w:sz w:val="20"/>
          <w:szCs w:val="20"/>
        </w:rPr>
        <w:fldChar w:fldCharType="end"/>
      </w:r>
      <w:r w:rsidR="004625F7">
        <w:rPr>
          <w:rFonts w:ascii="Arial" w:eastAsia="Arial" w:hAnsi="Arial" w:cs="Arial"/>
          <w:sz w:val="20"/>
          <w:szCs w:val="20"/>
        </w:rPr>
        <w:t xml:space="preserve">. </w:t>
      </w:r>
      <w:r w:rsidRPr="000C73C6">
        <w:rPr>
          <w:rFonts w:ascii="Arial" w:eastAsia="Arial" w:hAnsi="Arial" w:cs="Arial"/>
          <w:sz w:val="20"/>
          <w:szCs w:val="20"/>
        </w:rPr>
        <w:t>Translations were validated using back-translation</w:t>
      </w:r>
      <w:r w:rsidR="00803966" w:rsidRPr="000C73C6">
        <w:rPr>
          <w:rFonts w:ascii="Arial" w:eastAsia="Arial Unicode MS" w:hAnsi="Arial" w:cs="Arial"/>
          <w:sz w:val="20"/>
          <w:szCs w:val="20"/>
        </w:rPr>
        <w:t xml:space="preserve">. The eHEALS was calculated as the sum of all </w:t>
      </w:r>
      <w:r w:rsidR="00780926">
        <w:rPr>
          <w:rFonts w:ascii="Arial" w:eastAsia="Arial Unicode MS" w:hAnsi="Arial" w:cs="Arial"/>
          <w:sz w:val="20"/>
          <w:szCs w:val="20"/>
        </w:rPr>
        <w:t xml:space="preserve">instrument </w:t>
      </w:r>
      <w:r w:rsidR="00803966" w:rsidRPr="000C73C6">
        <w:rPr>
          <w:rFonts w:ascii="Arial" w:eastAsia="Arial Unicode MS" w:hAnsi="Arial" w:cs="Arial"/>
          <w:sz w:val="20"/>
          <w:szCs w:val="20"/>
        </w:rPr>
        <w:t>items ranging from 8 to 40, with higher scores reflecting higher levels of eHealth literacy. The eHEALS score was categorised into high eHealth literacy (eHEALS≥26) and low eHealth literacy (eHEALS&lt;26), in line with previous studies</w:t>
      </w:r>
      <w:r w:rsidR="004625F7">
        <w:rPr>
          <w:rFonts w:ascii="Arial" w:eastAsia="Arial Unicode MS" w:hAnsi="Arial" w:cs="Arial"/>
          <w:sz w:val="20"/>
          <w:szCs w:val="20"/>
        </w:rPr>
        <w:t xml:space="preserve"> </w:t>
      </w:r>
      <w:r w:rsidR="00780926">
        <w:rPr>
          <w:rFonts w:ascii="Arial" w:eastAsia="Arial Unicode MS" w:hAnsi="Arial" w:cs="Arial"/>
          <w:sz w:val="20"/>
          <w:szCs w:val="20"/>
        </w:rPr>
        <w:fldChar w:fldCharType="begin" w:fldLock="1"/>
      </w:r>
      <w:r w:rsidR="004625F7">
        <w:rPr>
          <w:rFonts w:ascii="Arial" w:eastAsia="Arial Unicode MS" w:hAnsi="Arial" w:cs="Arial"/>
          <w:sz w:val="20"/>
          <w:szCs w:val="20"/>
        </w:rPr>
        <w:instrText>ADDIN CSL_CITATION {"citationItems":[{"id":"ITEM-1","itemData":{"DOI":"10.2196/jmir.1840","ISSN":"1438-8871 (Electronic)","PMID":"22071338","abstract":"BACKGROUND: The Internet increases the availability of health information, which consequently expands the amount of skills that health care consumers must have to obtain and evaluate health information. Norman and Skinner in 2006 developed an 8-item self-report eHealth literacy scale to measure these skills: the eHealth Literacy Scale (eHEALS). This instrument has been available only in English and there are no data on its validity. OBJECTIVES: The objective of our study was to assess the internal consistency and the construct and predictive validity of a Dutch translation of the eHEALS in two populations. METHODS: We examined the translated scale in a sample of patients with rheumatic diseases (n = 189; study 1) and in a stratified sample of the Dutch population (n = 88; study 2). We determined Cronbach alpha coefficients and analyzed the principal components. Convergent validity was determined by studying correlations with age, education, and current (health-related) Internet use. Furthermore, in study 2 we assessed the predictive validity of the instrument by comparing scores on the eHEALS with an actual performance test. RESULTS: The internal consistency of the scale was sufficient: alpha = .93 in study 1 and alpha = .92 in study 2. In both studies the 8 items loaded on 1 single component (respectively 67% and 63% of variance). Correlations between eHEALS and age and education were not found. Significant, though weak, correlations were found between the eHEALS and quantity of Internet use (r = .24, P = .001 and r = .24, P = .02, respectively). Contrary to expectations, correlations between the eHEALS and successfully completed tasks on a performance test were weak and nonsignificant: r = .18 (P = .09). The t tests showed no significant differences in scores on the eHEALS between participants who scored below and above median scores of the performance test. CONCLUSIONS: The eHEALS was assessed as unidimensional in a principal component analysis and the internal consistency of the scale was high, which makes the reliability adequate. However, findings suggest that the validity of the eHEALS instrument requires further study, since the relationship with Internet use was weak and expected relationships with age, education, and actual performance were not significant. Further research to develop a self-report instrument with high correlations with people's actual eHealth literacy skills is warranted.","author":[{"dropping-particle":"","family":"Vaart","given":"Rosalie","non-dropping-particle":"van der","parse-names":false,"suffix":""},{"dropping-particle":"","family":"Deursen","given":"Alexander Jam","non-dropping-particle":"van","parse-names":false,"suffix":""},{"dropping-particle":"","family":"Drossaert","given":"Constance Hc","non-dropping-particle":"","parse-names":false,"suffix":""},{"dropping-particle":"","family":"Taal","given":"Erik","non-dropping-particle":"","parse-names":false,"suffix":""},{"dropping-particle":"","family":"Dijk","given":"Jan Amg","non-dropping-particle":"van","parse-names":false,"suffix":""},{"dropping-particle":"","family":"Laar","given":"Mart Afj","non-dropping-particle":"van de","parse-names":false,"suffix":""}],"container-title":"Journal of Medical Internet Research","id":"ITEM-1","issue":"4","issued":{"date-parts":[["2011","11"]]},"language":"eng","page":"e86","title":"Does the eHealth Literacy Scale (eHEALS) measure what it intends to measure? Validation of a Dutch version of the eHEALS in two adult populations.","type":"article-journal","volume":"13"},"uris":["http://www.mendeley.com/documents/?uuid=cd0e4875-6957-4ddd-9e2d-7073461d8640"]},{"id":"ITEM-2","itemData":{"DOI":"10.2196/jmir.8759","ISSN":"1438-8871","abstract":"Background: In this digital era, eHealth literacy is an essential skill set to leverage health information available online to promote health outcomes. South Korea has an advanced health information technology infrastructure, including widespread use of the internet and mobile phones. A few studies have explored eHealth literacy in South Korea using translated versions of the eHEALS; however, they were not fully validated. A unified reliable and valid assessment tool is critical to assess and enhance the eHealth literacy level across the population. Objective: The aim was to develop a Korean version of eHealth Literacy Scale (K-eHEALS) and evaluate its reliability and validity employing healthy young adults in Korea. Methods: The K-eHEALS was developed based on eHEALS, a widely used tool that measures eHealth literacy, and was validated using a sample of 500 young adults recruited from a pool of a Korean internet survey panel. Content validity was assessed using the content validity index (CVI) for individual items and for scale. Construct validity was examined using exploratory factor analysis and hypothesis testing. The Cronbach alpha coefficient was used to determine the internal consistency and the Pearson correlation coefficient was used to evaluable the stability of the measure (n=55). Results: Both individual and scale CVIs were acceptable (individual CVIs&gt;0.67; scale CVI=0.83). Single factors accounting for 50.3% of the variance in the scales were extracted revealing the unidimensional latent structure of K-eHEALS. Hypothesis testing showed significant association between eHealth literacy and hours of internet use per day, supporting the construct validity. Items of the K-eHEALS were internally consistent (Cronbach alpha=.88) and stable over a 1-month period (r=.754, P&lt;.001). Conclusions: The findings of this study suggest that K-eHEALS is a valid and reliable measure of eHealth literacy in Korean young adults. Additional studies are needed with more diverse groups of adults in Korea.","author":[{"dropping-particle":"","family":"Chung","given":"SeonYoon","non-dropping-particle":"","parse-names":false,"suffix":""},{"dropping-particle":"","family":"Park","given":"Bu Kyung","non-dropping-particle":"","parse-names":false,"suffix":""},{"dropping-particle":"","family":"Nahm","given":"Eun-Shim","non-dropping-particle":"","parse-names":false,"suffix":""}],"container-title":"Journal of Medical Internet Research","id":"ITEM-2","issue":"4","issued":{"date-parts":[["2018"]]},"page":"e138","title":"The Korean eHealth Literacy Scale (K-eHEALS): reliability and validity testing in younger ddults recruited online","type":"article-journal","volume":"20"},"uris":["http://www.mendeley.com/documents/?uuid=4cb3397f-ee40-4f9f-860f-7cae2eaa9e6d"]}],"mendeley":{"formattedCitation":"(Chung et al., 2018; van der Vaart et al., 2011)","plainTextFormattedCitation":"(Chung et al., 2018; van der Vaart et al., 2011)","previouslyFormattedCitation":"(Chung et al., 2018; van der Vaart et al., 2011)"},"properties":{"noteIndex":0},"schema":"https://github.com/citation-style-language/schema/raw/master/csl-citation.json"}</w:instrText>
      </w:r>
      <w:r w:rsidR="00780926">
        <w:rPr>
          <w:rFonts w:ascii="Arial" w:eastAsia="Arial Unicode MS" w:hAnsi="Arial" w:cs="Arial"/>
          <w:sz w:val="20"/>
          <w:szCs w:val="20"/>
        </w:rPr>
        <w:fldChar w:fldCharType="separate"/>
      </w:r>
      <w:r w:rsidR="004625F7" w:rsidRPr="004625F7">
        <w:rPr>
          <w:rFonts w:ascii="Arial" w:eastAsia="Arial Unicode MS" w:hAnsi="Arial" w:cs="Arial"/>
          <w:noProof/>
          <w:sz w:val="20"/>
          <w:szCs w:val="20"/>
        </w:rPr>
        <w:t>(Chung et al., 2018; van der Vaart et al., 2011)</w:t>
      </w:r>
      <w:r w:rsidR="00780926">
        <w:rPr>
          <w:rFonts w:ascii="Arial" w:eastAsia="Arial Unicode MS" w:hAnsi="Arial" w:cs="Arial"/>
          <w:sz w:val="20"/>
          <w:szCs w:val="20"/>
        </w:rPr>
        <w:fldChar w:fldCharType="end"/>
      </w:r>
      <w:r w:rsidR="004625F7">
        <w:rPr>
          <w:rFonts w:ascii="Arial" w:eastAsia="Arial Unicode MS" w:hAnsi="Arial" w:cs="Arial"/>
          <w:sz w:val="20"/>
          <w:szCs w:val="20"/>
        </w:rPr>
        <w:t xml:space="preserve">. </w:t>
      </w:r>
    </w:p>
    <w:p w14:paraId="0000002D" w14:textId="77777777" w:rsidR="00920126" w:rsidRPr="000C73C6" w:rsidRDefault="00920126">
      <w:pPr>
        <w:rPr>
          <w:rFonts w:ascii="Arial" w:eastAsia="Arial" w:hAnsi="Arial" w:cs="Arial"/>
          <w:sz w:val="20"/>
          <w:szCs w:val="20"/>
        </w:rPr>
      </w:pPr>
    </w:p>
    <w:p w14:paraId="0000002E" w14:textId="77777777" w:rsidR="00920126" w:rsidRPr="000C73C6" w:rsidRDefault="00803966">
      <w:pPr>
        <w:rPr>
          <w:rFonts w:ascii="Arial" w:eastAsia="Arial" w:hAnsi="Arial" w:cs="Arial"/>
          <w:i/>
          <w:sz w:val="20"/>
          <w:szCs w:val="20"/>
        </w:rPr>
      </w:pPr>
      <w:r w:rsidRPr="000C73C6">
        <w:rPr>
          <w:rFonts w:ascii="Arial" w:eastAsia="Arial" w:hAnsi="Arial" w:cs="Arial"/>
          <w:i/>
          <w:sz w:val="20"/>
          <w:szCs w:val="20"/>
        </w:rPr>
        <w:t xml:space="preserve">Topic modelling using Latent Dirichlet Allocation </w:t>
      </w:r>
    </w:p>
    <w:p w14:paraId="00000030" w14:textId="160D2D22" w:rsidR="00920126" w:rsidRPr="000C73C6" w:rsidRDefault="00803966">
      <w:pPr>
        <w:rPr>
          <w:rFonts w:ascii="Arial" w:eastAsia="Arial" w:hAnsi="Arial" w:cs="Arial"/>
          <w:b/>
          <w:sz w:val="20"/>
          <w:szCs w:val="20"/>
        </w:rPr>
      </w:pPr>
      <w:r w:rsidRPr="000C73C6">
        <w:rPr>
          <w:rFonts w:ascii="Arial" w:eastAsia="Arial" w:hAnsi="Arial" w:cs="Arial"/>
          <w:sz w:val="20"/>
          <w:szCs w:val="20"/>
        </w:rPr>
        <w:t>The two open-ended questions were analysed using an LDA topic modelling approach. Figure 1 shows the consecutive steps</w:t>
      </w:r>
      <w:r w:rsidR="006D16D0">
        <w:rPr>
          <w:rFonts w:ascii="Arial" w:eastAsia="Arial" w:hAnsi="Arial" w:cs="Arial"/>
          <w:sz w:val="20"/>
          <w:szCs w:val="20"/>
        </w:rPr>
        <w:t xml:space="preserve"> of</w:t>
      </w:r>
      <w:r w:rsidRPr="000C73C6">
        <w:rPr>
          <w:rFonts w:ascii="Arial" w:eastAsia="Arial" w:hAnsi="Arial" w:cs="Arial"/>
          <w:sz w:val="20"/>
          <w:szCs w:val="20"/>
        </w:rPr>
        <w:t xml:space="preserve"> text-pre-processing, creating document-term matrices, determining the number of topics, LDA topic modelling, </w:t>
      </w:r>
      <w:r w:rsidR="006D16D0">
        <w:rPr>
          <w:rFonts w:ascii="Arial" w:hAnsi="Arial" w:cs="Arial"/>
          <w:sz w:val="20"/>
          <w:szCs w:val="20"/>
        </w:rPr>
        <w:t xml:space="preserve">and manual </w:t>
      </w:r>
      <w:r w:rsidR="006D16D0">
        <w:rPr>
          <w:rFonts w:ascii="Arial" w:eastAsia="Arial" w:hAnsi="Arial" w:cs="Arial"/>
          <w:sz w:val="20"/>
          <w:szCs w:val="20"/>
        </w:rPr>
        <w:t>labelling of the topics</w:t>
      </w:r>
      <w:r w:rsidRPr="000C73C6">
        <w:rPr>
          <w:rFonts w:ascii="Arial" w:eastAsia="Arial" w:hAnsi="Arial" w:cs="Arial"/>
          <w:sz w:val="20"/>
          <w:szCs w:val="20"/>
        </w:rPr>
        <w:t xml:space="preserve">. </w:t>
      </w:r>
    </w:p>
    <w:p w14:paraId="36AB1629" w14:textId="77777777" w:rsidR="00D42302" w:rsidRDefault="00D42302">
      <w:pPr>
        <w:rPr>
          <w:rFonts w:ascii="Arial" w:eastAsia="Arial" w:hAnsi="Arial" w:cs="Arial"/>
          <w:b/>
          <w:sz w:val="20"/>
          <w:szCs w:val="20"/>
        </w:rPr>
      </w:pPr>
    </w:p>
    <w:p w14:paraId="00000031" w14:textId="337BFD24" w:rsidR="00920126" w:rsidRPr="000C73C6" w:rsidRDefault="00803966">
      <w:pPr>
        <w:rPr>
          <w:rFonts w:ascii="Arial" w:eastAsia="Arial" w:hAnsi="Arial" w:cs="Arial"/>
          <w:sz w:val="20"/>
          <w:szCs w:val="20"/>
        </w:rPr>
      </w:pPr>
      <w:r w:rsidRPr="000C73C6">
        <w:rPr>
          <w:rFonts w:ascii="Arial" w:eastAsia="Arial" w:hAnsi="Arial" w:cs="Arial"/>
          <w:b/>
          <w:sz w:val="20"/>
          <w:szCs w:val="20"/>
        </w:rPr>
        <w:t xml:space="preserve">Figure 1: </w:t>
      </w:r>
      <w:r w:rsidRPr="000C73C6">
        <w:rPr>
          <w:rFonts w:ascii="Arial" w:eastAsia="Arial" w:hAnsi="Arial" w:cs="Arial"/>
          <w:sz w:val="20"/>
          <w:szCs w:val="20"/>
        </w:rPr>
        <w:t xml:space="preserve">The steps of data processing and modelling </w:t>
      </w:r>
      <w:r w:rsidR="00780926">
        <w:rPr>
          <w:rFonts w:ascii="Arial" w:eastAsia="Arial" w:hAnsi="Arial" w:cs="Arial"/>
          <w:sz w:val="20"/>
          <w:szCs w:val="20"/>
        </w:rPr>
        <w:t xml:space="preserve">including respective R packages </w:t>
      </w:r>
      <w:r w:rsidRPr="000C73C6">
        <w:rPr>
          <w:rFonts w:ascii="Arial" w:eastAsia="Arial" w:hAnsi="Arial" w:cs="Arial"/>
          <w:sz w:val="20"/>
          <w:szCs w:val="20"/>
        </w:rPr>
        <w:t>used for the creation of LDA models</w:t>
      </w:r>
      <w:r w:rsidR="006D16D0">
        <w:rPr>
          <w:rFonts w:ascii="Arial" w:eastAsia="Arial" w:hAnsi="Arial" w:cs="Arial"/>
          <w:sz w:val="20"/>
          <w:szCs w:val="20"/>
        </w:rPr>
        <w:t>.</w:t>
      </w:r>
    </w:p>
    <w:p w14:paraId="00000032" w14:textId="77777777" w:rsidR="00920126" w:rsidRPr="000C73C6" w:rsidRDefault="00920126">
      <w:pPr>
        <w:rPr>
          <w:rFonts w:ascii="Arial" w:eastAsia="Arial" w:hAnsi="Arial" w:cs="Arial"/>
          <w:sz w:val="20"/>
          <w:szCs w:val="20"/>
        </w:rPr>
      </w:pPr>
    </w:p>
    <w:p w14:paraId="00000033" w14:textId="4038C44F" w:rsidR="00920126" w:rsidRPr="000C73C6" w:rsidRDefault="00803966">
      <w:pPr>
        <w:rPr>
          <w:rFonts w:ascii="Arial" w:eastAsia="Arial" w:hAnsi="Arial" w:cs="Arial"/>
          <w:sz w:val="20"/>
          <w:szCs w:val="20"/>
        </w:rPr>
      </w:pPr>
      <w:r w:rsidRPr="000C73C6">
        <w:rPr>
          <w:rFonts w:ascii="Arial" w:eastAsia="Arial" w:hAnsi="Arial" w:cs="Arial"/>
          <w:sz w:val="20"/>
          <w:szCs w:val="20"/>
        </w:rPr>
        <w:t>The text data underwent automated pre-processing using R Studio (version 1.4.1717</w:t>
      </w:r>
      <w:r w:rsidR="004625F7">
        <w:rPr>
          <w:rFonts w:ascii="Arial" w:eastAsia="Arial" w:hAnsi="Arial" w:cs="Arial"/>
          <w:sz w:val="20"/>
          <w:szCs w:val="20"/>
        </w:rPr>
        <w:t xml:space="preserve">, </w:t>
      </w:r>
      <w:r w:rsidR="006D16D0">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{"citationItems":[{"id":"ITEM-1","itemData":{"author":[{"dropping-particle":"","family":"R Core Team","given":"","non-dropping-particle":"","parse-names":false,"suffix":""}],"id":"ITEM-1","issued":{"date-parts":[["2021"]]},"title":"R: A language and environment for statistical computing","type":"webpage"},"uris":["http://www.mendeley.com/documents/?uuid=00421620-dce6-4bbb-97a3-9fb7df837a09"]}],"mendeley":{"formattedCitation":"(R Core Team, 2021)","manualFormatting":"R Core Team, 2021)","plainTextFormattedCitation":"(R Core Team, 2021)","previouslyFormattedCitation":"(R Core Team (2020), 2021)"},"properties":{"noteIndex":0},"schema":"https://github.com/citation-style-language/schema/raw/master/csl-citation.json"}</w:instrText>
      </w:r>
      <w:r w:rsidR="006D16D0">
        <w:rPr>
          <w:rFonts w:ascii="Arial" w:eastAsia="Arial" w:hAnsi="Arial" w:cs="Arial"/>
          <w:sz w:val="20"/>
          <w:szCs w:val="20"/>
        </w:rPr>
        <w:fldChar w:fldCharType="separate"/>
      </w:r>
      <w:r w:rsidR="004625F7" w:rsidRPr="004625F7">
        <w:rPr>
          <w:rFonts w:ascii="Arial" w:eastAsia="Arial" w:hAnsi="Arial" w:cs="Arial"/>
          <w:noProof/>
          <w:sz w:val="20"/>
          <w:szCs w:val="20"/>
        </w:rPr>
        <w:t>R Core Team, 2021)</w:t>
      </w:r>
      <w:r w:rsidR="006D16D0">
        <w:rPr>
          <w:rFonts w:ascii="Arial" w:eastAsia="Arial" w:hAnsi="Arial" w:cs="Arial"/>
          <w:sz w:val="20"/>
          <w:szCs w:val="20"/>
        </w:rPr>
        <w:fldChar w:fldCharType="end"/>
      </w:r>
      <w:r w:rsidR="004625F7">
        <w:rPr>
          <w:rFonts w:ascii="Arial" w:eastAsia="Arial" w:hAnsi="Arial" w:cs="Arial"/>
          <w:sz w:val="20"/>
          <w:szCs w:val="20"/>
        </w:rPr>
        <w:t xml:space="preserve">. </w:t>
      </w:r>
      <w:r w:rsidRPr="000C73C6">
        <w:rPr>
          <w:rFonts w:ascii="Arial" w:eastAsia="Arial" w:hAnsi="Arial" w:cs="Arial"/>
          <w:sz w:val="20"/>
          <w:szCs w:val="20"/>
        </w:rPr>
        <w:t>Initially</w:t>
      </w:r>
      <w:r w:rsidR="004C169A">
        <w:rPr>
          <w:rFonts w:ascii="Arial" w:eastAsia="Arial" w:hAnsi="Arial" w:cs="Arial"/>
          <w:sz w:val="20"/>
          <w:szCs w:val="20"/>
        </w:rPr>
        <w:t>,</w:t>
      </w:r>
      <w:r w:rsidRPr="000C73C6">
        <w:rPr>
          <w:rFonts w:ascii="Arial" w:eastAsia="Arial" w:hAnsi="Arial" w:cs="Arial"/>
          <w:sz w:val="20"/>
          <w:szCs w:val="20"/>
        </w:rPr>
        <w:t xml:space="preserve"> the data set was imported as a .CSV UTF-8 file. Unwanted noise, such as double spaces, multiple newlines, punctuation, numbers, </w:t>
      </w:r>
      <w:r w:rsidR="006F7DBE">
        <w:rPr>
          <w:rFonts w:ascii="Arial" w:eastAsia="Arial" w:hAnsi="Arial" w:cs="Arial"/>
          <w:sz w:val="20"/>
          <w:szCs w:val="20"/>
        </w:rPr>
        <w:t xml:space="preserve">and </w:t>
      </w:r>
      <w:r w:rsidRPr="000C73C6">
        <w:rPr>
          <w:rFonts w:ascii="Arial" w:eastAsia="Arial" w:hAnsi="Arial" w:cs="Arial"/>
          <w:sz w:val="20"/>
          <w:szCs w:val="20"/>
        </w:rPr>
        <w:t>stop words w</w:t>
      </w:r>
      <w:r w:rsidR="006F7DBE">
        <w:rPr>
          <w:rFonts w:ascii="Arial" w:eastAsia="Arial" w:hAnsi="Arial" w:cs="Arial"/>
          <w:sz w:val="20"/>
          <w:szCs w:val="20"/>
        </w:rPr>
        <w:t>as</w:t>
      </w:r>
      <w:r w:rsidRPr="000C73C6">
        <w:rPr>
          <w:rFonts w:ascii="Arial" w:eastAsia="Arial" w:hAnsi="Arial" w:cs="Arial"/>
          <w:sz w:val="20"/>
          <w:szCs w:val="20"/>
        </w:rPr>
        <w:t xml:space="preserve"> removed using the text mining framework of the t</w:t>
      </w:r>
      <w:r w:rsidR="00B63904">
        <w:rPr>
          <w:rFonts w:ascii="Arial" w:eastAsia="Arial" w:hAnsi="Arial" w:cs="Arial"/>
          <w:sz w:val="20"/>
          <w:szCs w:val="20"/>
        </w:rPr>
        <w:t>m package</w:t>
      </w:r>
      <w:r w:rsidR="006D16D0">
        <w:rPr>
          <w:rFonts w:ascii="Arial" w:eastAsia="Arial" w:hAnsi="Arial" w:cs="Arial"/>
          <w:sz w:val="20"/>
          <w:szCs w:val="20"/>
        </w:rPr>
        <w:t xml:space="preserve"> </w:t>
      </w:r>
      <w:r w:rsidRPr="000C73C6">
        <w:rPr>
          <w:rFonts w:ascii="Arial" w:eastAsia="Arial" w:hAnsi="Arial" w:cs="Arial"/>
          <w:sz w:val="20"/>
          <w:szCs w:val="20"/>
        </w:rPr>
        <w:t xml:space="preserve">(version </w:t>
      </w:r>
      <w:r w:rsidR="00B63904">
        <w:rPr>
          <w:rFonts w:ascii="Arial" w:eastAsia="Arial" w:hAnsi="Arial" w:cs="Arial"/>
          <w:sz w:val="20"/>
          <w:szCs w:val="20"/>
        </w:rPr>
        <w:t>11</w:t>
      </w:r>
      <w:r w:rsidRPr="000C73C6">
        <w:rPr>
          <w:rFonts w:ascii="Arial" w:eastAsia="Arial" w:hAnsi="Arial" w:cs="Arial"/>
          <w:sz w:val="20"/>
          <w:szCs w:val="20"/>
        </w:rPr>
        <w:t>-</w:t>
      </w:r>
      <w:r w:rsidR="00B63904">
        <w:rPr>
          <w:rFonts w:ascii="Arial" w:eastAsia="Arial" w:hAnsi="Arial" w:cs="Arial"/>
          <w:sz w:val="20"/>
          <w:szCs w:val="20"/>
        </w:rPr>
        <w:t>7</w:t>
      </w:r>
      <w:r w:rsidR="004625F7">
        <w:rPr>
          <w:rFonts w:ascii="Arial" w:eastAsia="Arial" w:hAnsi="Arial" w:cs="Arial"/>
          <w:sz w:val="20"/>
          <w:szCs w:val="20"/>
        </w:rPr>
        <w:t xml:space="preserve">, </w:t>
      </w:r>
      <w:r w:rsidR="006D16D0">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author":[{"dropping-particle":"","family":"Feinerer","given":"Ingo","non-dropping-particle":"","parse-names":false,"suffix":""},{"dropping-particle":"","family":"Hornik","given":"Kurt","non-dropping-particle":"","parse-names":false,"suffix":""},{"dropping-particle":"","family":"Artifex Software Inc","given":"","non-dropping-particle":"","parse-names":false,"suffix":""}],"id":"ITEM-1","issued":{"date-parts":[["2023"]]},"title":"tm: Text Mining Package (version 0.7-11)","type":"webpage"},"uris":["http://www.mendeley.com/documents/?uuid=4e6bb4b4-9427-409a-bab3-51e9998bef4f"]}],"mendeley":{"formattedCitation":"(Feinerer et al., 2023)","plainTextFormattedCitation":"(Feinerer et al., 2023)","previouslyFormattedCitation":"(Feinerer et al., 2023)"},"properties":{"noteIndex":0},"schema":"https://github.com/citation-style-language/schema/raw/master/csl-citation.json"}</w:instrText>
      </w:r>
      <w:r w:rsidR="006D16D0">
        <w:rPr>
          <w:rFonts w:ascii="Arial" w:eastAsia="Arial" w:hAnsi="Arial" w:cs="Arial"/>
          <w:sz w:val="20"/>
          <w:szCs w:val="20"/>
        </w:rPr>
        <w:fldChar w:fldCharType="separate"/>
      </w:r>
      <w:r w:rsidR="004625F7" w:rsidRPr="004625F7">
        <w:rPr>
          <w:rFonts w:ascii="Arial" w:eastAsia="Arial" w:hAnsi="Arial" w:cs="Arial"/>
          <w:noProof/>
          <w:sz w:val="20"/>
          <w:szCs w:val="20"/>
        </w:rPr>
        <w:t>Feinerer et al., 2023)</w:t>
      </w:r>
      <w:r w:rsidR="006D16D0">
        <w:rPr>
          <w:rFonts w:ascii="Arial" w:eastAsia="Arial" w:hAnsi="Arial" w:cs="Arial"/>
          <w:sz w:val="20"/>
          <w:szCs w:val="20"/>
        </w:rPr>
        <w:fldChar w:fldCharType="end"/>
      </w:r>
      <w:r w:rsidRPr="000C73C6">
        <w:rPr>
          <w:rFonts w:ascii="Arial" w:eastAsia="Arial" w:hAnsi="Arial" w:cs="Arial"/>
          <w:sz w:val="20"/>
          <w:szCs w:val="20"/>
        </w:rPr>
        <w:t xml:space="preserve"> </w:t>
      </w:r>
      <w:r w:rsidR="006D16D0">
        <w:rPr>
          <w:rFonts w:ascii="Arial" w:eastAsia="Arial" w:hAnsi="Arial" w:cs="Arial"/>
          <w:sz w:val="20"/>
          <w:szCs w:val="20"/>
        </w:rPr>
        <w:t>The</w:t>
      </w:r>
      <w:r w:rsidRPr="000C73C6">
        <w:rPr>
          <w:rFonts w:ascii="Arial" w:eastAsia="Arial" w:hAnsi="Arial" w:cs="Arial"/>
          <w:sz w:val="20"/>
          <w:szCs w:val="20"/>
        </w:rPr>
        <w:t xml:space="preserve"> text was converted to lowercase using the </w:t>
      </w:r>
      <w:proofErr w:type="spellStart"/>
      <w:r w:rsidRPr="000C73C6">
        <w:rPr>
          <w:rFonts w:ascii="Arial" w:eastAsia="Arial" w:hAnsi="Arial" w:cs="Arial"/>
          <w:sz w:val="20"/>
          <w:szCs w:val="20"/>
        </w:rPr>
        <w:t>stringr</w:t>
      </w:r>
      <w:proofErr w:type="spellEnd"/>
      <w:r w:rsidRPr="000C73C6">
        <w:rPr>
          <w:rFonts w:ascii="Arial" w:eastAsia="Arial" w:hAnsi="Arial" w:cs="Arial"/>
          <w:sz w:val="20"/>
          <w:szCs w:val="20"/>
        </w:rPr>
        <w:t xml:space="preserve"> package</w:t>
      </w:r>
      <w:r w:rsidR="006D16D0">
        <w:rPr>
          <w:rFonts w:ascii="Arial" w:eastAsia="Arial" w:hAnsi="Arial" w:cs="Arial"/>
          <w:sz w:val="20"/>
          <w:szCs w:val="20"/>
        </w:rPr>
        <w:t xml:space="preserve"> (version 1.5.0</w:t>
      </w:r>
      <w:r w:rsidR="004625F7">
        <w:rPr>
          <w:rFonts w:ascii="Arial" w:eastAsia="Arial" w:hAnsi="Arial" w:cs="Arial"/>
          <w:sz w:val="20"/>
          <w:szCs w:val="20"/>
        </w:rPr>
        <w:t xml:space="preserve">, </w:t>
      </w:r>
      <w:r w:rsidR="006D16D0">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URL":"https://cran.r-project.org/web/packages/stringr/index.html","accessed":{"date-parts":[["2023","7","14"]]},"author":[{"dropping-particle":"","family":"Wickham","given":"H","non-dropping-particle":"","parse-names":false,"suffix":""}],"id":"ITEM-1","issued":{"date-parts":[["2023"]]},"title":"stringr: Simple, Consistent Wrappers for Common String Operations (Version 1.5.0)","type":"webpage"},"uris":["http://www.mendeley.com/documents/?uuid=e2b03e3d-a50e-4975-a06e-ae2004ab70ca"]}],"mendeley":{"formattedCitation":"(Wickham, 2023)","plainTextFormattedCitation":"(Wickham, 2023)","previouslyFormattedCitation":"(Wickham, 2023)"},"properties":{"noteIndex":0},"schema":"https://github.com/citation-style-language/schema/raw/master/csl-citation.json"}</w:instrText>
      </w:r>
      <w:r w:rsidR="006D16D0">
        <w:rPr>
          <w:rFonts w:ascii="Arial" w:eastAsia="Arial" w:hAnsi="Arial" w:cs="Arial"/>
          <w:sz w:val="20"/>
          <w:szCs w:val="20"/>
        </w:rPr>
        <w:fldChar w:fldCharType="separate"/>
      </w:r>
      <w:r w:rsidR="004625F7" w:rsidRPr="004625F7">
        <w:rPr>
          <w:rFonts w:ascii="Arial" w:eastAsia="Arial" w:hAnsi="Arial" w:cs="Arial"/>
          <w:noProof/>
          <w:sz w:val="20"/>
          <w:szCs w:val="20"/>
        </w:rPr>
        <w:t>Wickham, 2023)</w:t>
      </w:r>
      <w:r w:rsidR="006D16D0">
        <w:rPr>
          <w:rFonts w:ascii="Arial" w:eastAsia="Arial" w:hAnsi="Arial" w:cs="Arial"/>
          <w:sz w:val="20"/>
          <w:szCs w:val="20"/>
        </w:rPr>
        <w:fldChar w:fldCharType="end"/>
      </w:r>
      <w:r w:rsidRPr="000C73C6">
        <w:rPr>
          <w:rFonts w:ascii="Arial" w:eastAsia="Arial" w:hAnsi="Arial" w:cs="Arial"/>
          <w:sz w:val="20"/>
          <w:szCs w:val="20"/>
        </w:rPr>
        <w:t xml:space="preserve"> The </w:t>
      </w:r>
      <w:proofErr w:type="spellStart"/>
      <w:r w:rsidRPr="000C73C6">
        <w:rPr>
          <w:rFonts w:ascii="Arial" w:eastAsia="Arial" w:hAnsi="Arial" w:cs="Arial"/>
          <w:sz w:val="20"/>
          <w:szCs w:val="20"/>
        </w:rPr>
        <w:t>tidyr</w:t>
      </w:r>
      <w:proofErr w:type="spellEnd"/>
      <w:r w:rsidRPr="000C73C6">
        <w:rPr>
          <w:rFonts w:ascii="Arial" w:eastAsia="Arial" w:hAnsi="Arial" w:cs="Arial"/>
          <w:sz w:val="20"/>
          <w:szCs w:val="20"/>
        </w:rPr>
        <w:t xml:space="preserve"> </w:t>
      </w:r>
      <w:r w:rsidR="00B63904">
        <w:rPr>
          <w:rFonts w:ascii="Arial" w:eastAsia="Arial" w:hAnsi="Arial" w:cs="Arial"/>
          <w:sz w:val="20"/>
          <w:szCs w:val="20"/>
        </w:rPr>
        <w:t xml:space="preserve">(version 1.3.0) </w:t>
      </w:r>
      <w:r w:rsidRPr="000C73C6">
        <w:rPr>
          <w:rFonts w:ascii="Arial" w:eastAsia="Arial" w:hAnsi="Arial" w:cs="Arial"/>
          <w:sz w:val="20"/>
          <w:szCs w:val="20"/>
        </w:rPr>
        <w:t xml:space="preserve">and </w:t>
      </w:r>
      <w:proofErr w:type="spellStart"/>
      <w:r w:rsidRPr="000C73C6">
        <w:rPr>
          <w:rFonts w:ascii="Arial" w:eastAsia="Arial" w:hAnsi="Arial" w:cs="Arial"/>
          <w:sz w:val="20"/>
          <w:szCs w:val="20"/>
        </w:rPr>
        <w:t>dplyr</w:t>
      </w:r>
      <w:proofErr w:type="spellEnd"/>
      <w:r w:rsidRPr="000C73C6">
        <w:rPr>
          <w:rFonts w:ascii="Arial" w:eastAsia="Arial" w:hAnsi="Arial" w:cs="Arial"/>
          <w:sz w:val="20"/>
          <w:szCs w:val="20"/>
        </w:rPr>
        <w:t xml:space="preserve"> </w:t>
      </w:r>
      <w:r w:rsidR="00B63904">
        <w:rPr>
          <w:rFonts w:ascii="Arial" w:eastAsia="Arial" w:hAnsi="Arial" w:cs="Arial"/>
          <w:sz w:val="20"/>
          <w:szCs w:val="20"/>
        </w:rPr>
        <w:t xml:space="preserve">(version 1.1.2) </w:t>
      </w:r>
      <w:r w:rsidRPr="000C73C6">
        <w:rPr>
          <w:rFonts w:ascii="Arial" w:eastAsia="Arial" w:hAnsi="Arial" w:cs="Arial"/>
          <w:sz w:val="20"/>
          <w:szCs w:val="20"/>
        </w:rPr>
        <w:t>packages were used to break each row of the data set down into a list of terms called “tokens” and to create sequences of tokens known as “n-grams”</w:t>
      </w:r>
      <w:r w:rsidR="004625F7">
        <w:rPr>
          <w:rFonts w:ascii="Arial" w:eastAsia="Arial" w:hAnsi="Arial" w:cs="Arial"/>
          <w:sz w:val="20"/>
          <w:szCs w:val="20"/>
        </w:rPr>
        <w:t xml:space="preserve"> </w:t>
      </w:r>
      <w:r w:rsidR="00B63904">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URL":"https://cran.r-project.org/web/packages/tidyr/index.html","accessed":{"date-parts":[["2023","7","14"]]},"author":[{"dropping-particle":"","family":"Wickham","given":"H","non-dropping-particle":"","parse-names":false,"suffix":""},{"dropping-particle":"","family":"Vaughan","given":"D","non-dropping-particle":"","parse-names":false,"suffix":""},{"dropping-particle":"","family":"Girlich","given":"M","non-dropping-particle":"","parse-names":false,"suffix":""},{"dropping-particle":"","family":"Ushey","given":"K","non-dropping-particle":"","parse-names":false,"suffix":""}],"id":"ITEM-1","issued":{"date-parts":[["2023"]]},"title":"tidyr: Tidy Messy Data (Version 1.3.0)","type":"webpage"},"uris":["http://www.mendeley.com/documents/?uuid=3994ada2-d8b5-4638-a6c9-73c0f87084c7"]},{"id":"ITEM-2","itemData":{"author":[{"dropping-particle":"","family":"Wickham","given":"H","non-dropping-particle":"","parse-names":false,"suffix":""},{"dropping-particle":"","family":"François","given":"R","non-dropping-particle":"","parse-names":false,"suffix":""},{"dropping-particle":"","family":"Henry","given":"L","non-dropping-particle":"","parse-names":false,"suffix":""},{"dropping-particle":"","family":"Müller","given":"K","non-dropping-particle":"","parse-names":false,"suffix":""},{"dropping-particle":"","family":"Vaughan","given":"D","non-dropping-particle":"","parse-names":false,"suffix":""}],"id":"ITEM-2","issued":{"date-parts":[["2023"]]},"title":"dplyr: A Grammar of Data Manipulation (Version 1.1.2)","type":"webpage"},"uris":["http://www.mendeley.com/documents/?uuid=b7cd714a-5acf-4e2b-8486-1492cc70bbcf"]}],"mendeley":{"formattedCitation":"(Wickham, François, et al., 2023; Wickham, Vaughan, et al., 2023)","plainTextFormattedCitation":"(Wickham, François, et al., 2023; Wickham, Vaughan, et al., 2023)","previouslyFormattedCitation":"(Wickham, François, et al., 2023; Wickham, Vaughan, et al., 2023)"},"properties":{"noteIndex":0},"schema":"https://github.com/citation-style-language/schema/raw/master/csl-citation.json"}</w:instrText>
      </w:r>
      <w:r w:rsidR="00B63904">
        <w:rPr>
          <w:rFonts w:ascii="Arial" w:eastAsia="Arial" w:hAnsi="Arial" w:cs="Arial"/>
          <w:sz w:val="20"/>
          <w:szCs w:val="20"/>
        </w:rPr>
        <w:fldChar w:fldCharType="separate"/>
      </w:r>
      <w:r w:rsidR="004625F7" w:rsidRPr="004625F7">
        <w:rPr>
          <w:rFonts w:ascii="Arial" w:eastAsia="Arial" w:hAnsi="Arial" w:cs="Arial"/>
          <w:noProof/>
          <w:sz w:val="20"/>
          <w:szCs w:val="20"/>
        </w:rPr>
        <w:t>(Wickham, François, et al., 2023; Wickham, Vaughan, et al., 2023)</w:t>
      </w:r>
      <w:r w:rsidR="00B63904">
        <w:rPr>
          <w:rFonts w:ascii="Arial" w:eastAsia="Arial" w:hAnsi="Arial" w:cs="Arial"/>
          <w:sz w:val="20"/>
          <w:szCs w:val="20"/>
        </w:rPr>
        <w:fldChar w:fldCharType="end"/>
      </w:r>
      <w:r w:rsidR="004625F7">
        <w:rPr>
          <w:rFonts w:ascii="Arial" w:eastAsia="Arial" w:hAnsi="Arial" w:cs="Arial"/>
          <w:sz w:val="20"/>
          <w:szCs w:val="20"/>
        </w:rPr>
        <w:t xml:space="preserve">. </w:t>
      </w:r>
      <w:r w:rsidRPr="000C73C6">
        <w:rPr>
          <w:rFonts w:ascii="Arial" w:eastAsia="Arial" w:hAnsi="Arial" w:cs="Arial"/>
          <w:sz w:val="20"/>
          <w:szCs w:val="20"/>
        </w:rPr>
        <w:t>For example, the tokens “reduce”, “risk” and “infection” were used to create the bi-grams “</w:t>
      </w:r>
      <w:proofErr w:type="spellStart"/>
      <w:r w:rsidRPr="000C73C6">
        <w:rPr>
          <w:rFonts w:ascii="Arial" w:eastAsia="Arial" w:hAnsi="Arial" w:cs="Arial"/>
          <w:sz w:val="20"/>
          <w:szCs w:val="20"/>
        </w:rPr>
        <w:t>reduce_risk</w:t>
      </w:r>
      <w:proofErr w:type="spellEnd"/>
      <w:r w:rsidRPr="000C73C6">
        <w:rPr>
          <w:rFonts w:ascii="Arial" w:eastAsia="Arial" w:hAnsi="Arial" w:cs="Arial"/>
          <w:sz w:val="20"/>
          <w:szCs w:val="20"/>
        </w:rPr>
        <w:t>” or “</w:t>
      </w:r>
      <w:proofErr w:type="spellStart"/>
      <w:r w:rsidRPr="000C73C6">
        <w:rPr>
          <w:rFonts w:ascii="Arial" w:eastAsia="Arial" w:hAnsi="Arial" w:cs="Arial"/>
          <w:sz w:val="20"/>
          <w:szCs w:val="20"/>
        </w:rPr>
        <w:t>risk_infection</w:t>
      </w:r>
      <w:proofErr w:type="spellEnd"/>
      <w:r w:rsidRPr="000C73C6">
        <w:rPr>
          <w:rFonts w:ascii="Arial" w:eastAsia="Arial" w:hAnsi="Arial" w:cs="Arial"/>
          <w:sz w:val="20"/>
          <w:szCs w:val="20"/>
        </w:rPr>
        <w:t xml:space="preserve">” and the </w:t>
      </w:r>
      <w:proofErr w:type="gramStart"/>
      <w:r w:rsidRPr="000C73C6">
        <w:rPr>
          <w:rFonts w:ascii="Arial" w:eastAsia="Arial" w:hAnsi="Arial" w:cs="Arial"/>
          <w:sz w:val="20"/>
          <w:szCs w:val="20"/>
        </w:rPr>
        <w:t>tri-gram</w:t>
      </w:r>
      <w:proofErr w:type="gramEnd"/>
      <w:r w:rsidRPr="000C73C6">
        <w:rPr>
          <w:rFonts w:ascii="Arial" w:eastAsia="Arial" w:hAnsi="Arial" w:cs="Arial"/>
          <w:sz w:val="20"/>
          <w:szCs w:val="20"/>
        </w:rPr>
        <w:t xml:space="preserve"> “</w:t>
      </w:r>
      <w:proofErr w:type="spellStart"/>
      <w:r w:rsidRPr="000C73C6">
        <w:rPr>
          <w:rFonts w:ascii="Arial" w:eastAsia="Arial" w:hAnsi="Arial" w:cs="Arial"/>
          <w:sz w:val="20"/>
          <w:szCs w:val="20"/>
        </w:rPr>
        <w:t>reduce_risk_infection</w:t>
      </w:r>
      <w:proofErr w:type="spellEnd"/>
      <w:r w:rsidRPr="000C73C6">
        <w:rPr>
          <w:rFonts w:ascii="Arial" w:eastAsia="Arial" w:hAnsi="Arial" w:cs="Arial"/>
          <w:sz w:val="20"/>
          <w:szCs w:val="20"/>
        </w:rPr>
        <w:t xml:space="preserve">”. </w:t>
      </w:r>
    </w:p>
    <w:p w14:paraId="00000034" w14:textId="5E50C0F9" w:rsidR="00920126" w:rsidRPr="000C73C6" w:rsidRDefault="00803966">
      <w:pPr>
        <w:rPr>
          <w:rFonts w:ascii="Arial" w:eastAsia="Arial" w:hAnsi="Arial" w:cs="Arial"/>
          <w:sz w:val="20"/>
          <w:szCs w:val="20"/>
        </w:rPr>
      </w:pPr>
      <w:r w:rsidRPr="000C73C6">
        <w:rPr>
          <w:rFonts w:ascii="Arial" w:eastAsia="Arial" w:hAnsi="Arial" w:cs="Arial"/>
          <w:sz w:val="20"/>
          <w:szCs w:val="20"/>
        </w:rPr>
        <w:t>Text-pre-processing enabled the creation of document term matri</w:t>
      </w:r>
      <w:r w:rsidR="007924DD">
        <w:rPr>
          <w:rFonts w:ascii="Arial" w:eastAsia="Arial" w:hAnsi="Arial" w:cs="Arial"/>
          <w:sz w:val="20"/>
          <w:szCs w:val="20"/>
        </w:rPr>
        <w:t>ces</w:t>
      </w:r>
      <w:r w:rsidRPr="000C73C6">
        <w:rPr>
          <w:rFonts w:ascii="Arial" w:eastAsia="Arial" w:hAnsi="Arial" w:cs="Arial"/>
          <w:sz w:val="20"/>
          <w:szCs w:val="20"/>
        </w:rPr>
        <w:t xml:space="preserve"> using the </w:t>
      </w:r>
      <w:proofErr w:type="spellStart"/>
      <w:r w:rsidRPr="000C73C6">
        <w:rPr>
          <w:rFonts w:ascii="Arial" w:eastAsia="Arial" w:hAnsi="Arial" w:cs="Arial"/>
          <w:sz w:val="20"/>
          <w:szCs w:val="20"/>
        </w:rPr>
        <w:t>textmineR</w:t>
      </w:r>
      <w:proofErr w:type="spellEnd"/>
      <w:r w:rsidRPr="000C73C6">
        <w:rPr>
          <w:rFonts w:ascii="Arial" w:eastAsia="Arial" w:hAnsi="Arial" w:cs="Arial"/>
          <w:sz w:val="20"/>
          <w:szCs w:val="20"/>
        </w:rPr>
        <w:t xml:space="preserve"> package (version 3.0.5</w:t>
      </w:r>
      <w:r w:rsidR="004625F7">
        <w:rPr>
          <w:rFonts w:ascii="Arial" w:eastAsia="Arial" w:hAnsi="Arial" w:cs="Arial"/>
          <w:sz w:val="20"/>
          <w:szCs w:val="20"/>
        </w:rPr>
        <w:t xml:space="preserve">, </w:t>
      </w:r>
      <w:r w:rsidR="00B63904">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URL":"https://cran.r-project.org/web/packages/textmineR/index.html","accessed":{"date-parts":[["2023","7","14"]]},"author":[{"dropping-particle":"","family":"Jones","given":"T","non-dropping-particle":"","parse-names":false,"suffix":""},{"dropping-particle":"","family":"Doane","given":"W","non-dropping-particle":"","parse-names":false,"suffix":""},{"dropping-particle":"","family":"Attbom","given":"M","non-dropping-particle":"","parse-names":false,"suffix":""}],"id":"ITEM-1","issued":{"date-parts":[["2021"]]},"title":"textmineR: Functions for Text Mining and Topic Modeling (Version 3.0.5)","type":"webpage"},"uris":["http://www.mendeley.com/documents/?uuid=d321eb4d-3de3-4da2-90e7-cb42e9d663b4"]}],"mendeley":{"formattedCitation":"(Jones et al., 2021)","manualFormatting":"Jones et al., 2021)","plainTextFormattedCitation":"(Jones et al., 2021)","previouslyFormattedCitation":"(Jones et al., 2021)"},"properties":{"noteIndex":0},"schema":"https://github.com/citation-style-language/schema/raw/master/csl-citation.json"}</w:instrText>
      </w:r>
      <w:r w:rsidR="00B63904">
        <w:rPr>
          <w:rFonts w:ascii="Arial" w:eastAsia="Arial" w:hAnsi="Arial" w:cs="Arial"/>
          <w:sz w:val="20"/>
          <w:szCs w:val="20"/>
        </w:rPr>
        <w:fldChar w:fldCharType="separate"/>
      </w:r>
      <w:r w:rsidR="004625F7" w:rsidRPr="004625F7">
        <w:rPr>
          <w:rFonts w:ascii="Arial" w:eastAsia="Arial" w:hAnsi="Arial" w:cs="Arial"/>
          <w:noProof/>
          <w:sz w:val="20"/>
          <w:szCs w:val="20"/>
        </w:rPr>
        <w:t>Jones et al., 2021)</w:t>
      </w:r>
      <w:r w:rsidR="00B63904">
        <w:rPr>
          <w:rFonts w:ascii="Arial" w:eastAsia="Arial" w:hAnsi="Arial" w:cs="Arial"/>
          <w:sz w:val="20"/>
          <w:szCs w:val="20"/>
        </w:rPr>
        <w:fldChar w:fldCharType="end"/>
      </w:r>
      <w:r w:rsidR="004625F7">
        <w:rPr>
          <w:rFonts w:ascii="Arial" w:eastAsia="Arial" w:hAnsi="Arial" w:cs="Arial"/>
          <w:sz w:val="20"/>
          <w:szCs w:val="20"/>
        </w:rPr>
        <w:t>.</w:t>
      </w:r>
      <w:r w:rsidRPr="000C73C6">
        <w:rPr>
          <w:rFonts w:ascii="Arial" w:eastAsia="Arial" w:hAnsi="Arial" w:cs="Arial"/>
          <w:sz w:val="20"/>
          <w:szCs w:val="20"/>
        </w:rPr>
        <w:t xml:space="preserve"> Th</w:t>
      </w:r>
      <w:r w:rsidR="007924DD">
        <w:rPr>
          <w:rFonts w:ascii="Arial" w:eastAsia="Arial" w:hAnsi="Arial" w:cs="Arial"/>
          <w:sz w:val="20"/>
          <w:szCs w:val="20"/>
        </w:rPr>
        <w:t>e</w:t>
      </w:r>
      <w:r w:rsidRPr="000C73C6">
        <w:rPr>
          <w:rFonts w:ascii="Arial" w:eastAsia="Arial" w:hAnsi="Arial" w:cs="Arial"/>
          <w:sz w:val="20"/>
          <w:szCs w:val="20"/>
        </w:rPr>
        <w:t xml:space="preserve"> matrix capture</w:t>
      </w:r>
      <w:r w:rsidR="006F7DBE">
        <w:rPr>
          <w:rFonts w:ascii="Arial" w:eastAsia="Arial" w:hAnsi="Arial" w:cs="Arial"/>
          <w:sz w:val="20"/>
          <w:szCs w:val="20"/>
        </w:rPr>
        <w:t>s</w:t>
      </w:r>
      <w:r w:rsidRPr="000C73C6">
        <w:rPr>
          <w:rFonts w:ascii="Arial" w:eastAsia="Arial" w:hAnsi="Arial" w:cs="Arial"/>
          <w:sz w:val="20"/>
          <w:szCs w:val="20"/>
        </w:rPr>
        <w:t xml:space="preserve"> the frequency of tokens in each document and represent</w:t>
      </w:r>
      <w:r w:rsidR="006F7DBE">
        <w:rPr>
          <w:rFonts w:ascii="Arial" w:eastAsia="Arial" w:hAnsi="Arial" w:cs="Arial"/>
          <w:sz w:val="20"/>
          <w:szCs w:val="20"/>
        </w:rPr>
        <w:t>s</w:t>
      </w:r>
      <w:r w:rsidRPr="000C73C6">
        <w:rPr>
          <w:rFonts w:ascii="Arial" w:eastAsia="Arial" w:hAnsi="Arial" w:cs="Arial"/>
          <w:sz w:val="20"/>
          <w:szCs w:val="20"/>
        </w:rPr>
        <w:t xml:space="preserve"> the corpus, the entire body of contextual data. Lemmatisation was applied during this process as well, using the </w:t>
      </w:r>
      <w:proofErr w:type="spellStart"/>
      <w:r w:rsidRPr="000C73C6">
        <w:rPr>
          <w:rFonts w:ascii="Arial" w:eastAsia="Arial" w:hAnsi="Arial" w:cs="Arial"/>
          <w:sz w:val="20"/>
          <w:szCs w:val="20"/>
        </w:rPr>
        <w:t>textstem</w:t>
      </w:r>
      <w:proofErr w:type="spellEnd"/>
      <w:r w:rsidRPr="000C73C6">
        <w:rPr>
          <w:rFonts w:ascii="Arial" w:eastAsia="Arial" w:hAnsi="Arial" w:cs="Arial"/>
          <w:sz w:val="20"/>
          <w:szCs w:val="20"/>
        </w:rPr>
        <w:t xml:space="preserve"> package</w:t>
      </w:r>
      <w:r w:rsidR="00B63904">
        <w:rPr>
          <w:rFonts w:ascii="Arial" w:eastAsia="Arial" w:hAnsi="Arial" w:cs="Arial"/>
          <w:sz w:val="20"/>
          <w:szCs w:val="20"/>
        </w:rPr>
        <w:t xml:space="preserve"> (version 0.1.4) </w:t>
      </w:r>
      <w:r w:rsidRPr="000C73C6">
        <w:rPr>
          <w:rFonts w:ascii="Arial" w:eastAsia="Arial" w:hAnsi="Arial" w:cs="Arial"/>
          <w:sz w:val="20"/>
          <w:szCs w:val="20"/>
        </w:rPr>
        <w:t xml:space="preserve">to </w:t>
      </w:r>
      <w:r w:rsidR="00B63904">
        <w:rPr>
          <w:rFonts w:ascii="Arial" w:eastAsia="Arial" w:hAnsi="Arial" w:cs="Arial"/>
          <w:sz w:val="20"/>
          <w:szCs w:val="20"/>
        </w:rPr>
        <w:t xml:space="preserve">shorten </w:t>
      </w:r>
      <w:r w:rsidRPr="000C73C6">
        <w:rPr>
          <w:rFonts w:ascii="Arial" w:eastAsia="Arial" w:hAnsi="Arial" w:cs="Arial"/>
          <w:sz w:val="20"/>
          <w:szCs w:val="20"/>
        </w:rPr>
        <w:t>terms to their base dictionary form</w:t>
      </w:r>
      <w:r w:rsidR="004625F7">
        <w:rPr>
          <w:rFonts w:ascii="Arial" w:eastAsia="Arial" w:hAnsi="Arial" w:cs="Arial"/>
          <w:sz w:val="20"/>
          <w:szCs w:val="20"/>
        </w:rPr>
        <w:t xml:space="preserve"> </w:t>
      </w:r>
      <w:r w:rsidR="00B63904">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URL":"https://cran.r-project.org/web/packages/textstem/index.html","accessed":{"date-parts":[["2023","8","11"]]},"author":[{"dropping-particle":"","family":"Rinker","given":"Tyler","non-dropping-particle":"","parse-names":false,"suffix":""}],"id":"ITEM-1","issued":{"date-parts":[["2018"]]},"title":"textstem: Tools for Stemming and Lemmatizing Text (Version 0.1.4)","type":"webpage"},"uris":["http://www.mendeley.com/documents/?uuid=f88f614a-c46e-418d-85db-c5fce4967e0a"]}],"mendeley":{"formattedCitation":"(Rinker, 2018)","plainTextFormattedCitation":"(Rinker, 2018)","previouslyFormattedCitation":"(Rinker, 2018)"},"properties":{"noteIndex":0},"schema":"https://github.com/citation-style-language/schema/raw/master/csl-citation.json"}</w:instrText>
      </w:r>
      <w:r w:rsidR="00B63904">
        <w:rPr>
          <w:rFonts w:ascii="Arial" w:eastAsia="Arial" w:hAnsi="Arial" w:cs="Arial"/>
          <w:sz w:val="20"/>
          <w:szCs w:val="20"/>
        </w:rPr>
        <w:fldChar w:fldCharType="separate"/>
      </w:r>
      <w:r w:rsidR="004625F7" w:rsidRPr="004625F7">
        <w:rPr>
          <w:rFonts w:ascii="Arial" w:eastAsia="Arial" w:hAnsi="Arial" w:cs="Arial"/>
          <w:noProof/>
          <w:sz w:val="20"/>
          <w:szCs w:val="20"/>
        </w:rPr>
        <w:t>(Rinker, 2018)</w:t>
      </w:r>
      <w:r w:rsidR="00B63904">
        <w:rPr>
          <w:rFonts w:ascii="Arial" w:eastAsia="Arial" w:hAnsi="Arial" w:cs="Arial"/>
          <w:sz w:val="20"/>
          <w:szCs w:val="20"/>
        </w:rPr>
        <w:fldChar w:fldCharType="end"/>
      </w:r>
      <w:r w:rsidR="004625F7">
        <w:rPr>
          <w:rFonts w:ascii="Arial" w:eastAsia="Arial" w:hAnsi="Arial" w:cs="Arial"/>
          <w:sz w:val="20"/>
          <w:szCs w:val="20"/>
        </w:rPr>
        <w:t>.</w:t>
      </w:r>
      <w:r w:rsidRPr="000C73C6">
        <w:rPr>
          <w:rFonts w:ascii="Arial" w:eastAsia="Arial" w:hAnsi="Arial" w:cs="Arial"/>
          <w:sz w:val="20"/>
          <w:szCs w:val="20"/>
        </w:rPr>
        <w:t xml:space="preserve"> For example, “reduces”, “reduced” or “reducing” were converted to their lemma “reduce”. As a result of all text processing so far, the sentence “the main benefit is undoubtedly the possibility of avoiding the risk of infection” was transformed into “main benefit undoubtedly possibility avoid risk infection”. </w:t>
      </w:r>
    </w:p>
    <w:p w14:paraId="00000035" w14:textId="0AE736AD" w:rsidR="00920126" w:rsidRPr="000C73C6" w:rsidRDefault="00920126">
      <w:pPr>
        <w:rPr>
          <w:rFonts w:ascii="Arial" w:eastAsia="Arial" w:hAnsi="Arial" w:cs="Arial"/>
          <w:sz w:val="20"/>
          <w:szCs w:val="20"/>
        </w:rPr>
      </w:pPr>
    </w:p>
    <w:p w14:paraId="00000036" w14:textId="7182A90E" w:rsidR="00920126" w:rsidRPr="000C73C6" w:rsidRDefault="006F7DBE">
      <w:pPr>
        <w:rPr>
          <w:rFonts w:ascii="Arial" w:eastAsia="Arial" w:hAnsi="Arial" w:cs="Arial"/>
          <w:sz w:val="20"/>
          <w:szCs w:val="20"/>
        </w:rPr>
      </w:pPr>
      <w:r>
        <w:rPr>
          <w:rFonts w:ascii="Arial" w:eastAsia="Arial" w:hAnsi="Arial" w:cs="Arial"/>
          <w:sz w:val="20"/>
          <w:szCs w:val="20"/>
        </w:rPr>
        <w:t>To</w:t>
      </w:r>
      <w:r w:rsidR="00803966" w:rsidRPr="000C73C6">
        <w:rPr>
          <w:rFonts w:ascii="Arial" w:eastAsia="Arial" w:hAnsi="Arial" w:cs="Arial"/>
          <w:sz w:val="20"/>
          <w:szCs w:val="20"/>
        </w:rPr>
        <w:t xml:space="preserve"> select the best fitting LDA model, three model comparison metrics (Arun</w:t>
      </w:r>
      <w:r w:rsidR="00857C73">
        <w:rPr>
          <w:rFonts w:ascii="Arial" w:eastAsia="Arial" w:hAnsi="Arial" w:cs="Arial"/>
          <w:sz w:val="20"/>
          <w:szCs w:val="20"/>
        </w:rPr>
        <w:t xml:space="preserve"> et al. 2010</w:t>
      </w:r>
      <w:r w:rsidR="00803966" w:rsidRPr="000C73C6">
        <w:rPr>
          <w:rFonts w:ascii="Arial" w:eastAsia="Arial" w:hAnsi="Arial" w:cs="Arial"/>
          <w:sz w:val="20"/>
          <w:szCs w:val="20"/>
        </w:rPr>
        <w:t>, Cao</w:t>
      </w:r>
      <w:r w:rsidR="00857C73">
        <w:rPr>
          <w:rFonts w:ascii="Arial" w:eastAsia="Arial" w:hAnsi="Arial" w:cs="Arial"/>
          <w:sz w:val="20"/>
          <w:szCs w:val="20"/>
        </w:rPr>
        <w:t xml:space="preserve"> et al. </w:t>
      </w:r>
      <w:r w:rsidR="00803966" w:rsidRPr="000C73C6">
        <w:rPr>
          <w:rFonts w:ascii="Arial" w:eastAsia="Arial" w:hAnsi="Arial" w:cs="Arial"/>
          <w:sz w:val="20"/>
          <w:szCs w:val="20"/>
        </w:rPr>
        <w:t xml:space="preserve">2009, and </w:t>
      </w:r>
      <w:proofErr w:type="spellStart"/>
      <w:r w:rsidR="00803966" w:rsidRPr="000C73C6">
        <w:rPr>
          <w:rFonts w:ascii="Arial" w:eastAsia="Arial" w:hAnsi="Arial" w:cs="Arial"/>
          <w:sz w:val="20"/>
          <w:szCs w:val="20"/>
        </w:rPr>
        <w:t>Deveaud</w:t>
      </w:r>
      <w:proofErr w:type="spellEnd"/>
      <w:r w:rsidR="00857C73">
        <w:rPr>
          <w:rFonts w:ascii="Arial" w:eastAsia="Arial" w:hAnsi="Arial" w:cs="Arial"/>
          <w:sz w:val="20"/>
          <w:szCs w:val="20"/>
        </w:rPr>
        <w:t xml:space="preserve"> et al. </w:t>
      </w:r>
      <w:r w:rsidR="00803966" w:rsidRPr="000C73C6">
        <w:rPr>
          <w:rFonts w:ascii="Arial" w:eastAsia="Arial" w:hAnsi="Arial" w:cs="Arial"/>
          <w:sz w:val="20"/>
          <w:szCs w:val="20"/>
        </w:rPr>
        <w:t xml:space="preserve">2014) </w:t>
      </w:r>
      <w:r w:rsidR="00857C73">
        <w:rPr>
          <w:rFonts w:ascii="Arial" w:eastAsia="Arial" w:hAnsi="Arial" w:cs="Arial"/>
          <w:sz w:val="20"/>
          <w:szCs w:val="20"/>
        </w:rPr>
        <w:t>were utilised applying</w:t>
      </w:r>
      <w:r w:rsidR="00803966" w:rsidRPr="000C73C6">
        <w:rPr>
          <w:rFonts w:ascii="Arial" w:eastAsia="Arial" w:hAnsi="Arial" w:cs="Arial"/>
          <w:sz w:val="20"/>
          <w:szCs w:val="20"/>
        </w:rPr>
        <w:t xml:space="preserve"> the </w:t>
      </w:r>
      <w:proofErr w:type="spellStart"/>
      <w:r w:rsidR="00803966" w:rsidRPr="000C73C6">
        <w:rPr>
          <w:rFonts w:ascii="Arial" w:eastAsia="Arial" w:hAnsi="Arial" w:cs="Arial"/>
          <w:sz w:val="20"/>
          <w:szCs w:val="20"/>
        </w:rPr>
        <w:t>ldatuning</w:t>
      </w:r>
      <w:proofErr w:type="spellEnd"/>
      <w:r w:rsidR="00803966" w:rsidRPr="000C73C6">
        <w:rPr>
          <w:rFonts w:ascii="Arial" w:eastAsia="Arial" w:hAnsi="Arial" w:cs="Arial"/>
          <w:sz w:val="20"/>
          <w:szCs w:val="20"/>
        </w:rPr>
        <w:t xml:space="preserve"> package (version 1.0.2</w:t>
      </w:r>
      <w:r w:rsidR="004625F7">
        <w:rPr>
          <w:rFonts w:ascii="Arial" w:eastAsia="Arial" w:hAnsi="Arial" w:cs="Arial"/>
          <w:sz w:val="20"/>
          <w:szCs w:val="20"/>
        </w:rPr>
        <w:t xml:space="preserve">, </w:t>
      </w:r>
      <w:r w:rsidR="00857C73">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author":[{"dropping-particle":"","family":"Nikita","given":"M","non-dropping-particle":"","parse-names":false,"suffix":""},{"dropping-particle":"","family":"Chaney","given":"N","non-dropping-particle":"","parse-names":false,"suffix":""}],"id":"ITEM-1","issued":{"date-parts":[["2020"]]},"title":"ldatuning: Tuning of the Latent Dirichlet Allocation Models Parameters (Version 1.0.2)","type":"webpage"},"uris":["http://www.mendeley.com/documents/?uuid=e39ba16b-b6d5-4202-be6e-0ea400a593d5"]},{"id":"ITEM-2","itemData":{"author":[{"dropping-particle":"","family":"Arun","given":"Rajkumar","non-dropping-particle":"","parse-names":false,"suffix":""},{"dropping-particle":"","family":"Suresh","given":"Venkatasubramaniyan","non-dropping-particle":"","parse-names":false,"suffix":""},{"dropping-particle":"","family":"Madhavan","given":"C E Veni","non-dropping-particle":"","parse-names":false,"suffix":""},{"dropping-particle":"","family":"Murthy","given":"M N Narasimha","non-dropping-particle":"","parse-names":false,"suffix":""}],"container-title":"Advances in Knowledge Discovery and Data Mining. PAKDD 2010. Lecture Notes in Computer Science, vol 6118","editor":[{"dropping-particle":"","family":"Zaki","given":"M.J.","non-dropping-particle":"","parse-names":false,"suffix":""},{"dropping-particle":"","family":"Yu","given":"J.X.","non-dropping-particle":"","parse-names":false,"suffix":""},{"dropping-particle":"","family":"Ravindran","given":"B","non-dropping-particle":"","parse-names":false,"suffix":""},{"dropping-particle":"","family":"Pudi","given":"V","non-dropping-particle":"","parse-names":false,"suffix":""}],"id":"ITEM-2","issued":{"date-parts":[["2010"]]},"publisher":"Springer","publisher-place":"Berlin","title":"On finding the natural number of topics with latent dirichlet allocation: Some observations","type":"chapter"},"uris":["http://www.mendeley.com/documents/?uuid=235497d0-0b01-4eb7-aab7-f6d75b6a1948"]},{"id":"ITEM-3","itemData":{"DOI":"10.1016/j.neucom.2008.06.011","ISSN":"0925-2312","author":[{"dropping-particle":"","family":"Cao","given":"Juan","non-dropping-particle":"","parse-names":false,"suffix":""},{"dropping-particle":"","family":"Xia","given":"Tian","non-dropping-particle":"","parse-names":false,"suffix":""},{"dropping-particle":"","family":"Li","given":"Jintao","non-dropping-particle":"","parse-names":false,"suffix":""},{"dropping-particle":"","family":"Zhang","given":"Yongdong","non-dropping-particle":"","parse-names":false,"suffix":""},{"dropping-particle":"","family":"Tang","given":"Sheng","non-dropping-particle":"","parse-names":false,"suffix":""}],"container-title":"Neurocomputing","id":"ITEM-3","issue":"7-9","issued":{"date-parts":[["2009"]]},"page":"1775-1781","title":"A density-based method for adaptive LDA model selection","type":"article-journal","volume":"72"},"uris":["http://www.mendeley.com/documents/?uuid=05b1eefa-5bd4-4870-843a-3818faf3551b"]},{"id":"ITEM-4","itemData":{"DOI":"10.3166/DN.17.1.61- 84. hal-01002716","ISSN":"1279-5127","author":[{"dropping-particle":"","family":"Deveaud","given":"Romain","non-dropping-particle":"","parse-names":false,"suffix":""},{"dropping-particle":"","family":"SanJuan","given":"Eric","non-dropping-particle":"","parse-names":false,"suffix":""},{"dropping-particle":"","family":"Bellot","given":"Patrice","non-dropping-particle":"","parse-names":false,"suffix":""}],"container-title":"Document Numérique","id":"ITEM-4","issue":"1","issued":{"date-parts":[["2014"]]},"page":"61-84","title":"Accurate and effective latent concept modeling for ad hoc information retrieval","type":"article-journal","volume":"17"},"uris":["http://www.mendeley.com/documents/?uuid=279c1307-a53d-4234-9a17-0a01aeef6bbb"]}],"mendeley":{"formattedCitation":"(Arun et al., 2010; Cao et al., 2009; Deveaud et al., 2014; Nikita and Chaney, 2020)","manualFormatting":"Arun et al., 2010; Cao et al., 2009; Deveaud et al., 2014; Nikita and Chaney, 2020)","plainTextFormattedCitation":"(Arun et al., 2010; Cao et al., 2009; Deveaud et al., 2014; Nikita and Chaney, 2020)","previouslyFormattedCitation":"(Arun et al., 2010; Cao et al., 2009; Deveaud et al., 2014; Nikita and Chaney, 2020)"},"properties":{"noteIndex":0},"schema":"https://github.com/citation-style-language/schema/raw/master/csl-citation.json"}</w:instrText>
      </w:r>
      <w:r w:rsidR="00857C73">
        <w:rPr>
          <w:rFonts w:ascii="Arial" w:eastAsia="Arial" w:hAnsi="Arial" w:cs="Arial"/>
          <w:sz w:val="20"/>
          <w:szCs w:val="20"/>
        </w:rPr>
        <w:fldChar w:fldCharType="separate"/>
      </w:r>
      <w:r w:rsidR="004625F7" w:rsidRPr="004625F7">
        <w:rPr>
          <w:rFonts w:ascii="Arial" w:eastAsia="Arial" w:hAnsi="Arial" w:cs="Arial"/>
          <w:noProof/>
          <w:sz w:val="20"/>
          <w:szCs w:val="20"/>
        </w:rPr>
        <w:t>Arun et al., 2010; Cao et al., 2009; Deveaud et al., 2014; Nikita and Chaney, 2020)</w:t>
      </w:r>
      <w:r w:rsidR="00857C73">
        <w:rPr>
          <w:rFonts w:ascii="Arial" w:eastAsia="Arial" w:hAnsi="Arial" w:cs="Arial"/>
          <w:sz w:val="20"/>
          <w:szCs w:val="20"/>
        </w:rPr>
        <w:fldChar w:fldCharType="end"/>
      </w:r>
      <w:r w:rsidR="00857C73">
        <w:rPr>
          <w:rFonts w:ascii="Arial" w:eastAsia="Arial" w:hAnsi="Arial" w:cs="Arial"/>
          <w:sz w:val="20"/>
          <w:szCs w:val="20"/>
        </w:rPr>
        <w:t xml:space="preserve"> </w:t>
      </w:r>
      <w:r w:rsidR="00803966" w:rsidRPr="000C73C6">
        <w:rPr>
          <w:rFonts w:ascii="Arial" w:eastAsia="Arial" w:hAnsi="Arial" w:cs="Arial"/>
          <w:sz w:val="20"/>
          <w:szCs w:val="20"/>
        </w:rPr>
        <w:t xml:space="preserve">The metrics serve as quantitative measures for assessing the coherence of the generated topics. The </w:t>
      </w:r>
      <w:r w:rsidR="00803966" w:rsidRPr="0098359A">
        <w:rPr>
          <w:rFonts w:ascii="Arial" w:eastAsia="Arial" w:hAnsi="Arial" w:cs="Arial"/>
          <w:i/>
          <w:iCs/>
          <w:sz w:val="20"/>
          <w:szCs w:val="20"/>
        </w:rPr>
        <w:t xml:space="preserve">Arun et al. </w:t>
      </w:r>
      <w:r w:rsidR="00857C73" w:rsidRPr="0098359A">
        <w:rPr>
          <w:rFonts w:ascii="Arial" w:eastAsia="Arial" w:hAnsi="Arial" w:cs="Arial"/>
          <w:i/>
          <w:iCs/>
          <w:sz w:val="20"/>
          <w:szCs w:val="20"/>
        </w:rPr>
        <w:t>2010</w:t>
      </w:r>
      <w:r w:rsidR="00857C73">
        <w:rPr>
          <w:rFonts w:ascii="Arial" w:eastAsia="Arial" w:hAnsi="Arial" w:cs="Arial"/>
          <w:sz w:val="20"/>
          <w:szCs w:val="20"/>
        </w:rPr>
        <w:t xml:space="preserve"> </w:t>
      </w:r>
      <w:r w:rsidR="00803966" w:rsidRPr="000C73C6">
        <w:rPr>
          <w:rFonts w:ascii="Arial" w:eastAsia="Arial" w:hAnsi="Arial" w:cs="Arial"/>
          <w:sz w:val="20"/>
          <w:szCs w:val="20"/>
        </w:rPr>
        <w:t>metric calculates the average log-likelihood of words in relation to topics and the average log-likelihood of topics in relation to documents. It provides a balance between model complexity and model coherence</w:t>
      </w:r>
      <w:r w:rsidR="004625F7">
        <w:rPr>
          <w:rFonts w:ascii="Arial" w:eastAsia="Arial" w:hAnsi="Arial" w:cs="Arial"/>
          <w:sz w:val="20"/>
          <w:szCs w:val="20"/>
        </w:rPr>
        <w:t xml:space="preserve"> </w:t>
      </w:r>
      <w:r w:rsidR="00857C73">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author":[{"dropping-particle":"","family":"Arun","given":"Rajkumar","non-dropping-particle":"","parse-names":false,"suffix":""},{"dropping-particle":"","family":"Suresh","given":"Venkatasubramaniyan","non-dropping-particle":"","parse-names":false,"suffix":""},{"dropping-particle":"","family":"Madhavan","given":"C E Veni","non-dropping-particle":"","parse-names":false,"suffix":""},{"dropping-particle":"","family":"Murthy","given":"M N Narasimha","non-dropping-particle":"","parse-names":false,"suffix":""}],"container-title":"Advances in Knowledge Discovery and Data Mining. PAKDD 2010. Lecture Notes in Computer Science, vol 6118","editor":[{"dropping-particle":"","family":"Zaki","given":"M.J.","non-dropping-particle":"","parse-names":false,"suffix":""},{"dropping-particle":"","family":"Yu","given":"J.X.","non-dropping-particle":"","parse-names":false,"suffix":""},{"dropping-particle":"","family":"Ravindran","given":"B","non-dropping-particle":"","parse-names":false,"suffix":""},{"dropping-particle":"","family":"Pudi","given":"V","non-dropping-particle":"","parse-names":false,"suffix":""}],"id":"ITEM-1","issued":{"date-parts":[["2010"]]},"publisher":"Springer","publisher-place":"Berlin","title":"On finding the natural number of topics with latent dirichlet allocation: Some observations","type":"chapter"},"uris":["http://www.mendeley.com/documents/?uuid=235497d0-0b01-4eb7-aab7-f6d75b6a1948"]}],"mendeley":{"formattedCitation":"(Arun et al., 2010)","plainTextFormattedCitation":"(Arun et al., 2010)","previouslyFormattedCitation":"(Arun et al., 2010)"},"properties":{"noteIndex":0},"schema":"https://github.com/citation-style-language/schema/raw/master/csl-citation.json"}</w:instrText>
      </w:r>
      <w:r w:rsidR="00857C73">
        <w:rPr>
          <w:rFonts w:ascii="Arial" w:eastAsia="Arial" w:hAnsi="Arial" w:cs="Arial"/>
          <w:sz w:val="20"/>
          <w:szCs w:val="20"/>
        </w:rPr>
        <w:fldChar w:fldCharType="separate"/>
      </w:r>
      <w:r w:rsidR="004625F7" w:rsidRPr="004625F7">
        <w:rPr>
          <w:rFonts w:ascii="Arial" w:eastAsia="Arial" w:hAnsi="Arial" w:cs="Arial"/>
          <w:noProof/>
          <w:sz w:val="20"/>
          <w:szCs w:val="20"/>
        </w:rPr>
        <w:t>(Arun et al., 2010)</w:t>
      </w:r>
      <w:r w:rsidR="00857C73">
        <w:rPr>
          <w:rFonts w:ascii="Arial" w:eastAsia="Arial" w:hAnsi="Arial" w:cs="Arial"/>
          <w:sz w:val="20"/>
          <w:szCs w:val="20"/>
        </w:rPr>
        <w:fldChar w:fldCharType="end"/>
      </w:r>
      <w:r w:rsidR="004625F7">
        <w:rPr>
          <w:rFonts w:ascii="Arial" w:eastAsia="Arial" w:hAnsi="Arial" w:cs="Arial"/>
          <w:sz w:val="20"/>
          <w:szCs w:val="20"/>
        </w:rPr>
        <w:t>.</w:t>
      </w:r>
      <w:r w:rsidR="00803966" w:rsidRPr="000C73C6">
        <w:rPr>
          <w:rFonts w:ascii="Arial" w:eastAsia="Arial" w:hAnsi="Arial" w:cs="Arial"/>
          <w:sz w:val="20"/>
          <w:szCs w:val="20"/>
        </w:rPr>
        <w:t xml:space="preserve"> The </w:t>
      </w:r>
      <w:r w:rsidR="00803966" w:rsidRPr="0098359A">
        <w:rPr>
          <w:rFonts w:ascii="Arial" w:eastAsia="Arial" w:hAnsi="Arial" w:cs="Arial"/>
          <w:i/>
          <w:iCs/>
          <w:sz w:val="20"/>
          <w:szCs w:val="20"/>
        </w:rPr>
        <w:t xml:space="preserve">Cao et al. </w:t>
      </w:r>
      <w:r w:rsidR="00857C73" w:rsidRPr="0098359A">
        <w:rPr>
          <w:rFonts w:ascii="Arial" w:eastAsia="Arial" w:hAnsi="Arial" w:cs="Arial"/>
          <w:i/>
          <w:iCs/>
          <w:sz w:val="20"/>
          <w:szCs w:val="20"/>
        </w:rPr>
        <w:t>2009</w:t>
      </w:r>
      <w:r w:rsidR="00857C73">
        <w:rPr>
          <w:rFonts w:ascii="Arial" w:eastAsia="Arial" w:hAnsi="Arial" w:cs="Arial"/>
          <w:sz w:val="20"/>
          <w:szCs w:val="20"/>
        </w:rPr>
        <w:t xml:space="preserve"> </w:t>
      </w:r>
      <w:r w:rsidR="00803966" w:rsidRPr="000C73C6">
        <w:rPr>
          <w:rFonts w:ascii="Arial" w:eastAsia="Arial" w:hAnsi="Arial" w:cs="Arial"/>
          <w:sz w:val="20"/>
          <w:szCs w:val="20"/>
        </w:rPr>
        <w:t>metric considers the trade-off between the log-likelihood of the model and the divergence between topics. A low value indicates better model quality, meaning that the topics are well</w:t>
      </w:r>
      <w:r>
        <w:rPr>
          <w:rFonts w:ascii="Arial" w:eastAsia="Arial" w:hAnsi="Arial" w:cs="Arial"/>
          <w:sz w:val="20"/>
          <w:szCs w:val="20"/>
        </w:rPr>
        <w:t>-</w:t>
      </w:r>
      <w:r w:rsidR="00803966" w:rsidRPr="000C73C6">
        <w:rPr>
          <w:rFonts w:ascii="Arial" w:eastAsia="Arial" w:hAnsi="Arial" w:cs="Arial"/>
          <w:sz w:val="20"/>
          <w:szCs w:val="20"/>
        </w:rPr>
        <w:t>separated and easily interpretable</w:t>
      </w:r>
      <w:r w:rsidR="004625F7">
        <w:rPr>
          <w:rFonts w:ascii="Arial" w:eastAsia="Arial" w:hAnsi="Arial" w:cs="Arial"/>
          <w:sz w:val="20"/>
          <w:szCs w:val="20"/>
        </w:rPr>
        <w:t xml:space="preserve"> </w:t>
      </w:r>
      <w:r w:rsidR="00857C73">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10.1016/j.neucom.2008.06.011","ISSN":"0925-2312","author":[{"dropping-particle":"","family":"Cao","given":"Juan","non-dropping-particle":"","parse-names":false,"suffix":""},{"dropping-particle":"","family":"Xia","given":"Tian","non-dropping-particle":"","parse-names":false,"suffix":""},{"dropping-particle":"","family":"Li","given":"Jintao","non-dropping-particle":"","parse-names":false,"suffix":""},{"dropping-particle":"","family":"Zhang","given":"Yongdong","non-dropping-particle":"","parse-names":false,"suffix":""},{"dropping-particle":"","family":"Tang","given":"Sheng","non-dropping-particle":"","parse-names":false,"suffix":""}],"container-title":"Neurocomputing","id":"ITEM-1","issue":"7-9","issued":{"date-parts":[["2009"]]},"page":"1775-1781","title":"A density-based method for adaptive LDA model selection","type":"article-journal","volume":"72"},"uris":["http://www.mendeley.com/documents/?uuid=05b1eefa-5bd4-4870-843a-3818faf3551b"]}],"mendeley":{"formattedCitation":"(Cao et al., 2009)","plainTextFormattedCitation":"(Cao et al., 2009)","previouslyFormattedCitation":"(Cao et al., 2009)"},"properties":{"noteIndex":0},"schema":"https://github.com/citation-style-language/schema/raw/master/csl-citation.json"}</w:instrText>
      </w:r>
      <w:r w:rsidR="00857C73">
        <w:rPr>
          <w:rFonts w:ascii="Arial" w:eastAsia="Arial" w:hAnsi="Arial" w:cs="Arial"/>
          <w:sz w:val="20"/>
          <w:szCs w:val="20"/>
        </w:rPr>
        <w:fldChar w:fldCharType="separate"/>
      </w:r>
      <w:r w:rsidR="004625F7" w:rsidRPr="004625F7">
        <w:rPr>
          <w:rFonts w:ascii="Arial" w:eastAsia="Arial" w:hAnsi="Arial" w:cs="Arial"/>
          <w:noProof/>
          <w:sz w:val="20"/>
          <w:szCs w:val="20"/>
        </w:rPr>
        <w:t>(Cao et al., 2009)</w:t>
      </w:r>
      <w:r w:rsidR="00857C73">
        <w:rPr>
          <w:rFonts w:ascii="Arial" w:eastAsia="Arial" w:hAnsi="Arial" w:cs="Arial"/>
          <w:sz w:val="20"/>
          <w:szCs w:val="20"/>
        </w:rPr>
        <w:fldChar w:fldCharType="end"/>
      </w:r>
      <w:r w:rsidR="004625F7">
        <w:rPr>
          <w:rFonts w:ascii="Arial" w:eastAsia="Arial" w:hAnsi="Arial" w:cs="Arial"/>
          <w:sz w:val="20"/>
          <w:szCs w:val="20"/>
        </w:rPr>
        <w:t>.</w:t>
      </w:r>
      <w:r w:rsidR="00803966" w:rsidRPr="000C73C6">
        <w:rPr>
          <w:rFonts w:ascii="Arial" w:eastAsia="Arial" w:hAnsi="Arial" w:cs="Arial"/>
          <w:sz w:val="20"/>
          <w:szCs w:val="20"/>
        </w:rPr>
        <w:t xml:space="preserve"> The </w:t>
      </w:r>
      <w:proofErr w:type="spellStart"/>
      <w:r w:rsidR="00803966" w:rsidRPr="0098359A">
        <w:rPr>
          <w:rFonts w:ascii="Arial" w:eastAsia="Arial" w:hAnsi="Arial" w:cs="Arial"/>
          <w:i/>
          <w:iCs/>
          <w:sz w:val="20"/>
          <w:szCs w:val="20"/>
        </w:rPr>
        <w:t>Deveaud</w:t>
      </w:r>
      <w:proofErr w:type="spellEnd"/>
      <w:r w:rsidR="00803966" w:rsidRPr="0098359A">
        <w:rPr>
          <w:rFonts w:ascii="Arial" w:eastAsia="Arial" w:hAnsi="Arial" w:cs="Arial"/>
          <w:i/>
          <w:iCs/>
          <w:sz w:val="20"/>
          <w:szCs w:val="20"/>
        </w:rPr>
        <w:t xml:space="preserve"> et al.</w:t>
      </w:r>
      <w:r w:rsidR="00A45B5F" w:rsidRPr="0098359A">
        <w:rPr>
          <w:rFonts w:ascii="Arial" w:eastAsia="Arial" w:hAnsi="Arial" w:cs="Arial"/>
          <w:i/>
          <w:iCs/>
          <w:sz w:val="20"/>
          <w:szCs w:val="20"/>
        </w:rPr>
        <w:t xml:space="preserve"> 2014</w:t>
      </w:r>
      <w:r w:rsidR="00803966" w:rsidRPr="000C73C6">
        <w:rPr>
          <w:rFonts w:ascii="Arial" w:eastAsia="Arial" w:hAnsi="Arial" w:cs="Arial"/>
          <w:sz w:val="20"/>
          <w:szCs w:val="20"/>
        </w:rPr>
        <w:t xml:space="preserve"> metric assesses the relevance of the generated topics to the underlying data. It measures the probability of a word occurring in a document when it is associated with a topic. Higher values indicate more relevant and meaningful topics</w:t>
      </w:r>
      <w:r w:rsidR="004625F7">
        <w:rPr>
          <w:rFonts w:ascii="Arial" w:eastAsia="Arial" w:hAnsi="Arial" w:cs="Arial"/>
          <w:sz w:val="20"/>
          <w:szCs w:val="20"/>
        </w:rPr>
        <w:t xml:space="preserve"> </w:t>
      </w:r>
      <w:r w:rsidR="00857C73">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{"citationItems":[{"id":"ITEM-1","itemData":{"DOI":"10.3166/DN.17.1.61- 84. hal-01002716","ISSN":"1279-5127","author":[{"dropping-particle":"","family":"Deveaud","given":"Romain","non-dropping-particle":"","parse-names":false,"suffix":""},{"dropping-particle":"","family":"SanJuan","given":"Eric","non-dropping-particle":"","parse-names":false,"suffix":""},{"dropping-particle":"","family":"Bellot","given":"Patrice","non-dropping-particle":"","parse-names":false,"suffix":""}],"container-title":"Document Numérique","id":"ITEM-1","issue":"1","issued":{"date-parts":[["2014"]]},"page":"61-84","title":"Accurate and effective latent concept modeling for ad hoc information retrieval","type":"article-journal","volume":"17"},"uris":["http://www.mendeley.com/documents/?uuid=279c1307-a53d-4234-9a17-0a01aeef6bbb"]}],"mendeley":{"formattedCitation":"(Deveaud et al., 2014)","plainTextFormattedCitation":"(Deveaud et al., 2014)","previouslyFormattedCitation":"(Deveaud et al., 2014)"},"properties":{"noteIndex":0},"schema":"https://github.com/citation-style-language/schema/raw/master/csl-citation.json"}</w:instrText>
      </w:r>
      <w:r w:rsidR="00857C73">
        <w:rPr>
          <w:rFonts w:ascii="Arial" w:eastAsia="Arial" w:hAnsi="Arial" w:cs="Arial"/>
          <w:sz w:val="20"/>
          <w:szCs w:val="20"/>
        </w:rPr>
        <w:fldChar w:fldCharType="separate"/>
      </w:r>
      <w:r w:rsidR="004625F7" w:rsidRPr="004625F7">
        <w:rPr>
          <w:rFonts w:ascii="Arial" w:eastAsia="Arial" w:hAnsi="Arial" w:cs="Arial"/>
          <w:noProof/>
          <w:sz w:val="20"/>
          <w:szCs w:val="20"/>
        </w:rPr>
        <w:t>(Deveaud et al., 2014)</w:t>
      </w:r>
      <w:r w:rsidR="00857C73">
        <w:rPr>
          <w:rFonts w:ascii="Arial" w:eastAsia="Arial" w:hAnsi="Arial" w:cs="Arial"/>
          <w:sz w:val="20"/>
          <w:szCs w:val="20"/>
        </w:rPr>
        <w:fldChar w:fldCharType="end"/>
      </w:r>
      <w:r w:rsidR="004625F7">
        <w:rPr>
          <w:rFonts w:ascii="Arial" w:eastAsia="Arial" w:hAnsi="Arial" w:cs="Arial"/>
          <w:sz w:val="20"/>
          <w:szCs w:val="20"/>
        </w:rPr>
        <w:t>.</w:t>
      </w:r>
      <w:r w:rsidR="00803966" w:rsidRPr="000C73C6">
        <w:rPr>
          <w:rFonts w:ascii="Arial" w:eastAsia="Arial" w:hAnsi="Arial" w:cs="Arial"/>
          <w:sz w:val="20"/>
          <w:szCs w:val="20"/>
        </w:rPr>
        <w:t xml:space="preserve"> Applying the three metrics help</w:t>
      </w:r>
      <w:r w:rsidR="00857C73">
        <w:rPr>
          <w:rFonts w:ascii="Arial" w:eastAsia="Arial" w:hAnsi="Arial" w:cs="Arial"/>
          <w:sz w:val="20"/>
          <w:szCs w:val="20"/>
        </w:rPr>
        <w:t>s</w:t>
      </w:r>
      <w:r w:rsidR="00803966" w:rsidRPr="000C73C6">
        <w:rPr>
          <w:rFonts w:ascii="Arial" w:eastAsia="Arial" w:hAnsi="Arial" w:cs="Arial"/>
          <w:sz w:val="20"/>
          <w:szCs w:val="20"/>
        </w:rPr>
        <w:t xml:space="preserve"> to determine manually the number of topics that maximise coherence, interpretability, distinctiveness and relevance. </w:t>
      </w:r>
    </w:p>
    <w:p w14:paraId="00000037" w14:textId="3051D207" w:rsidR="00920126" w:rsidRPr="000C73C6" w:rsidRDefault="00803966">
      <w:pPr>
        <w:rPr>
          <w:rFonts w:ascii="Arial" w:eastAsia="Arial" w:hAnsi="Arial" w:cs="Arial"/>
          <w:sz w:val="20"/>
          <w:szCs w:val="20"/>
        </w:rPr>
      </w:pPr>
      <w:r w:rsidRPr="000C73C6">
        <w:rPr>
          <w:rFonts w:ascii="Arial" w:eastAsia="Arial" w:hAnsi="Arial" w:cs="Arial"/>
          <w:sz w:val="20"/>
          <w:szCs w:val="20"/>
        </w:rPr>
        <w:t>In the final stage of the analysis</w:t>
      </w:r>
      <w:r w:rsidR="007924DD">
        <w:rPr>
          <w:rFonts w:ascii="Arial" w:eastAsia="Arial" w:hAnsi="Arial" w:cs="Arial"/>
          <w:sz w:val="20"/>
          <w:szCs w:val="20"/>
        </w:rPr>
        <w:t>,</w:t>
      </w:r>
      <w:r w:rsidRPr="000C73C6">
        <w:rPr>
          <w:rFonts w:ascii="Arial" w:eastAsia="Arial" w:hAnsi="Arial" w:cs="Arial"/>
          <w:sz w:val="20"/>
          <w:szCs w:val="20"/>
        </w:rPr>
        <w:t xml:space="preserve"> the LDA algorithm was applied to the document-term matrix to extract topics based co-occurrence terms using the </w:t>
      </w:r>
      <w:proofErr w:type="spellStart"/>
      <w:r w:rsidRPr="000C73C6">
        <w:rPr>
          <w:rFonts w:ascii="Arial" w:eastAsia="Arial" w:hAnsi="Arial" w:cs="Arial"/>
          <w:sz w:val="20"/>
          <w:szCs w:val="20"/>
        </w:rPr>
        <w:t>topicmodels</w:t>
      </w:r>
      <w:proofErr w:type="spellEnd"/>
      <w:r w:rsidR="00857C73">
        <w:rPr>
          <w:rFonts w:ascii="Arial" w:eastAsia="Arial" w:hAnsi="Arial" w:cs="Arial"/>
          <w:sz w:val="20"/>
          <w:szCs w:val="20"/>
        </w:rPr>
        <w:t xml:space="preserve"> package</w:t>
      </w:r>
      <w:r w:rsidRPr="000C73C6">
        <w:rPr>
          <w:rFonts w:ascii="Arial" w:eastAsia="Arial" w:hAnsi="Arial" w:cs="Arial"/>
          <w:sz w:val="20"/>
          <w:szCs w:val="20"/>
        </w:rPr>
        <w:t xml:space="preserve"> (version 0.2-12</w:t>
      </w:r>
      <w:r w:rsidR="004625F7">
        <w:rPr>
          <w:rFonts w:ascii="Arial" w:hAnsi="Arial" w:cs="Arial"/>
          <w:sz w:val="20"/>
          <w:szCs w:val="20"/>
        </w:rPr>
        <w:t xml:space="preserve">, </w:t>
      </w:r>
      <w:r w:rsidR="00857C73">
        <w:rPr>
          <w:rFonts w:ascii="Arial" w:hAnsi="Arial" w:cs="Arial"/>
          <w:sz w:val="20"/>
          <w:szCs w:val="20"/>
        </w:rPr>
        <w:fldChar w:fldCharType="begin" w:fldLock="1"/>
      </w:r>
      <w:r w:rsidR="004625F7">
        <w:rPr>
          <w:rFonts w:ascii="Arial" w:hAnsi="Arial" w:cs="Arial"/>
          <w:sz w:val="20"/>
          <w:szCs w:val="20"/>
        </w:rPr>
        <w:instrText>ADDIN CSL_CITATION {"citationItems":[{"id":"ITEM-1","itemData":{"author":[{"dropping-particle":"","family":"Grün","given":"B","non-dropping-particle":"","parse-names":false,"suffix":""},{"dropping-particle":"","family":"Horni","given":"K","non-dropping-particle":"","parse-names":false,"suffix":""},{"dropping-particle":"","family":"Blei","given":"DM","non-dropping-particle":"","parse-names":false,"suffix":""},{"dropping-particle":"","family":"Lafferty","given":"JD","non-dropping-particle":"","parse-names":false,"suffix":""},{"dropping-particle":"","family":"Phan","given":"X","non-dropping-particle":"","parse-names":false,"suffix":""},{"dropping-particle":"","family":"Matsumoto","given":"M","non-dropping-particle":"","parse-names":false,"suffix":""},{"dropping-particle":"","family":"Nishimura","given":"T","non-dropping-particle":"","parse-names":false,"suffix":""},{"dropping-particle":"","family":"Cokus","given":"S","non-dropping-particle":"","parse-names":false,"suffix":""}],"id":"ITEM-1","issued":{"date-parts":[["2023"]]},"title":"topicmodels: Topic Models (Version 0.2-12)","type":"webpage"},"uris":["http://www.mendeley.com/documents/?uuid=bd4ee40d-ddb1-49b3-9c2d-21092770c66d"]}],"mendeley":{"formattedCitation":"(Grün et al., 2023)","plainTextFormattedCitation":"(Grün et al., 2023)","previouslyFormattedCitation":"(Grün et al., 2023)"},"properties":{"noteIndex":0},"schema":"https://github.com/citation-style-language/schema/raw/master/csl-citation.json"}</w:instrText>
      </w:r>
      <w:r w:rsidR="00857C73">
        <w:rPr>
          <w:rFonts w:ascii="Arial" w:hAnsi="Arial" w:cs="Arial"/>
          <w:sz w:val="20"/>
          <w:szCs w:val="20"/>
        </w:rPr>
        <w:fldChar w:fldCharType="separate"/>
      </w:r>
      <w:r w:rsidR="004625F7" w:rsidRPr="004625F7">
        <w:rPr>
          <w:rFonts w:ascii="Arial" w:hAnsi="Arial" w:cs="Arial"/>
          <w:noProof/>
          <w:sz w:val="20"/>
          <w:szCs w:val="20"/>
        </w:rPr>
        <w:t>Grün et al., 2023)</w:t>
      </w:r>
      <w:r w:rsidR="00857C73">
        <w:rPr>
          <w:rFonts w:ascii="Arial" w:hAnsi="Arial" w:cs="Arial"/>
          <w:sz w:val="20"/>
          <w:szCs w:val="20"/>
        </w:rPr>
        <w:fldChar w:fldCharType="end"/>
      </w:r>
    </w:p>
    <w:p w14:paraId="00000038" w14:textId="1EDA51AC" w:rsidR="00920126" w:rsidRPr="000C73C6" w:rsidRDefault="00803966">
      <w:pPr>
        <w:rPr>
          <w:rFonts w:ascii="Arial" w:eastAsia="Arial" w:hAnsi="Arial" w:cs="Arial"/>
          <w:sz w:val="20"/>
          <w:szCs w:val="20"/>
        </w:rPr>
      </w:pPr>
      <w:r w:rsidRPr="000C73C6">
        <w:rPr>
          <w:rFonts w:ascii="Arial" w:eastAsia="Arial" w:hAnsi="Arial" w:cs="Arial"/>
          <w:sz w:val="20"/>
          <w:szCs w:val="20"/>
        </w:rPr>
        <w:t>The process of generating topics in LDA involves probabilistic modelling and iterative optimisation that go beyond mere word frequency, identifying groups of words that co-occur and represent meaningful themes. The LDA yield</w:t>
      </w:r>
      <w:r w:rsidR="00857C73">
        <w:rPr>
          <w:rFonts w:ascii="Arial" w:eastAsia="Arial" w:hAnsi="Arial" w:cs="Arial"/>
          <w:sz w:val="20"/>
          <w:szCs w:val="20"/>
        </w:rPr>
        <w:t>s</w:t>
      </w:r>
      <w:r w:rsidRPr="000C73C6">
        <w:rPr>
          <w:rFonts w:ascii="Arial" w:eastAsia="Arial" w:hAnsi="Arial" w:cs="Arial"/>
          <w:sz w:val="20"/>
          <w:szCs w:val="20"/>
        </w:rPr>
        <w:t xml:space="preserve"> two outputs: 1) the probability of each term belonging to a certain topic and 2) the probability of each topic belonging to a row of the data frame. As the algorithm did not automatically provide topic labelling</w:t>
      </w:r>
      <w:r w:rsidR="00857C73">
        <w:rPr>
          <w:rFonts w:ascii="Arial" w:eastAsia="Arial" w:hAnsi="Arial" w:cs="Arial"/>
          <w:sz w:val="20"/>
          <w:szCs w:val="20"/>
        </w:rPr>
        <w:t>, manual labelling</w:t>
      </w:r>
      <w:r w:rsidRPr="000C73C6">
        <w:rPr>
          <w:rFonts w:ascii="Arial" w:eastAsia="Arial" w:hAnsi="Arial" w:cs="Arial"/>
          <w:sz w:val="20"/>
          <w:szCs w:val="20"/>
        </w:rPr>
        <w:t xml:space="preserve"> was conducted with other researchers. </w:t>
      </w:r>
      <w:r w:rsidR="00B5210A">
        <w:rPr>
          <w:rFonts w:ascii="Arial" w:eastAsia="Arial" w:hAnsi="Arial" w:cs="Arial"/>
          <w:sz w:val="20"/>
          <w:szCs w:val="20"/>
        </w:rPr>
        <w:t>Drawing from</w:t>
      </w:r>
      <w:r w:rsidRPr="000C73C6">
        <w:rPr>
          <w:rFonts w:ascii="Arial" w:eastAsia="Arial" w:hAnsi="Arial" w:cs="Arial"/>
          <w:sz w:val="20"/>
          <w:szCs w:val="20"/>
        </w:rPr>
        <w:t xml:space="preserve"> our collective expertise, we labelled the topic</w:t>
      </w:r>
      <w:r w:rsidR="006F7DBE">
        <w:rPr>
          <w:rFonts w:ascii="Arial" w:eastAsia="Arial" w:hAnsi="Arial" w:cs="Arial"/>
          <w:sz w:val="20"/>
          <w:szCs w:val="20"/>
        </w:rPr>
        <w:t>-</w:t>
      </w:r>
      <w:r w:rsidRPr="000C73C6">
        <w:rPr>
          <w:rFonts w:ascii="Arial" w:eastAsia="Arial" w:hAnsi="Arial" w:cs="Arial"/>
          <w:sz w:val="20"/>
          <w:szCs w:val="20"/>
        </w:rPr>
        <w:t>based on the top ten</w:t>
      </w:r>
      <w:r w:rsidR="00B5210A">
        <w:rPr>
          <w:rFonts w:ascii="Arial" w:eastAsia="Arial" w:hAnsi="Arial" w:cs="Arial"/>
          <w:sz w:val="20"/>
          <w:szCs w:val="20"/>
        </w:rPr>
        <w:t xml:space="preserve"> </w:t>
      </w:r>
      <w:r w:rsidR="00A45B5F">
        <w:rPr>
          <w:rFonts w:ascii="Arial" w:eastAsia="Arial" w:hAnsi="Arial" w:cs="Arial"/>
          <w:sz w:val="20"/>
          <w:szCs w:val="20"/>
        </w:rPr>
        <w:t xml:space="preserve">terms or </w:t>
      </w:r>
      <w:r w:rsidR="00B5210A">
        <w:rPr>
          <w:rFonts w:ascii="Arial" w:eastAsia="Arial" w:hAnsi="Arial" w:cs="Arial"/>
          <w:sz w:val="20"/>
          <w:szCs w:val="20"/>
        </w:rPr>
        <w:t>n-grams</w:t>
      </w:r>
      <w:r w:rsidRPr="000C73C6">
        <w:rPr>
          <w:rFonts w:ascii="Arial" w:eastAsia="Arial" w:hAnsi="Arial" w:cs="Arial"/>
          <w:sz w:val="20"/>
          <w:szCs w:val="20"/>
        </w:rPr>
        <w:t xml:space="preserve"> with the highest marginal probability within each topic. One of the topics, referred to as “no answer provided” mostly </w:t>
      </w:r>
      <w:r w:rsidR="00B5210A" w:rsidRPr="000C73C6">
        <w:rPr>
          <w:rFonts w:ascii="Arial" w:eastAsia="Arial" w:hAnsi="Arial" w:cs="Arial"/>
          <w:sz w:val="20"/>
          <w:szCs w:val="20"/>
        </w:rPr>
        <w:t>cover</w:t>
      </w:r>
      <w:r w:rsidR="00B5210A">
        <w:rPr>
          <w:rFonts w:ascii="Arial" w:eastAsia="Arial" w:hAnsi="Arial" w:cs="Arial"/>
          <w:sz w:val="20"/>
          <w:szCs w:val="20"/>
        </w:rPr>
        <w:t>ed</w:t>
      </w:r>
      <w:r w:rsidR="00B5210A" w:rsidRPr="000C73C6">
        <w:rPr>
          <w:rFonts w:ascii="Arial" w:eastAsia="Arial" w:hAnsi="Arial" w:cs="Arial"/>
          <w:sz w:val="20"/>
          <w:szCs w:val="20"/>
        </w:rPr>
        <w:t xml:space="preserve"> </w:t>
      </w:r>
      <w:r w:rsidRPr="000C73C6">
        <w:rPr>
          <w:rFonts w:ascii="Arial" w:eastAsia="Arial" w:hAnsi="Arial" w:cs="Arial"/>
          <w:sz w:val="20"/>
          <w:szCs w:val="20"/>
        </w:rPr>
        <w:t xml:space="preserve">responses that lacked meaningful information regarding the research questions and included responses such as “I do not know” and “no answer”. Furthermore, to provide an alternative visualisation </w:t>
      </w:r>
      <w:r w:rsidRPr="000C73C6">
        <w:rPr>
          <w:rFonts w:ascii="Arial" w:eastAsia="Arial" w:hAnsi="Arial" w:cs="Arial"/>
          <w:sz w:val="20"/>
          <w:szCs w:val="20"/>
        </w:rPr>
        <w:lastRenderedPageBreak/>
        <w:t>of the data, word clouds</w:t>
      </w:r>
      <w:r w:rsidR="00B5210A">
        <w:rPr>
          <w:rFonts w:ascii="Arial" w:eastAsia="Arial" w:hAnsi="Arial" w:cs="Arial"/>
          <w:sz w:val="20"/>
          <w:szCs w:val="20"/>
        </w:rPr>
        <w:t xml:space="preserve"> were also created</w:t>
      </w:r>
      <w:r w:rsidRPr="000C73C6">
        <w:rPr>
          <w:rFonts w:ascii="Arial" w:eastAsia="Arial" w:hAnsi="Arial" w:cs="Arial"/>
          <w:sz w:val="20"/>
          <w:szCs w:val="20"/>
        </w:rPr>
        <w:t xml:space="preserve"> from the document-term matri</w:t>
      </w:r>
      <w:r w:rsidR="00B5210A">
        <w:rPr>
          <w:rFonts w:ascii="Arial" w:eastAsia="Arial" w:hAnsi="Arial" w:cs="Arial"/>
          <w:sz w:val="20"/>
          <w:szCs w:val="20"/>
        </w:rPr>
        <w:t>ces</w:t>
      </w:r>
      <w:r w:rsidRPr="000C73C6">
        <w:rPr>
          <w:rFonts w:ascii="Arial" w:eastAsia="Arial" w:hAnsi="Arial" w:cs="Arial"/>
          <w:sz w:val="20"/>
          <w:szCs w:val="20"/>
        </w:rPr>
        <w:t>. The</w:t>
      </w:r>
      <w:r w:rsidR="00B5210A">
        <w:rPr>
          <w:rFonts w:ascii="Arial" w:eastAsia="Arial" w:hAnsi="Arial" w:cs="Arial"/>
          <w:sz w:val="20"/>
          <w:szCs w:val="20"/>
        </w:rPr>
        <w:t>se</w:t>
      </w:r>
      <w:r w:rsidRPr="000C73C6">
        <w:rPr>
          <w:rFonts w:ascii="Arial" w:eastAsia="Arial" w:hAnsi="Arial" w:cs="Arial"/>
          <w:sz w:val="20"/>
          <w:szCs w:val="20"/>
        </w:rPr>
        <w:t xml:space="preserve"> show the frequency of additional n-grams in the matri</w:t>
      </w:r>
      <w:r w:rsidR="00B5210A">
        <w:rPr>
          <w:rFonts w:ascii="Arial" w:eastAsia="Arial" w:hAnsi="Arial" w:cs="Arial"/>
          <w:sz w:val="20"/>
          <w:szCs w:val="20"/>
        </w:rPr>
        <w:t>ces</w:t>
      </w:r>
      <w:r w:rsidR="00B5210A">
        <w:rPr>
          <w:rFonts w:ascii="Arial" w:hAnsi="Arial" w:cs="Arial"/>
          <w:sz w:val="20"/>
          <w:szCs w:val="20"/>
        </w:rPr>
        <w:t xml:space="preserve">. </w:t>
      </w:r>
    </w:p>
    <w:p w14:paraId="00000039" w14:textId="4AD68836" w:rsidR="00920126" w:rsidRPr="0098359A" w:rsidRDefault="00803966">
      <w:pPr>
        <w:rPr>
          <w:rFonts w:ascii="Arial" w:hAnsi="Arial" w:cs="Arial"/>
          <w:sz w:val="20"/>
          <w:szCs w:val="20"/>
        </w:rPr>
      </w:pPr>
      <w:r w:rsidRPr="000C73C6">
        <w:rPr>
          <w:rFonts w:ascii="Arial" w:eastAsia="Arial" w:hAnsi="Arial" w:cs="Arial"/>
          <w:sz w:val="20"/>
          <w:szCs w:val="20"/>
        </w:rPr>
        <w:t xml:space="preserve">The LDA model is based on the assumptions that word order does not matter and thus the distribution of words in the data within each topic is independent of the documents, that each document has only a few topics with non-zero probabilities, and that each topic consists of only a small subset of words. These assumptions were manually checked by the research group by examining the topics for coherence, </w:t>
      </w:r>
      <w:r w:rsidR="00050F1C" w:rsidRPr="000C73C6">
        <w:rPr>
          <w:rFonts w:ascii="Arial" w:eastAsia="Arial" w:hAnsi="Arial" w:cs="Arial"/>
          <w:sz w:val="20"/>
          <w:szCs w:val="20"/>
        </w:rPr>
        <w:t>relevance,</w:t>
      </w:r>
      <w:r w:rsidRPr="000C73C6">
        <w:rPr>
          <w:rFonts w:ascii="Arial" w:eastAsia="Arial" w:hAnsi="Arial" w:cs="Arial"/>
          <w:sz w:val="20"/>
          <w:szCs w:val="20"/>
        </w:rPr>
        <w:t xml:space="preserve"> and interpretability. </w:t>
      </w:r>
    </w:p>
    <w:p w14:paraId="0000003A" w14:textId="655DC20B" w:rsidR="00920126" w:rsidRPr="0098359A" w:rsidRDefault="00B5210A">
      <w:pPr>
        <w:rPr>
          <w:rFonts w:ascii="Arial" w:hAnsi="Arial" w:cs="Arial"/>
          <w:sz w:val="20"/>
          <w:szCs w:val="20"/>
        </w:rPr>
      </w:pPr>
      <w:r>
        <w:rPr>
          <w:rFonts w:ascii="Arial" w:hAnsi="Arial" w:cs="Arial"/>
          <w:sz w:val="20"/>
          <w:szCs w:val="20"/>
        </w:rPr>
        <w:t>Finally, a</w:t>
      </w:r>
      <w:r w:rsidR="00803966" w:rsidRPr="000C73C6">
        <w:rPr>
          <w:rFonts w:ascii="Arial" w:hAnsi="Arial" w:cs="Arial"/>
          <w:sz w:val="20"/>
          <w:szCs w:val="20"/>
        </w:rPr>
        <w:t xml:space="preserve"> sensitivity analysis was conducted to examine a change in the number of topics (n=9, n=10) on the composition of the topics. </w:t>
      </w:r>
    </w:p>
    <w:p w14:paraId="0000003B" w14:textId="77777777" w:rsidR="00920126" w:rsidRPr="000C73C6" w:rsidRDefault="00920126">
      <w:pPr>
        <w:rPr>
          <w:rFonts w:ascii="Arial" w:eastAsia="Arial" w:hAnsi="Arial" w:cs="Arial"/>
          <w:sz w:val="20"/>
          <w:szCs w:val="20"/>
        </w:rPr>
      </w:pPr>
    </w:p>
    <w:p w14:paraId="0000003C" w14:textId="77777777" w:rsidR="00920126" w:rsidRPr="000C73C6" w:rsidRDefault="00803966">
      <w:pPr>
        <w:rPr>
          <w:rFonts w:ascii="Arial" w:eastAsia="Arial" w:hAnsi="Arial" w:cs="Arial"/>
          <w:i/>
          <w:sz w:val="20"/>
          <w:szCs w:val="20"/>
        </w:rPr>
      </w:pPr>
      <w:r w:rsidRPr="000C73C6">
        <w:rPr>
          <w:rFonts w:ascii="Arial" w:eastAsia="Arial" w:hAnsi="Arial" w:cs="Arial"/>
          <w:i/>
          <w:sz w:val="20"/>
          <w:szCs w:val="20"/>
        </w:rPr>
        <w:t xml:space="preserve">Statistical analysis </w:t>
      </w:r>
    </w:p>
    <w:p w14:paraId="0000003D" w14:textId="2FDE5D99" w:rsidR="00920126" w:rsidRPr="000C73C6" w:rsidRDefault="00803966">
      <w:pPr>
        <w:rPr>
          <w:rFonts w:ascii="Arial" w:eastAsia="Arial" w:hAnsi="Arial" w:cs="Arial"/>
          <w:sz w:val="20"/>
          <w:szCs w:val="20"/>
        </w:rPr>
      </w:pPr>
      <w:r w:rsidRPr="000C73C6">
        <w:rPr>
          <w:rFonts w:ascii="Arial" w:eastAsia="Arial" w:hAnsi="Arial" w:cs="Arial"/>
          <w:sz w:val="20"/>
          <w:szCs w:val="20"/>
        </w:rPr>
        <w:t>Comparisons between participant characteristics on the frequency of responses for each topic were made using Wilcoxon rank-sum test. Summary statistics for the variables are presented as mean. P-values were adjusted for multiple comparisons using False Discovery Rate (FDR) correction when performing Wilcoxon rank-sum test. Results with P-values &lt;0.05 were considered statistically significant. The abbreviations used for the country names follow the ISO 3166 ALPHA-2: Germany (DE), Sweden (SE), Italy (IT) and the United Kingdom (UK).</w:t>
      </w:r>
    </w:p>
    <w:p w14:paraId="0000003E" w14:textId="77777777" w:rsidR="00920126" w:rsidRPr="000C73C6" w:rsidRDefault="00920126">
      <w:pPr>
        <w:rPr>
          <w:rFonts w:ascii="Arial" w:eastAsia="Arial" w:hAnsi="Arial" w:cs="Arial"/>
          <w:sz w:val="20"/>
          <w:szCs w:val="20"/>
        </w:rPr>
      </w:pPr>
    </w:p>
    <w:p w14:paraId="0000003F" w14:textId="66EC932D" w:rsidR="00920126" w:rsidRPr="000C73C6" w:rsidRDefault="00803966">
      <w:pPr>
        <w:rPr>
          <w:rFonts w:ascii="Arial" w:eastAsia="Arial" w:hAnsi="Arial" w:cs="Arial"/>
          <w:i/>
          <w:sz w:val="20"/>
          <w:szCs w:val="20"/>
        </w:rPr>
      </w:pPr>
      <w:r w:rsidRPr="000C73C6">
        <w:rPr>
          <w:rFonts w:ascii="Arial" w:eastAsia="Arial" w:hAnsi="Arial" w:cs="Arial"/>
          <w:i/>
          <w:sz w:val="20"/>
          <w:szCs w:val="20"/>
        </w:rPr>
        <w:t>Ethics</w:t>
      </w:r>
    </w:p>
    <w:p w14:paraId="4751B0BB" w14:textId="1CD710A6" w:rsidR="00EB797D" w:rsidRPr="000C73C6" w:rsidRDefault="00803966">
      <w:pPr>
        <w:rPr>
          <w:rFonts w:ascii="Arial" w:eastAsia="Arial" w:hAnsi="Arial" w:cs="Arial"/>
          <w:sz w:val="20"/>
          <w:szCs w:val="20"/>
        </w:rPr>
      </w:pPr>
      <w:bookmarkStart w:id="0" w:name="_heading=h.2et92p0" w:colFirst="0" w:colLast="0"/>
      <w:bookmarkEnd w:id="0"/>
      <w:r w:rsidRPr="000C73C6">
        <w:rPr>
          <w:rFonts w:ascii="Arial" w:eastAsia="Arial" w:hAnsi="Arial" w:cs="Arial"/>
          <w:sz w:val="20"/>
          <w:szCs w:val="20"/>
        </w:rPr>
        <w:t xml:space="preserve">Ethical approval was granted by Imperial College London’s Ethics Research Committee (ICREC) (Approval number: 20IC5956). </w:t>
      </w:r>
    </w:p>
    <w:p w14:paraId="00000041" w14:textId="77777777" w:rsidR="00920126" w:rsidRPr="000C73C6" w:rsidRDefault="00920126" w:rsidP="0098359A">
      <w:bookmarkStart w:id="1" w:name="_heading=h.es5i67cewp8c" w:colFirst="0" w:colLast="0"/>
      <w:bookmarkEnd w:id="1"/>
    </w:p>
    <w:p w14:paraId="00000042" w14:textId="77777777" w:rsidR="00920126" w:rsidRPr="000C73C6" w:rsidRDefault="00803966">
      <w:pPr>
        <w:pStyle w:val="Heading1"/>
        <w:rPr>
          <w:rFonts w:ascii="Arial" w:eastAsia="Arial" w:hAnsi="Arial" w:cs="Arial"/>
          <w:sz w:val="20"/>
          <w:szCs w:val="20"/>
        </w:rPr>
      </w:pPr>
      <w:r w:rsidRPr="000C73C6">
        <w:rPr>
          <w:rFonts w:ascii="Arial" w:eastAsia="Arial" w:hAnsi="Arial" w:cs="Arial"/>
          <w:sz w:val="20"/>
          <w:szCs w:val="20"/>
        </w:rPr>
        <w:t>Results</w:t>
      </w:r>
    </w:p>
    <w:p w14:paraId="00000043" w14:textId="77777777" w:rsidR="00920126" w:rsidRPr="000C73C6" w:rsidRDefault="00920126">
      <w:pPr>
        <w:rPr>
          <w:rFonts w:ascii="Arial" w:eastAsia="Arial" w:hAnsi="Arial" w:cs="Arial"/>
          <w:i/>
          <w:sz w:val="20"/>
          <w:szCs w:val="20"/>
        </w:rPr>
      </w:pPr>
    </w:p>
    <w:p w14:paraId="00000044" w14:textId="77777777" w:rsidR="00920126" w:rsidRPr="000C73C6" w:rsidRDefault="00803966">
      <w:pPr>
        <w:rPr>
          <w:rFonts w:ascii="Arial" w:eastAsia="Arial" w:hAnsi="Arial" w:cs="Arial"/>
          <w:i/>
          <w:sz w:val="20"/>
          <w:szCs w:val="20"/>
        </w:rPr>
      </w:pPr>
      <w:r w:rsidRPr="000C73C6">
        <w:rPr>
          <w:rFonts w:ascii="Arial" w:eastAsia="Arial" w:hAnsi="Arial" w:cs="Arial"/>
          <w:i/>
          <w:sz w:val="20"/>
          <w:szCs w:val="20"/>
        </w:rPr>
        <w:t>Participant characteristics</w:t>
      </w:r>
    </w:p>
    <w:p w14:paraId="00000045" w14:textId="3C8ACA34" w:rsidR="00920126" w:rsidRPr="000C73C6" w:rsidRDefault="00803966">
      <w:pPr>
        <w:rPr>
          <w:rFonts w:ascii="Arial" w:eastAsia="Arial" w:hAnsi="Arial" w:cs="Arial"/>
          <w:sz w:val="20"/>
          <w:szCs w:val="20"/>
        </w:rPr>
      </w:pPr>
      <w:r w:rsidRPr="000C73C6">
        <w:rPr>
          <w:rFonts w:ascii="Arial" w:eastAsia="Arial" w:hAnsi="Arial" w:cs="Arial"/>
          <w:sz w:val="20"/>
          <w:szCs w:val="20"/>
        </w:rPr>
        <w:t>Table 2 summarises the characteristics of the survey participants (n=6,331). The gender distribution of participants was balanced (51.7% female, n=3,272). Most participants were over 55 years old (42.4%, n=2,687) and of white ethnicity (60.4%, n=3</w:t>
      </w:r>
      <w:r w:rsidR="004C169A">
        <w:rPr>
          <w:rFonts w:ascii="Arial" w:eastAsia="Arial" w:hAnsi="Arial" w:cs="Arial"/>
          <w:sz w:val="20"/>
          <w:szCs w:val="20"/>
        </w:rPr>
        <w:t>,</w:t>
      </w:r>
      <w:r w:rsidRPr="000C73C6">
        <w:rPr>
          <w:rFonts w:ascii="Arial" w:eastAsia="Arial" w:hAnsi="Arial" w:cs="Arial"/>
          <w:sz w:val="20"/>
          <w:szCs w:val="20"/>
        </w:rPr>
        <w:t xml:space="preserve">289). Most participants showed a low eHealth literacy (86.8%, n=5,497). For participants with low eHealth literacy (eHEALS &gt;28, </w:t>
      </w:r>
      <w:r w:rsidR="00050F1C">
        <w:rPr>
          <w:rFonts w:ascii="Arial" w:eastAsia="Arial" w:hAnsi="Arial" w:cs="Arial"/>
          <w:sz w:val="20"/>
          <w:szCs w:val="20"/>
        </w:rPr>
        <w:t xml:space="preserve">18.82 </w:t>
      </w:r>
      <w:r w:rsidR="00050F1C" w:rsidRPr="00ED1160">
        <w:rPr>
          <w:rFonts w:ascii="Arial" w:eastAsia="Arial" w:hAnsi="Arial" w:cs="Arial"/>
          <w:iCs/>
          <w:sz w:val="20"/>
          <w:szCs w:val="20"/>
        </w:rPr>
        <w:sym w:font="Symbol" w:char="F0B1"/>
      </w:r>
      <w:r w:rsidR="00050F1C" w:rsidRPr="00ED1160">
        <w:rPr>
          <w:rFonts w:ascii="Arial" w:eastAsia="Arial" w:hAnsi="Arial" w:cs="Arial"/>
          <w:iCs/>
          <w:sz w:val="20"/>
          <w:szCs w:val="20"/>
        </w:rPr>
        <w:t xml:space="preserve"> 6.79</w:t>
      </w:r>
      <w:r w:rsidRPr="000C73C6">
        <w:rPr>
          <w:rFonts w:ascii="Arial" w:eastAsia="Arial" w:hAnsi="Arial" w:cs="Arial"/>
          <w:sz w:val="20"/>
          <w:szCs w:val="20"/>
        </w:rPr>
        <w:t xml:space="preserve">), literacy was balanced across the </w:t>
      </w:r>
      <w:r w:rsidR="007924DD">
        <w:rPr>
          <w:rFonts w:ascii="Arial" w:eastAsia="Arial" w:hAnsi="Arial" w:cs="Arial"/>
          <w:sz w:val="20"/>
          <w:szCs w:val="20"/>
        </w:rPr>
        <w:t>eight</w:t>
      </w:r>
      <w:r w:rsidRPr="000C73C6">
        <w:rPr>
          <w:rFonts w:ascii="Arial" w:eastAsia="Arial" w:hAnsi="Arial" w:cs="Arial"/>
          <w:sz w:val="20"/>
          <w:szCs w:val="20"/>
        </w:rPr>
        <w:t xml:space="preserve"> items of the eHEALS score, with the lowest score for knowledge of using the internet to answer health questions (</w:t>
      </w:r>
      <w:r w:rsidR="00050F1C" w:rsidRPr="00050F1C">
        <w:rPr>
          <w:rFonts w:ascii="Arial" w:eastAsia="Arial" w:hAnsi="Arial" w:cs="Arial"/>
          <w:iCs/>
          <w:sz w:val="20"/>
          <w:szCs w:val="20"/>
        </w:rPr>
        <w:t xml:space="preserve">2.12 </w:t>
      </w:r>
      <w:r w:rsidR="00050F1C" w:rsidRPr="00050F1C">
        <w:rPr>
          <w:rFonts w:ascii="Arial" w:eastAsia="Arial" w:hAnsi="Arial" w:cs="Arial"/>
          <w:iCs/>
          <w:sz w:val="20"/>
          <w:szCs w:val="20"/>
        </w:rPr>
        <w:sym w:font="Symbol" w:char="F0B1"/>
      </w:r>
      <w:r w:rsidR="00050F1C" w:rsidRPr="00050F1C">
        <w:rPr>
          <w:rFonts w:ascii="Arial" w:eastAsia="Arial" w:hAnsi="Arial" w:cs="Arial"/>
          <w:iCs/>
          <w:sz w:val="20"/>
          <w:szCs w:val="20"/>
        </w:rPr>
        <w:t xml:space="preserve"> 0.97</w:t>
      </w:r>
      <w:r w:rsidRPr="000C73C6">
        <w:rPr>
          <w:rFonts w:ascii="Arial" w:eastAsia="Arial" w:hAnsi="Arial" w:cs="Arial"/>
          <w:sz w:val="20"/>
          <w:szCs w:val="20"/>
        </w:rPr>
        <w:t xml:space="preserve">) (Supplementary Table </w:t>
      </w:r>
      <w:r w:rsidR="00D42302">
        <w:rPr>
          <w:rFonts w:ascii="Arial" w:eastAsia="Arial" w:hAnsi="Arial" w:cs="Arial"/>
          <w:sz w:val="20"/>
          <w:szCs w:val="20"/>
        </w:rPr>
        <w:t>2</w:t>
      </w:r>
      <w:r w:rsidRPr="000C73C6">
        <w:rPr>
          <w:rFonts w:ascii="Arial" w:eastAsia="Arial" w:hAnsi="Arial" w:cs="Arial"/>
          <w:sz w:val="20"/>
          <w:szCs w:val="20"/>
        </w:rPr>
        <w:t>).</w:t>
      </w:r>
    </w:p>
    <w:p w14:paraId="00000046" w14:textId="77777777" w:rsidR="00920126" w:rsidRPr="000C73C6" w:rsidRDefault="00920126">
      <w:pPr>
        <w:rPr>
          <w:rFonts w:ascii="Arial" w:eastAsia="Arial" w:hAnsi="Arial" w:cs="Arial"/>
          <w:sz w:val="20"/>
          <w:szCs w:val="20"/>
        </w:rPr>
      </w:pPr>
    </w:p>
    <w:p w14:paraId="00000047" w14:textId="77777777" w:rsidR="00920126" w:rsidRPr="000C73C6" w:rsidRDefault="00803966">
      <w:pPr>
        <w:rPr>
          <w:rFonts w:ascii="Arial" w:eastAsia="Arial" w:hAnsi="Arial" w:cs="Arial"/>
          <w:sz w:val="20"/>
          <w:szCs w:val="20"/>
        </w:rPr>
      </w:pPr>
      <w:r w:rsidRPr="000C73C6">
        <w:rPr>
          <w:rFonts w:ascii="Arial" w:eastAsia="Arial" w:hAnsi="Arial" w:cs="Arial"/>
          <w:b/>
          <w:sz w:val="20"/>
          <w:szCs w:val="20"/>
        </w:rPr>
        <w:t>Table 2</w:t>
      </w:r>
      <w:r w:rsidRPr="000C73C6">
        <w:rPr>
          <w:rFonts w:ascii="Arial" w:eastAsia="Arial" w:hAnsi="Arial" w:cs="Arial"/>
          <w:sz w:val="20"/>
          <w:szCs w:val="20"/>
        </w:rPr>
        <w:t>:</w:t>
      </w:r>
      <w:r w:rsidRPr="000C73C6">
        <w:rPr>
          <w:rFonts w:ascii="Arial" w:eastAsia="Arial" w:hAnsi="Arial" w:cs="Arial"/>
          <w:b/>
          <w:sz w:val="20"/>
          <w:szCs w:val="20"/>
        </w:rPr>
        <w:t xml:space="preserve"> </w:t>
      </w:r>
      <w:r w:rsidRPr="000C73C6">
        <w:rPr>
          <w:rFonts w:ascii="Arial" w:eastAsia="Arial" w:hAnsi="Arial" w:cs="Arial"/>
          <w:sz w:val="20"/>
          <w:szCs w:val="20"/>
        </w:rPr>
        <w:t xml:space="preserve">Characteristics of survey respondents </w:t>
      </w:r>
    </w:p>
    <w:p w14:paraId="00000048" w14:textId="77777777" w:rsidR="00920126" w:rsidRPr="000C73C6" w:rsidRDefault="00920126">
      <w:pPr>
        <w:rPr>
          <w:rFonts w:ascii="Arial" w:eastAsia="Arial" w:hAnsi="Arial" w:cs="Arial"/>
          <w:i/>
          <w:sz w:val="20"/>
          <w:szCs w:val="20"/>
        </w:rPr>
      </w:pPr>
    </w:p>
    <w:p w14:paraId="00000049" w14:textId="77777777" w:rsidR="00920126" w:rsidRPr="000C73C6" w:rsidRDefault="00803966">
      <w:pPr>
        <w:rPr>
          <w:rFonts w:ascii="Arial" w:eastAsia="Arial" w:hAnsi="Arial" w:cs="Arial"/>
          <w:i/>
          <w:sz w:val="20"/>
          <w:szCs w:val="20"/>
        </w:rPr>
      </w:pPr>
      <w:r w:rsidRPr="000C73C6">
        <w:rPr>
          <w:rFonts w:ascii="Arial" w:eastAsia="Arial" w:hAnsi="Arial" w:cs="Arial"/>
          <w:i/>
          <w:sz w:val="20"/>
          <w:szCs w:val="20"/>
        </w:rPr>
        <w:t>Number of topics</w:t>
      </w:r>
    </w:p>
    <w:p w14:paraId="0000004A" w14:textId="26C2EF0C" w:rsidR="00920126" w:rsidRPr="000C73C6" w:rsidRDefault="00803966">
      <w:pPr>
        <w:rPr>
          <w:rFonts w:ascii="Arial" w:eastAsia="Arial" w:hAnsi="Arial" w:cs="Arial"/>
          <w:sz w:val="20"/>
          <w:szCs w:val="20"/>
        </w:rPr>
      </w:pPr>
      <w:r w:rsidRPr="000C73C6">
        <w:rPr>
          <w:rFonts w:ascii="Arial" w:eastAsia="Arial" w:hAnsi="Arial" w:cs="Arial"/>
          <w:sz w:val="20"/>
          <w:szCs w:val="20"/>
        </w:rPr>
        <w:t xml:space="preserve">To examine the desired number of topics, different LDA models were fitted. Supplementary Figure 1 plots the changes in model comparison metrics with an increasing number of topics for the benefits and challenges of virtual primary care. The </w:t>
      </w:r>
      <w:r w:rsidRPr="000C73C6">
        <w:rPr>
          <w:rFonts w:ascii="Arial" w:eastAsia="Arial" w:hAnsi="Arial" w:cs="Arial"/>
          <w:i/>
          <w:sz w:val="20"/>
          <w:szCs w:val="20"/>
        </w:rPr>
        <w:t>Cao</w:t>
      </w:r>
      <w:r w:rsidR="00A45B5F">
        <w:rPr>
          <w:rFonts w:ascii="Arial" w:eastAsia="Arial" w:hAnsi="Arial" w:cs="Arial"/>
          <w:i/>
          <w:sz w:val="20"/>
          <w:szCs w:val="20"/>
        </w:rPr>
        <w:t xml:space="preserve"> </w:t>
      </w:r>
      <w:r w:rsidRPr="000C73C6">
        <w:rPr>
          <w:rFonts w:ascii="Arial" w:eastAsia="Arial" w:hAnsi="Arial" w:cs="Arial"/>
          <w:i/>
          <w:sz w:val="20"/>
          <w:szCs w:val="20"/>
        </w:rPr>
        <w:t>et al.</w:t>
      </w:r>
      <w:r w:rsidR="00A45B5F">
        <w:rPr>
          <w:rFonts w:ascii="Arial" w:eastAsia="Arial" w:hAnsi="Arial" w:cs="Arial"/>
          <w:i/>
          <w:sz w:val="20"/>
          <w:szCs w:val="20"/>
        </w:rPr>
        <w:t xml:space="preserve"> 2009 </w:t>
      </w:r>
      <w:r w:rsidR="00A45B5F" w:rsidRPr="0098359A">
        <w:rPr>
          <w:rFonts w:ascii="Arial" w:eastAsia="Arial" w:hAnsi="Arial" w:cs="Arial"/>
          <w:iCs/>
          <w:sz w:val="20"/>
          <w:szCs w:val="20"/>
        </w:rPr>
        <w:t>metric</w:t>
      </w:r>
      <w:r w:rsidRPr="00A45B5F">
        <w:rPr>
          <w:rFonts w:ascii="Arial" w:eastAsia="Arial" w:hAnsi="Arial" w:cs="Arial"/>
          <w:iCs/>
          <w:sz w:val="20"/>
          <w:szCs w:val="20"/>
        </w:rPr>
        <w:t xml:space="preserve"> </w:t>
      </w:r>
      <w:r w:rsidRPr="000C73C6">
        <w:rPr>
          <w:rFonts w:ascii="Arial" w:eastAsia="Arial" w:hAnsi="Arial" w:cs="Arial"/>
          <w:sz w:val="20"/>
          <w:szCs w:val="20"/>
        </w:rPr>
        <w:t xml:space="preserve">indicated LDA models with eight to ten topics to be best for further analysis. Due to their monotonic patterns, the other two metrics provided little guidance </w:t>
      </w:r>
      <w:r w:rsidR="006F7DBE">
        <w:rPr>
          <w:rFonts w:ascii="Arial" w:eastAsia="Arial" w:hAnsi="Arial" w:cs="Arial"/>
          <w:sz w:val="20"/>
          <w:szCs w:val="20"/>
        </w:rPr>
        <w:t>in</w:t>
      </w:r>
      <w:r w:rsidRPr="000C73C6">
        <w:rPr>
          <w:rFonts w:ascii="Arial" w:eastAsia="Arial" w:hAnsi="Arial" w:cs="Arial"/>
          <w:sz w:val="20"/>
          <w:szCs w:val="20"/>
        </w:rPr>
        <w:t xml:space="preserve"> determining the number of topics. Considering all three metrics on balance, an eight-topic LDA model was identified for subsequent analysis. </w:t>
      </w:r>
    </w:p>
    <w:p w14:paraId="0000004B" w14:textId="77777777" w:rsidR="00920126" w:rsidRPr="000C73C6" w:rsidRDefault="00920126">
      <w:pPr>
        <w:rPr>
          <w:rFonts w:ascii="Arial" w:eastAsia="Arial" w:hAnsi="Arial" w:cs="Arial"/>
          <w:sz w:val="20"/>
          <w:szCs w:val="20"/>
        </w:rPr>
      </w:pPr>
    </w:p>
    <w:p w14:paraId="0000004C" w14:textId="77777777" w:rsidR="00920126" w:rsidRPr="000C73C6" w:rsidRDefault="00803966">
      <w:pPr>
        <w:rPr>
          <w:rFonts w:ascii="Arial" w:eastAsia="Arial" w:hAnsi="Arial" w:cs="Arial"/>
          <w:sz w:val="20"/>
          <w:szCs w:val="20"/>
        </w:rPr>
      </w:pPr>
      <w:r w:rsidRPr="000C73C6">
        <w:rPr>
          <w:rFonts w:ascii="Arial" w:eastAsia="Arial" w:hAnsi="Arial" w:cs="Arial"/>
          <w:i/>
          <w:sz w:val="20"/>
          <w:szCs w:val="20"/>
        </w:rPr>
        <w:t xml:space="preserve">Benefits of virtual technologies in primary care </w:t>
      </w:r>
    </w:p>
    <w:p w14:paraId="0000004D" w14:textId="1F597142" w:rsidR="00920126" w:rsidRPr="000C73C6" w:rsidRDefault="00803966">
      <w:pPr>
        <w:rPr>
          <w:rFonts w:ascii="Arial" w:eastAsia="Arial" w:hAnsi="Arial" w:cs="Arial"/>
          <w:sz w:val="20"/>
          <w:szCs w:val="20"/>
        </w:rPr>
      </w:pPr>
      <w:r w:rsidRPr="000C73C6">
        <w:rPr>
          <w:rFonts w:ascii="Arial" w:eastAsia="Arial" w:hAnsi="Arial" w:cs="Arial"/>
          <w:sz w:val="20"/>
          <w:szCs w:val="20"/>
        </w:rPr>
        <w:t xml:space="preserve">Based on the model comparison metrics, the LDA </w:t>
      </w:r>
      <w:r w:rsidR="00A45B5F">
        <w:rPr>
          <w:rFonts w:ascii="Arial" w:eastAsia="Arial" w:hAnsi="Arial" w:cs="Arial"/>
          <w:sz w:val="20"/>
          <w:szCs w:val="20"/>
        </w:rPr>
        <w:t xml:space="preserve">model </w:t>
      </w:r>
      <w:r w:rsidRPr="000C73C6">
        <w:rPr>
          <w:rFonts w:ascii="Arial" w:eastAsia="Arial" w:hAnsi="Arial" w:cs="Arial"/>
          <w:sz w:val="20"/>
          <w:szCs w:val="20"/>
        </w:rPr>
        <w:t xml:space="preserve">identified eight topics related to the benefits of virtual care technologies, including 1) primary care delivery, 2) infection control, 3) reducing contacts, 4) virtual care, 5) timeliness, 6) patient-doctor interaction, 7) convenience and safety, and 8) no answer provided (Figure 2, 1-8). The world clouds (Figure 3, 1-8) serve as an alternative way to illustrate the extracted topics. They contain the ten most frequent terms of each topic in the centre of the cloud, as shown in Figure 2, and beyond that, at the periphery of the cloud, other terms that were mentioned less frequently. </w:t>
      </w:r>
      <w:r w:rsidR="00A45B5F">
        <w:rPr>
          <w:rFonts w:ascii="Arial" w:hAnsi="Arial" w:cs="Arial"/>
          <w:sz w:val="20"/>
          <w:szCs w:val="20"/>
        </w:rPr>
        <w:t>For the topic “primary care delivery” p</w:t>
      </w:r>
      <w:r w:rsidR="00A45B5F" w:rsidRPr="000C73C6">
        <w:rPr>
          <w:rFonts w:ascii="Arial" w:eastAsia="Arial" w:hAnsi="Arial" w:cs="Arial"/>
          <w:sz w:val="20"/>
          <w:szCs w:val="20"/>
        </w:rPr>
        <w:t xml:space="preserve">articularly frequently mentioned terms such as </w:t>
      </w:r>
      <w:r w:rsidR="00A45B5F">
        <w:rPr>
          <w:rFonts w:ascii="Arial" w:eastAsia="Arial" w:hAnsi="Arial" w:cs="Arial"/>
          <w:sz w:val="20"/>
          <w:szCs w:val="20"/>
        </w:rPr>
        <w:t>“</w:t>
      </w:r>
      <w:r w:rsidR="00A45B5F" w:rsidRPr="000C73C6">
        <w:rPr>
          <w:rFonts w:ascii="Arial" w:eastAsia="Arial" w:hAnsi="Arial" w:cs="Arial"/>
          <w:sz w:val="20"/>
          <w:szCs w:val="20"/>
        </w:rPr>
        <w:t>health</w:t>
      </w:r>
      <w:r w:rsidR="00A45B5F">
        <w:rPr>
          <w:rFonts w:ascii="Arial" w:eastAsia="Arial" w:hAnsi="Arial" w:cs="Arial"/>
          <w:sz w:val="20"/>
          <w:szCs w:val="20"/>
        </w:rPr>
        <w:t>”</w:t>
      </w:r>
      <w:r w:rsidR="00A45B5F" w:rsidRPr="000C73C6">
        <w:rPr>
          <w:rFonts w:ascii="Arial" w:eastAsia="Arial" w:hAnsi="Arial" w:cs="Arial"/>
          <w:sz w:val="20"/>
          <w:szCs w:val="20"/>
        </w:rPr>
        <w:t xml:space="preserve">, </w:t>
      </w:r>
      <w:r w:rsidR="00A45B5F">
        <w:rPr>
          <w:rFonts w:ascii="Arial" w:eastAsia="Arial" w:hAnsi="Arial" w:cs="Arial"/>
          <w:sz w:val="20"/>
          <w:szCs w:val="20"/>
        </w:rPr>
        <w:t>“</w:t>
      </w:r>
      <w:r w:rsidR="00A45B5F" w:rsidRPr="000C73C6">
        <w:rPr>
          <w:rFonts w:ascii="Arial" w:eastAsia="Arial" w:hAnsi="Arial" w:cs="Arial"/>
          <w:sz w:val="20"/>
          <w:szCs w:val="20"/>
        </w:rPr>
        <w:t>care</w:t>
      </w:r>
      <w:r w:rsidR="00A45B5F">
        <w:rPr>
          <w:rFonts w:ascii="Arial" w:eastAsia="Arial" w:hAnsi="Arial" w:cs="Arial"/>
          <w:sz w:val="20"/>
          <w:szCs w:val="20"/>
        </w:rPr>
        <w:t>”</w:t>
      </w:r>
      <w:r w:rsidR="00A45B5F" w:rsidRPr="000C73C6">
        <w:rPr>
          <w:rFonts w:ascii="Arial" w:eastAsia="Arial" w:hAnsi="Arial" w:cs="Arial"/>
          <w:sz w:val="20"/>
          <w:szCs w:val="20"/>
        </w:rPr>
        <w:t xml:space="preserve">, </w:t>
      </w:r>
      <w:r w:rsidR="00A45B5F">
        <w:rPr>
          <w:rFonts w:ascii="Arial" w:eastAsia="Arial" w:hAnsi="Arial" w:cs="Arial"/>
          <w:sz w:val="20"/>
          <w:szCs w:val="20"/>
        </w:rPr>
        <w:t>“</w:t>
      </w:r>
      <w:r w:rsidR="00A45B5F" w:rsidRPr="000C73C6">
        <w:rPr>
          <w:rFonts w:ascii="Arial" w:eastAsia="Arial" w:hAnsi="Arial" w:cs="Arial"/>
          <w:sz w:val="20"/>
          <w:szCs w:val="20"/>
        </w:rPr>
        <w:t>benefit</w:t>
      </w:r>
      <w:r w:rsidR="00A45B5F">
        <w:rPr>
          <w:rFonts w:ascii="Arial" w:eastAsia="Arial" w:hAnsi="Arial" w:cs="Arial"/>
          <w:sz w:val="20"/>
          <w:szCs w:val="20"/>
        </w:rPr>
        <w:t>”</w:t>
      </w:r>
      <w:r w:rsidR="00A45B5F" w:rsidRPr="000C73C6">
        <w:rPr>
          <w:rFonts w:ascii="Arial" w:eastAsia="Arial" w:hAnsi="Arial" w:cs="Arial"/>
          <w:sz w:val="20"/>
          <w:szCs w:val="20"/>
        </w:rPr>
        <w:t xml:space="preserve">, </w:t>
      </w:r>
      <w:r w:rsidR="00A45B5F">
        <w:rPr>
          <w:rFonts w:ascii="Arial" w:eastAsia="Arial" w:hAnsi="Arial" w:cs="Arial"/>
          <w:sz w:val="20"/>
          <w:szCs w:val="20"/>
        </w:rPr>
        <w:t>or “</w:t>
      </w:r>
      <w:r w:rsidR="00A45B5F" w:rsidRPr="000C73C6">
        <w:rPr>
          <w:rFonts w:ascii="Arial" w:eastAsia="Arial" w:hAnsi="Arial" w:cs="Arial"/>
          <w:sz w:val="20"/>
          <w:szCs w:val="20"/>
        </w:rPr>
        <w:t>digital</w:t>
      </w:r>
      <w:r w:rsidR="00A45B5F">
        <w:rPr>
          <w:rFonts w:ascii="Arial" w:eastAsia="Arial" w:hAnsi="Arial" w:cs="Arial"/>
          <w:sz w:val="20"/>
          <w:szCs w:val="20"/>
        </w:rPr>
        <w:t>”</w:t>
      </w:r>
      <w:r w:rsidR="00A45B5F" w:rsidRPr="000C73C6">
        <w:rPr>
          <w:rFonts w:ascii="Arial" w:eastAsia="Arial" w:hAnsi="Arial" w:cs="Arial"/>
          <w:sz w:val="20"/>
          <w:szCs w:val="20"/>
        </w:rPr>
        <w:t xml:space="preserve"> are in the centre of the clouds, highlighted in colour and shown in a larger font. Less frequently mentioned terms such as </w:t>
      </w:r>
      <w:r w:rsidR="00A45B5F">
        <w:rPr>
          <w:rFonts w:ascii="Arial" w:eastAsia="Arial" w:hAnsi="Arial" w:cs="Arial"/>
          <w:sz w:val="20"/>
          <w:szCs w:val="20"/>
        </w:rPr>
        <w:t>“</w:t>
      </w:r>
      <w:r w:rsidR="00A45B5F" w:rsidRPr="000C73C6">
        <w:rPr>
          <w:rFonts w:ascii="Arial" w:eastAsia="Arial" w:hAnsi="Arial" w:cs="Arial"/>
          <w:sz w:val="20"/>
          <w:szCs w:val="20"/>
        </w:rPr>
        <w:t>main</w:t>
      </w:r>
      <w:r w:rsidR="00A45B5F">
        <w:rPr>
          <w:rFonts w:ascii="Arial" w:eastAsia="Arial" w:hAnsi="Arial" w:cs="Arial"/>
          <w:sz w:val="20"/>
          <w:szCs w:val="20"/>
        </w:rPr>
        <w:t>”</w:t>
      </w:r>
      <w:r w:rsidR="00A45B5F" w:rsidRPr="000C73C6">
        <w:rPr>
          <w:rFonts w:ascii="Arial" w:eastAsia="Arial" w:hAnsi="Arial" w:cs="Arial"/>
          <w:sz w:val="20"/>
          <w:szCs w:val="20"/>
        </w:rPr>
        <w:t xml:space="preserve">, </w:t>
      </w:r>
      <w:r w:rsidR="00A45B5F">
        <w:rPr>
          <w:rFonts w:ascii="Arial" w:eastAsia="Arial" w:hAnsi="Arial" w:cs="Arial"/>
          <w:sz w:val="20"/>
          <w:szCs w:val="20"/>
        </w:rPr>
        <w:t>“</w:t>
      </w:r>
      <w:r w:rsidR="00A45B5F" w:rsidRPr="000C73C6">
        <w:rPr>
          <w:rFonts w:ascii="Arial" w:eastAsia="Arial" w:hAnsi="Arial" w:cs="Arial"/>
          <w:sz w:val="20"/>
          <w:szCs w:val="20"/>
        </w:rPr>
        <w:t>provider</w:t>
      </w:r>
      <w:r w:rsidR="00A45B5F">
        <w:rPr>
          <w:rFonts w:ascii="Arial" w:eastAsia="Arial" w:hAnsi="Arial" w:cs="Arial"/>
          <w:sz w:val="20"/>
          <w:szCs w:val="20"/>
        </w:rPr>
        <w:t>”</w:t>
      </w:r>
      <w:r w:rsidR="00A45B5F" w:rsidRPr="000C73C6">
        <w:rPr>
          <w:rFonts w:ascii="Arial" w:eastAsia="Arial" w:hAnsi="Arial" w:cs="Arial"/>
          <w:sz w:val="20"/>
          <w:szCs w:val="20"/>
        </w:rPr>
        <w:t xml:space="preserve">, or </w:t>
      </w:r>
      <w:r w:rsidR="00A45B5F">
        <w:rPr>
          <w:rFonts w:ascii="Arial" w:eastAsia="Arial" w:hAnsi="Arial" w:cs="Arial"/>
          <w:sz w:val="20"/>
          <w:szCs w:val="20"/>
        </w:rPr>
        <w:t>“</w:t>
      </w:r>
      <w:r w:rsidR="00A45B5F" w:rsidRPr="000C73C6">
        <w:rPr>
          <w:rFonts w:ascii="Arial" w:eastAsia="Arial" w:hAnsi="Arial" w:cs="Arial"/>
          <w:sz w:val="20"/>
          <w:szCs w:val="20"/>
        </w:rPr>
        <w:t>protect</w:t>
      </w:r>
      <w:r w:rsidR="00A45B5F">
        <w:rPr>
          <w:rFonts w:ascii="Arial" w:eastAsia="Arial" w:hAnsi="Arial" w:cs="Arial"/>
          <w:sz w:val="20"/>
          <w:szCs w:val="20"/>
        </w:rPr>
        <w:t xml:space="preserve">” </w:t>
      </w:r>
      <w:r w:rsidR="00A45B5F" w:rsidRPr="000C73C6">
        <w:rPr>
          <w:rFonts w:ascii="Arial" w:eastAsia="Arial" w:hAnsi="Arial" w:cs="Arial"/>
          <w:sz w:val="20"/>
          <w:szCs w:val="20"/>
        </w:rPr>
        <w:t>are shown towards the edge of the cloud.</w:t>
      </w:r>
    </w:p>
    <w:p w14:paraId="00000050" w14:textId="590A2576" w:rsidR="00920126" w:rsidRPr="000C73C6" w:rsidRDefault="00803966">
      <w:pPr>
        <w:rPr>
          <w:rFonts w:ascii="Arial" w:eastAsia="Arial" w:hAnsi="Arial" w:cs="Arial"/>
          <w:sz w:val="20"/>
          <w:szCs w:val="20"/>
        </w:rPr>
      </w:pPr>
      <w:r w:rsidRPr="000C73C6">
        <w:rPr>
          <w:rFonts w:ascii="Arial" w:eastAsia="Arial" w:hAnsi="Arial" w:cs="Arial"/>
          <w:sz w:val="20"/>
          <w:szCs w:val="20"/>
        </w:rPr>
        <w:t>The statistical analysis (Supplementary Figure 2, 1-4) showed little difference between men and women. When comparing age groups, it was found that the 18–24-year-old group was significantly more likely to mention the topic “infection” than the 35-44 (P=0.006), 45-54 (P=0.005), and 55+ (P&lt;0.001) age groups. They mentioned “timeliness” less than most age groups, however significantly less compared to the 45-54 age group (P=0.02).</w:t>
      </w:r>
      <w:r w:rsidR="00A45B5F">
        <w:rPr>
          <w:rFonts w:ascii="Arial" w:eastAsia="Arial" w:hAnsi="Arial" w:cs="Arial"/>
          <w:sz w:val="20"/>
          <w:szCs w:val="20"/>
        </w:rPr>
        <w:t xml:space="preserve"> </w:t>
      </w:r>
      <w:r w:rsidRPr="000C73C6">
        <w:rPr>
          <w:rFonts w:ascii="Arial" w:eastAsia="Arial" w:hAnsi="Arial" w:cs="Arial"/>
          <w:sz w:val="20"/>
          <w:szCs w:val="20"/>
        </w:rPr>
        <w:t xml:space="preserve">The cross-country comparison showed that the topic “primary care delivery” was mentioned the most by participants from Sweden (UK P=0.007, IT P=0.03, DE P&lt;0.001) and the least by participants from Germany (UK P=0.001, IT P&lt;0.001). Participants from </w:t>
      </w:r>
      <w:r w:rsidRPr="000C73C6">
        <w:rPr>
          <w:rFonts w:ascii="Arial" w:eastAsia="Arial" w:hAnsi="Arial" w:cs="Arial"/>
          <w:sz w:val="20"/>
          <w:szCs w:val="20"/>
        </w:rPr>
        <w:lastRenderedPageBreak/>
        <w:t xml:space="preserve">Sweden also most frequently mentioned the benefit of infection control (UK P&lt;0.001, IT P&lt;0.001, DE P&lt;0.001). Participants from Italy wrote the least about this topic (UK P&lt;0.001, DE P&lt;0.001). Participants from the UK were most likely to write about “virtual care” (SE P&lt;0.001, IT P&lt;0.001, DE P&lt;0.001), while participants from Sweden were least likely (IT P&lt;0.001, DE P=0.04). Participants from Italy wrote the most about "patient-doctor interaction" (UK P&lt;0.001, SE P&lt;0.001, DE P&lt;0.001), while participants from Sweden wrote the least about it (UK P&lt;0.001, DE P&lt;0.001). Participants from Sweden were also the least likely to mention “timeliness” (UK P&lt;0.001, IT P&lt;0.001, DE P&lt;0.001). When comparing eHealth literacy levels, participants with low eHealth literacy significantly less frequently contributed to the topics “virtual care” (P=0.02), “patient-doctor interaction” (P=0.03) and “no answer provided” (P=0.04). </w:t>
      </w:r>
    </w:p>
    <w:p w14:paraId="00000051" w14:textId="77777777" w:rsidR="00920126" w:rsidRPr="000C73C6" w:rsidRDefault="00920126">
      <w:pPr>
        <w:rPr>
          <w:rFonts w:ascii="Arial" w:eastAsia="Arial" w:hAnsi="Arial" w:cs="Arial"/>
          <w:sz w:val="20"/>
          <w:szCs w:val="20"/>
        </w:rPr>
      </w:pPr>
    </w:p>
    <w:p w14:paraId="00000052" w14:textId="77777777" w:rsidR="00920126" w:rsidRPr="000C73C6" w:rsidRDefault="00803966">
      <w:pPr>
        <w:rPr>
          <w:rFonts w:ascii="Arial" w:eastAsia="Arial" w:hAnsi="Arial" w:cs="Arial"/>
          <w:sz w:val="20"/>
          <w:szCs w:val="20"/>
        </w:rPr>
      </w:pPr>
      <w:r w:rsidRPr="000C73C6">
        <w:rPr>
          <w:rFonts w:ascii="Arial" w:eastAsia="Arial" w:hAnsi="Arial" w:cs="Arial"/>
          <w:b/>
          <w:sz w:val="20"/>
          <w:szCs w:val="20"/>
        </w:rPr>
        <w:t>Figure 2:</w:t>
      </w:r>
      <w:r w:rsidRPr="000C73C6">
        <w:rPr>
          <w:rFonts w:ascii="Arial" w:eastAsia="Arial" w:hAnsi="Arial" w:cs="Arial"/>
          <w:sz w:val="20"/>
          <w:szCs w:val="20"/>
        </w:rPr>
        <w:t xml:space="preserve"> The bar graphs 1-8 depict the results of the eight-topic LDA regarding the benefits of virtual primary care; with the topic labels identified by the researchers and the ten most frequently mentioned terms (one-gram and two-gram) for each topic. Beta = probability distribution. </w:t>
      </w:r>
    </w:p>
    <w:p w14:paraId="00000053" w14:textId="77777777" w:rsidR="00920126" w:rsidRPr="000C73C6" w:rsidRDefault="00920126">
      <w:pPr>
        <w:rPr>
          <w:rFonts w:ascii="Arial" w:eastAsia="Arial" w:hAnsi="Arial" w:cs="Arial"/>
          <w:sz w:val="20"/>
          <w:szCs w:val="20"/>
        </w:rPr>
      </w:pPr>
    </w:p>
    <w:p w14:paraId="00000054" w14:textId="77777777" w:rsidR="00920126" w:rsidRPr="000C73C6" w:rsidRDefault="00803966">
      <w:pPr>
        <w:rPr>
          <w:rFonts w:ascii="Arial" w:eastAsia="Arial" w:hAnsi="Arial" w:cs="Arial"/>
          <w:sz w:val="20"/>
          <w:szCs w:val="20"/>
        </w:rPr>
      </w:pPr>
      <w:r w:rsidRPr="000C73C6">
        <w:rPr>
          <w:rFonts w:ascii="Arial" w:eastAsia="Arial" w:hAnsi="Arial" w:cs="Arial"/>
          <w:b/>
          <w:sz w:val="20"/>
          <w:szCs w:val="20"/>
        </w:rPr>
        <w:t>Figure 3.</w:t>
      </w:r>
      <w:r w:rsidRPr="000C73C6">
        <w:rPr>
          <w:rFonts w:ascii="Arial" w:eastAsia="Arial" w:hAnsi="Arial" w:cs="Arial"/>
          <w:sz w:val="20"/>
          <w:szCs w:val="20"/>
        </w:rPr>
        <w:t xml:space="preserve"> Word clouds (1-8) corresponding to each topic identified by the LDA regarding the benefits of virtual care. </w:t>
      </w:r>
    </w:p>
    <w:p w14:paraId="00000055" w14:textId="77777777" w:rsidR="00920126" w:rsidRPr="000C73C6" w:rsidRDefault="00920126">
      <w:pPr>
        <w:rPr>
          <w:rFonts w:ascii="Arial" w:eastAsia="Arial" w:hAnsi="Arial" w:cs="Arial"/>
          <w:sz w:val="20"/>
          <w:szCs w:val="20"/>
        </w:rPr>
      </w:pPr>
    </w:p>
    <w:p w14:paraId="00000056" w14:textId="77777777" w:rsidR="00920126" w:rsidRPr="000C73C6" w:rsidRDefault="00803966">
      <w:pPr>
        <w:rPr>
          <w:rFonts w:ascii="Arial" w:eastAsia="Arial" w:hAnsi="Arial" w:cs="Arial"/>
          <w:i/>
          <w:sz w:val="20"/>
          <w:szCs w:val="20"/>
        </w:rPr>
      </w:pPr>
      <w:r w:rsidRPr="000C73C6">
        <w:rPr>
          <w:rFonts w:ascii="Arial" w:eastAsia="Arial" w:hAnsi="Arial" w:cs="Arial"/>
          <w:i/>
          <w:sz w:val="20"/>
          <w:szCs w:val="20"/>
        </w:rPr>
        <w:t xml:space="preserve">Challenges of virtual primary care </w:t>
      </w:r>
    </w:p>
    <w:p w14:paraId="00000057" w14:textId="6A42337A" w:rsidR="00920126" w:rsidRPr="000C73C6" w:rsidRDefault="00803966">
      <w:pPr>
        <w:rPr>
          <w:rFonts w:ascii="Arial" w:eastAsia="Arial" w:hAnsi="Arial" w:cs="Arial"/>
          <w:sz w:val="20"/>
          <w:szCs w:val="20"/>
        </w:rPr>
      </w:pPr>
      <w:r w:rsidRPr="000C73C6">
        <w:rPr>
          <w:rFonts w:ascii="Arial" w:eastAsia="Arial" w:hAnsi="Arial" w:cs="Arial"/>
          <w:sz w:val="20"/>
          <w:szCs w:val="20"/>
          <w:highlight w:val="white"/>
        </w:rPr>
        <w:t xml:space="preserve">The eight topics identified by the LDA </w:t>
      </w:r>
      <w:r w:rsidR="006F7DBE">
        <w:rPr>
          <w:rFonts w:ascii="Arial" w:eastAsia="Arial" w:hAnsi="Arial" w:cs="Arial"/>
          <w:sz w:val="20"/>
          <w:szCs w:val="20"/>
          <w:highlight w:val="white"/>
        </w:rPr>
        <w:t>concerning</w:t>
      </w:r>
      <w:r w:rsidRPr="000C73C6">
        <w:rPr>
          <w:rFonts w:ascii="Arial" w:eastAsia="Arial" w:hAnsi="Arial" w:cs="Arial"/>
          <w:sz w:val="20"/>
          <w:szCs w:val="20"/>
          <w:highlight w:val="white"/>
        </w:rPr>
        <w:t xml:space="preserve"> challenges of virtual care technologies were 1) diagnostic difficulties, 2) physical examination, 3) digital health risks, 4) technical challenges, 5) virtual care, 6) data security and protection, 7) lack of personal contact and 8) no answer provided (Figure 4,1-8). As described above, the word clouds (Figure 5, 1-8) provide an alternative visual representation of the topics identified by the LDA in </w:t>
      </w:r>
      <w:r w:rsidR="006F7DBE">
        <w:rPr>
          <w:rFonts w:ascii="Arial" w:eastAsia="Arial" w:hAnsi="Arial" w:cs="Arial"/>
          <w:sz w:val="20"/>
          <w:szCs w:val="20"/>
          <w:highlight w:val="white"/>
        </w:rPr>
        <w:t>F</w:t>
      </w:r>
      <w:r w:rsidRPr="000C73C6">
        <w:rPr>
          <w:rFonts w:ascii="Arial" w:eastAsia="Arial" w:hAnsi="Arial" w:cs="Arial"/>
          <w:sz w:val="20"/>
          <w:szCs w:val="20"/>
          <w:highlight w:val="white"/>
        </w:rPr>
        <w:t>igure 4 showing additional, less frequently mentioned terms of the clusters at the edges of the clouds</w:t>
      </w:r>
      <w:r w:rsidR="00A45B5F">
        <w:rPr>
          <w:rFonts w:ascii="Arial" w:eastAsia="Arial" w:hAnsi="Arial" w:cs="Arial"/>
          <w:sz w:val="20"/>
          <w:szCs w:val="20"/>
        </w:rPr>
        <w:t xml:space="preserve">. </w:t>
      </w:r>
    </w:p>
    <w:p w14:paraId="00000059" w14:textId="3AEF2B70" w:rsidR="00920126" w:rsidRPr="000C73C6" w:rsidRDefault="00803966">
      <w:pPr>
        <w:rPr>
          <w:rFonts w:ascii="Arial" w:eastAsia="Arial" w:hAnsi="Arial" w:cs="Arial"/>
          <w:sz w:val="20"/>
          <w:szCs w:val="20"/>
        </w:rPr>
      </w:pPr>
      <w:r w:rsidRPr="000C73C6">
        <w:rPr>
          <w:rFonts w:ascii="Arial" w:eastAsia="Arial" w:hAnsi="Arial" w:cs="Arial"/>
          <w:sz w:val="20"/>
          <w:szCs w:val="20"/>
        </w:rPr>
        <w:t>The statistical analysis (Supplementary Figure 3, 1-4) indicated that women were significantly (P=0.008) less likely to mention “technical challenges” than men. A comparison of age groups showed that 25–34-year-olds had a peak in responses to the topic “physical examination”, which was significantly higher compared to the 45-54 (P=0.03) and 55+ (P=0.01) age groups. The over-55-year-olds were significantly more likely to write about “virtual care” compared to the 25-34 (P=0.004)</w:t>
      </w:r>
      <w:r w:rsidR="006F7DBE">
        <w:rPr>
          <w:rFonts w:ascii="Arial" w:eastAsia="Arial" w:hAnsi="Arial" w:cs="Arial"/>
          <w:sz w:val="20"/>
          <w:szCs w:val="20"/>
        </w:rPr>
        <w:t xml:space="preserve"> and </w:t>
      </w:r>
      <w:r w:rsidRPr="000C73C6">
        <w:rPr>
          <w:rFonts w:ascii="Arial" w:eastAsia="Arial" w:hAnsi="Arial" w:cs="Arial"/>
          <w:sz w:val="20"/>
          <w:szCs w:val="20"/>
        </w:rPr>
        <w:t>35-44 (P&lt;0.001) age groups.</w:t>
      </w:r>
      <w:r w:rsidR="00A45B5F">
        <w:rPr>
          <w:rFonts w:ascii="Arial" w:eastAsia="Arial" w:hAnsi="Arial" w:cs="Arial"/>
          <w:sz w:val="20"/>
          <w:szCs w:val="20"/>
        </w:rPr>
        <w:t xml:space="preserve"> </w:t>
      </w:r>
      <w:r w:rsidRPr="000C73C6">
        <w:rPr>
          <w:rFonts w:ascii="Arial" w:eastAsia="Arial" w:hAnsi="Arial" w:cs="Arial"/>
          <w:sz w:val="20"/>
          <w:szCs w:val="20"/>
        </w:rPr>
        <w:t>The cross-country comparison showed that participants from Sweden mentioned “diagnostic difficulties” (UK P=0.009, IT P&lt;0.001, DE P&lt;0.001), participants from the UK “virtual care” (IT P=0.02, SE P=0.001, DE P&lt;0.001) and participants from Germany “data security and protection” (UK P&lt;0.001, IT P=0.019, SE P&lt;0.001) significantly more often than participants from other countries. When comparing eHealth literacy, participants with low eHealth literacy were significantly less likely to contribute to the topic “virtual care (P=0.047).</w:t>
      </w:r>
    </w:p>
    <w:p w14:paraId="0000005A" w14:textId="77777777" w:rsidR="00920126" w:rsidRPr="000C73C6" w:rsidRDefault="00920126">
      <w:pPr>
        <w:rPr>
          <w:rFonts w:ascii="Arial" w:eastAsia="Arial" w:hAnsi="Arial" w:cs="Arial"/>
          <w:sz w:val="20"/>
          <w:szCs w:val="20"/>
        </w:rPr>
      </w:pPr>
    </w:p>
    <w:p w14:paraId="0000005B" w14:textId="77777777" w:rsidR="00920126" w:rsidRPr="000C73C6" w:rsidRDefault="00803966">
      <w:pPr>
        <w:rPr>
          <w:rFonts w:ascii="Arial" w:eastAsia="Arial" w:hAnsi="Arial" w:cs="Arial"/>
          <w:sz w:val="20"/>
          <w:szCs w:val="20"/>
        </w:rPr>
      </w:pPr>
      <w:r w:rsidRPr="000C73C6">
        <w:rPr>
          <w:rFonts w:ascii="Arial" w:eastAsia="Arial" w:hAnsi="Arial" w:cs="Arial"/>
          <w:b/>
          <w:sz w:val="20"/>
          <w:szCs w:val="20"/>
        </w:rPr>
        <w:t>Figure 4:</w:t>
      </w:r>
      <w:r w:rsidRPr="000C73C6">
        <w:rPr>
          <w:rFonts w:ascii="Arial" w:eastAsia="Arial" w:hAnsi="Arial" w:cs="Arial"/>
          <w:sz w:val="20"/>
          <w:szCs w:val="20"/>
        </w:rPr>
        <w:t xml:space="preserve"> The bar graphs 1-8 depict the results of the eight-topic LDA regarding the challenges of virtual primary care; with the topic labels identified by the researchers and the ten most frequently mentioned terms (one-gram and two-gram) for each topic. Beta = probability distribution. </w:t>
      </w:r>
    </w:p>
    <w:p w14:paraId="0000005C" w14:textId="77777777" w:rsidR="00920126" w:rsidRPr="000C73C6" w:rsidRDefault="00920126">
      <w:pPr>
        <w:rPr>
          <w:rFonts w:ascii="Arial" w:hAnsi="Arial" w:cs="Arial"/>
          <w:sz w:val="20"/>
          <w:szCs w:val="20"/>
        </w:rPr>
      </w:pPr>
    </w:p>
    <w:p w14:paraId="0000005D" w14:textId="77777777" w:rsidR="00920126" w:rsidRPr="000C73C6" w:rsidRDefault="00803966">
      <w:pPr>
        <w:rPr>
          <w:rFonts w:ascii="Arial" w:eastAsia="Arial" w:hAnsi="Arial" w:cs="Arial"/>
          <w:sz w:val="20"/>
          <w:szCs w:val="20"/>
        </w:rPr>
      </w:pPr>
      <w:r w:rsidRPr="000C73C6">
        <w:rPr>
          <w:rFonts w:ascii="Arial" w:eastAsia="Arial" w:hAnsi="Arial" w:cs="Arial"/>
          <w:b/>
          <w:sz w:val="20"/>
          <w:szCs w:val="20"/>
        </w:rPr>
        <w:t>Figure 5:</w:t>
      </w:r>
      <w:r w:rsidRPr="000C73C6">
        <w:rPr>
          <w:rFonts w:ascii="Arial" w:eastAsia="Arial" w:hAnsi="Arial" w:cs="Arial"/>
          <w:sz w:val="20"/>
          <w:szCs w:val="20"/>
        </w:rPr>
        <w:t xml:space="preserve"> Word clouds (1-8) corresponding to each topic identified by the LDA regarding the challenges of virtual care.</w:t>
      </w:r>
    </w:p>
    <w:p w14:paraId="0000005E" w14:textId="77777777" w:rsidR="00920126" w:rsidRPr="000C73C6" w:rsidRDefault="00920126">
      <w:pPr>
        <w:rPr>
          <w:rFonts w:ascii="Arial" w:hAnsi="Arial" w:cs="Arial"/>
          <w:sz w:val="20"/>
          <w:szCs w:val="20"/>
        </w:rPr>
      </w:pPr>
    </w:p>
    <w:p w14:paraId="0000005F" w14:textId="2903741D" w:rsidR="00920126" w:rsidRPr="000C73C6" w:rsidRDefault="00803966">
      <w:pPr>
        <w:rPr>
          <w:rFonts w:ascii="Arial" w:hAnsi="Arial" w:cs="Arial"/>
          <w:sz w:val="20"/>
          <w:szCs w:val="20"/>
        </w:rPr>
      </w:pPr>
      <w:r w:rsidRPr="000C73C6">
        <w:rPr>
          <w:rFonts w:ascii="Arial" w:hAnsi="Arial" w:cs="Arial"/>
          <w:sz w:val="20"/>
          <w:szCs w:val="20"/>
        </w:rPr>
        <w:t>Sensitivity analysis</w:t>
      </w:r>
    </w:p>
    <w:p w14:paraId="00000060" w14:textId="54EC0F15" w:rsidR="00920126" w:rsidRPr="000C73C6" w:rsidRDefault="00803966">
      <w:pPr>
        <w:rPr>
          <w:rFonts w:ascii="Arial" w:hAnsi="Arial" w:cs="Arial"/>
          <w:sz w:val="20"/>
          <w:szCs w:val="20"/>
        </w:rPr>
      </w:pPr>
      <w:r w:rsidRPr="000C73C6">
        <w:rPr>
          <w:rFonts w:ascii="Arial" w:hAnsi="Arial" w:cs="Arial"/>
          <w:sz w:val="20"/>
          <w:szCs w:val="20"/>
        </w:rPr>
        <w:t xml:space="preserve">The sensitivity analysis allowed an assessment of the impact of varying the number of topics of the LDA model on the quality and interpretability of the identified topics. When focusing on the benefits of virtual care technologies, an exploration of nine topics resulted in a new topic “health services” and some minor modification in the probabilities of </w:t>
      </w:r>
      <w:r w:rsidR="00A45B5F">
        <w:rPr>
          <w:rFonts w:ascii="Arial" w:hAnsi="Arial" w:cs="Arial"/>
          <w:sz w:val="20"/>
          <w:szCs w:val="20"/>
        </w:rPr>
        <w:t xml:space="preserve">the </w:t>
      </w:r>
      <w:r w:rsidRPr="000C73C6">
        <w:rPr>
          <w:rFonts w:ascii="Arial" w:hAnsi="Arial" w:cs="Arial"/>
          <w:sz w:val="20"/>
          <w:szCs w:val="20"/>
        </w:rPr>
        <w:t xml:space="preserve">top terms for each topic, while maintaining consistency of the topic headlines (Supplementary Figure 4.1). Increasing the number to ten topics introduced two new topics, namely “keeping safe at home” and “avoiding contact in surgery” (Supplementary Figure 4.2). </w:t>
      </w:r>
    </w:p>
    <w:p w14:paraId="00000061" w14:textId="4365CE08" w:rsidR="00920126" w:rsidRPr="000C73C6" w:rsidRDefault="00803966">
      <w:pPr>
        <w:rPr>
          <w:rFonts w:ascii="Arial" w:hAnsi="Arial" w:cs="Arial"/>
          <w:sz w:val="20"/>
          <w:szCs w:val="20"/>
        </w:rPr>
      </w:pPr>
      <w:r w:rsidRPr="000C73C6">
        <w:rPr>
          <w:rFonts w:ascii="Arial" w:hAnsi="Arial" w:cs="Arial"/>
          <w:sz w:val="20"/>
          <w:szCs w:val="20"/>
        </w:rPr>
        <w:t>Regarding the challenges of virtual care, the exploration of an LDA model with nine topics introduced two additional topics, namely “digital access” and “patient</w:t>
      </w:r>
      <w:r w:rsidR="00A45B5F">
        <w:rPr>
          <w:rFonts w:ascii="Arial" w:hAnsi="Arial" w:cs="Arial"/>
          <w:sz w:val="20"/>
          <w:szCs w:val="20"/>
        </w:rPr>
        <w:t>-</w:t>
      </w:r>
      <w:r w:rsidRPr="000C73C6">
        <w:rPr>
          <w:rFonts w:ascii="Arial" w:hAnsi="Arial" w:cs="Arial"/>
          <w:sz w:val="20"/>
          <w:szCs w:val="20"/>
        </w:rPr>
        <w:t xml:space="preserve">doctor interaction”. The latter topic </w:t>
      </w:r>
      <w:r w:rsidR="00A45B5F" w:rsidRPr="000C73C6">
        <w:rPr>
          <w:rFonts w:ascii="Arial" w:hAnsi="Arial" w:cs="Arial"/>
          <w:sz w:val="20"/>
          <w:szCs w:val="20"/>
        </w:rPr>
        <w:t>highlight</w:t>
      </w:r>
      <w:r w:rsidR="00A45B5F">
        <w:rPr>
          <w:rFonts w:ascii="Arial" w:hAnsi="Arial" w:cs="Arial"/>
          <w:sz w:val="20"/>
          <w:szCs w:val="20"/>
        </w:rPr>
        <w:t>s</w:t>
      </w:r>
      <w:r w:rsidRPr="000C73C6">
        <w:rPr>
          <w:rFonts w:ascii="Arial" w:hAnsi="Arial" w:cs="Arial"/>
          <w:sz w:val="20"/>
          <w:szCs w:val="20"/>
        </w:rPr>
        <w:t xml:space="preserve"> the challenge of missing symptoms due to the absence of thorough physical examinations. Simultaneously, the topic “digital health risks” disappeared. However, increasing the number of topics to ten, reintroduced the </w:t>
      </w:r>
      <w:r w:rsidR="00A45B5F">
        <w:rPr>
          <w:rFonts w:ascii="Arial" w:hAnsi="Arial" w:cs="Arial"/>
          <w:sz w:val="20"/>
          <w:szCs w:val="20"/>
        </w:rPr>
        <w:t xml:space="preserve">latter </w:t>
      </w:r>
      <w:r w:rsidRPr="000C73C6">
        <w:rPr>
          <w:rFonts w:ascii="Arial" w:hAnsi="Arial" w:cs="Arial"/>
          <w:sz w:val="20"/>
          <w:szCs w:val="20"/>
        </w:rPr>
        <w:t xml:space="preserve">topic (Supplementary Figure 5.2). </w:t>
      </w:r>
    </w:p>
    <w:p w14:paraId="00000062" w14:textId="15F14ABC" w:rsidR="00920126" w:rsidRPr="000C73C6" w:rsidRDefault="00803966">
      <w:pPr>
        <w:rPr>
          <w:rFonts w:ascii="Arial" w:hAnsi="Arial" w:cs="Arial"/>
          <w:sz w:val="20"/>
          <w:szCs w:val="20"/>
        </w:rPr>
      </w:pPr>
      <w:r w:rsidRPr="000C73C6">
        <w:rPr>
          <w:rFonts w:ascii="Arial" w:hAnsi="Arial" w:cs="Arial"/>
          <w:sz w:val="20"/>
          <w:szCs w:val="20"/>
        </w:rPr>
        <w:t xml:space="preserve">Interpretation of the </w:t>
      </w:r>
      <w:r w:rsidR="00A45B5F">
        <w:rPr>
          <w:rFonts w:ascii="Arial" w:hAnsi="Arial" w:cs="Arial"/>
          <w:sz w:val="20"/>
          <w:szCs w:val="20"/>
        </w:rPr>
        <w:t>connection between the terms</w:t>
      </w:r>
      <w:r w:rsidRPr="000C73C6">
        <w:rPr>
          <w:rFonts w:ascii="Arial" w:hAnsi="Arial" w:cs="Arial"/>
          <w:sz w:val="20"/>
          <w:szCs w:val="20"/>
        </w:rPr>
        <w:t xml:space="preserve"> became increasingly difficult with the exploration of a higher number of topics as the topic boundaries became less distinct. For example, labelling “avoiding contact in surgery” was difficult, as the </w:t>
      </w:r>
      <w:r w:rsidR="00A45B5F">
        <w:rPr>
          <w:rFonts w:ascii="Arial" w:hAnsi="Arial" w:cs="Arial"/>
          <w:sz w:val="20"/>
          <w:szCs w:val="20"/>
        </w:rPr>
        <w:t>terms</w:t>
      </w:r>
      <w:r w:rsidRPr="000C73C6">
        <w:rPr>
          <w:rFonts w:ascii="Arial" w:hAnsi="Arial" w:cs="Arial"/>
          <w:sz w:val="20"/>
          <w:szCs w:val="20"/>
        </w:rPr>
        <w:t xml:space="preserve"> “people”, “surgery”, </w:t>
      </w:r>
      <w:r w:rsidR="006F7DBE">
        <w:rPr>
          <w:rFonts w:ascii="Arial" w:hAnsi="Arial" w:cs="Arial"/>
          <w:sz w:val="20"/>
          <w:szCs w:val="20"/>
        </w:rPr>
        <w:t xml:space="preserve">and </w:t>
      </w:r>
      <w:r w:rsidRPr="000C73C6">
        <w:rPr>
          <w:rFonts w:ascii="Arial" w:hAnsi="Arial" w:cs="Arial"/>
          <w:sz w:val="20"/>
          <w:szCs w:val="20"/>
        </w:rPr>
        <w:t>“infect” per se d</w:t>
      </w:r>
      <w:r w:rsidR="00A45B5F">
        <w:rPr>
          <w:rFonts w:ascii="Arial" w:hAnsi="Arial" w:cs="Arial"/>
          <w:sz w:val="20"/>
          <w:szCs w:val="20"/>
        </w:rPr>
        <w:t>o</w:t>
      </w:r>
      <w:r w:rsidRPr="000C73C6">
        <w:rPr>
          <w:rFonts w:ascii="Arial" w:hAnsi="Arial" w:cs="Arial"/>
          <w:sz w:val="20"/>
          <w:szCs w:val="20"/>
        </w:rPr>
        <w:t xml:space="preserve"> not suggest a straightforward </w:t>
      </w:r>
      <w:r w:rsidR="00A45B5F">
        <w:rPr>
          <w:rFonts w:ascii="Arial" w:hAnsi="Arial" w:cs="Arial"/>
          <w:sz w:val="20"/>
          <w:szCs w:val="20"/>
        </w:rPr>
        <w:t>context</w:t>
      </w:r>
      <w:r w:rsidRPr="000C73C6">
        <w:rPr>
          <w:rFonts w:ascii="Arial" w:hAnsi="Arial" w:cs="Arial"/>
          <w:sz w:val="20"/>
          <w:szCs w:val="20"/>
        </w:rPr>
        <w:t xml:space="preserve">. The topic thus also </w:t>
      </w:r>
      <w:r w:rsidR="00A45B5F">
        <w:rPr>
          <w:rFonts w:ascii="Arial" w:hAnsi="Arial" w:cs="Arial"/>
          <w:sz w:val="20"/>
          <w:szCs w:val="20"/>
        </w:rPr>
        <w:t>overlaps</w:t>
      </w:r>
      <w:r w:rsidRPr="000C73C6">
        <w:rPr>
          <w:rFonts w:ascii="Arial" w:hAnsi="Arial" w:cs="Arial"/>
          <w:sz w:val="20"/>
          <w:szCs w:val="20"/>
        </w:rPr>
        <w:t xml:space="preserve"> with</w:t>
      </w:r>
      <w:r w:rsidR="00A45B5F">
        <w:rPr>
          <w:rFonts w:ascii="Arial" w:hAnsi="Arial" w:cs="Arial"/>
          <w:sz w:val="20"/>
          <w:szCs w:val="20"/>
        </w:rPr>
        <w:t xml:space="preserve"> the topic</w:t>
      </w:r>
      <w:r w:rsidRPr="000C73C6">
        <w:rPr>
          <w:rFonts w:ascii="Arial" w:hAnsi="Arial" w:cs="Arial"/>
          <w:sz w:val="20"/>
          <w:szCs w:val="20"/>
        </w:rPr>
        <w:t xml:space="preserve"> “reducing contacts” </w:t>
      </w:r>
      <w:r w:rsidR="00A45B5F">
        <w:rPr>
          <w:rFonts w:ascii="Arial" w:hAnsi="Arial" w:cs="Arial"/>
          <w:sz w:val="20"/>
          <w:szCs w:val="20"/>
        </w:rPr>
        <w:t xml:space="preserve">which raises the </w:t>
      </w:r>
      <w:r w:rsidR="00A45B5F">
        <w:rPr>
          <w:rFonts w:ascii="Arial" w:hAnsi="Arial" w:cs="Arial"/>
          <w:sz w:val="20"/>
          <w:szCs w:val="20"/>
        </w:rPr>
        <w:lastRenderedPageBreak/>
        <w:t>question</w:t>
      </w:r>
      <w:r w:rsidRPr="000C73C6">
        <w:rPr>
          <w:rFonts w:ascii="Arial" w:hAnsi="Arial" w:cs="Arial"/>
          <w:sz w:val="20"/>
          <w:szCs w:val="20"/>
        </w:rPr>
        <w:t xml:space="preserve"> </w:t>
      </w:r>
      <w:r w:rsidR="006F7DBE">
        <w:rPr>
          <w:rFonts w:ascii="Arial" w:hAnsi="Arial" w:cs="Arial"/>
          <w:sz w:val="20"/>
          <w:szCs w:val="20"/>
        </w:rPr>
        <w:t xml:space="preserve">of </w:t>
      </w:r>
      <w:r w:rsidRPr="000C73C6">
        <w:rPr>
          <w:rFonts w:ascii="Arial" w:hAnsi="Arial" w:cs="Arial"/>
          <w:sz w:val="20"/>
          <w:szCs w:val="20"/>
        </w:rPr>
        <w:t xml:space="preserve">whether it is </w:t>
      </w:r>
      <w:r w:rsidR="006F7DBE">
        <w:rPr>
          <w:rFonts w:ascii="Arial" w:hAnsi="Arial" w:cs="Arial"/>
          <w:sz w:val="20"/>
          <w:szCs w:val="20"/>
        </w:rPr>
        <w:t xml:space="preserve">a </w:t>
      </w:r>
      <w:r w:rsidRPr="000C73C6">
        <w:rPr>
          <w:rFonts w:ascii="Arial" w:hAnsi="Arial" w:cs="Arial"/>
          <w:sz w:val="20"/>
          <w:szCs w:val="20"/>
        </w:rPr>
        <w:t xml:space="preserve">meaningful, coherent, distinct theme (Supplementary Figure 4.2). Similarly, within the challenges, </w:t>
      </w:r>
      <w:r w:rsidR="00A45B5F">
        <w:rPr>
          <w:rFonts w:ascii="Arial" w:hAnsi="Arial" w:cs="Arial"/>
          <w:sz w:val="20"/>
          <w:szCs w:val="20"/>
        </w:rPr>
        <w:t xml:space="preserve">labelling </w:t>
      </w:r>
      <w:r w:rsidRPr="000C73C6">
        <w:rPr>
          <w:rFonts w:ascii="Arial" w:hAnsi="Arial" w:cs="Arial"/>
          <w:sz w:val="20"/>
          <w:szCs w:val="20"/>
        </w:rPr>
        <w:t xml:space="preserve">the topic “patient-doctor interaction” </w:t>
      </w:r>
      <w:r w:rsidR="00A45B5F">
        <w:rPr>
          <w:rFonts w:ascii="Arial" w:hAnsi="Arial" w:cs="Arial"/>
          <w:sz w:val="20"/>
          <w:szCs w:val="20"/>
        </w:rPr>
        <w:t>was difficult as the terms</w:t>
      </w:r>
      <w:r w:rsidRPr="000C73C6">
        <w:rPr>
          <w:rFonts w:ascii="Arial" w:hAnsi="Arial" w:cs="Arial"/>
          <w:sz w:val="20"/>
          <w:szCs w:val="20"/>
        </w:rPr>
        <w:t xml:space="preserve"> “patient” and “doctor” d</w:t>
      </w:r>
      <w:r w:rsidR="00A45B5F">
        <w:rPr>
          <w:rFonts w:ascii="Arial" w:hAnsi="Arial" w:cs="Arial"/>
          <w:sz w:val="20"/>
          <w:szCs w:val="20"/>
        </w:rPr>
        <w:t>o</w:t>
      </w:r>
      <w:r w:rsidRPr="000C73C6">
        <w:rPr>
          <w:rFonts w:ascii="Arial" w:hAnsi="Arial" w:cs="Arial"/>
          <w:sz w:val="20"/>
          <w:szCs w:val="20"/>
        </w:rPr>
        <w:t xml:space="preserve"> not signify a challenge. </w:t>
      </w:r>
      <w:r w:rsidR="006F7DBE">
        <w:rPr>
          <w:rFonts w:ascii="Arial" w:hAnsi="Arial" w:cs="Arial"/>
          <w:sz w:val="20"/>
          <w:szCs w:val="20"/>
        </w:rPr>
        <w:t xml:space="preserve">Other </w:t>
      </w:r>
      <w:r w:rsidR="00A45B5F">
        <w:rPr>
          <w:rFonts w:ascii="Arial" w:hAnsi="Arial" w:cs="Arial"/>
          <w:sz w:val="20"/>
          <w:szCs w:val="20"/>
        </w:rPr>
        <w:t>terms</w:t>
      </w:r>
      <w:r w:rsidRPr="000C73C6">
        <w:rPr>
          <w:rFonts w:ascii="Arial" w:hAnsi="Arial" w:cs="Arial"/>
          <w:sz w:val="20"/>
          <w:szCs w:val="20"/>
        </w:rPr>
        <w:t xml:space="preserve"> such as “examine”, “assess”, </w:t>
      </w:r>
      <w:r w:rsidR="006F7DBE">
        <w:rPr>
          <w:rFonts w:ascii="Arial" w:hAnsi="Arial" w:cs="Arial"/>
          <w:sz w:val="20"/>
          <w:szCs w:val="20"/>
        </w:rPr>
        <w:t xml:space="preserve">and </w:t>
      </w:r>
      <w:r w:rsidRPr="000C73C6">
        <w:rPr>
          <w:rFonts w:ascii="Arial" w:hAnsi="Arial" w:cs="Arial"/>
          <w:sz w:val="20"/>
          <w:szCs w:val="20"/>
        </w:rPr>
        <w:t xml:space="preserve">“physically” </w:t>
      </w:r>
      <w:r w:rsidR="00A45B5F">
        <w:rPr>
          <w:rFonts w:ascii="Arial" w:hAnsi="Arial" w:cs="Arial"/>
          <w:sz w:val="20"/>
          <w:szCs w:val="20"/>
        </w:rPr>
        <w:t>can</w:t>
      </w:r>
      <w:r w:rsidRPr="000C73C6">
        <w:rPr>
          <w:rFonts w:ascii="Arial" w:hAnsi="Arial" w:cs="Arial"/>
          <w:sz w:val="20"/>
          <w:szCs w:val="20"/>
        </w:rPr>
        <w:t xml:space="preserve"> also associated with other topics such as “physical examination” and “diagnostic difficulties”. </w:t>
      </w:r>
    </w:p>
    <w:p w14:paraId="00000063" w14:textId="77777777" w:rsidR="00920126" w:rsidRPr="000C73C6" w:rsidRDefault="00920126">
      <w:pPr>
        <w:rPr>
          <w:rFonts w:ascii="Arial" w:hAnsi="Arial" w:cs="Arial"/>
          <w:sz w:val="20"/>
          <w:szCs w:val="20"/>
        </w:rPr>
      </w:pPr>
    </w:p>
    <w:p w14:paraId="00000064" w14:textId="77777777" w:rsidR="00920126" w:rsidRPr="000C73C6" w:rsidRDefault="00803966">
      <w:pPr>
        <w:rPr>
          <w:rFonts w:ascii="Arial" w:eastAsia="Arial" w:hAnsi="Arial" w:cs="Arial"/>
          <w:b/>
          <w:sz w:val="20"/>
          <w:szCs w:val="20"/>
        </w:rPr>
      </w:pPr>
      <w:bookmarkStart w:id="2" w:name="_heading=h.tyjcwt" w:colFirst="0" w:colLast="0"/>
      <w:bookmarkEnd w:id="2"/>
      <w:r w:rsidRPr="000C73C6">
        <w:rPr>
          <w:rFonts w:ascii="Arial" w:hAnsi="Arial" w:cs="Arial"/>
          <w:sz w:val="20"/>
          <w:szCs w:val="20"/>
        </w:rPr>
        <w:br w:type="page"/>
      </w:r>
    </w:p>
    <w:p w14:paraId="00000065" w14:textId="77777777" w:rsidR="00920126" w:rsidRPr="000C73C6" w:rsidRDefault="00803966">
      <w:pPr>
        <w:pStyle w:val="Heading1"/>
        <w:rPr>
          <w:rFonts w:ascii="Arial" w:eastAsia="Arial" w:hAnsi="Arial" w:cs="Arial"/>
          <w:i/>
          <w:sz w:val="20"/>
          <w:szCs w:val="20"/>
        </w:rPr>
      </w:pPr>
      <w:r w:rsidRPr="000C73C6">
        <w:rPr>
          <w:rFonts w:ascii="Arial" w:eastAsia="Arial" w:hAnsi="Arial" w:cs="Arial"/>
          <w:sz w:val="20"/>
          <w:szCs w:val="20"/>
        </w:rPr>
        <w:lastRenderedPageBreak/>
        <w:t>Discussion</w:t>
      </w:r>
    </w:p>
    <w:p w14:paraId="00000066" w14:textId="77777777" w:rsidR="00920126" w:rsidRPr="000C73C6" w:rsidRDefault="00803966">
      <w:pPr>
        <w:rPr>
          <w:rFonts w:ascii="Arial" w:hAnsi="Arial" w:cs="Arial"/>
          <w:sz w:val="20"/>
          <w:szCs w:val="20"/>
        </w:rPr>
      </w:pPr>
      <w:r w:rsidRPr="000C73C6">
        <w:rPr>
          <w:rFonts w:ascii="Arial" w:eastAsia="Arial" w:hAnsi="Arial" w:cs="Arial"/>
          <w:i/>
          <w:sz w:val="20"/>
          <w:szCs w:val="20"/>
        </w:rPr>
        <w:t>Key findings</w:t>
      </w:r>
    </w:p>
    <w:p w14:paraId="00000067" w14:textId="25E035C1" w:rsidR="00920126" w:rsidRPr="000C73C6" w:rsidRDefault="00803966">
      <w:pPr>
        <w:rPr>
          <w:rFonts w:ascii="Arial" w:eastAsia="Arial" w:hAnsi="Arial" w:cs="Arial"/>
          <w:sz w:val="20"/>
          <w:szCs w:val="20"/>
          <w:highlight w:val="white"/>
        </w:rPr>
      </w:pPr>
      <w:r w:rsidRPr="00577A9E">
        <w:rPr>
          <w:rFonts w:ascii="Arial" w:eastAsia="Arial" w:hAnsi="Arial" w:cs="Arial"/>
          <w:sz w:val="20"/>
          <w:szCs w:val="20"/>
        </w:rPr>
        <w:t xml:space="preserve">The analysis of the benefits of virtual care revealed eight prominent topics, </w:t>
      </w:r>
      <w:r w:rsidR="00577A9E">
        <w:rPr>
          <w:rFonts w:ascii="Arial" w:eastAsia="Arial" w:hAnsi="Arial" w:cs="Arial"/>
          <w:sz w:val="20"/>
          <w:szCs w:val="20"/>
        </w:rPr>
        <w:t xml:space="preserve">namely </w:t>
      </w:r>
      <w:r w:rsidRPr="000C73C6">
        <w:rPr>
          <w:rFonts w:ascii="Arial" w:eastAsia="Arial" w:hAnsi="Arial" w:cs="Arial"/>
          <w:sz w:val="20"/>
          <w:szCs w:val="20"/>
          <w:highlight w:val="white"/>
        </w:rPr>
        <w:t>primary care delivery, infection control, reducing contacts, virtual care, timeliness, patient-doctor interaction, convenience and safety, and no answer provided. The statistical comparison between age groups, sex, countries of residence and eHealth literacy generally showed the most significant differences between countries. Participants from Sweden were most likely to mention primary care delivery, from the UK virtual care and from Italy patient-doctor interaction. The benefit of infection control was mentioned most often by the youngest age group (18-24 years) and by participants from Sweden.</w:t>
      </w:r>
    </w:p>
    <w:p w14:paraId="00000068" w14:textId="257AE323" w:rsidR="00920126" w:rsidRPr="000C73C6" w:rsidRDefault="00803966">
      <w:pPr>
        <w:rPr>
          <w:rFonts w:ascii="Arial" w:eastAsia="Arial" w:hAnsi="Arial" w:cs="Arial"/>
          <w:i/>
          <w:sz w:val="20"/>
          <w:szCs w:val="20"/>
          <w:highlight w:val="white"/>
        </w:rPr>
      </w:pPr>
      <w:r w:rsidRPr="000C73C6">
        <w:rPr>
          <w:rFonts w:ascii="Arial" w:eastAsia="Arial" w:hAnsi="Arial" w:cs="Arial"/>
          <w:sz w:val="20"/>
          <w:szCs w:val="20"/>
          <w:highlight w:val="white"/>
        </w:rPr>
        <w:t>Regarding the challenges of virtual primary care, the identified topics encompassed diagnostic difficulties, physical examination, digital health risks, technical challenges, virtual care, data security and protection, lack of personal contact, and no answer provided. The country comparison again showed the most statistically significant differences within each topic. In Sweden diagnostic difficulties were most significantly mentioned, in the UK it was virtual care, and in Germany</w:t>
      </w:r>
      <w:r w:rsidR="006F7DBE">
        <w:rPr>
          <w:rFonts w:ascii="Arial" w:eastAsia="Arial" w:hAnsi="Arial" w:cs="Arial"/>
          <w:sz w:val="20"/>
          <w:szCs w:val="20"/>
          <w:highlight w:val="white"/>
        </w:rPr>
        <w:t>,</w:t>
      </w:r>
      <w:r w:rsidRPr="000C73C6">
        <w:rPr>
          <w:rFonts w:ascii="Arial" w:eastAsia="Arial" w:hAnsi="Arial" w:cs="Arial"/>
          <w:sz w:val="20"/>
          <w:szCs w:val="20"/>
          <w:highlight w:val="white"/>
        </w:rPr>
        <w:t xml:space="preserve"> it was data security and protection. Technical challenges were most significantly cited by male participants, and challenges of virtual care were mentioned most by respondents with high eHealth literacy.</w:t>
      </w:r>
    </w:p>
    <w:p w14:paraId="00000069" w14:textId="77777777" w:rsidR="00920126" w:rsidRPr="000C73C6" w:rsidRDefault="00920126">
      <w:pPr>
        <w:rPr>
          <w:rFonts w:ascii="Arial" w:eastAsia="Arial" w:hAnsi="Arial" w:cs="Arial"/>
          <w:i/>
          <w:sz w:val="20"/>
          <w:szCs w:val="20"/>
        </w:rPr>
      </w:pPr>
    </w:p>
    <w:p w14:paraId="0000006A" w14:textId="77777777" w:rsidR="00920126" w:rsidRPr="000C73C6" w:rsidRDefault="00803966">
      <w:pPr>
        <w:rPr>
          <w:rFonts w:ascii="Arial" w:eastAsia="Arial" w:hAnsi="Arial" w:cs="Arial"/>
          <w:i/>
          <w:sz w:val="20"/>
          <w:szCs w:val="20"/>
        </w:rPr>
      </w:pPr>
      <w:r w:rsidRPr="000C73C6">
        <w:rPr>
          <w:rFonts w:ascii="Arial" w:eastAsia="Arial" w:hAnsi="Arial" w:cs="Arial"/>
          <w:i/>
          <w:sz w:val="20"/>
          <w:szCs w:val="20"/>
        </w:rPr>
        <w:t>Discussion and comparison with previous literature</w:t>
      </w:r>
    </w:p>
    <w:p w14:paraId="0000006B" w14:textId="77777777" w:rsidR="00920126" w:rsidRPr="000C73C6" w:rsidRDefault="00920126">
      <w:pPr>
        <w:rPr>
          <w:rFonts w:ascii="Arial" w:eastAsia="Arial" w:hAnsi="Arial" w:cs="Arial"/>
          <w:sz w:val="20"/>
          <w:szCs w:val="20"/>
        </w:rPr>
      </w:pPr>
    </w:p>
    <w:p w14:paraId="0000006C" w14:textId="2DD4491B" w:rsidR="00920126" w:rsidRPr="000C73C6" w:rsidRDefault="00803966">
      <w:pPr>
        <w:rPr>
          <w:rFonts w:ascii="Arial" w:eastAsia="Arial" w:hAnsi="Arial" w:cs="Arial"/>
          <w:sz w:val="20"/>
          <w:szCs w:val="20"/>
        </w:rPr>
      </w:pPr>
      <w:r w:rsidRPr="000C73C6">
        <w:rPr>
          <w:rFonts w:ascii="Arial" w:eastAsia="Arial" w:hAnsi="Arial" w:cs="Arial"/>
          <w:sz w:val="20"/>
          <w:szCs w:val="20"/>
        </w:rPr>
        <w:t>Systematic reviews have shown that, in general, there is a high acceptance and satisfaction among patients regarding the use of virtual care in primary health care</w:t>
      </w:r>
      <w:r w:rsidR="004625F7">
        <w:rPr>
          <w:rFonts w:ascii="Arial" w:eastAsia="Arial" w:hAnsi="Arial" w:cs="Arial"/>
          <w:sz w:val="20"/>
          <w:szCs w:val="20"/>
        </w:rPr>
        <w:t xml:space="preserve"> </w:t>
      </w:r>
      <w:r w:rsidR="00577A9E">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{"citationItems":[{"id":"ITEM-1","itemData":{"DOI":"https://dx.doi.org/10.1093/fampra/cmab077","ISSN":"1460-2229","abstract":"BACKGROUND: The COVID-19 pandemic has focussed attention on models of healthcare that avoid face-to-face contacts between clinicians and patients, and teleconsultations have become the preferred mode of primary care delivery. However, the effectiveness of remote consultations in this setting remains unclear., OBJECTIVE: To evaluate the impact of telephone or video consultations compared to those conducted face-to-face on key patient-relevant outcomes and healthcare utilisation in primary care, mental health and allied health services, which have had a critical role in the management of the wider and longer-term consequences of COVID-19., METHODS: A systematic review of primary studies comparing telephone or video consultations versus face-to-face visits, following the PRISMA guidelines., RESULTS: Overall, consultations delivered by telephone and videoconference were as effective as face-to-face in-person visits to improve clinical outcomes in adults with mental health conditions and those attending primary care services. Patient satisfaction with telephone and video consultations and the therapeutic alliance was high across the studies. However, high discontinuation rates in patients receiving teleconsultations indicate this may not be a suitable modality of healthcare delivery for all patients. Teleconsultations offer significant patient time savings in primary care, but appropriate implementation, including training of healthcare professionals and management of technical issues, is essential to ensure effective and valuable clinical interventions., CONCLUSIONS: Teleconsultations via telephone or videoconference are an effective alternative to face-to-face consultations for many patients attending primary care and mental health services. Teleconsultations have the potential to deliver time-efficient and lower-cost interventions at a distance while improving access to healthcare. Copyright © The Author(s) 2021. Published by Oxford University Press. All rights reserved.For permissions, please e-mail: journals.permissions@oup.com.","author":[{"dropping-particle":"","family":"Carrillo de Albornoz","given":"Sara","non-dropping-particle":"","parse-names":false,"suffix":""},{"dropping-particle":"","family":"Sia","given":"Kah-Ling","non-dropping-particle":"","parse-names":false,"suffix":""},{"dropping-particle":"","family":"Harris","given":"Anthony","non-dropping-particle":"","parse-names":false,"suffix":""}],"container-title":"Family practice","id":"ITEM-1","issue":"1","issued":{"date-parts":[["2022"]]},"page":"168-182","publisher-place":"England","title":"The effectiveness of teleconsultations in primary care: systematic review.","type":"article-journal","volume":"39"},"uris":["http://www.mendeley.com/documents/?uuid=56e3c658-2801-4bf7-9bf6-7ef76d3472ee"]},{"id":"ITEM-2","itemData":{"DOI":"10.1089/tmj.2016.0045","ISSN":"15563669","PMID":"27128779","abstract":"Introduction: This article presents the scientific evidence for the merits of telemedicine interventions in primary care. Although there is no uniform and consistent definition of primary care, most agree that it occupies a central role in the healthcare system as first contact for patients seeking care, as well as gatekeeper and coordinator of care. It enables and supports patient-centered care, the medical home, managed care, accountable care, and population health. Increasing concerns about sustainability and the anticipated shortages of primary care physicians have sparked interest in exploring the potential of telemedicine in addressing many of the challenges facing primary care in the United States and the world. Materials and Methods: The findings are based on a systematic review of scientific studies published from 2005 through 2015. The initial search yielded 2,308 articles, with 86 meeting the inclusion criteria. Evidence is organized and evaluated according to feasibility/acceptance, intermediate outcomes, health outcomes, and cost. Results: The majority of studies support the feasibility/acceptance of telemedicine for use in primary care, although it varies significantly by demographic variables, such as gender, age, and socioeconomic status, and telemedicine has often been found more acceptable by patients than healthcare providers. Outcomes data are limited but overall suggest that telemedicine interventions are generally at least as effective as traditional care. Cost analyses vary, but telemedicine in primary care is increasingly demonstrated to be cost-effective. Conclusions: Telemedicine has significant potential to address many of the challenges facing primary care in today's healthcare environment. Challenges still remain in validating its impact on clinical outcomes with scientific rigor, as well as in standardizing methods to assess cost, but patient and provider acceptance is increasingly making telemedicine a viable and integral component of primary care around the world.","author":[{"dropping-particle":"","family":"Bashshur","given":"Rashid L.","non-dropping-particle":"","parse-names":false,"suffix":""},{"dropping-particle":"","family":"Howell","given":"Joel D.","non-dropping-particle":"","parse-names":false,"suffix":""},{"dropping-particle":"","family":"Krupinski","given":"Elizabeth A.","non-dropping-particle":"","parse-names":false,"suffix":""},{"dropping-particle":"","family":"Harms","given":"Kathryn M.","non-dropping-particle":"","parse-names":false,"suffix":""},{"dropping-particle":"","family":"Bashshur","given":"Noura","non-dropping-particle":"","parse-names":false,"suffix":""},{"dropping-particle":"","family":"Doarn","given":"Charles R.","non-dropping-particle":"","parse-names":false,"suffix":""}],"container-title":"Telemedicine and e-Health","id":"ITEM-2","issue":"5","issued":{"date-parts":[["2016","5"]]},"language":"eng","page":"342-375","publisher-place":"United States","title":"The empirical foundations of telemedicine interventions in primary care","type":"article-journal","volume":"22"},"uris":["http://www.mendeley.com/documents/?uuid=5c2c72fd-bd01-4274-9ca0-7893485a12a7"]},{"id":"ITEM-3","itemData":{"DOI":"https://dx.doi.org/10.2196/29303","ISSN":"1438-8871","PMID":"35019848","abstract":"BACKGROUND: The number of people with chronic diseases and the subsequent pressure on health care is increasing. eHealth technology for diagnostic testing can contribute to more efficient health care and lower workload., OBJECTIVE: This systematic review examines the available methods for direct web-based access for patients to diagnostic testing and results in the absence of a health care professional in primary care., METHODS: We searched the PubMed, Embase, Web of Sciences, Cochrane Library, Emcare, and Academic Search Premier databases in August 2019 and updated in July 2021. The included studies focused on direct patient access to web-based triage leading to diagnostic testing, self-sampling or testing, or web-based communication of test results. A total of 45 studies were included. The quality was assessed using the Mixed Methods Appraisal Tool., RESULTS: Most studies had a quantitative descriptive design and discussed a combination of services. Diagnostic test services mainly focused on sexually transmitted infections. Overall, the use was high for web-based triage (3046/5000, &gt;50%, who used a triage booked a test), for self-sampling or self-testing kits (83%), and the result service (85%). The acceptability of the test services was high, with 81% preferring home-based testing over clinic-based testing. There was a high rate of follow-up testing or treatment after a positive test (93%)., CONCLUSIONS: The results show that direct access to testing and result services had high use rates, was positively evaluated, and led to high rates of follow-up treatment. More research on cost-effectiveness is needed to determine the potential for other diseases. Direct access to diagnostic testing can lower the threshold for testing in users, potentially increase efficiency, and lower the workload in primary care. Copyright ©Anke Versluis, Kyma Schnoor, Niels H Chavannes, Esther PWA Talboom-Kamp. Originally published in the Journal of Medical Internet Research (https://www.jmir.org), 12.01.2022.","author":[{"dropping-particle":"","family":"Versluis","given":"Anke","non-dropping-particle":"","parse-names":false,"suffix":""},{"dropping-particle":"","family":"Schnoor","given":"Kyma","non-dropping-particle":"","parse-names":false,"suffix":""},{"dropping-particle":"","family":"Chavannes","given":"Niels H","non-dropping-particle":"","parse-names":false,"suffix":""},{"dropping-particle":"","family":"Talboom-Kamp","given":"Esther PWA","non-dropping-particle":"","parse-names":false,"suffix":""}],"container-title":"Journal of medical Internet research","id":"ITEM-3","issue":"1","issued":{"date-parts":[["2022"]]},"page":"e29303","publisher-place":"Canada","title":"Direct Access for Patients to Diagnostic Testing and Results Using eHealth: Systematic Review on eHealth and Diagnostics.","type":"article-journal","volume":"24"},"uris":["http://www.mendeley.com/documents/?uuid=a43b8230-b205-4011-93a3-4fb8a09e099a"]}],"mendeley":{"formattedCitation":"(Bashshur et al., 2016; Carrillo de Albornoz et al., 2022; Versluis et al., 2022)","plainTextFormattedCitation":"(Bashshur et al., 2016; Carrillo de Albornoz et al., 2022; Versluis et al., 2022)","previouslyFormattedCitation":"(Bashshur et al., 2016; Carrillo de Albornoz et al., 2022; Versluis et al., 2022)"},"properties":{"noteIndex":0},"schema":"https://github.com/citation-style-language/schema/raw/master/csl-citation.json"}</w:instrText>
      </w:r>
      <w:r w:rsidR="00577A9E">
        <w:rPr>
          <w:rFonts w:ascii="Arial" w:eastAsia="Arial" w:hAnsi="Arial" w:cs="Arial"/>
          <w:sz w:val="20"/>
          <w:szCs w:val="20"/>
        </w:rPr>
        <w:fldChar w:fldCharType="separate"/>
      </w:r>
      <w:r w:rsidR="004625F7" w:rsidRPr="004625F7">
        <w:rPr>
          <w:rFonts w:ascii="Arial" w:eastAsia="Arial" w:hAnsi="Arial" w:cs="Arial"/>
          <w:noProof/>
          <w:sz w:val="20"/>
          <w:szCs w:val="20"/>
        </w:rPr>
        <w:t>(Bashshur et al., 2016; Carrillo de Albornoz et al., 2022; Versluis et al., 2022)</w:t>
      </w:r>
      <w:r w:rsidR="00577A9E">
        <w:rPr>
          <w:rFonts w:ascii="Arial" w:eastAsia="Arial" w:hAnsi="Arial" w:cs="Arial"/>
          <w:sz w:val="20"/>
          <w:szCs w:val="20"/>
        </w:rPr>
        <w:fldChar w:fldCharType="end"/>
      </w:r>
      <w:r w:rsidR="004625F7">
        <w:rPr>
          <w:rFonts w:ascii="Arial" w:eastAsia="Arial" w:hAnsi="Arial" w:cs="Arial"/>
          <w:sz w:val="20"/>
          <w:szCs w:val="20"/>
        </w:rPr>
        <w:t>.</w:t>
      </w:r>
      <w:r w:rsidR="00577A9E">
        <w:rPr>
          <w:rFonts w:ascii="Arial" w:eastAsia="Arial" w:hAnsi="Arial" w:cs="Arial"/>
          <w:sz w:val="20"/>
          <w:szCs w:val="20"/>
          <w:vertAlign w:val="superscript"/>
        </w:rPr>
        <w:t xml:space="preserve"> </w:t>
      </w:r>
      <w:r w:rsidRPr="000C73C6">
        <w:rPr>
          <w:rFonts w:ascii="Arial" w:eastAsia="Arial" w:hAnsi="Arial" w:cs="Arial"/>
          <w:sz w:val="20"/>
          <w:szCs w:val="20"/>
        </w:rPr>
        <w:t>Some also underlined the profound impact of the COVID-19 pandemic on virtual care patients and practices</w:t>
      </w:r>
      <w:r w:rsidR="004625F7">
        <w:rPr>
          <w:rFonts w:ascii="Arial" w:eastAsia="Arial" w:hAnsi="Arial" w:cs="Arial"/>
          <w:sz w:val="20"/>
          <w:szCs w:val="20"/>
        </w:rPr>
        <w:t xml:space="preserve"> </w:t>
      </w:r>
      <w:r w:rsidR="00577A9E">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{"citationItems":[{"id":"ITEM-1","itemData":{"DOI":"https://dx.doi.org/10.1093/fampra/cmab077","ISSN":"1460-2229","abstract":"BACKGROUND: The COVID-19 pandemic has focussed attention on models of healthcare that avoid face-to-face contacts between clinicians and patients, and teleconsultations have become the preferred mode of primary care delivery. However, the effectiveness of remote consultations in this setting remains unclear., OBJECTIVE: To evaluate the impact of telephone or video consultations compared to those conducted face-to-face on key patient-relevant outcomes and healthcare utilisation in primary care, mental health and allied health services, which have had a critical role in the management of the wider and longer-term consequences of COVID-19., METHODS: A systematic review of primary studies comparing telephone or video consultations versus face-to-face visits, following the PRISMA guidelines., RESULTS: Overall, consultations delivered by telephone and videoconference were as effective as face-to-face in-person visits to improve clinical outcomes in adults with mental health conditions and those attending primary care services. Patient satisfaction with telephone and video consultations and the therapeutic alliance was high across the studies. However, high discontinuation rates in patients receiving teleconsultations indicate this may not be a suitable modality of healthcare delivery for all patients. Teleconsultations offer significant patient time savings in primary care, but appropriate implementation, including training of healthcare professionals and management of technical issues, is essential to ensure effective and valuable clinical interventions., CONCLUSIONS: Teleconsultations via telephone or videoconference are an effective alternative to face-to-face consultations for many patients attending primary care and mental health services. Teleconsultations have the potential to deliver time-efficient and lower-cost interventions at a distance while improving access to healthcare. Copyright © The Author(s) 2021. Published by Oxford University Press. All rights reserved.For permissions, please e-mail: journals.permissions@oup.com.","author":[{"dropping-particle":"","family":"Carrillo de Albornoz","given":"Sara","non-dropping-particle":"","parse-names":false,"suffix":""},{"dropping-particle":"","family":"Sia","given":"Kah-Ling","non-dropping-particle":"","parse-names":false,"suffix":""},{"dropping-particle":"","family":"Harris","given":"Anthony","non-dropping-particle":"","parse-names":false,"suffix":""}],"container-title":"Family practice","id":"ITEM-1","issue":"1","issued":{"date-parts":[["2022"]]},"page":"168-182","publisher-place":"England","title":"The effectiveness of teleconsultations in primary care: systematic review.","type":"article-journal","volume":"39"},"uris":["http://www.mendeley.com/documents/?uuid=56e3c658-2801-4bf7-9bf6-7ef76d3472ee"]},{"id":"ITEM-2","itemData":{"DOI":"10.1089/tmj.2016.0045","ISSN":"15563669","PMID":"27128779","abstract":"Introduction: This article presents the scientific evidence for the merits of telemedicine interventions in primary care. Although there is no uniform and consistent definition of primary care, most agree that it occupies a central role in the healthcare system as first contact for patients seeking care, as well as gatekeeper and coordinator of care. It enables and supports patient-centered care, the medical home, managed care, accountable care, and population health. Increasing concerns about sustainability and the anticipated shortages of primary care physicians have sparked interest in exploring the potential of telemedicine in addressing many of the challenges facing primary care in the United States and the world. Materials and Methods: The findings are based on a systematic review of scientific studies published from 2005 through 2015. The initial search yielded 2,308 articles, with 86 meeting the inclusion criteria. Evidence is organized and evaluated according to feasibility/acceptance, intermediate outcomes, health outcomes, and cost. Results: The majority of studies support the feasibility/acceptance of telemedicine for use in primary care, although it varies significantly by demographic variables, such as gender, age, and socioeconomic status, and telemedicine has often been found more acceptable by patients than healthcare providers. Outcomes data are limited but overall suggest that telemedicine interventions are generally at least as effective as traditional care. Cost analyses vary, but telemedicine in primary care is increasingly demonstrated to be cost-effective. Conclusions: Telemedicine has significant potential to address many of the challenges facing primary care in today's healthcare environment. Challenges still remain in validating its impact on clinical outcomes with scientific rigor, as well as in standardizing methods to assess cost, but patient and provider acceptance is increasingly making telemedicine a viable and integral component of primary care around the world.","author":[{"dropping-particle":"","family":"Bashshur","given":"Rashid L.","non-dropping-particle":"","parse-names":false,"suffix":""},{"dropping-particle":"","family":"Howell","given":"Joel D.","non-dropping-particle":"","parse-names":false,"suffix":""},{"dropping-particle":"","family":"Krupinski","given":"Elizabeth A.","non-dropping-particle":"","parse-names":false,"suffix":""},{"dropping-particle":"","family":"Harms","given":"Kathryn M.","non-dropping-particle":"","parse-names":false,"suffix":""},{"dropping-particle":"","family":"Bashshur","given":"Noura","non-dropping-particle":"","parse-names":false,"suffix":""},{"dropping-particle":"","family":"Doarn","given":"Charles R.","non-dropping-particle":"","parse-names":false,"suffix":""}],"container-title":"Telemedicine and e-Health","id":"ITEM-2","issue":"5","issued":{"date-parts":[["2016","5"]]},"language":"eng","page":"342-375","publisher-place":"United States","title":"The empirical foundations of telemedicine interventions in primary care","type":"article-journal","volume":"22"},"uris":["http://www.mendeley.com/documents/?uuid=5c2c72fd-bd01-4274-9ca0-7893485a12a7"]},{"id":"ITEM-3","itemData":{"DOI":"https://dx.doi.org/10.1111/jgs.17365","ISSN":"1532-5415","abstract":"BACKGROUND: Although more than seven million older adults struggle or are unable to leave their homes independently, only a small minority access home-based primary care (HBPC). Despite substantial growth of HBPC, fueled by growing evidence supporting positive patient outcomes and cost savings, the population remains dramatically underserved and many evidence gaps still exist around scope of practice and key issues in care delivery and quality. Understanding the current state of the field is critical to the delivery of high-quality home-based care., METHODS: We conducted a systematic search of the peer-reviewed literature on HBPC, published between January 2010 and January 2020, using Medline, CINAHL, Embase, Web of Science, and Scopus online libraries. All studies were evaluated by two members of the research team, and key findings were extracted., RESULTS: The initial search yielded 1730 unique studies for screening. Of these initial results, 1322 were deemed not relevant to this review. Of the 408 studies deemed potentially relevant, 79 were included in the study. Researchers identified five overarching themes: the provision of HBPC, the composition of care teams, HBPC outcomes, the role of telehealth, and emergency preparedness efforts., CONCLUSION: The need and desire for growth of HBPC has been highlighted by the recent COVID-19 pandemic. Current research on HBPC finds a diverse scope of practice, successful use of interdisciplinary teams, positive outcomes, and increasing interest in telehealth with many areas ripe for further research. Copyright © 2021 The American Geriatrics Society.","author":[{"dropping-particle":"","family":"Zimbroff","given":"Robert M","non-dropping-particle":"","parse-names":false,"suffix":""},{"dropping-particle":"","family":"Ornstein","given":"Katherine A","non-dropping-particle":"","parse-names":false,"suffix":""},{"dropping-particle":"","family":"Sheehan","given":"Orla C","non-dropping-particle":"","parse-names":false,"suffix":""}],"container-title":"Journal of the American Geriatrics Society","id":"ITEM-3","issue":"10","issued":{"date-parts":[["2021"]]},"page":"2963-2972","publisher-place":"United States","title":"Home-based primary care: A systematic review of the literature, 2010-2020.","type":"article-journal","volume":"69"},"uris":["http://www.mendeley.com/documents/?uuid=dd486c2f-d4bb-4012-99f7-5b86a73f68ba"]}],"mendeley":{"formattedCitation":"(Bashshur et al., 2016; Carrillo de Albornoz et al., 2022; Zimbroff et al., 2021)","plainTextFormattedCitation":"(Bashshur et al., 2016; Carrillo de Albornoz et al., 2022; Zimbroff et al., 2021)","previouslyFormattedCitation":"(Bashshur et al., 2016; Carrillo de Albornoz et al., 2022; Zimbroff et al., 2021)"},"properties":{"noteIndex":0},"schema":"https://github.com/citation-style-language/schema/raw/master/csl-citation.json"}</w:instrText>
      </w:r>
      <w:r w:rsidR="00577A9E">
        <w:rPr>
          <w:rFonts w:ascii="Arial" w:eastAsia="Arial" w:hAnsi="Arial" w:cs="Arial"/>
          <w:sz w:val="20"/>
          <w:szCs w:val="20"/>
        </w:rPr>
        <w:fldChar w:fldCharType="separate"/>
      </w:r>
      <w:r w:rsidR="004625F7" w:rsidRPr="004625F7">
        <w:rPr>
          <w:rFonts w:ascii="Arial" w:eastAsia="Arial" w:hAnsi="Arial" w:cs="Arial"/>
          <w:noProof/>
          <w:sz w:val="20"/>
          <w:szCs w:val="20"/>
        </w:rPr>
        <w:t>(Bashshur et al., 2016; Carrillo de Albornoz et al., 2022; Zimbroff et al., 2021)</w:t>
      </w:r>
      <w:r w:rsidR="00577A9E">
        <w:rPr>
          <w:rFonts w:ascii="Arial" w:eastAsia="Arial" w:hAnsi="Arial" w:cs="Arial"/>
          <w:sz w:val="20"/>
          <w:szCs w:val="20"/>
        </w:rPr>
        <w:fldChar w:fldCharType="end"/>
      </w:r>
      <w:r w:rsidR="004625F7">
        <w:rPr>
          <w:rFonts w:ascii="Arial" w:eastAsia="Arial" w:hAnsi="Arial" w:cs="Arial"/>
          <w:sz w:val="20"/>
          <w:szCs w:val="20"/>
        </w:rPr>
        <w:t xml:space="preserve">. </w:t>
      </w:r>
      <w:r w:rsidRPr="000C73C6">
        <w:rPr>
          <w:rFonts w:ascii="Arial" w:eastAsia="Arial" w:hAnsi="Arial" w:cs="Arial"/>
          <w:sz w:val="20"/>
          <w:szCs w:val="20"/>
        </w:rPr>
        <w:t xml:space="preserve"> </w:t>
      </w:r>
    </w:p>
    <w:p w14:paraId="0000006D" w14:textId="2DA92FD9" w:rsidR="00920126" w:rsidRPr="004625F7" w:rsidRDefault="00803966">
      <w:pPr>
        <w:rPr>
          <w:rFonts w:ascii="Arial" w:eastAsia="Arial" w:hAnsi="Arial" w:cs="Arial"/>
          <w:sz w:val="20"/>
          <w:szCs w:val="20"/>
        </w:rPr>
      </w:pPr>
      <w:r w:rsidRPr="000C73C6">
        <w:rPr>
          <w:rFonts w:ascii="Arial" w:eastAsia="Arial" w:hAnsi="Arial" w:cs="Arial"/>
          <w:sz w:val="20"/>
          <w:szCs w:val="20"/>
        </w:rPr>
        <w:t>Even before the pandemic, participants of qualitative studies have reported good satisfaction, convenience and timeliness of virtual care</w:t>
      </w:r>
      <w:r w:rsidR="004625F7">
        <w:rPr>
          <w:rFonts w:ascii="Arial" w:eastAsia="Arial" w:hAnsi="Arial" w:cs="Arial"/>
          <w:sz w:val="20"/>
          <w:szCs w:val="20"/>
        </w:rPr>
        <w:t xml:space="preserve"> </w:t>
      </w:r>
      <w:r w:rsidR="00577A9E">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{"citationItems":[{"id":"ITEM-1","itemData":{"DOI":"DOI: 10.1017/S1463423616000347","ISSN":"1463-4236","abstract":"Background Patients living in rural areas often need to travel long distances for access to specialist care. To increase access to specialist care, video consultation between patients in primary healthcare and specialist care has been used. In order for this new method to be developed and used to the fullest, it is important to understand healthcare personnel’s experiences with this intervention.   Objective The aim of this study was to describe healthcare personnel’s experiences using video consultation in their work in primary healthcare.   Method A mixed methods design was used, and the data were analysed using qualitative and quantitative analysis methods. Interviews were conducted with eight general practitioners and one district nurse, all of whom had conducted a video consultation with a patient and a specialist physician or a cardiac specialist nurse. After each video consultation, the participants completed a consultation report/questionnaire.   Results Healthcare personnel considered video consultation to provide quicker access to specialist care for the patient, and greater security when the video consultation encounter was conducted at their own primary healthcare centre. They considered video consultation an opportunity to provide education and for the patients to ask questions.   Conclusion Video consultation is a satisfactory tool for healthcare personnel, and the technology is a new, useful method, especially for the district nurses. Further, video consultation is an opportunity for healthcare personnel to learn. However, for it to work as an accepted method, the technology must function well and be user friendly. It must also be clear that it is beneficial for the patients and the healthcare personnel.","author":[{"dropping-particle":"","family":"Johansson","given":"Annette M","non-dropping-particle":"","parse-names":false,"suffix":""},{"dropping-particle":"","family":"Lindberg","given":"Inger","non-dropping-particle":"","parse-names":false,"suffix":""},{"dropping-particle":"","family":"Söderberg","given":"Siv","non-dropping-particle":"","parse-names":false,"suffix":""}],"container-title":"Primary Health Care Research &amp;amp; Development","edition":"2016/09/19","id":"ITEM-1","issue":"1","issued":{"date-parts":[["2017"]]},"page":"73-83","publisher":"Cambridge University Press","title":"Healthcare personnel’s experiences using video consultation in primary healthcare in rural areas","type":"article-journal","volume":"18"},"uris":["http://www.mendeley.com/documents/?uuid=96345bbe-3e77-4d96-96b9-065ae6fb7703"]},{"id":"ITEM-2","itemData":{"DOI":"10.2196/13042","ISSN":"2291-9694","PMID":"31793888","abstract":"BACKGROUND Governments and health care providers are keen to find innovative ways to deliver care more efficiently. Interest in electronic consultation (e-consultation) has grown, but the evidence of benefit is uncertain. OBJECTIVE This study aimed to assess the evidence of delivering e-consultation using secure email and messaging or video links in primary care. METHODS A systematic review was conducted on the use and application of e-consultations in primary care. We searched 7 international databases (MEDLINE, EMBASE, CINAHL, Cochrane Library, PsycINFO, EconLit, and Web of Science; 1999-2017), identifying 52 relevant studies. Papers were screened against a detailed inclusion and exclusion criteria. Independent dual data extraction was conducted and assessed for quality. The resulting evidence was synthesized using thematic analysis. RESULTS This review included 57 studies from a range of countries, mainly the United States (n=30) and the United Kingdom (n=13). There were disparities in uptake and utilization toward more use by younger, employed adults. Patient responses to e-consultation were mixed. Patients reported satisfaction with services and improved self-care, communication, and engagement with clinicians. Evidence for the acceptability and ease of use was strong, especially for those with long-term conditions and patients located in remote regions. However, patients were concerned about the privacy and security of their data. For primary health care staff, e-consultation delivers challenges around time management, having the correct technological infrastructure, whether it offers a comparable standard of clinical quality, and whether it improves health outcomes. CONCLUSIONS E-consultations may improve aspects of care delivery, but the small scale of many of the studies and low adoption rates leave unanswered questions about usage, quality, cost, and sustainability. We need to improve e-consultation implementation, demonstrate how e-consultations will not increase disparities in access, provide better reassurance to patients about privacy, and incorporate e-consultation as part of a manageable clinical workflow.","author":[{"dropping-particle":"","family":"Mold","given":"Freda","non-dropping-particle":"","parse-names":false,"suffix":""},{"dropping-particle":"","family":"Hendy","given":"Jane","non-dropping-particle":"","parse-names":false,"suffix":""},{"dropping-particle":"","family":"Lai","given":"Yi-Ling","non-dropping-particle":"","parse-names":false,"suffix":""},{"dropping-particle":"","family":"Lusignan","given":"Simon","non-dropping-particle":"de","parse-names":false,"suffix":""}],"container-title":"JMIR Medical Informatics","id":"ITEM-2","issue":"4","issued":{"date-parts":[["2019","12"]]},"language":"eng","page":"e13042","title":"Electronic Consultation in Primary Care Between Providers and Patients: Systematic Review","type":"article-journal","volume":"7"},"uris":["http://www.mendeley.com/documents/?uuid=bca3cd56-3a89-48b7-98d4-79bcc505e9a1"]},{"id":"ITEM-3","itemData":{"DOI":"10.3399/bjgp18X694853","abstract":"Background NHS policy encourages general practices to introduce alternatives to the face-to-face consultation, such as telephone, email, e-consultation systems, or internet video. Most have been slow to adopt these, citing concerns about workload. This project builds on previous research by focusing on the experiences of patients and practitioners who have used one or more of these alternatives.Aim To understand how, under what conditions, for which patients, and in what ways, alternatives to face-to-face consultations present benefits and challenges to patients and practitioners in general practice.Design and setting Focused ethnographic case studies took place in eight UK general practices between June 2015 and March 2016.Method Non-participant observation, informal conversations with staff, and semi-structured interviews with staff and patients were conducted. Practice documents and protocols were reviewed. Data were analysed through charting and the ‘one sheet of paper’ mind-map method to identify the line of argument in each thematic report.Results Case study practices had different rationales for offering alternatives to the face-to-face consultation. Beliefs varied about which patients and health issues were suitable. Co-workers were often unaware of each other’s practice; for example, practice policies for use of e-consultations systems with patients were not known about or followed. Patients reported benefits including convenience and access. Staff and some patients regarded the face-to-face consultation as the ideal.Conclusion Experience of implementing alternatives to the face-to-face consultation suggests that changes in patient access and staff workload may be both modest and gradual. Practices planning to implement them should consider carefully their reasons for doing so and involve the whole practice team.","author":[{"dropping-particle":"","family":"Atherton","given":"Helen","non-dropping-particle":"","parse-names":false,"suffix":""},{"dropping-particle":"","family":"Brant","given":"Heather","non-dropping-particle":"","parse-names":false,"suffix":""},{"dropping-particle":"","family":"Ziebland","given":"Sue","non-dropping-particle":"","parse-names":false,"suffix":""},{"dropping-particle":"","family":"Bikker","given":"Annemieke","non-dropping-particle":"","parse-names":false,"suffix":""},{"dropping-particle":"","family":"Campbell","given":"John","non-dropping-particle":"","parse-names":false,"suffix":""},{"dropping-particle":"","family":"Gibson","given":"Andy","non-dropping-particle":"","parse-names":false,"suffix":""},{"dropping-particle":"","family":"McKinstry","given":"Brian","non-dropping-particle":"","parse-names":false,"suffix":""},{"dropping-particle":"","family":"Porqueddu","given":"Tania","non-dropping-particle":"","parse-names":false,"suffix":""},{"dropping-particle":"","family":"Salisbury","given":"Chris","non-dropping-particle":"","parse-names":false,"suffix":""}],"container-title":"British Journal of General Practice","id":"ITEM-3","issue":"669","issued":{"date-parts":[["2018","4","1"]]},"page":"e293 LP  - e300","title":"Alternatives to the face-to-face consultation in general practice: focused ethnographic case study","type":"article-journal","volume":"68"},"uris":["http://www.mendeley.com/documents/?uuid=3327eb08-5073-4d6f-bd87-d26b5d710b0d"]}],"mendeley":{"formattedCitation":"(Atherton et al., 2018; Johansson et al., 2017; Mold et al., 2019)","plainTextFormattedCitation":"(Atherton et al., 2018; Johansson et al., 2017; Mold et al., 2019)","previouslyFormattedCitation":"(Atherton et al., 2018; Johansson et al., 2017; Mold et al., 2019)"},"properties":{"noteIndex":0},"schema":"https://github.com/citation-style-language/schema/raw/master/csl-citation.json"}</w:instrText>
      </w:r>
      <w:r w:rsidR="00577A9E">
        <w:rPr>
          <w:rFonts w:ascii="Arial" w:eastAsia="Arial" w:hAnsi="Arial" w:cs="Arial"/>
          <w:sz w:val="20"/>
          <w:szCs w:val="20"/>
        </w:rPr>
        <w:fldChar w:fldCharType="separate"/>
      </w:r>
      <w:r w:rsidR="004625F7" w:rsidRPr="004625F7">
        <w:rPr>
          <w:rFonts w:ascii="Arial" w:eastAsia="Arial" w:hAnsi="Arial" w:cs="Arial"/>
          <w:noProof/>
          <w:sz w:val="20"/>
          <w:szCs w:val="20"/>
        </w:rPr>
        <w:t>(Atherton et al., 2018; Johansson et al., 2017; Mold et al., 2019)</w:t>
      </w:r>
      <w:r w:rsidR="00577A9E">
        <w:rPr>
          <w:rFonts w:ascii="Arial" w:eastAsia="Arial" w:hAnsi="Arial" w:cs="Arial"/>
          <w:sz w:val="20"/>
          <w:szCs w:val="20"/>
        </w:rPr>
        <w:fldChar w:fldCharType="end"/>
      </w:r>
      <w:r w:rsidR="004625F7">
        <w:rPr>
          <w:rFonts w:ascii="Arial" w:eastAsia="Arial" w:hAnsi="Arial" w:cs="Arial"/>
          <w:sz w:val="20"/>
          <w:szCs w:val="20"/>
        </w:rPr>
        <w:t>.</w:t>
      </w:r>
      <w:r w:rsidRPr="000C73C6">
        <w:rPr>
          <w:rFonts w:ascii="Arial" w:eastAsia="Arial" w:hAnsi="Arial" w:cs="Arial"/>
          <w:sz w:val="20"/>
          <w:szCs w:val="20"/>
        </w:rPr>
        <w:t xml:space="preserve"> Previous findings have also shown an increase in virtual care services with higher experience rates in men, participants with higher literacy and participants from Germany</w:t>
      </w:r>
      <w:r w:rsidR="004625F7">
        <w:rPr>
          <w:rFonts w:ascii="Arial" w:eastAsia="Arial" w:hAnsi="Arial" w:cs="Arial"/>
          <w:sz w:val="20"/>
          <w:szCs w:val="20"/>
        </w:rPr>
        <w:t xml:space="preserve"> </w:t>
      </w:r>
      <w:r w:rsidR="00577A9E">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{"citationItems":[{"id":"ITEM-1","itemData":{"DOI":"10.1177/1357633X211066235","ISSN":"1357-633X","abstract":"IntroductionWith the onset of Coronavirus disease (COVID-19), primary care has swiftly transitioned from face-to-face to virtual care, yet it remains largely unknown how this has impacted the quality and safety of care. We aim to evaluate patient use of virtual primary care models during COVID-19, including change in uptake, perceived impact on the quality and safety of care and willingness of future use.MethodologyAn online cross-sectional survey was administered to the public across the United Kingdom, Sweden, Italy and Germany. McNemar tests were conducted to test pre- and post-pandemic differences in uptake for each technology. One-way analysis of variance was conducted to examine patient experience ratings and perceived impacts on healthcare quality and safety across demographic characteristics.ResultsRespondents (n?=?6326) reported an increased use of telephone consultations (?+?6.3%, p?&lt;?.001), patient-initiated services (?+?1.5%, n?=?98, p?&lt;?0.001), video consultations (?+?1.4%, p?&lt;?.001), remote triage (?+?1.3, p?&lt;?0.001) and secure messaging systems (?+?0.9%, p?=?.019). Experience rates using virtual care technologies were higher for men (2.4??±??1.0 vs. 2.3??±??0.9, p?&lt;?.001), those with higher literacy (2.8??±??1.0 vs. 2.3??±??0.9, p?&lt;?.001), and participants from Germany (2.5??±??0.9, p?&lt;?.001). Healthcare timeliness and efficiency were the dimensions most often reported as being positively impacted by virtual technologies (60.2%, n?=?2793 and 55.7%, n?=?2,401, respectively), followed by effectiveness (46.5%, n?=?1802), safety (45.5%, n?=?1822), patient-centredness (45.2%, n?=?45.2) and equity (42.9%, n?=?1726). Interest in future use was highest for telephone consultations (55.9%), patient-initiated digital services (56.1%), secure messaging systems (43.4%), online triage (35.1%), video consultations (37.0%) and chat consultations (30.1%), although significant variation was observed between countries and patient characteristics.DiscussionFuture work must examine the drivers and determinants of positive experiences using remote care to co-create a supportive environment that ensures equitable adoption and use. Comparative analysis between countries and health systems offers the opportunity for policymakers to learn from best practices internationally.","author":[{"dropping-particle":"","family":"Neves","given":"Ana Luisa","non-dropping-particle":"","parse-names":false,"suffix":""},{"dropping-particle":"","family":"Dael","given":"Jackie","non-dropping-particle":"van","parse-names":false,"suffix":""},{"dropping-particle":"","family":"O’Brien","given":"Niki","non-dropping-particle":"","parse-names":false,"suffix":""},{"dropping-particle":"","family":"Flott","given":"Kelsey","non-dropping-particle":"","parse-names":false,"suffix":""},{"dropping-particle":"","family":"Ghafur","given":"Saira","non-dropping-particle":"","parse-names":false,"suffix":""},{"dropping-particle":"","family":"Darzi","given":"Ara","non-dropping-particle":"","parse-names":false,"suffix":""},{"dropping-particle":"","family":"Mayer","given":"Erik","non-dropping-particle":"","parse-names":false,"suffix":""}],"container-title":"Journal of Telemedicine and Telecare","id":"ITEM-1","issued":{"date-parts":[["2021","12","22"]]},"note":"doi: 10.1177/1357633X211066235","page":"1357633X211066235","publisher":"SAGE Publications","title":"Use and impact of virtual primary care on quality and safety: The public's perspectives during the COVID-19 pandemic","type":"article-journal"},"uris":["http://www.mendeley.com/documents/?uuid=2a5d2873-798c-4ac6-a229-9386b9d63c44"]}],"mendeley":{"formattedCitation":"(Neves et al., 2021)","plainTextFormattedCitation":"(Neves et al., 2021)","previouslyFormattedCitation":"(Neves et al., 2021)"},"properties":{"noteIndex":0},"schema":"https://github.com/citation-style-language/schema/raw/master/csl-citation.json"}</w:instrText>
      </w:r>
      <w:r w:rsidR="00577A9E">
        <w:rPr>
          <w:rFonts w:ascii="Arial" w:eastAsia="Arial" w:hAnsi="Arial" w:cs="Arial"/>
          <w:sz w:val="20"/>
          <w:szCs w:val="20"/>
        </w:rPr>
        <w:fldChar w:fldCharType="separate"/>
      </w:r>
      <w:r w:rsidR="004625F7" w:rsidRPr="004625F7">
        <w:rPr>
          <w:rFonts w:ascii="Arial" w:eastAsia="Arial" w:hAnsi="Arial" w:cs="Arial"/>
          <w:noProof/>
          <w:sz w:val="20"/>
          <w:szCs w:val="20"/>
        </w:rPr>
        <w:t>(Neves et al., 2021)</w:t>
      </w:r>
      <w:r w:rsidR="00577A9E">
        <w:rPr>
          <w:rFonts w:ascii="Arial" w:eastAsia="Arial" w:hAnsi="Arial" w:cs="Arial"/>
          <w:sz w:val="20"/>
          <w:szCs w:val="20"/>
        </w:rPr>
        <w:fldChar w:fldCharType="end"/>
      </w:r>
      <w:r w:rsidR="004625F7">
        <w:rPr>
          <w:rFonts w:ascii="Arial" w:eastAsia="Arial" w:hAnsi="Arial" w:cs="Arial"/>
          <w:sz w:val="20"/>
          <w:szCs w:val="20"/>
        </w:rPr>
        <w:t>.</w:t>
      </w:r>
      <w:r w:rsidRPr="000C73C6">
        <w:rPr>
          <w:rFonts w:ascii="Arial" w:eastAsia="Arial" w:hAnsi="Arial" w:cs="Arial"/>
          <w:sz w:val="20"/>
          <w:szCs w:val="20"/>
        </w:rPr>
        <w:t xml:space="preserve"> Efficiency and timeliness were perceived to be most positively influenced by virtual care technologies</w:t>
      </w:r>
      <w:r w:rsidR="004625F7">
        <w:rPr>
          <w:rFonts w:ascii="Arial" w:eastAsia="Arial" w:hAnsi="Arial" w:cs="Arial"/>
          <w:sz w:val="20"/>
          <w:szCs w:val="20"/>
        </w:rPr>
        <w:t xml:space="preserve"> </w:t>
      </w:r>
      <w:r w:rsidR="00577A9E">
        <w:rPr>
          <w:rFonts w:ascii="Arial" w:eastAsia="Arial" w:hAnsi="Arial" w:cs="Arial"/>
          <w:sz w:val="20"/>
          <w:szCs w:val="20"/>
          <w:vertAlign w:val="superscript"/>
        </w:rPr>
        <w:fldChar w:fldCharType="begin" w:fldLock="1"/>
      </w:r>
      <w:r w:rsidR="004625F7">
        <w:rPr>
          <w:rFonts w:ascii="Arial" w:eastAsia="Arial" w:hAnsi="Arial" w:cs="Arial"/>
          <w:sz w:val="20"/>
          <w:szCs w:val="20"/>
          <w:vertAlign w:val="superscript"/>
        </w:rPr>
        <w:instrText>ADDIN CSL_CITATION {"citationItems":[{"id":"ITEM-1","itemData":{"DOI":"10.1177/1357633X211066235","ISSN":"1357-633X","abstract":"IntroductionWith the onset of Coronavirus disease (COVID-19), primary care has swiftly transitioned from face-to-face to virtual care, yet it remains largely unknown how this has impacted the quality and safety of care. We aim to evaluate patient use of virtual primary care models during COVID-19, including change in uptake, perceived impact on the quality and safety of care and willingness of future use.MethodologyAn online cross-sectional survey was administered to the public across the United Kingdom, Sweden, Italy and Germany. McNemar tests were conducted to test pre- and post-pandemic differences in uptake for each technology. One-way analysis of variance was conducted to examine patient experience ratings and perceived impacts on healthcare quality and safety across demographic characteristics.ResultsRespondents (n?=?6326) reported an increased use of telephone consultations (?+?6.3%, p?&lt;?.001), patient-initiated services (?+?1.5%, n?=?98, p?&lt;?0.001), video consultations (?+?1.4%, p?&lt;?.001), remote triage (?+?1.3, p?&lt;?0.001) and secure messaging systems (?+?0.9%, p?=?.019). Experience rates using virtual care technologies were higher for men (2.4??±??1.0 vs. 2.3??±??0.9, p?&lt;?.001), those with higher literacy (2.8??±??1.0 vs. 2.3??±??0.9, p?&lt;?.001), and participants from Germany (2.5??±??0.9, p?&lt;?.001). Healthcare timeliness and efficiency were the dimensions most often reported as being positively impacted by virtual technologies (60.2%, n?=?2793 and 55.7%, n?=?2,401, respectively), followed by effectiveness (46.5%, n?=?1802), safety (45.5%, n?=?1822), patient-centredness (45.2%, n?=?45.2) and equity (42.9%, n?=?1726). Interest in future use was highest for telephone consultations (55.9%), patient-initiated digital services (56.1%), secure messaging systems (43.4%), online triage (35.1%), video consultations (37.0%) and chat consultations (30.1%), although significant variation was observed between countries and patient characteristics.DiscussionFuture work must examine the drivers and determinants of positive experiences using remote care to co-create a supportive environment that ensures equitable adoption and use. Comparative analysis between countries and health systems offers the opportunity for policymakers to learn from best practices internationally.","author":[{"dropping-particle":"","family":"Neves","given":"Ana Luisa","non-dropping-particle":"","parse-names":false,"suffix":""},{"dropping-particle":"","family":"Dael","given":"Jackie","non-dropping-particle":"van","parse-names":false,"suffix":""},{"dropping-particle":"","family":"O’Brien","given":"Niki","non-dropping-particle":"","parse-names":false,"suffix":""},{"dropping-particle":"","family":"Flott","given":"Kelsey","non-dropping-particle":"","parse-names":false,"suffix":""},{"dropping-particle":"","family":"Ghafur","given":"Saira","non-dropping-particle":"","parse-names":false,"suffix":""},{"dropping-particle":"","family":"Darzi","given":"Ara","non-dropping-particle":"","parse-names":false,"suffix":""},{"dropping-particle":"","family":"Mayer","given":"Erik","non-dropping-particle":"","parse-names":false,"suffix":""}],"container-title":"Journal of Telemedicine and Telecare","id":"ITEM-1","issued":{"date-parts":[["2021","12","22"]]},"note":"doi: 10.1177/1357633X211066235","page":"1357633X211066235","publisher":"SAGE Publications","title":"Use and impact of virtual primary care on quality and safety: The public's perspectives during the COVID-19 pandemic","type":"article-journal"},"uris":["http://www.mendeley.com/documents/?uuid=2a5d2873-798c-4ac6-a229-9386b9d63c44"]}],"mendeley":{"formattedCitation":"(Neves et al., 2021)","plainTextFormattedCitation":"(Neves et al., 2021)","previouslyFormattedCitation":"(Neves et al., 2021)"},"properties":{"noteIndex":0},"schema":"https://github.com/citation-style-language/schema/raw/master/csl-citation.json"}</w:instrText>
      </w:r>
      <w:r w:rsidR="00577A9E">
        <w:rPr>
          <w:rFonts w:ascii="Arial" w:eastAsia="Arial" w:hAnsi="Arial" w:cs="Arial"/>
          <w:sz w:val="20"/>
          <w:szCs w:val="20"/>
          <w:vertAlign w:val="superscript"/>
        </w:rPr>
        <w:fldChar w:fldCharType="separate"/>
      </w:r>
      <w:r w:rsidR="004625F7" w:rsidRPr="004625F7">
        <w:rPr>
          <w:rFonts w:ascii="Arial" w:eastAsia="Arial" w:hAnsi="Arial" w:cs="Arial"/>
          <w:noProof/>
          <w:sz w:val="20"/>
          <w:szCs w:val="20"/>
        </w:rPr>
        <w:t>(Neves et al., 2021)</w:t>
      </w:r>
      <w:r w:rsidR="00577A9E">
        <w:rPr>
          <w:rFonts w:ascii="Arial" w:eastAsia="Arial" w:hAnsi="Arial" w:cs="Arial"/>
          <w:sz w:val="20"/>
          <w:szCs w:val="20"/>
          <w:vertAlign w:val="superscript"/>
        </w:rPr>
        <w:fldChar w:fldCharType="end"/>
      </w:r>
      <w:r w:rsidR="004625F7">
        <w:rPr>
          <w:rFonts w:ascii="Arial" w:eastAsia="Arial" w:hAnsi="Arial" w:cs="Arial"/>
          <w:sz w:val="20"/>
          <w:szCs w:val="20"/>
        </w:rPr>
        <w:t xml:space="preserve">. </w:t>
      </w:r>
      <w:r w:rsidRPr="000C73C6">
        <w:rPr>
          <w:rFonts w:ascii="Arial" w:eastAsia="Arial" w:hAnsi="Arial" w:cs="Arial"/>
          <w:sz w:val="20"/>
          <w:szCs w:val="20"/>
        </w:rPr>
        <w:t>The results of our study have shown that the challenges of the COVID-19 pandemic translate into a new set of perceived benefits that were not previously expressed. Themes such as reducing physical contact and containing the spread of infections are now central to users' concerns, potentially highlighting the increased public health and safety risk perception introduced by the pandemic</w:t>
      </w:r>
      <w:r w:rsidR="004625F7">
        <w:rPr>
          <w:rFonts w:ascii="Arial" w:eastAsia="Arial" w:hAnsi="Arial" w:cs="Arial"/>
          <w:sz w:val="20"/>
          <w:szCs w:val="20"/>
        </w:rPr>
        <w:t xml:space="preserve"> </w:t>
      </w:r>
      <w:r w:rsidR="00577A9E">
        <w:rPr>
          <w:rFonts w:ascii="Arial" w:eastAsia="Arial" w:hAnsi="Arial" w:cs="Arial"/>
          <w:sz w:val="20"/>
          <w:szCs w:val="20"/>
          <w:vertAlign w:val="superscript"/>
        </w:rPr>
        <w:fldChar w:fldCharType="begin" w:fldLock="1"/>
      </w:r>
      <w:r w:rsidR="004625F7">
        <w:rPr>
          <w:rFonts w:ascii="Arial" w:eastAsia="Arial" w:hAnsi="Arial" w:cs="Arial"/>
          <w:sz w:val="20"/>
          <w:szCs w:val="20"/>
          <w:vertAlign w:val="superscript"/>
        </w:rPr>
        <w:instrText>ADDIN CSL_CITATION {"citationItems":[{"id":"ITEM-1","itemData":{"DOI":"10.1080/13669877.2021.1890637","ISSN":"1366-9877","author":[{"dropping-particle":"","family":"Schneider","given":"Claudia R","non-dropping-particle":"","parse-names":false,"suffix":""},{"dropping-particle":"","family":"Dryhurst","given":"Sarah","non-dropping-particle":"","parse-names":false,"suffix":""},{"dropping-particle":"","family":"Kerr","given":"John","non-dropping-particle":"","parse-names":false,"suffix":""},{"dropping-particle":"","family":"Freeman","given":"Alexandra L J","non-dropping-particle":"","parse-names":false,"suffix":""},{"dropping-particle":"","family":"Recchia","given":"Gabriel","non-dropping-particle":"","parse-names":false,"suffix":""},{"dropping-particle":"","family":"Spiegelhalter","given":"David","non-dropping-particle":"","parse-names":false,"suffix":""},{"dropping-particle":"","family":"Linden","given":"Sander","non-dropping-particle":"van der","parse-names":false,"suffix":""}],"container-title":"Journal of Risk Research","id":"ITEM-1","issue":"3-4","issued":{"date-parts":[["2021","4","3"]]},"note":"doi: 10.1080/13669877.2021.1890637","page":"294-313","publisher":"Routledge","title":"COVID-19 risk perception: a longitudinal analysis of its predictors and associations with health protective behaviours in the United Kingdom","type":"article-journal","volume":"24"},"uris":["http://www.mendeley.com/documents/?uuid=99272df0-5776-407b-a66b-3928b4f237ce"]}],"mendeley":{"formattedCitation":"(Schneider et al., 2021)","plainTextFormattedCitation":"(Schneider et al., 2021)","previouslyFormattedCitation":"(Schneider et al., 2021)"},"properties":{"noteIndex":0},"schema":"https://github.com/citation-style-language/schema/raw/master/csl-citation.json"}</w:instrText>
      </w:r>
      <w:r w:rsidR="00577A9E">
        <w:rPr>
          <w:rFonts w:ascii="Arial" w:eastAsia="Arial" w:hAnsi="Arial" w:cs="Arial"/>
          <w:sz w:val="20"/>
          <w:szCs w:val="20"/>
          <w:vertAlign w:val="superscript"/>
        </w:rPr>
        <w:fldChar w:fldCharType="separate"/>
      </w:r>
      <w:r w:rsidR="004625F7" w:rsidRPr="004625F7">
        <w:rPr>
          <w:rFonts w:ascii="Arial" w:eastAsia="Arial" w:hAnsi="Arial" w:cs="Arial"/>
          <w:noProof/>
          <w:sz w:val="20"/>
          <w:szCs w:val="20"/>
        </w:rPr>
        <w:t>(Schneider et al., 2021)</w:t>
      </w:r>
      <w:r w:rsidR="00577A9E">
        <w:rPr>
          <w:rFonts w:ascii="Arial" w:eastAsia="Arial" w:hAnsi="Arial" w:cs="Arial"/>
          <w:sz w:val="20"/>
          <w:szCs w:val="20"/>
          <w:vertAlign w:val="superscript"/>
        </w:rPr>
        <w:fldChar w:fldCharType="end"/>
      </w:r>
      <w:r w:rsidR="004625F7">
        <w:rPr>
          <w:rFonts w:ascii="Arial" w:eastAsia="Arial" w:hAnsi="Arial" w:cs="Arial"/>
          <w:sz w:val="20"/>
          <w:szCs w:val="20"/>
        </w:rPr>
        <w:t xml:space="preserve">. </w:t>
      </w:r>
    </w:p>
    <w:p w14:paraId="0000006E" w14:textId="227C47A2" w:rsidR="00920126" w:rsidRPr="000C73C6" w:rsidRDefault="00803966">
      <w:pPr>
        <w:rPr>
          <w:rFonts w:ascii="Arial" w:eastAsia="Arial" w:hAnsi="Arial" w:cs="Arial"/>
          <w:sz w:val="20"/>
          <w:szCs w:val="20"/>
        </w:rPr>
      </w:pPr>
      <w:r w:rsidRPr="000C73C6">
        <w:rPr>
          <w:rFonts w:ascii="Arial" w:eastAsia="Arial" w:hAnsi="Arial" w:cs="Arial"/>
          <w:sz w:val="20"/>
          <w:szCs w:val="20"/>
        </w:rPr>
        <w:t>Among the challenges, prominent themes revolved around the lack of personal contact, physical examination and diagnostic difficulties, underlin</w:t>
      </w:r>
      <w:r w:rsidR="006F7DBE">
        <w:rPr>
          <w:rFonts w:ascii="Arial" w:eastAsia="Arial" w:hAnsi="Arial" w:cs="Arial"/>
          <w:sz w:val="20"/>
          <w:szCs w:val="20"/>
        </w:rPr>
        <w:t>in</w:t>
      </w:r>
      <w:r w:rsidRPr="000C73C6">
        <w:rPr>
          <w:rFonts w:ascii="Arial" w:eastAsia="Arial" w:hAnsi="Arial" w:cs="Arial"/>
          <w:sz w:val="20"/>
          <w:szCs w:val="20"/>
        </w:rPr>
        <w:t xml:space="preserve">g that despite the digitalisation of healthcare, a personal patient-provider relationship is essential and may be at risk through online communication. Virtual consultations may therefore not be equally suitable for all medical scenarios. Previous findings have shown that patients and healthcare providers consider online consultations unsuitable for initial diagnosis, </w:t>
      </w:r>
      <w:r w:rsidR="006F7DBE">
        <w:rPr>
          <w:rFonts w:ascii="Arial" w:eastAsia="Arial" w:hAnsi="Arial" w:cs="Arial"/>
          <w:sz w:val="20"/>
          <w:szCs w:val="20"/>
        </w:rPr>
        <w:t xml:space="preserve">and </w:t>
      </w:r>
      <w:r w:rsidRPr="000C73C6">
        <w:rPr>
          <w:rFonts w:ascii="Arial" w:eastAsia="Arial" w:hAnsi="Arial" w:cs="Arial"/>
          <w:sz w:val="20"/>
          <w:szCs w:val="20"/>
        </w:rPr>
        <w:t>rare and unpredictable conditions</w:t>
      </w:r>
      <w:r w:rsidR="0035409F">
        <w:rPr>
          <w:rFonts w:ascii="Arial" w:eastAsia="Arial" w:hAnsi="Arial" w:cs="Arial"/>
          <w:sz w:val="20"/>
          <w:szCs w:val="20"/>
        </w:rPr>
        <w:t xml:space="preserve"> </w:t>
      </w:r>
      <w:r w:rsidR="00577A9E">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{"citationItems":[{"id":"ITEM-1","itemData":{"DOI":"10.2196/jmir.9897","ISSN":"1438-8871","abstract":"Background: There is much interest in virtual consultations using video technology. Randomized controlled trials have shown video consultations to be acceptable, safe, and effective in selected conditions and circumstances. However, this model has rarely been mainstreamed and sustained in real-world settings. Objective: The study sought to (1) define good practice and inform implementation of video outpatient consultations and (2) generate transferable knowledge about challenges to scaling up and routinizing this service model. Methods: A multilevel, mixed-method study of Skype video consultations (micro level) was embedded in an organizational case study (meso level), taking account of national context and wider influences (macro level). The study followed the introduction of video outpatient consultations in three clinical services (diabetes, diabetes antenatal, and cancer surgery) in a National Health Service trust (covering three hospitals) in London, United Kingdom. Data sources included 36 national-level stakeholders (exploratory and semistructured interviews), longitudinal organizational ethnography (300 hours of observations; 24 staff interviews), 30 videotaped remote consultations, 17 audiotaped face-to-face consultations, and national and local documents. Qualitative data, analyzed using sociotechnical change theories, addressed staff and patient experience and organizational and system drivers. Quantitative data, analyzed via descriptive statistics, included uptake of video consultations by staff and patients and microcategorization of different kinds of talk (using the Roter interaction analysis system). Results: When clinical, technical, and practical preconditions were met, video consultations appeared safe and were popular with some patients and staff. Compared with face-to-face consultations for similar conditions, video consultations were very slightly shorter, patients did slightly more talking, and both parties sometimes needed to make explicit things that typically remained implicit in a traditional encounter. Video consultations appeared to work better when the clinician and patient already knew and trusted each other. Some clinicians used Skype adaptively to respond to patient requests for ad hoc encounters in a way that appeared to strengthen supported self-management. The reality of establishing video outpatient services in a busy and financially stretched acute hospital setting proved more complex and time-consuming than origina…","author":[{"dropping-particle":"","family":"Greenhalgh","given":"Trisha","non-dropping-particle":"","parse-names":false,"suffix":""},{"dropping-particle":"","family":"Shaw","given":"Sara","non-dropping-particle":"","parse-names":false,"suffix":""},{"dropping-particle":"","family":"Wherton","given":"Joseph","non-dropping-particle":"","parse-names":false,"suffix":""},{"dropping-particle":"","family":"Vijayaraghavan","given":"Shanti","non-dropping-particle":"","parse-names":false,"suffix":""},{"dropping-particle":"","family":"Morris","given":"Joanne","non-dropping-particle":"","parse-names":false,"suffix":""},{"dropping-particle":"","family":"Bhattacharya","given":"Satya","non-dropping-particle":"","parse-names":false,"suffix":""},{"dropping-particle":"","family":"Hanson","given":"Philippa","non-dropping-particle":"","parse-names":false,"suffix":""},{"dropping-particle":"","family":"Campbell-Richards","given":"Desirée","non-dropping-particle":"","parse-names":false,"suffix":""},{"dropping-particle":"","family":"Ramoutar","given":"Seendy","non-dropping-particle":"","parse-names":false,"suffix":""},{"dropping-particle":"","family":"Collard","given":"Anna","non-dropping-particle":"","parse-names":false,"suffix":""},{"dropping-particle":"","family":"Hodkinson","given":"Isabel","non-dropping-particle":"","parse-names":false,"suffix":""}],"container-title":"Journal of Medical Internet Research","id":"ITEM-1","issue":"4","issued":{"date-parts":[["2018"]]},"page":"e150","title":"Real-world implementation of video outpatient consultations at macro, meso, and micro levels: mixed-method study","type":"article-journal","volume":"20"},"uris":["http://www.mendeley.com/documents/?uuid=5976c4b5-3976-4ba0-919e-0d1f0975428f"]},{"id":"ITEM-2","itemData":{"DOI":"10.1136/leader-2020-000262","abstract":"Background Following several years of qualitative research, we have developed evidence-based guidance on setting up and conducting remote video consultations. Drawing on emerging evidence, we have also adapted the guidance to ensure accessibility and relevance for those using video calling during and beyond the COVID-19 pandemic.Findings This article describes the research underpinning this guidance material, with a focus on three key areas: (1) IT infrastructure, (2) organisational routines and workflows, and (3) interactional work of a video consultation. Our research highlights that such change is not merely about installing and using new technology. It involves introducing and sustaining major changes to a complex system with multiple interacting components.Conclusion If remote video consultations are to be adopted at scale, implementation will need to follow a socio-technical approach, continually adjusting the technology and work processes to become better aligned.","author":[{"dropping-particle":"","family":"Wherton","given":"Joseph","non-dropping-particle":"","parse-names":false,"suffix":""},{"dropping-particle":"","family":"Shaw","given":"Sara","non-dropping-particle":"","parse-names":false,"suffix":""},{"dropping-particle":"","family":"Papoutsi","given":"Chrysanthi","non-dropping-particle":"","parse-names":false,"suffix":""},{"dropping-particle":"","family":"Seuren","given":"Lucas","non-dropping-particle":"","parse-names":false,"suffix":""},{"dropping-particle":"","family":"Greenhalgh","given":"Trisha","non-dropping-particle":"","parse-names":false,"suffix":""}],"container-title":"BMJ Leader","id":"ITEM-2","issue":"3","issued":{"date-parts":[["2020","9","1"]]},"page":"120-123","title":"Guidance on the introduction and use of video consultations during COVID-19: important lessons from qualitative research","type":"article-journal","volume":"4"},"uris":["http://www.mendeley.com/documents/?uuid=eabc9176-a724-48c7-a817-d6485a4d6618"]}],"mendeley":{"formattedCitation":"(Greenhalgh et al., 2018; Wherton et al., 2020)","plainTextFormattedCitation":"(Greenhalgh et al., 2018; Wherton et al., 2020)","previouslyFormattedCitation":"(Greenhalgh et al., 2018; Wherton et al., 2020)"},"properties":{"noteIndex":0},"schema":"https://github.com/citation-style-language/schema/raw/master/csl-citation.json"}</w:instrText>
      </w:r>
      <w:r w:rsidR="00577A9E">
        <w:rPr>
          <w:rFonts w:ascii="Arial" w:eastAsia="Arial" w:hAnsi="Arial" w:cs="Arial"/>
          <w:sz w:val="20"/>
          <w:szCs w:val="20"/>
        </w:rPr>
        <w:fldChar w:fldCharType="separate"/>
      </w:r>
      <w:r w:rsidR="004625F7" w:rsidRPr="004625F7">
        <w:rPr>
          <w:rFonts w:ascii="Arial" w:eastAsia="Arial" w:hAnsi="Arial" w:cs="Arial"/>
          <w:noProof/>
          <w:sz w:val="20"/>
          <w:szCs w:val="20"/>
        </w:rPr>
        <w:t>(Greenhalgh et al., 2018; Wherton et al., 2020)</w:t>
      </w:r>
      <w:r w:rsidR="00577A9E">
        <w:rPr>
          <w:rFonts w:ascii="Arial" w:eastAsia="Arial" w:hAnsi="Arial" w:cs="Arial"/>
          <w:sz w:val="20"/>
          <w:szCs w:val="20"/>
        </w:rPr>
        <w:fldChar w:fldCharType="end"/>
      </w:r>
      <w:r w:rsidR="0035409F">
        <w:rPr>
          <w:rFonts w:ascii="Arial" w:eastAsia="Arial" w:hAnsi="Arial" w:cs="Arial"/>
          <w:sz w:val="20"/>
          <w:szCs w:val="20"/>
        </w:rPr>
        <w:t>.</w:t>
      </w:r>
      <w:r w:rsidRPr="000C73C6">
        <w:rPr>
          <w:rFonts w:ascii="Arial" w:eastAsia="Arial" w:hAnsi="Arial" w:cs="Arial"/>
          <w:sz w:val="20"/>
          <w:szCs w:val="20"/>
        </w:rPr>
        <w:t xml:space="preserve"> It was found that patient preferences for virtual consultations were dependent on a variety of factors such as age, technology access, their situation of care, their expectations of care, the demands on the patient and the resources to allocate care</w:t>
      </w:r>
      <w:r w:rsidR="0035409F">
        <w:rPr>
          <w:rFonts w:ascii="Arial" w:eastAsia="Arial" w:hAnsi="Arial" w:cs="Arial"/>
          <w:sz w:val="20"/>
          <w:szCs w:val="20"/>
        </w:rPr>
        <w:t xml:space="preserve"> </w:t>
      </w:r>
      <w:r w:rsidR="00577A9E">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{"citationItems":[{"id":"ITEM-1","itemData":{"DOI":"10.1001/jamanetworkopen.2020.5873","ISSN":"2574-3805","abstract":"Video or telephone telemedicine can offer patients access to a clinician without arranging for transportation or spending time in a waiting room, but little is known about patient characteristics associated with choosing between telemedicine or office visits.To examine patient characteristics associated with choosing a telemedicine visit vs office visit with the same primary care clinicians.This cross-sectional study included data from 1 131 722 patients who scheduled a primary care appointment through the Kaiser Permanente Northern California patient portal between January 1, 2016, and May 31, 2018. All completed primary care appointments booked via the patient portal were identified. Only index visits without any other clinical visits within 7 days were included to define a relatively distinct patient-initiated care-seeking episode. Visits for routine physical, which are not telemedicine-eligible, were excluded. Data were analyzed from July 1, 2018, to December 31, 2019.Patient choice between an office, video, or telephone visit. Relative risk ratios (RRRs) for patient sociodemographic characteristics (age, sex, race/ethnicity, neighborhood socioeconomic status, language preference), technology access (neighborhood residential internet, mobile portal use), visiting the patient’s own personal primary care clinician, and in-person visit barriers (travel-time, parking, cost-sharing), associated with choice of video or telephone telemedicine (vs office visit).Of 2 178 440 patient-scheduled primary care visits scheduled by 1 131 722 patients, 86% were scheduled as office visits and 14% as telemedicine visits, with 7% of the telemedicine visits by video. Choosing telemedicine was statistically significantly associated with patient sociodemographic characteristics. For example, patients aged 65 years and over were less likely than patients aged 18 to 44 years to choose telemedicine (RRR, 0.24; 95% CI, 0.22-0.26 for video visit; RRR 0.55; 95% CI, 0.54-0.57 for telephone visit). Choosing telemedicine was also statistically significantly associated with technology access (patients living in a neighborhood with high rates of residential internet access were more likely to choose a video visit than patients whose neighborhoods had low internet access: RRR, 1.10; 95% CI, 1.06-1.14); as well as in-person visit barriers (patients whose clinic had a paid parking structure were more likely to choose a telemedicine visit than patients whose facility had free parking: R…","author":[{"dropping-particle":"","family":"Reed","given":"Mary E","non-dropping-particle":"","parse-names":false,"suffix":""},{"dropping-particle":"","family":"Huang","given":"Jie","non-dropping-particle":"","parse-names":false,"suffix":""},{"dropping-particle":"","family":"Graetz","given":"Ilana","non-dropping-particle":"","parse-names":false,"suffix":""},{"dropping-particle":"","family":"Lee","given":"Catherine","non-dropping-particle":"","parse-names":false,"suffix":""},{"dropping-particle":"","family":"Muelly","given":"Emilie","non-dropping-particle":"","parse-names":false,"suffix":""},{"dropping-particle":"","family":"Kennedy","given":"Chris","non-dropping-particle":"","parse-names":false,"suffix":""},{"dropping-particle":"","family":"Kim","given":"Eileen","non-dropping-particle":"","parse-names":false,"suffix":""}],"container-title":"JAMA Network Open","id":"ITEM-1","issue":"6","issued":{"date-parts":[["2020","6","17"]]},"page":"e205873-e205873","title":"Patient characteristics associated with choosing a telemedicine visit vs office visit with the same primary care clinicians","type":"article-journal","volume":"3"},"uris":["http://www.mendeley.com/documents/?uuid=508a5ca8-79c4-431a-8d87-0120bf80e88f"]},{"id":"ITEM-2","itemData":{"DOI":"10.1016/j.ijmedinf.2017.08.004","ISSN":"2044-6055","author":[{"dropping-particle":"","family":"Gilbert","given":"Anthony W","non-dropping-particle":"","parse-names":false,"suffix":""},{"dropping-particle":"","family":"Jones","given":"Jeremy","non-dropping-particle":"","parse-names":false,"suffix":""},{"dropping-particle":"","family":"Stokes","given":"Maria","non-dropping-particle":"","parse-names":false,"suffix":""},{"dropping-particle":"","family":"May","given":"Carl R","non-dropping-particle":"","parse-names":false,"suffix":""}],"container-title":"BMJ","id":"ITEM-2","issue":"2","issued":{"date-parts":[["2021"]]},"page":"e041038","title":"Factors that influence patient preferences for virtual consultations in an orthopaedic rehabilitation setting: a qualitative study","type":"article-journal","volume":"11"},"uris":["http://www.mendeley.com/documents/?uuid=48b8e98a-7774-4986-aae7-8ade1cb8dad4"]}],"mendeley":{"formattedCitation":"(Gilbert et al., 2021; Reed et al., 2020)","plainTextFormattedCitation":"(Gilbert et al., 2021; Reed et al., 2020)","previouslyFormattedCitation":"(Gilbert et al., 2021; Reed et al., 2020)"},"properties":{"noteIndex":0},"schema":"https://github.com/citation-style-language/schema/raw/master/csl-citation.json"}</w:instrText>
      </w:r>
      <w:r w:rsidR="00577A9E">
        <w:rPr>
          <w:rFonts w:ascii="Arial" w:eastAsia="Arial" w:hAnsi="Arial" w:cs="Arial"/>
          <w:sz w:val="20"/>
          <w:szCs w:val="20"/>
        </w:rPr>
        <w:fldChar w:fldCharType="separate"/>
      </w:r>
      <w:r w:rsidR="004625F7" w:rsidRPr="004625F7">
        <w:rPr>
          <w:rFonts w:ascii="Arial" w:eastAsia="Arial" w:hAnsi="Arial" w:cs="Arial"/>
          <w:noProof/>
          <w:sz w:val="20"/>
          <w:szCs w:val="20"/>
        </w:rPr>
        <w:t>(Gilbert et al., 2021; Reed et al., 2020)</w:t>
      </w:r>
      <w:r w:rsidR="00577A9E">
        <w:rPr>
          <w:rFonts w:ascii="Arial" w:eastAsia="Arial" w:hAnsi="Arial" w:cs="Arial"/>
          <w:sz w:val="20"/>
          <w:szCs w:val="20"/>
        </w:rPr>
        <w:fldChar w:fldCharType="end"/>
      </w:r>
      <w:r w:rsidR="0035409F">
        <w:rPr>
          <w:rFonts w:ascii="Arial" w:eastAsia="Arial" w:hAnsi="Arial" w:cs="Arial"/>
          <w:sz w:val="20"/>
          <w:szCs w:val="20"/>
        </w:rPr>
        <w:t xml:space="preserve">. </w:t>
      </w:r>
    </w:p>
    <w:p w14:paraId="0000006F" w14:textId="554022B5" w:rsidR="00920126" w:rsidRPr="000C73C6" w:rsidRDefault="00803966">
      <w:pPr>
        <w:rPr>
          <w:rFonts w:ascii="Arial" w:eastAsia="Arial" w:hAnsi="Arial" w:cs="Arial"/>
          <w:sz w:val="20"/>
          <w:szCs w:val="20"/>
        </w:rPr>
      </w:pPr>
      <w:r w:rsidRPr="000C73C6">
        <w:rPr>
          <w:rFonts w:ascii="Arial" w:eastAsia="Arial" w:hAnsi="Arial" w:cs="Arial"/>
          <w:sz w:val="20"/>
          <w:szCs w:val="20"/>
        </w:rPr>
        <w:t>Participants’ viewpoints on the benefits and challenges of virtual care technologies are shaped by their unique approaches to information processing</w:t>
      </w:r>
      <w:r w:rsidR="0035409F">
        <w:rPr>
          <w:rFonts w:ascii="Arial" w:eastAsia="Arial" w:hAnsi="Arial" w:cs="Arial"/>
          <w:sz w:val="20"/>
          <w:szCs w:val="20"/>
        </w:rPr>
        <w:t xml:space="preserve"> </w:t>
      </w:r>
      <w:r w:rsidR="00577A9E">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{"citationItems":[{"id":"ITEM-1","itemData":{"ISBN":"8367405145","author":[{"dropping-particle":"","family":"Vuong","given":"Quan-Hoang","non-dropping-particle":"","parse-names":false,"suffix":""}],"id":"ITEM-1","issued":{"date-parts":[["2023"]]},"publisher":"Walter de Gruyter GmbH","title":"Mindsponge theory","type":"book"},"uris":["http://www.mendeley.com/documents/?uuid=d320f65e-f358-463d-97e3-4e17775ef504"]}],"mendeley":{"formattedCitation":"(Vuong, 2023)","plainTextFormattedCitation":"(Vuong, 2023)","previouslyFormattedCitation":"(Vuong, 2023)"},"properties":{"noteIndex":0},"schema":"https://github.com/citation-style-language/schema/raw/master/csl-citation.json"}</w:instrText>
      </w:r>
      <w:r w:rsidR="00577A9E">
        <w:rPr>
          <w:rFonts w:ascii="Arial" w:eastAsia="Arial" w:hAnsi="Arial" w:cs="Arial"/>
          <w:sz w:val="20"/>
          <w:szCs w:val="20"/>
        </w:rPr>
        <w:fldChar w:fldCharType="separate"/>
      </w:r>
      <w:r w:rsidR="004625F7" w:rsidRPr="004625F7">
        <w:rPr>
          <w:rFonts w:ascii="Arial" w:eastAsia="Arial" w:hAnsi="Arial" w:cs="Arial"/>
          <w:noProof/>
          <w:sz w:val="20"/>
          <w:szCs w:val="20"/>
        </w:rPr>
        <w:t>(Vuong, 2023)</w:t>
      </w:r>
      <w:r w:rsidR="00577A9E">
        <w:rPr>
          <w:rFonts w:ascii="Arial" w:eastAsia="Arial" w:hAnsi="Arial" w:cs="Arial"/>
          <w:sz w:val="20"/>
          <w:szCs w:val="20"/>
        </w:rPr>
        <w:fldChar w:fldCharType="end"/>
      </w:r>
      <w:r w:rsidR="0035409F">
        <w:rPr>
          <w:rFonts w:ascii="Arial" w:eastAsia="Arial" w:hAnsi="Arial" w:cs="Arial"/>
          <w:sz w:val="20"/>
          <w:szCs w:val="20"/>
        </w:rPr>
        <w:t>.</w:t>
      </w:r>
      <w:r w:rsidR="00577A9E">
        <w:rPr>
          <w:rFonts w:ascii="Arial" w:eastAsia="Arial" w:hAnsi="Arial" w:cs="Arial"/>
          <w:sz w:val="20"/>
          <w:szCs w:val="20"/>
        </w:rPr>
        <w:t xml:space="preserve"> </w:t>
      </w:r>
      <w:r w:rsidRPr="000C73C6">
        <w:rPr>
          <w:rFonts w:ascii="Arial" w:eastAsia="Arial" w:hAnsi="Arial" w:cs="Arial"/>
          <w:sz w:val="20"/>
          <w:szCs w:val="20"/>
        </w:rPr>
        <w:t xml:space="preserve">How they absorb, process and interpret information is dependent on their existing e-Health knowledge, experiences with technology, cultural backgrounds and cognitive biases. Furthermore, external factors, such as the implications of </w:t>
      </w:r>
      <w:r w:rsidR="006F7DBE">
        <w:rPr>
          <w:rFonts w:ascii="Arial" w:eastAsia="Arial" w:hAnsi="Arial" w:cs="Arial"/>
          <w:sz w:val="20"/>
          <w:szCs w:val="20"/>
        </w:rPr>
        <w:t xml:space="preserve">the </w:t>
      </w:r>
      <w:r w:rsidRPr="000C73C6">
        <w:rPr>
          <w:rFonts w:ascii="Arial" w:eastAsia="Arial" w:hAnsi="Arial" w:cs="Arial"/>
          <w:sz w:val="20"/>
          <w:szCs w:val="20"/>
        </w:rPr>
        <w:t>COVID-19 pandemic, have the potential to trigger shifts in</w:t>
      </w:r>
      <w:r w:rsidR="006F7DBE">
        <w:rPr>
          <w:rFonts w:ascii="Arial" w:eastAsia="Arial" w:hAnsi="Arial" w:cs="Arial"/>
          <w:sz w:val="20"/>
          <w:szCs w:val="20"/>
        </w:rPr>
        <w:t xml:space="preserve"> the</w:t>
      </w:r>
      <w:r w:rsidRPr="000C73C6">
        <w:rPr>
          <w:rFonts w:ascii="Arial" w:eastAsia="Arial" w:hAnsi="Arial" w:cs="Arial"/>
          <w:sz w:val="20"/>
          <w:szCs w:val="20"/>
        </w:rPr>
        <w:t xml:space="preserve"> perception of the benefits and challenges. For instance, the low eHealth literacy of 86.8% of participants may have influenced the perceived benefits and challenges of using virtual care. Participants with low eHealth literacy may have difficulty understanding and navigating digital health platforms and using virtual care services</w:t>
      </w:r>
      <w:r w:rsidR="006F7DBE">
        <w:rPr>
          <w:rFonts w:ascii="Arial" w:eastAsia="Arial" w:hAnsi="Arial" w:cs="Arial"/>
          <w:sz w:val="20"/>
          <w:szCs w:val="20"/>
        </w:rPr>
        <w:t xml:space="preserve"> </w:t>
      </w:r>
      <w:r w:rsidRPr="000C73C6">
        <w:rPr>
          <w:rFonts w:ascii="Arial" w:eastAsia="Arial" w:hAnsi="Arial" w:cs="Arial"/>
          <w:sz w:val="20"/>
          <w:szCs w:val="20"/>
        </w:rPr>
        <w:t xml:space="preserve">and therefore might have experienced more challenges in using virtual care technologies than benefits. There is also the possibility that participants with low eHealth literacy may have provided less detailed, accurate and comprehensive responses, which could have affected the LDA model topics by leading to a narrower or distorted representation of perceptions of virtual care. </w:t>
      </w:r>
    </w:p>
    <w:p w14:paraId="00000070" w14:textId="34CF7291" w:rsidR="00920126" w:rsidRPr="0035409F" w:rsidRDefault="00803966">
      <w:pPr>
        <w:rPr>
          <w:rFonts w:ascii="Arial" w:eastAsia="Arial" w:hAnsi="Arial" w:cs="Arial"/>
          <w:sz w:val="20"/>
          <w:szCs w:val="20"/>
        </w:rPr>
      </w:pPr>
      <w:r w:rsidRPr="000C73C6">
        <w:rPr>
          <w:rFonts w:ascii="Arial" w:eastAsia="Arial" w:hAnsi="Arial" w:cs="Arial"/>
          <w:sz w:val="20"/>
          <w:szCs w:val="20"/>
        </w:rPr>
        <w:t xml:space="preserve">Significant differences in the frequency of mentioning the different themes of benefits and challenges occurred between countries. This could be related to several factors, such as differences in the structure of the primary care system, the speed and extent of the national roll-out of virtual care during the COVID-19 pandemic, the respective status of digital maturity before the pandemic, the general policy response to COVID-19, or the survey administration in different languages. For example, in 2019, the UK and </w:t>
      </w:r>
      <w:r w:rsidRPr="000C73C6">
        <w:rPr>
          <w:rFonts w:ascii="Arial" w:eastAsia="Arial" w:hAnsi="Arial" w:cs="Arial"/>
          <w:sz w:val="20"/>
          <w:szCs w:val="20"/>
        </w:rPr>
        <w:lastRenderedPageBreak/>
        <w:t>Sweden ranked ahead of Italy and Germany in the speed of digitising their national health systems</w:t>
      </w:r>
      <w:r w:rsidR="0035409F">
        <w:rPr>
          <w:rFonts w:ascii="Arial" w:eastAsia="Arial" w:hAnsi="Arial" w:cs="Arial"/>
          <w:sz w:val="20"/>
          <w:szCs w:val="20"/>
        </w:rPr>
        <w:t xml:space="preserve"> </w:t>
      </w:r>
      <w:r w:rsidR="00577A9E">
        <w:rPr>
          <w:rFonts w:ascii="Arial" w:eastAsia="Arial" w:hAnsi="Arial" w:cs="Arial"/>
          <w:sz w:val="20"/>
          <w:szCs w:val="20"/>
        </w:rPr>
        <w:fldChar w:fldCharType="begin" w:fldLock="1"/>
      </w:r>
      <w:r w:rsidR="004625F7">
        <w:rPr>
          <w:rFonts w:ascii="Arial" w:eastAsia="Arial" w:hAnsi="Arial" w:cs="Arial"/>
          <w:sz w:val="20"/>
          <w:szCs w:val="20"/>
        </w:rPr>
        <w:instrText>ADDIN CSL_CITATION {"citationItems":[{"id":"ITEM-1","itemData":{"URL":"https://www.bertelsmann-stiftung.de/en/publications/publication/did/summary-smarthealthsystems-focus-europe","accessed":{"date-parts":[["2021","11","10"]]},"author":[{"dropping-particle":"","family":"Bertelsmann Stiftung","given":"","non-dropping-particle":"","parse-names":false,"suffix":""}],"id":"ITEM-1","issued":{"date-parts":[["2019"]]},"title":"Summary #SmartHealthSystems – Focus Europe","type":"webpage"},"uris":["http://www.mendeley.com/documents/?uuid=4c474b4d-cbd1-4b6c-8442-fd980b26347c"]}],"mendeley":{"formattedCitation":"(Bertelsmann Stiftung, 2019)","plainTextFormattedCitation":"(Bertelsmann Stiftung, 2019)","previouslyFormattedCitation":"(Bertelsmann Stiftung, 2019)"},"properties":{"noteIndex":0},"schema":"https://github.com/citation-style-language/schema/raw/master/csl-citation.json"}</w:instrText>
      </w:r>
      <w:r w:rsidR="00577A9E">
        <w:rPr>
          <w:rFonts w:ascii="Arial" w:eastAsia="Arial" w:hAnsi="Arial" w:cs="Arial"/>
          <w:sz w:val="20"/>
          <w:szCs w:val="20"/>
        </w:rPr>
        <w:fldChar w:fldCharType="separate"/>
      </w:r>
      <w:r w:rsidR="004625F7" w:rsidRPr="004625F7">
        <w:rPr>
          <w:rFonts w:ascii="Arial" w:eastAsia="Arial" w:hAnsi="Arial" w:cs="Arial"/>
          <w:noProof/>
          <w:sz w:val="20"/>
          <w:szCs w:val="20"/>
        </w:rPr>
        <w:t>(Bertelsmann Stiftung, 2019)</w:t>
      </w:r>
      <w:r w:rsidR="00577A9E">
        <w:rPr>
          <w:rFonts w:ascii="Arial" w:eastAsia="Arial" w:hAnsi="Arial" w:cs="Arial"/>
          <w:sz w:val="20"/>
          <w:szCs w:val="20"/>
        </w:rPr>
        <w:fldChar w:fldCharType="end"/>
      </w:r>
      <w:r w:rsidR="0035409F">
        <w:rPr>
          <w:rFonts w:ascii="Arial" w:eastAsia="Arial" w:hAnsi="Arial" w:cs="Arial"/>
          <w:sz w:val="20"/>
          <w:szCs w:val="20"/>
        </w:rPr>
        <w:t xml:space="preserve">. </w:t>
      </w:r>
      <w:r w:rsidRPr="000C73C6">
        <w:rPr>
          <w:rFonts w:ascii="Arial" w:eastAsia="Arial" w:hAnsi="Arial" w:cs="Arial"/>
          <w:sz w:val="20"/>
          <w:szCs w:val="20"/>
        </w:rPr>
        <w:t>Having strategies to strengthen virtual care already years before the pandemic, respondents f</w:t>
      </w:r>
      <w:r w:rsidR="006F7DBE">
        <w:rPr>
          <w:rFonts w:ascii="Arial" w:eastAsia="Arial" w:hAnsi="Arial" w:cs="Arial"/>
          <w:sz w:val="20"/>
          <w:szCs w:val="20"/>
        </w:rPr>
        <w:t>rom</w:t>
      </w:r>
      <w:r w:rsidRPr="000C73C6">
        <w:rPr>
          <w:rFonts w:ascii="Arial" w:eastAsia="Arial" w:hAnsi="Arial" w:cs="Arial"/>
          <w:sz w:val="20"/>
          <w:szCs w:val="20"/>
        </w:rPr>
        <w:t xml:space="preserve"> the UK may have had more experience with virtual care and thus may have mentioned the lack of personal contact and risks to data and protection significantly less than respondents from Germany and Italy</w:t>
      </w:r>
      <w:r w:rsidR="0035409F">
        <w:rPr>
          <w:rFonts w:ascii="Arial" w:eastAsia="Arial" w:hAnsi="Arial" w:cs="Arial"/>
          <w:sz w:val="20"/>
          <w:szCs w:val="20"/>
        </w:rPr>
        <w:t xml:space="preserve"> </w:t>
      </w:r>
      <w:r w:rsidR="00577A9E">
        <w:rPr>
          <w:rFonts w:ascii="Arial" w:eastAsia="Arial" w:hAnsi="Arial" w:cs="Arial"/>
          <w:sz w:val="20"/>
          <w:szCs w:val="20"/>
          <w:vertAlign w:val="superscript"/>
        </w:rPr>
        <w:fldChar w:fldCharType="begin" w:fldLock="1"/>
      </w:r>
      <w:r w:rsidR="004625F7">
        <w:rPr>
          <w:rFonts w:ascii="Arial" w:eastAsia="Arial" w:hAnsi="Arial" w:cs="Arial"/>
          <w:sz w:val="20"/>
          <w:szCs w:val="20"/>
          <w:vertAlign w:val="superscript"/>
        </w:rPr>
        <w:instrText>ADDIN CSL_CITATION {"citationItems":[{"id":"ITEM-1","itemData":{"URL":"https://www.england.nhs.uk/gp/digital-first-primary-care/","accessed":{"date-parts":[["2021","5","28"]]},"author":[{"dropping-particle":"","family":"NHS England","given":"","non-dropping-particle":"","parse-names":false,"suffix":""}],"id":"ITEM-1","issued":{"date-parts":[["0"]]},"title":"Digital first primary care","type":"webpage"},"uris":["http://www.mendeley.com/documents/?uuid=2233850a-aa3a-41a8-b5ee-1ab85513df53"]}],"mendeley":{"formattedCitation":"(NHS England, n.d.)","plainTextFormattedCitation":"(NHS England, n.d.)","previouslyFormattedCitation":"(NHS England, n.d.)"},"properties":{"noteIndex":0},"schema":"https://github.com/citation-style-language/schema/raw/master/csl-citation.json"}</w:instrText>
      </w:r>
      <w:r w:rsidR="00577A9E">
        <w:rPr>
          <w:rFonts w:ascii="Arial" w:eastAsia="Arial" w:hAnsi="Arial" w:cs="Arial"/>
          <w:sz w:val="20"/>
          <w:szCs w:val="20"/>
          <w:vertAlign w:val="superscript"/>
        </w:rPr>
        <w:fldChar w:fldCharType="separate"/>
      </w:r>
      <w:r w:rsidR="004625F7" w:rsidRPr="004625F7">
        <w:rPr>
          <w:rFonts w:ascii="Arial" w:eastAsia="Arial" w:hAnsi="Arial" w:cs="Arial"/>
          <w:noProof/>
          <w:sz w:val="20"/>
          <w:szCs w:val="20"/>
        </w:rPr>
        <w:t>(NHS England, n.d.)</w:t>
      </w:r>
      <w:r w:rsidR="00577A9E">
        <w:rPr>
          <w:rFonts w:ascii="Arial" w:eastAsia="Arial" w:hAnsi="Arial" w:cs="Arial"/>
          <w:sz w:val="20"/>
          <w:szCs w:val="20"/>
          <w:vertAlign w:val="superscript"/>
        </w:rPr>
        <w:fldChar w:fldCharType="end"/>
      </w:r>
      <w:r w:rsidR="0035409F">
        <w:rPr>
          <w:rFonts w:ascii="Arial" w:eastAsia="Arial" w:hAnsi="Arial" w:cs="Arial"/>
          <w:sz w:val="20"/>
          <w:szCs w:val="20"/>
        </w:rPr>
        <w:t xml:space="preserve">. </w:t>
      </w:r>
    </w:p>
    <w:p w14:paraId="00000071" w14:textId="77777777" w:rsidR="00920126" w:rsidRPr="000C73C6" w:rsidRDefault="00803966">
      <w:pPr>
        <w:rPr>
          <w:rFonts w:ascii="Arial" w:eastAsia="Arial" w:hAnsi="Arial" w:cs="Arial"/>
          <w:sz w:val="20"/>
          <w:szCs w:val="20"/>
        </w:rPr>
      </w:pPr>
      <w:r w:rsidRPr="000C73C6">
        <w:rPr>
          <w:rFonts w:ascii="Arial" w:eastAsia="Arial" w:hAnsi="Arial" w:cs="Arial"/>
          <w:sz w:val="20"/>
          <w:szCs w:val="20"/>
        </w:rPr>
        <w:t xml:space="preserve">It remains to be answered to which extent the cross-country differences were influenced by the individual user preferences or the systemic factors mentioned above. Future research may focus on elaborating on these quantitative findings using qualitative approaches. More international studies that consider digitalisation indices, indices on health systems performance and virtual care user profiles are needed to guide future policy decisions and identify best-practice examples. </w:t>
      </w:r>
    </w:p>
    <w:p w14:paraId="00000072" w14:textId="77777777" w:rsidR="00920126" w:rsidRPr="000C73C6" w:rsidRDefault="00920126">
      <w:pPr>
        <w:rPr>
          <w:rFonts w:ascii="Arial" w:eastAsia="Arial" w:hAnsi="Arial" w:cs="Arial"/>
          <w:sz w:val="20"/>
          <w:szCs w:val="20"/>
        </w:rPr>
      </w:pPr>
    </w:p>
    <w:p w14:paraId="00000073" w14:textId="77777777" w:rsidR="00920126" w:rsidRPr="000C73C6" w:rsidRDefault="00803966">
      <w:pPr>
        <w:rPr>
          <w:rFonts w:ascii="Arial" w:eastAsia="Arial" w:hAnsi="Arial" w:cs="Arial"/>
          <w:i/>
          <w:sz w:val="20"/>
          <w:szCs w:val="20"/>
        </w:rPr>
      </w:pPr>
      <w:r w:rsidRPr="000C73C6">
        <w:rPr>
          <w:rFonts w:ascii="Arial" w:eastAsia="Arial" w:hAnsi="Arial" w:cs="Arial"/>
          <w:i/>
          <w:sz w:val="20"/>
          <w:szCs w:val="20"/>
        </w:rPr>
        <w:t>Strengths and limitations</w:t>
      </w:r>
    </w:p>
    <w:p w14:paraId="00000074" w14:textId="701FC51A" w:rsidR="00920126" w:rsidRPr="000C73C6" w:rsidRDefault="00803966">
      <w:pPr>
        <w:widowControl w:val="0"/>
        <w:pBdr>
          <w:top w:val="nil"/>
          <w:left w:val="nil"/>
          <w:bottom w:val="nil"/>
          <w:right w:val="nil"/>
          <w:between w:val="nil"/>
        </w:pBdr>
        <w:rPr>
          <w:rFonts w:ascii="Arial" w:eastAsia="Arial" w:hAnsi="Arial" w:cs="Arial"/>
          <w:sz w:val="20"/>
          <w:szCs w:val="20"/>
        </w:rPr>
      </w:pPr>
      <w:r w:rsidRPr="000C73C6">
        <w:rPr>
          <w:rFonts w:ascii="Arial" w:eastAsia="Arial" w:hAnsi="Arial" w:cs="Arial"/>
          <w:sz w:val="20"/>
          <w:szCs w:val="20"/>
        </w:rPr>
        <w:t xml:space="preserve">This is the first large sample size international study to explore the patient perspective on the benefits and challenges of using virtual care in primary care during the COVID-19 pandemic. Our findings contribute to better identification of the lessons learned and inform rapid improvements in policy and practice of virtual primary care. The results underline the increasing relevance of digital health technologies in primary care and the growing acceptance and demand among patients. However, the study also highlights the risks that arise from their use, such as threats to privacy, inaccurate diagnoses, or the lack of personal contact. Future research may focus on the implications of the different technological modalities, examining changes in the patient-doctor relationship, and considering the long-term impact of virtual care beyond the pandemic. </w:t>
      </w:r>
    </w:p>
    <w:p w14:paraId="00000075" w14:textId="77777777" w:rsidR="00920126" w:rsidRPr="000C73C6" w:rsidRDefault="00803966">
      <w:pPr>
        <w:rPr>
          <w:rFonts w:ascii="Arial" w:eastAsia="Arial" w:hAnsi="Arial" w:cs="Arial"/>
          <w:sz w:val="20"/>
          <w:szCs w:val="20"/>
        </w:rPr>
      </w:pPr>
      <w:r w:rsidRPr="000C73C6">
        <w:rPr>
          <w:rFonts w:ascii="Arial" w:eastAsia="Arial" w:hAnsi="Arial" w:cs="Arial"/>
          <w:sz w:val="20"/>
          <w:szCs w:val="20"/>
        </w:rPr>
        <w:t>While various variables on patient characteristics were included, data on implications of individual technologies (e.g., phone, video, web-based) was not collected. As the study did not collect data before the pandemic, it is difficult to examine possible changes in use and perspectives triggered by the pandemic or to make comparisons over time. Further, common limitations of survey designs such as social desirability, self-reported recall and self-selection apply.</w:t>
      </w:r>
    </w:p>
    <w:p w14:paraId="00000078" w14:textId="69D7E871" w:rsidR="00920126" w:rsidRPr="000C73C6" w:rsidRDefault="00803966">
      <w:pPr>
        <w:rPr>
          <w:rFonts w:ascii="Arial" w:eastAsia="Arial" w:hAnsi="Arial" w:cs="Arial"/>
          <w:sz w:val="20"/>
          <w:szCs w:val="20"/>
        </w:rPr>
      </w:pPr>
      <w:r w:rsidRPr="000C73C6">
        <w:rPr>
          <w:rFonts w:ascii="Arial" w:eastAsia="Arial" w:hAnsi="Arial" w:cs="Arial"/>
          <w:sz w:val="20"/>
          <w:szCs w:val="20"/>
        </w:rPr>
        <w:t>Topic modelling and statistical analysis emulated quantitative analysis to analyse the large data set. Human interaction in pre-processing, choosing the LDA model and topic labelling was necessary for the LDA model because the exclusive use of statistical tools and computation risks losing the semantic structure of the data. While the algorithm provided an overview of representative topics, granular insights on patient perception, as well as contextual and domain-specific analysis were not possible. Translating survey responses from different languages into English using artificial intelligence software may have affected the topic modelling. For example, the translation may have introduced errors or variations in the original language usage and cultural nuances, as well as changes in contextual information that were not captured by the algorithms and may have led to misinterpretation and loss of meaning of the information, resulting in bias or inaccuracy in the derived topics. Following previous criticisms of the use of thematic modelling</w:t>
      </w:r>
      <w:r w:rsidR="006F7DBE">
        <w:rPr>
          <w:rFonts w:ascii="Arial" w:eastAsia="Arial" w:hAnsi="Arial" w:cs="Arial"/>
          <w:sz w:val="20"/>
          <w:szCs w:val="20"/>
        </w:rPr>
        <w:t>,</w:t>
      </w:r>
      <w:r w:rsidRPr="000C73C6">
        <w:rPr>
          <w:rFonts w:ascii="Arial" w:eastAsia="Arial" w:hAnsi="Arial" w:cs="Arial"/>
          <w:sz w:val="20"/>
          <w:szCs w:val="20"/>
        </w:rPr>
        <w:t xml:space="preserve"> there may be cause for scepticism about the degree to which topics match textual statements in the LDA results</w:t>
      </w:r>
      <w:r w:rsidR="0035409F">
        <w:rPr>
          <w:rFonts w:ascii="Arial" w:eastAsia="Arial" w:hAnsi="Arial" w:cs="Arial"/>
          <w:sz w:val="20"/>
          <w:szCs w:val="20"/>
        </w:rPr>
        <w:t xml:space="preserve"> </w:t>
      </w:r>
      <w:r w:rsidR="00577A9E">
        <w:rPr>
          <w:rFonts w:ascii="Arial" w:eastAsia="Arial" w:hAnsi="Arial" w:cs="Arial"/>
          <w:sz w:val="20"/>
          <w:szCs w:val="20"/>
          <w:vertAlign w:val="superscript"/>
        </w:rPr>
        <w:fldChar w:fldCharType="begin" w:fldLock="1"/>
      </w:r>
      <w:r w:rsidR="004625F7">
        <w:rPr>
          <w:rFonts w:ascii="Arial" w:eastAsia="Arial" w:hAnsi="Arial" w:cs="Arial"/>
          <w:sz w:val="20"/>
          <w:szCs w:val="20"/>
          <w:vertAlign w:val="superscript"/>
        </w:rPr>
        <w:instrText>ADDIN CSL_CITATION {"citationItems":[{"id":"ITEM-1","itemData":{"author":[{"dropping-particle":"","family":"Mimno","given":"David","non-dropping-particle":"","parse-names":false,"suffix":""},{"dropping-particle":"","family":"Wallach","given":"Hanna","non-dropping-particle":"","parse-names":false,"suffix":""},{"dropping-particle":"","family":"Talley","given":"Edmund","non-dropping-particle":"","parse-names":false,"suffix":""},{"dropping-particle":"","family":"Leenders","given":"Miriam","non-dropping-particle":"","parse-names":false,"suffix":""},{"dropping-particle":"","family":"McCallum","given":"Andrew","non-dropping-particle":"","parse-names":false,"suffix":""}],"container-title":"Proceedings of the 2011 conference on Empirical Methods in Natural Language Processing","id":"ITEM-1","issued":{"date-parts":[["2011"]]},"page":"262-272","publisher":"Association for Computing Machinery","publisher-place":"Edinburgh, UK","title":"Optimizing semantic coherence in topic models","type":"paper-conference"},"uris":["http://www.mendeley.com/documents/?uuid=f98977a7-271b-43bc-a40a-39a3217c4dd9"]}],"mendeley":{"formattedCitation":"(Mimno et al., 2011)","plainTextFormattedCitation":"(Mimno et al., 2011)","previouslyFormattedCitation":"(Mimno et al., 2011)"},"properties":{"noteIndex":0},"schema":"https://github.com/citation-style-language/schema/raw/master/csl-citation.json"}</w:instrText>
      </w:r>
      <w:r w:rsidR="00577A9E">
        <w:rPr>
          <w:rFonts w:ascii="Arial" w:eastAsia="Arial" w:hAnsi="Arial" w:cs="Arial"/>
          <w:sz w:val="20"/>
          <w:szCs w:val="20"/>
          <w:vertAlign w:val="superscript"/>
        </w:rPr>
        <w:fldChar w:fldCharType="separate"/>
      </w:r>
      <w:r w:rsidR="004625F7" w:rsidRPr="004625F7">
        <w:rPr>
          <w:rFonts w:ascii="Arial" w:eastAsia="Arial" w:hAnsi="Arial" w:cs="Arial"/>
          <w:noProof/>
          <w:sz w:val="20"/>
          <w:szCs w:val="20"/>
        </w:rPr>
        <w:t>(Mimno et al., 2011)</w:t>
      </w:r>
      <w:r w:rsidR="00577A9E">
        <w:rPr>
          <w:rFonts w:ascii="Arial" w:eastAsia="Arial" w:hAnsi="Arial" w:cs="Arial"/>
          <w:sz w:val="20"/>
          <w:szCs w:val="20"/>
          <w:vertAlign w:val="superscript"/>
        </w:rPr>
        <w:fldChar w:fldCharType="end"/>
      </w:r>
      <w:r w:rsidR="0035409F">
        <w:rPr>
          <w:rFonts w:ascii="Arial" w:eastAsia="Arial" w:hAnsi="Arial" w:cs="Arial"/>
          <w:sz w:val="20"/>
          <w:szCs w:val="20"/>
        </w:rPr>
        <w:t>.</w:t>
      </w:r>
      <w:r w:rsidRPr="000C73C6">
        <w:rPr>
          <w:rFonts w:ascii="Arial" w:eastAsia="Arial" w:hAnsi="Arial" w:cs="Arial"/>
          <w:sz w:val="20"/>
          <w:szCs w:val="20"/>
        </w:rPr>
        <w:t xml:space="preserve"> Reasons for this could be </w:t>
      </w:r>
      <w:proofErr w:type="gramStart"/>
      <w:r w:rsidRPr="000C73C6">
        <w:rPr>
          <w:rFonts w:ascii="Arial" w:eastAsia="Arial" w:hAnsi="Arial" w:cs="Arial"/>
          <w:sz w:val="20"/>
          <w:szCs w:val="20"/>
        </w:rPr>
        <w:t>that topics</w:t>
      </w:r>
      <w:proofErr w:type="gramEnd"/>
      <w:r w:rsidRPr="000C73C6">
        <w:rPr>
          <w:rFonts w:ascii="Arial" w:eastAsia="Arial" w:hAnsi="Arial" w:cs="Arial"/>
          <w:sz w:val="20"/>
          <w:szCs w:val="20"/>
        </w:rPr>
        <w:t xml:space="preserve"> such as “primary care delivery”, “virtual care” and “patient-doctor interaction” consist of a heterogeneous mix of words. However, it could also be argued that these topics underline the importance of different areas of application of virtual care and the variety of virtual services to patients.</w:t>
      </w:r>
      <w:r w:rsidR="006F7DBE">
        <w:rPr>
          <w:rFonts w:ascii="Arial" w:eastAsia="Arial" w:hAnsi="Arial" w:cs="Arial"/>
          <w:sz w:val="20"/>
          <w:szCs w:val="20"/>
        </w:rPr>
        <w:t xml:space="preserve"> </w:t>
      </w:r>
      <w:r w:rsidRPr="000C73C6">
        <w:rPr>
          <w:rFonts w:ascii="Arial" w:eastAsia="Arial" w:hAnsi="Arial" w:cs="Arial"/>
          <w:sz w:val="20"/>
          <w:szCs w:val="20"/>
        </w:rPr>
        <w:t xml:space="preserve">Future research should evaluate how the method compares with traditional, non-automated thematic analysis; this could be achieved by analysing the responses using traditional thematic analysis and comparing the results in what concerns both content and </w:t>
      </w:r>
      <w:r w:rsidR="006F7DBE" w:rsidRPr="000C73C6">
        <w:rPr>
          <w:rFonts w:ascii="Arial" w:eastAsia="Arial" w:hAnsi="Arial" w:cs="Arial"/>
          <w:sz w:val="20"/>
          <w:szCs w:val="20"/>
        </w:rPr>
        <w:t>granularity and</w:t>
      </w:r>
      <w:r w:rsidRPr="000C73C6">
        <w:rPr>
          <w:rFonts w:ascii="Arial" w:eastAsia="Arial" w:hAnsi="Arial" w:cs="Arial"/>
          <w:sz w:val="20"/>
          <w:szCs w:val="20"/>
        </w:rPr>
        <w:t xml:space="preserve"> explor</w:t>
      </w:r>
      <w:r w:rsidR="006F7DBE">
        <w:rPr>
          <w:rFonts w:ascii="Arial" w:eastAsia="Arial" w:hAnsi="Arial" w:cs="Arial"/>
          <w:sz w:val="20"/>
          <w:szCs w:val="20"/>
        </w:rPr>
        <w:t>ing</w:t>
      </w:r>
      <w:r w:rsidRPr="000C73C6">
        <w:rPr>
          <w:rFonts w:ascii="Arial" w:eastAsia="Arial" w:hAnsi="Arial" w:cs="Arial"/>
          <w:sz w:val="20"/>
          <w:szCs w:val="20"/>
        </w:rPr>
        <w:t xml:space="preserve"> the potential for synergies using both methods as complementary approaches.</w:t>
      </w:r>
    </w:p>
    <w:p w14:paraId="00000079" w14:textId="33D41591" w:rsidR="00920126" w:rsidRPr="000C73C6" w:rsidRDefault="00803966">
      <w:pPr>
        <w:rPr>
          <w:rFonts w:ascii="Arial" w:eastAsia="Arial" w:hAnsi="Arial" w:cs="Arial"/>
          <w:sz w:val="20"/>
          <w:szCs w:val="20"/>
        </w:rPr>
      </w:pPr>
      <w:r w:rsidRPr="000C73C6">
        <w:rPr>
          <w:rFonts w:ascii="Arial" w:eastAsia="Arial" w:hAnsi="Arial" w:cs="Arial"/>
          <w:sz w:val="20"/>
          <w:szCs w:val="20"/>
        </w:rPr>
        <w:t>Overall, this study contributes to the growing body of knowledge on virtual care in primary care during the COVID-19 pandemic. It underscores the importance of incorporating the patient perspective in understanding the benefits and challenges of virtual care highlighting areas for improvement in policy and practice. Recommendations for its future practice include enhancing eHealth literacy in patient</w:t>
      </w:r>
      <w:r w:rsidR="006F7DBE">
        <w:rPr>
          <w:rFonts w:ascii="Arial" w:eastAsia="Arial" w:hAnsi="Arial" w:cs="Arial"/>
          <w:sz w:val="20"/>
          <w:szCs w:val="20"/>
        </w:rPr>
        <w:t>s</w:t>
      </w:r>
      <w:r w:rsidRPr="000C73C6">
        <w:rPr>
          <w:rFonts w:ascii="Arial" w:eastAsia="Arial" w:hAnsi="Arial" w:cs="Arial"/>
          <w:sz w:val="20"/>
          <w:szCs w:val="20"/>
        </w:rPr>
        <w:t xml:space="preserve"> and healthcare professionals, introducing hybrid models that combine virtual and in-person care to balance out personal interaction and remote convenience, improving</w:t>
      </w:r>
      <w:r w:rsidR="006F7DBE">
        <w:rPr>
          <w:rFonts w:ascii="Arial" w:eastAsia="Arial" w:hAnsi="Arial" w:cs="Arial"/>
          <w:sz w:val="20"/>
          <w:szCs w:val="20"/>
        </w:rPr>
        <w:t xml:space="preserve"> the</w:t>
      </w:r>
      <w:r w:rsidRPr="000C73C6">
        <w:rPr>
          <w:rFonts w:ascii="Arial" w:eastAsia="Arial" w:hAnsi="Arial" w:cs="Arial"/>
          <w:sz w:val="20"/>
          <w:szCs w:val="20"/>
        </w:rPr>
        <w:t xml:space="preserve"> user-centred design of virtual care technologies and defining clear medical needs for their application. Maintaining trust in virtual technologies is essential, thus data security and privacy </w:t>
      </w:r>
      <w:r w:rsidR="006F7DBE">
        <w:rPr>
          <w:rFonts w:ascii="Arial" w:eastAsia="Arial" w:hAnsi="Arial" w:cs="Arial"/>
          <w:sz w:val="20"/>
          <w:szCs w:val="20"/>
        </w:rPr>
        <w:t xml:space="preserve">are </w:t>
      </w:r>
      <w:r w:rsidRPr="000C73C6">
        <w:rPr>
          <w:rFonts w:ascii="Arial" w:eastAsia="Arial" w:hAnsi="Arial" w:cs="Arial"/>
          <w:sz w:val="20"/>
          <w:szCs w:val="20"/>
        </w:rPr>
        <w:t xml:space="preserve">vital. Differences among age groups, gender, and countries of residence were observed, indicating that preferences and priorities regarding virtual care may vary based on these factors. </w:t>
      </w:r>
      <w:r w:rsidRPr="0098359A">
        <w:rPr>
          <w:rFonts w:ascii="Arial" w:hAnsi="Arial" w:cs="Arial"/>
          <w:sz w:val="20"/>
          <w:szCs w:val="20"/>
        </w:rPr>
        <w:t xml:space="preserve">Our findings underline the increasing relevance of topic modelling in identifying key issues as part of an automated exploratory approach. </w:t>
      </w:r>
      <w:r w:rsidRPr="000C73C6">
        <w:rPr>
          <w:rFonts w:ascii="Arial" w:eastAsia="Arial" w:hAnsi="Arial" w:cs="Arial"/>
          <w:sz w:val="20"/>
          <w:szCs w:val="20"/>
        </w:rPr>
        <w:t>By learning from this major real-life experiment of digital care, we can better shape the future of virtual care delivery in a post-pandemic world.</w:t>
      </w:r>
    </w:p>
    <w:p w14:paraId="0000007A" w14:textId="77777777" w:rsidR="00920126" w:rsidRPr="000C73C6" w:rsidRDefault="00920126">
      <w:pPr>
        <w:rPr>
          <w:rFonts w:ascii="Arial" w:eastAsia="Arial" w:hAnsi="Arial" w:cs="Arial"/>
          <w:sz w:val="20"/>
          <w:szCs w:val="20"/>
        </w:rPr>
      </w:pPr>
    </w:p>
    <w:p w14:paraId="0000007B" w14:textId="77777777" w:rsidR="00920126" w:rsidRPr="000C73C6" w:rsidRDefault="00920126">
      <w:pPr>
        <w:rPr>
          <w:rFonts w:ascii="Arial" w:eastAsia="Arial" w:hAnsi="Arial" w:cs="Arial"/>
          <w:b/>
          <w:sz w:val="20"/>
          <w:szCs w:val="20"/>
        </w:rPr>
      </w:pPr>
    </w:p>
    <w:p w14:paraId="0000007C" w14:textId="77777777" w:rsidR="00920126" w:rsidRPr="000C73C6" w:rsidRDefault="00803966">
      <w:pPr>
        <w:rPr>
          <w:rFonts w:ascii="Arial" w:eastAsia="Arial" w:hAnsi="Arial" w:cs="Arial"/>
          <w:b/>
          <w:sz w:val="20"/>
          <w:szCs w:val="20"/>
        </w:rPr>
      </w:pPr>
      <w:r w:rsidRPr="000C73C6">
        <w:rPr>
          <w:rFonts w:ascii="Arial" w:hAnsi="Arial" w:cs="Arial"/>
          <w:sz w:val="20"/>
          <w:szCs w:val="20"/>
        </w:rPr>
        <w:lastRenderedPageBreak/>
        <w:br w:type="page"/>
      </w:r>
    </w:p>
    <w:p w14:paraId="0000007D" w14:textId="77777777" w:rsidR="00920126" w:rsidRDefault="00803966">
      <w:pPr>
        <w:pStyle w:val="Heading1"/>
        <w:rPr>
          <w:rFonts w:ascii="Arial" w:eastAsia="Arial" w:hAnsi="Arial" w:cs="Arial"/>
          <w:sz w:val="20"/>
          <w:szCs w:val="20"/>
        </w:rPr>
      </w:pPr>
      <w:r w:rsidRPr="000C73C6">
        <w:rPr>
          <w:rFonts w:ascii="Arial" w:eastAsia="Arial" w:hAnsi="Arial" w:cs="Arial"/>
          <w:sz w:val="20"/>
          <w:szCs w:val="20"/>
        </w:rPr>
        <w:lastRenderedPageBreak/>
        <w:t>References</w:t>
      </w:r>
    </w:p>
    <w:p w14:paraId="20023E1B" w14:textId="302E609F" w:rsidR="004625F7" w:rsidRPr="004625F7" w:rsidRDefault="00577A9E" w:rsidP="004625F7">
      <w:pPr>
        <w:widowControl w:val="0"/>
        <w:autoSpaceDE w:val="0"/>
        <w:autoSpaceDN w:val="0"/>
        <w:adjustRightInd w:val="0"/>
        <w:ind w:left="480" w:hanging="480"/>
        <w:rPr>
          <w:rFonts w:ascii="Arial" w:hAnsi="Arial" w:cs="Arial"/>
          <w:noProof/>
          <w:sz w:val="20"/>
        </w:rPr>
      </w:pPr>
      <w:r w:rsidRPr="00577A9E">
        <w:rPr>
          <w:rFonts w:ascii="Arial" w:eastAsia="Arial" w:hAnsi="Arial" w:cs="Arial"/>
          <w:sz w:val="20"/>
          <w:szCs w:val="20"/>
        </w:rPr>
        <w:fldChar w:fldCharType="begin" w:fldLock="1"/>
      </w:r>
      <w:r w:rsidRPr="00577A9E">
        <w:rPr>
          <w:rFonts w:ascii="Arial" w:eastAsia="Arial" w:hAnsi="Arial" w:cs="Arial"/>
          <w:sz w:val="20"/>
          <w:szCs w:val="20"/>
        </w:rPr>
        <w:instrText xml:space="preserve">ADDIN Mendeley Bibliography CSL_BIBLIOGRAPHY </w:instrText>
      </w:r>
      <w:r w:rsidRPr="00577A9E">
        <w:rPr>
          <w:rFonts w:ascii="Arial" w:eastAsia="Arial" w:hAnsi="Arial" w:cs="Arial"/>
          <w:sz w:val="20"/>
          <w:szCs w:val="20"/>
        </w:rPr>
        <w:fldChar w:fldCharType="separate"/>
      </w:r>
      <w:r w:rsidR="004625F7" w:rsidRPr="004625F7">
        <w:rPr>
          <w:rFonts w:ascii="Arial" w:hAnsi="Arial" w:cs="Arial"/>
          <w:noProof/>
          <w:sz w:val="20"/>
        </w:rPr>
        <w:t xml:space="preserve">Arnold C and Speier W (2012) A topic model of clinical reports. In: </w:t>
      </w:r>
      <w:r w:rsidR="004625F7" w:rsidRPr="004625F7">
        <w:rPr>
          <w:rFonts w:ascii="Arial" w:hAnsi="Arial" w:cs="Arial"/>
          <w:i/>
          <w:iCs/>
          <w:noProof/>
          <w:sz w:val="20"/>
        </w:rPr>
        <w:t>Proceedings of the 35th international ACM SIGIR conference on Research and Development in Information Retrieval</w:t>
      </w:r>
      <w:r w:rsidR="004625F7" w:rsidRPr="004625F7">
        <w:rPr>
          <w:rFonts w:ascii="Arial" w:hAnsi="Arial" w:cs="Arial"/>
          <w:noProof/>
          <w:sz w:val="20"/>
        </w:rPr>
        <w:t>, Portland, OR, 2012, pp. 1031–1032. Association for Computing Machinery.</w:t>
      </w:r>
    </w:p>
    <w:p w14:paraId="1115454A"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Arun R, Suresh V, Madhavan CEV, et al. (2010) On finding the natural number of topics with latent dirichlet allocation: Some observations. In: Zaki MJ, Yu JX, Ravindran B, et al. (eds) </w:t>
      </w:r>
      <w:r w:rsidRPr="004625F7">
        <w:rPr>
          <w:rFonts w:ascii="Arial" w:hAnsi="Arial" w:cs="Arial"/>
          <w:i/>
          <w:iCs/>
          <w:noProof/>
          <w:sz w:val="20"/>
        </w:rPr>
        <w:t>Advances in Knowledge Discovery and Data Mining. PAKDD 2010. Lecture Notes in Computer Science, Vol 6118</w:t>
      </w:r>
      <w:r w:rsidRPr="004625F7">
        <w:rPr>
          <w:rFonts w:ascii="Arial" w:hAnsi="Arial" w:cs="Arial"/>
          <w:noProof/>
          <w:sz w:val="20"/>
        </w:rPr>
        <w:t>. Berlin: Springer.</w:t>
      </w:r>
    </w:p>
    <w:p w14:paraId="780FD330"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Atherton H, Brant H, Ziebland S, et al. (2018) Alternatives to the face-to-face consultation in general practice: focused ethnographic case study. </w:t>
      </w:r>
      <w:r w:rsidRPr="004625F7">
        <w:rPr>
          <w:rFonts w:ascii="Arial" w:hAnsi="Arial" w:cs="Arial"/>
          <w:i/>
          <w:iCs/>
          <w:noProof/>
          <w:sz w:val="20"/>
        </w:rPr>
        <w:t>British Journal of General Practice</w:t>
      </w:r>
      <w:r w:rsidRPr="004625F7">
        <w:rPr>
          <w:rFonts w:ascii="Arial" w:hAnsi="Arial" w:cs="Arial"/>
          <w:noProof/>
          <w:sz w:val="20"/>
        </w:rPr>
        <w:t xml:space="preserve"> 68(669): e293 LP-e300.</w:t>
      </w:r>
    </w:p>
    <w:p w14:paraId="1225D832"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Bashshur RL, Howell JD, Krupinski EA, et al. (2016) The empirical foundations of telemedicine interventions in primary care. </w:t>
      </w:r>
      <w:r w:rsidRPr="004625F7">
        <w:rPr>
          <w:rFonts w:ascii="Arial" w:hAnsi="Arial" w:cs="Arial"/>
          <w:i/>
          <w:iCs/>
          <w:noProof/>
          <w:sz w:val="20"/>
        </w:rPr>
        <w:t>Telemedicine and e-Health</w:t>
      </w:r>
      <w:r w:rsidRPr="004625F7">
        <w:rPr>
          <w:rFonts w:ascii="Arial" w:hAnsi="Arial" w:cs="Arial"/>
          <w:noProof/>
          <w:sz w:val="20"/>
        </w:rPr>
        <w:t xml:space="preserve"> 22(5). United States: 342–375.</w:t>
      </w:r>
    </w:p>
    <w:p w14:paraId="50E39E1A"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Bertelsmann Stiftung (2019) Summary #SmartHealthSystems – Focus Europe. Available at: https://www.bertelsmann-stiftung.de/en/publications/publication/did/summary-smarthealthsystems-focus-europe (accessed 10 November 2021).</w:t>
      </w:r>
    </w:p>
    <w:p w14:paraId="47351E2B"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Björndell C and Premberg Å (2021) Physicians’ experiences of video consultation with patients at a public virtual  primary care clinic: a qualitative interview study. </w:t>
      </w:r>
      <w:r w:rsidRPr="004625F7">
        <w:rPr>
          <w:rFonts w:ascii="Arial" w:hAnsi="Arial" w:cs="Arial"/>
          <w:i/>
          <w:iCs/>
          <w:noProof/>
          <w:sz w:val="20"/>
        </w:rPr>
        <w:t>Scandinavian journal of primary health care</w:t>
      </w:r>
      <w:r w:rsidRPr="004625F7">
        <w:rPr>
          <w:rFonts w:ascii="Arial" w:hAnsi="Arial" w:cs="Arial"/>
          <w:noProof/>
          <w:sz w:val="20"/>
        </w:rPr>
        <w:t xml:space="preserve"> 39(1). United States: 67–76.</w:t>
      </w:r>
    </w:p>
    <w:p w14:paraId="5BD31F7A"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Blei DM, Ng AY and Jordan MI (2003) Latent dirichlet allocation. </w:t>
      </w:r>
      <w:r w:rsidRPr="004625F7">
        <w:rPr>
          <w:rFonts w:ascii="Arial" w:hAnsi="Arial" w:cs="Arial"/>
          <w:i/>
          <w:iCs/>
          <w:noProof/>
          <w:sz w:val="20"/>
        </w:rPr>
        <w:t>Journal of Machine Learning Research</w:t>
      </w:r>
      <w:r w:rsidRPr="004625F7">
        <w:rPr>
          <w:rFonts w:ascii="Arial" w:hAnsi="Arial" w:cs="Arial"/>
          <w:noProof/>
          <w:sz w:val="20"/>
        </w:rPr>
        <w:t xml:space="preserve"> 3: 993–1022.</w:t>
      </w:r>
    </w:p>
    <w:p w14:paraId="4D6B6C94"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Cao J, Xia T, Li J, et al. (2009) A density-based method for adaptive LDA model selection. </w:t>
      </w:r>
      <w:r w:rsidRPr="004625F7">
        <w:rPr>
          <w:rFonts w:ascii="Arial" w:hAnsi="Arial" w:cs="Arial"/>
          <w:i/>
          <w:iCs/>
          <w:noProof/>
          <w:sz w:val="20"/>
        </w:rPr>
        <w:t>Neurocomputing</w:t>
      </w:r>
      <w:r w:rsidRPr="004625F7">
        <w:rPr>
          <w:rFonts w:ascii="Arial" w:hAnsi="Arial" w:cs="Arial"/>
          <w:noProof/>
          <w:sz w:val="20"/>
        </w:rPr>
        <w:t xml:space="preserve"> 72(7–9): 1775–1781.</w:t>
      </w:r>
    </w:p>
    <w:p w14:paraId="2D313AC4"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Carrillo de Albornoz S, Sia K-L and Harris A (2022) The effectiveness of teleconsultations in primary care: systematic review. </w:t>
      </w:r>
      <w:r w:rsidRPr="004625F7">
        <w:rPr>
          <w:rFonts w:ascii="Arial" w:hAnsi="Arial" w:cs="Arial"/>
          <w:i/>
          <w:iCs/>
          <w:noProof/>
          <w:sz w:val="20"/>
        </w:rPr>
        <w:t>Family practice</w:t>
      </w:r>
      <w:r w:rsidRPr="004625F7">
        <w:rPr>
          <w:rFonts w:ascii="Arial" w:hAnsi="Arial" w:cs="Arial"/>
          <w:noProof/>
          <w:sz w:val="20"/>
        </w:rPr>
        <w:t xml:space="preserve"> 39(1). England: 168–182.</w:t>
      </w:r>
    </w:p>
    <w:p w14:paraId="54A8323D"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Chang J, Gerrish S, Wang C, et al. (2009) Reading tea leaves: How humans interpret topic models. </w:t>
      </w:r>
      <w:r w:rsidRPr="004625F7">
        <w:rPr>
          <w:rFonts w:ascii="Arial" w:hAnsi="Arial" w:cs="Arial"/>
          <w:i/>
          <w:iCs/>
          <w:noProof/>
          <w:sz w:val="20"/>
        </w:rPr>
        <w:t>Advances in neural information processing systems</w:t>
      </w:r>
      <w:r w:rsidRPr="004625F7">
        <w:rPr>
          <w:rFonts w:ascii="Arial" w:hAnsi="Arial" w:cs="Arial"/>
          <w:noProof/>
          <w:sz w:val="20"/>
        </w:rPr>
        <w:t xml:space="preserve"> 22.</w:t>
      </w:r>
    </w:p>
    <w:p w14:paraId="539C4179"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Chung S, Park BK and Nahm E-S (2018) The Korean eHealth Literacy Scale (K-eHEALS): reliability and validity testing in younger ddults recruited online. </w:t>
      </w:r>
      <w:r w:rsidRPr="004625F7">
        <w:rPr>
          <w:rFonts w:ascii="Arial" w:hAnsi="Arial" w:cs="Arial"/>
          <w:i/>
          <w:iCs/>
          <w:noProof/>
          <w:sz w:val="20"/>
        </w:rPr>
        <w:t>Journal of Medical Internet Research</w:t>
      </w:r>
      <w:r w:rsidRPr="004625F7">
        <w:rPr>
          <w:rFonts w:ascii="Arial" w:hAnsi="Arial" w:cs="Arial"/>
          <w:noProof/>
          <w:sz w:val="20"/>
        </w:rPr>
        <w:t xml:space="preserve"> 20(4): e138.</w:t>
      </w:r>
    </w:p>
    <w:p w14:paraId="2C88ADB4"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DeepL SE (2017) DeepL. Available at: https://www.deepl.com/translator (accessed 14 July 2023).</w:t>
      </w:r>
    </w:p>
    <w:p w14:paraId="127C97B4"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Deveaud R, SanJuan E and Bellot P (2014) Accurate and effective latent concept modeling for ad hoc information retrieval. </w:t>
      </w:r>
      <w:r w:rsidRPr="004625F7">
        <w:rPr>
          <w:rFonts w:ascii="Arial" w:hAnsi="Arial" w:cs="Arial"/>
          <w:i/>
          <w:iCs/>
          <w:noProof/>
          <w:sz w:val="20"/>
        </w:rPr>
        <w:t>Document Numérique</w:t>
      </w:r>
      <w:r w:rsidRPr="004625F7">
        <w:rPr>
          <w:rFonts w:ascii="Arial" w:hAnsi="Arial" w:cs="Arial"/>
          <w:noProof/>
          <w:sz w:val="20"/>
        </w:rPr>
        <w:t xml:space="preserve"> 17(1): 61–84.</w:t>
      </w:r>
    </w:p>
    <w:p w14:paraId="50D4888A"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Durmuşoğlu A and Durmuşoğlu ZDU (2022) Remembering Medical Ventilators and Masks in the Days of COVID-19: Patenting in the Last Decade in Respiratory Technologies. </w:t>
      </w:r>
      <w:r w:rsidRPr="004625F7">
        <w:rPr>
          <w:rFonts w:ascii="Arial" w:hAnsi="Arial" w:cs="Arial"/>
          <w:i/>
          <w:iCs/>
          <w:noProof/>
          <w:sz w:val="20"/>
        </w:rPr>
        <w:t>IEEE Transactions on Engineering Management</w:t>
      </w:r>
      <w:r w:rsidRPr="004625F7">
        <w:rPr>
          <w:rFonts w:ascii="Arial" w:hAnsi="Arial" w:cs="Arial"/>
          <w:noProof/>
          <w:sz w:val="20"/>
        </w:rPr>
        <w:t>. IEEE. Epub ahead of print 2022.</w:t>
      </w:r>
    </w:p>
    <w:p w14:paraId="04870029"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Ekman B, Thulesius H, Wilkens J, et al. (2019) Utilization of digital primary care in Sweden: descriptive analysis of claims data on demographics, socioeconomics, and diagnoses. </w:t>
      </w:r>
      <w:r w:rsidRPr="004625F7">
        <w:rPr>
          <w:rFonts w:ascii="Arial" w:hAnsi="Arial" w:cs="Arial"/>
          <w:i/>
          <w:iCs/>
          <w:noProof/>
          <w:sz w:val="20"/>
        </w:rPr>
        <w:t>International Journal of Medical Informatics</w:t>
      </w:r>
      <w:r w:rsidRPr="004625F7">
        <w:rPr>
          <w:rFonts w:ascii="Arial" w:hAnsi="Arial" w:cs="Arial"/>
          <w:noProof/>
          <w:sz w:val="20"/>
        </w:rPr>
        <w:t xml:space="preserve"> 127. Ireland: 134–140.</w:t>
      </w:r>
    </w:p>
    <w:p w14:paraId="4A1DD932"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Elm E von, Altman DG, Egger M, et al. (2007) Strengthening the reporting of observational studies in epidemiology (STROBE) statement: guidelines for reporting observational studies. </w:t>
      </w:r>
      <w:r w:rsidRPr="004625F7">
        <w:rPr>
          <w:rFonts w:ascii="Arial" w:hAnsi="Arial" w:cs="Arial"/>
          <w:i/>
          <w:iCs/>
          <w:noProof/>
          <w:sz w:val="20"/>
        </w:rPr>
        <w:t>BMJ</w:t>
      </w:r>
      <w:r w:rsidRPr="004625F7">
        <w:rPr>
          <w:rFonts w:ascii="Arial" w:hAnsi="Arial" w:cs="Arial"/>
          <w:noProof/>
          <w:sz w:val="20"/>
        </w:rPr>
        <w:t xml:space="preserve"> 335(7624): 806–808.</w:t>
      </w:r>
    </w:p>
    <w:p w14:paraId="762224C2"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European Commission (n.d.) eHealth : Digital health and care. Available at: https://health.ec.europa.eu/ehealth-digital-health-and-care_en (accessed 12 August 2023).</w:t>
      </w:r>
    </w:p>
    <w:p w14:paraId="16E91F44"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European Patients’ Forum (2020) Digitalisation of healthcare: the new normal. Available at: https://www.cocir.org/fileadmin/Events_2020/Digitalisation_16_Nov/4._COCIR_event_16_Nov._2020_-_Michele_Calabro.pdf (accessed 30 June 2021).</w:t>
      </w:r>
    </w:p>
    <w:p w14:paraId="08611FB1"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Feinerer I, Hornik K and Artifex Software Inc (2023) tm: Text Mining Package (version 0.7-11).</w:t>
      </w:r>
    </w:p>
    <w:p w14:paraId="11096E52"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Frank SR (2000) Digital health care—the convergence of health care and the Internet. </w:t>
      </w:r>
      <w:r w:rsidRPr="004625F7">
        <w:rPr>
          <w:rFonts w:ascii="Arial" w:hAnsi="Arial" w:cs="Arial"/>
          <w:i/>
          <w:iCs/>
          <w:noProof/>
          <w:sz w:val="20"/>
        </w:rPr>
        <w:t>The Journal of ambulatory care management</w:t>
      </w:r>
      <w:r w:rsidRPr="004625F7">
        <w:rPr>
          <w:rFonts w:ascii="Arial" w:hAnsi="Arial" w:cs="Arial"/>
          <w:noProof/>
          <w:sz w:val="20"/>
        </w:rPr>
        <w:t xml:space="preserve"> 23(2). LWW: 8–17.</w:t>
      </w:r>
    </w:p>
    <w:p w14:paraId="31D9E8ED"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Gabrielsson-Järhult F, Kjellström S and Josefsson KA (2021) Telemedicine consultations with physicians in Swedish primary care: a mixed methods study of users’ experiences and care patterns. </w:t>
      </w:r>
      <w:r w:rsidRPr="004625F7">
        <w:rPr>
          <w:rFonts w:ascii="Arial" w:hAnsi="Arial" w:cs="Arial"/>
          <w:i/>
          <w:iCs/>
          <w:noProof/>
          <w:sz w:val="20"/>
        </w:rPr>
        <w:t>Scandinavian Journal of Primary Health Care</w:t>
      </w:r>
      <w:r w:rsidRPr="004625F7">
        <w:rPr>
          <w:rFonts w:ascii="Arial" w:hAnsi="Arial" w:cs="Arial"/>
          <w:noProof/>
          <w:sz w:val="20"/>
        </w:rPr>
        <w:t xml:space="preserve"> 39(2): 204–213.</w:t>
      </w:r>
    </w:p>
    <w:p w14:paraId="0FC99B3A"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Gerke S, Stern AD and Minssen T (2020) Germany’s digital health reforms in the COVID-19 era: lessons and opportunities for other countries. </w:t>
      </w:r>
      <w:r w:rsidRPr="004625F7">
        <w:rPr>
          <w:rFonts w:ascii="Arial" w:hAnsi="Arial" w:cs="Arial"/>
          <w:i/>
          <w:iCs/>
          <w:noProof/>
          <w:sz w:val="20"/>
        </w:rPr>
        <w:t>npj Digital Medicine</w:t>
      </w:r>
      <w:r w:rsidRPr="004625F7">
        <w:rPr>
          <w:rFonts w:ascii="Arial" w:hAnsi="Arial" w:cs="Arial"/>
          <w:noProof/>
          <w:sz w:val="20"/>
        </w:rPr>
        <w:t xml:space="preserve"> 3(1): 94.</w:t>
      </w:r>
    </w:p>
    <w:p w14:paraId="4454AC5A"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German Federal Ministry of Health (n.d.) Digital Healthcare Act (Digitale-Versorgung-Gesetz). Available at: https://www.bundesgesundheitsministerium.de/en/digital-healthcare-act.html.</w:t>
      </w:r>
    </w:p>
    <w:p w14:paraId="7F64DFF1"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Gilbert AW, Jones J, Stokes M, et al. (2021) Factors that influence patient preferences for virtual consultations in an orthopaedic rehabilitation setting: a qualitative study. </w:t>
      </w:r>
      <w:r w:rsidRPr="004625F7">
        <w:rPr>
          <w:rFonts w:ascii="Arial" w:hAnsi="Arial" w:cs="Arial"/>
          <w:i/>
          <w:iCs/>
          <w:noProof/>
          <w:sz w:val="20"/>
        </w:rPr>
        <w:t>BMJ</w:t>
      </w:r>
      <w:r w:rsidRPr="004625F7">
        <w:rPr>
          <w:rFonts w:ascii="Arial" w:hAnsi="Arial" w:cs="Arial"/>
          <w:noProof/>
          <w:sz w:val="20"/>
        </w:rPr>
        <w:t xml:space="preserve"> 11(2): e041038.</w:t>
      </w:r>
    </w:p>
    <w:p w14:paraId="5BF02C4A"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Greenhalgh T, Shaw S, Wherton J, et al. (2018) Real-world implementation of video outpatient </w:t>
      </w:r>
      <w:r w:rsidRPr="004625F7">
        <w:rPr>
          <w:rFonts w:ascii="Arial" w:hAnsi="Arial" w:cs="Arial"/>
          <w:noProof/>
          <w:sz w:val="20"/>
        </w:rPr>
        <w:lastRenderedPageBreak/>
        <w:t xml:space="preserve">consultations at macro, meso, and micro levels: mixed-method study. </w:t>
      </w:r>
      <w:r w:rsidRPr="004625F7">
        <w:rPr>
          <w:rFonts w:ascii="Arial" w:hAnsi="Arial" w:cs="Arial"/>
          <w:i/>
          <w:iCs/>
          <w:noProof/>
          <w:sz w:val="20"/>
        </w:rPr>
        <w:t>Journal of Medical Internet Research</w:t>
      </w:r>
      <w:r w:rsidRPr="004625F7">
        <w:rPr>
          <w:rFonts w:ascii="Arial" w:hAnsi="Arial" w:cs="Arial"/>
          <w:noProof/>
          <w:sz w:val="20"/>
        </w:rPr>
        <w:t xml:space="preserve"> 20(4): e150.</w:t>
      </w:r>
    </w:p>
    <w:p w14:paraId="27E009F2"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Griffiths T and Steyvers M (2004) Finding scientific topics. </w:t>
      </w:r>
      <w:r w:rsidRPr="004625F7">
        <w:rPr>
          <w:rFonts w:ascii="Arial" w:hAnsi="Arial" w:cs="Arial"/>
          <w:i/>
          <w:iCs/>
          <w:noProof/>
          <w:sz w:val="20"/>
        </w:rPr>
        <w:t>Proceedings of the National Academy of Sciences of the United States of America</w:t>
      </w:r>
      <w:r w:rsidRPr="004625F7">
        <w:rPr>
          <w:rFonts w:ascii="Arial" w:hAnsi="Arial" w:cs="Arial"/>
          <w:noProof/>
          <w:sz w:val="20"/>
        </w:rPr>
        <w:t xml:space="preserve"> 101: 5228–5235.</w:t>
      </w:r>
    </w:p>
    <w:p w14:paraId="58EA5471"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Grün B, Horni K, Blei D, et al. (2023) topicmodels: Topic Models (Version 0.2-12).</w:t>
      </w:r>
    </w:p>
    <w:p w14:paraId="30B6507D"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Hofmann T (1999) Probabilistic Latent Semantic Analysis. In: </w:t>
      </w:r>
      <w:r w:rsidRPr="004625F7">
        <w:rPr>
          <w:rFonts w:ascii="Arial" w:hAnsi="Arial" w:cs="Arial"/>
          <w:i/>
          <w:iCs/>
          <w:noProof/>
          <w:sz w:val="20"/>
        </w:rPr>
        <w:t>Proceedings of the Fifteenth Conference on Uncertainty in Artificial Intelligence</w:t>
      </w:r>
      <w:r w:rsidRPr="004625F7">
        <w:rPr>
          <w:rFonts w:ascii="Arial" w:hAnsi="Arial" w:cs="Arial"/>
          <w:noProof/>
          <w:sz w:val="20"/>
        </w:rPr>
        <w:t>, San Francisco, CA, USA, 1999, pp. 289–296. UAI’99. Morgan Kaufmann Publishers Inc.</w:t>
      </w:r>
    </w:p>
    <w:p w14:paraId="5D3A924A"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Holtz BE (2021) Patients perceptions of telemedicine visits before and after the coronavirus disease 2019 pandemic. </w:t>
      </w:r>
      <w:r w:rsidRPr="004625F7">
        <w:rPr>
          <w:rFonts w:ascii="Arial" w:hAnsi="Arial" w:cs="Arial"/>
          <w:i/>
          <w:iCs/>
          <w:noProof/>
          <w:sz w:val="20"/>
        </w:rPr>
        <w:t>Telemedicine and e-Health</w:t>
      </w:r>
      <w:r w:rsidRPr="004625F7">
        <w:rPr>
          <w:rFonts w:ascii="Arial" w:hAnsi="Arial" w:cs="Arial"/>
          <w:noProof/>
          <w:sz w:val="20"/>
        </w:rPr>
        <w:t xml:space="preserve"> 27(1): 107–112.</w:t>
      </w:r>
    </w:p>
    <w:p w14:paraId="2B0B1AA5"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Imlach F, McKinlay E, Middleton L, et al. (2020) Telehealth consultations in general practice during a pandemic lockdown: survey and interviews on patient experiences and preferences. </w:t>
      </w:r>
      <w:r w:rsidRPr="004625F7">
        <w:rPr>
          <w:rFonts w:ascii="Arial" w:hAnsi="Arial" w:cs="Arial"/>
          <w:i/>
          <w:iCs/>
          <w:noProof/>
          <w:sz w:val="20"/>
        </w:rPr>
        <w:t>BMC Family Practice</w:t>
      </w:r>
      <w:r w:rsidRPr="004625F7">
        <w:rPr>
          <w:rFonts w:ascii="Arial" w:hAnsi="Arial" w:cs="Arial"/>
          <w:noProof/>
          <w:sz w:val="20"/>
        </w:rPr>
        <w:t xml:space="preserve"> 21(1): 1–14.</w:t>
      </w:r>
    </w:p>
    <w:p w14:paraId="6409E5C9"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Johansson AM, Lindberg I and Söderberg S (2017) Healthcare personnel’s experiences using video consultation in primary healthcare in rural areas. </w:t>
      </w:r>
      <w:r w:rsidRPr="004625F7">
        <w:rPr>
          <w:rFonts w:ascii="Arial" w:hAnsi="Arial" w:cs="Arial"/>
          <w:i/>
          <w:iCs/>
          <w:noProof/>
          <w:sz w:val="20"/>
        </w:rPr>
        <w:t>Primary Health Care Research &amp;amp; Development</w:t>
      </w:r>
      <w:r w:rsidRPr="004625F7">
        <w:rPr>
          <w:rFonts w:ascii="Arial" w:hAnsi="Arial" w:cs="Arial"/>
          <w:noProof/>
          <w:sz w:val="20"/>
        </w:rPr>
        <w:t xml:space="preserve"> 18(1). 2016/09/19. Cambridge University Press: 73–83.</w:t>
      </w:r>
    </w:p>
    <w:p w14:paraId="6AC1328C"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Jones T, Doane W and Attbom M (2021) textmineR: Functions for Text Mining and Topic Modeling (Version 3.0.5). Available at: https://cran.r-project.org/web/packages/textmineR/index.html (accessed 14 July 2023).</w:t>
      </w:r>
    </w:p>
    <w:p w14:paraId="10BD1F98"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Lee DD and Seung HS (1999) Learning the parts of objects by non-negative matrix factorization. </w:t>
      </w:r>
      <w:r w:rsidRPr="004625F7">
        <w:rPr>
          <w:rFonts w:ascii="Arial" w:hAnsi="Arial" w:cs="Arial"/>
          <w:i/>
          <w:iCs/>
          <w:noProof/>
          <w:sz w:val="20"/>
        </w:rPr>
        <w:t>Nature</w:t>
      </w:r>
      <w:r w:rsidRPr="004625F7">
        <w:rPr>
          <w:rFonts w:ascii="Arial" w:hAnsi="Arial" w:cs="Arial"/>
          <w:noProof/>
          <w:sz w:val="20"/>
        </w:rPr>
        <w:t xml:space="preserve"> 401(6755): 788–791.</w:t>
      </w:r>
    </w:p>
    <w:p w14:paraId="4271D1ED"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Mimno D, Wallach H, Talley E, et al. (2011) Optimizing semantic coherence in topic models. In: </w:t>
      </w:r>
      <w:r w:rsidRPr="004625F7">
        <w:rPr>
          <w:rFonts w:ascii="Arial" w:hAnsi="Arial" w:cs="Arial"/>
          <w:i/>
          <w:iCs/>
          <w:noProof/>
          <w:sz w:val="20"/>
        </w:rPr>
        <w:t>Proceedings of the 2011 conference on Empirical Methods in Natural Language Processing</w:t>
      </w:r>
      <w:r w:rsidRPr="004625F7">
        <w:rPr>
          <w:rFonts w:ascii="Arial" w:hAnsi="Arial" w:cs="Arial"/>
          <w:noProof/>
          <w:sz w:val="20"/>
        </w:rPr>
        <w:t>, Edinburgh, UK, 2011, pp. 262–272. Association for Computing Machinery.</w:t>
      </w:r>
    </w:p>
    <w:p w14:paraId="238F446C"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Mold F, Hendy J, Lai Y-L, et al. (2019) Electronic Consultation in Primary Care Between Providers and Patients: Systematic Review. </w:t>
      </w:r>
      <w:r w:rsidRPr="004625F7">
        <w:rPr>
          <w:rFonts w:ascii="Arial" w:hAnsi="Arial" w:cs="Arial"/>
          <w:i/>
          <w:iCs/>
          <w:noProof/>
          <w:sz w:val="20"/>
        </w:rPr>
        <w:t>JMIR Medical Informatics</w:t>
      </w:r>
      <w:r w:rsidRPr="004625F7">
        <w:rPr>
          <w:rFonts w:ascii="Arial" w:hAnsi="Arial" w:cs="Arial"/>
          <w:noProof/>
          <w:sz w:val="20"/>
        </w:rPr>
        <w:t xml:space="preserve"> 7(4): e13042.</w:t>
      </w:r>
    </w:p>
    <w:p w14:paraId="4A40961C"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Morgenstern-Kaplan D, Rocha-Haro A, Canales-Albarran SJ, et al. (2021) An app-based telemedicine program for primary care and specialist video consultations during the COVID-19 pandemic in Mexico. </w:t>
      </w:r>
      <w:r w:rsidRPr="004625F7">
        <w:rPr>
          <w:rFonts w:ascii="Arial" w:hAnsi="Arial" w:cs="Arial"/>
          <w:i/>
          <w:iCs/>
          <w:noProof/>
          <w:sz w:val="20"/>
        </w:rPr>
        <w:t>Telemedicine and e-Health</w:t>
      </w:r>
      <w:r w:rsidRPr="004625F7">
        <w:rPr>
          <w:rFonts w:ascii="Arial" w:hAnsi="Arial" w:cs="Arial"/>
          <w:noProof/>
          <w:sz w:val="20"/>
        </w:rPr>
        <w:t>. Epub ahead of print 2021. DOI: 10.1089/tmj.2021.0055.</w:t>
      </w:r>
    </w:p>
    <w:p w14:paraId="2ACB96D3"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Neves AL, van Dael J, O’Brien N, et al. (2021) Use and impact of virtual primary care on quality and safety: The public’s perspectives during the COVID-19 pandemic. </w:t>
      </w:r>
      <w:r w:rsidRPr="004625F7">
        <w:rPr>
          <w:rFonts w:ascii="Arial" w:hAnsi="Arial" w:cs="Arial"/>
          <w:i/>
          <w:iCs/>
          <w:noProof/>
          <w:sz w:val="20"/>
        </w:rPr>
        <w:t>Journal of Telemedicine and Telecare</w:t>
      </w:r>
      <w:r w:rsidRPr="004625F7">
        <w:rPr>
          <w:rFonts w:ascii="Arial" w:hAnsi="Arial" w:cs="Arial"/>
          <w:noProof/>
          <w:sz w:val="20"/>
        </w:rPr>
        <w:t>. SAGE Publications: 1357633X211066235.</w:t>
      </w:r>
    </w:p>
    <w:p w14:paraId="5F65F0A5"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NHS Digital (n.d.) NHS App. Available at: https://www.nhs.uk/nhs-app/.</w:t>
      </w:r>
    </w:p>
    <w:p w14:paraId="64CDDB88"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NHS England (2019) The NHS Long Term Plan. Available at: https://www.longtermplan.nhs.uk/publication/nhs-long-term-plan/ (accessed 6 May 2021).</w:t>
      </w:r>
    </w:p>
    <w:p w14:paraId="486BD855"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NHS England (n.d.) Digital first primary care. Available at: https://www.england.nhs.uk/gp/digital-first-primary-care/ (accessed 28 May 2021).</w:t>
      </w:r>
    </w:p>
    <w:p w14:paraId="6C570C3E"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Nikita M and Chaney N (2020) ldatuning: Tuning of the Latent Dirichlet Allocation Models Parameters (Version 1.0.2).</w:t>
      </w:r>
    </w:p>
    <w:p w14:paraId="627D9EC8"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Norman CD and Skinner HA (2006) eHEALS: The eHealth literacy scale. </w:t>
      </w:r>
      <w:r w:rsidRPr="004625F7">
        <w:rPr>
          <w:rFonts w:ascii="Arial" w:hAnsi="Arial" w:cs="Arial"/>
          <w:i/>
          <w:iCs/>
          <w:noProof/>
          <w:sz w:val="20"/>
        </w:rPr>
        <w:t>Journal of Medical Internet Research</w:t>
      </w:r>
      <w:r w:rsidRPr="004625F7">
        <w:rPr>
          <w:rFonts w:ascii="Arial" w:hAnsi="Arial" w:cs="Arial"/>
          <w:noProof/>
          <w:sz w:val="20"/>
        </w:rPr>
        <w:t xml:space="preserve"> 8(4): 1–7.</w:t>
      </w:r>
    </w:p>
    <w:p w14:paraId="08414D08"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Omboni S (2020) Telemedicine During the COVID-19 in Italy: A Missed Opportunity? </w:t>
      </w:r>
      <w:r w:rsidRPr="004625F7">
        <w:rPr>
          <w:rFonts w:ascii="Arial" w:hAnsi="Arial" w:cs="Arial"/>
          <w:i/>
          <w:iCs/>
          <w:noProof/>
          <w:sz w:val="20"/>
        </w:rPr>
        <w:t>Telemedicine and e-Health</w:t>
      </w:r>
      <w:r w:rsidRPr="004625F7">
        <w:rPr>
          <w:rFonts w:ascii="Arial" w:hAnsi="Arial" w:cs="Arial"/>
          <w:noProof/>
          <w:sz w:val="20"/>
        </w:rPr>
        <w:t xml:space="preserve"> 26(8). Mary Ann Liebert, Inc., publishers: 973–975.</w:t>
      </w:r>
    </w:p>
    <w:p w14:paraId="4C34CE5F"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Osborne Clarke (2023) Telemedicine in Italy takes next step following pandemic regulatory advanc. Available at: https://www.osborneclarke.com/insights/telemedicine-italy-takes-next-step-following-pandemic-regulatory-advance.</w:t>
      </w:r>
    </w:p>
    <w:p w14:paraId="20DE01A2"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Paige SR, Krieger JL, Stellefson M, et al. (2017) eHealth literacy in chronic disease patients: An item response theory analysis of the eHealth literacy scale (eHEALS). </w:t>
      </w:r>
      <w:r w:rsidRPr="004625F7">
        <w:rPr>
          <w:rFonts w:ascii="Arial" w:hAnsi="Arial" w:cs="Arial"/>
          <w:i/>
          <w:iCs/>
          <w:noProof/>
          <w:sz w:val="20"/>
        </w:rPr>
        <w:t>Patient Education and Counseling</w:t>
      </w:r>
      <w:r w:rsidRPr="004625F7">
        <w:rPr>
          <w:rFonts w:ascii="Arial" w:hAnsi="Arial" w:cs="Arial"/>
          <w:noProof/>
          <w:sz w:val="20"/>
        </w:rPr>
        <w:t xml:space="preserve"> 100(2): 320–326.</w:t>
      </w:r>
    </w:p>
    <w:p w14:paraId="7FF165A3"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Park S, Choi D, Kim M, et al. (2017) Identifying prescription patterns with a topic model of diseases and medications. </w:t>
      </w:r>
      <w:r w:rsidRPr="004625F7">
        <w:rPr>
          <w:rFonts w:ascii="Arial" w:hAnsi="Arial" w:cs="Arial"/>
          <w:i/>
          <w:iCs/>
          <w:noProof/>
          <w:sz w:val="20"/>
        </w:rPr>
        <w:t>Journal of Biomedical Informatics</w:t>
      </w:r>
      <w:r w:rsidRPr="004625F7">
        <w:rPr>
          <w:rFonts w:ascii="Arial" w:hAnsi="Arial" w:cs="Arial"/>
          <w:noProof/>
          <w:sz w:val="20"/>
        </w:rPr>
        <w:t xml:space="preserve"> 75: 35–47.</w:t>
      </w:r>
    </w:p>
    <w:p w14:paraId="6AD50A7C"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R Core Team (2021) R: A language and environment for statistical computing.</w:t>
      </w:r>
    </w:p>
    <w:p w14:paraId="0A002306"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Ramaswamy A, Yu M, Drangsholt S, et al. (2020) Patient satisfaction with telemedicine during the COVID-19 pandemic: retrospective cohort study. </w:t>
      </w:r>
      <w:r w:rsidRPr="004625F7">
        <w:rPr>
          <w:rFonts w:ascii="Arial" w:hAnsi="Arial" w:cs="Arial"/>
          <w:i/>
          <w:iCs/>
          <w:noProof/>
          <w:sz w:val="20"/>
        </w:rPr>
        <w:t>Journal of Medical Internet Research</w:t>
      </w:r>
      <w:r w:rsidRPr="004625F7">
        <w:rPr>
          <w:rFonts w:ascii="Arial" w:hAnsi="Arial" w:cs="Arial"/>
          <w:noProof/>
          <w:sz w:val="20"/>
        </w:rPr>
        <w:t xml:space="preserve"> 22(9): 1–9.</w:t>
      </w:r>
    </w:p>
    <w:p w14:paraId="424C46EA"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Reed ME, Huang J, Graetz I, et al. (2020) Patient characteristics associated with choosing a telemedicine visit vs office visit with the same primary care clinicians. </w:t>
      </w:r>
      <w:r w:rsidRPr="004625F7">
        <w:rPr>
          <w:rFonts w:ascii="Arial" w:hAnsi="Arial" w:cs="Arial"/>
          <w:i/>
          <w:iCs/>
          <w:noProof/>
          <w:sz w:val="20"/>
        </w:rPr>
        <w:t>JAMA Network Open</w:t>
      </w:r>
      <w:r w:rsidRPr="004625F7">
        <w:rPr>
          <w:rFonts w:ascii="Arial" w:hAnsi="Arial" w:cs="Arial"/>
          <w:noProof/>
          <w:sz w:val="20"/>
        </w:rPr>
        <w:t xml:space="preserve"> 3(6): e205873–e205873.</w:t>
      </w:r>
    </w:p>
    <w:p w14:paraId="03495F85"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Richardson BE, Aissat D, Williams GA, et al. (2020) Keeping what works: remote consultations during the COVID-19 pandemic. </w:t>
      </w:r>
      <w:r w:rsidRPr="004625F7">
        <w:rPr>
          <w:rFonts w:ascii="Arial" w:hAnsi="Arial" w:cs="Arial"/>
          <w:i/>
          <w:iCs/>
          <w:noProof/>
          <w:sz w:val="20"/>
        </w:rPr>
        <w:t>Eurohealth</w:t>
      </w:r>
      <w:r w:rsidRPr="004625F7">
        <w:rPr>
          <w:rFonts w:ascii="Arial" w:hAnsi="Arial" w:cs="Arial"/>
          <w:noProof/>
          <w:sz w:val="20"/>
        </w:rPr>
        <w:t xml:space="preserve"> 26(2): 73–76.</w:t>
      </w:r>
    </w:p>
    <w:p w14:paraId="30E222FF"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lastRenderedPageBreak/>
        <w:t>Rinker T (2018) textstem: Tools for Stemming and Lemmatizing Text (Version 0.1.4). Available at: https://cran.r-project.org/web/packages/textstem/index.html (accessed 11 August 2023).</w:t>
      </w:r>
    </w:p>
    <w:p w14:paraId="6E655486"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Schneider CR, Dryhurst S, Kerr J, et al. (2021) COVID-19 risk perception: a longitudinal analysis of its predictors and associations with health protective behaviours in the United Kingdom. </w:t>
      </w:r>
      <w:r w:rsidRPr="004625F7">
        <w:rPr>
          <w:rFonts w:ascii="Arial" w:hAnsi="Arial" w:cs="Arial"/>
          <w:i/>
          <w:iCs/>
          <w:noProof/>
          <w:sz w:val="20"/>
        </w:rPr>
        <w:t>Journal of Risk Research</w:t>
      </w:r>
      <w:r w:rsidRPr="004625F7">
        <w:rPr>
          <w:rFonts w:ascii="Arial" w:hAnsi="Arial" w:cs="Arial"/>
          <w:noProof/>
          <w:sz w:val="20"/>
        </w:rPr>
        <w:t xml:space="preserve"> 24(3–4). Routledge: 294–313.</w:t>
      </w:r>
    </w:p>
    <w:p w14:paraId="406878E3"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van der Vaart R, van Deursen AJ, Drossaert CH, et al. (2011) Does the eHealth Literacy Scale (eHEALS) measure what it intends to measure? Validation of a Dutch version of the eHEALS in two adult populations. </w:t>
      </w:r>
      <w:r w:rsidRPr="004625F7">
        <w:rPr>
          <w:rFonts w:ascii="Arial" w:hAnsi="Arial" w:cs="Arial"/>
          <w:i/>
          <w:iCs/>
          <w:noProof/>
          <w:sz w:val="20"/>
        </w:rPr>
        <w:t>Journal of Medical Internet Research</w:t>
      </w:r>
      <w:r w:rsidRPr="004625F7">
        <w:rPr>
          <w:rFonts w:ascii="Arial" w:hAnsi="Arial" w:cs="Arial"/>
          <w:noProof/>
          <w:sz w:val="20"/>
        </w:rPr>
        <w:t xml:space="preserve"> 13(4): e86.</w:t>
      </w:r>
    </w:p>
    <w:p w14:paraId="02F27F00"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Versluis A, Schnoor K, Chavannes NH, et al. (2022) Direct Access for Patients to Diagnostic Testing and Results Using eHealth: Systematic Review on eHealth and Diagnostics. </w:t>
      </w:r>
      <w:r w:rsidRPr="004625F7">
        <w:rPr>
          <w:rFonts w:ascii="Arial" w:hAnsi="Arial" w:cs="Arial"/>
          <w:i/>
          <w:iCs/>
          <w:noProof/>
          <w:sz w:val="20"/>
        </w:rPr>
        <w:t>Journal of medical Internet research</w:t>
      </w:r>
      <w:r w:rsidRPr="004625F7">
        <w:rPr>
          <w:rFonts w:ascii="Arial" w:hAnsi="Arial" w:cs="Arial"/>
          <w:noProof/>
          <w:sz w:val="20"/>
        </w:rPr>
        <w:t xml:space="preserve"> 24(1). Canada: e29303.</w:t>
      </w:r>
    </w:p>
    <w:p w14:paraId="2BFED102"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Vosburg RW and Robinson KA (2021) Telemedicine in primary care during the COVID-19 pandemic: provider and patient satisfaction examined. </w:t>
      </w:r>
      <w:r w:rsidRPr="004625F7">
        <w:rPr>
          <w:rFonts w:ascii="Arial" w:hAnsi="Arial" w:cs="Arial"/>
          <w:i/>
          <w:iCs/>
          <w:noProof/>
          <w:sz w:val="20"/>
        </w:rPr>
        <w:t>Telemedicine and e-Health</w:t>
      </w:r>
      <w:r w:rsidRPr="004625F7">
        <w:rPr>
          <w:rFonts w:ascii="Arial" w:hAnsi="Arial" w:cs="Arial"/>
          <w:noProof/>
          <w:sz w:val="20"/>
        </w:rPr>
        <w:t>. Epub ahead of print 2021. DOI: 10.1089/tmj.2021.0174.</w:t>
      </w:r>
    </w:p>
    <w:p w14:paraId="69A5016F"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Vuong Q-H (2023) </w:t>
      </w:r>
      <w:r w:rsidRPr="004625F7">
        <w:rPr>
          <w:rFonts w:ascii="Arial" w:hAnsi="Arial" w:cs="Arial"/>
          <w:i/>
          <w:iCs/>
          <w:noProof/>
          <w:sz w:val="20"/>
        </w:rPr>
        <w:t>Mindsponge Theory</w:t>
      </w:r>
      <w:r w:rsidRPr="004625F7">
        <w:rPr>
          <w:rFonts w:ascii="Arial" w:hAnsi="Arial" w:cs="Arial"/>
          <w:noProof/>
          <w:sz w:val="20"/>
        </w:rPr>
        <w:t>. Walter de Gruyter GmbH.</w:t>
      </w:r>
    </w:p>
    <w:p w14:paraId="7A34E9A5"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Vuong Q-H, Le T-T, La V-P, et al. (2022) The psychological mechanism of internet information processing for post-treatment evaluation. </w:t>
      </w:r>
      <w:r w:rsidRPr="004625F7">
        <w:rPr>
          <w:rFonts w:ascii="Arial" w:hAnsi="Arial" w:cs="Arial"/>
          <w:i/>
          <w:iCs/>
          <w:noProof/>
          <w:sz w:val="20"/>
        </w:rPr>
        <w:t>Heliyon</w:t>
      </w:r>
      <w:r w:rsidRPr="004625F7">
        <w:rPr>
          <w:rFonts w:ascii="Arial" w:hAnsi="Arial" w:cs="Arial"/>
          <w:noProof/>
          <w:sz w:val="20"/>
        </w:rPr>
        <w:t xml:space="preserve"> 8(5): e09351.</w:t>
      </w:r>
    </w:p>
    <w:p w14:paraId="5AF4557A"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Webster P (2020) Virtual health care in the era of COVID-19. </w:t>
      </w:r>
      <w:r w:rsidRPr="004625F7">
        <w:rPr>
          <w:rFonts w:ascii="Arial" w:hAnsi="Arial" w:cs="Arial"/>
          <w:i/>
          <w:iCs/>
          <w:noProof/>
          <w:sz w:val="20"/>
        </w:rPr>
        <w:t>Lancet (London, England)</w:t>
      </w:r>
      <w:r w:rsidRPr="004625F7">
        <w:rPr>
          <w:rFonts w:ascii="Arial" w:hAnsi="Arial" w:cs="Arial"/>
          <w:noProof/>
          <w:sz w:val="20"/>
        </w:rPr>
        <w:t xml:space="preserve"> 395(10231). Elsevier Ltd: 1180–1181.</w:t>
      </w:r>
    </w:p>
    <w:p w14:paraId="6A8010F2"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Wherton J, Shaw S, Papoutsi C, et al. (2020) Guidance on the introduction and use of video consultations during COVID-19: important lessons from qualitative research. </w:t>
      </w:r>
      <w:r w:rsidRPr="004625F7">
        <w:rPr>
          <w:rFonts w:ascii="Arial" w:hAnsi="Arial" w:cs="Arial"/>
          <w:i/>
          <w:iCs/>
          <w:noProof/>
          <w:sz w:val="20"/>
        </w:rPr>
        <w:t>BMJ Leader</w:t>
      </w:r>
      <w:r w:rsidRPr="004625F7">
        <w:rPr>
          <w:rFonts w:ascii="Arial" w:hAnsi="Arial" w:cs="Arial"/>
          <w:noProof/>
          <w:sz w:val="20"/>
        </w:rPr>
        <w:t xml:space="preserve"> 4(3): 120–123.</w:t>
      </w:r>
    </w:p>
    <w:p w14:paraId="4E16F5C5"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Wickham H (2023) stringr: Simple, Consistent Wrappers for Common String Operations (Version 1.5.0). Available at: https://cran.r-project.org/web/packages/stringr/index.html (accessed 14 July 2023).</w:t>
      </w:r>
    </w:p>
    <w:p w14:paraId="61DF68F2"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Wickham H, François R, Henry L, et al. (2023) dplyr: A Grammar of Data Manipulation (Version 1.1.2).</w:t>
      </w:r>
    </w:p>
    <w:p w14:paraId="52C9F8B6"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Wickham H, Vaughan D, Girlich M, et al. (2023) tidyr: Tidy Messy Data (Version 1.3.0). Available at: https://cran.r-project.org/web/packages/tidyr/index.html (accessed 14 July 2023).</w:t>
      </w:r>
    </w:p>
    <w:p w14:paraId="29572E11"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Wosik J, Fudim M, Cameron B, et al. (2020) Telehealth transformation: COVID-19 and the rise of virtual care. </w:t>
      </w:r>
      <w:r w:rsidRPr="004625F7">
        <w:rPr>
          <w:rFonts w:ascii="Arial" w:hAnsi="Arial" w:cs="Arial"/>
          <w:i/>
          <w:iCs/>
          <w:noProof/>
          <w:sz w:val="20"/>
        </w:rPr>
        <w:t>Journal of the American Medical Informatics Association : JAMIA</w:t>
      </w:r>
      <w:r w:rsidRPr="004625F7">
        <w:rPr>
          <w:rFonts w:ascii="Arial" w:hAnsi="Arial" w:cs="Arial"/>
          <w:noProof/>
          <w:sz w:val="20"/>
        </w:rPr>
        <w:t xml:space="preserve"> 27(6). England: 957–962.</w:t>
      </w:r>
    </w:p>
    <w:p w14:paraId="108F14C0" w14:textId="77777777" w:rsidR="004625F7" w:rsidRPr="004625F7" w:rsidRDefault="004625F7" w:rsidP="004625F7">
      <w:pPr>
        <w:widowControl w:val="0"/>
        <w:autoSpaceDE w:val="0"/>
        <w:autoSpaceDN w:val="0"/>
        <w:adjustRightInd w:val="0"/>
        <w:ind w:left="480" w:hanging="480"/>
        <w:rPr>
          <w:rFonts w:ascii="Arial" w:hAnsi="Arial" w:cs="Arial"/>
          <w:noProof/>
          <w:sz w:val="20"/>
        </w:rPr>
      </w:pPr>
      <w:r w:rsidRPr="004625F7">
        <w:rPr>
          <w:rFonts w:ascii="Arial" w:hAnsi="Arial" w:cs="Arial"/>
          <w:noProof/>
          <w:sz w:val="20"/>
        </w:rPr>
        <w:t xml:space="preserve">Zimbroff RM, Ornstein KA and Sheehan OC (2021) Home-based primary care: A systematic review of the literature, 2010-2020. </w:t>
      </w:r>
      <w:r w:rsidRPr="004625F7">
        <w:rPr>
          <w:rFonts w:ascii="Arial" w:hAnsi="Arial" w:cs="Arial"/>
          <w:i/>
          <w:iCs/>
          <w:noProof/>
          <w:sz w:val="20"/>
        </w:rPr>
        <w:t>Journal of the American Geriatrics Society</w:t>
      </w:r>
      <w:r w:rsidRPr="004625F7">
        <w:rPr>
          <w:rFonts w:ascii="Arial" w:hAnsi="Arial" w:cs="Arial"/>
          <w:noProof/>
          <w:sz w:val="20"/>
        </w:rPr>
        <w:t xml:space="preserve"> 69(10). United States: 2963–2972.</w:t>
      </w:r>
    </w:p>
    <w:p w14:paraId="14D2DBBF" w14:textId="5C1BC3AB" w:rsidR="00577A9E" w:rsidRDefault="00577A9E" w:rsidP="004625F7">
      <w:pPr>
        <w:widowControl w:val="0"/>
        <w:autoSpaceDE w:val="0"/>
        <w:autoSpaceDN w:val="0"/>
        <w:adjustRightInd w:val="0"/>
        <w:ind w:left="480" w:hanging="480"/>
        <w:rPr>
          <w:rFonts w:eastAsia="Arial"/>
        </w:rPr>
      </w:pPr>
      <w:r w:rsidRPr="00577A9E">
        <w:rPr>
          <w:rFonts w:ascii="Arial" w:eastAsia="Arial" w:hAnsi="Arial" w:cs="Arial"/>
          <w:sz w:val="20"/>
          <w:szCs w:val="20"/>
        </w:rPr>
        <w:fldChar w:fldCharType="end"/>
      </w:r>
    </w:p>
    <w:p w14:paraId="000000D5" w14:textId="5D5C8952" w:rsidR="00920126" w:rsidRPr="00577A9E" w:rsidRDefault="00920126" w:rsidP="00577A9E">
      <w:pPr>
        <w:widowControl w:val="0"/>
        <w:rPr>
          <w:rFonts w:ascii="Arial" w:eastAsia="Arial" w:hAnsi="Arial" w:cs="Arial"/>
          <w:sz w:val="20"/>
          <w:szCs w:val="20"/>
        </w:rPr>
      </w:pPr>
    </w:p>
    <w:p w14:paraId="000000D6" w14:textId="77777777" w:rsidR="00920126" w:rsidRPr="000C73C6" w:rsidRDefault="00803966">
      <w:pPr>
        <w:rPr>
          <w:rFonts w:ascii="Arial" w:eastAsia="Arial" w:hAnsi="Arial" w:cs="Arial"/>
          <w:b/>
          <w:sz w:val="20"/>
          <w:szCs w:val="20"/>
        </w:rPr>
      </w:pPr>
      <w:r w:rsidRPr="000C73C6">
        <w:rPr>
          <w:rFonts w:ascii="Arial" w:hAnsi="Arial" w:cs="Arial"/>
          <w:sz w:val="20"/>
          <w:szCs w:val="20"/>
        </w:rPr>
        <w:br w:type="page"/>
      </w:r>
    </w:p>
    <w:p w14:paraId="000000D7" w14:textId="77777777" w:rsidR="00920126" w:rsidRPr="000C73C6" w:rsidRDefault="00803966">
      <w:pPr>
        <w:pStyle w:val="Heading1"/>
        <w:rPr>
          <w:rFonts w:ascii="Arial" w:hAnsi="Arial" w:cs="Arial"/>
          <w:sz w:val="20"/>
          <w:szCs w:val="20"/>
        </w:rPr>
      </w:pPr>
      <w:bookmarkStart w:id="3" w:name="_heading=h.56n1b2sswlr7" w:colFirst="0" w:colLast="0"/>
      <w:bookmarkEnd w:id="3"/>
      <w:r w:rsidRPr="000C73C6">
        <w:rPr>
          <w:rFonts w:ascii="Arial" w:hAnsi="Arial" w:cs="Arial"/>
          <w:sz w:val="20"/>
          <w:szCs w:val="20"/>
        </w:rPr>
        <w:lastRenderedPageBreak/>
        <w:t xml:space="preserve">Tables </w:t>
      </w:r>
    </w:p>
    <w:p w14:paraId="000000D8" w14:textId="77777777" w:rsidR="00920126" w:rsidRPr="000C73C6" w:rsidRDefault="00920126">
      <w:pPr>
        <w:rPr>
          <w:rFonts w:ascii="Arial" w:eastAsia="Arial" w:hAnsi="Arial" w:cs="Arial"/>
          <w:b/>
          <w:sz w:val="20"/>
          <w:szCs w:val="20"/>
        </w:rPr>
      </w:pPr>
    </w:p>
    <w:p w14:paraId="000000D9" w14:textId="6E8F0344" w:rsidR="00920126" w:rsidRPr="000C73C6" w:rsidRDefault="00803966">
      <w:pPr>
        <w:rPr>
          <w:rFonts w:ascii="Arial" w:eastAsia="Arial" w:hAnsi="Arial" w:cs="Arial"/>
          <w:sz w:val="20"/>
          <w:szCs w:val="20"/>
        </w:rPr>
      </w:pPr>
      <w:r w:rsidRPr="000C73C6">
        <w:rPr>
          <w:rFonts w:ascii="Arial" w:eastAsia="Arial" w:hAnsi="Arial" w:cs="Arial"/>
          <w:b/>
          <w:sz w:val="20"/>
          <w:szCs w:val="20"/>
        </w:rPr>
        <w:t>Table 1:</w:t>
      </w:r>
      <w:r w:rsidRPr="000C73C6">
        <w:rPr>
          <w:rFonts w:ascii="Arial" w:eastAsia="Arial" w:hAnsi="Arial" w:cs="Arial"/>
          <w:sz w:val="20"/>
          <w:szCs w:val="20"/>
        </w:rPr>
        <w:t xml:space="preserve"> Survey structure and types of questions </w:t>
      </w:r>
    </w:p>
    <w:p w14:paraId="000000DA" w14:textId="2DE32B05" w:rsidR="00920126" w:rsidRPr="000C73C6" w:rsidRDefault="00920126">
      <w:pPr>
        <w:rPr>
          <w:rFonts w:ascii="Arial" w:eastAsia="Arial" w:hAnsi="Arial" w:cs="Arial"/>
          <w:sz w:val="20"/>
          <w:szCs w:val="20"/>
        </w:rPr>
      </w:pPr>
    </w:p>
    <w:tbl>
      <w:tblPr>
        <w:tblStyle w:val="3"/>
        <w:tblW w:w="8895" w:type="dxa"/>
        <w:tblBorders>
          <w:top w:val="nil"/>
          <w:left w:val="nil"/>
          <w:bottom w:val="nil"/>
          <w:right w:val="nil"/>
          <w:insideH w:val="nil"/>
          <w:insideV w:val="nil"/>
        </w:tblBorders>
        <w:tblLayout w:type="fixed"/>
        <w:tblLook w:val="0600" w:firstRow="0" w:lastRow="0" w:firstColumn="0" w:lastColumn="0" w:noHBand="1" w:noVBand="1"/>
      </w:tblPr>
      <w:tblGrid>
        <w:gridCol w:w="375"/>
        <w:gridCol w:w="2625"/>
        <w:gridCol w:w="1322"/>
        <w:gridCol w:w="4573"/>
      </w:tblGrid>
      <w:tr w:rsidR="00920126" w:rsidRPr="000C73C6" w14:paraId="06AEDC18" w14:textId="77777777">
        <w:trPr>
          <w:trHeight w:val="525"/>
        </w:trPr>
        <w:tc>
          <w:tcPr>
            <w:tcW w:w="375" w:type="dxa"/>
            <w:tcBorders>
              <w:top w:val="single" w:sz="8" w:space="0" w:color="000000"/>
              <w:bottom w:val="single" w:sz="8" w:space="0" w:color="000000"/>
            </w:tcBorders>
            <w:tcMar>
              <w:top w:w="20" w:type="dxa"/>
              <w:left w:w="20" w:type="dxa"/>
              <w:bottom w:w="100" w:type="dxa"/>
              <w:right w:w="20" w:type="dxa"/>
            </w:tcMar>
          </w:tcPr>
          <w:p w14:paraId="000000DB" w14:textId="28920E95" w:rsidR="00920126" w:rsidRPr="000C73C6" w:rsidRDefault="00803966">
            <w:pPr>
              <w:jc w:val="center"/>
              <w:rPr>
                <w:rFonts w:ascii="Arial" w:eastAsia="Arial" w:hAnsi="Arial" w:cs="Arial"/>
                <w:sz w:val="20"/>
                <w:szCs w:val="20"/>
              </w:rPr>
            </w:pPr>
            <w:r w:rsidRPr="000C73C6">
              <w:rPr>
                <w:rFonts w:ascii="Arial" w:eastAsia="Arial" w:hAnsi="Arial" w:cs="Arial"/>
                <w:b/>
                <w:sz w:val="20"/>
                <w:szCs w:val="20"/>
              </w:rPr>
              <w:t>#</w:t>
            </w:r>
            <w:r w:rsidRPr="000C73C6">
              <w:rPr>
                <w:rFonts w:ascii="Arial" w:eastAsia="Arial" w:hAnsi="Arial" w:cs="Arial"/>
                <w:sz w:val="20"/>
                <w:szCs w:val="20"/>
              </w:rPr>
              <w:t xml:space="preserve"> </w:t>
            </w:r>
          </w:p>
        </w:tc>
        <w:tc>
          <w:tcPr>
            <w:tcW w:w="2625" w:type="dxa"/>
            <w:tcBorders>
              <w:top w:val="single" w:sz="8" w:space="0" w:color="000000"/>
              <w:bottom w:val="single" w:sz="8" w:space="0" w:color="000000"/>
            </w:tcBorders>
            <w:tcMar>
              <w:top w:w="20" w:type="dxa"/>
              <w:left w:w="20" w:type="dxa"/>
              <w:bottom w:w="100" w:type="dxa"/>
              <w:right w:w="20" w:type="dxa"/>
            </w:tcMar>
          </w:tcPr>
          <w:p w14:paraId="000000DC" w14:textId="0CCA9104" w:rsidR="00920126" w:rsidRPr="000C73C6" w:rsidRDefault="00803966">
            <w:pPr>
              <w:rPr>
                <w:rFonts w:ascii="Arial" w:eastAsia="Arial" w:hAnsi="Arial" w:cs="Arial"/>
                <w:sz w:val="20"/>
                <w:szCs w:val="20"/>
              </w:rPr>
            </w:pPr>
            <w:r w:rsidRPr="000C73C6">
              <w:rPr>
                <w:rFonts w:ascii="Arial" w:eastAsia="Arial" w:hAnsi="Arial" w:cs="Arial"/>
                <w:sz w:val="20"/>
                <w:szCs w:val="20"/>
              </w:rPr>
              <w:t>Section</w:t>
            </w:r>
          </w:p>
        </w:tc>
        <w:tc>
          <w:tcPr>
            <w:tcW w:w="1322" w:type="dxa"/>
            <w:tcBorders>
              <w:top w:val="single" w:sz="8" w:space="0" w:color="000000"/>
              <w:bottom w:val="single" w:sz="8" w:space="0" w:color="000000"/>
            </w:tcBorders>
            <w:tcMar>
              <w:top w:w="20" w:type="dxa"/>
              <w:left w:w="20" w:type="dxa"/>
              <w:bottom w:w="100" w:type="dxa"/>
              <w:right w:w="20" w:type="dxa"/>
            </w:tcMar>
          </w:tcPr>
          <w:p w14:paraId="000000DD" w14:textId="1BA7995D" w:rsidR="00920126" w:rsidRPr="000C73C6" w:rsidRDefault="00803966">
            <w:pPr>
              <w:jc w:val="center"/>
              <w:rPr>
                <w:rFonts w:ascii="Arial" w:eastAsia="Arial" w:hAnsi="Arial" w:cs="Arial"/>
                <w:sz w:val="20"/>
                <w:szCs w:val="20"/>
              </w:rPr>
            </w:pPr>
            <w:r w:rsidRPr="000C73C6">
              <w:rPr>
                <w:rFonts w:ascii="Arial" w:eastAsia="Arial" w:hAnsi="Arial" w:cs="Arial"/>
                <w:b/>
                <w:sz w:val="20"/>
                <w:szCs w:val="20"/>
              </w:rPr>
              <w:t xml:space="preserve"> </w:t>
            </w:r>
            <w:r w:rsidRPr="0098359A">
              <w:rPr>
                <w:rFonts w:ascii="Arial" w:eastAsia="Arial" w:hAnsi="Arial" w:cs="Arial"/>
                <w:bCs/>
                <w:sz w:val="20"/>
                <w:szCs w:val="20"/>
              </w:rPr>
              <w:t>Q</w:t>
            </w:r>
            <w:r w:rsidRPr="000C73C6">
              <w:rPr>
                <w:rFonts w:ascii="Arial" w:eastAsia="Arial" w:hAnsi="Arial" w:cs="Arial"/>
                <w:sz w:val="20"/>
                <w:szCs w:val="20"/>
              </w:rPr>
              <w:t>uestions (n)</w:t>
            </w:r>
          </w:p>
        </w:tc>
        <w:tc>
          <w:tcPr>
            <w:tcW w:w="4572" w:type="dxa"/>
            <w:tcBorders>
              <w:top w:val="single" w:sz="8" w:space="0" w:color="000000"/>
              <w:bottom w:val="single" w:sz="8" w:space="0" w:color="000000"/>
            </w:tcBorders>
            <w:tcMar>
              <w:top w:w="20" w:type="dxa"/>
              <w:left w:w="20" w:type="dxa"/>
              <w:bottom w:w="100" w:type="dxa"/>
              <w:right w:w="20" w:type="dxa"/>
            </w:tcMar>
          </w:tcPr>
          <w:p w14:paraId="000000DE" w14:textId="62D4EC63" w:rsidR="00920126" w:rsidRPr="000C73C6" w:rsidRDefault="00803966">
            <w:pPr>
              <w:rPr>
                <w:rFonts w:ascii="Arial" w:eastAsia="Arial" w:hAnsi="Arial" w:cs="Arial"/>
                <w:sz w:val="20"/>
                <w:szCs w:val="20"/>
              </w:rPr>
            </w:pPr>
            <w:r w:rsidRPr="000C73C6">
              <w:rPr>
                <w:rFonts w:ascii="Arial" w:eastAsia="Arial" w:hAnsi="Arial" w:cs="Arial"/>
                <w:sz w:val="20"/>
                <w:szCs w:val="20"/>
              </w:rPr>
              <w:t xml:space="preserve">Survey question types </w:t>
            </w:r>
          </w:p>
        </w:tc>
      </w:tr>
      <w:tr w:rsidR="00920126" w:rsidRPr="000C73C6" w14:paraId="784351DF" w14:textId="77777777">
        <w:trPr>
          <w:trHeight w:val="705"/>
        </w:trPr>
        <w:tc>
          <w:tcPr>
            <w:tcW w:w="375" w:type="dxa"/>
            <w:tcMar>
              <w:top w:w="20" w:type="dxa"/>
              <w:left w:w="20" w:type="dxa"/>
              <w:bottom w:w="100" w:type="dxa"/>
              <w:right w:w="20" w:type="dxa"/>
            </w:tcMar>
          </w:tcPr>
          <w:p w14:paraId="000000DF" w14:textId="7F4E2434" w:rsidR="00920126" w:rsidRPr="000C73C6" w:rsidRDefault="00803966">
            <w:pPr>
              <w:jc w:val="center"/>
              <w:rPr>
                <w:rFonts w:ascii="Arial" w:eastAsia="Arial" w:hAnsi="Arial" w:cs="Arial"/>
                <w:sz w:val="20"/>
                <w:szCs w:val="20"/>
              </w:rPr>
            </w:pPr>
            <w:r w:rsidRPr="000C73C6">
              <w:rPr>
                <w:rFonts w:ascii="Arial" w:eastAsia="Arial" w:hAnsi="Arial" w:cs="Arial"/>
                <w:sz w:val="20"/>
                <w:szCs w:val="20"/>
              </w:rPr>
              <w:t>1</w:t>
            </w:r>
          </w:p>
        </w:tc>
        <w:tc>
          <w:tcPr>
            <w:tcW w:w="2625" w:type="dxa"/>
            <w:tcMar>
              <w:top w:w="20" w:type="dxa"/>
              <w:left w:w="20" w:type="dxa"/>
              <w:bottom w:w="100" w:type="dxa"/>
              <w:right w:w="20" w:type="dxa"/>
            </w:tcMar>
          </w:tcPr>
          <w:p w14:paraId="000000E0" w14:textId="5D7AD7E8" w:rsidR="00920126" w:rsidRPr="000C73C6" w:rsidRDefault="00803966">
            <w:pPr>
              <w:rPr>
                <w:rFonts w:ascii="Arial" w:eastAsia="Arial" w:hAnsi="Arial" w:cs="Arial"/>
                <w:sz w:val="20"/>
                <w:szCs w:val="20"/>
              </w:rPr>
            </w:pPr>
            <w:r w:rsidRPr="000C73C6">
              <w:rPr>
                <w:rFonts w:ascii="Arial" w:eastAsia="Arial" w:hAnsi="Arial" w:cs="Arial"/>
                <w:sz w:val="20"/>
                <w:szCs w:val="20"/>
              </w:rPr>
              <w:t>Demographic data and digital literacy</w:t>
            </w:r>
          </w:p>
        </w:tc>
        <w:tc>
          <w:tcPr>
            <w:tcW w:w="1322" w:type="dxa"/>
            <w:tcMar>
              <w:top w:w="20" w:type="dxa"/>
              <w:left w:w="20" w:type="dxa"/>
              <w:bottom w:w="100" w:type="dxa"/>
              <w:right w:w="20" w:type="dxa"/>
            </w:tcMar>
          </w:tcPr>
          <w:p w14:paraId="000000E1" w14:textId="409F2CD2" w:rsidR="00920126" w:rsidRPr="000C73C6" w:rsidRDefault="00803966">
            <w:pPr>
              <w:jc w:val="center"/>
              <w:rPr>
                <w:rFonts w:ascii="Arial" w:eastAsia="Arial" w:hAnsi="Arial" w:cs="Arial"/>
                <w:sz w:val="20"/>
                <w:szCs w:val="20"/>
              </w:rPr>
            </w:pPr>
            <w:r w:rsidRPr="000C73C6">
              <w:rPr>
                <w:rFonts w:ascii="Arial" w:eastAsia="Arial" w:hAnsi="Arial" w:cs="Arial"/>
                <w:sz w:val="20"/>
                <w:szCs w:val="20"/>
              </w:rPr>
              <w:t>13</w:t>
            </w:r>
          </w:p>
        </w:tc>
        <w:tc>
          <w:tcPr>
            <w:tcW w:w="4572" w:type="dxa"/>
            <w:tcMar>
              <w:top w:w="20" w:type="dxa"/>
              <w:left w:w="20" w:type="dxa"/>
              <w:bottom w:w="100" w:type="dxa"/>
              <w:right w:w="20" w:type="dxa"/>
            </w:tcMar>
          </w:tcPr>
          <w:p w14:paraId="000000E2" w14:textId="7A81417B" w:rsidR="00920126" w:rsidRPr="000C73C6" w:rsidRDefault="00803966">
            <w:pPr>
              <w:rPr>
                <w:rFonts w:ascii="Arial" w:eastAsia="Arial" w:hAnsi="Arial" w:cs="Arial"/>
                <w:sz w:val="20"/>
                <w:szCs w:val="20"/>
              </w:rPr>
            </w:pPr>
            <w:r w:rsidRPr="000C73C6">
              <w:rPr>
                <w:rFonts w:ascii="Arial" w:eastAsia="Arial" w:hAnsi="Arial" w:cs="Arial"/>
                <w:sz w:val="20"/>
                <w:szCs w:val="20"/>
              </w:rPr>
              <w:t xml:space="preserve">Close-ended questions (multiple choice) &amp; set of questions using a 5-point Likert scale (1: strongly disagree, 5: strongly agree) as part of the eHEALS </w:t>
            </w:r>
          </w:p>
        </w:tc>
      </w:tr>
      <w:tr w:rsidR="00920126" w:rsidRPr="000C73C6" w14:paraId="1924866B" w14:textId="77777777">
        <w:trPr>
          <w:trHeight w:val="705"/>
        </w:trPr>
        <w:tc>
          <w:tcPr>
            <w:tcW w:w="375" w:type="dxa"/>
            <w:tcMar>
              <w:top w:w="20" w:type="dxa"/>
              <w:left w:w="20" w:type="dxa"/>
              <w:bottom w:w="100" w:type="dxa"/>
              <w:right w:w="20" w:type="dxa"/>
            </w:tcMar>
          </w:tcPr>
          <w:p w14:paraId="000000E3" w14:textId="199F7126" w:rsidR="00920126" w:rsidRPr="000C73C6" w:rsidRDefault="00803966">
            <w:pPr>
              <w:jc w:val="center"/>
              <w:rPr>
                <w:rFonts w:ascii="Arial" w:eastAsia="Arial" w:hAnsi="Arial" w:cs="Arial"/>
                <w:sz w:val="20"/>
                <w:szCs w:val="20"/>
              </w:rPr>
            </w:pPr>
            <w:r w:rsidRPr="000C73C6">
              <w:rPr>
                <w:rFonts w:ascii="Arial" w:eastAsia="Arial" w:hAnsi="Arial" w:cs="Arial"/>
                <w:sz w:val="20"/>
                <w:szCs w:val="20"/>
              </w:rPr>
              <w:t>2</w:t>
            </w:r>
          </w:p>
        </w:tc>
        <w:tc>
          <w:tcPr>
            <w:tcW w:w="2625" w:type="dxa"/>
            <w:tcMar>
              <w:top w:w="20" w:type="dxa"/>
              <w:left w:w="20" w:type="dxa"/>
              <w:bottom w:w="100" w:type="dxa"/>
              <w:right w:w="20" w:type="dxa"/>
            </w:tcMar>
          </w:tcPr>
          <w:p w14:paraId="000000E4" w14:textId="4F3C5769" w:rsidR="00920126" w:rsidRPr="000C73C6" w:rsidRDefault="00803966">
            <w:pPr>
              <w:rPr>
                <w:rFonts w:ascii="Arial" w:eastAsia="Arial" w:hAnsi="Arial" w:cs="Arial"/>
                <w:sz w:val="20"/>
                <w:szCs w:val="20"/>
              </w:rPr>
            </w:pPr>
            <w:r w:rsidRPr="000C73C6">
              <w:rPr>
                <w:rFonts w:ascii="Arial" w:eastAsia="Arial" w:hAnsi="Arial" w:cs="Arial"/>
                <w:sz w:val="20"/>
                <w:szCs w:val="20"/>
              </w:rPr>
              <w:t>Use of virtual care before and during the COVID-19 pandemic</w:t>
            </w:r>
          </w:p>
        </w:tc>
        <w:tc>
          <w:tcPr>
            <w:tcW w:w="1322" w:type="dxa"/>
            <w:tcMar>
              <w:top w:w="20" w:type="dxa"/>
              <w:left w:w="20" w:type="dxa"/>
              <w:bottom w:w="100" w:type="dxa"/>
              <w:right w:w="20" w:type="dxa"/>
            </w:tcMar>
          </w:tcPr>
          <w:p w14:paraId="000000E5" w14:textId="6F711F28" w:rsidR="00920126" w:rsidRPr="000C73C6" w:rsidRDefault="00803966">
            <w:pPr>
              <w:jc w:val="center"/>
              <w:rPr>
                <w:rFonts w:ascii="Arial" w:eastAsia="Arial" w:hAnsi="Arial" w:cs="Arial"/>
                <w:sz w:val="20"/>
                <w:szCs w:val="20"/>
              </w:rPr>
            </w:pPr>
            <w:r w:rsidRPr="000C73C6">
              <w:rPr>
                <w:rFonts w:ascii="Arial" w:eastAsia="Arial" w:hAnsi="Arial" w:cs="Arial"/>
                <w:sz w:val="20"/>
                <w:szCs w:val="20"/>
              </w:rPr>
              <w:t>3</w:t>
            </w:r>
          </w:p>
        </w:tc>
        <w:tc>
          <w:tcPr>
            <w:tcW w:w="4572" w:type="dxa"/>
            <w:tcMar>
              <w:top w:w="20" w:type="dxa"/>
              <w:left w:w="20" w:type="dxa"/>
              <w:bottom w:w="100" w:type="dxa"/>
              <w:right w:w="20" w:type="dxa"/>
            </w:tcMar>
          </w:tcPr>
          <w:p w14:paraId="000000E6" w14:textId="2A0EF8B0" w:rsidR="00920126" w:rsidRPr="000C73C6" w:rsidRDefault="00803966">
            <w:pPr>
              <w:rPr>
                <w:rFonts w:ascii="Arial" w:eastAsia="Arial" w:hAnsi="Arial" w:cs="Arial"/>
                <w:sz w:val="20"/>
                <w:szCs w:val="20"/>
              </w:rPr>
            </w:pPr>
            <w:r w:rsidRPr="000C73C6">
              <w:rPr>
                <w:rFonts w:ascii="Arial" w:eastAsia="Arial" w:hAnsi="Arial" w:cs="Arial"/>
                <w:sz w:val="20"/>
                <w:szCs w:val="20"/>
              </w:rPr>
              <w:t>Close-ended questions (multiple choice) &amp; question on patient experience using a 5-point Likert scale (1: very bad, 5: very good)</w:t>
            </w:r>
          </w:p>
        </w:tc>
      </w:tr>
      <w:tr w:rsidR="00920126" w:rsidRPr="000C73C6" w14:paraId="785E53FC" w14:textId="77777777">
        <w:trPr>
          <w:trHeight w:val="525"/>
        </w:trPr>
        <w:tc>
          <w:tcPr>
            <w:tcW w:w="375" w:type="dxa"/>
            <w:tcMar>
              <w:top w:w="20" w:type="dxa"/>
              <w:left w:w="20" w:type="dxa"/>
              <w:bottom w:w="100" w:type="dxa"/>
              <w:right w:w="20" w:type="dxa"/>
            </w:tcMar>
          </w:tcPr>
          <w:p w14:paraId="000000E7" w14:textId="56B0DC37" w:rsidR="00920126" w:rsidRPr="000C73C6" w:rsidRDefault="00803966">
            <w:pPr>
              <w:jc w:val="center"/>
              <w:rPr>
                <w:rFonts w:ascii="Arial" w:eastAsia="Arial" w:hAnsi="Arial" w:cs="Arial"/>
                <w:sz w:val="20"/>
                <w:szCs w:val="20"/>
              </w:rPr>
            </w:pPr>
            <w:r w:rsidRPr="000C73C6">
              <w:rPr>
                <w:rFonts w:ascii="Arial" w:eastAsia="Arial" w:hAnsi="Arial" w:cs="Arial"/>
                <w:sz w:val="20"/>
                <w:szCs w:val="20"/>
              </w:rPr>
              <w:t>3</w:t>
            </w:r>
          </w:p>
        </w:tc>
        <w:tc>
          <w:tcPr>
            <w:tcW w:w="2625" w:type="dxa"/>
            <w:tcMar>
              <w:top w:w="20" w:type="dxa"/>
              <w:left w:w="20" w:type="dxa"/>
              <w:bottom w:w="100" w:type="dxa"/>
              <w:right w:w="20" w:type="dxa"/>
            </w:tcMar>
          </w:tcPr>
          <w:p w14:paraId="000000E8" w14:textId="1EF4CCDC" w:rsidR="00920126" w:rsidRPr="000C73C6" w:rsidRDefault="00803966">
            <w:pPr>
              <w:rPr>
                <w:rFonts w:ascii="Arial" w:eastAsia="Arial" w:hAnsi="Arial" w:cs="Arial"/>
                <w:sz w:val="20"/>
                <w:szCs w:val="20"/>
              </w:rPr>
            </w:pPr>
            <w:r w:rsidRPr="000C73C6">
              <w:rPr>
                <w:rFonts w:ascii="Arial" w:eastAsia="Arial" w:hAnsi="Arial" w:cs="Arial"/>
                <w:sz w:val="20"/>
                <w:szCs w:val="20"/>
              </w:rPr>
              <w:t>Impact on quality and safety of care</w:t>
            </w:r>
          </w:p>
        </w:tc>
        <w:tc>
          <w:tcPr>
            <w:tcW w:w="1322" w:type="dxa"/>
            <w:tcMar>
              <w:top w:w="20" w:type="dxa"/>
              <w:left w:w="20" w:type="dxa"/>
              <w:bottom w:w="100" w:type="dxa"/>
              <w:right w:w="20" w:type="dxa"/>
            </w:tcMar>
          </w:tcPr>
          <w:p w14:paraId="000000E9" w14:textId="0D7BDA68" w:rsidR="00920126" w:rsidRPr="000C73C6" w:rsidRDefault="00803966">
            <w:pPr>
              <w:jc w:val="center"/>
              <w:rPr>
                <w:rFonts w:ascii="Arial" w:eastAsia="Arial" w:hAnsi="Arial" w:cs="Arial"/>
                <w:sz w:val="20"/>
                <w:szCs w:val="20"/>
              </w:rPr>
            </w:pPr>
            <w:r w:rsidRPr="000C73C6">
              <w:rPr>
                <w:rFonts w:ascii="Arial" w:eastAsia="Arial" w:hAnsi="Arial" w:cs="Arial"/>
                <w:sz w:val="20"/>
                <w:szCs w:val="20"/>
              </w:rPr>
              <w:t>15</w:t>
            </w:r>
          </w:p>
        </w:tc>
        <w:tc>
          <w:tcPr>
            <w:tcW w:w="4572" w:type="dxa"/>
            <w:tcMar>
              <w:top w:w="20" w:type="dxa"/>
              <w:left w:w="20" w:type="dxa"/>
              <w:bottom w:w="100" w:type="dxa"/>
              <w:right w:w="20" w:type="dxa"/>
            </w:tcMar>
          </w:tcPr>
          <w:p w14:paraId="000000EA" w14:textId="50784043" w:rsidR="00920126" w:rsidRPr="000C73C6" w:rsidRDefault="00803966">
            <w:pPr>
              <w:rPr>
                <w:rFonts w:ascii="Arial" w:eastAsia="Arial" w:hAnsi="Arial" w:cs="Arial"/>
                <w:sz w:val="20"/>
                <w:szCs w:val="20"/>
              </w:rPr>
            </w:pPr>
            <w:r w:rsidRPr="000C73C6">
              <w:rPr>
                <w:rFonts w:ascii="Arial" w:eastAsia="Arial" w:hAnsi="Arial" w:cs="Arial"/>
                <w:sz w:val="20"/>
                <w:szCs w:val="20"/>
              </w:rPr>
              <w:t>Close-ended questions (multiple choice)</w:t>
            </w:r>
          </w:p>
        </w:tc>
      </w:tr>
      <w:tr w:rsidR="00920126" w:rsidRPr="000C73C6" w14:paraId="0D32ED4B" w14:textId="77777777">
        <w:trPr>
          <w:trHeight w:val="360"/>
        </w:trPr>
        <w:tc>
          <w:tcPr>
            <w:tcW w:w="375" w:type="dxa"/>
            <w:tcBorders>
              <w:bottom w:val="single" w:sz="8" w:space="0" w:color="000000"/>
            </w:tcBorders>
            <w:tcMar>
              <w:top w:w="20" w:type="dxa"/>
              <w:left w:w="20" w:type="dxa"/>
              <w:bottom w:w="100" w:type="dxa"/>
              <w:right w:w="20" w:type="dxa"/>
            </w:tcMar>
          </w:tcPr>
          <w:p w14:paraId="000000EB" w14:textId="3AFB7E79" w:rsidR="00920126" w:rsidRPr="000C73C6" w:rsidRDefault="00803966">
            <w:pPr>
              <w:jc w:val="center"/>
              <w:rPr>
                <w:rFonts w:ascii="Arial" w:eastAsia="Arial" w:hAnsi="Arial" w:cs="Arial"/>
                <w:sz w:val="20"/>
                <w:szCs w:val="20"/>
              </w:rPr>
            </w:pPr>
            <w:r w:rsidRPr="000C73C6">
              <w:rPr>
                <w:rFonts w:ascii="Arial" w:eastAsia="Arial" w:hAnsi="Arial" w:cs="Arial"/>
                <w:sz w:val="20"/>
                <w:szCs w:val="20"/>
              </w:rPr>
              <w:t>4</w:t>
            </w:r>
          </w:p>
        </w:tc>
        <w:tc>
          <w:tcPr>
            <w:tcW w:w="2625" w:type="dxa"/>
            <w:tcBorders>
              <w:bottom w:val="single" w:sz="8" w:space="0" w:color="000000"/>
            </w:tcBorders>
            <w:tcMar>
              <w:top w:w="20" w:type="dxa"/>
              <w:left w:w="20" w:type="dxa"/>
              <w:bottom w:w="100" w:type="dxa"/>
              <w:right w:w="20" w:type="dxa"/>
            </w:tcMar>
          </w:tcPr>
          <w:p w14:paraId="000000EC" w14:textId="51191536" w:rsidR="00920126" w:rsidRPr="000C73C6" w:rsidRDefault="00803966">
            <w:pPr>
              <w:rPr>
                <w:rFonts w:ascii="Arial" w:eastAsia="Arial" w:hAnsi="Arial" w:cs="Arial"/>
                <w:sz w:val="20"/>
                <w:szCs w:val="20"/>
              </w:rPr>
            </w:pPr>
            <w:r w:rsidRPr="000C73C6">
              <w:rPr>
                <w:rFonts w:ascii="Arial" w:eastAsia="Arial" w:hAnsi="Arial" w:cs="Arial"/>
                <w:sz w:val="20"/>
                <w:szCs w:val="20"/>
              </w:rPr>
              <w:t>Benefits and challenges</w:t>
            </w:r>
          </w:p>
        </w:tc>
        <w:tc>
          <w:tcPr>
            <w:tcW w:w="1322" w:type="dxa"/>
            <w:tcBorders>
              <w:bottom w:val="single" w:sz="8" w:space="0" w:color="000000"/>
            </w:tcBorders>
            <w:tcMar>
              <w:top w:w="20" w:type="dxa"/>
              <w:left w:w="20" w:type="dxa"/>
              <w:bottom w:w="100" w:type="dxa"/>
              <w:right w:w="20" w:type="dxa"/>
            </w:tcMar>
          </w:tcPr>
          <w:p w14:paraId="000000ED" w14:textId="58AE6AD5" w:rsidR="00920126" w:rsidRPr="000C73C6" w:rsidRDefault="00803966">
            <w:pPr>
              <w:jc w:val="center"/>
              <w:rPr>
                <w:rFonts w:ascii="Arial" w:eastAsia="Arial" w:hAnsi="Arial" w:cs="Arial"/>
                <w:sz w:val="20"/>
                <w:szCs w:val="20"/>
              </w:rPr>
            </w:pPr>
            <w:r w:rsidRPr="000C73C6">
              <w:rPr>
                <w:rFonts w:ascii="Arial" w:eastAsia="Arial" w:hAnsi="Arial" w:cs="Arial"/>
                <w:sz w:val="20"/>
                <w:szCs w:val="20"/>
              </w:rPr>
              <w:t>2</w:t>
            </w:r>
          </w:p>
        </w:tc>
        <w:tc>
          <w:tcPr>
            <w:tcW w:w="4572" w:type="dxa"/>
            <w:tcBorders>
              <w:bottom w:val="single" w:sz="8" w:space="0" w:color="000000"/>
            </w:tcBorders>
            <w:tcMar>
              <w:top w:w="20" w:type="dxa"/>
              <w:left w:w="20" w:type="dxa"/>
              <w:bottom w:w="100" w:type="dxa"/>
              <w:right w:w="20" w:type="dxa"/>
            </w:tcMar>
          </w:tcPr>
          <w:p w14:paraId="000000EE" w14:textId="06EE1118" w:rsidR="00920126" w:rsidRPr="000C73C6" w:rsidRDefault="00803966">
            <w:pPr>
              <w:rPr>
                <w:rFonts w:ascii="Arial" w:eastAsia="Arial" w:hAnsi="Arial" w:cs="Arial"/>
                <w:sz w:val="20"/>
                <w:szCs w:val="20"/>
              </w:rPr>
            </w:pPr>
            <w:r w:rsidRPr="000C73C6">
              <w:rPr>
                <w:rFonts w:ascii="Arial" w:eastAsia="Arial" w:hAnsi="Arial" w:cs="Arial"/>
                <w:sz w:val="20"/>
                <w:szCs w:val="20"/>
              </w:rPr>
              <w:t>Open-ended questions</w:t>
            </w:r>
          </w:p>
        </w:tc>
      </w:tr>
    </w:tbl>
    <w:p w14:paraId="000000EF" w14:textId="26FC2167" w:rsidR="00920126" w:rsidRPr="000C73C6" w:rsidRDefault="00803966">
      <w:pPr>
        <w:rPr>
          <w:rFonts w:ascii="Arial" w:eastAsia="Arial" w:hAnsi="Arial" w:cs="Arial"/>
          <w:b/>
          <w:sz w:val="20"/>
          <w:szCs w:val="20"/>
        </w:rPr>
      </w:pPr>
      <w:r w:rsidRPr="000C73C6">
        <w:rPr>
          <w:rFonts w:ascii="Arial" w:eastAsia="Arial" w:hAnsi="Arial" w:cs="Arial"/>
          <w:sz w:val="20"/>
          <w:szCs w:val="20"/>
        </w:rPr>
        <w:t xml:space="preserve"> </w:t>
      </w:r>
    </w:p>
    <w:p w14:paraId="4289189A" w14:textId="77777777" w:rsidR="00050F1C" w:rsidRDefault="00050F1C">
      <w:pPr>
        <w:rPr>
          <w:rFonts w:ascii="Arial" w:eastAsia="Arial" w:hAnsi="Arial" w:cs="Arial"/>
          <w:b/>
          <w:sz w:val="20"/>
          <w:szCs w:val="20"/>
        </w:rPr>
      </w:pPr>
    </w:p>
    <w:p w14:paraId="000000F0" w14:textId="031515A9" w:rsidR="00920126" w:rsidRPr="000C73C6" w:rsidRDefault="00803966">
      <w:pPr>
        <w:rPr>
          <w:rFonts w:ascii="Arial" w:eastAsia="Arial" w:hAnsi="Arial" w:cs="Arial"/>
          <w:b/>
          <w:sz w:val="20"/>
          <w:szCs w:val="20"/>
        </w:rPr>
      </w:pPr>
      <w:r w:rsidRPr="000C73C6">
        <w:rPr>
          <w:rFonts w:ascii="Arial" w:eastAsia="Arial" w:hAnsi="Arial" w:cs="Arial"/>
          <w:b/>
          <w:sz w:val="20"/>
          <w:szCs w:val="20"/>
        </w:rPr>
        <w:t xml:space="preserve">Table </w:t>
      </w:r>
      <w:r w:rsidR="00050F1C">
        <w:rPr>
          <w:rFonts w:ascii="Arial" w:eastAsia="Arial" w:hAnsi="Arial" w:cs="Arial"/>
          <w:b/>
          <w:sz w:val="20"/>
          <w:szCs w:val="20"/>
        </w:rPr>
        <w:t>2</w:t>
      </w:r>
      <w:r w:rsidRPr="000C73C6">
        <w:rPr>
          <w:rFonts w:ascii="Arial" w:eastAsia="Arial" w:hAnsi="Arial" w:cs="Arial"/>
          <w:sz w:val="20"/>
          <w:szCs w:val="20"/>
        </w:rPr>
        <w:t>:</w:t>
      </w:r>
      <w:r w:rsidRPr="000C73C6">
        <w:rPr>
          <w:rFonts w:ascii="Arial" w:eastAsia="Arial" w:hAnsi="Arial" w:cs="Arial"/>
          <w:b/>
          <w:sz w:val="20"/>
          <w:szCs w:val="20"/>
        </w:rPr>
        <w:t xml:space="preserve"> </w:t>
      </w:r>
      <w:r w:rsidRPr="000C73C6">
        <w:rPr>
          <w:rFonts w:ascii="Arial" w:eastAsia="Arial" w:hAnsi="Arial" w:cs="Arial"/>
          <w:sz w:val="20"/>
          <w:szCs w:val="20"/>
        </w:rPr>
        <w:t xml:space="preserve">Characteristics of survey respondents </w:t>
      </w:r>
    </w:p>
    <w:p w14:paraId="000000F1" w14:textId="3A210287" w:rsidR="00920126" w:rsidRPr="000C73C6" w:rsidRDefault="00920126">
      <w:pPr>
        <w:rPr>
          <w:rFonts w:ascii="Arial" w:eastAsia="Arial" w:hAnsi="Arial" w:cs="Arial"/>
          <w:b/>
          <w:sz w:val="20"/>
          <w:szCs w:val="20"/>
        </w:rPr>
      </w:pPr>
    </w:p>
    <w:tbl>
      <w:tblPr>
        <w:tblStyle w:val="2"/>
        <w:tblW w:w="4590" w:type="dxa"/>
        <w:tblBorders>
          <w:top w:val="nil"/>
          <w:left w:val="nil"/>
          <w:bottom w:val="nil"/>
          <w:right w:val="nil"/>
          <w:insideH w:val="nil"/>
          <w:insideV w:val="nil"/>
        </w:tblBorders>
        <w:tblLayout w:type="fixed"/>
        <w:tblLook w:val="0600" w:firstRow="0" w:lastRow="0" w:firstColumn="0" w:lastColumn="0" w:noHBand="1" w:noVBand="1"/>
      </w:tblPr>
      <w:tblGrid>
        <w:gridCol w:w="3105"/>
        <w:gridCol w:w="1485"/>
      </w:tblGrid>
      <w:tr w:rsidR="00920126" w:rsidRPr="000C73C6" w14:paraId="68139D6F" w14:textId="77777777">
        <w:trPr>
          <w:trHeight w:val="525"/>
        </w:trPr>
        <w:tc>
          <w:tcPr>
            <w:tcW w:w="3105" w:type="dxa"/>
            <w:tcBorders>
              <w:top w:val="single" w:sz="8" w:space="0" w:color="000000"/>
              <w:bottom w:val="single" w:sz="8" w:space="0" w:color="000000"/>
            </w:tcBorders>
            <w:shd w:val="clear" w:color="auto" w:fill="FFFFFF"/>
            <w:tcMar>
              <w:top w:w="20" w:type="dxa"/>
              <w:left w:w="20" w:type="dxa"/>
              <w:bottom w:w="100" w:type="dxa"/>
              <w:right w:w="20" w:type="dxa"/>
            </w:tcMar>
          </w:tcPr>
          <w:p w14:paraId="000000F2" w14:textId="23D77FEC" w:rsidR="00920126" w:rsidRPr="000C73C6" w:rsidRDefault="00920126">
            <w:pPr>
              <w:widowControl w:val="0"/>
              <w:pBdr>
                <w:top w:val="nil"/>
                <w:left w:val="nil"/>
                <w:bottom w:val="nil"/>
                <w:right w:val="nil"/>
                <w:between w:val="nil"/>
              </w:pBdr>
              <w:shd w:val="clear" w:color="auto" w:fill="auto"/>
              <w:spacing w:line="276" w:lineRule="auto"/>
              <w:jc w:val="left"/>
              <w:rPr>
                <w:rFonts w:ascii="Arial" w:eastAsia="Arial" w:hAnsi="Arial" w:cs="Arial"/>
                <w:b/>
                <w:sz w:val="20"/>
                <w:szCs w:val="20"/>
              </w:rPr>
            </w:pPr>
          </w:p>
        </w:tc>
        <w:tc>
          <w:tcPr>
            <w:tcW w:w="1485" w:type="dxa"/>
            <w:tcBorders>
              <w:top w:val="single" w:sz="8" w:space="0" w:color="000000"/>
              <w:bottom w:val="single" w:sz="8" w:space="0" w:color="000000"/>
            </w:tcBorders>
            <w:shd w:val="clear" w:color="auto" w:fill="FFFFFF"/>
            <w:tcMar>
              <w:top w:w="20" w:type="dxa"/>
              <w:left w:w="20" w:type="dxa"/>
              <w:bottom w:w="100" w:type="dxa"/>
              <w:right w:w="20" w:type="dxa"/>
            </w:tcMar>
          </w:tcPr>
          <w:p w14:paraId="000000F3" w14:textId="546655F2"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Total</w:t>
            </w:r>
          </w:p>
          <w:p w14:paraId="000000F4" w14:textId="3092EC0D"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(n = 6,331)</w:t>
            </w:r>
          </w:p>
        </w:tc>
      </w:tr>
      <w:tr w:rsidR="00920126" w:rsidRPr="000C73C6" w14:paraId="746C1168" w14:textId="77777777">
        <w:trPr>
          <w:trHeight w:val="390"/>
        </w:trPr>
        <w:tc>
          <w:tcPr>
            <w:tcW w:w="3105" w:type="dxa"/>
            <w:tcMar>
              <w:top w:w="20" w:type="dxa"/>
              <w:left w:w="20" w:type="dxa"/>
              <w:bottom w:w="100" w:type="dxa"/>
              <w:right w:w="20" w:type="dxa"/>
            </w:tcMar>
          </w:tcPr>
          <w:p w14:paraId="000000F5" w14:textId="0F89EC4D"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Sex</w:t>
            </w:r>
          </w:p>
        </w:tc>
        <w:tc>
          <w:tcPr>
            <w:tcW w:w="1485" w:type="dxa"/>
            <w:tcMar>
              <w:top w:w="20" w:type="dxa"/>
              <w:left w:w="20" w:type="dxa"/>
              <w:bottom w:w="100" w:type="dxa"/>
              <w:right w:w="20" w:type="dxa"/>
            </w:tcMar>
          </w:tcPr>
          <w:p w14:paraId="000000F6" w14:textId="4C6815F1" w:rsidR="00920126" w:rsidRPr="000C73C6" w:rsidRDefault="00920126">
            <w:pPr>
              <w:rPr>
                <w:rFonts w:ascii="Arial" w:eastAsia="Arial" w:hAnsi="Arial" w:cs="Arial"/>
                <w:bCs/>
                <w:sz w:val="20"/>
                <w:szCs w:val="20"/>
              </w:rPr>
            </w:pPr>
          </w:p>
        </w:tc>
      </w:tr>
      <w:tr w:rsidR="00920126" w:rsidRPr="000C73C6" w14:paraId="10416E38" w14:textId="77777777">
        <w:trPr>
          <w:trHeight w:val="390"/>
        </w:trPr>
        <w:tc>
          <w:tcPr>
            <w:tcW w:w="3105" w:type="dxa"/>
            <w:tcMar>
              <w:top w:w="20" w:type="dxa"/>
              <w:left w:w="20" w:type="dxa"/>
              <w:bottom w:w="100" w:type="dxa"/>
              <w:right w:w="20" w:type="dxa"/>
            </w:tcMar>
          </w:tcPr>
          <w:p w14:paraId="000000F7" w14:textId="1C16968A"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Male</w:t>
            </w:r>
          </w:p>
        </w:tc>
        <w:tc>
          <w:tcPr>
            <w:tcW w:w="1485" w:type="dxa"/>
            <w:tcMar>
              <w:top w:w="20" w:type="dxa"/>
              <w:left w:w="20" w:type="dxa"/>
              <w:bottom w:w="100" w:type="dxa"/>
              <w:right w:w="20" w:type="dxa"/>
            </w:tcMar>
          </w:tcPr>
          <w:p w14:paraId="000000F8" w14:textId="52FB8522"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3,059 (48.3%)</w:t>
            </w:r>
          </w:p>
        </w:tc>
      </w:tr>
      <w:tr w:rsidR="00920126" w:rsidRPr="000C73C6" w14:paraId="0B4A5F96" w14:textId="77777777">
        <w:trPr>
          <w:trHeight w:val="390"/>
        </w:trPr>
        <w:tc>
          <w:tcPr>
            <w:tcW w:w="3105" w:type="dxa"/>
            <w:tcMar>
              <w:top w:w="20" w:type="dxa"/>
              <w:left w:w="20" w:type="dxa"/>
              <w:bottom w:w="100" w:type="dxa"/>
              <w:right w:w="20" w:type="dxa"/>
            </w:tcMar>
          </w:tcPr>
          <w:p w14:paraId="000000F9" w14:textId="316B0F6E"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Female</w:t>
            </w:r>
          </w:p>
        </w:tc>
        <w:tc>
          <w:tcPr>
            <w:tcW w:w="1485" w:type="dxa"/>
            <w:tcMar>
              <w:top w:w="20" w:type="dxa"/>
              <w:left w:w="20" w:type="dxa"/>
              <w:bottom w:w="100" w:type="dxa"/>
              <w:right w:w="20" w:type="dxa"/>
            </w:tcMar>
          </w:tcPr>
          <w:p w14:paraId="000000FA" w14:textId="73EB9017"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3,272 (51.7%)</w:t>
            </w:r>
          </w:p>
        </w:tc>
      </w:tr>
      <w:tr w:rsidR="00920126" w:rsidRPr="000C73C6" w14:paraId="48149D44" w14:textId="77777777">
        <w:trPr>
          <w:trHeight w:val="390"/>
        </w:trPr>
        <w:tc>
          <w:tcPr>
            <w:tcW w:w="3105" w:type="dxa"/>
            <w:tcMar>
              <w:top w:w="20" w:type="dxa"/>
              <w:left w:w="20" w:type="dxa"/>
              <w:bottom w:w="100" w:type="dxa"/>
              <w:right w:w="20" w:type="dxa"/>
            </w:tcMar>
          </w:tcPr>
          <w:p w14:paraId="000000FB" w14:textId="0440C9D2"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Age-groups</w:t>
            </w:r>
          </w:p>
        </w:tc>
        <w:tc>
          <w:tcPr>
            <w:tcW w:w="1485" w:type="dxa"/>
            <w:tcMar>
              <w:top w:w="20" w:type="dxa"/>
              <w:left w:w="20" w:type="dxa"/>
              <w:bottom w:w="100" w:type="dxa"/>
              <w:right w:w="20" w:type="dxa"/>
            </w:tcMar>
          </w:tcPr>
          <w:p w14:paraId="000000FC" w14:textId="377E6C62" w:rsidR="00920126" w:rsidRPr="000C73C6" w:rsidRDefault="00920126">
            <w:pPr>
              <w:rPr>
                <w:rFonts w:ascii="Arial" w:eastAsia="Arial" w:hAnsi="Arial" w:cs="Arial"/>
                <w:bCs/>
                <w:sz w:val="20"/>
                <w:szCs w:val="20"/>
              </w:rPr>
            </w:pPr>
          </w:p>
        </w:tc>
      </w:tr>
      <w:tr w:rsidR="00920126" w:rsidRPr="000C73C6" w14:paraId="18342A87" w14:textId="77777777">
        <w:trPr>
          <w:trHeight w:val="390"/>
        </w:trPr>
        <w:tc>
          <w:tcPr>
            <w:tcW w:w="3105" w:type="dxa"/>
            <w:tcMar>
              <w:top w:w="20" w:type="dxa"/>
              <w:left w:w="20" w:type="dxa"/>
              <w:bottom w:w="100" w:type="dxa"/>
              <w:right w:w="20" w:type="dxa"/>
            </w:tcMar>
          </w:tcPr>
          <w:p w14:paraId="000000FD" w14:textId="6BB37749"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18-24</w:t>
            </w:r>
          </w:p>
        </w:tc>
        <w:tc>
          <w:tcPr>
            <w:tcW w:w="1485" w:type="dxa"/>
            <w:tcMar>
              <w:top w:w="20" w:type="dxa"/>
              <w:left w:w="20" w:type="dxa"/>
              <w:bottom w:w="100" w:type="dxa"/>
              <w:right w:w="20" w:type="dxa"/>
            </w:tcMar>
          </w:tcPr>
          <w:p w14:paraId="000000FE" w14:textId="0F8AFB9A"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505 (8.0%)</w:t>
            </w:r>
          </w:p>
        </w:tc>
      </w:tr>
      <w:tr w:rsidR="00920126" w:rsidRPr="000C73C6" w14:paraId="0D43D880" w14:textId="77777777">
        <w:trPr>
          <w:trHeight w:val="390"/>
        </w:trPr>
        <w:tc>
          <w:tcPr>
            <w:tcW w:w="3105" w:type="dxa"/>
            <w:tcMar>
              <w:top w:w="20" w:type="dxa"/>
              <w:left w:w="20" w:type="dxa"/>
              <w:bottom w:w="100" w:type="dxa"/>
              <w:right w:w="20" w:type="dxa"/>
            </w:tcMar>
          </w:tcPr>
          <w:p w14:paraId="000000FF" w14:textId="5651AE0F"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25-34</w:t>
            </w:r>
          </w:p>
        </w:tc>
        <w:tc>
          <w:tcPr>
            <w:tcW w:w="1485" w:type="dxa"/>
            <w:tcMar>
              <w:top w:w="20" w:type="dxa"/>
              <w:left w:w="20" w:type="dxa"/>
              <w:bottom w:w="100" w:type="dxa"/>
              <w:right w:w="20" w:type="dxa"/>
            </w:tcMar>
          </w:tcPr>
          <w:p w14:paraId="00000100" w14:textId="314C62ED"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998 (15.8%)</w:t>
            </w:r>
          </w:p>
        </w:tc>
      </w:tr>
      <w:tr w:rsidR="00920126" w:rsidRPr="000C73C6" w14:paraId="4598A7FB" w14:textId="77777777">
        <w:trPr>
          <w:trHeight w:val="390"/>
        </w:trPr>
        <w:tc>
          <w:tcPr>
            <w:tcW w:w="3105" w:type="dxa"/>
            <w:tcMar>
              <w:top w:w="20" w:type="dxa"/>
              <w:left w:w="20" w:type="dxa"/>
              <w:bottom w:w="100" w:type="dxa"/>
              <w:right w:w="20" w:type="dxa"/>
            </w:tcMar>
          </w:tcPr>
          <w:p w14:paraId="00000101" w14:textId="31BE724A"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35-44</w:t>
            </w:r>
          </w:p>
        </w:tc>
        <w:tc>
          <w:tcPr>
            <w:tcW w:w="1485" w:type="dxa"/>
            <w:tcMar>
              <w:top w:w="20" w:type="dxa"/>
              <w:left w:w="20" w:type="dxa"/>
              <w:bottom w:w="100" w:type="dxa"/>
              <w:right w:w="20" w:type="dxa"/>
            </w:tcMar>
          </w:tcPr>
          <w:p w14:paraId="00000102" w14:textId="5643F3D2"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1,001 (15.8%)</w:t>
            </w:r>
          </w:p>
        </w:tc>
      </w:tr>
      <w:tr w:rsidR="00920126" w:rsidRPr="000C73C6" w14:paraId="61A0CC05" w14:textId="77777777">
        <w:trPr>
          <w:trHeight w:val="390"/>
        </w:trPr>
        <w:tc>
          <w:tcPr>
            <w:tcW w:w="3105" w:type="dxa"/>
            <w:tcMar>
              <w:top w:w="20" w:type="dxa"/>
              <w:left w:w="20" w:type="dxa"/>
              <w:bottom w:w="100" w:type="dxa"/>
              <w:right w:w="20" w:type="dxa"/>
            </w:tcMar>
          </w:tcPr>
          <w:p w14:paraId="00000103" w14:textId="494992E4"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45-45</w:t>
            </w:r>
          </w:p>
        </w:tc>
        <w:tc>
          <w:tcPr>
            <w:tcW w:w="1485" w:type="dxa"/>
            <w:tcMar>
              <w:top w:w="20" w:type="dxa"/>
              <w:left w:w="20" w:type="dxa"/>
              <w:bottom w:w="100" w:type="dxa"/>
              <w:right w:w="20" w:type="dxa"/>
            </w:tcMar>
          </w:tcPr>
          <w:p w14:paraId="00000104" w14:textId="627C4142"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1,140 (18.0%)</w:t>
            </w:r>
          </w:p>
        </w:tc>
      </w:tr>
      <w:tr w:rsidR="00920126" w:rsidRPr="000C73C6" w14:paraId="0E68BB80" w14:textId="77777777">
        <w:trPr>
          <w:trHeight w:val="390"/>
        </w:trPr>
        <w:tc>
          <w:tcPr>
            <w:tcW w:w="3105" w:type="dxa"/>
            <w:tcMar>
              <w:top w:w="20" w:type="dxa"/>
              <w:left w:w="20" w:type="dxa"/>
              <w:bottom w:w="100" w:type="dxa"/>
              <w:right w:w="20" w:type="dxa"/>
            </w:tcMar>
          </w:tcPr>
          <w:p w14:paraId="00000105" w14:textId="1351247A"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55+</w:t>
            </w:r>
          </w:p>
        </w:tc>
        <w:tc>
          <w:tcPr>
            <w:tcW w:w="1485" w:type="dxa"/>
            <w:tcMar>
              <w:top w:w="20" w:type="dxa"/>
              <w:left w:w="20" w:type="dxa"/>
              <w:bottom w:w="100" w:type="dxa"/>
              <w:right w:w="20" w:type="dxa"/>
            </w:tcMar>
          </w:tcPr>
          <w:p w14:paraId="00000106" w14:textId="62CA10AC"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2,687 (42.4%)</w:t>
            </w:r>
          </w:p>
        </w:tc>
      </w:tr>
      <w:tr w:rsidR="00920126" w:rsidRPr="000C73C6" w14:paraId="70E57F98" w14:textId="77777777">
        <w:trPr>
          <w:trHeight w:val="390"/>
        </w:trPr>
        <w:tc>
          <w:tcPr>
            <w:tcW w:w="3105" w:type="dxa"/>
            <w:tcMar>
              <w:top w:w="20" w:type="dxa"/>
              <w:left w:w="20" w:type="dxa"/>
              <w:bottom w:w="100" w:type="dxa"/>
              <w:right w:w="20" w:type="dxa"/>
            </w:tcMar>
          </w:tcPr>
          <w:p w14:paraId="00000107" w14:textId="070DAE6D"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Ethnicity</w:t>
            </w:r>
          </w:p>
        </w:tc>
        <w:tc>
          <w:tcPr>
            <w:tcW w:w="1485" w:type="dxa"/>
            <w:tcMar>
              <w:top w:w="20" w:type="dxa"/>
              <w:left w:w="20" w:type="dxa"/>
              <w:bottom w:w="100" w:type="dxa"/>
              <w:right w:w="20" w:type="dxa"/>
            </w:tcMar>
          </w:tcPr>
          <w:p w14:paraId="00000108" w14:textId="56DE6635" w:rsidR="00920126" w:rsidRPr="000C73C6" w:rsidRDefault="00920126">
            <w:pPr>
              <w:rPr>
                <w:rFonts w:ascii="Arial" w:eastAsia="Arial" w:hAnsi="Arial" w:cs="Arial"/>
                <w:bCs/>
                <w:sz w:val="20"/>
                <w:szCs w:val="20"/>
              </w:rPr>
            </w:pPr>
          </w:p>
        </w:tc>
      </w:tr>
      <w:tr w:rsidR="00920126" w:rsidRPr="000C73C6" w14:paraId="777551B5" w14:textId="77777777">
        <w:trPr>
          <w:trHeight w:val="390"/>
        </w:trPr>
        <w:tc>
          <w:tcPr>
            <w:tcW w:w="3105" w:type="dxa"/>
            <w:tcMar>
              <w:top w:w="20" w:type="dxa"/>
              <w:left w:w="20" w:type="dxa"/>
              <w:bottom w:w="100" w:type="dxa"/>
              <w:right w:w="20" w:type="dxa"/>
            </w:tcMar>
          </w:tcPr>
          <w:p w14:paraId="00000109" w14:textId="6CA3DB96"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White</w:t>
            </w:r>
          </w:p>
        </w:tc>
        <w:tc>
          <w:tcPr>
            <w:tcW w:w="1485" w:type="dxa"/>
            <w:tcMar>
              <w:top w:w="20" w:type="dxa"/>
              <w:left w:w="20" w:type="dxa"/>
              <w:bottom w:w="100" w:type="dxa"/>
              <w:right w:w="20" w:type="dxa"/>
            </w:tcMar>
          </w:tcPr>
          <w:p w14:paraId="0000010A" w14:textId="1F04E957"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3,827 (60.4%)</w:t>
            </w:r>
          </w:p>
        </w:tc>
      </w:tr>
      <w:tr w:rsidR="00920126" w:rsidRPr="000C73C6" w14:paraId="283862BB" w14:textId="77777777">
        <w:trPr>
          <w:trHeight w:val="390"/>
        </w:trPr>
        <w:tc>
          <w:tcPr>
            <w:tcW w:w="3105" w:type="dxa"/>
            <w:tcMar>
              <w:top w:w="20" w:type="dxa"/>
              <w:left w:w="20" w:type="dxa"/>
              <w:bottom w:w="100" w:type="dxa"/>
              <w:right w:w="20" w:type="dxa"/>
            </w:tcMar>
          </w:tcPr>
          <w:p w14:paraId="0000010B" w14:textId="1827AA4B"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Mixed/Multiple ethnic groups</w:t>
            </w:r>
          </w:p>
        </w:tc>
        <w:tc>
          <w:tcPr>
            <w:tcW w:w="1485" w:type="dxa"/>
            <w:tcMar>
              <w:top w:w="20" w:type="dxa"/>
              <w:left w:w="20" w:type="dxa"/>
              <w:bottom w:w="100" w:type="dxa"/>
              <w:right w:w="20" w:type="dxa"/>
            </w:tcMar>
          </w:tcPr>
          <w:p w14:paraId="0000010C" w14:textId="75D6360C"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150 (2.4%)</w:t>
            </w:r>
          </w:p>
        </w:tc>
      </w:tr>
      <w:tr w:rsidR="00920126" w:rsidRPr="000C73C6" w14:paraId="55897A9A" w14:textId="77777777">
        <w:trPr>
          <w:trHeight w:val="390"/>
        </w:trPr>
        <w:tc>
          <w:tcPr>
            <w:tcW w:w="3105" w:type="dxa"/>
            <w:tcMar>
              <w:top w:w="20" w:type="dxa"/>
              <w:left w:w="20" w:type="dxa"/>
              <w:bottom w:w="100" w:type="dxa"/>
              <w:right w:w="20" w:type="dxa"/>
            </w:tcMar>
          </w:tcPr>
          <w:p w14:paraId="0000010D" w14:textId="4D8284B5"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Asian</w:t>
            </w:r>
          </w:p>
        </w:tc>
        <w:tc>
          <w:tcPr>
            <w:tcW w:w="1485" w:type="dxa"/>
            <w:tcMar>
              <w:top w:w="20" w:type="dxa"/>
              <w:left w:w="20" w:type="dxa"/>
              <w:bottom w:w="100" w:type="dxa"/>
              <w:right w:w="20" w:type="dxa"/>
            </w:tcMar>
          </w:tcPr>
          <w:p w14:paraId="0000010E" w14:textId="377FDD79"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77 (1.2%)</w:t>
            </w:r>
          </w:p>
        </w:tc>
      </w:tr>
      <w:tr w:rsidR="00920126" w:rsidRPr="000C73C6" w14:paraId="69779474" w14:textId="77777777">
        <w:trPr>
          <w:trHeight w:val="390"/>
        </w:trPr>
        <w:tc>
          <w:tcPr>
            <w:tcW w:w="3105" w:type="dxa"/>
            <w:tcMar>
              <w:top w:w="20" w:type="dxa"/>
              <w:left w:w="20" w:type="dxa"/>
              <w:bottom w:w="100" w:type="dxa"/>
              <w:right w:w="20" w:type="dxa"/>
            </w:tcMar>
          </w:tcPr>
          <w:p w14:paraId="0000010F" w14:textId="298864FB"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Black/African/Caribbean</w:t>
            </w:r>
          </w:p>
        </w:tc>
        <w:tc>
          <w:tcPr>
            <w:tcW w:w="1485" w:type="dxa"/>
            <w:tcMar>
              <w:top w:w="20" w:type="dxa"/>
              <w:left w:w="20" w:type="dxa"/>
              <w:bottom w:w="100" w:type="dxa"/>
              <w:right w:w="20" w:type="dxa"/>
            </w:tcMar>
          </w:tcPr>
          <w:p w14:paraId="00000110" w14:textId="182056AB"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27 (0.4%)</w:t>
            </w:r>
          </w:p>
        </w:tc>
      </w:tr>
      <w:tr w:rsidR="00920126" w:rsidRPr="000C73C6" w14:paraId="5D282EE6" w14:textId="77777777">
        <w:trPr>
          <w:trHeight w:val="390"/>
        </w:trPr>
        <w:tc>
          <w:tcPr>
            <w:tcW w:w="3105" w:type="dxa"/>
            <w:tcMar>
              <w:top w:w="20" w:type="dxa"/>
              <w:left w:w="20" w:type="dxa"/>
              <w:bottom w:w="100" w:type="dxa"/>
              <w:right w:w="20" w:type="dxa"/>
            </w:tcMar>
          </w:tcPr>
          <w:p w14:paraId="00000111" w14:textId="55D45108"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Other</w:t>
            </w:r>
          </w:p>
        </w:tc>
        <w:tc>
          <w:tcPr>
            <w:tcW w:w="1485" w:type="dxa"/>
            <w:tcMar>
              <w:top w:w="20" w:type="dxa"/>
              <w:left w:w="20" w:type="dxa"/>
              <w:bottom w:w="100" w:type="dxa"/>
              <w:right w:w="20" w:type="dxa"/>
            </w:tcMar>
          </w:tcPr>
          <w:p w14:paraId="00000112" w14:textId="50DF27AC"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51 (0.8%)</w:t>
            </w:r>
          </w:p>
        </w:tc>
      </w:tr>
      <w:tr w:rsidR="00920126" w:rsidRPr="000C73C6" w14:paraId="268F751C" w14:textId="77777777">
        <w:trPr>
          <w:trHeight w:val="390"/>
        </w:trPr>
        <w:tc>
          <w:tcPr>
            <w:tcW w:w="3105" w:type="dxa"/>
            <w:tcMar>
              <w:top w:w="20" w:type="dxa"/>
              <w:left w:w="20" w:type="dxa"/>
              <w:bottom w:w="100" w:type="dxa"/>
              <w:right w:w="20" w:type="dxa"/>
            </w:tcMar>
          </w:tcPr>
          <w:p w14:paraId="00000113" w14:textId="1705CBE8"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lastRenderedPageBreak/>
              <w:t xml:space="preserve">  Skipped due to GDPR</w:t>
            </w:r>
          </w:p>
        </w:tc>
        <w:tc>
          <w:tcPr>
            <w:tcW w:w="1485" w:type="dxa"/>
            <w:tcMar>
              <w:top w:w="20" w:type="dxa"/>
              <w:left w:w="20" w:type="dxa"/>
              <w:bottom w:w="100" w:type="dxa"/>
              <w:right w:w="20" w:type="dxa"/>
            </w:tcMar>
          </w:tcPr>
          <w:p w14:paraId="00000114" w14:textId="3E1D72CB"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2,199 (34.7%)</w:t>
            </w:r>
          </w:p>
        </w:tc>
      </w:tr>
      <w:tr w:rsidR="00920126" w:rsidRPr="000C73C6" w14:paraId="63FCB24A" w14:textId="77777777">
        <w:trPr>
          <w:trHeight w:val="390"/>
        </w:trPr>
        <w:tc>
          <w:tcPr>
            <w:tcW w:w="3105" w:type="dxa"/>
            <w:tcMar>
              <w:top w:w="20" w:type="dxa"/>
              <w:left w:w="20" w:type="dxa"/>
              <w:bottom w:w="100" w:type="dxa"/>
              <w:right w:w="20" w:type="dxa"/>
            </w:tcMar>
          </w:tcPr>
          <w:p w14:paraId="00000115" w14:textId="3FC242FA"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Country</w:t>
            </w:r>
          </w:p>
        </w:tc>
        <w:tc>
          <w:tcPr>
            <w:tcW w:w="1485" w:type="dxa"/>
            <w:tcMar>
              <w:top w:w="20" w:type="dxa"/>
              <w:left w:w="20" w:type="dxa"/>
              <w:bottom w:w="100" w:type="dxa"/>
              <w:right w:w="20" w:type="dxa"/>
            </w:tcMar>
          </w:tcPr>
          <w:p w14:paraId="00000116" w14:textId="5AC9A2E3" w:rsidR="00920126" w:rsidRPr="000C73C6" w:rsidRDefault="00920126">
            <w:pPr>
              <w:rPr>
                <w:rFonts w:ascii="Arial" w:eastAsia="Arial" w:hAnsi="Arial" w:cs="Arial"/>
                <w:bCs/>
                <w:sz w:val="20"/>
                <w:szCs w:val="20"/>
              </w:rPr>
            </w:pPr>
          </w:p>
        </w:tc>
      </w:tr>
      <w:tr w:rsidR="00920126" w:rsidRPr="000C73C6" w14:paraId="63CE83E0" w14:textId="77777777">
        <w:trPr>
          <w:trHeight w:val="390"/>
        </w:trPr>
        <w:tc>
          <w:tcPr>
            <w:tcW w:w="3105" w:type="dxa"/>
            <w:tcMar>
              <w:top w:w="20" w:type="dxa"/>
              <w:left w:w="20" w:type="dxa"/>
              <w:bottom w:w="100" w:type="dxa"/>
              <w:right w:w="20" w:type="dxa"/>
            </w:tcMar>
          </w:tcPr>
          <w:p w14:paraId="00000117" w14:textId="54DA748C"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Germany</w:t>
            </w:r>
          </w:p>
        </w:tc>
        <w:tc>
          <w:tcPr>
            <w:tcW w:w="1485" w:type="dxa"/>
            <w:tcMar>
              <w:top w:w="20" w:type="dxa"/>
              <w:left w:w="20" w:type="dxa"/>
              <w:bottom w:w="100" w:type="dxa"/>
              <w:right w:w="20" w:type="dxa"/>
            </w:tcMar>
          </w:tcPr>
          <w:p w14:paraId="00000118" w14:textId="2A589E0C"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2161 (34.1%)</w:t>
            </w:r>
          </w:p>
        </w:tc>
      </w:tr>
      <w:tr w:rsidR="00920126" w:rsidRPr="000C73C6" w14:paraId="66201A85" w14:textId="77777777">
        <w:trPr>
          <w:trHeight w:val="390"/>
        </w:trPr>
        <w:tc>
          <w:tcPr>
            <w:tcW w:w="3105" w:type="dxa"/>
            <w:tcMar>
              <w:top w:w="20" w:type="dxa"/>
              <w:left w:w="20" w:type="dxa"/>
              <w:bottom w:w="100" w:type="dxa"/>
              <w:right w:w="20" w:type="dxa"/>
            </w:tcMar>
          </w:tcPr>
          <w:p w14:paraId="00000119" w14:textId="0812495A"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United Kingdom</w:t>
            </w:r>
          </w:p>
        </w:tc>
        <w:tc>
          <w:tcPr>
            <w:tcW w:w="1485" w:type="dxa"/>
            <w:tcMar>
              <w:top w:w="20" w:type="dxa"/>
              <w:left w:w="20" w:type="dxa"/>
              <w:bottom w:w="100" w:type="dxa"/>
              <w:right w:w="20" w:type="dxa"/>
            </w:tcMar>
          </w:tcPr>
          <w:p w14:paraId="0000011A" w14:textId="51DBBF7E"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2024 (32.0%)</w:t>
            </w:r>
          </w:p>
        </w:tc>
      </w:tr>
      <w:tr w:rsidR="00920126" w:rsidRPr="000C73C6" w14:paraId="0E66AEE6" w14:textId="77777777">
        <w:trPr>
          <w:trHeight w:val="390"/>
        </w:trPr>
        <w:tc>
          <w:tcPr>
            <w:tcW w:w="3105" w:type="dxa"/>
            <w:tcMar>
              <w:top w:w="20" w:type="dxa"/>
              <w:left w:w="20" w:type="dxa"/>
              <w:bottom w:w="100" w:type="dxa"/>
              <w:right w:w="20" w:type="dxa"/>
            </w:tcMar>
          </w:tcPr>
          <w:p w14:paraId="0000011B" w14:textId="0E355AE9"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Italy</w:t>
            </w:r>
          </w:p>
        </w:tc>
        <w:tc>
          <w:tcPr>
            <w:tcW w:w="1485" w:type="dxa"/>
            <w:tcMar>
              <w:top w:w="20" w:type="dxa"/>
              <w:left w:w="20" w:type="dxa"/>
              <w:bottom w:w="100" w:type="dxa"/>
              <w:right w:w="20" w:type="dxa"/>
            </w:tcMar>
          </w:tcPr>
          <w:p w14:paraId="0000011C" w14:textId="0CABB39F"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1131 (17.9%)</w:t>
            </w:r>
          </w:p>
        </w:tc>
      </w:tr>
      <w:tr w:rsidR="00920126" w:rsidRPr="000C73C6" w14:paraId="5E9B57C2" w14:textId="77777777">
        <w:trPr>
          <w:trHeight w:val="390"/>
        </w:trPr>
        <w:tc>
          <w:tcPr>
            <w:tcW w:w="3105" w:type="dxa"/>
            <w:tcMar>
              <w:top w:w="20" w:type="dxa"/>
              <w:left w:w="20" w:type="dxa"/>
              <w:bottom w:w="100" w:type="dxa"/>
              <w:right w:w="20" w:type="dxa"/>
            </w:tcMar>
          </w:tcPr>
          <w:p w14:paraId="0000011D" w14:textId="3E590EBD"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Sweden</w:t>
            </w:r>
          </w:p>
        </w:tc>
        <w:tc>
          <w:tcPr>
            <w:tcW w:w="1485" w:type="dxa"/>
            <w:tcMar>
              <w:top w:w="20" w:type="dxa"/>
              <w:left w:w="20" w:type="dxa"/>
              <w:bottom w:w="100" w:type="dxa"/>
              <w:right w:w="20" w:type="dxa"/>
            </w:tcMar>
          </w:tcPr>
          <w:p w14:paraId="0000011E" w14:textId="3173DF55"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1015 (16.0%)</w:t>
            </w:r>
          </w:p>
        </w:tc>
      </w:tr>
      <w:tr w:rsidR="00920126" w:rsidRPr="000C73C6" w14:paraId="5D63EBF3" w14:textId="77777777">
        <w:trPr>
          <w:trHeight w:val="390"/>
        </w:trPr>
        <w:tc>
          <w:tcPr>
            <w:tcW w:w="3105" w:type="dxa"/>
            <w:tcMar>
              <w:top w:w="20" w:type="dxa"/>
              <w:left w:w="20" w:type="dxa"/>
              <w:bottom w:w="100" w:type="dxa"/>
              <w:right w:w="20" w:type="dxa"/>
            </w:tcMar>
          </w:tcPr>
          <w:p w14:paraId="0000011F" w14:textId="2018D977"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eHealth literacy</w:t>
            </w:r>
          </w:p>
        </w:tc>
        <w:tc>
          <w:tcPr>
            <w:tcW w:w="1485" w:type="dxa"/>
            <w:tcMar>
              <w:top w:w="20" w:type="dxa"/>
              <w:left w:w="20" w:type="dxa"/>
              <w:bottom w:w="100" w:type="dxa"/>
              <w:right w:w="20" w:type="dxa"/>
            </w:tcMar>
          </w:tcPr>
          <w:p w14:paraId="00000120" w14:textId="2730AD19" w:rsidR="00920126" w:rsidRPr="000C73C6" w:rsidRDefault="00920126">
            <w:pPr>
              <w:rPr>
                <w:rFonts w:ascii="Arial" w:eastAsia="Arial" w:hAnsi="Arial" w:cs="Arial"/>
                <w:bCs/>
                <w:sz w:val="20"/>
                <w:szCs w:val="20"/>
              </w:rPr>
            </w:pPr>
          </w:p>
        </w:tc>
      </w:tr>
      <w:tr w:rsidR="00920126" w:rsidRPr="000C73C6" w14:paraId="05AE4FC7" w14:textId="77777777">
        <w:trPr>
          <w:trHeight w:val="390"/>
        </w:trPr>
        <w:tc>
          <w:tcPr>
            <w:tcW w:w="3105" w:type="dxa"/>
            <w:tcMar>
              <w:top w:w="20" w:type="dxa"/>
              <w:left w:w="20" w:type="dxa"/>
              <w:bottom w:w="100" w:type="dxa"/>
              <w:right w:w="20" w:type="dxa"/>
            </w:tcMar>
          </w:tcPr>
          <w:p w14:paraId="00000121" w14:textId="08F83127"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High literacy</w:t>
            </w:r>
          </w:p>
        </w:tc>
        <w:tc>
          <w:tcPr>
            <w:tcW w:w="1485" w:type="dxa"/>
            <w:tcMar>
              <w:top w:w="20" w:type="dxa"/>
              <w:left w:w="20" w:type="dxa"/>
              <w:bottom w:w="100" w:type="dxa"/>
              <w:right w:w="20" w:type="dxa"/>
            </w:tcMar>
          </w:tcPr>
          <w:p w14:paraId="00000122" w14:textId="5DAC5618"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834 (13.2%)</w:t>
            </w:r>
          </w:p>
        </w:tc>
      </w:tr>
      <w:tr w:rsidR="00920126" w:rsidRPr="000C73C6" w14:paraId="59A9D8D5" w14:textId="77777777">
        <w:trPr>
          <w:trHeight w:val="390"/>
        </w:trPr>
        <w:tc>
          <w:tcPr>
            <w:tcW w:w="3105" w:type="dxa"/>
            <w:tcBorders>
              <w:bottom w:val="single" w:sz="8" w:space="0" w:color="000000"/>
            </w:tcBorders>
            <w:tcMar>
              <w:top w:w="20" w:type="dxa"/>
              <w:left w:w="20" w:type="dxa"/>
              <w:bottom w:w="100" w:type="dxa"/>
              <w:right w:w="20" w:type="dxa"/>
            </w:tcMar>
          </w:tcPr>
          <w:p w14:paraId="00000123" w14:textId="2E80B407" w:rsidR="00920126" w:rsidRPr="000C73C6" w:rsidRDefault="00803966">
            <w:pPr>
              <w:jc w:val="left"/>
              <w:rPr>
                <w:rFonts w:ascii="Arial" w:eastAsia="Arial" w:hAnsi="Arial" w:cs="Arial"/>
                <w:b/>
                <w:sz w:val="20"/>
                <w:szCs w:val="20"/>
              </w:rPr>
            </w:pPr>
            <w:r w:rsidRPr="000C73C6">
              <w:rPr>
                <w:rFonts w:ascii="Arial" w:eastAsia="Arial" w:hAnsi="Arial" w:cs="Arial"/>
                <w:b/>
                <w:sz w:val="20"/>
                <w:szCs w:val="20"/>
              </w:rPr>
              <w:t xml:space="preserve">  Low literacy</w:t>
            </w:r>
          </w:p>
        </w:tc>
        <w:tc>
          <w:tcPr>
            <w:tcW w:w="1485" w:type="dxa"/>
            <w:tcBorders>
              <w:bottom w:val="single" w:sz="8" w:space="0" w:color="000000"/>
            </w:tcBorders>
            <w:tcMar>
              <w:top w:w="20" w:type="dxa"/>
              <w:left w:w="20" w:type="dxa"/>
              <w:bottom w:w="100" w:type="dxa"/>
              <w:right w:w="20" w:type="dxa"/>
            </w:tcMar>
          </w:tcPr>
          <w:p w14:paraId="00000124" w14:textId="0584EB22" w:rsidR="00920126" w:rsidRPr="000C73C6" w:rsidRDefault="00803966">
            <w:pPr>
              <w:jc w:val="center"/>
              <w:rPr>
                <w:rFonts w:ascii="Arial" w:eastAsia="Arial" w:hAnsi="Arial" w:cs="Arial"/>
                <w:bCs/>
                <w:sz w:val="20"/>
                <w:szCs w:val="20"/>
              </w:rPr>
            </w:pPr>
            <w:r w:rsidRPr="000C73C6">
              <w:rPr>
                <w:rFonts w:ascii="Arial" w:eastAsia="Arial" w:hAnsi="Arial" w:cs="Arial"/>
                <w:bCs/>
                <w:sz w:val="20"/>
                <w:szCs w:val="20"/>
              </w:rPr>
              <w:t>5,497 (86.8%)</w:t>
            </w:r>
          </w:p>
        </w:tc>
      </w:tr>
    </w:tbl>
    <w:p w14:paraId="00000125" w14:textId="77777777" w:rsidR="00920126" w:rsidRPr="000C73C6" w:rsidRDefault="00920126">
      <w:pPr>
        <w:rPr>
          <w:rFonts w:ascii="Arial" w:eastAsia="Arial" w:hAnsi="Arial" w:cs="Arial"/>
          <w:b/>
          <w:sz w:val="20"/>
          <w:szCs w:val="20"/>
        </w:rPr>
      </w:pPr>
    </w:p>
    <w:p w14:paraId="00000126" w14:textId="77777777" w:rsidR="00920126" w:rsidRPr="000C73C6" w:rsidRDefault="00803966">
      <w:pPr>
        <w:rPr>
          <w:rFonts w:ascii="Arial" w:eastAsia="Arial" w:hAnsi="Arial" w:cs="Arial"/>
          <w:b/>
          <w:sz w:val="20"/>
          <w:szCs w:val="20"/>
        </w:rPr>
      </w:pPr>
      <w:r w:rsidRPr="000C73C6">
        <w:rPr>
          <w:rFonts w:ascii="Arial" w:hAnsi="Arial" w:cs="Arial"/>
          <w:sz w:val="20"/>
          <w:szCs w:val="20"/>
        </w:rPr>
        <w:br w:type="page"/>
      </w:r>
    </w:p>
    <w:p w14:paraId="00000127" w14:textId="77777777" w:rsidR="00920126" w:rsidRPr="000C73C6" w:rsidRDefault="00803966">
      <w:pPr>
        <w:pStyle w:val="Heading1"/>
        <w:rPr>
          <w:rFonts w:ascii="Arial" w:hAnsi="Arial" w:cs="Arial"/>
          <w:sz w:val="20"/>
          <w:szCs w:val="20"/>
        </w:rPr>
      </w:pPr>
      <w:bookmarkStart w:id="4" w:name="_heading=h.7ive16bz6r7k" w:colFirst="0" w:colLast="0"/>
      <w:bookmarkEnd w:id="4"/>
      <w:r w:rsidRPr="000C73C6">
        <w:rPr>
          <w:rFonts w:ascii="Arial" w:hAnsi="Arial" w:cs="Arial"/>
          <w:sz w:val="20"/>
          <w:szCs w:val="20"/>
        </w:rPr>
        <w:lastRenderedPageBreak/>
        <w:t>Figures</w:t>
      </w:r>
    </w:p>
    <w:p w14:paraId="00000128" w14:textId="6AC0E30F" w:rsidR="00920126" w:rsidRPr="000C73C6" w:rsidRDefault="00803966">
      <w:pPr>
        <w:rPr>
          <w:rFonts w:ascii="Arial" w:eastAsia="Arial" w:hAnsi="Arial" w:cs="Arial"/>
          <w:sz w:val="20"/>
          <w:szCs w:val="20"/>
        </w:rPr>
      </w:pPr>
      <w:r w:rsidRPr="000C73C6">
        <w:rPr>
          <w:rFonts w:ascii="Arial" w:eastAsia="Arial" w:hAnsi="Arial" w:cs="Arial"/>
          <w:b/>
          <w:sz w:val="20"/>
          <w:szCs w:val="20"/>
        </w:rPr>
        <w:t xml:space="preserve">Figure 1: </w:t>
      </w:r>
      <w:r w:rsidR="00EB797D" w:rsidRPr="000C73C6">
        <w:rPr>
          <w:rFonts w:ascii="Arial" w:eastAsia="Arial" w:hAnsi="Arial" w:cs="Arial"/>
          <w:sz w:val="20"/>
          <w:szCs w:val="20"/>
        </w:rPr>
        <w:t xml:space="preserve">The steps of data processing and modelling </w:t>
      </w:r>
      <w:r w:rsidR="00EB797D">
        <w:rPr>
          <w:rFonts w:ascii="Arial" w:eastAsia="Arial" w:hAnsi="Arial" w:cs="Arial"/>
          <w:sz w:val="20"/>
          <w:szCs w:val="20"/>
        </w:rPr>
        <w:t xml:space="preserve">including respective R packages </w:t>
      </w:r>
      <w:r w:rsidR="00EB797D" w:rsidRPr="000C73C6">
        <w:rPr>
          <w:rFonts w:ascii="Arial" w:eastAsia="Arial" w:hAnsi="Arial" w:cs="Arial"/>
          <w:sz w:val="20"/>
          <w:szCs w:val="20"/>
        </w:rPr>
        <w:t>used for the creation of LDA models</w:t>
      </w:r>
      <w:r w:rsidR="00EB797D">
        <w:rPr>
          <w:rFonts w:ascii="Arial" w:eastAsia="Arial" w:hAnsi="Arial" w:cs="Arial"/>
          <w:sz w:val="20"/>
          <w:szCs w:val="20"/>
        </w:rPr>
        <w:t>.</w:t>
      </w:r>
    </w:p>
    <w:p w14:paraId="00000129" w14:textId="041F8A94" w:rsidR="00920126" w:rsidRPr="000C73C6" w:rsidRDefault="00EB797D">
      <w:pPr>
        <w:rPr>
          <w:rFonts w:ascii="Arial" w:eastAsia="Arial" w:hAnsi="Arial" w:cs="Arial"/>
          <w:sz w:val="20"/>
          <w:szCs w:val="20"/>
        </w:rPr>
      </w:pPr>
      <w:r>
        <w:rPr>
          <w:rFonts w:ascii="Arial" w:hAnsi="Arial" w:cs="Arial"/>
          <w:noProof/>
          <w:sz w:val="20"/>
          <w:szCs w:val="20"/>
        </w:rPr>
        <w:drawing>
          <wp:inline distT="0" distB="0" distL="0" distR="0" wp14:anchorId="77CB363D" wp14:editId="1709883A">
            <wp:extent cx="4203700" cy="3136900"/>
            <wp:effectExtent l="0" t="0" r="0" b="0"/>
            <wp:docPr id="233848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848495" name="Picture 233848495"/>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03700" cy="3136900"/>
                    </a:xfrm>
                    <a:prstGeom prst="rect">
                      <a:avLst/>
                    </a:prstGeom>
                  </pic:spPr>
                </pic:pic>
              </a:graphicData>
            </a:graphic>
          </wp:inline>
        </w:drawing>
      </w:r>
    </w:p>
    <w:p w14:paraId="0000012A" w14:textId="77777777" w:rsidR="00920126" w:rsidRPr="000C73C6" w:rsidRDefault="00920126">
      <w:pPr>
        <w:rPr>
          <w:rFonts w:ascii="Arial" w:hAnsi="Arial" w:cs="Arial"/>
          <w:sz w:val="20"/>
          <w:szCs w:val="20"/>
        </w:rPr>
      </w:pPr>
    </w:p>
    <w:p w14:paraId="0000012B" w14:textId="6437334F" w:rsidR="00920126" w:rsidRPr="000C73C6" w:rsidRDefault="00920126">
      <w:pPr>
        <w:rPr>
          <w:rFonts w:ascii="Arial" w:eastAsia="Arial" w:hAnsi="Arial" w:cs="Arial"/>
          <w:b/>
          <w:sz w:val="20"/>
          <w:szCs w:val="20"/>
        </w:rPr>
      </w:pPr>
    </w:p>
    <w:p w14:paraId="0000012C" w14:textId="77777777" w:rsidR="00920126" w:rsidRPr="000C73C6" w:rsidRDefault="00803966">
      <w:pPr>
        <w:rPr>
          <w:rFonts w:ascii="Arial" w:hAnsi="Arial" w:cs="Arial"/>
          <w:b/>
          <w:sz w:val="20"/>
          <w:szCs w:val="20"/>
        </w:rPr>
      </w:pPr>
      <w:r w:rsidRPr="000C73C6">
        <w:rPr>
          <w:rFonts w:ascii="Arial" w:hAnsi="Arial" w:cs="Arial"/>
          <w:sz w:val="20"/>
          <w:szCs w:val="20"/>
        </w:rPr>
        <w:br w:type="page"/>
      </w:r>
    </w:p>
    <w:p w14:paraId="0000012D" w14:textId="1D1EDA69" w:rsidR="00920126" w:rsidRPr="000C73C6" w:rsidRDefault="00803966">
      <w:pPr>
        <w:rPr>
          <w:rFonts w:ascii="Arial" w:eastAsia="Arial" w:hAnsi="Arial" w:cs="Arial"/>
          <w:sz w:val="20"/>
          <w:szCs w:val="20"/>
        </w:rPr>
      </w:pPr>
      <w:r w:rsidRPr="000C73C6">
        <w:rPr>
          <w:rFonts w:ascii="Arial" w:eastAsia="Arial" w:hAnsi="Arial" w:cs="Arial"/>
          <w:b/>
          <w:sz w:val="20"/>
          <w:szCs w:val="20"/>
        </w:rPr>
        <w:lastRenderedPageBreak/>
        <w:t>Figure 2:</w:t>
      </w:r>
      <w:r w:rsidRPr="000C73C6">
        <w:rPr>
          <w:rFonts w:ascii="Arial" w:eastAsia="Arial" w:hAnsi="Arial" w:cs="Arial"/>
          <w:sz w:val="20"/>
          <w:szCs w:val="20"/>
        </w:rPr>
        <w:t xml:space="preserve"> The bar graphs 1-8 depict the results of the eight-topic LDA regarding the benefits of virtual primary care; with the topic labels identified by the researchers and the ten most frequently mentioned terms (one-gram and two-gram) for each topic. </w:t>
      </w:r>
      <w:r w:rsidRPr="000C73C6">
        <w:rPr>
          <w:rFonts w:ascii="Arial" w:hAnsi="Arial" w:cs="Arial"/>
          <w:sz w:val="20"/>
          <w:szCs w:val="20"/>
        </w:rPr>
        <w:t xml:space="preserve">Beta = probability of a lemma appearing </w:t>
      </w:r>
      <w:proofErr w:type="gramStart"/>
      <w:r w:rsidRPr="000C73C6">
        <w:rPr>
          <w:rFonts w:ascii="Arial" w:hAnsi="Arial" w:cs="Arial"/>
          <w:sz w:val="20"/>
          <w:szCs w:val="20"/>
        </w:rPr>
        <w:t>in a given</w:t>
      </w:r>
      <w:proofErr w:type="gramEnd"/>
      <w:r w:rsidRPr="000C73C6">
        <w:rPr>
          <w:rFonts w:ascii="Arial" w:hAnsi="Arial" w:cs="Arial"/>
          <w:sz w:val="20"/>
          <w:szCs w:val="20"/>
        </w:rPr>
        <w:t xml:space="preserve"> topic</w:t>
      </w:r>
      <w:r w:rsidR="00EB797D">
        <w:rPr>
          <w:rFonts w:ascii="Arial" w:hAnsi="Arial" w:cs="Arial"/>
          <w:sz w:val="20"/>
          <w:szCs w:val="20"/>
        </w:rPr>
        <w:t>.</w:t>
      </w:r>
    </w:p>
    <w:p w14:paraId="0000012E" w14:textId="2A5CECC8" w:rsidR="00920126" w:rsidRPr="000C73C6" w:rsidRDefault="00803966">
      <w:pPr>
        <w:rPr>
          <w:rFonts w:ascii="Arial" w:eastAsia="Arial" w:hAnsi="Arial" w:cs="Arial"/>
          <w:sz w:val="20"/>
          <w:szCs w:val="20"/>
        </w:rPr>
      </w:pPr>
      <w:r w:rsidRPr="000C73C6">
        <w:rPr>
          <w:rFonts w:ascii="Arial" w:eastAsia="Arial" w:hAnsi="Arial" w:cs="Arial"/>
          <w:noProof/>
          <w:sz w:val="20"/>
          <w:szCs w:val="20"/>
        </w:rPr>
        <w:drawing>
          <wp:inline distT="0" distB="0" distL="0" distR="0" wp14:anchorId="1FE19B8F" wp14:editId="2D198B2D">
            <wp:extent cx="5733415" cy="5522595"/>
            <wp:effectExtent l="0" t="0" r="0" b="0"/>
            <wp:docPr id="947172161" name="image12.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png" descr="Chart&#10;&#10;Description automatically generated"/>
                    <pic:cNvPicPr preferRelativeResize="0"/>
                  </pic:nvPicPr>
                  <pic:blipFill>
                    <a:blip r:embed="rId8"/>
                    <a:srcRect t="1104" b="32207"/>
                    <a:stretch>
                      <a:fillRect/>
                    </a:stretch>
                  </pic:blipFill>
                  <pic:spPr>
                    <a:xfrm>
                      <a:off x="0" y="0"/>
                      <a:ext cx="5733415" cy="5522595"/>
                    </a:xfrm>
                    <a:prstGeom prst="rect">
                      <a:avLst/>
                    </a:prstGeom>
                    <a:ln/>
                  </pic:spPr>
                </pic:pic>
              </a:graphicData>
            </a:graphic>
          </wp:inline>
        </w:drawing>
      </w:r>
    </w:p>
    <w:p w14:paraId="0000012F" w14:textId="77777777" w:rsidR="00920126" w:rsidRPr="000C73C6" w:rsidRDefault="00803966">
      <w:pPr>
        <w:rPr>
          <w:rFonts w:ascii="Arial" w:hAnsi="Arial" w:cs="Arial"/>
          <w:b/>
          <w:sz w:val="20"/>
          <w:szCs w:val="20"/>
        </w:rPr>
      </w:pPr>
      <w:r w:rsidRPr="000C73C6">
        <w:rPr>
          <w:rFonts w:ascii="Arial" w:hAnsi="Arial" w:cs="Arial"/>
          <w:sz w:val="20"/>
          <w:szCs w:val="20"/>
        </w:rPr>
        <w:br w:type="page"/>
      </w:r>
    </w:p>
    <w:p w14:paraId="00000130" w14:textId="3E9A2F49" w:rsidR="00920126" w:rsidRPr="000C73C6" w:rsidRDefault="00803966">
      <w:pPr>
        <w:rPr>
          <w:rFonts w:ascii="Arial" w:eastAsia="Arial" w:hAnsi="Arial" w:cs="Arial"/>
          <w:sz w:val="20"/>
          <w:szCs w:val="20"/>
        </w:rPr>
      </w:pPr>
      <w:r w:rsidRPr="000C73C6">
        <w:rPr>
          <w:rFonts w:ascii="Arial" w:eastAsia="Arial" w:hAnsi="Arial" w:cs="Arial"/>
          <w:b/>
          <w:sz w:val="20"/>
          <w:szCs w:val="20"/>
        </w:rPr>
        <w:lastRenderedPageBreak/>
        <w:t>Figure 3.</w:t>
      </w:r>
      <w:r w:rsidRPr="000C73C6">
        <w:rPr>
          <w:rFonts w:ascii="Arial" w:eastAsia="Arial" w:hAnsi="Arial" w:cs="Arial"/>
          <w:sz w:val="20"/>
          <w:szCs w:val="20"/>
        </w:rPr>
        <w:t xml:space="preserve"> Word clouds (1-8) corresponding to each topic identified by the L</w:t>
      </w:r>
      <w:r w:rsidRPr="000C73C6">
        <w:rPr>
          <w:rFonts w:ascii="Arial" w:hAnsi="Arial" w:cs="Arial"/>
          <w:sz w:val="20"/>
          <w:szCs w:val="20"/>
        </w:rPr>
        <w:t>atent Dirichlet Allocation model</w:t>
      </w:r>
      <w:r w:rsidRPr="000C73C6">
        <w:rPr>
          <w:rFonts w:ascii="Arial" w:eastAsia="Arial" w:hAnsi="Arial" w:cs="Arial"/>
          <w:sz w:val="20"/>
          <w:szCs w:val="20"/>
        </w:rPr>
        <w:t xml:space="preserve"> regarding the benefits of virtual care. </w:t>
      </w:r>
    </w:p>
    <w:p w14:paraId="00000131" w14:textId="7E301508" w:rsidR="00920126" w:rsidRPr="000C73C6" w:rsidRDefault="00803966">
      <w:pPr>
        <w:rPr>
          <w:rFonts w:ascii="Arial" w:eastAsia="Arial" w:hAnsi="Arial" w:cs="Arial"/>
          <w:sz w:val="20"/>
          <w:szCs w:val="20"/>
        </w:rPr>
      </w:pPr>
      <w:r w:rsidRPr="000C73C6">
        <w:rPr>
          <w:rFonts w:ascii="Arial" w:hAnsi="Arial" w:cs="Arial"/>
          <w:noProof/>
          <w:sz w:val="20"/>
          <w:szCs w:val="20"/>
        </w:rPr>
        <w:drawing>
          <wp:inline distT="0" distB="0" distL="0" distR="0" wp14:anchorId="47FD091A" wp14:editId="5152F66C">
            <wp:extent cx="5808876" cy="5686456"/>
            <wp:effectExtent l="0" t="0" r="0" b="0"/>
            <wp:docPr id="94717216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9"/>
                    <a:srcRect b="32291"/>
                    <a:stretch>
                      <a:fillRect/>
                    </a:stretch>
                  </pic:blipFill>
                  <pic:spPr>
                    <a:xfrm>
                      <a:off x="0" y="0"/>
                      <a:ext cx="5808876" cy="5686456"/>
                    </a:xfrm>
                    <a:prstGeom prst="rect">
                      <a:avLst/>
                    </a:prstGeom>
                    <a:ln/>
                  </pic:spPr>
                </pic:pic>
              </a:graphicData>
            </a:graphic>
          </wp:inline>
        </w:drawing>
      </w:r>
    </w:p>
    <w:p w14:paraId="00000132" w14:textId="77777777" w:rsidR="00920126" w:rsidRPr="000C73C6" w:rsidRDefault="00803966">
      <w:pPr>
        <w:rPr>
          <w:rFonts w:ascii="Arial" w:eastAsia="Arial" w:hAnsi="Arial" w:cs="Arial"/>
          <w:sz w:val="20"/>
          <w:szCs w:val="20"/>
        </w:rPr>
      </w:pPr>
      <w:r w:rsidRPr="000C73C6">
        <w:rPr>
          <w:rFonts w:ascii="Arial" w:eastAsia="Arial" w:hAnsi="Arial" w:cs="Arial"/>
          <w:sz w:val="20"/>
          <w:szCs w:val="20"/>
        </w:rPr>
        <w:t xml:space="preserve"> </w:t>
      </w:r>
    </w:p>
    <w:p w14:paraId="00000133" w14:textId="77777777" w:rsidR="00920126" w:rsidRPr="000C73C6" w:rsidRDefault="00920126">
      <w:pPr>
        <w:rPr>
          <w:rFonts w:ascii="Arial" w:hAnsi="Arial" w:cs="Arial"/>
          <w:sz w:val="20"/>
          <w:szCs w:val="20"/>
        </w:rPr>
      </w:pPr>
    </w:p>
    <w:p w14:paraId="00000134" w14:textId="77777777" w:rsidR="00920126" w:rsidRPr="000C73C6" w:rsidRDefault="00920126">
      <w:pPr>
        <w:rPr>
          <w:rFonts w:ascii="Arial" w:hAnsi="Arial" w:cs="Arial"/>
          <w:sz w:val="20"/>
          <w:szCs w:val="20"/>
        </w:rPr>
      </w:pPr>
    </w:p>
    <w:p w14:paraId="00000135" w14:textId="77777777" w:rsidR="00920126" w:rsidRPr="000C73C6" w:rsidRDefault="00920126">
      <w:pPr>
        <w:rPr>
          <w:rFonts w:ascii="Arial" w:hAnsi="Arial" w:cs="Arial"/>
          <w:sz w:val="20"/>
          <w:szCs w:val="20"/>
        </w:rPr>
      </w:pPr>
    </w:p>
    <w:p w14:paraId="00000136" w14:textId="77777777" w:rsidR="00920126" w:rsidRPr="000C73C6" w:rsidRDefault="00803966">
      <w:pPr>
        <w:rPr>
          <w:rFonts w:ascii="Arial" w:hAnsi="Arial" w:cs="Arial"/>
          <w:sz w:val="20"/>
          <w:szCs w:val="20"/>
        </w:rPr>
      </w:pPr>
      <w:r w:rsidRPr="000C73C6">
        <w:rPr>
          <w:rFonts w:ascii="Arial" w:hAnsi="Arial" w:cs="Arial"/>
          <w:sz w:val="20"/>
          <w:szCs w:val="20"/>
        </w:rPr>
        <w:br w:type="page"/>
      </w:r>
    </w:p>
    <w:p w14:paraId="00000137" w14:textId="49E28307" w:rsidR="00920126" w:rsidRPr="000C73C6" w:rsidRDefault="00803966">
      <w:pPr>
        <w:rPr>
          <w:rFonts w:ascii="Arial" w:eastAsia="Arial" w:hAnsi="Arial" w:cs="Arial"/>
          <w:sz w:val="20"/>
          <w:szCs w:val="20"/>
        </w:rPr>
      </w:pPr>
      <w:r w:rsidRPr="000C73C6">
        <w:rPr>
          <w:rFonts w:ascii="Arial" w:eastAsia="Arial" w:hAnsi="Arial" w:cs="Arial"/>
          <w:b/>
          <w:sz w:val="20"/>
          <w:szCs w:val="20"/>
        </w:rPr>
        <w:lastRenderedPageBreak/>
        <w:t>Figure 4:</w:t>
      </w:r>
      <w:r w:rsidRPr="000C73C6">
        <w:rPr>
          <w:rFonts w:ascii="Arial" w:eastAsia="Arial" w:hAnsi="Arial" w:cs="Arial"/>
          <w:sz w:val="20"/>
          <w:szCs w:val="20"/>
        </w:rPr>
        <w:t xml:space="preserve"> The bar graphs 1-8 depict the results of the eight-topic </w:t>
      </w:r>
      <w:sdt>
        <w:sdtPr>
          <w:rPr>
            <w:rFonts w:ascii="Arial" w:hAnsi="Arial" w:cs="Arial"/>
            <w:sz w:val="20"/>
            <w:szCs w:val="20"/>
          </w:rPr>
          <w:tag w:val="goog_rdk_613"/>
          <w:id w:val="2054498201"/>
        </w:sdtPr>
        <w:sdtContent/>
      </w:sdt>
      <w:sdt>
        <w:sdtPr>
          <w:rPr>
            <w:rFonts w:ascii="Arial" w:hAnsi="Arial" w:cs="Arial"/>
            <w:sz w:val="20"/>
            <w:szCs w:val="20"/>
          </w:rPr>
          <w:tag w:val="goog_rdk_614"/>
          <w:id w:val="1869330953"/>
        </w:sdtPr>
        <w:sdtContent>
          <w:r w:rsidRPr="000C73C6">
            <w:rPr>
              <w:rFonts w:ascii="Arial" w:eastAsia="Arial" w:hAnsi="Arial" w:cs="Arial"/>
              <w:sz w:val="20"/>
              <w:szCs w:val="20"/>
            </w:rPr>
            <w:t>LDA</w:t>
          </w:r>
        </w:sdtContent>
      </w:sdt>
      <w:r w:rsidRPr="000C73C6">
        <w:rPr>
          <w:rFonts w:ascii="Arial" w:eastAsia="Arial" w:hAnsi="Arial" w:cs="Arial"/>
          <w:sz w:val="20"/>
          <w:szCs w:val="20"/>
        </w:rPr>
        <w:t xml:space="preserve"> regarding the challenges of virtual primary care; with the topic labels identified by the researchers and the ten most frequently mentioned terms (one-gram and two-gram) for each topic. </w:t>
      </w:r>
      <w:r w:rsidRPr="000C73C6">
        <w:rPr>
          <w:rFonts w:ascii="Arial" w:hAnsi="Arial" w:cs="Arial"/>
          <w:sz w:val="20"/>
          <w:szCs w:val="20"/>
        </w:rPr>
        <w:t xml:space="preserve">Beta = probability of a lemma appearing </w:t>
      </w:r>
      <w:proofErr w:type="gramStart"/>
      <w:r w:rsidRPr="000C73C6">
        <w:rPr>
          <w:rFonts w:ascii="Arial" w:hAnsi="Arial" w:cs="Arial"/>
          <w:sz w:val="20"/>
          <w:szCs w:val="20"/>
        </w:rPr>
        <w:t>in a given</w:t>
      </w:r>
      <w:proofErr w:type="gramEnd"/>
      <w:r w:rsidRPr="000C73C6">
        <w:rPr>
          <w:rFonts w:ascii="Arial" w:hAnsi="Arial" w:cs="Arial"/>
          <w:sz w:val="20"/>
          <w:szCs w:val="20"/>
        </w:rPr>
        <w:t xml:space="preserve"> topic</w:t>
      </w:r>
    </w:p>
    <w:p w14:paraId="00000138" w14:textId="3EAE7E89" w:rsidR="00920126" w:rsidRPr="000C73C6" w:rsidRDefault="00051701">
      <w:pPr>
        <w:rPr>
          <w:rFonts w:ascii="Arial" w:hAnsi="Arial" w:cs="Arial"/>
          <w:sz w:val="20"/>
          <w:szCs w:val="20"/>
        </w:rPr>
      </w:pPr>
      <w:r>
        <w:rPr>
          <w:rFonts w:ascii="Arial" w:hAnsi="Arial" w:cs="Arial"/>
          <w:noProof/>
          <w:sz w:val="20"/>
          <w:szCs w:val="20"/>
        </w:rPr>
        <w:drawing>
          <wp:inline distT="0" distB="0" distL="0" distR="0" wp14:anchorId="65E635E8" wp14:editId="28F729AC">
            <wp:extent cx="5733415" cy="6020435"/>
            <wp:effectExtent l="0" t="0" r="0" b="0"/>
            <wp:docPr id="17105618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561816" name="Picture 171056181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3415" cy="6020435"/>
                    </a:xfrm>
                    <a:prstGeom prst="rect">
                      <a:avLst/>
                    </a:prstGeom>
                  </pic:spPr>
                </pic:pic>
              </a:graphicData>
            </a:graphic>
          </wp:inline>
        </w:drawing>
      </w:r>
    </w:p>
    <w:p w14:paraId="00000139" w14:textId="77777777" w:rsidR="00920126" w:rsidRPr="000C73C6" w:rsidRDefault="00803966">
      <w:pPr>
        <w:rPr>
          <w:rFonts w:ascii="Arial" w:hAnsi="Arial" w:cs="Arial"/>
          <w:sz w:val="20"/>
          <w:szCs w:val="20"/>
        </w:rPr>
      </w:pPr>
      <w:r w:rsidRPr="000C73C6">
        <w:rPr>
          <w:rFonts w:ascii="Arial" w:hAnsi="Arial" w:cs="Arial"/>
          <w:sz w:val="20"/>
          <w:szCs w:val="20"/>
        </w:rPr>
        <w:br w:type="page"/>
      </w:r>
    </w:p>
    <w:p w14:paraId="0000013A" w14:textId="2F2493DA" w:rsidR="00920126" w:rsidRPr="000C73C6" w:rsidRDefault="00803966">
      <w:pPr>
        <w:rPr>
          <w:rFonts w:ascii="Arial" w:eastAsia="Arial" w:hAnsi="Arial" w:cs="Arial"/>
          <w:sz w:val="20"/>
          <w:szCs w:val="20"/>
        </w:rPr>
      </w:pPr>
      <w:r w:rsidRPr="000C73C6">
        <w:rPr>
          <w:rFonts w:ascii="Arial" w:eastAsia="Arial" w:hAnsi="Arial" w:cs="Arial"/>
          <w:b/>
          <w:sz w:val="20"/>
          <w:szCs w:val="20"/>
        </w:rPr>
        <w:lastRenderedPageBreak/>
        <w:t>Figure 5:</w:t>
      </w:r>
      <w:r w:rsidRPr="000C73C6">
        <w:rPr>
          <w:rFonts w:ascii="Arial" w:eastAsia="Arial" w:hAnsi="Arial" w:cs="Arial"/>
          <w:sz w:val="20"/>
          <w:szCs w:val="20"/>
        </w:rPr>
        <w:t xml:space="preserve"> Word clouds (1-8) corresponding to each topic identified by the L</w:t>
      </w:r>
      <w:sdt>
        <w:sdtPr>
          <w:rPr>
            <w:rFonts w:ascii="Arial" w:hAnsi="Arial" w:cs="Arial"/>
            <w:sz w:val="20"/>
            <w:szCs w:val="20"/>
          </w:rPr>
          <w:tag w:val="goog_rdk_616"/>
          <w:id w:val="1957361250"/>
        </w:sdtPr>
        <w:sdtContent>
          <w:r w:rsidRPr="000C73C6">
            <w:rPr>
              <w:rFonts w:ascii="Arial" w:eastAsia="Arial" w:hAnsi="Arial" w:cs="Arial"/>
              <w:sz w:val="20"/>
              <w:szCs w:val="20"/>
            </w:rPr>
            <w:t>DA</w:t>
          </w:r>
          <w:r w:rsidR="00051701">
            <w:rPr>
              <w:rFonts w:ascii="Arial" w:eastAsia="Arial" w:hAnsi="Arial" w:cs="Arial"/>
              <w:sz w:val="20"/>
              <w:szCs w:val="20"/>
            </w:rPr>
            <w:t xml:space="preserve"> </w:t>
          </w:r>
        </w:sdtContent>
      </w:sdt>
      <w:r w:rsidRPr="000C73C6">
        <w:rPr>
          <w:rFonts w:ascii="Arial" w:eastAsia="Arial" w:hAnsi="Arial" w:cs="Arial"/>
          <w:sz w:val="20"/>
          <w:szCs w:val="20"/>
        </w:rPr>
        <w:t>regarding the challenges of virtual care.</w:t>
      </w:r>
    </w:p>
    <w:p w14:paraId="0000013B" w14:textId="62420272" w:rsidR="00920126" w:rsidRPr="000C73C6" w:rsidRDefault="00803966">
      <w:pPr>
        <w:rPr>
          <w:rFonts w:ascii="Arial" w:hAnsi="Arial" w:cs="Arial"/>
          <w:sz w:val="20"/>
          <w:szCs w:val="20"/>
        </w:rPr>
      </w:pPr>
      <w:r w:rsidRPr="000C73C6">
        <w:rPr>
          <w:rFonts w:ascii="Arial" w:hAnsi="Arial" w:cs="Arial"/>
          <w:noProof/>
          <w:sz w:val="20"/>
          <w:szCs w:val="20"/>
        </w:rPr>
        <w:drawing>
          <wp:inline distT="0" distB="0" distL="0" distR="0" wp14:anchorId="5A2A6383" wp14:editId="27388A08">
            <wp:extent cx="5123756" cy="4743472"/>
            <wp:effectExtent l="0" t="0" r="0" b="0"/>
            <wp:docPr id="94717216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1"/>
                    <a:srcRect b="11858"/>
                    <a:stretch>
                      <a:fillRect/>
                    </a:stretch>
                  </pic:blipFill>
                  <pic:spPr>
                    <a:xfrm>
                      <a:off x="0" y="0"/>
                      <a:ext cx="5123756" cy="4743472"/>
                    </a:xfrm>
                    <a:prstGeom prst="rect">
                      <a:avLst/>
                    </a:prstGeom>
                    <a:ln/>
                  </pic:spPr>
                </pic:pic>
              </a:graphicData>
            </a:graphic>
          </wp:inline>
        </w:drawing>
      </w:r>
    </w:p>
    <w:p w14:paraId="0000013C" w14:textId="77777777" w:rsidR="00920126" w:rsidRPr="000C73C6" w:rsidRDefault="00803966">
      <w:pPr>
        <w:rPr>
          <w:rFonts w:ascii="Arial" w:eastAsia="Arial" w:hAnsi="Arial" w:cs="Arial"/>
          <w:b/>
          <w:sz w:val="20"/>
          <w:szCs w:val="20"/>
        </w:rPr>
      </w:pPr>
      <w:r w:rsidRPr="000C73C6">
        <w:rPr>
          <w:rFonts w:ascii="Arial" w:hAnsi="Arial" w:cs="Arial"/>
          <w:sz w:val="20"/>
          <w:szCs w:val="20"/>
        </w:rPr>
        <w:br w:type="page"/>
      </w:r>
    </w:p>
    <w:p w14:paraId="0000013D" w14:textId="675EC28E" w:rsidR="00920126" w:rsidRPr="000C73C6" w:rsidRDefault="00803966">
      <w:pPr>
        <w:pStyle w:val="Title"/>
        <w:rPr>
          <w:rFonts w:ascii="Arial" w:hAnsi="Arial" w:cs="Arial"/>
          <w:sz w:val="20"/>
          <w:szCs w:val="20"/>
        </w:rPr>
      </w:pPr>
      <w:r w:rsidRPr="000C73C6">
        <w:rPr>
          <w:rFonts w:ascii="Arial" w:hAnsi="Arial" w:cs="Arial"/>
          <w:sz w:val="20"/>
          <w:szCs w:val="20"/>
        </w:rPr>
        <w:lastRenderedPageBreak/>
        <w:t xml:space="preserve">Supplementary material </w:t>
      </w:r>
    </w:p>
    <w:p w14:paraId="0000013E" w14:textId="049C89C1" w:rsidR="00920126" w:rsidRDefault="00920126">
      <w:pPr>
        <w:rPr>
          <w:rFonts w:ascii="Arial" w:hAnsi="Arial" w:cs="Arial"/>
          <w:sz w:val="20"/>
          <w:szCs w:val="20"/>
        </w:rPr>
      </w:pPr>
    </w:p>
    <w:p w14:paraId="4F77C32D" w14:textId="57512A7F" w:rsidR="00050F1C" w:rsidRDefault="00050F1C" w:rsidP="00050F1C">
      <w:pPr>
        <w:rPr>
          <w:rFonts w:ascii="Arial" w:eastAsia="Arial" w:hAnsi="Arial" w:cs="Arial"/>
          <w:sz w:val="20"/>
          <w:szCs w:val="20"/>
        </w:rPr>
      </w:pPr>
      <w:r w:rsidRPr="000C73C6">
        <w:rPr>
          <w:rFonts w:ascii="Arial" w:hAnsi="Arial" w:cs="Arial"/>
          <w:sz w:val="20"/>
          <w:szCs w:val="20"/>
        </w:rPr>
        <w:t xml:space="preserve">Supplementary table </w:t>
      </w:r>
      <w:r>
        <w:rPr>
          <w:rFonts w:ascii="Arial" w:hAnsi="Arial" w:cs="Arial"/>
          <w:sz w:val="20"/>
          <w:szCs w:val="20"/>
        </w:rPr>
        <w:t>1</w:t>
      </w:r>
      <w:r w:rsidRPr="00ED1160">
        <w:rPr>
          <w:rFonts w:ascii="Arial" w:eastAsia="Arial" w:hAnsi="Arial" w:cs="Arial"/>
          <w:b/>
          <w:bCs/>
          <w:sz w:val="20"/>
          <w:szCs w:val="20"/>
        </w:rPr>
        <w:t>:</w:t>
      </w:r>
      <w:r>
        <w:rPr>
          <w:rFonts w:ascii="Arial" w:eastAsia="Arial" w:hAnsi="Arial" w:cs="Arial"/>
          <w:sz w:val="20"/>
          <w:szCs w:val="20"/>
        </w:rPr>
        <w:t xml:space="preserve"> Variable descriptions</w:t>
      </w:r>
    </w:p>
    <w:p w14:paraId="408779FA" w14:textId="77777777" w:rsidR="00050F1C" w:rsidRDefault="00050F1C" w:rsidP="00050F1C">
      <w:pPr>
        <w:rPr>
          <w:rFonts w:ascii="Arial" w:eastAsia="Arial" w:hAnsi="Arial" w:cs="Arial"/>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1965"/>
        <w:gridCol w:w="6990"/>
      </w:tblGrid>
      <w:tr w:rsidR="00050F1C" w:rsidRPr="00870376" w14:paraId="272D04BD" w14:textId="77777777" w:rsidTr="00ED1160">
        <w:trPr>
          <w:trHeight w:val="300"/>
        </w:trPr>
        <w:tc>
          <w:tcPr>
            <w:tcW w:w="1965" w:type="dxa"/>
            <w:tcBorders>
              <w:bottom w:val="single" w:sz="4" w:space="0" w:color="auto"/>
            </w:tcBorders>
            <w:shd w:val="clear" w:color="auto" w:fill="auto"/>
            <w:hideMark/>
          </w:tcPr>
          <w:p w14:paraId="285F437D"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Variable </w:t>
            </w:r>
          </w:p>
        </w:tc>
        <w:tc>
          <w:tcPr>
            <w:tcW w:w="6990" w:type="dxa"/>
            <w:tcBorders>
              <w:bottom w:val="single" w:sz="4" w:space="0" w:color="auto"/>
            </w:tcBorders>
            <w:shd w:val="clear" w:color="auto" w:fill="auto"/>
            <w:hideMark/>
          </w:tcPr>
          <w:p w14:paraId="69ACD9D1"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Description </w:t>
            </w:r>
          </w:p>
        </w:tc>
      </w:tr>
      <w:tr w:rsidR="00050F1C" w:rsidRPr="00870376" w14:paraId="0C8AC6F9" w14:textId="77777777" w:rsidTr="00ED1160">
        <w:trPr>
          <w:trHeight w:val="300"/>
        </w:trPr>
        <w:tc>
          <w:tcPr>
            <w:tcW w:w="8955" w:type="dxa"/>
            <w:gridSpan w:val="2"/>
            <w:tcBorders>
              <w:top w:val="single" w:sz="4" w:space="0" w:color="auto"/>
              <w:bottom w:val="single" w:sz="4" w:space="0" w:color="auto"/>
            </w:tcBorders>
            <w:shd w:val="clear" w:color="auto" w:fill="auto"/>
          </w:tcPr>
          <w:p w14:paraId="051B8A06" w14:textId="77777777" w:rsidR="00050F1C" w:rsidRPr="00870376" w:rsidRDefault="00050F1C" w:rsidP="00ED1160">
            <w:pPr>
              <w:rPr>
                <w:rFonts w:ascii="Arial" w:eastAsia="Arial" w:hAnsi="Arial" w:cs="Arial"/>
                <w:i/>
                <w:iCs/>
                <w:sz w:val="20"/>
                <w:szCs w:val="20"/>
              </w:rPr>
            </w:pPr>
            <w:r w:rsidRPr="00870376">
              <w:rPr>
                <w:rFonts w:ascii="Arial" w:eastAsia="Arial" w:hAnsi="Arial" w:cs="Arial"/>
                <w:i/>
                <w:iCs/>
                <w:sz w:val="20"/>
                <w:szCs w:val="20"/>
              </w:rPr>
              <w:t>Qualitative survey questions</w:t>
            </w:r>
          </w:p>
        </w:tc>
      </w:tr>
      <w:tr w:rsidR="00050F1C" w:rsidRPr="00870376" w14:paraId="74F9747F" w14:textId="77777777" w:rsidTr="00ED1160">
        <w:trPr>
          <w:trHeight w:val="300"/>
        </w:trPr>
        <w:tc>
          <w:tcPr>
            <w:tcW w:w="1965" w:type="dxa"/>
            <w:tcBorders>
              <w:top w:val="single" w:sz="4" w:space="0" w:color="auto"/>
            </w:tcBorders>
            <w:shd w:val="clear" w:color="auto" w:fill="auto"/>
          </w:tcPr>
          <w:p w14:paraId="42FFFA2D"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 xml:space="preserve">Question 1  </w:t>
            </w:r>
          </w:p>
        </w:tc>
        <w:tc>
          <w:tcPr>
            <w:tcW w:w="6990" w:type="dxa"/>
            <w:tcBorders>
              <w:top w:val="single" w:sz="4" w:space="0" w:color="auto"/>
            </w:tcBorders>
            <w:shd w:val="clear" w:color="auto" w:fill="auto"/>
          </w:tcPr>
          <w:p w14:paraId="712D6144"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“In your opinion, what do you think would be the main benefits of using virtual technologies when accessing primary care during the COVID-19 pandemic?”</w:t>
            </w:r>
          </w:p>
        </w:tc>
      </w:tr>
      <w:tr w:rsidR="00050F1C" w:rsidRPr="00870376" w14:paraId="03A67CBD" w14:textId="77777777" w:rsidTr="00ED1160">
        <w:trPr>
          <w:trHeight w:val="300"/>
        </w:trPr>
        <w:tc>
          <w:tcPr>
            <w:tcW w:w="1965" w:type="dxa"/>
            <w:shd w:val="clear" w:color="auto" w:fill="auto"/>
          </w:tcPr>
          <w:p w14:paraId="20F723A6"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 xml:space="preserve">Question 2  </w:t>
            </w:r>
          </w:p>
        </w:tc>
        <w:tc>
          <w:tcPr>
            <w:tcW w:w="6990" w:type="dxa"/>
            <w:shd w:val="clear" w:color="auto" w:fill="auto"/>
          </w:tcPr>
          <w:p w14:paraId="441F665B"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“In your opinion, what are the main challenges of using virtual technologies when accessing primary care during the COVID-19 pandemic?”</w:t>
            </w:r>
          </w:p>
        </w:tc>
      </w:tr>
      <w:tr w:rsidR="00050F1C" w:rsidRPr="00870376" w14:paraId="5DC13C1F" w14:textId="77777777" w:rsidTr="00ED1160">
        <w:trPr>
          <w:trHeight w:val="300"/>
        </w:trPr>
        <w:tc>
          <w:tcPr>
            <w:tcW w:w="8955" w:type="dxa"/>
            <w:gridSpan w:val="2"/>
            <w:tcBorders>
              <w:bottom w:val="single" w:sz="4" w:space="0" w:color="auto"/>
            </w:tcBorders>
            <w:shd w:val="clear" w:color="auto" w:fill="auto"/>
            <w:hideMark/>
          </w:tcPr>
          <w:p w14:paraId="250C23AC" w14:textId="77777777" w:rsidR="00050F1C" w:rsidRPr="00870376" w:rsidRDefault="00050F1C" w:rsidP="00ED1160">
            <w:pPr>
              <w:rPr>
                <w:rFonts w:ascii="Arial" w:eastAsia="Arial" w:hAnsi="Arial" w:cs="Arial"/>
                <w:sz w:val="20"/>
                <w:szCs w:val="20"/>
              </w:rPr>
            </w:pPr>
            <w:r w:rsidRPr="00870376">
              <w:rPr>
                <w:rFonts w:ascii="Arial" w:eastAsia="Arial" w:hAnsi="Arial" w:cs="Arial"/>
                <w:i/>
                <w:iCs/>
                <w:sz w:val="20"/>
                <w:szCs w:val="20"/>
              </w:rPr>
              <w:t>Outcome</w:t>
            </w:r>
            <w:r w:rsidRPr="00870376">
              <w:rPr>
                <w:rFonts w:ascii="Arial" w:eastAsia="Arial" w:hAnsi="Arial" w:cs="Arial"/>
                <w:sz w:val="20"/>
                <w:szCs w:val="20"/>
              </w:rPr>
              <w:t> v</w:t>
            </w:r>
            <w:r w:rsidRPr="00870376">
              <w:rPr>
                <w:rFonts w:ascii="Arial" w:eastAsia="Arial" w:hAnsi="Arial" w:cs="Arial"/>
                <w:i/>
                <w:iCs/>
                <w:sz w:val="20"/>
                <w:szCs w:val="20"/>
              </w:rPr>
              <w:t>ariable</w:t>
            </w:r>
          </w:p>
        </w:tc>
      </w:tr>
      <w:tr w:rsidR="00050F1C" w:rsidRPr="00870376" w14:paraId="67600E9D" w14:textId="77777777" w:rsidTr="00ED1160">
        <w:trPr>
          <w:trHeight w:val="300"/>
        </w:trPr>
        <w:tc>
          <w:tcPr>
            <w:tcW w:w="1965" w:type="dxa"/>
            <w:tcBorders>
              <w:top w:val="single" w:sz="4" w:space="0" w:color="auto"/>
            </w:tcBorders>
            <w:shd w:val="clear" w:color="auto" w:fill="auto"/>
            <w:hideMark/>
          </w:tcPr>
          <w:p w14:paraId="592C6BC5"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Probability of each topic</w:t>
            </w:r>
          </w:p>
        </w:tc>
        <w:tc>
          <w:tcPr>
            <w:tcW w:w="6990" w:type="dxa"/>
            <w:tcBorders>
              <w:top w:val="single" w:sz="4" w:space="0" w:color="auto"/>
            </w:tcBorders>
            <w:shd w:val="clear" w:color="auto" w:fill="auto"/>
            <w:hideMark/>
          </w:tcPr>
          <w:p w14:paraId="182F3DBC"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Probability value for each topic identified by the researchers and obtained from the LDA model</w:t>
            </w:r>
          </w:p>
        </w:tc>
      </w:tr>
      <w:tr w:rsidR="00050F1C" w:rsidRPr="00870376" w14:paraId="69E3E1CE" w14:textId="77777777" w:rsidTr="00ED1160">
        <w:trPr>
          <w:trHeight w:val="300"/>
        </w:trPr>
        <w:tc>
          <w:tcPr>
            <w:tcW w:w="8955" w:type="dxa"/>
            <w:gridSpan w:val="2"/>
            <w:tcBorders>
              <w:bottom w:val="single" w:sz="4" w:space="0" w:color="auto"/>
            </w:tcBorders>
            <w:shd w:val="clear" w:color="auto" w:fill="auto"/>
            <w:hideMark/>
          </w:tcPr>
          <w:p w14:paraId="6B1D9B83" w14:textId="77777777" w:rsidR="00050F1C" w:rsidRPr="00870376" w:rsidRDefault="00050F1C" w:rsidP="00ED1160">
            <w:pPr>
              <w:rPr>
                <w:rFonts w:ascii="Arial" w:eastAsia="Arial" w:hAnsi="Arial" w:cs="Arial"/>
                <w:sz w:val="20"/>
                <w:szCs w:val="20"/>
              </w:rPr>
            </w:pPr>
            <w:r w:rsidRPr="00870376">
              <w:rPr>
                <w:rFonts w:ascii="Arial" w:eastAsia="Arial" w:hAnsi="Arial" w:cs="Arial"/>
                <w:i/>
                <w:iCs/>
                <w:sz w:val="20"/>
                <w:szCs w:val="20"/>
              </w:rPr>
              <w:t>Participant predictor variables</w:t>
            </w:r>
            <w:r w:rsidRPr="00870376">
              <w:rPr>
                <w:rFonts w:ascii="Arial" w:eastAsia="Arial" w:hAnsi="Arial" w:cs="Arial"/>
                <w:sz w:val="20"/>
                <w:szCs w:val="20"/>
              </w:rPr>
              <w:t> </w:t>
            </w:r>
          </w:p>
        </w:tc>
      </w:tr>
      <w:tr w:rsidR="00050F1C" w:rsidRPr="00870376" w14:paraId="51B848E7" w14:textId="77777777" w:rsidTr="00ED1160">
        <w:trPr>
          <w:trHeight w:val="300"/>
        </w:trPr>
        <w:tc>
          <w:tcPr>
            <w:tcW w:w="1965" w:type="dxa"/>
            <w:tcBorders>
              <w:top w:val="single" w:sz="4" w:space="0" w:color="auto"/>
            </w:tcBorders>
            <w:shd w:val="clear" w:color="auto" w:fill="auto"/>
            <w:hideMark/>
          </w:tcPr>
          <w:p w14:paraId="665A875B"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Gender </w:t>
            </w:r>
          </w:p>
        </w:tc>
        <w:tc>
          <w:tcPr>
            <w:tcW w:w="6990" w:type="dxa"/>
            <w:tcBorders>
              <w:top w:val="single" w:sz="4" w:space="0" w:color="auto"/>
            </w:tcBorders>
            <w:shd w:val="clear" w:color="auto" w:fill="auto"/>
            <w:hideMark/>
          </w:tcPr>
          <w:p w14:paraId="3A07A100"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Categories: male, female</w:t>
            </w:r>
          </w:p>
        </w:tc>
      </w:tr>
      <w:tr w:rsidR="00050F1C" w:rsidRPr="00870376" w14:paraId="3461A016" w14:textId="77777777" w:rsidTr="00ED1160">
        <w:trPr>
          <w:trHeight w:val="300"/>
        </w:trPr>
        <w:tc>
          <w:tcPr>
            <w:tcW w:w="1965" w:type="dxa"/>
            <w:shd w:val="clear" w:color="auto" w:fill="auto"/>
          </w:tcPr>
          <w:p w14:paraId="25D19FD5"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Age group</w:t>
            </w:r>
          </w:p>
        </w:tc>
        <w:tc>
          <w:tcPr>
            <w:tcW w:w="6990" w:type="dxa"/>
            <w:shd w:val="clear" w:color="auto" w:fill="auto"/>
          </w:tcPr>
          <w:p w14:paraId="75ED8704"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Categories: 18-24, 25-34, 35-44, 45-54, 55+</w:t>
            </w:r>
          </w:p>
        </w:tc>
      </w:tr>
      <w:tr w:rsidR="00050F1C" w:rsidRPr="00870376" w14:paraId="4E8E6A4B" w14:textId="77777777" w:rsidTr="00ED1160">
        <w:trPr>
          <w:trHeight w:val="300"/>
        </w:trPr>
        <w:tc>
          <w:tcPr>
            <w:tcW w:w="1965" w:type="dxa"/>
            <w:shd w:val="clear" w:color="auto" w:fill="auto"/>
            <w:hideMark/>
          </w:tcPr>
          <w:p w14:paraId="20473ABE"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Country</w:t>
            </w:r>
          </w:p>
        </w:tc>
        <w:tc>
          <w:tcPr>
            <w:tcW w:w="6990" w:type="dxa"/>
            <w:shd w:val="clear" w:color="auto" w:fill="auto"/>
            <w:hideMark/>
          </w:tcPr>
          <w:p w14:paraId="67A56130"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 xml:space="preserve">Categories: </w:t>
            </w:r>
            <w:proofErr w:type="gramStart"/>
            <w:r w:rsidRPr="00870376">
              <w:rPr>
                <w:rFonts w:ascii="Arial" w:eastAsia="Arial" w:hAnsi="Arial" w:cs="Arial"/>
                <w:sz w:val="20"/>
                <w:szCs w:val="20"/>
              </w:rPr>
              <w:t>the</w:t>
            </w:r>
            <w:proofErr w:type="gramEnd"/>
            <w:r w:rsidRPr="00870376">
              <w:rPr>
                <w:rFonts w:ascii="Arial" w:eastAsia="Arial" w:hAnsi="Arial" w:cs="Arial"/>
                <w:sz w:val="20"/>
                <w:szCs w:val="20"/>
              </w:rPr>
              <w:t xml:space="preserve"> United Kingdom (UK), Germany (DE), Sweden (SE), Italy (IT)</w:t>
            </w:r>
          </w:p>
        </w:tc>
      </w:tr>
      <w:tr w:rsidR="00050F1C" w:rsidRPr="00870376" w14:paraId="4747590B" w14:textId="77777777" w:rsidTr="00ED1160">
        <w:trPr>
          <w:trHeight w:val="300"/>
        </w:trPr>
        <w:tc>
          <w:tcPr>
            <w:tcW w:w="1965" w:type="dxa"/>
            <w:tcBorders>
              <w:bottom w:val="single" w:sz="4" w:space="0" w:color="auto"/>
            </w:tcBorders>
            <w:shd w:val="clear" w:color="auto" w:fill="auto"/>
            <w:hideMark/>
          </w:tcPr>
          <w:p w14:paraId="4890A2C0"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eHealth literacy  </w:t>
            </w:r>
          </w:p>
        </w:tc>
        <w:tc>
          <w:tcPr>
            <w:tcW w:w="6990" w:type="dxa"/>
            <w:tcBorders>
              <w:bottom w:val="single" w:sz="4" w:space="0" w:color="auto"/>
            </w:tcBorders>
            <w:shd w:val="clear" w:color="auto" w:fill="auto"/>
            <w:hideMark/>
          </w:tcPr>
          <w:p w14:paraId="6FC081FA" w14:textId="77777777" w:rsidR="00050F1C" w:rsidRPr="00870376" w:rsidRDefault="00050F1C" w:rsidP="00ED1160">
            <w:pPr>
              <w:rPr>
                <w:rFonts w:ascii="Arial" w:eastAsia="Arial" w:hAnsi="Arial" w:cs="Arial"/>
                <w:sz w:val="20"/>
                <w:szCs w:val="20"/>
              </w:rPr>
            </w:pPr>
            <w:r w:rsidRPr="00870376">
              <w:rPr>
                <w:rFonts w:ascii="Arial" w:eastAsia="Arial" w:hAnsi="Arial" w:cs="Arial"/>
                <w:sz w:val="20"/>
                <w:szCs w:val="20"/>
              </w:rPr>
              <w:t>eHealth literacy based on the eHEALS score. Categories: high eHealth literacy (eHEALS≥26), low eHealth literacy (eHEALS&lt;26) </w:t>
            </w:r>
          </w:p>
        </w:tc>
      </w:tr>
    </w:tbl>
    <w:p w14:paraId="172FD357" w14:textId="77777777" w:rsidR="00050F1C" w:rsidRDefault="00050F1C" w:rsidP="00050F1C">
      <w:pPr>
        <w:rPr>
          <w:rFonts w:ascii="Arial" w:eastAsia="Arial" w:hAnsi="Arial" w:cs="Arial"/>
          <w:b/>
          <w:sz w:val="20"/>
          <w:szCs w:val="20"/>
        </w:rPr>
      </w:pPr>
    </w:p>
    <w:p w14:paraId="41A0C254" w14:textId="77777777" w:rsidR="00050F1C" w:rsidRDefault="00050F1C">
      <w:pPr>
        <w:rPr>
          <w:rFonts w:ascii="Arial" w:hAnsi="Arial" w:cs="Arial"/>
          <w:sz w:val="20"/>
          <w:szCs w:val="20"/>
        </w:rPr>
      </w:pPr>
    </w:p>
    <w:p w14:paraId="2CC9A97C" w14:textId="77777777" w:rsidR="00050F1C" w:rsidRPr="000C73C6" w:rsidRDefault="00050F1C">
      <w:pPr>
        <w:rPr>
          <w:rFonts w:ascii="Arial" w:hAnsi="Arial" w:cs="Arial"/>
          <w:sz w:val="20"/>
          <w:szCs w:val="20"/>
        </w:rPr>
      </w:pPr>
    </w:p>
    <w:p w14:paraId="0000013F" w14:textId="36AE6116" w:rsidR="00920126" w:rsidRPr="000C73C6" w:rsidRDefault="00803966">
      <w:pPr>
        <w:jc w:val="left"/>
        <w:rPr>
          <w:rFonts w:ascii="Arial" w:hAnsi="Arial" w:cs="Arial"/>
          <w:sz w:val="20"/>
          <w:szCs w:val="20"/>
        </w:rPr>
      </w:pPr>
      <w:r w:rsidRPr="000C73C6">
        <w:rPr>
          <w:rFonts w:ascii="Arial" w:hAnsi="Arial" w:cs="Arial"/>
          <w:sz w:val="20"/>
          <w:szCs w:val="20"/>
        </w:rPr>
        <w:t xml:space="preserve">Supplementary table </w:t>
      </w:r>
      <w:r w:rsidR="00050F1C">
        <w:rPr>
          <w:rFonts w:ascii="Arial" w:hAnsi="Arial" w:cs="Arial"/>
          <w:sz w:val="20"/>
          <w:szCs w:val="20"/>
        </w:rPr>
        <w:t>2</w:t>
      </w:r>
      <w:r w:rsidRPr="000C73C6">
        <w:rPr>
          <w:rFonts w:ascii="Arial" w:hAnsi="Arial" w:cs="Arial"/>
          <w:sz w:val="20"/>
          <w:szCs w:val="20"/>
        </w:rPr>
        <w:t xml:space="preserve">: Mean and standard deviation (SD) of the total </w:t>
      </w:r>
      <w:proofErr w:type="spellStart"/>
      <w:r w:rsidRPr="000C73C6">
        <w:rPr>
          <w:rFonts w:ascii="Arial" w:hAnsi="Arial" w:cs="Arial"/>
          <w:sz w:val="20"/>
          <w:szCs w:val="20"/>
        </w:rPr>
        <w:t>eHEALs</w:t>
      </w:r>
      <w:proofErr w:type="spellEnd"/>
      <w:r w:rsidRPr="000C73C6">
        <w:rPr>
          <w:rFonts w:ascii="Arial" w:hAnsi="Arial" w:cs="Arial"/>
          <w:sz w:val="20"/>
          <w:szCs w:val="20"/>
        </w:rPr>
        <w:t xml:space="preserve"> score and the 8 items of participants with low overall eHealth literacy (eHEALS &lt;28).</w:t>
      </w:r>
    </w:p>
    <w:p w14:paraId="00000140" w14:textId="59631BEB" w:rsidR="00920126" w:rsidRPr="000C73C6" w:rsidRDefault="00803966">
      <w:pPr>
        <w:jc w:val="left"/>
        <w:rPr>
          <w:rFonts w:ascii="Arial" w:hAnsi="Arial" w:cs="Arial"/>
          <w:sz w:val="20"/>
          <w:szCs w:val="20"/>
        </w:rPr>
      </w:pPr>
      <w:r w:rsidRPr="000C73C6">
        <w:rPr>
          <w:rFonts w:ascii="Arial" w:hAnsi="Arial" w:cs="Arial"/>
          <w:sz w:val="20"/>
          <w:szCs w:val="20"/>
        </w:rPr>
        <w:t xml:space="preserve"> </w:t>
      </w:r>
    </w:p>
    <w:tbl>
      <w:tblPr>
        <w:tblStyle w:val="1"/>
        <w:tblW w:w="9000" w:type="dxa"/>
        <w:tblBorders>
          <w:top w:val="nil"/>
          <w:left w:val="nil"/>
          <w:bottom w:val="nil"/>
          <w:right w:val="nil"/>
          <w:insideH w:val="nil"/>
          <w:insideV w:val="nil"/>
        </w:tblBorders>
        <w:tblLayout w:type="fixed"/>
        <w:tblLook w:val="0600" w:firstRow="0" w:lastRow="0" w:firstColumn="0" w:lastColumn="0" w:noHBand="1" w:noVBand="1"/>
      </w:tblPr>
      <w:tblGrid>
        <w:gridCol w:w="7695"/>
        <w:gridCol w:w="705"/>
        <w:gridCol w:w="600"/>
      </w:tblGrid>
      <w:tr w:rsidR="00920126" w:rsidRPr="000C73C6" w14:paraId="333D626C" w14:textId="77777777">
        <w:trPr>
          <w:trHeight w:val="285"/>
        </w:trPr>
        <w:tc>
          <w:tcPr>
            <w:tcW w:w="7695" w:type="dxa"/>
            <w:tcBorders>
              <w:top w:val="single" w:sz="8" w:space="0" w:color="000000"/>
              <w:bottom w:val="single" w:sz="8" w:space="0" w:color="000000"/>
            </w:tcBorders>
            <w:tcMar>
              <w:top w:w="0" w:type="dxa"/>
              <w:left w:w="100" w:type="dxa"/>
              <w:bottom w:w="0" w:type="dxa"/>
              <w:right w:w="100" w:type="dxa"/>
            </w:tcMar>
          </w:tcPr>
          <w:p w14:paraId="00000141" w14:textId="457F227A" w:rsidR="00920126" w:rsidRPr="000C73C6" w:rsidRDefault="00803966">
            <w:pPr>
              <w:jc w:val="left"/>
              <w:rPr>
                <w:rFonts w:ascii="Arial" w:hAnsi="Arial" w:cs="Arial"/>
                <w:sz w:val="20"/>
                <w:szCs w:val="20"/>
              </w:rPr>
            </w:pPr>
            <w:r w:rsidRPr="000C73C6">
              <w:rPr>
                <w:rFonts w:ascii="Arial" w:hAnsi="Arial" w:cs="Arial"/>
                <w:sz w:val="20"/>
                <w:szCs w:val="20"/>
              </w:rPr>
              <w:t>eHEALS score and items</w:t>
            </w:r>
          </w:p>
        </w:tc>
        <w:tc>
          <w:tcPr>
            <w:tcW w:w="705" w:type="dxa"/>
            <w:tcBorders>
              <w:top w:val="single" w:sz="8" w:space="0" w:color="000000"/>
              <w:bottom w:val="single" w:sz="8" w:space="0" w:color="000000"/>
            </w:tcBorders>
            <w:tcMar>
              <w:top w:w="0" w:type="dxa"/>
              <w:left w:w="100" w:type="dxa"/>
              <w:bottom w:w="0" w:type="dxa"/>
              <w:right w:w="100" w:type="dxa"/>
            </w:tcMar>
          </w:tcPr>
          <w:p w14:paraId="00000142" w14:textId="1A00D404" w:rsidR="00920126" w:rsidRPr="000C73C6" w:rsidRDefault="00803966">
            <w:pPr>
              <w:jc w:val="left"/>
              <w:rPr>
                <w:rFonts w:ascii="Arial" w:hAnsi="Arial" w:cs="Arial"/>
                <w:sz w:val="20"/>
                <w:szCs w:val="20"/>
              </w:rPr>
            </w:pPr>
            <w:r w:rsidRPr="000C73C6">
              <w:rPr>
                <w:rFonts w:ascii="Arial" w:hAnsi="Arial" w:cs="Arial"/>
                <w:sz w:val="20"/>
                <w:szCs w:val="20"/>
              </w:rPr>
              <w:t>Mean</w:t>
            </w:r>
          </w:p>
        </w:tc>
        <w:tc>
          <w:tcPr>
            <w:tcW w:w="600" w:type="dxa"/>
            <w:tcBorders>
              <w:top w:val="single" w:sz="8" w:space="0" w:color="000000"/>
              <w:bottom w:val="single" w:sz="8" w:space="0" w:color="000000"/>
            </w:tcBorders>
            <w:tcMar>
              <w:top w:w="0" w:type="dxa"/>
              <w:left w:w="100" w:type="dxa"/>
              <w:bottom w:w="0" w:type="dxa"/>
              <w:right w:w="100" w:type="dxa"/>
            </w:tcMar>
          </w:tcPr>
          <w:p w14:paraId="00000143" w14:textId="2728C684" w:rsidR="00920126" w:rsidRPr="000C73C6" w:rsidRDefault="00803966">
            <w:pPr>
              <w:jc w:val="left"/>
              <w:rPr>
                <w:rFonts w:ascii="Arial" w:hAnsi="Arial" w:cs="Arial"/>
                <w:sz w:val="20"/>
                <w:szCs w:val="20"/>
              </w:rPr>
            </w:pPr>
            <w:r w:rsidRPr="000C73C6">
              <w:rPr>
                <w:rFonts w:ascii="Arial" w:hAnsi="Arial" w:cs="Arial"/>
                <w:sz w:val="20"/>
                <w:szCs w:val="20"/>
              </w:rPr>
              <w:t>SD</w:t>
            </w:r>
          </w:p>
        </w:tc>
      </w:tr>
      <w:tr w:rsidR="00920126" w:rsidRPr="000C73C6" w14:paraId="38E9B8B3" w14:textId="77777777">
        <w:trPr>
          <w:trHeight w:val="285"/>
        </w:trPr>
        <w:tc>
          <w:tcPr>
            <w:tcW w:w="7695" w:type="dxa"/>
            <w:tcMar>
              <w:top w:w="0" w:type="dxa"/>
              <w:left w:w="100" w:type="dxa"/>
              <w:bottom w:w="0" w:type="dxa"/>
              <w:right w:w="100" w:type="dxa"/>
            </w:tcMar>
          </w:tcPr>
          <w:p w14:paraId="00000144" w14:textId="2F0D6748" w:rsidR="00920126" w:rsidRPr="000C73C6" w:rsidRDefault="00803966">
            <w:pPr>
              <w:jc w:val="left"/>
              <w:rPr>
                <w:rFonts w:ascii="Arial" w:hAnsi="Arial" w:cs="Arial"/>
                <w:sz w:val="20"/>
                <w:szCs w:val="20"/>
              </w:rPr>
            </w:pPr>
            <w:r w:rsidRPr="000C73C6">
              <w:rPr>
                <w:rFonts w:ascii="Arial" w:hAnsi="Arial" w:cs="Arial"/>
                <w:sz w:val="20"/>
                <w:szCs w:val="20"/>
              </w:rPr>
              <w:t>eHEALS Score</w:t>
            </w:r>
          </w:p>
        </w:tc>
        <w:tc>
          <w:tcPr>
            <w:tcW w:w="705" w:type="dxa"/>
            <w:tcMar>
              <w:top w:w="0" w:type="dxa"/>
              <w:left w:w="100" w:type="dxa"/>
              <w:bottom w:w="0" w:type="dxa"/>
              <w:right w:w="100" w:type="dxa"/>
            </w:tcMar>
          </w:tcPr>
          <w:p w14:paraId="00000145" w14:textId="59A06E37" w:rsidR="00920126" w:rsidRPr="000C73C6" w:rsidRDefault="00803966">
            <w:pPr>
              <w:jc w:val="right"/>
              <w:rPr>
                <w:rFonts w:ascii="Arial" w:hAnsi="Arial" w:cs="Arial"/>
                <w:sz w:val="20"/>
                <w:szCs w:val="20"/>
              </w:rPr>
            </w:pPr>
            <w:r w:rsidRPr="000C73C6">
              <w:rPr>
                <w:rFonts w:ascii="Arial" w:hAnsi="Arial" w:cs="Arial"/>
                <w:sz w:val="20"/>
                <w:szCs w:val="20"/>
              </w:rPr>
              <w:t>18.82</w:t>
            </w:r>
          </w:p>
        </w:tc>
        <w:tc>
          <w:tcPr>
            <w:tcW w:w="600" w:type="dxa"/>
            <w:tcMar>
              <w:top w:w="0" w:type="dxa"/>
              <w:left w:w="100" w:type="dxa"/>
              <w:bottom w:w="0" w:type="dxa"/>
              <w:right w:w="100" w:type="dxa"/>
            </w:tcMar>
          </w:tcPr>
          <w:p w14:paraId="00000146" w14:textId="71FC5EA0" w:rsidR="00920126" w:rsidRPr="000C73C6" w:rsidRDefault="00803966">
            <w:pPr>
              <w:jc w:val="right"/>
              <w:rPr>
                <w:rFonts w:ascii="Arial" w:hAnsi="Arial" w:cs="Arial"/>
                <w:sz w:val="20"/>
                <w:szCs w:val="20"/>
              </w:rPr>
            </w:pPr>
            <w:r w:rsidRPr="000C73C6">
              <w:rPr>
                <w:rFonts w:ascii="Arial" w:hAnsi="Arial" w:cs="Arial"/>
                <w:sz w:val="20"/>
                <w:szCs w:val="20"/>
              </w:rPr>
              <w:t>6.79</w:t>
            </w:r>
          </w:p>
        </w:tc>
      </w:tr>
      <w:tr w:rsidR="00920126" w:rsidRPr="000C73C6" w14:paraId="632227D1" w14:textId="77777777">
        <w:trPr>
          <w:trHeight w:val="285"/>
        </w:trPr>
        <w:tc>
          <w:tcPr>
            <w:tcW w:w="7695" w:type="dxa"/>
            <w:tcMar>
              <w:top w:w="0" w:type="dxa"/>
              <w:left w:w="100" w:type="dxa"/>
              <w:bottom w:w="0" w:type="dxa"/>
              <w:right w:w="100" w:type="dxa"/>
            </w:tcMar>
          </w:tcPr>
          <w:p w14:paraId="00000147" w14:textId="3BA5670B" w:rsidR="00920126" w:rsidRPr="000C73C6" w:rsidRDefault="00803966">
            <w:pPr>
              <w:jc w:val="left"/>
              <w:rPr>
                <w:rFonts w:ascii="Arial" w:hAnsi="Arial" w:cs="Arial"/>
                <w:sz w:val="20"/>
                <w:szCs w:val="20"/>
              </w:rPr>
            </w:pPr>
            <w:r w:rsidRPr="000C73C6">
              <w:rPr>
                <w:rFonts w:ascii="Arial" w:hAnsi="Arial" w:cs="Arial"/>
                <w:sz w:val="20"/>
                <w:szCs w:val="20"/>
              </w:rPr>
              <w:t>I know what health resources are available on the internet</w:t>
            </w:r>
          </w:p>
        </w:tc>
        <w:tc>
          <w:tcPr>
            <w:tcW w:w="705" w:type="dxa"/>
            <w:tcMar>
              <w:top w:w="0" w:type="dxa"/>
              <w:left w:w="100" w:type="dxa"/>
              <w:bottom w:w="0" w:type="dxa"/>
              <w:right w:w="100" w:type="dxa"/>
            </w:tcMar>
          </w:tcPr>
          <w:p w14:paraId="00000148" w14:textId="3D0A1200" w:rsidR="00920126" w:rsidRPr="000C73C6" w:rsidRDefault="00803966">
            <w:pPr>
              <w:jc w:val="right"/>
              <w:rPr>
                <w:rFonts w:ascii="Arial" w:hAnsi="Arial" w:cs="Arial"/>
                <w:sz w:val="20"/>
                <w:szCs w:val="20"/>
              </w:rPr>
            </w:pPr>
            <w:r w:rsidRPr="000C73C6">
              <w:rPr>
                <w:rFonts w:ascii="Arial" w:hAnsi="Arial" w:cs="Arial"/>
                <w:sz w:val="20"/>
                <w:szCs w:val="20"/>
              </w:rPr>
              <w:t>2.43</w:t>
            </w:r>
          </w:p>
        </w:tc>
        <w:tc>
          <w:tcPr>
            <w:tcW w:w="600" w:type="dxa"/>
            <w:tcMar>
              <w:top w:w="0" w:type="dxa"/>
              <w:left w:w="100" w:type="dxa"/>
              <w:bottom w:w="0" w:type="dxa"/>
              <w:right w:w="100" w:type="dxa"/>
            </w:tcMar>
          </w:tcPr>
          <w:p w14:paraId="00000149" w14:textId="285ED4D7" w:rsidR="00920126" w:rsidRPr="000C73C6" w:rsidRDefault="00803966">
            <w:pPr>
              <w:jc w:val="right"/>
              <w:rPr>
                <w:rFonts w:ascii="Arial" w:hAnsi="Arial" w:cs="Arial"/>
                <w:sz w:val="20"/>
                <w:szCs w:val="20"/>
              </w:rPr>
            </w:pPr>
            <w:r w:rsidRPr="000C73C6">
              <w:rPr>
                <w:rFonts w:ascii="Arial" w:hAnsi="Arial" w:cs="Arial"/>
                <w:sz w:val="20"/>
                <w:szCs w:val="20"/>
              </w:rPr>
              <w:t>1.01</w:t>
            </w:r>
          </w:p>
        </w:tc>
      </w:tr>
      <w:tr w:rsidR="00920126" w:rsidRPr="000C73C6" w14:paraId="41F68080" w14:textId="77777777">
        <w:trPr>
          <w:trHeight w:val="255"/>
        </w:trPr>
        <w:tc>
          <w:tcPr>
            <w:tcW w:w="7695" w:type="dxa"/>
            <w:tcMar>
              <w:top w:w="0" w:type="dxa"/>
              <w:left w:w="100" w:type="dxa"/>
              <w:bottom w:w="0" w:type="dxa"/>
              <w:right w:w="100" w:type="dxa"/>
            </w:tcMar>
            <w:vAlign w:val="bottom"/>
          </w:tcPr>
          <w:p w14:paraId="0000014A" w14:textId="3439C911" w:rsidR="00920126" w:rsidRPr="000C73C6" w:rsidRDefault="00803966">
            <w:pPr>
              <w:jc w:val="left"/>
              <w:rPr>
                <w:rFonts w:ascii="Arial" w:hAnsi="Arial" w:cs="Arial"/>
                <w:sz w:val="20"/>
                <w:szCs w:val="20"/>
              </w:rPr>
            </w:pPr>
            <w:r w:rsidRPr="000C73C6">
              <w:rPr>
                <w:rFonts w:ascii="Arial" w:hAnsi="Arial" w:cs="Arial"/>
                <w:sz w:val="20"/>
                <w:szCs w:val="20"/>
              </w:rPr>
              <w:t>I know where to find helpful health resources on the internet</w:t>
            </w:r>
          </w:p>
        </w:tc>
        <w:tc>
          <w:tcPr>
            <w:tcW w:w="705" w:type="dxa"/>
            <w:tcMar>
              <w:top w:w="0" w:type="dxa"/>
              <w:left w:w="100" w:type="dxa"/>
              <w:bottom w:w="0" w:type="dxa"/>
              <w:right w:w="100" w:type="dxa"/>
            </w:tcMar>
          </w:tcPr>
          <w:p w14:paraId="0000014B" w14:textId="1B52729B" w:rsidR="00920126" w:rsidRPr="000C73C6" w:rsidRDefault="00803966">
            <w:pPr>
              <w:jc w:val="right"/>
              <w:rPr>
                <w:rFonts w:ascii="Arial" w:hAnsi="Arial" w:cs="Arial"/>
                <w:sz w:val="20"/>
                <w:szCs w:val="20"/>
              </w:rPr>
            </w:pPr>
            <w:r w:rsidRPr="000C73C6">
              <w:rPr>
                <w:rFonts w:ascii="Arial" w:hAnsi="Arial" w:cs="Arial"/>
                <w:sz w:val="20"/>
                <w:szCs w:val="20"/>
              </w:rPr>
              <w:t>2.26</w:t>
            </w:r>
          </w:p>
        </w:tc>
        <w:tc>
          <w:tcPr>
            <w:tcW w:w="600" w:type="dxa"/>
            <w:tcMar>
              <w:top w:w="0" w:type="dxa"/>
              <w:left w:w="100" w:type="dxa"/>
              <w:bottom w:w="0" w:type="dxa"/>
              <w:right w:w="100" w:type="dxa"/>
            </w:tcMar>
          </w:tcPr>
          <w:p w14:paraId="0000014C" w14:textId="0414C9D4" w:rsidR="00920126" w:rsidRPr="000C73C6" w:rsidRDefault="00803966">
            <w:pPr>
              <w:jc w:val="right"/>
              <w:rPr>
                <w:rFonts w:ascii="Arial" w:hAnsi="Arial" w:cs="Arial"/>
                <w:sz w:val="20"/>
                <w:szCs w:val="20"/>
              </w:rPr>
            </w:pPr>
            <w:r w:rsidRPr="000C73C6">
              <w:rPr>
                <w:rFonts w:ascii="Arial" w:hAnsi="Arial" w:cs="Arial"/>
                <w:sz w:val="20"/>
                <w:szCs w:val="20"/>
              </w:rPr>
              <w:t>1.00</w:t>
            </w:r>
          </w:p>
        </w:tc>
      </w:tr>
      <w:tr w:rsidR="00920126" w:rsidRPr="000C73C6" w14:paraId="36D568E4" w14:textId="77777777">
        <w:trPr>
          <w:trHeight w:val="255"/>
        </w:trPr>
        <w:tc>
          <w:tcPr>
            <w:tcW w:w="7695" w:type="dxa"/>
            <w:tcMar>
              <w:top w:w="0" w:type="dxa"/>
              <w:left w:w="100" w:type="dxa"/>
              <w:bottom w:w="0" w:type="dxa"/>
              <w:right w:w="100" w:type="dxa"/>
            </w:tcMar>
            <w:vAlign w:val="bottom"/>
          </w:tcPr>
          <w:p w14:paraId="0000014D" w14:textId="4A11CB5D" w:rsidR="00920126" w:rsidRPr="000C73C6" w:rsidRDefault="00803966">
            <w:pPr>
              <w:jc w:val="left"/>
              <w:rPr>
                <w:rFonts w:ascii="Arial" w:hAnsi="Arial" w:cs="Arial"/>
                <w:sz w:val="20"/>
                <w:szCs w:val="20"/>
              </w:rPr>
            </w:pPr>
            <w:r w:rsidRPr="000C73C6">
              <w:rPr>
                <w:rFonts w:ascii="Arial" w:hAnsi="Arial" w:cs="Arial"/>
                <w:sz w:val="20"/>
                <w:szCs w:val="20"/>
              </w:rPr>
              <w:t>I know how to find helpful health resources on the internet</w:t>
            </w:r>
          </w:p>
        </w:tc>
        <w:tc>
          <w:tcPr>
            <w:tcW w:w="705" w:type="dxa"/>
            <w:tcMar>
              <w:top w:w="0" w:type="dxa"/>
              <w:left w:w="100" w:type="dxa"/>
              <w:bottom w:w="0" w:type="dxa"/>
              <w:right w:w="100" w:type="dxa"/>
            </w:tcMar>
          </w:tcPr>
          <w:p w14:paraId="0000014E" w14:textId="47271B63" w:rsidR="00920126" w:rsidRPr="000C73C6" w:rsidRDefault="00803966">
            <w:pPr>
              <w:jc w:val="right"/>
              <w:rPr>
                <w:rFonts w:ascii="Arial" w:hAnsi="Arial" w:cs="Arial"/>
                <w:sz w:val="20"/>
                <w:szCs w:val="20"/>
              </w:rPr>
            </w:pPr>
            <w:r w:rsidRPr="000C73C6">
              <w:rPr>
                <w:rFonts w:ascii="Arial" w:hAnsi="Arial" w:cs="Arial"/>
                <w:sz w:val="20"/>
                <w:szCs w:val="20"/>
              </w:rPr>
              <w:t>2.23</w:t>
            </w:r>
          </w:p>
        </w:tc>
        <w:tc>
          <w:tcPr>
            <w:tcW w:w="600" w:type="dxa"/>
            <w:tcMar>
              <w:top w:w="0" w:type="dxa"/>
              <w:left w:w="100" w:type="dxa"/>
              <w:bottom w:w="0" w:type="dxa"/>
              <w:right w:w="100" w:type="dxa"/>
            </w:tcMar>
          </w:tcPr>
          <w:p w14:paraId="0000014F" w14:textId="71335679" w:rsidR="00920126" w:rsidRPr="000C73C6" w:rsidRDefault="00803966">
            <w:pPr>
              <w:jc w:val="right"/>
              <w:rPr>
                <w:rFonts w:ascii="Arial" w:hAnsi="Arial" w:cs="Arial"/>
                <w:sz w:val="20"/>
                <w:szCs w:val="20"/>
              </w:rPr>
            </w:pPr>
            <w:r w:rsidRPr="000C73C6">
              <w:rPr>
                <w:rFonts w:ascii="Arial" w:hAnsi="Arial" w:cs="Arial"/>
                <w:sz w:val="20"/>
                <w:szCs w:val="20"/>
              </w:rPr>
              <w:t>0.99</w:t>
            </w:r>
          </w:p>
        </w:tc>
      </w:tr>
      <w:tr w:rsidR="00920126" w:rsidRPr="000C73C6" w14:paraId="49ED8937" w14:textId="77777777">
        <w:trPr>
          <w:trHeight w:val="255"/>
        </w:trPr>
        <w:tc>
          <w:tcPr>
            <w:tcW w:w="7695" w:type="dxa"/>
            <w:tcMar>
              <w:top w:w="0" w:type="dxa"/>
              <w:left w:w="100" w:type="dxa"/>
              <w:bottom w:w="0" w:type="dxa"/>
              <w:right w:w="100" w:type="dxa"/>
            </w:tcMar>
            <w:vAlign w:val="bottom"/>
          </w:tcPr>
          <w:p w14:paraId="00000150" w14:textId="65A11479" w:rsidR="00920126" w:rsidRPr="000C73C6" w:rsidRDefault="00803966">
            <w:pPr>
              <w:jc w:val="left"/>
              <w:rPr>
                <w:rFonts w:ascii="Arial" w:hAnsi="Arial" w:cs="Arial"/>
                <w:sz w:val="20"/>
                <w:szCs w:val="20"/>
              </w:rPr>
            </w:pPr>
            <w:r w:rsidRPr="000C73C6">
              <w:rPr>
                <w:rFonts w:ascii="Arial" w:hAnsi="Arial" w:cs="Arial"/>
                <w:sz w:val="20"/>
                <w:szCs w:val="20"/>
              </w:rPr>
              <w:t>I know how to use the internet to answer my questions about health</w:t>
            </w:r>
          </w:p>
        </w:tc>
        <w:tc>
          <w:tcPr>
            <w:tcW w:w="705" w:type="dxa"/>
            <w:tcMar>
              <w:top w:w="0" w:type="dxa"/>
              <w:left w:w="100" w:type="dxa"/>
              <w:bottom w:w="0" w:type="dxa"/>
              <w:right w:w="100" w:type="dxa"/>
            </w:tcMar>
          </w:tcPr>
          <w:p w14:paraId="00000151" w14:textId="60AD28EC" w:rsidR="00920126" w:rsidRPr="000C73C6" w:rsidRDefault="00803966">
            <w:pPr>
              <w:jc w:val="right"/>
              <w:rPr>
                <w:rFonts w:ascii="Arial" w:hAnsi="Arial" w:cs="Arial"/>
                <w:sz w:val="20"/>
                <w:szCs w:val="20"/>
              </w:rPr>
            </w:pPr>
            <w:r w:rsidRPr="000C73C6">
              <w:rPr>
                <w:rFonts w:ascii="Arial" w:hAnsi="Arial" w:cs="Arial"/>
                <w:sz w:val="20"/>
                <w:szCs w:val="20"/>
              </w:rPr>
              <w:t>2.14</w:t>
            </w:r>
          </w:p>
        </w:tc>
        <w:tc>
          <w:tcPr>
            <w:tcW w:w="600" w:type="dxa"/>
            <w:tcMar>
              <w:top w:w="0" w:type="dxa"/>
              <w:left w:w="100" w:type="dxa"/>
              <w:bottom w:w="0" w:type="dxa"/>
              <w:right w:w="100" w:type="dxa"/>
            </w:tcMar>
          </w:tcPr>
          <w:p w14:paraId="00000152" w14:textId="4EB82579" w:rsidR="00920126" w:rsidRPr="000C73C6" w:rsidRDefault="00803966">
            <w:pPr>
              <w:jc w:val="right"/>
              <w:rPr>
                <w:rFonts w:ascii="Arial" w:hAnsi="Arial" w:cs="Arial"/>
                <w:sz w:val="20"/>
                <w:szCs w:val="20"/>
              </w:rPr>
            </w:pPr>
            <w:r w:rsidRPr="000C73C6">
              <w:rPr>
                <w:rFonts w:ascii="Arial" w:hAnsi="Arial" w:cs="Arial"/>
                <w:sz w:val="20"/>
                <w:szCs w:val="20"/>
              </w:rPr>
              <w:t>0.97</w:t>
            </w:r>
          </w:p>
        </w:tc>
      </w:tr>
      <w:tr w:rsidR="00920126" w:rsidRPr="000C73C6" w14:paraId="7BE23CD5" w14:textId="77777777">
        <w:trPr>
          <w:trHeight w:val="255"/>
        </w:trPr>
        <w:tc>
          <w:tcPr>
            <w:tcW w:w="7695" w:type="dxa"/>
            <w:tcMar>
              <w:top w:w="0" w:type="dxa"/>
              <w:left w:w="100" w:type="dxa"/>
              <w:bottom w:w="0" w:type="dxa"/>
              <w:right w:w="100" w:type="dxa"/>
            </w:tcMar>
            <w:vAlign w:val="bottom"/>
          </w:tcPr>
          <w:p w14:paraId="00000153" w14:textId="49ACB547" w:rsidR="00920126" w:rsidRPr="000C73C6" w:rsidRDefault="00803966">
            <w:pPr>
              <w:jc w:val="left"/>
              <w:rPr>
                <w:rFonts w:ascii="Arial" w:hAnsi="Arial" w:cs="Arial"/>
                <w:sz w:val="20"/>
                <w:szCs w:val="20"/>
              </w:rPr>
            </w:pPr>
            <w:r w:rsidRPr="000C73C6">
              <w:rPr>
                <w:rFonts w:ascii="Arial" w:hAnsi="Arial" w:cs="Arial"/>
                <w:sz w:val="20"/>
                <w:szCs w:val="20"/>
              </w:rPr>
              <w:t>I know how to use the health information I find on the internet to help me</w:t>
            </w:r>
          </w:p>
        </w:tc>
        <w:tc>
          <w:tcPr>
            <w:tcW w:w="705" w:type="dxa"/>
            <w:tcMar>
              <w:top w:w="0" w:type="dxa"/>
              <w:left w:w="100" w:type="dxa"/>
              <w:bottom w:w="0" w:type="dxa"/>
              <w:right w:w="100" w:type="dxa"/>
            </w:tcMar>
          </w:tcPr>
          <w:p w14:paraId="00000154" w14:textId="7E9BF8FB" w:rsidR="00920126" w:rsidRPr="000C73C6" w:rsidRDefault="00803966">
            <w:pPr>
              <w:jc w:val="right"/>
              <w:rPr>
                <w:rFonts w:ascii="Arial" w:hAnsi="Arial" w:cs="Arial"/>
                <w:sz w:val="20"/>
                <w:szCs w:val="20"/>
              </w:rPr>
            </w:pPr>
            <w:r w:rsidRPr="000C73C6">
              <w:rPr>
                <w:rFonts w:ascii="Arial" w:hAnsi="Arial" w:cs="Arial"/>
                <w:sz w:val="20"/>
                <w:szCs w:val="20"/>
              </w:rPr>
              <w:t>2.28</w:t>
            </w:r>
          </w:p>
        </w:tc>
        <w:tc>
          <w:tcPr>
            <w:tcW w:w="600" w:type="dxa"/>
            <w:tcMar>
              <w:top w:w="0" w:type="dxa"/>
              <w:left w:w="100" w:type="dxa"/>
              <w:bottom w:w="0" w:type="dxa"/>
              <w:right w:w="100" w:type="dxa"/>
            </w:tcMar>
          </w:tcPr>
          <w:p w14:paraId="00000155" w14:textId="3D0C4071" w:rsidR="00920126" w:rsidRPr="000C73C6" w:rsidRDefault="00803966">
            <w:pPr>
              <w:jc w:val="right"/>
              <w:rPr>
                <w:rFonts w:ascii="Arial" w:hAnsi="Arial" w:cs="Arial"/>
                <w:sz w:val="20"/>
                <w:szCs w:val="20"/>
              </w:rPr>
            </w:pPr>
            <w:r w:rsidRPr="000C73C6">
              <w:rPr>
                <w:rFonts w:ascii="Arial" w:hAnsi="Arial" w:cs="Arial"/>
                <w:sz w:val="20"/>
                <w:szCs w:val="20"/>
              </w:rPr>
              <w:t>0.99</w:t>
            </w:r>
          </w:p>
        </w:tc>
      </w:tr>
      <w:tr w:rsidR="00920126" w:rsidRPr="000C73C6" w14:paraId="49F0A6CF" w14:textId="77777777">
        <w:trPr>
          <w:trHeight w:val="255"/>
        </w:trPr>
        <w:tc>
          <w:tcPr>
            <w:tcW w:w="7695" w:type="dxa"/>
            <w:tcMar>
              <w:top w:w="0" w:type="dxa"/>
              <w:left w:w="100" w:type="dxa"/>
              <w:bottom w:w="0" w:type="dxa"/>
              <w:right w:w="100" w:type="dxa"/>
            </w:tcMar>
            <w:vAlign w:val="bottom"/>
          </w:tcPr>
          <w:p w14:paraId="00000156" w14:textId="1D67BCCD" w:rsidR="00920126" w:rsidRPr="000C73C6" w:rsidRDefault="00803966">
            <w:pPr>
              <w:jc w:val="left"/>
              <w:rPr>
                <w:rFonts w:ascii="Arial" w:hAnsi="Arial" w:cs="Arial"/>
                <w:sz w:val="20"/>
                <w:szCs w:val="20"/>
              </w:rPr>
            </w:pPr>
            <w:r w:rsidRPr="000C73C6">
              <w:rPr>
                <w:rFonts w:ascii="Arial" w:hAnsi="Arial" w:cs="Arial"/>
                <w:sz w:val="20"/>
                <w:szCs w:val="20"/>
              </w:rPr>
              <w:t>I have the skills I need to evaluate the health resources on the internet</w:t>
            </w:r>
          </w:p>
        </w:tc>
        <w:tc>
          <w:tcPr>
            <w:tcW w:w="705" w:type="dxa"/>
            <w:tcMar>
              <w:top w:w="0" w:type="dxa"/>
              <w:left w:w="100" w:type="dxa"/>
              <w:bottom w:w="0" w:type="dxa"/>
              <w:right w:w="100" w:type="dxa"/>
            </w:tcMar>
          </w:tcPr>
          <w:p w14:paraId="00000157" w14:textId="404690A3" w:rsidR="00920126" w:rsidRPr="000C73C6" w:rsidRDefault="00803966">
            <w:pPr>
              <w:jc w:val="right"/>
              <w:rPr>
                <w:rFonts w:ascii="Arial" w:hAnsi="Arial" w:cs="Arial"/>
                <w:sz w:val="20"/>
                <w:szCs w:val="20"/>
              </w:rPr>
            </w:pPr>
            <w:r w:rsidRPr="000C73C6">
              <w:rPr>
                <w:rFonts w:ascii="Arial" w:hAnsi="Arial" w:cs="Arial"/>
                <w:sz w:val="20"/>
                <w:szCs w:val="20"/>
              </w:rPr>
              <w:t>2.45</w:t>
            </w:r>
          </w:p>
        </w:tc>
        <w:tc>
          <w:tcPr>
            <w:tcW w:w="600" w:type="dxa"/>
            <w:tcMar>
              <w:top w:w="0" w:type="dxa"/>
              <w:left w:w="100" w:type="dxa"/>
              <w:bottom w:w="0" w:type="dxa"/>
              <w:right w:w="100" w:type="dxa"/>
            </w:tcMar>
          </w:tcPr>
          <w:p w14:paraId="00000158" w14:textId="0F9406C9" w:rsidR="00920126" w:rsidRPr="000C73C6" w:rsidRDefault="00803966">
            <w:pPr>
              <w:jc w:val="right"/>
              <w:rPr>
                <w:rFonts w:ascii="Arial" w:hAnsi="Arial" w:cs="Arial"/>
                <w:sz w:val="20"/>
                <w:szCs w:val="20"/>
              </w:rPr>
            </w:pPr>
            <w:r w:rsidRPr="000C73C6">
              <w:rPr>
                <w:rFonts w:ascii="Arial" w:hAnsi="Arial" w:cs="Arial"/>
                <w:sz w:val="20"/>
                <w:szCs w:val="20"/>
              </w:rPr>
              <w:t>1.09</w:t>
            </w:r>
          </w:p>
        </w:tc>
      </w:tr>
      <w:tr w:rsidR="00920126" w:rsidRPr="000C73C6" w14:paraId="107116CD" w14:textId="77777777">
        <w:trPr>
          <w:trHeight w:val="255"/>
        </w:trPr>
        <w:tc>
          <w:tcPr>
            <w:tcW w:w="7695" w:type="dxa"/>
            <w:tcMar>
              <w:top w:w="0" w:type="dxa"/>
              <w:left w:w="100" w:type="dxa"/>
              <w:bottom w:w="0" w:type="dxa"/>
              <w:right w:w="100" w:type="dxa"/>
            </w:tcMar>
            <w:vAlign w:val="bottom"/>
          </w:tcPr>
          <w:p w14:paraId="00000159" w14:textId="07D718D4" w:rsidR="00920126" w:rsidRPr="000C73C6" w:rsidRDefault="00803966">
            <w:pPr>
              <w:jc w:val="left"/>
              <w:rPr>
                <w:rFonts w:ascii="Arial" w:hAnsi="Arial" w:cs="Arial"/>
                <w:sz w:val="20"/>
                <w:szCs w:val="20"/>
              </w:rPr>
            </w:pPr>
            <w:r w:rsidRPr="000C73C6">
              <w:rPr>
                <w:rFonts w:ascii="Arial" w:hAnsi="Arial" w:cs="Arial"/>
                <w:sz w:val="20"/>
                <w:szCs w:val="20"/>
              </w:rPr>
              <w:t>I can tell high quality health resources from low quality health resources on the internet</w:t>
            </w:r>
          </w:p>
        </w:tc>
        <w:tc>
          <w:tcPr>
            <w:tcW w:w="705" w:type="dxa"/>
            <w:tcMar>
              <w:top w:w="0" w:type="dxa"/>
              <w:left w:w="100" w:type="dxa"/>
              <w:bottom w:w="0" w:type="dxa"/>
              <w:right w:w="100" w:type="dxa"/>
            </w:tcMar>
          </w:tcPr>
          <w:p w14:paraId="0000015A" w14:textId="0715A988" w:rsidR="00920126" w:rsidRPr="000C73C6" w:rsidRDefault="00803966">
            <w:pPr>
              <w:jc w:val="right"/>
              <w:rPr>
                <w:rFonts w:ascii="Arial" w:hAnsi="Arial" w:cs="Arial"/>
                <w:sz w:val="20"/>
                <w:szCs w:val="20"/>
              </w:rPr>
            </w:pPr>
            <w:r w:rsidRPr="000C73C6">
              <w:rPr>
                <w:rFonts w:ascii="Arial" w:hAnsi="Arial" w:cs="Arial"/>
                <w:sz w:val="20"/>
                <w:szCs w:val="20"/>
              </w:rPr>
              <w:t>2.44</w:t>
            </w:r>
          </w:p>
        </w:tc>
        <w:tc>
          <w:tcPr>
            <w:tcW w:w="600" w:type="dxa"/>
            <w:tcMar>
              <w:top w:w="0" w:type="dxa"/>
              <w:left w:w="100" w:type="dxa"/>
              <w:bottom w:w="0" w:type="dxa"/>
              <w:right w:w="100" w:type="dxa"/>
            </w:tcMar>
          </w:tcPr>
          <w:p w14:paraId="0000015B" w14:textId="68CFEF4E" w:rsidR="00920126" w:rsidRPr="000C73C6" w:rsidRDefault="00803966">
            <w:pPr>
              <w:jc w:val="right"/>
              <w:rPr>
                <w:rFonts w:ascii="Arial" w:hAnsi="Arial" w:cs="Arial"/>
                <w:sz w:val="20"/>
                <w:szCs w:val="20"/>
              </w:rPr>
            </w:pPr>
            <w:r w:rsidRPr="000C73C6">
              <w:rPr>
                <w:rFonts w:ascii="Arial" w:hAnsi="Arial" w:cs="Arial"/>
                <w:sz w:val="20"/>
                <w:szCs w:val="20"/>
              </w:rPr>
              <w:t>1.04</w:t>
            </w:r>
          </w:p>
        </w:tc>
      </w:tr>
      <w:tr w:rsidR="00920126" w:rsidRPr="000C73C6" w14:paraId="7201AA16" w14:textId="77777777">
        <w:trPr>
          <w:trHeight w:val="255"/>
        </w:trPr>
        <w:tc>
          <w:tcPr>
            <w:tcW w:w="7695" w:type="dxa"/>
            <w:tcBorders>
              <w:bottom w:val="single" w:sz="8" w:space="0" w:color="000000"/>
            </w:tcBorders>
            <w:tcMar>
              <w:top w:w="0" w:type="dxa"/>
              <w:left w:w="100" w:type="dxa"/>
              <w:bottom w:w="0" w:type="dxa"/>
              <w:right w:w="100" w:type="dxa"/>
            </w:tcMar>
            <w:vAlign w:val="bottom"/>
          </w:tcPr>
          <w:p w14:paraId="0000015C" w14:textId="070D7B58" w:rsidR="00920126" w:rsidRPr="000C73C6" w:rsidRDefault="00803966">
            <w:pPr>
              <w:jc w:val="left"/>
              <w:rPr>
                <w:rFonts w:ascii="Arial" w:hAnsi="Arial" w:cs="Arial"/>
                <w:sz w:val="20"/>
                <w:szCs w:val="20"/>
              </w:rPr>
            </w:pPr>
            <w:r w:rsidRPr="000C73C6">
              <w:rPr>
                <w:rFonts w:ascii="Arial" w:hAnsi="Arial" w:cs="Arial"/>
                <w:sz w:val="20"/>
                <w:szCs w:val="20"/>
              </w:rPr>
              <w:t>I feel confident in using information from the internet to make health decisions</w:t>
            </w:r>
          </w:p>
        </w:tc>
        <w:tc>
          <w:tcPr>
            <w:tcW w:w="705" w:type="dxa"/>
            <w:tcBorders>
              <w:bottom w:val="single" w:sz="8" w:space="0" w:color="000000"/>
            </w:tcBorders>
            <w:tcMar>
              <w:top w:w="0" w:type="dxa"/>
              <w:left w:w="100" w:type="dxa"/>
              <w:bottom w:w="0" w:type="dxa"/>
              <w:right w:w="100" w:type="dxa"/>
            </w:tcMar>
          </w:tcPr>
          <w:p w14:paraId="0000015D" w14:textId="5DE92F12" w:rsidR="00920126" w:rsidRPr="000C73C6" w:rsidRDefault="00803966">
            <w:pPr>
              <w:jc w:val="right"/>
              <w:rPr>
                <w:rFonts w:ascii="Arial" w:hAnsi="Arial" w:cs="Arial"/>
                <w:sz w:val="20"/>
                <w:szCs w:val="20"/>
              </w:rPr>
            </w:pPr>
            <w:r w:rsidRPr="000C73C6">
              <w:rPr>
                <w:rFonts w:ascii="Arial" w:hAnsi="Arial" w:cs="Arial"/>
                <w:sz w:val="20"/>
                <w:szCs w:val="20"/>
              </w:rPr>
              <w:t>2.59</w:t>
            </w:r>
          </w:p>
        </w:tc>
        <w:tc>
          <w:tcPr>
            <w:tcW w:w="600" w:type="dxa"/>
            <w:tcBorders>
              <w:bottom w:val="single" w:sz="8" w:space="0" w:color="000000"/>
            </w:tcBorders>
            <w:tcMar>
              <w:top w:w="0" w:type="dxa"/>
              <w:left w:w="100" w:type="dxa"/>
              <w:bottom w:w="0" w:type="dxa"/>
              <w:right w:w="100" w:type="dxa"/>
            </w:tcMar>
          </w:tcPr>
          <w:p w14:paraId="0000015E" w14:textId="0C89A0D6" w:rsidR="00920126" w:rsidRPr="000C73C6" w:rsidRDefault="00803966">
            <w:pPr>
              <w:jc w:val="right"/>
              <w:rPr>
                <w:rFonts w:ascii="Arial" w:hAnsi="Arial" w:cs="Arial"/>
                <w:sz w:val="20"/>
                <w:szCs w:val="20"/>
              </w:rPr>
            </w:pPr>
            <w:r w:rsidRPr="000C73C6">
              <w:rPr>
                <w:rFonts w:ascii="Arial" w:hAnsi="Arial" w:cs="Arial"/>
                <w:sz w:val="20"/>
                <w:szCs w:val="20"/>
              </w:rPr>
              <w:t>1.08</w:t>
            </w:r>
          </w:p>
        </w:tc>
      </w:tr>
    </w:tbl>
    <w:p w14:paraId="0000015F" w14:textId="1858B17B" w:rsidR="00920126" w:rsidRPr="0098359A" w:rsidRDefault="00920126" w:rsidP="0098359A">
      <w:pPr>
        <w:rPr>
          <w:rFonts w:ascii="Arial" w:hAnsi="Arial" w:cs="Arial"/>
          <w:sz w:val="20"/>
          <w:szCs w:val="20"/>
        </w:rPr>
      </w:pPr>
      <w:bookmarkStart w:id="5" w:name="_heading=h.9qafl8nlxyey" w:colFirst="0" w:colLast="0"/>
      <w:bookmarkEnd w:id="5"/>
    </w:p>
    <w:p w14:paraId="00000160" w14:textId="77777777" w:rsidR="00920126" w:rsidRPr="000C73C6" w:rsidRDefault="00920126">
      <w:pPr>
        <w:rPr>
          <w:rFonts w:ascii="Arial" w:eastAsia="Arial" w:hAnsi="Arial" w:cs="Arial"/>
          <w:sz w:val="20"/>
          <w:szCs w:val="20"/>
        </w:rPr>
      </w:pPr>
    </w:p>
    <w:p w14:paraId="00000161" w14:textId="7EC414EF" w:rsidR="00920126" w:rsidRPr="000C73C6" w:rsidRDefault="00803966">
      <w:pPr>
        <w:rPr>
          <w:rFonts w:ascii="Arial" w:eastAsia="Arial" w:hAnsi="Arial" w:cs="Arial"/>
          <w:sz w:val="20"/>
          <w:szCs w:val="20"/>
        </w:rPr>
      </w:pPr>
      <w:r w:rsidRPr="000C73C6">
        <w:rPr>
          <w:rFonts w:ascii="Arial" w:hAnsi="Arial" w:cs="Arial"/>
          <w:sz w:val="20"/>
          <w:szCs w:val="20"/>
        </w:rPr>
        <w:br w:type="page"/>
      </w:r>
    </w:p>
    <w:p w14:paraId="00000162" w14:textId="217BA2A8" w:rsidR="00920126" w:rsidRPr="000C73C6" w:rsidRDefault="00803966">
      <w:pPr>
        <w:rPr>
          <w:rFonts w:ascii="Arial" w:eastAsia="Arial" w:hAnsi="Arial" w:cs="Arial"/>
          <w:sz w:val="20"/>
          <w:szCs w:val="20"/>
        </w:rPr>
      </w:pPr>
      <w:r w:rsidRPr="000C73C6">
        <w:rPr>
          <w:rFonts w:ascii="Arial" w:eastAsia="Arial" w:hAnsi="Arial" w:cs="Arial"/>
          <w:b/>
          <w:sz w:val="20"/>
          <w:szCs w:val="20"/>
        </w:rPr>
        <w:lastRenderedPageBreak/>
        <w:t>Supplementary figure 1:</w:t>
      </w:r>
      <w:r w:rsidRPr="000C73C6">
        <w:rPr>
          <w:rFonts w:ascii="Arial" w:eastAsia="Arial" w:hAnsi="Arial" w:cs="Arial"/>
          <w:sz w:val="20"/>
          <w:szCs w:val="20"/>
        </w:rPr>
        <w:t xml:space="preserve"> Multiple model comparison metrics to decide on the number of topics for L</w:t>
      </w:r>
      <w:r w:rsidR="00051701">
        <w:rPr>
          <w:rFonts w:ascii="Arial" w:eastAsia="Arial" w:hAnsi="Arial" w:cs="Arial"/>
          <w:sz w:val="20"/>
          <w:szCs w:val="20"/>
        </w:rPr>
        <w:t>DA</w:t>
      </w:r>
      <w:r w:rsidRPr="000C73C6">
        <w:rPr>
          <w:rFonts w:ascii="Arial" w:eastAsia="Arial" w:hAnsi="Arial" w:cs="Arial"/>
          <w:sz w:val="20"/>
          <w:szCs w:val="20"/>
        </w:rPr>
        <w:t xml:space="preserve"> topic modelling for the 1) benefits and 2) challenges of virtual primary care. </w:t>
      </w:r>
    </w:p>
    <w:p w14:paraId="00000163" w14:textId="77777777" w:rsidR="00920126" w:rsidRPr="000C73C6" w:rsidRDefault="00920126">
      <w:pPr>
        <w:rPr>
          <w:rFonts w:ascii="Arial" w:hAnsi="Arial" w:cs="Arial"/>
          <w:sz w:val="20"/>
          <w:szCs w:val="20"/>
        </w:rPr>
      </w:pPr>
    </w:p>
    <w:p w14:paraId="00000164" w14:textId="77777777" w:rsidR="00920126" w:rsidRPr="000C73C6" w:rsidRDefault="00803966">
      <w:pPr>
        <w:rPr>
          <w:rFonts w:ascii="Arial" w:hAnsi="Arial" w:cs="Arial"/>
          <w:sz w:val="20"/>
          <w:szCs w:val="20"/>
        </w:rPr>
      </w:pPr>
      <w:r w:rsidRPr="000C73C6">
        <w:rPr>
          <w:rFonts w:ascii="Arial" w:hAnsi="Arial" w:cs="Arial"/>
          <w:sz w:val="20"/>
          <w:szCs w:val="20"/>
        </w:rPr>
        <w:t>1)</w:t>
      </w:r>
    </w:p>
    <w:p w14:paraId="00000165" w14:textId="2FAF14ED" w:rsidR="00920126" w:rsidRPr="000C73C6" w:rsidRDefault="00803966">
      <w:pPr>
        <w:rPr>
          <w:rFonts w:ascii="Arial" w:hAnsi="Arial" w:cs="Arial"/>
          <w:sz w:val="20"/>
          <w:szCs w:val="20"/>
        </w:rPr>
      </w:pPr>
      <w:r w:rsidRPr="000C73C6">
        <w:rPr>
          <w:rFonts w:ascii="Arial" w:hAnsi="Arial" w:cs="Arial"/>
          <w:noProof/>
          <w:sz w:val="20"/>
          <w:szCs w:val="20"/>
        </w:rPr>
        <w:drawing>
          <wp:inline distT="114300" distB="114300" distL="114300" distR="114300" wp14:anchorId="3F142EE5" wp14:editId="0457E6CE">
            <wp:extent cx="5376863" cy="3831684"/>
            <wp:effectExtent l="0" t="0" r="0" b="0"/>
            <wp:docPr id="94717215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5376863" cy="3831684"/>
                    </a:xfrm>
                    <a:prstGeom prst="rect">
                      <a:avLst/>
                    </a:prstGeom>
                    <a:ln/>
                  </pic:spPr>
                </pic:pic>
              </a:graphicData>
            </a:graphic>
          </wp:inline>
        </w:drawing>
      </w:r>
    </w:p>
    <w:p w14:paraId="00000166" w14:textId="77777777" w:rsidR="00920126" w:rsidRPr="000C73C6" w:rsidRDefault="00803966">
      <w:pPr>
        <w:rPr>
          <w:rFonts w:ascii="Arial" w:hAnsi="Arial" w:cs="Arial"/>
          <w:sz w:val="20"/>
          <w:szCs w:val="20"/>
        </w:rPr>
      </w:pPr>
      <w:r w:rsidRPr="000C73C6">
        <w:rPr>
          <w:rFonts w:ascii="Arial" w:hAnsi="Arial" w:cs="Arial"/>
          <w:sz w:val="20"/>
          <w:szCs w:val="20"/>
        </w:rPr>
        <w:t>2)</w:t>
      </w:r>
    </w:p>
    <w:p w14:paraId="00000167" w14:textId="5C8038AC" w:rsidR="00920126" w:rsidRPr="000C73C6" w:rsidRDefault="00803966">
      <w:pPr>
        <w:rPr>
          <w:rFonts w:ascii="Arial" w:eastAsia="Arial" w:hAnsi="Arial" w:cs="Arial"/>
          <w:sz w:val="20"/>
          <w:szCs w:val="20"/>
        </w:rPr>
      </w:pPr>
      <w:r w:rsidRPr="000C73C6">
        <w:rPr>
          <w:rFonts w:ascii="Arial" w:hAnsi="Arial" w:cs="Arial"/>
          <w:noProof/>
          <w:sz w:val="20"/>
          <w:szCs w:val="20"/>
        </w:rPr>
        <w:drawing>
          <wp:inline distT="114300" distB="114300" distL="114300" distR="114300" wp14:anchorId="3B3E179F" wp14:editId="581CFDBC">
            <wp:extent cx="5434013" cy="3872411"/>
            <wp:effectExtent l="0" t="0" r="0" b="0"/>
            <wp:docPr id="94717215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434013" cy="3872411"/>
                    </a:xfrm>
                    <a:prstGeom prst="rect">
                      <a:avLst/>
                    </a:prstGeom>
                    <a:ln/>
                  </pic:spPr>
                </pic:pic>
              </a:graphicData>
            </a:graphic>
          </wp:inline>
        </w:drawing>
      </w:r>
    </w:p>
    <w:p w14:paraId="00000168" w14:textId="77777777" w:rsidR="00920126" w:rsidRPr="000C73C6" w:rsidRDefault="00920126">
      <w:pPr>
        <w:jc w:val="center"/>
        <w:rPr>
          <w:rFonts w:ascii="Arial" w:hAnsi="Arial" w:cs="Arial"/>
          <w:sz w:val="20"/>
          <w:szCs w:val="20"/>
        </w:rPr>
      </w:pPr>
    </w:p>
    <w:p w14:paraId="0000016A" w14:textId="77777777" w:rsidR="00920126" w:rsidRPr="000C73C6" w:rsidRDefault="00803966">
      <w:pPr>
        <w:rPr>
          <w:rFonts w:ascii="Arial" w:eastAsia="Arial" w:hAnsi="Arial" w:cs="Arial"/>
          <w:b/>
          <w:sz w:val="20"/>
          <w:szCs w:val="20"/>
        </w:rPr>
      </w:pPr>
      <w:r w:rsidRPr="000C73C6">
        <w:rPr>
          <w:rFonts w:ascii="Arial" w:hAnsi="Arial" w:cs="Arial"/>
          <w:sz w:val="20"/>
          <w:szCs w:val="20"/>
        </w:rPr>
        <w:br w:type="page"/>
      </w:r>
    </w:p>
    <w:p w14:paraId="0000016B" w14:textId="24759CB4" w:rsidR="00920126" w:rsidRPr="000C73C6" w:rsidRDefault="00803966">
      <w:pPr>
        <w:rPr>
          <w:rFonts w:ascii="Arial" w:eastAsia="Arial" w:hAnsi="Arial" w:cs="Arial"/>
          <w:sz w:val="20"/>
          <w:szCs w:val="20"/>
        </w:rPr>
      </w:pPr>
      <w:r w:rsidRPr="000C73C6">
        <w:rPr>
          <w:rFonts w:ascii="Arial" w:eastAsia="Arial" w:hAnsi="Arial" w:cs="Arial"/>
          <w:b/>
          <w:sz w:val="20"/>
          <w:szCs w:val="20"/>
        </w:rPr>
        <w:lastRenderedPageBreak/>
        <w:t>Supplementary figure 2:</w:t>
      </w:r>
      <w:r w:rsidRPr="000C73C6">
        <w:rPr>
          <w:rFonts w:ascii="Arial" w:eastAsia="Arial" w:hAnsi="Arial" w:cs="Arial"/>
          <w:sz w:val="20"/>
          <w:szCs w:val="20"/>
        </w:rPr>
        <w:t xml:space="preserve"> Quantification of topics regarding the benefits of virtual care in relation to different variables of participant characteristics such as </w:t>
      </w:r>
      <w:r w:rsidRPr="000C73C6">
        <w:rPr>
          <w:rFonts w:ascii="Arial" w:hAnsi="Arial" w:cs="Arial"/>
          <w:sz w:val="20"/>
          <w:szCs w:val="20"/>
        </w:rPr>
        <w:t xml:space="preserve">1) </w:t>
      </w:r>
      <w:r w:rsidRPr="000C73C6">
        <w:rPr>
          <w:rFonts w:ascii="Arial" w:eastAsia="Arial" w:hAnsi="Arial" w:cs="Arial"/>
          <w:sz w:val="20"/>
          <w:szCs w:val="20"/>
        </w:rPr>
        <w:t>sex, 2) age group, 3</w:t>
      </w:r>
      <w:r w:rsidRPr="000C73C6">
        <w:rPr>
          <w:rFonts w:ascii="Arial" w:hAnsi="Arial" w:cs="Arial"/>
          <w:sz w:val="20"/>
          <w:szCs w:val="20"/>
        </w:rPr>
        <w:t xml:space="preserve">) </w:t>
      </w:r>
      <w:r w:rsidRPr="000C73C6">
        <w:rPr>
          <w:rFonts w:ascii="Arial" w:eastAsia="Arial" w:hAnsi="Arial" w:cs="Arial"/>
          <w:sz w:val="20"/>
          <w:szCs w:val="20"/>
        </w:rPr>
        <w:t>country and 4) eHealth literacy. For comparison of the groups, Wilcoxon rank-sum test was used. Data are shown as means. ***P&lt;0.001, **P&lt;0.01, *P&lt;0.05.</w:t>
      </w:r>
    </w:p>
    <w:p w14:paraId="0000016C" w14:textId="77777777" w:rsidR="00920126" w:rsidRPr="000C73C6" w:rsidRDefault="00920126">
      <w:pPr>
        <w:rPr>
          <w:rFonts w:ascii="Arial" w:eastAsia="Arial" w:hAnsi="Arial" w:cs="Arial"/>
          <w:sz w:val="20"/>
          <w:szCs w:val="20"/>
        </w:rPr>
      </w:pPr>
    </w:p>
    <w:p w14:paraId="0000016D" w14:textId="5DF01340" w:rsidR="00920126" w:rsidRPr="00051701" w:rsidRDefault="00803966">
      <w:pPr>
        <w:rPr>
          <w:rFonts w:ascii="Arial" w:eastAsia="Arial" w:hAnsi="Arial" w:cs="Arial"/>
          <w:bCs/>
          <w:sz w:val="20"/>
          <w:szCs w:val="20"/>
        </w:rPr>
      </w:pPr>
      <w:r w:rsidRPr="00051701">
        <w:rPr>
          <w:rFonts w:ascii="Arial" w:eastAsia="Arial" w:hAnsi="Arial" w:cs="Arial"/>
          <w:bCs/>
          <w:sz w:val="20"/>
          <w:szCs w:val="20"/>
        </w:rPr>
        <w:t>1) sex</w:t>
      </w:r>
    </w:p>
    <w:p w14:paraId="0000016E" w14:textId="0658E87F" w:rsidR="00920126" w:rsidRPr="000C73C6" w:rsidRDefault="00803966">
      <w:pPr>
        <w:rPr>
          <w:rFonts w:ascii="Arial" w:eastAsia="Arial" w:hAnsi="Arial" w:cs="Arial"/>
          <w:sz w:val="20"/>
          <w:szCs w:val="20"/>
        </w:rPr>
      </w:pPr>
      <w:r w:rsidRPr="000C73C6">
        <w:rPr>
          <w:rFonts w:ascii="Arial" w:eastAsia="Arial" w:hAnsi="Arial" w:cs="Arial"/>
          <w:noProof/>
          <w:sz w:val="20"/>
          <w:szCs w:val="20"/>
        </w:rPr>
        <w:drawing>
          <wp:inline distT="114300" distB="114300" distL="114300" distR="114300" wp14:anchorId="6B3F005E" wp14:editId="6AFE05A4">
            <wp:extent cx="3796100" cy="3879614"/>
            <wp:effectExtent l="0" t="0" r="0" b="0"/>
            <wp:docPr id="947172164" name="image13.jpg" descr="Calenda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jpg" descr="Calendar&#10;&#10;Description automatically generated"/>
                    <pic:cNvPicPr preferRelativeResize="0"/>
                  </pic:nvPicPr>
                  <pic:blipFill>
                    <a:blip r:embed="rId14"/>
                    <a:srcRect/>
                    <a:stretch>
                      <a:fillRect/>
                    </a:stretch>
                  </pic:blipFill>
                  <pic:spPr>
                    <a:xfrm>
                      <a:off x="0" y="0"/>
                      <a:ext cx="3796100" cy="3879614"/>
                    </a:xfrm>
                    <a:prstGeom prst="rect">
                      <a:avLst/>
                    </a:prstGeom>
                    <a:ln/>
                  </pic:spPr>
                </pic:pic>
              </a:graphicData>
            </a:graphic>
          </wp:inline>
        </w:drawing>
      </w:r>
    </w:p>
    <w:p w14:paraId="0000016F" w14:textId="77777777" w:rsidR="00920126" w:rsidRPr="000C73C6" w:rsidRDefault="00920126">
      <w:pPr>
        <w:rPr>
          <w:rFonts w:ascii="Arial" w:eastAsia="Arial" w:hAnsi="Arial" w:cs="Arial"/>
          <w:sz w:val="20"/>
          <w:szCs w:val="20"/>
        </w:rPr>
      </w:pPr>
    </w:p>
    <w:p w14:paraId="00000170" w14:textId="77777777" w:rsidR="00920126" w:rsidRPr="000C73C6" w:rsidRDefault="00803966">
      <w:pPr>
        <w:rPr>
          <w:rFonts w:ascii="Arial" w:eastAsia="Arial" w:hAnsi="Arial" w:cs="Arial"/>
          <w:b/>
          <w:sz w:val="20"/>
          <w:szCs w:val="20"/>
        </w:rPr>
      </w:pPr>
      <w:r w:rsidRPr="000C73C6">
        <w:rPr>
          <w:rFonts w:ascii="Arial" w:hAnsi="Arial" w:cs="Arial"/>
          <w:sz w:val="20"/>
          <w:szCs w:val="20"/>
        </w:rPr>
        <w:br w:type="page"/>
      </w:r>
    </w:p>
    <w:p w14:paraId="00000171" w14:textId="77777777" w:rsidR="00920126" w:rsidRPr="00051701" w:rsidRDefault="00803966">
      <w:pPr>
        <w:rPr>
          <w:rFonts w:ascii="Arial" w:eastAsia="Arial" w:hAnsi="Arial" w:cs="Arial"/>
          <w:bCs/>
          <w:sz w:val="20"/>
          <w:szCs w:val="20"/>
        </w:rPr>
      </w:pPr>
      <w:r w:rsidRPr="00051701">
        <w:rPr>
          <w:rFonts w:ascii="Arial" w:eastAsia="Arial" w:hAnsi="Arial" w:cs="Arial"/>
          <w:bCs/>
          <w:sz w:val="20"/>
          <w:szCs w:val="20"/>
        </w:rPr>
        <w:lastRenderedPageBreak/>
        <w:t>2) age group</w:t>
      </w:r>
    </w:p>
    <w:p w14:paraId="00000172" w14:textId="2FF29561" w:rsidR="00920126" w:rsidRPr="000C73C6" w:rsidRDefault="00803966">
      <w:pPr>
        <w:rPr>
          <w:rFonts w:ascii="Arial" w:eastAsia="Arial" w:hAnsi="Arial" w:cs="Arial"/>
          <w:sz w:val="20"/>
          <w:szCs w:val="20"/>
        </w:rPr>
      </w:pPr>
      <w:r w:rsidRPr="000C73C6">
        <w:rPr>
          <w:rFonts w:ascii="Arial" w:eastAsia="Arial" w:hAnsi="Arial" w:cs="Arial"/>
          <w:noProof/>
          <w:sz w:val="20"/>
          <w:szCs w:val="20"/>
        </w:rPr>
        <w:drawing>
          <wp:inline distT="114300" distB="114300" distL="114300" distR="114300" wp14:anchorId="2E2B4935" wp14:editId="4DA44DFF">
            <wp:extent cx="3205163" cy="3279014"/>
            <wp:effectExtent l="0" t="0" r="0" b="0"/>
            <wp:docPr id="947172166" name="image15.jpg" descr="Calenda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5.jpg" descr="Calendar&#10;&#10;Description automatically generated with medium confidence"/>
                    <pic:cNvPicPr preferRelativeResize="0"/>
                  </pic:nvPicPr>
                  <pic:blipFill>
                    <a:blip r:embed="rId15"/>
                    <a:srcRect/>
                    <a:stretch>
                      <a:fillRect/>
                    </a:stretch>
                  </pic:blipFill>
                  <pic:spPr>
                    <a:xfrm>
                      <a:off x="0" y="0"/>
                      <a:ext cx="3205163" cy="3279014"/>
                    </a:xfrm>
                    <a:prstGeom prst="rect">
                      <a:avLst/>
                    </a:prstGeom>
                    <a:ln/>
                  </pic:spPr>
                </pic:pic>
              </a:graphicData>
            </a:graphic>
          </wp:inline>
        </w:drawing>
      </w:r>
    </w:p>
    <w:p w14:paraId="00000173" w14:textId="77777777" w:rsidR="00920126" w:rsidRPr="000C73C6" w:rsidRDefault="00920126">
      <w:pPr>
        <w:rPr>
          <w:rFonts w:ascii="Arial" w:eastAsia="Arial" w:hAnsi="Arial" w:cs="Arial"/>
          <w:sz w:val="20"/>
          <w:szCs w:val="20"/>
        </w:rPr>
      </w:pPr>
    </w:p>
    <w:p w14:paraId="00000174" w14:textId="77777777" w:rsidR="00920126" w:rsidRPr="00051701" w:rsidRDefault="00803966">
      <w:pPr>
        <w:rPr>
          <w:rFonts w:ascii="Arial" w:eastAsia="Arial" w:hAnsi="Arial" w:cs="Arial"/>
          <w:bCs/>
          <w:sz w:val="20"/>
          <w:szCs w:val="20"/>
        </w:rPr>
      </w:pPr>
      <w:r w:rsidRPr="00051701">
        <w:rPr>
          <w:rFonts w:ascii="Arial" w:eastAsia="Arial" w:hAnsi="Arial" w:cs="Arial"/>
          <w:bCs/>
          <w:sz w:val="20"/>
          <w:szCs w:val="20"/>
        </w:rPr>
        <w:t>3) country</w:t>
      </w:r>
    </w:p>
    <w:p w14:paraId="00000175" w14:textId="457947A3" w:rsidR="00920126" w:rsidRPr="000C73C6" w:rsidRDefault="00803966">
      <w:pPr>
        <w:rPr>
          <w:rFonts w:ascii="Arial" w:eastAsia="Arial" w:hAnsi="Arial" w:cs="Arial"/>
          <w:b/>
          <w:sz w:val="20"/>
          <w:szCs w:val="20"/>
        </w:rPr>
      </w:pPr>
      <w:r w:rsidRPr="000C73C6">
        <w:rPr>
          <w:rFonts w:ascii="Arial" w:eastAsia="Arial" w:hAnsi="Arial" w:cs="Arial"/>
          <w:b/>
          <w:noProof/>
          <w:sz w:val="20"/>
          <w:szCs w:val="20"/>
        </w:rPr>
        <w:drawing>
          <wp:inline distT="114300" distB="114300" distL="114300" distR="114300" wp14:anchorId="3350FE03" wp14:editId="452D92C7">
            <wp:extent cx="3395663" cy="3475000"/>
            <wp:effectExtent l="0" t="0" r="0" b="0"/>
            <wp:docPr id="947172165" name="image16.jpg" descr="Tab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jpg" descr="Table&#10;&#10;Description automatically generated"/>
                    <pic:cNvPicPr preferRelativeResize="0"/>
                  </pic:nvPicPr>
                  <pic:blipFill>
                    <a:blip r:embed="rId16"/>
                    <a:srcRect/>
                    <a:stretch>
                      <a:fillRect/>
                    </a:stretch>
                  </pic:blipFill>
                  <pic:spPr>
                    <a:xfrm>
                      <a:off x="0" y="0"/>
                      <a:ext cx="3395663" cy="3475000"/>
                    </a:xfrm>
                    <a:prstGeom prst="rect">
                      <a:avLst/>
                    </a:prstGeom>
                    <a:ln/>
                  </pic:spPr>
                </pic:pic>
              </a:graphicData>
            </a:graphic>
          </wp:inline>
        </w:drawing>
      </w:r>
    </w:p>
    <w:p w14:paraId="00000176" w14:textId="77777777" w:rsidR="00920126" w:rsidRPr="000C73C6" w:rsidRDefault="00803966">
      <w:pPr>
        <w:rPr>
          <w:rFonts w:ascii="Arial" w:eastAsia="Arial" w:hAnsi="Arial" w:cs="Arial"/>
          <w:b/>
          <w:sz w:val="20"/>
          <w:szCs w:val="20"/>
        </w:rPr>
      </w:pPr>
      <w:r w:rsidRPr="000C73C6">
        <w:rPr>
          <w:rFonts w:ascii="Arial" w:hAnsi="Arial" w:cs="Arial"/>
          <w:sz w:val="20"/>
          <w:szCs w:val="20"/>
        </w:rPr>
        <w:br w:type="page"/>
      </w:r>
    </w:p>
    <w:p w14:paraId="00000177" w14:textId="77777777" w:rsidR="00920126" w:rsidRPr="00051701" w:rsidRDefault="00803966">
      <w:pPr>
        <w:rPr>
          <w:rFonts w:ascii="Arial" w:eastAsia="Arial" w:hAnsi="Arial" w:cs="Arial"/>
          <w:bCs/>
          <w:sz w:val="20"/>
          <w:szCs w:val="20"/>
        </w:rPr>
      </w:pPr>
      <w:r w:rsidRPr="00051701">
        <w:rPr>
          <w:rFonts w:ascii="Arial" w:eastAsia="Arial" w:hAnsi="Arial" w:cs="Arial"/>
          <w:bCs/>
          <w:sz w:val="20"/>
          <w:szCs w:val="20"/>
        </w:rPr>
        <w:lastRenderedPageBreak/>
        <w:t xml:space="preserve">4) eHealth literacy </w:t>
      </w:r>
    </w:p>
    <w:p w14:paraId="00000178" w14:textId="6B8F5888" w:rsidR="00920126" w:rsidRPr="000C73C6" w:rsidRDefault="00803966">
      <w:pPr>
        <w:rPr>
          <w:rFonts w:ascii="Arial" w:eastAsia="Arial" w:hAnsi="Arial" w:cs="Arial"/>
          <w:sz w:val="20"/>
          <w:szCs w:val="20"/>
        </w:rPr>
      </w:pPr>
      <w:r w:rsidRPr="000C73C6">
        <w:rPr>
          <w:rFonts w:ascii="Arial" w:eastAsia="Arial" w:hAnsi="Arial" w:cs="Arial"/>
          <w:noProof/>
          <w:sz w:val="20"/>
          <w:szCs w:val="20"/>
        </w:rPr>
        <w:drawing>
          <wp:inline distT="114300" distB="114300" distL="114300" distR="114300" wp14:anchorId="0064C665" wp14:editId="351BCBF6">
            <wp:extent cx="4067373" cy="4158946"/>
            <wp:effectExtent l="0" t="0" r="0" b="0"/>
            <wp:docPr id="947172170" name="image17.jpg" descr="Calenda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7.jpg" descr="Calendar&#10;&#10;Description automatically generated"/>
                    <pic:cNvPicPr preferRelativeResize="0"/>
                  </pic:nvPicPr>
                  <pic:blipFill>
                    <a:blip r:embed="rId17"/>
                    <a:srcRect/>
                    <a:stretch>
                      <a:fillRect/>
                    </a:stretch>
                  </pic:blipFill>
                  <pic:spPr>
                    <a:xfrm>
                      <a:off x="0" y="0"/>
                      <a:ext cx="4067373" cy="4158946"/>
                    </a:xfrm>
                    <a:prstGeom prst="rect">
                      <a:avLst/>
                    </a:prstGeom>
                    <a:ln/>
                  </pic:spPr>
                </pic:pic>
              </a:graphicData>
            </a:graphic>
          </wp:inline>
        </w:drawing>
      </w:r>
    </w:p>
    <w:p w14:paraId="00000179" w14:textId="77777777" w:rsidR="00920126" w:rsidRPr="000C73C6" w:rsidRDefault="00920126">
      <w:pPr>
        <w:rPr>
          <w:rFonts w:ascii="Arial" w:eastAsia="Arial" w:hAnsi="Arial" w:cs="Arial"/>
          <w:sz w:val="20"/>
          <w:szCs w:val="20"/>
        </w:rPr>
      </w:pPr>
    </w:p>
    <w:p w14:paraId="0000017A" w14:textId="77777777" w:rsidR="00920126" w:rsidRPr="000C73C6" w:rsidRDefault="00920126">
      <w:pPr>
        <w:rPr>
          <w:rFonts w:ascii="Arial" w:eastAsia="Arial" w:hAnsi="Arial" w:cs="Arial"/>
          <w:sz w:val="20"/>
          <w:szCs w:val="20"/>
        </w:rPr>
      </w:pPr>
    </w:p>
    <w:p w14:paraId="0000017B" w14:textId="77777777" w:rsidR="00920126" w:rsidRPr="000C73C6" w:rsidRDefault="00803966">
      <w:pPr>
        <w:rPr>
          <w:rFonts w:ascii="Arial" w:eastAsia="Arial" w:hAnsi="Arial" w:cs="Arial"/>
          <w:b/>
          <w:sz w:val="20"/>
          <w:szCs w:val="20"/>
        </w:rPr>
      </w:pPr>
      <w:r w:rsidRPr="000C73C6">
        <w:rPr>
          <w:rFonts w:ascii="Arial" w:hAnsi="Arial" w:cs="Arial"/>
          <w:sz w:val="20"/>
          <w:szCs w:val="20"/>
        </w:rPr>
        <w:br w:type="page"/>
      </w:r>
    </w:p>
    <w:p w14:paraId="0000017C" w14:textId="367F3ACB" w:rsidR="00920126" w:rsidRPr="000C73C6" w:rsidRDefault="00803966">
      <w:pPr>
        <w:rPr>
          <w:rFonts w:ascii="Arial" w:eastAsia="Arial" w:hAnsi="Arial" w:cs="Arial"/>
          <w:sz w:val="20"/>
          <w:szCs w:val="20"/>
        </w:rPr>
      </w:pPr>
      <w:r w:rsidRPr="000C73C6">
        <w:rPr>
          <w:rFonts w:ascii="Arial" w:eastAsia="Arial" w:hAnsi="Arial" w:cs="Arial"/>
          <w:b/>
          <w:sz w:val="20"/>
          <w:szCs w:val="20"/>
        </w:rPr>
        <w:lastRenderedPageBreak/>
        <w:t>Supplementary figure 3</w:t>
      </w:r>
      <w:r w:rsidRPr="000C73C6">
        <w:rPr>
          <w:rFonts w:ascii="Arial" w:eastAsia="Arial" w:hAnsi="Arial" w:cs="Arial"/>
          <w:sz w:val="20"/>
          <w:szCs w:val="20"/>
        </w:rPr>
        <w:t>: Quantification of topics regarding the challenges of virtual care in relation to different variables of participant characteristics such as 1) sex, 2) age group, 3) country and 4) eHealth literacy. For comparison of the groups, Wilcoxon rank-sum test was used. Data are shown as means. ***P&lt;0.001, **P&lt;0.01, *P&lt;0.05.</w:t>
      </w:r>
    </w:p>
    <w:p w14:paraId="0000017E" w14:textId="77777777" w:rsidR="00920126" w:rsidRPr="000C73C6" w:rsidRDefault="00920126">
      <w:pPr>
        <w:rPr>
          <w:rFonts w:ascii="Arial" w:eastAsia="Arial" w:hAnsi="Arial" w:cs="Arial"/>
          <w:sz w:val="20"/>
          <w:szCs w:val="20"/>
        </w:rPr>
      </w:pPr>
    </w:p>
    <w:p w14:paraId="0000017F" w14:textId="20990D7F" w:rsidR="00920126" w:rsidRPr="00051701" w:rsidRDefault="00803966">
      <w:pPr>
        <w:rPr>
          <w:rFonts w:ascii="Arial" w:eastAsia="Arial" w:hAnsi="Arial" w:cs="Arial"/>
          <w:bCs/>
          <w:sz w:val="20"/>
          <w:szCs w:val="20"/>
        </w:rPr>
      </w:pPr>
      <w:r w:rsidRPr="00051701">
        <w:rPr>
          <w:rFonts w:ascii="Arial" w:eastAsia="Arial" w:hAnsi="Arial" w:cs="Arial"/>
          <w:bCs/>
          <w:sz w:val="20"/>
          <w:szCs w:val="20"/>
        </w:rPr>
        <w:t>1) sex</w:t>
      </w:r>
    </w:p>
    <w:p w14:paraId="00000180" w14:textId="3339601C" w:rsidR="00920126" w:rsidRPr="000C73C6" w:rsidRDefault="00803966">
      <w:pPr>
        <w:rPr>
          <w:rFonts w:ascii="Arial" w:eastAsia="Arial" w:hAnsi="Arial" w:cs="Arial"/>
          <w:sz w:val="20"/>
          <w:szCs w:val="20"/>
        </w:rPr>
      </w:pPr>
      <w:r w:rsidRPr="000C73C6">
        <w:rPr>
          <w:rFonts w:ascii="Arial" w:eastAsia="Arial" w:hAnsi="Arial" w:cs="Arial"/>
          <w:noProof/>
          <w:sz w:val="20"/>
          <w:szCs w:val="20"/>
        </w:rPr>
        <w:drawing>
          <wp:inline distT="114300" distB="114300" distL="114300" distR="114300" wp14:anchorId="066C69D9" wp14:editId="082564A8">
            <wp:extent cx="4052888" cy="4141696"/>
            <wp:effectExtent l="0" t="0" r="0" b="0"/>
            <wp:docPr id="947172167" name="image1.jpg" descr="Table, calenda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Table, calendar&#10;&#10;Description automatically generated"/>
                    <pic:cNvPicPr preferRelativeResize="0"/>
                  </pic:nvPicPr>
                  <pic:blipFill>
                    <a:blip r:embed="rId18"/>
                    <a:srcRect/>
                    <a:stretch>
                      <a:fillRect/>
                    </a:stretch>
                  </pic:blipFill>
                  <pic:spPr>
                    <a:xfrm>
                      <a:off x="0" y="0"/>
                      <a:ext cx="4052888" cy="4141696"/>
                    </a:xfrm>
                    <a:prstGeom prst="rect">
                      <a:avLst/>
                    </a:prstGeom>
                    <a:ln/>
                  </pic:spPr>
                </pic:pic>
              </a:graphicData>
            </a:graphic>
          </wp:inline>
        </w:drawing>
      </w:r>
    </w:p>
    <w:p w14:paraId="00000181" w14:textId="77777777" w:rsidR="00920126" w:rsidRPr="000C73C6" w:rsidRDefault="00920126">
      <w:pPr>
        <w:rPr>
          <w:rFonts w:ascii="Arial" w:eastAsia="Arial" w:hAnsi="Arial" w:cs="Arial"/>
          <w:sz w:val="20"/>
          <w:szCs w:val="20"/>
        </w:rPr>
      </w:pPr>
    </w:p>
    <w:p w14:paraId="00000182" w14:textId="77777777" w:rsidR="00920126" w:rsidRPr="000C73C6" w:rsidRDefault="00803966">
      <w:pPr>
        <w:rPr>
          <w:rFonts w:ascii="Arial" w:eastAsia="Arial" w:hAnsi="Arial" w:cs="Arial"/>
          <w:b/>
          <w:sz w:val="20"/>
          <w:szCs w:val="20"/>
        </w:rPr>
      </w:pPr>
      <w:r w:rsidRPr="000C73C6">
        <w:rPr>
          <w:rFonts w:ascii="Arial" w:hAnsi="Arial" w:cs="Arial"/>
          <w:sz w:val="20"/>
          <w:szCs w:val="20"/>
        </w:rPr>
        <w:br w:type="page"/>
      </w:r>
    </w:p>
    <w:p w14:paraId="00000183" w14:textId="77777777" w:rsidR="00920126" w:rsidRPr="00051701" w:rsidRDefault="00803966">
      <w:pPr>
        <w:rPr>
          <w:rFonts w:ascii="Arial" w:eastAsia="Arial" w:hAnsi="Arial" w:cs="Arial"/>
          <w:bCs/>
          <w:sz w:val="20"/>
          <w:szCs w:val="20"/>
        </w:rPr>
      </w:pPr>
      <w:r w:rsidRPr="00051701">
        <w:rPr>
          <w:rFonts w:ascii="Arial" w:eastAsia="Arial" w:hAnsi="Arial" w:cs="Arial"/>
          <w:bCs/>
          <w:sz w:val="20"/>
          <w:szCs w:val="20"/>
        </w:rPr>
        <w:lastRenderedPageBreak/>
        <w:t>2) age group</w:t>
      </w:r>
    </w:p>
    <w:p w14:paraId="00000184" w14:textId="1559D1F2" w:rsidR="00920126" w:rsidRPr="000C73C6" w:rsidRDefault="00803966">
      <w:pPr>
        <w:rPr>
          <w:rFonts w:ascii="Arial" w:eastAsia="Arial" w:hAnsi="Arial" w:cs="Arial"/>
          <w:sz w:val="20"/>
          <w:szCs w:val="20"/>
        </w:rPr>
      </w:pPr>
      <w:r w:rsidRPr="000C73C6">
        <w:rPr>
          <w:rFonts w:ascii="Arial" w:eastAsia="Arial" w:hAnsi="Arial" w:cs="Arial"/>
          <w:b/>
          <w:noProof/>
          <w:sz w:val="20"/>
          <w:szCs w:val="20"/>
        </w:rPr>
        <w:drawing>
          <wp:inline distT="114300" distB="114300" distL="114300" distR="114300" wp14:anchorId="1D9324B3" wp14:editId="30F3AC30">
            <wp:extent cx="3938428" cy="4017355"/>
            <wp:effectExtent l="0" t="0" r="0" b="0"/>
            <wp:docPr id="947172169" name="image8.jpg" descr="A picture containing tab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jpg" descr="A picture containing table&#10;&#10;Description automatically generated"/>
                    <pic:cNvPicPr preferRelativeResize="0"/>
                  </pic:nvPicPr>
                  <pic:blipFill>
                    <a:blip r:embed="rId19"/>
                    <a:srcRect/>
                    <a:stretch>
                      <a:fillRect/>
                    </a:stretch>
                  </pic:blipFill>
                  <pic:spPr>
                    <a:xfrm>
                      <a:off x="0" y="0"/>
                      <a:ext cx="3938428" cy="4017355"/>
                    </a:xfrm>
                    <a:prstGeom prst="rect">
                      <a:avLst/>
                    </a:prstGeom>
                    <a:ln/>
                  </pic:spPr>
                </pic:pic>
              </a:graphicData>
            </a:graphic>
          </wp:inline>
        </w:drawing>
      </w:r>
    </w:p>
    <w:p w14:paraId="00000185" w14:textId="77777777" w:rsidR="00920126" w:rsidRPr="000C73C6" w:rsidRDefault="00920126">
      <w:pPr>
        <w:rPr>
          <w:rFonts w:ascii="Arial" w:eastAsia="Arial" w:hAnsi="Arial" w:cs="Arial"/>
          <w:sz w:val="20"/>
          <w:szCs w:val="20"/>
        </w:rPr>
      </w:pPr>
    </w:p>
    <w:p w14:paraId="00000186" w14:textId="77777777" w:rsidR="00920126" w:rsidRPr="00051701" w:rsidRDefault="00803966">
      <w:pPr>
        <w:rPr>
          <w:rFonts w:ascii="Arial" w:eastAsia="Arial" w:hAnsi="Arial" w:cs="Arial"/>
          <w:bCs/>
          <w:sz w:val="20"/>
          <w:szCs w:val="20"/>
        </w:rPr>
      </w:pPr>
      <w:r w:rsidRPr="00051701">
        <w:rPr>
          <w:rFonts w:ascii="Arial" w:eastAsia="Arial" w:hAnsi="Arial" w:cs="Arial"/>
          <w:bCs/>
          <w:sz w:val="20"/>
          <w:szCs w:val="20"/>
        </w:rPr>
        <w:t>3) country</w:t>
      </w:r>
    </w:p>
    <w:p w14:paraId="00000187" w14:textId="4B78DA1F" w:rsidR="00920126" w:rsidRPr="000C73C6" w:rsidRDefault="00803966">
      <w:pPr>
        <w:rPr>
          <w:rFonts w:ascii="Arial" w:eastAsia="Arial" w:hAnsi="Arial" w:cs="Arial"/>
          <w:b/>
          <w:sz w:val="20"/>
          <w:szCs w:val="20"/>
        </w:rPr>
      </w:pPr>
      <w:r w:rsidRPr="000C73C6">
        <w:rPr>
          <w:rFonts w:ascii="Arial" w:eastAsia="Arial" w:hAnsi="Arial" w:cs="Arial"/>
          <w:b/>
          <w:noProof/>
          <w:sz w:val="20"/>
          <w:szCs w:val="20"/>
        </w:rPr>
        <w:drawing>
          <wp:inline distT="114300" distB="114300" distL="114300" distR="114300" wp14:anchorId="0F217A04" wp14:editId="1252B75C">
            <wp:extent cx="3986213" cy="4069574"/>
            <wp:effectExtent l="0" t="0" r="0" b="0"/>
            <wp:docPr id="947172171" name="image2.jpg" descr="Tab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jpg" descr="Table&#10;&#10;Description automatically generated with medium confidence"/>
                    <pic:cNvPicPr preferRelativeResize="0"/>
                  </pic:nvPicPr>
                  <pic:blipFill>
                    <a:blip r:embed="rId20"/>
                    <a:srcRect/>
                    <a:stretch>
                      <a:fillRect/>
                    </a:stretch>
                  </pic:blipFill>
                  <pic:spPr>
                    <a:xfrm>
                      <a:off x="0" y="0"/>
                      <a:ext cx="3986213" cy="4069574"/>
                    </a:xfrm>
                    <a:prstGeom prst="rect">
                      <a:avLst/>
                    </a:prstGeom>
                    <a:ln/>
                  </pic:spPr>
                </pic:pic>
              </a:graphicData>
            </a:graphic>
          </wp:inline>
        </w:drawing>
      </w:r>
    </w:p>
    <w:p w14:paraId="00000188" w14:textId="77777777" w:rsidR="00920126" w:rsidRPr="000C73C6" w:rsidRDefault="00803966">
      <w:pPr>
        <w:rPr>
          <w:rFonts w:ascii="Arial" w:eastAsia="Arial" w:hAnsi="Arial" w:cs="Arial"/>
          <w:b/>
          <w:sz w:val="20"/>
          <w:szCs w:val="20"/>
        </w:rPr>
      </w:pPr>
      <w:r w:rsidRPr="000C73C6">
        <w:rPr>
          <w:rFonts w:ascii="Arial" w:hAnsi="Arial" w:cs="Arial"/>
          <w:sz w:val="20"/>
          <w:szCs w:val="20"/>
        </w:rPr>
        <w:br w:type="page"/>
      </w:r>
    </w:p>
    <w:p w14:paraId="00000189" w14:textId="77777777" w:rsidR="00920126" w:rsidRPr="00051701" w:rsidRDefault="00803966">
      <w:pPr>
        <w:rPr>
          <w:rFonts w:ascii="Arial" w:eastAsia="Arial" w:hAnsi="Arial" w:cs="Arial"/>
          <w:bCs/>
          <w:sz w:val="20"/>
          <w:szCs w:val="20"/>
        </w:rPr>
      </w:pPr>
      <w:r w:rsidRPr="00051701">
        <w:rPr>
          <w:rFonts w:ascii="Arial" w:eastAsia="Arial" w:hAnsi="Arial" w:cs="Arial"/>
          <w:bCs/>
          <w:sz w:val="20"/>
          <w:szCs w:val="20"/>
        </w:rPr>
        <w:lastRenderedPageBreak/>
        <w:t xml:space="preserve">4) eHealth literacy </w:t>
      </w:r>
    </w:p>
    <w:p w14:paraId="0000018A" w14:textId="1DC547CE" w:rsidR="00920126" w:rsidRPr="000C73C6" w:rsidRDefault="00803966">
      <w:pPr>
        <w:rPr>
          <w:rFonts w:ascii="Arial" w:eastAsia="Arial" w:hAnsi="Arial" w:cs="Arial"/>
          <w:sz w:val="20"/>
          <w:szCs w:val="20"/>
        </w:rPr>
      </w:pPr>
      <w:r w:rsidRPr="000C73C6">
        <w:rPr>
          <w:rFonts w:ascii="Arial" w:eastAsia="Arial" w:hAnsi="Arial" w:cs="Arial"/>
          <w:noProof/>
          <w:sz w:val="20"/>
          <w:szCs w:val="20"/>
        </w:rPr>
        <w:drawing>
          <wp:inline distT="114300" distB="114300" distL="114300" distR="114300" wp14:anchorId="0A50F7FA" wp14:editId="5F45E418">
            <wp:extent cx="3970344" cy="4054171"/>
            <wp:effectExtent l="0" t="0" r="0" b="0"/>
            <wp:docPr id="947172172" name="image11.jpg" descr="Calenda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jpg" descr="Calendar&#10;&#10;Description automatically generated"/>
                    <pic:cNvPicPr preferRelativeResize="0"/>
                  </pic:nvPicPr>
                  <pic:blipFill>
                    <a:blip r:embed="rId21"/>
                    <a:srcRect/>
                    <a:stretch>
                      <a:fillRect/>
                    </a:stretch>
                  </pic:blipFill>
                  <pic:spPr>
                    <a:xfrm>
                      <a:off x="0" y="0"/>
                      <a:ext cx="3970344" cy="4054171"/>
                    </a:xfrm>
                    <a:prstGeom prst="rect">
                      <a:avLst/>
                    </a:prstGeom>
                    <a:ln/>
                  </pic:spPr>
                </pic:pic>
              </a:graphicData>
            </a:graphic>
          </wp:inline>
        </w:drawing>
      </w:r>
    </w:p>
    <w:p w14:paraId="0000018B" w14:textId="77777777" w:rsidR="00920126" w:rsidRPr="000C73C6" w:rsidRDefault="00920126">
      <w:pPr>
        <w:rPr>
          <w:rFonts w:ascii="Arial" w:eastAsia="Arial" w:hAnsi="Arial" w:cs="Arial"/>
          <w:sz w:val="20"/>
          <w:szCs w:val="20"/>
        </w:rPr>
      </w:pPr>
    </w:p>
    <w:p w14:paraId="0000018C" w14:textId="77777777" w:rsidR="00920126" w:rsidRPr="000C73C6" w:rsidRDefault="00920126">
      <w:pPr>
        <w:rPr>
          <w:rFonts w:ascii="Arial" w:eastAsia="Arial" w:hAnsi="Arial" w:cs="Arial"/>
          <w:sz w:val="20"/>
          <w:szCs w:val="20"/>
        </w:rPr>
      </w:pPr>
    </w:p>
    <w:p w14:paraId="0000018D" w14:textId="77777777" w:rsidR="00920126" w:rsidRPr="000C73C6" w:rsidRDefault="00920126">
      <w:pPr>
        <w:rPr>
          <w:rFonts w:ascii="Arial" w:eastAsia="Arial" w:hAnsi="Arial" w:cs="Arial"/>
          <w:sz w:val="20"/>
          <w:szCs w:val="20"/>
        </w:rPr>
      </w:pPr>
    </w:p>
    <w:p w14:paraId="0000018E" w14:textId="77777777" w:rsidR="00920126" w:rsidRPr="000C73C6" w:rsidRDefault="00920126">
      <w:pPr>
        <w:rPr>
          <w:rFonts w:ascii="Arial" w:eastAsia="Arial" w:hAnsi="Arial" w:cs="Arial"/>
          <w:sz w:val="20"/>
          <w:szCs w:val="20"/>
        </w:rPr>
      </w:pPr>
    </w:p>
    <w:p w14:paraId="0000018F" w14:textId="77777777" w:rsidR="00920126" w:rsidRPr="000C73C6" w:rsidRDefault="00920126">
      <w:pPr>
        <w:rPr>
          <w:rFonts w:ascii="Arial" w:eastAsia="Arial" w:hAnsi="Arial" w:cs="Arial"/>
          <w:sz w:val="20"/>
          <w:szCs w:val="20"/>
        </w:rPr>
      </w:pPr>
    </w:p>
    <w:p w14:paraId="00000190" w14:textId="77777777" w:rsidR="00920126" w:rsidRPr="000C73C6" w:rsidRDefault="00920126">
      <w:pPr>
        <w:rPr>
          <w:rFonts w:ascii="Arial" w:eastAsia="Arial" w:hAnsi="Arial" w:cs="Arial"/>
          <w:sz w:val="20"/>
          <w:szCs w:val="20"/>
        </w:rPr>
      </w:pPr>
    </w:p>
    <w:p w14:paraId="00000191" w14:textId="77777777" w:rsidR="00920126" w:rsidRPr="000C73C6" w:rsidRDefault="00920126">
      <w:pPr>
        <w:rPr>
          <w:rFonts w:ascii="Arial" w:eastAsia="Arial" w:hAnsi="Arial" w:cs="Arial"/>
          <w:sz w:val="20"/>
          <w:szCs w:val="20"/>
        </w:rPr>
      </w:pPr>
    </w:p>
    <w:p w14:paraId="00000192" w14:textId="77777777" w:rsidR="00920126" w:rsidRPr="000C73C6" w:rsidRDefault="00920126">
      <w:pPr>
        <w:rPr>
          <w:rFonts w:ascii="Arial" w:eastAsia="Arial" w:hAnsi="Arial" w:cs="Arial"/>
          <w:sz w:val="20"/>
          <w:szCs w:val="20"/>
        </w:rPr>
      </w:pPr>
    </w:p>
    <w:p w14:paraId="00000193" w14:textId="77777777" w:rsidR="00920126" w:rsidRPr="000C73C6" w:rsidRDefault="00920126">
      <w:pPr>
        <w:rPr>
          <w:rFonts w:ascii="Arial" w:eastAsia="Arial" w:hAnsi="Arial" w:cs="Arial"/>
          <w:sz w:val="20"/>
          <w:szCs w:val="20"/>
        </w:rPr>
      </w:pPr>
    </w:p>
    <w:p w14:paraId="00000194" w14:textId="77777777" w:rsidR="00920126" w:rsidRPr="000C73C6" w:rsidRDefault="00920126">
      <w:pPr>
        <w:rPr>
          <w:rFonts w:ascii="Arial" w:eastAsia="Arial" w:hAnsi="Arial" w:cs="Arial"/>
          <w:sz w:val="20"/>
          <w:szCs w:val="20"/>
        </w:rPr>
      </w:pPr>
    </w:p>
    <w:p w14:paraId="00000195" w14:textId="77777777" w:rsidR="00920126" w:rsidRPr="000C73C6" w:rsidRDefault="00920126">
      <w:pPr>
        <w:rPr>
          <w:rFonts w:ascii="Arial" w:eastAsia="Arial" w:hAnsi="Arial" w:cs="Arial"/>
          <w:sz w:val="20"/>
          <w:szCs w:val="20"/>
        </w:rPr>
      </w:pPr>
    </w:p>
    <w:p w14:paraId="00000196" w14:textId="77777777" w:rsidR="00920126" w:rsidRPr="000C73C6" w:rsidRDefault="00920126">
      <w:pPr>
        <w:rPr>
          <w:rFonts w:ascii="Arial" w:eastAsia="Arial" w:hAnsi="Arial" w:cs="Arial"/>
          <w:sz w:val="20"/>
          <w:szCs w:val="20"/>
        </w:rPr>
      </w:pPr>
    </w:p>
    <w:p w14:paraId="00000197" w14:textId="77777777" w:rsidR="00920126" w:rsidRPr="000C73C6" w:rsidRDefault="00920126">
      <w:pPr>
        <w:rPr>
          <w:rFonts w:ascii="Arial" w:eastAsia="Arial" w:hAnsi="Arial" w:cs="Arial"/>
          <w:sz w:val="20"/>
          <w:szCs w:val="20"/>
        </w:rPr>
      </w:pPr>
    </w:p>
    <w:p w14:paraId="00000198" w14:textId="77777777" w:rsidR="00920126" w:rsidRPr="000C73C6" w:rsidRDefault="00920126">
      <w:pPr>
        <w:rPr>
          <w:rFonts w:ascii="Arial" w:eastAsia="Arial" w:hAnsi="Arial" w:cs="Arial"/>
          <w:sz w:val="20"/>
          <w:szCs w:val="20"/>
        </w:rPr>
      </w:pPr>
    </w:p>
    <w:p w14:paraId="00000199" w14:textId="77777777" w:rsidR="00920126" w:rsidRPr="000C73C6" w:rsidRDefault="00920126">
      <w:pPr>
        <w:rPr>
          <w:rFonts w:ascii="Arial" w:eastAsia="Arial" w:hAnsi="Arial" w:cs="Arial"/>
          <w:sz w:val="20"/>
          <w:szCs w:val="20"/>
        </w:rPr>
      </w:pPr>
    </w:p>
    <w:p w14:paraId="0000019A" w14:textId="77777777" w:rsidR="00920126" w:rsidRPr="000C73C6" w:rsidRDefault="00920126">
      <w:pPr>
        <w:rPr>
          <w:rFonts w:ascii="Arial" w:eastAsia="Arial" w:hAnsi="Arial" w:cs="Arial"/>
          <w:sz w:val="20"/>
          <w:szCs w:val="20"/>
        </w:rPr>
      </w:pPr>
    </w:p>
    <w:p w14:paraId="0000019B" w14:textId="77777777" w:rsidR="00920126" w:rsidRPr="000C73C6" w:rsidRDefault="00920126">
      <w:pPr>
        <w:rPr>
          <w:rFonts w:ascii="Arial" w:eastAsia="Arial" w:hAnsi="Arial" w:cs="Arial"/>
          <w:sz w:val="20"/>
          <w:szCs w:val="20"/>
        </w:rPr>
      </w:pPr>
    </w:p>
    <w:p w14:paraId="0000019C" w14:textId="77777777" w:rsidR="00920126" w:rsidRPr="000C73C6" w:rsidRDefault="00920126">
      <w:pPr>
        <w:rPr>
          <w:rFonts w:ascii="Arial" w:eastAsia="Arial" w:hAnsi="Arial" w:cs="Arial"/>
          <w:sz w:val="20"/>
          <w:szCs w:val="20"/>
        </w:rPr>
      </w:pPr>
    </w:p>
    <w:p w14:paraId="0000019D" w14:textId="77777777" w:rsidR="00920126" w:rsidRPr="000C73C6" w:rsidRDefault="00920126">
      <w:pPr>
        <w:rPr>
          <w:rFonts w:ascii="Arial" w:eastAsia="Arial" w:hAnsi="Arial" w:cs="Arial"/>
          <w:sz w:val="20"/>
          <w:szCs w:val="20"/>
        </w:rPr>
      </w:pPr>
    </w:p>
    <w:p w14:paraId="0000019E" w14:textId="77777777" w:rsidR="00920126" w:rsidRPr="000C73C6" w:rsidRDefault="00920126">
      <w:pPr>
        <w:rPr>
          <w:rFonts w:ascii="Arial" w:eastAsia="Arial" w:hAnsi="Arial" w:cs="Arial"/>
          <w:sz w:val="20"/>
          <w:szCs w:val="20"/>
        </w:rPr>
      </w:pPr>
    </w:p>
    <w:p w14:paraId="0000019F" w14:textId="77777777" w:rsidR="00920126" w:rsidRPr="000C73C6" w:rsidRDefault="00920126">
      <w:pPr>
        <w:rPr>
          <w:rFonts w:ascii="Arial" w:eastAsia="Arial" w:hAnsi="Arial" w:cs="Arial"/>
          <w:sz w:val="20"/>
          <w:szCs w:val="20"/>
        </w:rPr>
      </w:pPr>
    </w:p>
    <w:p w14:paraId="000001A0" w14:textId="77777777" w:rsidR="00920126" w:rsidRPr="000C73C6" w:rsidRDefault="00920126">
      <w:pPr>
        <w:rPr>
          <w:rFonts w:ascii="Arial" w:eastAsia="Arial" w:hAnsi="Arial" w:cs="Arial"/>
          <w:sz w:val="20"/>
          <w:szCs w:val="20"/>
        </w:rPr>
      </w:pPr>
    </w:p>
    <w:p w14:paraId="000001A1" w14:textId="77777777" w:rsidR="00920126" w:rsidRPr="000C73C6" w:rsidRDefault="00920126">
      <w:pPr>
        <w:pStyle w:val="Heading1"/>
        <w:rPr>
          <w:rFonts w:ascii="Arial" w:eastAsia="Arial" w:hAnsi="Arial" w:cs="Arial"/>
          <w:sz w:val="20"/>
          <w:szCs w:val="20"/>
        </w:rPr>
      </w:pPr>
    </w:p>
    <w:p w14:paraId="000001A2" w14:textId="77777777" w:rsidR="00920126" w:rsidRPr="000C73C6" w:rsidRDefault="00920126">
      <w:pPr>
        <w:rPr>
          <w:rFonts w:ascii="Arial" w:hAnsi="Arial" w:cs="Arial"/>
          <w:sz w:val="20"/>
          <w:szCs w:val="20"/>
        </w:rPr>
      </w:pPr>
    </w:p>
    <w:p w14:paraId="000001A3" w14:textId="77777777" w:rsidR="00920126" w:rsidRPr="000C73C6" w:rsidRDefault="00803966">
      <w:pPr>
        <w:rPr>
          <w:rFonts w:ascii="Arial" w:hAnsi="Arial" w:cs="Arial"/>
          <w:b/>
          <w:sz w:val="20"/>
          <w:szCs w:val="20"/>
        </w:rPr>
      </w:pPr>
      <w:r w:rsidRPr="000C73C6">
        <w:rPr>
          <w:rFonts w:ascii="Arial" w:hAnsi="Arial" w:cs="Arial"/>
          <w:sz w:val="20"/>
          <w:szCs w:val="20"/>
        </w:rPr>
        <w:br w:type="page"/>
      </w:r>
    </w:p>
    <w:p w14:paraId="000001A4" w14:textId="093D7458" w:rsidR="00920126" w:rsidRPr="000C73C6" w:rsidRDefault="00803966">
      <w:pPr>
        <w:rPr>
          <w:rFonts w:ascii="Arial" w:hAnsi="Arial" w:cs="Arial"/>
          <w:b/>
          <w:sz w:val="20"/>
          <w:szCs w:val="20"/>
        </w:rPr>
      </w:pPr>
      <w:r w:rsidRPr="000C73C6">
        <w:rPr>
          <w:rFonts w:ascii="Arial" w:hAnsi="Arial" w:cs="Arial"/>
          <w:b/>
          <w:sz w:val="20"/>
          <w:szCs w:val="20"/>
        </w:rPr>
        <w:lastRenderedPageBreak/>
        <w:t xml:space="preserve">Supplementary Figure 4: </w:t>
      </w:r>
      <w:r w:rsidRPr="00051701">
        <w:rPr>
          <w:rFonts w:ascii="Arial" w:hAnsi="Arial" w:cs="Arial"/>
          <w:bCs/>
          <w:sz w:val="20"/>
          <w:szCs w:val="20"/>
        </w:rPr>
        <w:t xml:space="preserve">Topic model results of the sensitivity analysis. The bar graphs of 1) and 2) depict the results of the 1) nine and 2) ten-topic </w:t>
      </w:r>
      <w:r w:rsidR="00051701">
        <w:rPr>
          <w:rFonts w:ascii="Arial" w:hAnsi="Arial" w:cs="Arial"/>
          <w:bCs/>
          <w:sz w:val="20"/>
          <w:szCs w:val="20"/>
        </w:rPr>
        <w:t>LDA</w:t>
      </w:r>
      <w:r w:rsidRPr="00051701">
        <w:rPr>
          <w:rFonts w:ascii="Arial" w:hAnsi="Arial" w:cs="Arial"/>
          <w:bCs/>
          <w:sz w:val="20"/>
          <w:szCs w:val="20"/>
        </w:rPr>
        <w:t xml:space="preserve"> model regarding the benefits of virtual primary care; with the topic labels identified by the researchers and the ten most frequently mentioned terms (one-gram and two-gram) for each topic. Beta = probability of a lemma appearing </w:t>
      </w:r>
      <w:proofErr w:type="gramStart"/>
      <w:r w:rsidRPr="00051701">
        <w:rPr>
          <w:rFonts w:ascii="Arial" w:hAnsi="Arial" w:cs="Arial"/>
          <w:bCs/>
          <w:sz w:val="20"/>
          <w:szCs w:val="20"/>
        </w:rPr>
        <w:t>in a given</w:t>
      </w:r>
      <w:proofErr w:type="gramEnd"/>
      <w:r w:rsidRPr="00051701">
        <w:rPr>
          <w:rFonts w:ascii="Arial" w:hAnsi="Arial" w:cs="Arial"/>
          <w:bCs/>
          <w:sz w:val="20"/>
          <w:szCs w:val="20"/>
        </w:rPr>
        <w:t xml:space="preserve"> topic</w:t>
      </w:r>
      <w:r w:rsidR="00051701" w:rsidRPr="00051701">
        <w:rPr>
          <w:rFonts w:ascii="Arial" w:hAnsi="Arial" w:cs="Arial"/>
          <w:bCs/>
          <w:sz w:val="20"/>
          <w:szCs w:val="20"/>
        </w:rPr>
        <w:t>.</w:t>
      </w:r>
    </w:p>
    <w:p w14:paraId="000001A5" w14:textId="1608AE51" w:rsidR="00920126" w:rsidRPr="000C73C6" w:rsidRDefault="00920126">
      <w:pPr>
        <w:rPr>
          <w:rFonts w:ascii="Arial" w:hAnsi="Arial" w:cs="Arial"/>
          <w:b/>
          <w:sz w:val="20"/>
          <w:szCs w:val="20"/>
        </w:rPr>
      </w:pPr>
    </w:p>
    <w:p w14:paraId="000001A6" w14:textId="0534E03D" w:rsidR="00920126" w:rsidRPr="00051701" w:rsidRDefault="00803966">
      <w:pPr>
        <w:rPr>
          <w:rFonts w:ascii="Arial" w:hAnsi="Arial" w:cs="Arial"/>
          <w:bCs/>
          <w:sz w:val="20"/>
          <w:szCs w:val="20"/>
        </w:rPr>
      </w:pPr>
      <w:r w:rsidRPr="00051701">
        <w:rPr>
          <w:rFonts w:ascii="Arial" w:hAnsi="Arial" w:cs="Arial"/>
          <w:bCs/>
          <w:sz w:val="20"/>
          <w:szCs w:val="20"/>
        </w:rPr>
        <w:t xml:space="preserve">1) nine-topic </w:t>
      </w:r>
      <w:r w:rsidR="00051701" w:rsidRPr="00051701">
        <w:rPr>
          <w:rFonts w:ascii="Arial" w:hAnsi="Arial" w:cs="Arial"/>
          <w:bCs/>
          <w:sz w:val="20"/>
          <w:szCs w:val="20"/>
        </w:rPr>
        <w:t>LDA</w:t>
      </w:r>
      <w:r w:rsidRPr="00051701">
        <w:rPr>
          <w:rFonts w:ascii="Arial" w:hAnsi="Arial" w:cs="Arial"/>
          <w:bCs/>
          <w:sz w:val="20"/>
          <w:szCs w:val="20"/>
        </w:rPr>
        <w:t xml:space="preserve"> model</w:t>
      </w:r>
    </w:p>
    <w:p w14:paraId="000001A7" w14:textId="792BC997" w:rsidR="00920126" w:rsidRPr="000C73C6" w:rsidRDefault="00803966">
      <w:pPr>
        <w:rPr>
          <w:rFonts w:ascii="Arial" w:hAnsi="Arial" w:cs="Arial"/>
          <w:b/>
          <w:sz w:val="20"/>
          <w:szCs w:val="20"/>
        </w:rPr>
      </w:pPr>
      <w:r w:rsidRPr="000C73C6">
        <w:rPr>
          <w:rFonts w:ascii="Arial" w:hAnsi="Arial" w:cs="Arial"/>
          <w:b/>
          <w:noProof/>
          <w:sz w:val="20"/>
          <w:szCs w:val="20"/>
        </w:rPr>
        <w:drawing>
          <wp:inline distT="114300" distB="114300" distL="114300" distR="114300" wp14:anchorId="174C685A" wp14:editId="694C134B">
            <wp:extent cx="5731200" cy="5727700"/>
            <wp:effectExtent l="0" t="0" r="0" b="0"/>
            <wp:docPr id="9471721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a:stretch>
                      <a:fillRect/>
                    </a:stretch>
                  </pic:blipFill>
                  <pic:spPr>
                    <a:xfrm>
                      <a:off x="0" y="0"/>
                      <a:ext cx="5731200" cy="5727700"/>
                    </a:xfrm>
                    <a:prstGeom prst="rect">
                      <a:avLst/>
                    </a:prstGeom>
                    <a:ln/>
                  </pic:spPr>
                </pic:pic>
              </a:graphicData>
            </a:graphic>
          </wp:inline>
        </w:drawing>
      </w:r>
    </w:p>
    <w:p w14:paraId="000001A8" w14:textId="6809FD9D" w:rsidR="00920126" w:rsidRPr="000C73C6" w:rsidRDefault="00803966">
      <w:pPr>
        <w:rPr>
          <w:rFonts w:ascii="Arial" w:hAnsi="Arial" w:cs="Arial"/>
          <w:b/>
          <w:sz w:val="20"/>
          <w:szCs w:val="20"/>
        </w:rPr>
      </w:pPr>
      <w:r w:rsidRPr="000C73C6">
        <w:rPr>
          <w:rFonts w:ascii="Arial" w:hAnsi="Arial" w:cs="Arial"/>
          <w:sz w:val="20"/>
          <w:szCs w:val="20"/>
        </w:rPr>
        <w:br w:type="page"/>
      </w:r>
    </w:p>
    <w:p w14:paraId="000001A9" w14:textId="4620778C" w:rsidR="00920126" w:rsidRPr="00051701" w:rsidRDefault="00803966">
      <w:pPr>
        <w:rPr>
          <w:rFonts w:ascii="Arial" w:hAnsi="Arial" w:cs="Arial"/>
          <w:bCs/>
          <w:sz w:val="20"/>
          <w:szCs w:val="20"/>
        </w:rPr>
      </w:pPr>
      <w:r w:rsidRPr="00051701">
        <w:rPr>
          <w:rFonts w:ascii="Arial" w:hAnsi="Arial" w:cs="Arial"/>
          <w:bCs/>
          <w:sz w:val="20"/>
          <w:szCs w:val="20"/>
        </w:rPr>
        <w:lastRenderedPageBreak/>
        <w:t xml:space="preserve">2) ten-topic </w:t>
      </w:r>
      <w:r w:rsidR="00051701" w:rsidRPr="00051701">
        <w:rPr>
          <w:rFonts w:ascii="Arial" w:hAnsi="Arial" w:cs="Arial"/>
          <w:bCs/>
          <w:sz w:val="20"/>
          <w:szCs w:val="20"/>
        </w:rPr>
        <w:t>LDA</w:t>
      </w:r>
      <w:r w:rsidRPr="00051701">
        <w:rPr>
          <w:rFonts w:ascii="Arial" w:hAnsi="Arial" w:cs="Arial"/>
          <w:bCs/>
          <w:sz w:val="20"/>
          <w:szCs w:val="20"/>
        </w:rPr>
        <w:t xml:space="preserve"> model</w:t>
      </w:r>
    </w:p>
    <w:p w14:paraId="000001AA" w14:textId="39C210F1" w:rsidR="00920126" w:rsidRPr="000C73C6" w:rsidRDefault="00803966">
      <w:pPr>
        <w:rPr>
          <w:rFonts w:ascii="Arial" w:hAnsi="Arial" w:cs="Arial"/>
          <w:b/>
          <w:sz w:val="20"/>
          <w:szCs w:val="20"/>
        </w:rPr>
      </w:pPr>
      <w:r w:rsidRPr="000C73C6">
        <w:rPr>
          <w:rFonts w:ascii="Arial" w:hAnsi="Arial" w:cs="Arial"/>
          <w:b/>
          <w:noProof/>
          <w:sz w:val="20"/>
          <w:szCs w:val="20"/>
        </w:rPr>
        <w:drawing>
          <wp:inline distT="114300" distB="114300" distL="114300" distR="114300" wp14:anchorId="268D12D8" wp14:editId="0D189FD8">
            <wp:extent cx="5731200" cy="4089400"/>
            <wp:effectExtent l="0" t="0" r="0" b="0"/>
            <wp:docPr id="94717215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3"/>
                    <a:srcRect/>
                    <a:stretch>
                      <a:fillRect/>
                    </a:stretch>
                  </pic:blipFill>
                  <pic:spPr>
                    <a:xfrm>
                      <a:off x="0" y="0"/>
                      <a:ext cx="5731200" cy="4089400"/>
                    </a:xfrm>
                    <a:prstGeom prst="rect">
                      <a:avLst/>
                    </a:prstGeom>
                    <a:ln/>
                  </pic:spPr>
                </pic:pic>
              </a:graphicData>
            </a:graphic>
          </wp:inline>
        </w:drawing>
      </w:r>
    </w:p>
    <w:p w14:paraId="000001AB" w14:textId="7743D8B2" w:rsidR="00920126" w:rsidRPr="000C73C6" w:rsidRDefault="00920126">
      <w:pPr>
        <w:rPr>
          <w:rFonts w:ascii="Arial" w:hAnsi="Arial" w:cs="Arial"/>
          <w:b/>
          <w:sz w:val="20"/>
          <w:szCs w:val="20"/>
        </w:rPr>
      </w:pPr>
    </w:p>
    <w:p w14:paraId="000001AC" w14:textId="217418AC" w:rsidR="00920126" w:rsidRPr="000C73C6" w:rsidRDefault="00803966">
      <w:pPr>
        <w:rPr>
          <w:rFonts w:ascii="Arial" w:hAnsi="Arial" w:cs="Arial"/>
          <w:b/>
          <w:sz w:val="20"/>
          <w:szCs w:val="20"/>
        </w:rPr>
      </w:pPr>
      <w:r w:rsidRPr="000C73C6">
        <w:rPr>
          <w:rFonts w:ascii="Arial" w:hAnsi="Arial" w:cs="Arial"/>
          <w:sz w:val="20"/>
          <w:szCs w:val="20"/>
        </w:rPr>
        <w:br w:type="page"/>
      </w:r>
    </w:p>
    <w:p w14:paraId="000001AD" w14:textId="180AD815" w:rsidR="00920126" w:rsidRPr="0098359A" w:rsidRDefault="00803966">
      <w:pPr>
        <w:rPr>
          <w:rFonts w:ascii="Arial" w:hAnsi="Arial" w:cs="Arial"/>
          <w:sz w:val="20"/>
          <w:szCs w:val="20"/>
        </w:rPr>
      </w:pPr>
      <w:r w:rsidRPr="00051701">
        <w:rPr>
          <w:rFonts w:ascii="Arial" w:hAnsi="Arial" w:cs="Arial"/>
          <w:b/>
          <w:bCs/>
          <w:sz w:val="20"/>
          <w:szCs w:val="20"/>
        </w:rPr>
        <w:lastRenderedPageBreak/>
        <w:t>Supplementary Figure 5</w:t>
      </w:r>
      <w:r w:rsidRPr="00051701">
        <w:rPr>
          <w:rFonts w:ascii="Arial" w:hAnsi="Arial" w:cs="Arial"/>
          <w:sz w:val="20"/>
          <w:szCs w:val="20"/>
        </w:rPr>
        <w:t xml:space="preserve">: Topic model results of the sensitivity analysis. The bar graphs of 1) and 2) depict the results of the 1) nine and 2) ten-topic </w:t>
      </w:r>
      <w:r w:rsidR="00051701">
        <w:rPr>
          <w:rFonts w:ascii="Arial" w:hAnsi="Arial" w:cs="Arial"/>
          <w:sz w:val="20"/>
          <w:szCs w:val="20"/>
        </w:rPr>
        <w:t>LDA</w:t>
      </w:r>
      <w:r w:rsidRPr="00051701">
        <w:rPr>
          <w:rFonts w:ascii="Arial" w:hAnsi="Arial" w:cs="Arial"/>
          <w:sz w:val="20"/>
          <w:szCs w:val="20"/>
        </w:rPr>
        <w:t xml:space="preserve"> model regarding the challenges of virtual primary care; with the topic labels identified by the researchers and the ten most frequently mentioned terms (one-gram and two-gram) for each topic. Beta = probability of a lemma appearing </w:t>
      </w:r>
      <w:proofErr w:type="gramStart"/>
      <w:r w:rsidRPr="00051701">
        <w:rPr>
          <w:rFonts w:ascii="Arial" w:hAnsi="Arial" w:cs="Arial"/>
          <w:sz w:val="20"/>
          <w:szCs w:val="20"/>
        </w:rPr>
        <w:t>in a given</w:t>
      </w:r>
      <w:proofErr w:type="gramEnd"/>
      <w:r w:rsidRPr="00051701">
        <w:rPr>
          <w:rFonts w:ascii="Arial" w:hAnsi="Arial" w:cs="Arial"/>
          <w:sz w:val="20"/>
          <w:szCs w:val="20"/>
        </w:rPr>
        <w:t xml:space="preserve"> topic</w:t>
      </w:r>
      <w:r w:rsidR="00051701" w:rsidRPr="00051701">
        <w:rPr>
          <w:rFonts w:ascii="Arial" w:hAnsi="Arial" w:cs="Arial"/>
          <w:sz w:val="20"/>
          <w:szCs w:val="20"/>
        </w:rPr>
        <w:t xml:space="preserve">. </w:t>
      </w:r>
    </w:p>
    <w:p w14:paraId="000001AE" w14:textId="5E9C727D" w:rsidR="00920126" w:rsidRPr="0098359A" w:rsidRDefault="00920126">
      <w:pPr>
        <w:rPr>
          <w:rFonts w:ascii="Arial" w:hAnsi="Arial" w:cs="Arial"/>
          <w:sz w:val="20"/>
          <w:szCs w:val="20"/>
        </w:rPr>
      </w:pPr>
    </w:p>
    <w:p w14:paraId="000001AF" w14:textId="5731C852" w:rsidR="00920126" w:rsidRPr="00051701" w:rsidRDefault="00803966">
      <w:pPr>
        <w:rPr>
          <w:rFonts w:ascii="Arial" w:hAnsi="Arial" w:cs="Arial"/>
          <w:bCs/>
          <w:sz w:val="20"/>
          <w:szCs w:val="20"/>
        </w:rPr>
      </w:pPr>
      <w:r w:rsidRPr="00051701">
        <w:rPr>
          <w:rFonts w:ascii="Arial" w:hAnsi="Arial" w:cs="Arial"/>
          <w:bCs/>
          <w:sz w:val="20"/>
          <w:szCs w:val="20"/>
        </w:rPr>
        <w:t xml:space="preserve">1) nine-topic </w:t>
      </w:r>
      <w:r w:rsidR="00051701" w:rsidRPr="00051701">
        <w:rPr>
          <w:rFonts w:ascii="Arial" w:hAnsi="Arial" w:cs="Arial"/>
          <w:bCs/>
          <w:sz w:val="20"/>
          <w:szCs w:val="20"/>
        </w:rPr>
        <w:t>LDA</w:t>
      </w:r>
      <w:r w:rsidRPr="00051701">
        <w:rPr>
          <w:rFonts w:ascii="Arial" w:hAnsi="Arial" w:cs="Arial"/>
          <w:bCs/>
          <w:sz w:val="20"/>
          <w:szCs w:val="20"/>
        </w:rPr>
        <w:t xml:space="preserve"> model </w:t>
      </w:r>
    </w:p>
    <w:p w14:paraId="000001B0" w14:textId="344A2610" w:rsidR="00920126" w:rsidRPr="000C73C6" w:rsidRDefault="00803966">
      <w:pPr>
        <w:rPr>
          <w:rFonts w:ascii="Arial" w:hAnsi="Arial" w:cs="Arial"/>
          <w:b/>
          <w:sz w:val="20"/>
          <w:szCs w:val="20"/>
        </w:rPr>
      </w:pPr>
      <w:r w:rsidRPr="000C73C6">
        <w:rPr>
          <w:rFonts w:ascii="Arial" w:hAnsi="Arial" w:cs="Arial"/>
          <w:b/>
          <w:noProof/>
          <w:sz w:val="20"/>
          <w:szCs w:val="20"/>
        </w:rPr>
        <w:drawing>
          <wp:inline distT="114300" distB="114300" distL="114300" distR="114300" wp14:anchorId="04B8DDDD" wp14:editId="43242A32">
            <wp:extent cx="5731200" cy="5727700"/>
            <wp:effectExtent l="0" t="0" r="0" b="0"/>
            <wp:docPr id="94717217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4"/>
                    <a:srcRect/>
                    <a:stretch>
                      <a:fillRect/>
                    </a:stretch>
                  </pic:blipFill>
                  <pic:spPr>
                    <a:xfrm>
                      <a:off x="0" y="0"/>
                      <a:ext cx="5731200" cy="5727700"/>
                    </a:xfrm>
                    <a:prstGeom prst="rect">
                      <a:avLst/>
                    </a:prstGeom>
                    <a:ln/>
                  </pic:spPr>
                </pic:pic>
              </a:graphicData>
            </a:graphic>
          </wp:inline>
        </w:drawing>
      </w:r>
    </w:p>
    <w:p w14:paraId="000001B1" w14:textId="118DC378" w:rsidR="00920126" w:rsidRPr="00051701" w:rsidRDefault="00803966">
      <w:pPr>
        <w:rPr>
          <w:rFonts w:ascii="Arial" w:hAnsi="Arial" w:cs="Arial"/>
          <w:bCs/>
          <w:sz w:val="20"/>
          <w:szCs w:val="20"/>
        </w:rPr>
      </w:pPr>
      <w:r w:rsidRPr="00051701">
        <w:rPr>
          <w:rFonts w:ascii="Arial" w:hAnsi="Arial" w:cs="Arial"/>
          <w:bCs/>
          <w:sz w:val="20"/>
          <w:szCs w:val="20"/>
        </w:rPr>
        <w:t>2) ten-topic L</w:t>
      </w:r>
      <w:r w:rsidR="00051701" w:rsidRPr="00051701">
        <w:rPr>
          <w:rFonts w:ascii="Arial" w:hAnsi="Arial" w:cs="Arial"/>
          <w:bCs/>
          <w:sz w:val="20"/>
          <w:szCs w:val="20"/>
        </w:rPr>
        <w:t xml:space="preserve">DA </w:t>
      </w:r>
      <w:r w:rsidRPr="00051701">
        <w:rPr>
          <w:rFonts w:ascii="Arial" w:hAnsi="Arial" w:cs="Arial"/>
          <w:bCs/>
          <w:sz w:val="20"/>
          <w:szCs w:val="20"/>
        </w:rPr>
        <w:t xml:space="preserve">model </w:t>
      </w:r>
    </w:p>
    <w:p w14:paraId="000001B2" w14:textId="41C917F2" w:rsidR="00920126" w:rsidRPr="000C73C6" w:rsidRDefault="00803966">
      <w:pPr>
        <w:rPr>
          <w:rFonts w:ascii="Arial" w:hAnsi="Arial" w:cs="Arial"/>
          <w:b/>
          <w:sz w:val="20"/>
          <w:szCs w:val="20"/>
        </w:rPr>
      </w:pPr>
      <w:r w:rsidRPr="000C73C6">
        <w:rPr>
          <w:rFonts w:ascii="Arial" w:hAnsi="Arial" w:cs="Arial"/>
          <w:b/>
          <w:noProof/>
          <w:sz w:val="20"/>
          <w:szCs w:val="20"/>
        </w:rPr>
        <w:lastRenderedPageBreak/>
        <w:drawing>
          <wp:inline distT="114300" distB="114300" distL="114300" distR="114300" wp14:anchorId="5D73A1DE" wp14:editId="3815BC75">
            <wp:extent cx="5731200" cy="4089400"/>
            <wp:effectExtent l="0" t="0" r="0" b="0"/>
            <wp:docPr id="94717215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5"/>
                    <a:srcRect/>
                    <a:stretch>
                      <a:fillRect/>
                    </a:stretch>
                  </pic:blipFill>
                  <pic:spPr>
                    <a:xfrm>
                      <a:off x="0" y="0"/>
                      <a:ext cx="5731200" cy="4089400"/>
                    </a:xfrm>
                    <a:prstGeom prst="rect">
                      <a:avLst/>
                    </a:prstGeom>
                    <a:ln/>
                  </pic:spPr>
                </pic:pic>
              </a:graphicData>
            </a:graphic>
          </wp:inline>
        </w:drawing>
      </w:r>
    </w:p>
    <w:sectPr w:rsidR="00920126" w:rsidRPr="000C73C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venir">
    <w:panose1 w:val="02000503020000020003"/>
    <w:charset w:val="00"/>
    <w:family w:val="auto"/>
    <w:pitch w:val="variable"/>
    <w:sig w:usb0="800000AF" w:usb1="5000204A" w:usb2="00000000" w:usb3="00000000" w:csb0="0000009B"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A70B6"/>
    <w:multiLevelType w:val="multilevel"/>
    <w:tmpl w:val="9EE2A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32617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126"/>
    <w:rsid w:val="00050F1C"/>
    <w:rsid w:val="00051701"/>
    <w:rsid w:val="000A79CC"/>
    <w:rsid w:val="000C73C6"/>
    <w:rsid w:val="001B645E"/>
    <w:rsid w:val="0035409F"/>
    <w:rsid w:val="004005E8"/>
    <w:rsid w:val="004625F7"/>
    <w:rsid w:val="004C169A"/>
    <w:rsid w:val="004D4FAF"/>
    <w:rsid w:val="00503E1D"/>
    <w:rsid w:val="00577A9E"/>
    <w:rsid w:val="005D1980"/>
    <w:rsid w:val="006752C0"/>
    <w:rsid w:val="006A66A7"/>
    <w:rsid w:val="006D16D0"/>
    <w:rsid w:val="006F7DBE"/>
    <w:rsid w:val="00776AF2"/>
    <w:rsid w:val="00780926"/>
    <w:rsid w:val="007924DD"/>
    <w:rsid w:val="00803966"/>
    <w:rsid w:val="00857C73"/>
    <w:rsid w:val="00887398"/>
    <w:rsid w:val="008E618A"/>
    <w:rsid w:val="00920126"/>
    <w:rsid w:val="00926673"/>
    <w:rsid w:val="0098359A"/>
    <w:rsid w:val="00A45B5F"/>
    <w:rsid w:val="00B5210A"/>
    <w:rsid w:val="00B63904"/>
    <w:rsid w:val="00D42302"/>
    <w:rsid w:val="00EB797D"/>
    <w:rsid w:val="00EE0E9D"/>
    <w:rsid w:val="00F402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826F1"/>
  <w15:docId w15:val="{0C74243E-B5DC-0543-8364-F3AC9CCA0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hd w:val="clear" w:color="auto" w:fill="FFFFFF"/>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E75B5"/>
      <w:sz w:val="26"/>
      <w:szCs w:val="26"/>
    </w:rPr>
  </w:style>
  <w:style w:type="paragraph" w:styleId="Heading3">
    <w:name w:val="heading 3"/>
    <w:basedOn w:val="Normal"/>
    <w:next w:val="Normal"/>
    <w:uiPriority w:val="9"/>
    <w:semiHidden/>
    <w:unhideWhenUsed/>
    <w:qFormat/>
    <w:pPr>
      <w:pBdr>
        <w:top w:val="none" w:sz="0" w:space="0" w:color="000000"/>
        <w:left w:val="none" w:sz="0" w:space="0" w:color="000000"/>
        <w:bottom w:val="none" w:sz="0" w:space="0" w:color="000000"/>
        <w:right w:val="none" w:sz="0" w:space="0" w:color="000000"/>
        <w:between w:val="none" w:sz="0" w:space="0" w:color="000000"/>
      </w:pBdr>
      <w:outlineLvl w:val="2"/>
    </w:pPr>
    <w:rPr>
      <w:b/>
      <w:color w:val="000000"/>
      <w:sz w:val="27"/>
      <w:szCs w:val="27"/>
    </w:rPr>
  </w:style>
  <w:style w:type="paragraph" w:styleId="Heading4">
    <w:name w:val="heading 4"/>
    <w:basedOn w:val="Normal"/>
    <w:next w:val="Normal"/>
    <w:uiPriority w:val="9"/>
    <w:semiHidden/>
    <w:unhideWhenUsed/>
    <w:qFormat/>
    <w:pPr>
      <w:pBdr>
        <w:top w:val="none" w:sz="0" w:space="0" w:color="000000"/>
        <w:left w:val="none" w:sz="0" w:space="0" w:color="000000"/>
        <w:bottom w:val="none" w:sz="0" w:space="0" w:color="000000"/>
        <w:right w:val="none" w:sz="0" w:space="0" w:color="000000"/>
        <w:between w:val="none" w:sz="0" w:space="0" w:color="000000"/>
      </w:pBdr>
      <w:outlineLvl w:val="3"/>
    </w:pPr>
    <w:rPr>
      <w:b/>
      <w:color w:val="000000"/>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shd w:val="clear" w:color="auto" w:fill="FFFFFF"/>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D52A3"/>
    <w:rPr>
      <w:b/>
      <w:bCs/>
    </w:rPr>
  </w:style>
  <w:style w:type="character" w:customStyle="1" w:styleId="CommentSubjectChar">
    <w:name w:val="Comment Subject Char"/>
    <w:basedOn w:val="CommentTextChar"/>
    <w:link w:val="CommentSubject"/>
    <w:uiPriority w:val="99"/>
    <w:semiHidden/>
    <w:rsid w:val="001D52A3"/>
    <w:rPr>
      <w:b/>
      <w:bCs/>
      <w:sz w:val="20"/>
      <w:szCs w:val="20"/>
      <w:shd w:val="clear" w:color="auto" w:fill="FFFFFF"/>
    </w:r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926673"/>
    <w:pPr>
      <w:shd w:val="clear" w:color="auto" w:fill="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5.jp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g"/><Relationship Id="rId25" Type="http://schemas.openxmlformats.org/officeDocument/2006/relationships/image" Target="media/image19.png"/><Relationship Id="rId2" Type="http://schemas.openxmlformats.org/officeDocument/2006/relationships/customXml" Target="../customXml/item2.xml"/><Relationship Id="rId16" Type="http://schemas.openxmlformats.org/officeDocument/2006/relationships/image" Target="media/image10.jpg"/><Relationship Id="rId20"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settings" Target="settings.xml"/><Relationship Id="rId15" Type="http://schemas.openxmlformats.org/officeDocument/2006/relationships/image" Target="media/image9.jpg"/><Relationship Id="rId23" Type="http://schemas.openxmlformats.org/officeDocument/2006/relationships/image" Target="media/image17.png"/><Relationship Id="rId10" Type="http://schemas.openxmlformats.org/officeDocument/2006/relationships/image" Target="media/image4.tiff"/><Relationship Id="rId19" Type="http://schemas.openxmlformats.org/officeDocument/2006/relationships/image" Target="media/image13.jp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clXYCFH3QdtKp4GPFYNRMHtnQ==">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</go:docsCustomData>
</go:gDocsCustomXmlDataStorage>
</file>

<file path=customXml/itemProps1.xml><?xml version="1.0" encoding="utf-8"?>
<ds:datastoreItem xmlns:ds="http://schemas.openxmlformats.org/officeDocument/2006/customXml" ds:itemID="{1364898B-E73C-D443-BBE0-CFB644C5336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.~WRD0000</Template>
  <TotalTime>166</TotalTime>
  <Pages>32</Pages>
  <Words>33427</Words>
  <Characters>190540</Characters>
  <Application>Microsoft Office Word</Application>
  <DocSecurity>0</DocSecurity>
  <Lines>1587</Lines>
  <Paragraphs>447</Paragraphs>
  <ScaleCrop>false</ScaleCrop>
  <HeadingPairs>
    <vt:vector size="2" baseType="variant">
      <vt:variant>
        <vt:lpstr>Title</vt:lpstr>
      </vt:variant>
      <vt:variant>
        <vt:i4>1</vt:i4>
      </vt:variant>
    </vt:vector>
  </HeadingPairs>
  <TitlesOfParts>
    <vt:vector size="1" baseType="lpstr">
      <vt:lpstr/>
    </vt:vector>
  </TitlesOfParts>
  <Company>Charité Universtiätsmedizin Berlin</Company>
  <LinksUpToDate>false</LinksUpToDate>
  <CharactersWithSpaces>223520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dc:creator>
  <cp:keywords/>
  <dc:description/>
  <cp:lastModifiedBy>FM</cp:lastModifiedBy>
  <cp:revision>6</cp:revision>
  <dcterms:created xsi:type="dcterms:W3CDTF">2023-08-13T21:07:00Z</dcterms:created>
  <dcterms:modified xsi:type="dcterms:W3CDTF">2024-06-11T21:54:00Z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http://www.zotero.org/styles/vancouver-imperial-college-london</vt:lpwstr>
  </property>
  <property fmtid="{D5CDD505-2E9C-101B-9397-08002B2CF9AE}" pid="11" name="Mendeley Recent Style Name 4_1">
    <vt:lpwstr>Imperial College London - Vancouver</vt:lpwstr>
  </property>
  <property fmtid="{D5CDD505-2E9C-101B-9397-08002B2CF9AE}" pid="12" name="Mendeley Recent Style Id 5_1">
    <vt:lpwstr>http://csl.mendeley.com/styles/633443481/vancouver-imperial-college-london</vt:lpwstr>
  </property>
  <property fmtid="{D5CDD505-2E9C-101B-9397-08002B2CF9AE}" pid="13" name="Mendeley Recent Style Name 5_1">
    <vt:lpwstr>Imperial College London - Vancouver - Felix Machleid</vt:lpwstr>
  </property>
  <property fmtid="{D5CDD505-2E9C-101B-9397-08002B2CF9AE}" pid="14" name="Mendeley Recent Style Id 6_1">
    <vt:lpwstr>http://www.zotero.org/styles/sage-harvard</vt:lpwstr>
  </property>
  <property fmtid="{D5CDD505-2E9C-101B-9397-08002B2CF9AE}" pid="15" name="Mendeley Recent Style Name 6_1">
    <vt:lpwstr>SAGE - Harvard</vt:lpwstr>
  </property>
  <property fmtid="{D5CDD505-2E9C-101B-9397-08002B2CF9AE}" pid="16" name="Mendeley Recent Style Id 7_1">
    <vt:lpwstr>http://www.zotero.org/styles/sage-vancouver</vt:lpwstr>
  </property>
  <property fmtid="{D5CDD505-2E9C-101B-9397-08002B2CF9AE}" pid="17" name="Mendeley Recent Style Name 7_1">
    <vt:lpwstr>SAGE - Vancouver</vt:lpwstr>
  </property>
  <property fmtid="{D5CDD505-2E9C-101B-9397-08002B2CF9AE}" pid="18" name="Mendeley Recent Style Id 8_1">
    <vt:lpwstr>http://www.zotero.org/styles/the-lancet</vt:lpwstr>
  </property>
  <property fmtid="{D5CDD505-2E9C-101B-9397-08002B2CF9AE}" pid="19" name="Mendeley Recent Style Name 8_1">
    <vt:lpwstr>The Lancet</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10e540e9-2755-3421-94da-f9eae0eeb1e4</vt:lpwstr>
  </property>
  <property fmtid="{D5CDD505-2E9C-101B-9397-08002B2CF9AE}" pid="24" name="Mendeley Citation Style_1">
    <vt:lpwstr>http://www.zotero.org/styles/sage-harvard</vt:lpwstr>
  </property>
</Properties>
</file>