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331A" w:rsidRDefault="000165CD">
      <w:pPr>
        <w:pStyle w:val="BodyA"/>
        <w:jc w:val="center"/>
        <w:rPr>
          <w:b/>
          <w:bCs/>
        </w:rPr>
      </w:pPr>
      <w:bookmarkStart w:id="0" w:name="_GoBack"/>
      <w:bookmarkEnd w:id="0"/>
      <w:r>
        <w:rPr>
          <w:b/>
          <w:bCs/>
        </w:rPr>
        <w:t>Haemophagocytic Lymphohistiocytosis responding to withdrawal of gluten: a case report</w:t>
      </w:r>
    </w:p>
    <w:p w:rsidR="00E1331A" w:rsidRDefault="000165CD">
      <w:pPr>
        <w:pStyle w:val="BodyA"/>
        <w:jc w:val="center"/>
        <w:rPr>
          <w:vertAlign w:val="superscript"/>
        </w:rPr>
      </w:pPr>
      <w:r>
        <w:rPr>
          <w:lang w:val="es-ES_tradnl"/>
        </w:rPr>
        <w:t xml:space="preserve">Nicholas J Fordham </w:t>
      </w:r>
      <w:r>
        <w:rPr>
          <w:vertAlign w:val="superscript"/>
        </w:rPr>
        <w:t>1</w:t>
      </w:r>
      <w:r>
        <w:rPr>
          <w:lang w:val="es-ES_tradnl"/>
        </w:rPr>
        <w:t xml:space="preserve">, Richa Ajitsaria </w:t>
      </w:r>
      <w:r>
        <w:rPr>
          <w:vertAlign w:val="superscript"/>
        </w:rPr>
        <w:t>2</w:t>
      </w:r>
      <w:r>
        <w:rPr>
          <w:rStyle w:val="NoneA"/>
        </w:rPr>
        <w:t xml:space="preserve">, Leena Karnik </w:t>
      </w:r>
      <w:r>
        <w:rPr>
          <w:vertAlign w:val="superscript"/>
        </w:rPr>
        <w:t>3</w:t>
      </w:r>
      <w:r>
        <w:rPr>
          <w:rStyle w:val="NoneA"/>
        </w:rPr>
        <w:t xml:space="preserve">, Subarna Chakravorty </w:t>
      </w:r>
      <w:r>
        <w:rPr>
          <w:vertAlign w:val="superscript"/>
        </w:rPr>
        <w:t>4</w:t>
      </w:r>
    </w:p>
    <w:p w:rsidR="00E1331A" w:rsidRDefault="00E1331A">
      <w:pPr>
        <w:pStyle w:val="BodyA"/>
        <w:jc w:val="both"/>
        <w:rPr>
          <w:b/>
          <w:bCs/>
        </w:rPr>
      </w:pPr>
    </w:p>
    <w:p w:rsidR="00E1331A" w:rsidRDefault="000165CD">
      <w:pPr>
        <w:pStyle w:val="BodyA"/>
        <w:jc w:val="both"/>
        <w:rPr>
          <w:rStyle w:val="None"/>
          <w:sz w:val="24"/>
          <w:szCs w:val="24"/>
        </w:rPr>
      </w:pPr>
      <w:r>
        <w:t xml:space="preserve">1. </w:t>
      </w:r>
      <w:r>
        <w:rPr>
          <w:sz w:val="24"/>
          <w:szCs w:val="24"/>
        </w:rPr>
        <w:t xml:space="preserve">Haematology Registrar; St Helier’s Hospital, Wrythe Lane, Carshalton, Surrey SM5 1AA. </w:t>
      </w:r>
      <w:hyperlink r:id="rId7" w:history="1">
        <w:r>
          <w:rPr>
            <w:rStyle w:val="Hyperlink0"/>
          </w:rPr>
          <w:t>nickfordham@doctors.org.uk</w:t>
        </w:r>
      </w:hyperlink>
      <w:r>
        <w:rPr>
          <w:rStyle w:val="None"/>
          <w:sz w:val="24"/>
          <w:szCs w:val="24"/>
        </w:rPr>
        <w:t>. *</w:t>
      </w:r>
    </w:p>
    <w:p w:rsidR="00E1331A" w:rsidRDefault="000165CD">
      <w:pPr>
        <w:pStyle w:val="BodyA"/>
        <w:jc w:val="both"/>
        <w:rPr>
          <w:rStyle w:val="None"/>
          <w:sz w:val="24"/>
          <w:szCs w:val="24"/>
        </w:rPr>
      </w:pPr>
      <w:r>
        <w:rPr>
          <w:rStyle w:val="None"/>
          <w:sz w:val="24"/>
          <w:szCs w:val="24"/>
        </w:rPr>
        <w:t xml:space="preserve">2. Consultant Paediatrician; Hillingdon Hospital, Pield Heath Road, Uxbridge, UB8 3NN. </w:t>
      </w:r>
      <w:hyperlink r:id="rId8" w:history="1">
        <w:r>
          <w:rPr>
            <w:rStyle w:val="Hyperlink0"/>
          </w:rPr>
          <w:t>Richa.Ajitsaria@thh.nhs.uk</w:t>
        </w:r>
      </w:hyperlink>
    </w:p>
    <w:p w:rsidR="00E1331A" w:rsidRDefault="000165CD">
      <w:pPr>
        <w:pStyle w:val="BodyA"/>
        <w:jc w:val="both"/>
        <w:rPr>
          <w:rStyle w:val="None"/>
          <w:sz w:val="24"/>
          <w:szCs w:val="24"/>
        </w:rPr>
      </w:pPr>
      <w:r>
        <w:rPr>
          <w:rStyle w:val="None"/>
          <w:sz w:val="24"/>
          <w:szCs w:val="24"/>
          <w:lang w:val="it-IT"/>
        </w:rPr>
        <w:t xml:space="preserve">3. Consultant </w:t>
      </w:r>
      <w:r>
        <w:rPr>
          <w:rStyle w:val="None"/>
          <w:sz w:val="24"/>
          <w:szCs w:val="24"/>
          <w:lang w:val="it-IT"/>
        </w:rPr>
        <w:t>Paediatric Haematologist; St Mary</w:t>
      </w:r>
      <w:r>
        <w:rPr>
          <w:rStyle w:val="None"/>
          <w:sz w:val="24"/>
          <w:szCs w:val="24"/>
        </w:rPr>
        <w:t xml:space="preserve">’s Hospital, Praed Street, London, W2 1NY. </w:t>
      </w:r>
      <w:hyperlink r:id="rId9" w:history="1">
        <w:r>
          <w:rPr>
            <w:rStyle w:val="Hyperlink1"/>
          </w:rPr>
          <w:t>Leena.karnik@imperial.nhs.uk</w:t>
        </w:r>
      </w:hyperlink>
    </w:p>
    <w:p w:rsidR="00E1331A" w:rsidRDefault="000165CD">
      <w:pPr>
        <w:pStyle w:val="BodyA"/>
        <w:jc w:val="both"/>
        <w:rPr>
          <w:rStyle w:val="None"/>
          <w:sz w:val="24"/>
          <w:szCs w:val="24"/>
        </w:rPr>
      </w:pPr>
      <w:r>
        <w:rPr>
          <w:rStyle w:val="None"/>
          <w:sz w:val="24"/>
          <w:szCs w:val="24"/>
          <w:lang w:val="it-IT"/>
        </w:rPr>
        <w:t>4. Consultant Paediatric Haematologist and Honorary Senior Clinical Lecturer; Imperial College Londo</w:t>
      </w:r>
      <w:r>
        <w:rPr>
          <w:rStyle w:val="None"/>
          <w:sz w:val="24"/>
          <w:szCs w:val="24"/>
          <w:lang w:val="it-IT"/>
        </w:rPr>
        <w:t>n</w:t>
      </w:r>
      <w:r>
        <w:rPr>
          <w:rStyle w:val="None"/>
          <w:sz w:val="24"/>
          <w:szCs w:val="24"/>
          <w:lang w:val="da-DK"/>
        </w:rPr>
        <w:t xml:space="preserve">  </w:t>
      </w:r>
      <w:hyperlink r:id="rId10" w:history="1">
        <w:r>
          <w:rPr>
            <w:rStyle w:val="Hyperlink1"/>
          </w:rPr>
          <w:t>Subarna.chakravorty@nhs.net</w:t>
        </w:r>
      </w:hyperlink>
    </w:p>
    <w:p w:rsidR="00E1331A" w:rsidRDefault="000165CD">
      <w:pPr>
        <w:pStyle w:val="BodyA"/>
      </w:pPr>
      <w:r>
        <w:br w:type="page"/>
      </w:r>
    </w:p>
    <w:p w:rsidR="00E1331A" w:rsidRDefault="000165CD">
      <w:pPr>
        <w:pStyle w:val="BodyA"/>
        <w:jc w:val="both"/>
        <w:rPr>
          <w:rStyle w:val="None"/>
          <w:b/>
          <w:bCs/>
          <w:lang w:val="de-DE"/>
        </w:rPr>
      </w:pPr>
      <w:r>
        <w:rPr>
          <w:rStyle w:val="None"/>
          <w:b/>
          <w:bCs/>
          <w:lang w:val="de-DE"/>
        </w:rPr>
        <w:lastRenderedPageBreak/>
        <w:t>Abstract</w:t>
      </w:r>
    </w:p>
    <w:p w:rsidR="00E1331A" w:rsidRDefault="000165CD">
      <w:pPr>
        <w:pStyle w:val="BodyA"/>
        <w:jc w:val="both"/>
        <w:rPr>
          <w:rStyle w:val="None"/>
          <w:i/>
          <w:iCs/>
          <w:lang w:val="fr-FR"/>
        </w:rPr>
      </w:pPr>
      <w:r>
        <w:rPr>
          <w:rStyle w:val="None"/>
          <w:i/>
          <w:iCs/>
          <w:lang w:val="fr-FR"/>
        </w:rPr>
        <w:t>Introduction</w:t>
      </w:r>
    </w:p>
    <w:p w:rsidR="00E1331A" w:rsidRDefault="000165CD">
      <w:pPr>
        <w:pStyle w:val="BodyA"/>
        <w:jc w:val="both"/>
      </w:pPr>
      <w:r>
        <w:t xml:space="preserve">This is the first documented case of a patient with Haemophagocytic Lymphohistiocytosis (HLH) in association with coeliac disease. There was complete </w:t>
      </w:r>
      <w:r>
        <w:t>clinical and biochemical remission of HLH following the introduction of a gluten free diet.</w:t>
      </w:r>
    </w:p>
    <w:p w:rsidR="00E1331A" w:rsidRDefault="000165CD">
      <w:pPr>
        <w:pStyle w:val="BodyA"/>
        <w:jc w:val="both"/>
        <w:rPr>
          <w:rStyle w:val="None"/>
          <w:i/>
          <w:iCs/>
          <w:lang w:val="it-IT"/>
        </w:rPr>
      </w:pPr>
      <w:r>
        <w:rPr>
          <w:rStyle w:val="None"/>
          <w:i/>
          <w:iCs/>
          <w:lang w:val="it-IT"/>
        </w:rPr>
        <w:t>Case presentation</w:t>
      </w:r>
    </w:p>
    <w:p w:rsidR="00E1331A" w:rsidRDefault="000165CD">
      <w:pPr>
        <w:pStyle w:val="BodyA"/>
        <w:jc w:val="both"/>
      </w:pPr>
      <w:r>
        <w:t>A seven-year old Caucasian girl presented with fevers, maculopapular rash with a recent history of tonsillitis. Blood tests revealed thrombocytope</w:t>
      </w:r>
      <w:r>
        <w:t>nia (64 x 10</w:t>
      </w:r>
      <w:r>
        <w:rPr>
          <w:rStyle w:val="None"/>
          <w:vertAlign w:val="superscript"/>
        </w:rPr>
        <w:t>9</w:t>
      </w:r>
      <w:r>
        <w:t xml:space="preserve">/L), anaemia (80g/L), hypofibrinogenaemia (1g/L) and hyperferritinaemia (71378µg/L). A bone marrow revealed evidence of haemophagocytosis, but tests for the genetic or familial associated HLH syndromes were negative. Screening tests for known </w:t>
      </w:r>
      <w:r>
        <w:t xml:space="preserve">secondary causes was negative. She was diagnosed with HLH, and following treatment with the HLH-2004 protocol these symptoms, in addition to the biochemical and haematological markers completely resolved. </w:t>
      </w:r>
    </w:p>
    <w:p w:rsidR="00E1331A" w:rsidRDefault="000165CD">
      <w:pPr>
        <w:pStyle w:val="BodyA"/>
        <w:jc w:val="both"/>
      </w:pPr>
      <w:r>
        <w:t xml:space="preserve">The patient presented again ten months later with </w:t>
      </w:r>
      <w:r>
        <w:t>fever, rash, and biochemical abnormalities suggestive of HLH. Tissue transglutamase was markedly raised and blood tests revealed a genetic susceptibly to coeliac disease in the form of HLA DQ2 positivity. She commenced a gluten free diet and there was comp</w:t>
      </w:r>
      <w:r>
        <w:t xml:space="preserve">lete symptomatic and biochemical response without any further chemotherapy. She had further episodic rashes, each associated with the accidental intake of gluten. </w:t>
      </w:r>
    </w:p>
    <w:p w:rsidR="00E1331A" w:rsidRDefault="000165CD">
      <w:pPr>
        <w:pStyle w:val="BodyA"/>
        <w:jc w:val="both"/>
        <w:rPr>
          <w:rStyle w:val="None"/>
          <w:i/>
          <w:iCs/>
          <w:lang w:val="it-IT"/>
        </w:rPr>
      </w:pPr>
      <w:r>
        <w:rPr>
          <w:rStyle w:val="None"/>
          <w:i/>
          <w:iCs/>
          <w:lang w:val="it-IT"/>
        </w:rPr>
        <w:t>Conclusion</w:t>
      </w:r>
    </w:p>
    <w:p w:rsidR="00E1331A" w:rsidRDefault="000165CD">
      <w:pPr>
        <w:pStyle w:val="BodyA"/>
        <w:jc w:val="both"/>
      </w:pPr>
      <w:r>
        <w:t>This is to our knowledge the first documented case of HLH in association with coe</w:t>
      </w:r>
      <w:r>
        <w:t xml:space="preserve">liac disease. There was no other secondary cause found; she initially responded to chemo-immunotherapy specific for HLH but relapsed within a few months of cessation of treatment and then achieved complete remission on gluten withdrawal alone. </w:t>
      </w:r>
    </w:p>
    <w:p w:rsidR="00E1331A" w:rsidRDefault="00E1331A">
      <w:pPr>
        <w:pStyle w:val="BodyA"/>
        <w:jc w:val="both"/>
        <w:rPr>
          <w:i/>
          <w:iCs/>
        </w:rPr>
      </w:pPr>
    </w:p>
    <w:p w:rsidR="00E1331A" w:rsidRDefault="000165CD">
      <w:pPr>
        <w:pStyle w:val="BodyA"/>
        <w:jc w:val="both"/>
        <w:rPr>
          <w:rStyle w:val="None"/>
          <w:b/>
          <w:bCs/>
        </w:rPr>
      </w:pPr>
      <w:r>
        <w:rPr>
          <w:rStyle w:val="None"/>
          <w:b/>
          <w:bCs/>
        </w:rPr>
        <w:t>Keywords</w:t>
      </w:r>
    </w:p>
    <w:p w:rsidR="00E1331A" w:rsidRDefault="000165CD">
      <w:pPr>
        <w:pStyle w:val="BodyA"/>
        <w:jc w:val="both"/>
        <w:rPr>
          <w:rStyle w:val="None"/>
          <w:lang w:val="pt-PT"/>
        </w:rPr>
      </w:pPr>
      <w:r>
        <w:rPr>
          <w:rStyle w:val="None"/>
          <w:lang w:val="pt-PT"/>
        </w:rPr>
        <w:t>H</w:t>
      </w:r>
      <w:r>
        <w:rPr>
          <w:rStyle w:val="None"/>
          <w:lang w:val="pt-PT"/>
        </w:rPr>
        <w:t>LH; Haemophagocytosis; Coeliac Disease; Gluten.</w:t>
      </w:r>
    </w:p>
    <w:p w:rsidR="00E1331A" w:rsidRDefault="00E1331A">
      <w:pPr>
        <w:pStyle w:val="BodyA"/>
        <w:jc w:val="both"/>
        <w:rPr>
          <w:b/>
          <w:bCs/>
        </w:rPr>
      </w:pPr>
    </w:p>
    <w:p w:rsidR="00E1331A" w:rsidRDefault="00E1331A">
      <w:pPr>
        <w:pStyle w:val="BodyA"/>
        <w:jc w:val="both"/>
        <w:rPr>
          <w:b/>
          <w:bCs/>
        </w:rPr>
      </w:pPr>
    </w:p>
    <w:p w:rsidR="00E1331A" w:rsidRDefault="000165CD">
      <w:pPr>
        <w:pStyle w:val="BodyA"/>
        <w:jc w:val="both"/>
      </w:pPr>
      <w:r>
        <w:br w:type="page"/>
      </w:r>
    </w:p>
    <w:p w:rsidR="00E1331A" w:rsidRDefault="000165CD">
      <w:pPr>
        <w:pStyle w:val="BodyA"/>
        <w:jc w:val="both"/>
        <w:rPr>
          <w:rStyle w:val="None"/>
          <w:b/>
          <w:bCs/>
          <w:lang w:val="fr-FR"/>
        </w:rPr>
      </w:pPr>
      <w:r>
        <w:rPr>
          <w:rStyle w:val="None"/>
          <w:b/>
          <w:bCs/>
          <w:lang w:val="fr-FR"/>
        </w:rPr>
        <w:lastRenderedPageBreak/>
        <w:t>Introduction</w:t>
      </w:r>
    </w:p>
    <w:p w:rsidR="00E1331A" w:rsidRDefault="000165CD">
      <w:pPr>
        <w:pStyle w:val="BodyA"/>
        <w:jc w:val="both"/>
      </w:pPr>
      <w:r>
        <w:rPr>
          <w:rStyle w:val="NoneA"/>
        </w:rPr>
        <w:t>Haemophagocytic Lymphohistiocytosis (HLH) is a multisystem inflammatory disorder, caused by persistent activation of the immune system, particularly macrophages and T-cells.</w:t>
      </w:r>
      <w:r>
        <w:rPr>
          <w:rStyle w:val="None"/>
          <w:vertAlign w:val="superscript"/>
          <w:lang w:val="pt-PT"/>
        </w:rPr>
        <w:t xml:space="preserve"> [1]</w:t>
      </w:r>
      <w:r>
        <w:rPr>
          <w:rStyle w:val="NoneA"/>
        </w:rPr>
        <w:t xml:space="preserve"> Haemophagocyt</w:t>
      </w:r>
      <w:r>
        <w:rPr>
          <w:rStyle w:val="NoneA"/>
        </w:rPr>
        <w:t>osis by macrophages is the hallmark of this syndrome and is most commonly identified in the bone marrow. Decreased natural killer (NK) cell activity resulting in reduction of cellular cytotoxicity causing persistent antigen presentation and cytokine releas</w:t>
      </w:r>
      <w:r>
        <w:rPr>
          <w:rStyle w:val="NoneA"/>
        </w:rPr>
        <w:t>e leading to macrophage activation is an important disease mechanism.</w:t>
      </w:r>
      <w:r>
        <w:rPr>
          <w:rStyle w:val="None"/>
          <w:vertAlign w:val="superscript"/>
          <w:lang w:val="pt-PT"/>
        </w:rPr>
        <w:t xml:space="preserve"> [1, 2]</w:t>
      </w:r>
      <w:r>
        <w:rPr>
          <w:rStyle w:val="NoneA"/>
        </w:rPr>
        <w:t xml:space="preserve"> Macrophage activation leads to the secretion of cytokines such as tumour necrosis factor alpha, Interleukins (IL), particularly IL-1 and 6,</w:t>
      </w:r>
      <w:r>
        <w:rPr>
          <w:rStyle w:val="None"/>
          <w:vertAlign w:val="superscript"/>
        </w:rPr>
        <w:t xml:space="preserve"> </w:t>
      </w:r>
      <w:r>
        <w:rPr>
          <w:rStyle w:val="NoneA"/>
        </w:rPr>
        <w:t xml:space="preserve">causing  further T-cell and macrophage </w:t>
      </w:r>
      <w:r>
        <w:rPr>
          <w:rStyle w:val="NoneA"/>
        </w:rPr>
        <w:t>activation.</w:t>
      </w:r>
      <w:r>
        <w:rPr>
          <w:rStyle w:val="None"/>
          <w:vertAlign w:val="superscript"/>
          <w:lang w:val="pt-PT"/>
        </w:rPr>
        <w:t xml:space="preserve"> [1]</w:t>
      </w:r>
    </w:p>
    <w:p w:rsidR="00E1331A" w:rsidRDefault="000165CD">
      <w:pPr>
        <w:pStyle w:val="BodyA"/>
        <w:jc w:val="both"/>
      </w:pPr>
      <w:r>
        <w:rPr>
          <w:rStyle w:val="NoneA"/>
        </w:rPr>
        <w:t>The hyperactive immune system causes the classic clinical features of persistent fever, rash, arthralgia and splenomegaly. Laboratory investigations show cytopenias, hypofibringonaemia, hypertriglyceridaemia, haemophagocytosis.</w:t>
      </w:r>
      <w:r>
        <w:rPr>
          <w:rStyle w:val="None"/>
          <w:vertAlign w:val="superscript"/>
          <w:lang w:val="pt-PT"/>
        </w:rPr>
        <w:t xml:space="preserve"> [2]</w:t>
      </w:r>
      <w:r>
        <w:rPr>
          <w:rStyle w:val="NoneA"/>
        </w:rPr>
        <w:t xml:space="preserve"> Diagnost</w:t>
      </w:r>
      <w:r>
        <w:rPr>
          <w:rStyle w:val="NoneA"/>
        </w:rPr>
        <w:t>ic criteria outlined by the Histiocyte Society, based on the clinical and laboratory findings and are well described in the literature</w:t>
      </w:r>
      <w:r>
        <w:rPr>
          <w:rStyle w:val="None"/>
          <w:vertAlign w:val="superscript"/>
          <w:lang w:val="pt-PT"/>
        </w:rPr>
        <w:t>[2]</w:t>
      </w:r>
      <w:r>
        <w:rPr>
          <w:rStyle w:val="NoneA"/>
        </w:rPr>
        <w:t xml:space="preserve"> </w:t>
      </w:r>
    </w:p>
    <w:p w:rsidR="00E1331A" w:rsidRDefault="00E1331A">
      <w:pPr>
        <w:pStyle w:val="BodyA"/>
        <w:jc w:val="both"/>
      </w:pPr>
    </w:p>
    <w:p w:rsidR="00E1331A" w:rsidRDefault="000165CD">
      <w:pPr>
        <w:pStyle w:val="BodyA"/>
        <w:jc w:val="both"/>
        <w:rPr>
          <w:rStyle w:val="None"/>
          <w:b/>
          <w:bCs/>
          <w:lang w:val="fr-FR"/>
        </w:rPr>
      </w:pPr>
      <w:r>
        <w:rPr>
          <w:rStyle w:val="None"/>
          <w:b/>
          <w:bCs/>
          <w:lang w:val="fr-FR"/>
        </w:rPr>
        <w:t>Case Report</w:t>
      </w:r>
    </w:p>
    <w:p w:rsidR="00E1331A" w:rsidRDefault="000165CD">
      <w:pPr>
        <w:pStyle w:val="BodyA"/>
        <w:jc w:val="both"/>
      </w:pPr>
      <w:r>
        <w:t>We present the interesting case of a caucasian girl with HLH in association with coeliac disease. She first presented aged 7 years with a 2-week history of fever, associated with tonsillitis not responding to antibiotics. She also had arthralgia, weight lo</w:t>
      </w:r>
      <w:r>
        <w:t xml:space="preserve">ss and examination revealed a widespread maculopapular rash with no other specific features and no hepatosplenomegaly. She had previously been well, with no significant family history or long term medications. </w:t>
      </w:r>
    </w:p>
    <w:p w:rsidR="00E1331A" w:rsidRDefault="000165CD">
      <w:pPr>
        <w:pStyle w:val="BodyA"/>
        <w:jc w:val="both"/>
      </w:pPr>
      <w:r>
        <w:t xml:space="preserve">Blood tests revealed thrombocytopenia (64 x </w:t>
      </w:r>
      <w:r>
        <w:t>10</w:t>
      </w:r>
      <w:r>
        <w:rPr>
          <w:rStyle w:val="None"/>
          <w:vertAlign w:val="superscript"/>
        </w:rPr>
        <w:t>9</w:t>
      </w:r>
      <w:r>
        <w:t>/L), anaemia (80g/L), liver function derangement (alanine aminotransferase 1038 IU/ml) and hypofibrinogenaemia (1g/L). She had a raised ferritin (71,378µg/L), and a bone marrow biopsy showed occasional haemophagocytosis. Perforin expression was normal b</w:t>
      </w:r>
      <w:r>
        <w:t xml:space="preserve">y flow cytometry and cytotoxic T-lymphocyte (CTL) and NK cell granule release on stimulation by mitogens was normal. Genotyping of the </w:t>
      </w:r>
      <w:r>
        <w:rPr>
          <w:rStyle w:val="None"/>
          <w:i/>
          <w:iCs/>
        </w:rPr>
        <w:t>PRF</w:t>
      </w:r>
      <w:r>
        <w:t xml:space="preserve"> gene encoding perforin protein was wildtype. Auto-immune screen, including rheumatoid factor, anti-neutrophil cytopla</w:t>
      </w:r>
      <w:r>
        <w:t>smic antibody, anti-double stranded DNA and anti-citrulinated protein antibody was negative.  Viral screen including Epstein-Barr virus (EBV), parvovirus, human herpes virus 6, enterovirus, adenovirus, cytomegalovirus (CMV), human immunodeficiency virus an</w:t>
      </w:r>
      <w:r>
        <w:t>d hepatitis screen were negative.</w:t>
      </w:r>
    </w:p>
    <w:p w:rsidR="00E1331A" w:rsidRDefault="000165CD">
      <w:pPr>
        <w:pStyle w:val="BodyA"/>
        <w:jc w:val="both"/>
      </w:pPr>
      <w:r>
        <w:t>She commenced treatment on the HLH-2004 protocol, with etoposide, dexamethasone and ciclosporin given over 40 weeks for a diagnosis of HLH for which no underlying cause was identified. She completed her treatment with a go</w:t>
      </w:r>
      <w:r>
        <w:t>od clinical and biochemical response. Ten months later, she re-presented with a history of fevers, headaches and lethargy. Blood tests showed a high ferritin (6702 µg/L) and lactate dehydrogenase (1002units/L). She had no cytopenias and a repeat bone marro</w:t>
      </w:r>
      <w:r>
        <w:t xml:space="preserve">w aspirate showed no evidence of haemophagocytosis. </w:t>
      </w:r>
    </w:p>
    <w:p w:rsidR="00E1331A" w:rsidRDefault="000165CD">
      <w:pPr>
        <w:pStyle w:val="BodyA"/>
        <w:jc w:val="both"/>
      </w:pPr>
      <w:r>
        <w:t>Her subsequent clinical course was complicated by recurrent fevers, arthralgia, widespread macular rash and weight loss. Her ferritin and LDH remained markedly raised and repeat virology investigations w</w:t>
      </w:r>
      <w:r>
        <w:t xml:space="preserve">ere negative.  A repeat auto-immune screen revealed markedly raised tissue trans-glutaminase antibodies (tTG) of 108 Units/ml (normal range 0-6.9 Units/ml). A jejunal biopsy was deemed too high </w:t>
      </w:r>
      <w:r>
        <w:lastRenderedPageBreak/>
        <w:t>risk and a gluten free diet was urgently commenced. Genetic te</w:t>
      </w:r>
      <w:r>
        <w:t>sting revealed a susceptibility to coeliac disease, in the form of HLA DQ2 positivity, and she was therefore diagnosed with coeliac disease (CD).</w:t>
      </w:r>
    </w:p>
    <w:p w:rsidR="00E1331A" w:rsidRDefault="000165CD">
      <w:pPr>
        <w:pStyle w:val="BodyA"/>
        <w:jc w:val="both"/>
      </w:pPr>
      <w:r>
        <w:t>She continued a gluten free diet following which her clinical features improved and her biochemical markers, i</w:t>
      </w:r>
      <w:r>
        <w:t>ncluding tTGs, gradually returned to normal. She had no further recurrences of her HLH symptoms since the introduction of gluten free diet. However, she continued to have intermittent episodes of macular rash and arthralgia, particularly associated with ac</w:t>
      </w:r>
      <w:r>
        <w:t>cidental ingestion of gluten. Two years subsequent to this she developed symptoms suggestive of juvenile idiopathic arthritis, (JIA) without HLH or macrophage activation syndrome and received treatment with systemic steroids in addition to methotrexate, wi</w:t>
      </w:r>
      <w:r>
        <w:t xml:space="preserve">th clinical resolution. Her autoimmune profile remained negative. Figure 1 elucidates her clinical course. </w:t>
      </w:r>
    </w:p>
    <w:p w:rsidR="00E1331A" w:rsidRDefault="000165CD">
      <w:pPr>
        <w:pStyle w:val="BodyA"/>
      </w:pPr>
      <w:r>
        <w:rPr>
          <w:rStyle w:val="None"/>
          <w:b/>
          <w:bCs/>
        </w:rPr>
        <w:br w:type="page"/>
      </w:r>
    </w:p>
    <w:p w:rsidR="00E1331A" w:rsidRDefault="000165CD">
      <w:pPr>
        <w:pStyle w:val="BodyA"/>
        <w:rPr>
          <w:rStyle w:val="None"/>
          <w:b/>
          <w:bCs/>
        </w:rPr>
      </w:pPr>
      <w:r>
        <w:rPr>
          <w:rStyle w:val="None"/>
          <w:b/>
          <w:bCs/>
        </w:rPr>
        <w:lastRenderedPageBreak/>
        <w:t>Discussion</w:t>
      </w:r>
    </w:p>
    <w:p w:rsidR="00E1331A" w:rsidRDefault="000165CD">
      <w:pPr>
        <w:pStyle w:val="BodyA"/>
        <w:jc w:val="both"/>
      </w:pPr>
      <w:r>
        <w:t xml:space="preserve">HLH has many secondary causes which are well described in the literature, including connective tissue diseases. The morbidity of these </w:t>
      </w:r>
      <w:r>
        <w:t>syndromes can be significant and accurate diagnosis is important. The recognition of coeliac disease associated HLH has yet to be made. This is the first reported case of HLH secondary to coeliac disease, with dramatic improvement of symptoms and biochemic</w:t>
      </w:r>
      <w:r>
        <w:t>al features following the introduction of a gluten free diet.</w:t>
      </w:r>
    </w:p>
    <w:p w:rsidR="00E1331A" w:rsidRDefault="000165CD">
      <w:pPr>
        <w:pStyle w:val="BodyA"/>
        <w:jc w:val="both"/>
      </w:pPr>
      <w:r>
        <w:t>An important differential diagnosis of HLH is macrophage activation syndrome (MAS) seen with autoimmune diseases, such as rheumatic fever. Although it can be argued that the hypercytokinaemic pr</w:t>
      </w:r>
      <w:r>
        <w:t>esentation in this case was as a result of MAS rather than HLH, all the HLH criteria at the time of the original presentation was met and symptoms only resolved on full treatment with standard chemotherapy. Additionally, she relapsed a few months after ces</w:t>
      </w:r>
      <w:r>
        <w:t xml:space="preserve">sation of treatment and her symptoms resolved on gluten withdrawal alone. </w:t>
      </w:r>
    </w:p>
    <w:p w:rsidR="00E1331A" w:rsidRDefault="000165CD">
      <w:pPr>
        <w:pStyle w:val="BodyA"/>
        <w:jc w:val="both"/>
      </w:pPr>
      <w:r>
        <w:rPr>
          <w:rStyle w:val="NoneA"/>
        </w:rPr>
        <w:t>However, primary HLH is genetic, commonly autosomal recessive, and specific genes have been identified.</w:t>
      </w:r>
      <w:r>
        <w:rPr>
          <w:rStyle w:val="None"/>
          <w:vertAlign w:val="superscript"/>
          <w:lang w:val="pt-PT"/>
        </w:rPr>
        <w:t xml:space="preserve"> [1, 2]</w:t>
      </w:r>
      <w:r>
        <w:rPr>
          <w:rStyle w:val="NoneA"/>
        </w:rPr>
        <w:t xml:space="preserve"> In Familial HLH, mutations in genes encoding proteins responsible for </w:t>
      </w:r>
      <w:r>
        <w:rPr>
          <w:rStyle w:val="NoneA"/>
        </w:rPr>
        <w:t>CTL and NK cell cytotoxicity are present.</w:t>
      </w:r>
      <w:r>
        <w:rPr>
          <w:rStyle w:val="None"/>
          <w:vertAlign w:val="superscript"/>
          <w:lang w:val="pt-PT"/>
        </w:rPr>
        <w:t xml:space="preserve"> [1, 2]</w:t>
      </w:r>
      <w:r>
        <w:rPr>
          <w:rStyle w:val="NoneA"/>
        </w:rPr>
        <w:t xml:space="preserve"> Treatment of primary HLH by chemotherapy alone invariably leads to relapse and a definitive cure can only be achieved by haemopoietic stem cell transplantation. </w:t>
      </w:r>
      <w:r>
        <w:rPr>
          <w:rStyle w:val="None"/>
          <w:vertAlign w:val="superscript"/>
          <w:lang w:val="pt-PT"/>
        </w:rPr>
        <w:t xml:space="preserve">[2] </w:t>
      </w:r>
      <w:r>
        <w:rPr>
          <w:rStyle w:val="NoneA"/>
        </w:rPr>
        <w:t>Secondary HLH occurs when no family histor</w:t>
      </w:r>
      <w:r>
        <w:rPr>
          <w:rStyle w:val="NoneA"/>
        </w:rPr>
        <w:t xml:space="preserve">y or genetic markers are present and an underlying secondary cause is found. </w:t>
      </w:r>
      <w:r>
        <w:rPr>
          <w:rStyle w:val="None"/>
          <w:vertAlign w:val="superscript"/>
          <w:lang w:val="pt-PT"/>
        </w:rPr>
        <w:t>[2]</w:t>
      </w:r>
      <w:r>
        <w:rPr>
          <w:rStyle w:val="NoneA"/>
        </w:rPr>
        <w:t xml:space="preserve"> Common secondary causes include infection with tuberculosis, EBV, CMV and adenovirus,</w:t>
      </w:r>
      <w:r>
        <w:rPr>
          <w:rStyle w:val="None"/>
          <w:vertAlign w:val="superscript"/>
          <w:lang w:val="pt-PT"/>
        </w:rPr>
        <w:t xml:space="preserve"> [1, 2]</w:t>
      </w:r>
      <w:r>
        <w:rPr>
          <w:rStyle w:val="NoneA"/>
        </w:rPr>
        <w:t xml:space="preserve"> lymphomas, JIA and auto-immune diseases.</w:t>
      </w:r>
      <w:r>
        <w:rPr>
          <w:rStyle w:val="None"/>
          <w:vertAlign w:val="superscript"/>
          <w:lang w:val="pt-PT"/>
        </w:rPr>
        <w:t xml:space="preserve"> [1]</w:t>
      </w:r>
      <w:r>
        <w:rPr>
          <w:rStyle w:val="NoneA"/>
        </w:rPr>
        <w:t xml:space="preserve"> MAS has been reported to be present i</w:t>
      </w:r>
      <w:r>
        <w:rPr>
          <w:rStyle w:val="NoneA"/>
        </w:rPr>
        <w:t xml:space="preserve">n ten percent of patients with JIA. </w:t>
      </w:r>
      <w:r>
        <w:rPr>
          <w:rStyle w:val="None"/>
          <w:vertAlign w:val="superscript"/>
          <w:lang w:val="pt-PT"/>
        </w:rPr>
        <w:t>[3]</w:t>
      </w:r>
      <w:r>
        <w:rPr>
          <w:rStyle w:val="NoneA"/>
        </w:rPr>
        <w:t xml:space="preserve"> Secondary HLH has a high mortality and morbidity in the acute setting, however following treatment of the acute illness there should be a low risk of recurrence. Similar clinical features can be seen in severe sepsis</w:t>
      </w:r>
      <w:r>
        <w:rPr>
          <w:rStyle w:val="NoneA"/>
        </w:rPr>
        <w:t xml:space="preserve"> and viral infections. </w:t>
      </w:r>
      <w:r>
        <w:rPr>
          <w:rStyle w:val="None"/>
          <w:vertAlign w:val="superscript"/>
          <w:lang w:val="pt-PT"/>
        </w:rPr>
        <w:t xml:space="preserve">[2] </w:t>
      </w:r>
      <w:r>
        <w:rPr>
          <w:rStyle w:val="NoneA"/>
        </w:rPr>
        <w:t>It is also possible to find haemophagocytosis on a bone marrow aspirate as a reactive feature in acutely unwell patients, and patients with non-haematological disorders.</w:t>
      </w:r>
      <w:r>
        <w:rPr>
          <w:rStyle w:val="None"/>
          <w:vertAlign w:val="superscript"/>
          <w:lang w:val="pt-PT"/>
        </w:rPr>
        <w:t xml:space="preserve"> [1]</w:t>
      </w:r>
    </w:p>
    <w:p w:rsidR="00E1331A" w:rsidRDefault="000165CD">
      <w:pPr>
        <w:pStyle w:val="BodyA"/>
        <w:jc w:val="both"/>
        <w:rPr>
          <w:rStyle w:val="None"/>
          <w:vertAlign w:val="superscript"/>
        </w:rPr>
      </w:pPr>
      <w:r>
        <w:rPr>
          <w:rStyle w:val="NoneA"/>
        </w:rPr>
        <w:t>Coeliac disease is a systemic autoimmune disorder trigg</w:t>
      </w:r>
      <w:r>
        <w:rPr>
          <w:rStyle w:val="NoneA"/>
        </w:rPr>
        <w:t xml:space="preserve">ered by gluten and characterised by enteropathy and a host of systemic features involving skin, bone and joints and is strongly associated with the presence of HLA DQ2 or DQ8 haplotypes. </w:t>
      </w:r>
      <w:r>
        <w:rPr>
          <w:rStyle w:val="None"/>
          <w:vertAlign w:val="superscript"/>
          <w:lang w:val="pt-PT"/>
        </w:rPr>
        <w:t>[4]</w:t>
      </w:r>
      <w:r>
        <w:rPr>
          <w:rStyle w:val="NoneA"/>
        </w:rPr>
        <w:t xml:space="preserve"> HLH has been described as a presenting feature of Enteropathy Ass</w:t>
      </w:r>
      <w:r>
        <w:rPr>
          <w:rStyle w:val="NoneA"/>
        </w:rPr>
        <w:t>ociated T-cell lymphoma, which in itself well documented in CD.</w:t>
      </w:r>
      <w:r>
        <w:rPr>
          <w:rStyle w:val="None"/>
          <w:vertAlign w:val="superscript"/>
          <w:lang w:val="pt-PT"/>
        </w:rPr>
        <w:t xml:space="preserve"> [5]</w:t>
      </w:r>
    </w:p>
    <w:p w:rsidR="00E1331A" w:rsidRDefault="000165CD">
      <w:pPr>
        <w:pStyle w:val="BodyA"/>
        <w:jc w:val="both"/>
        <w:rPr>
          <w:rStyle w:val="None"/>
          <w:vertAlign w:val="superscript"/>
        </w:rPr>
      </w:pPr>
      <w:r>
        <w:rPr>
          <w:rStyle w:val="NoneA"/>
        </w:rPr>
        <w:t>Two years after resolution of HLH, a diagnosis of seronegative JIA was made and treatment instigated in this patient. It could therefore also be argued that her HLH was secondary to JIA. H</w:t>
      </w:r>
      <w:r>
        <w:rPr>
          <w:rStyle w:val="NoneA"/>
        </w:rPr>
        <w:t>owever, she had no diagnostic features of JIA at first presentation, and demonstrated a good clinical response to standard HLH treatment. Following relapse of her hyperferritinaemia she demonstrated complete resolution of symptoms and laboratory findings w</w:t>
      </w:r>
      <w:r>
        <w:rPr>
          <w:rStyle w:val="NoneA"/>
        </w:rPr>
        <w:t>ith the introduction of a gluten free diet. After further exposure to gluten her symptoms returned. JIA is known to have an association with CD, the latter increasingly being understood as a multisystem disorder with many possible immunological manifestati</w:t>
      </w:r>
      <w:r>
        <w:rPr>
          <w:rStyle w:val="NoneA"/>
        </w:rPr>
        <w:t>ons,</w:t>
      </w:r>
      <w:r>
        <w:rPr>
          <w:rStyle w:val="None"/>
          <w:vertAlign w:val="superscript"/>
          <w:lang w:val="pt-PT"/>
        </w:rPr>
        <w:t xml:space="preserve"> [4]</w:t>
      </w:r>
      <w:r>
        <w:rPr>
          <w:rStyle w:val="NoneA"/>
        </w:rPr>
        <w:t xml:space="preserve"> however an association of HLH with response to gluten withdrawal has not previously been described.</w:t>
      </w:r>
      <w:r>
        <w:rPr>
          <w:rStyle w:val="None"/>
          <w:vertAlign w:val="superscript"/>
        </w:rPr>
        <w:t xml:space="preserve"> </w:t>
      </w:r>
    </w:p>
    <w:p w:rsidR="00E1331A" w:rsidRDefault="00E1331A">
      <w:pPr>
        <w:pStyle w:val="BodyA"/>
        <w:jc w:val="both"/>
        <w:rPr>
          <w:rStyle w:val="None"/>
          <w:vertAlign w:val="superscript"/>
        </w:rPr>
      </w:pPr>
    </w:p>
    <w:p w:rsidR="00E1331A" w:rsidRDefault="00E1331A">
      <w:pPr>
        <w:pStyle w:val="BodyA"/>
        <w:jc w:val="both"/>
      </w:pPr>
    </w:p>
    <w:p w:rsidR="00E1331A" w:rsidRDefault="000165CD">
      <w:pPr>
        <w:pStyle w:val="BodyA"/>
        <w:jc w:val="both"/>
        <w:rPr>
          <w:rStyle w:val="None"/>
          <w:b/>
          <w:bCs/>
          <w:lang w:val="it-IT"/>
        </w:rPr>
      </w:pPr>
      <w:r>
        <w:rPr>
          <w:rStyle w:val="None"/>
          <w:b/>
          <w:bCs/>
          <w:lang w:val="it-IT"/>
        </w:rPr>
        <w:t>Conclusion</w:t>
      </w:r>
    </w:p>
    <w:p w:rsidR="00E1331A" w:rsidRDefault="000165CD">
      <w:pPr>
        <w:pStyle w:val="BodyA"/>
        <w:jc w:val="both"/>
      </w:pPr>
      <w:r>
        <w:lastRenderedPageBreak/>
        <w:t>The association of HLH and CD, with clinical response to gluten withdrawal, has not been reported in the literature. This case is noteworthy due to the absence of laboratory features of primary HLH, temporary resolution of symptoms following anti-HLH thera</w:t>
      </w:r>
      <w:r>
        <w:t xml:space="preserve">py, rapid relapse upon cessation of HLH therapy and full clinical and biochemical resolution following a gluten free diet. </w:t>
      </w:r>
    </w:p>
    <w:p w:rsidR="00E1331A" w:rsidRDefault="00E1331A">
      <w:pPr>
        <w:pStyle w:val="BodyA"/>
        <w:jc w:val="both"/>
      </w:pPr>
    </w:p>
    <w:p w:rsidR="00E1331A" w:rsidRDefault="00E1331A">
      <w:pPr>
        <w:pStyle w:val="BodyA"/>
        <w:jc w:val="both"/>
      </w:pPr>
    </w:p>
    <w:p w:rsidR="00E1331A" w:rsidRDefault="00E1331A">
      <w:pPr>
        <w:pStyle w:val="BodyA"/>
        <w:jc w:val="both"/>
      </w:pPr>
    </w:p>
    <w:p w:rsidR="00E1331A" w:rsidRDefault="000165CD">
      <w:pPr>
        <w:pStyle w:val="BodyA"/>
        <w:jc w:val="both"/>
        <w:rPr>
          <w:rStyle w:val="None"/>
          <w:b/>
          <w:bCs/>
        </w:rPr>
      </w:pPr>
      <w:r>
        <w:rPr>
          <w:rStyle w:val="None"/>
          <w:b/>
          <w:bCs/>
        </w:rPr>
        <w:t>List of abbreviations used</w:t>
      </w:r>
    </w:p>
    <w:p w:rsidR="00E1331A" w:rsidRDefault="000165CD">
      <w:pPr>
        <w:pStyle w:val="BodyA"/>
        <w:jc w:val="both"/>
      </w:pPr>
      <w:r>
        <w:t>CD - Coeliac Disease</w:t>
      </w:r>
    </w:p>
    <w:p w:rsidR="00E1331A" w:rsidRDefault="000165CD">
      <w:pPr>
        <w:pStyle w:val="BodyA"/>
        <w:jc w:val="both"/>
      </w:pPr>
      <w:r>
        <w:t>CMV - Cytomegalovirus</w:t>
      </w:r>
    </w:p>
    <w:p w:rsidR="00E1331A" w:rsidRDefault="000165CD">
      <w:pPr>
        <w:pStyle w:val="BodyA"/>
        <w:jc w:val="both"/>
      </w:pPr>
      <w:r>
        <w:t>CTL - Cytotoxic T-Lymphocyte</w:t>
      </w:r>
    </w:p>
    <w:p w:rsidR="00E1331A" w:rsidRDefault="000165CD">
      <w:pPr>
        <w:pStyle w:val="BodyA"/>
        <w:jc w:val="both"/>
      </w:pPr>
      <w:r>
        <w:t>EBV - Epstein-Barr Virus</w:t>
      </w:r>
    </w:p>
    <w:p w:rsidR="00E1331A" w:rsidRDefault="000165CD">
      <w:pPr>
        <w:pStyle w:val="BodyA"/>
        <w:jc w:val="both"/>
      </w:pPr>
      <w:r>
        <w:t>HLH -</w:t>
      </w:r>
      <w:r>
        <w:t xml:space="preserve"> Haemophagocytic Lymphohistiocytosis</w:t>
      </w:r>
    </w:p>
    <w:p w:rsidR="00E1331A" w:rsidRDefault="000165CD">
      <w:pPr>
        <w:pStyle w:val="BodyA"/>
        <w:jc w:val="both"/>
      </w:pPr>
      <w:r>
        <w:t>IL - Interleukin</w:t>
      </w:r>
    </w:p>
    <w:p w:rsidR="00E1331A" w:rsidRDefault="000165CD">
      <w:pPr>
        <w:pStyle w:val="BodyA"/>
        <w:jc w:val="both"/>
      </w:pPr>
      <w:r>
        <w:t>JIA - Juvenile Idiopathic Arthritis</w:t>
      </w:r>
    </w:p>
    <w:p w:rsidR="00E1331A" w:rsidRDefault="000165CD">
      <w:pPr>
        <w:pStyle w:val="BodyA"/>
        <w:jc w:val="both"/>
      </w:pPr>
      <w:r>
        <w:t>MAS - Macrophage Activation Syndrome</w:t>
      </w:r>
    </w:p>
    <w:p w:rsidR="00E1331A" w:rsidRDefault="000165CD">
      <w:pPr>
        <w:pStyle w:val="BodyA"/>
        <w:jc w:val="both"/>
      </w:pPr>
      <w:r>
        <w:t>NK - Natural Killer</w:t>
      </w:r>
    </w:p>
    <w:p w:rsidR="00E1331A" w:rsidRDefault="000165CD">
      <w:pPr>
        <w:pStyle w:val="BodyA"/>
        <w:jc w:val="both"/>
      </w:pPr>
      <w:r>
        <w:t>tTG - Tissue Trans-Glutaminase</w:t>
      </w:r>
    </w:p>
    <w:p w:rsidR="00E1331A" w:rsidRDefault="00E1331A">
      <w:pPr>
        <w:pStyle w:val="BodyA"/>
      </w:pPr>
    </w:p>
    <w:p w:rsidR="00E1331A" w:rsidRDefault="00E1331A">
      <w:pPr>
        <w:pStyle w:val="BodyA"/>
      </w:pPr>
    </w:p>
    <w:p w:rsidR="00E1331A" w:rsidRDefault="00E1331A">
      <w:pPr>
        <w:pStyle w:val="BodyA"/>
      </w:pPr>
    </w:p>
    <w:p w:rsidR="00E1331A" w:rsidRDefault="00E1331A">
      <w:pPr>
        <w:pStyle w:val="BodyA"/>
      </w:pPr>
    </w:p>
    <w:p w:rsidR="00E1331A" w:rsidRDefault="000165CD">
      <w:pPr>
        <w:pStyle w:val="BodyA"/>
      </w:pPr>
      <w:r>
        <w:br w:type="page"/>
      </w:r>
    </w:p>
    <w:p w:rsidR="00E1331A" w:rsidRDefault="000165CD">
      <w:pPr>
        <w:pStyle w:val="BodyA"/>
        <w:rPr>
          <w:b/>
          <w:bCs/>
          <w:lang w:val="it-IT"/>
        </w:rPr>
      </w:pPr>
      <w:r>
        <w:rPr>
          <w:b/>
          <w:bCs/>
          <w:lang w:val="it-IT"/>
        </w:rPr>
        <w:lastRenderedPageBreak/>
        <w:t>Declarations</w:t>
      </w:r>
    </w:p>
    <w:p w:rsidR="00E1331A" w:rsidRDefault="00E1331A">
      <w:pPr>
        <w:pStyle w:val="BodyA"/>
        <w:rPr>
          <w:b/>
          <w:bCs/>
          <w:lang w:val="it-IT"/>
        </w:rPr>
      </w:pPr>
    </w:p>
    <w:p w:rsidR="00E1331A" w:rsidRDefault="000165CD">
      <w:pPr>
        <w:pStyle w:val="BodyA"/>
        <w:rPr>
          <w:i/>
          <w:iCs/>
          <w:lang w:val="it-IT"/>
        </w:rPr>
      </w:pPr>
      <w:r>
        <w:rPr>
          <w:i/>
          <w:iCs/>
          <w:lang w:val="it-IT"/>
        </w:rPr>
        <w:t>Availability of data and materials</w:t>
      </w:r>
    </w:p>
    <w:p w:rsidR="00E1331A" w:rsidRDefault="000165CD">
      <w:pPr>
        <w:pStyle w:val="BodyA"/>
        <w:rPr>
          <w:lang w:val="it-IT"/>
        </w:rPr>
      </w:pPr>
      <w:r>
        <w:rPr>
          <w:lang w:val="it-IT"/>
        </w:rPr>
        <w:t xml:space="preserve">There were no specific systems, including software or databases used. Relevant clinical data is provided in the text and any further information required can be supplied if required. </w:t>
      </w:r>
    </w:p>
    <w:p w:rsidR="00E1331A" w:rsidRDefault="00E1331A">
      <w:pPr>
        <w:pStyle w:val="BodyA"/>
        <w:rPr>
          <w:lang w:val="it-IT"/>
        </w:rPr>
      </w:pPr>
    </w:p>
    <w:p w:rsidR="00E1331A" w:rsidRDefault="000165CD">
      <w:pPr>
        <w:pStyle w:val="BodyA"/>
        <w:rPr>
          <w:rStyle w:val="None"/>
          <w:b/>
          <w:bCs/>
          <w:i/>
          <w:iCs/>
          <w:lang w:val="it-IT"/>
        </w:rPr>
      </w:pPr>
      <w:r>
        <w:rPr>
          <w:rStyle w:val="None"/>
          <w:i/>
          <w:iCs/>
          <w:lang w:val="it-IT"/>
        </w:rPr>
        <w:t>Consent</w:t>
      </w:r>
    </w:p>
    <w:p w:rsidR="00E1331A" w:rsidRDefault="000165CD">
      <w:pPr>
        <w:pStyle w:val="BodyA"/>
      </w:pPr>
      <w:r>
        <w:t xml:space="preserve">Written informed consent was obtained from the patient’s legal </w:t>
      </w:r>
      <w:r>
        <w:t>guardian(s) for publication of this case report and any accompanying images. A copy of the written consent is available for review by the Editor-in-Chief of this journal.</w:t>
      </w:r>
    </w:p>
    <w:p w:rsidR="00E1331A" w:rsidRDefault="00E1331A">
      <w:pPr>
        <w:pStyle w:val="BodyA"/>
      </w:pPr>
    </w:p>
    <w:p w:rsidR="00E1331A" w:rsidRDefault="000165CD">
      <w:pPr>
        <w:pStyle w:val="BodyA"/>
        <w:rPr>
          <w:i/>
          <w:iCs/>
        </w:rPr>
      </w:pPr>
      <w:r>
        <w:rPr>
          <w:i/>
          <w:iCs/>
        </w:rPr>
        <w:t>Funding</w:t>
      </w:r>
    </w:p>
    <w:p w:rsidR="00E1331A" w:rsidRDefault="000165CD">
      <w:pPr>
        <w:pStyle w:val="BodyA"/>
      </w:pPr>
      <w:r>
        <w:t>There are no funding sources to declare</w:t>
      </w:r>
    </w:p>
    <w:p w:rsidR="00E1331A" w:rsidRDefault="00E1331A">
      <w:pPr>
        <w:pStyle w:val="BodyA"/>
        <w:rPr>
          <w:i/>
          <w:iCs/>
        </w:rPr>
      </w:pPr>
    </w:p>
    <w:p w:rsidR="00E1331A" w:rsidRDefault="000165CD">
      <w:pPr>
        <w:pStyle w:val="BodyA"/>
        <w:rPr>
          <w:i/>
          <w:iCs/>
        </w:rPr>
      </w:pPr>
      <w:r>
        <w:rPr>
          <w:i/>
          <w:iCs/>
        </w:rPr>
        <w:t>Acknowledgements</w:t>
      </w:r>
    </w:p>
    <w:p w:rsidR="00E1331A" w:rsidRDefault="000165CD">
      <w:pPr>
        <w:pStyle w:val="BodyA"/>
      </w:pPr>
      <w:r>
        <w:t>Not Applicable</w:t>
      </w:r>
    </w:p>
    <w:p w:rsidR="00E1331A" w:rsidRDefault="00E1331A">
      <w:pPr>
        <w:pStyle w:val="BodyA"/>
      </w:pPr>
    </w:p>
    <w:p w:rsidR="00E1331A" w:rsidRDefault="000165CD">
      <w:pPr>
        <w:pStyle w:val="BodyA"/>
        <w:rPr>
          <w:rStyle w:val="None"/>
          <w:i/>
          <w:iCs/>
        </w:rPr>
      </w:pPr>
      <w:r>
        <w:rPr>
          <w:rStyle w:val="None"/>
          <w:i/>
          <w:iCs/>
        </w:rPr>
        <w:t>Competing interests</w:t>
      </w:r>
    </w:p>
    <w:p w:rsidR="00E1331A" w:rsidRDefault="000165CD">
      <w:pPr>
        <w:pStyle w:val="BodyA"/>
      </w:pPr>
      <w:r>
        <w:t>There are no competing interests to declare</w:t>
      </w:r>
    </w:p>
    <w:p w:rsidR="00E1331A" w:rsidRDefault="00E1331A">
      <w:pPr>
        <w:pStyle w:val="BodyA"/>
        <w:rPr>
          <w:i/>
          <w:iCs/>
        </w:rPr>
      </w:pPr>
    </w:p>
    <w:p w:rsidR="00E1331A" w:rsidRDefault="000165CD">
      <w:pPr>
        <w:pStyle w:val="BodyA"/>
        <w:rPr>
          <w:rStyle w:val="None"/>
          <w:i/>
          <w:iCs/>
        </w:rPr>
      </w:pPr>
      <w:r>
        <w:rPr>
          <w:rStyle w:val="None"/>
          <w:i/>
          <w:iCs/>
        </w:rPr>
        <w:t>Author’</w:t>
      </w:r>
      <w:r>
        <w:rPr>
          <w:rStyle w:val="None"/>
          <w:i/>
          <w:iCs/>
          <w:lang w:val="fr-FR"/>
        </w:rPr>
        <w:t>s Contributions</w:t>
      </w:r>
    </w:p>
    <w:p w:rsidR="00E1331A" w:rsidRDefault="000165CD">
      <w:pPr>
        <w:pStyle w:val="BodyA"/>
      </w:pPr>
      <w:r>
        <w:t xml:space="preserve">NJF and SC drafted the initial manuscript. RA and LK made significant contributions and all authors approved the final copy. </w:t>
      </w:r>
      <w:r>
        <w:br w:type="page"/>
      </w:r>
    </w:p>
    <w:p w:rsidR="00E1331A" w:rsidRDefault="00E1331A">
      <w:pPr>
        <w:pStyle w:val="BodyA"/>
        <w:jc w:val="both"/>
      </w:pPr>
    </w:p>
    <w:p w:rsidR="00E1331A" w:rsidRDefault="000165CD">
      <w:pPr>
        <w:pStyle w:val="BodyA"/>
        <w:jc w:val="both"/>
        <w:rPr>
          <w:rStyle w:val="None"/>
          <w:b/>
          <w:bCs/>
        </w:rPr>
      </w:pPr>
      <w:r>
        <w:rPr>
          <w:rStyle w:val="None"/>
          <w:b/>
          <w:bCs/>
        </w:rPr>
        <w:t>References</w:t>
      </w:r>
    </w:p>
    <w:p w:rsidR="00E1331A" w:rsidRDefault="000165CD">
      <w:pPr>
        <w:pStyle w:val="BodyA"/>
        <w:numPr>
          <w:ilvl w:val="0"/>
          <w:numId w:val="2"/>
        </w:numPr>
        <w:jc w:val="both"/>
      </w:pPr>
      <w:r>
        <w:t>Weitzman S. Approach to hemop</w:t>
      </w:r>
      <w:r>
        <w:t>hagocytic syndromes. Hematology Am Soc Hematol Educ Program</w:t>
      </w:r>
      <w:r>
        <w:rPr>
          <w:rStyle w:val="None"/>
          <w:i/>
          <w:iCs/>
        </w:rPr>
        <w:t xml:space="preserve">. </w:t>
      </w:r>
      <w:r>
        <w:t xml:space="preserve">2011; </w:t>
      </w:r>
      <w:r>
        <w:rPr>
          <w:rStyle w:val="None"/>
          <w:b/>
          <w:bCs/>
        </w:rPr>
        <w:t>2011</w:t>
      </w:r>
      <w:r>
        <w:t>:178-83.</w:t>
      </w:r>
    </w:p>
    <w:p w:rsidR="00E1331A" w:rsidRDefault="000165CD">
      <w:pPr>
        <w:pStyle w:val="BodyA"/>
        <w:numPr>
          <w:ilvl w:val="0"/>
          <w:numId w:val="2"/>
        </w:numPr>
        <w:jc w:val="both"/>
        <w:rPr>
          <w:rStyle w:val="None"/>
          <w:lang w:val="it-IT"/>
        </w:rPr>
      </w:pPr>
      <w:r>
        <w:rPr>
          <w:rStyle w:val="None"/>
          <w:lang w:val="it-IT"/>
        </w:rPr>
        <w:t xml:space="preserve">Henter J, Horne AC, Arico M, </w:t>
      </w:r>
      <w:r>
        <w:rPr>
          <w:rStyle w:val="None"/>
          <w:i/>
          <w:iCs/>
        </w:rPr>
        <w:t xml:space="preserve">et al. </w:t>
      </w:r>
      <w:r>
        <w:rPr>
          <w:rStyle w:val="NoneA"/>
        </w:rPr>
        <w:t>HLH-2004: Diagnostic and therapeutic guidelines for hemophagocytic lymphohistiocytosis. Pediatr Blood and Cancer</w:t>
      </w:r>
      <w:r>
        <w:rPr>
          <w:rStyle w:val="None"/>
          <w:i/>
          <w:iCs/>
        </w:rPr>
        <w:t xml:space="preserve">. </w:t>
      </w:r>
      <w:r>
        <w:rPr>
          <w:rStyle w:val="NoneA"/>
        </w:rPr>
        <w:t xml:space="preserve">2007; </w:t>
      </w:r>
      <w:r>
        <w:rPr>
          <w:rStyle w:val="None"/>
          <w:b/>
          <w:bCs/>
        </w:rPr>
        <w:t>48(2)</w:t>
      </w:r>
      <w:r>
        <w:rPr>
          <w:rStyle w:val="NoneA"/>
        </w:rPr>
        <w:t>:124-131.</w:t>
      </w:r>
    </w:p>
    <w:p w:rsidR="00E1331A" w:rsidRDefault="000165CD">
      <w:pPr>
        <w:pStyle w:val="BodyA"/>
        <w:numPr>
          <w:ilvl w:val="0"/>
          <w:numId w:val="2"/>
        </w:numPr>
        <w:jc w:val="both"/>
        <w:rPr>
          <w:rStyle w:val="None"/>
          <w:lang w:val="de-DE"/>
        </w:rPr>
      </w:pPr>
      <w:r>
        <w:rPr>
          <w:rStyle w:val="None"/>
          <w:lang w:val="de-DE"/>
        </w:rPr>
        <w:t xml:space="preserve">Ravelli A, Grom AA, Behrens EM, </w:t>
      </w:r>
      <w:r>
        <w:rPr>
          <w:rStyle w:val="None"/>
          <w:i/>
          <w:iCs/>
        </w:rPr>
        <w:t xml:space="preserve">et al. </w:t>
      </w:r>
      <w:r>
        <w:rPr>
          <w:rStyle w:val="NoneA"/>
        </w:rPr>
        <w:t xml:space="preserve">Macrophage activation syndrome as part of systemic juvenile idiopathic arthritis: diagnosis, genetics, pathophysiology and treatment. Genes Immun. 2001; </w:t>
      </w:r>
      <w:r>
        <w:rPr>
          <w:rStyle w:val="None"/>
          <w:b/>
          <w:bCs/>
        </w:rPr>
        <w:t>13(4)</w:t>
      </w:r>
      <w:r>
        <w:rPr>
          <w:rStyle w:val="NoneA"/>
        </w:rPr>
        <w:t>:289-98.</w:t>
      </w:r>
    </w:p>
    <w:p w:rsidR="00E1331A" w:rsidRDefault="000165CD">
      <w:pPr>
        <w:pStyle w:val="BodyA"/>
        <w:numPr>
          <w:ilvl w:val="0"/>
          <w:numId w:val="2"/>
        </w:numPr>
        <w:jc w:val="both"/>
      </w:pPr>
      <w:r>
        <w:rPr>
          <w:rStyle w:val="NoneA"/>
        </w:rPr>
        <w:t xml:space="preserve">Murch S, Jenkins H, Auth M, </w:t>
      </w:r>
      <w:r>
        <w:rPr>
          <w:rStyle w:val="None"/>
          <w:i/>
          <w:iCs/>
          <w:lang w:val="nl-NL"/>
        </w:rPr>
        <w:t>et al</w:t>
      </w:r>
      <w:r>
        <w:rPr>
          <w:rStyle w:val="NoneA"/>
        </w:rPr>
        <w:t>. Joint BSPGHAN a</w:t>
      </w:r>
      <w:r>
        <w:rPr>
          <w:rStyle w:val="NoneA"/>
        </w:rPr>
        <w:t xml:space="preserve">nd Coeliac UK guidelines for the diagnosis and management of coeliac disease in children. Arch Dis Child. 2013; </w:t>
      </w:r>
      <w:r>
        <w:rPr>
          <w:rStyle w:val="None"/>
          <w:b/>
          <w:bCs/>
        </w:rPr>
        <w:t>98</w:t>
      </w:r>
      <w:r>
        <w:rPr>
          <w:rStyle w:val="NoneA"/>
        </w:rPr>
        <w:t>:806-811.</w:t>
      </w:r>
    </w:p>
    <w:p w:rsidR="00E1331A" w:rsidRDefault="000165CD">
      <w:pPr>
        <w:pStyle w:val="BodyA"/>
        <w:numPr>
          <w:ilvl w:val="0"/>
          <w:numId w:val="2"/>
        </w:numPr>
        <w:jc w:val="both"/>
        <w:rPr>
          <w:rStyle w:val="None"/>
          <w:lang w:val="it-IT"/>
        </w:rPr>
      </w:pPr>
      <w:r>
        <w:rPr>
          <w:rStyle w:val="None"/>
          <w:lang w:val="it-IT"/>
        </w:rPr>
        <w:t xml:space="preserve">Amiot A, Allez M, Treton X, </w:t>
      </w:r>
      <w:r>
        <w:rPr>
          <w:rStyle w:val="None"/>
          <w:lang w:val="nl-NL"/>
        </w:rPr>
        <w:t>et al</w:t>
      </w:r>
      <w:r>
        <w:rPr>
          <w:rStyle w:val="NoneA"/>
        </w:rPr>
        <w:t xml:space="preserve">. High frequency of fatal haemophagocytic lymphohistiocytosis syndrome in enteropathy-associated T </w:t>
      </w:r>
      <w:r>
        <w:rPr>
          <w:rStyle w:val="NoneA"/>
        </w:rPr>
        <w:t xml:space="preserve">cell lymphoma. Dig Liver Dis. 2012; </w:t>
      </w:r>
      <w:r>
        <w:rPr>
          <w:rStyle w:val="None"/>
          <w:b/>
          <w:bCs/>
        </w:rPr>
        <w:t>44(4)</w:t>
      </w:r>
      <w:r>
        <w:rPr>
          <w:rStyle w:val="None"/>
          <w:lang w:val="pt-PT"/>
        </w:rPr>
        <w:t>:343-349.</w:t>
      </w:r>
      <w:r>
        <w:rPr>
          <w:rStyle w:val="NoneA"/>
        </w:rPr>
        <w:t xml:space="preserve"> </w:t>
      </w:r>
    </w:p>
    <w:p w:rsidR="00E1331A" w:rsidRDefault="000165CD">
      <w:pPr>
        <w:pStyle w:val="BodyA"/>
        <w:jc w:val="both"/>
      </w:pPr>
      <w:r>
        <w:rPr>
          <w:rStyle w:val="None"/>
          <w:rFonts w:ascii="Times New Roman" w:eastAsia="Times New Roman" w:hAnsi="Times New Roman" w:cs="Times New Roman"/>
          <w:i/>
          <w:iCs/>
          <w:noProof/>
          <w:lang w:val="en-GB"/>
        </w:rPr>
        <mc:AlternateContent>
          <mc:Choice Requires="wpg">
            <w:drawing>
              <wp:anchor distT="152400" distB="152400" distL="152400" distR="152400" simplePos="0" relativeHeight="251659264" behindDoc="0" locked="0" layoutInCell="1" allowOverlap="1">
                <wp:simplePos x="0" y="0"/>
                <wp:positionH relativeFrom="page">
                  <wp:posOffset>914400</wp:posOffset>
                </wp:positionH>
                <wp:positionV relativeFrom="line">
                  <wp:posOffset>459738</wp:posOffset>
                </wp:positionV>
                <wp:extent cx="5538804" cy="4509613"/>
                <wp:effectExtent l="0" t="0" r="0" b="0"/>
                <wp:wrapTopAndBottom distT="152400" distB="152400"/>
                <wp:docPr id="1073741867" name="officeArt object"/>
                <wp:cNvGraphicFramePr/>
                <a:graphic xmlns:a="http://schemas.openxmlformats.org/drawingml/2006/main">
                  <a:graphicData uri="http://schemas.microsoft.com/office/word/2010/wordprocessingGroup">
                    <wpg:wgp>
                      <wpg:cNvGrpSpPr/>
                      <wpg:grpSpPr>
                        <a:xfrm>
                          <a:off x="0" y="0"/>
                          <a:ext cx="5538804" cy="4509613"/>
                          <a:chOff x="-1" y="0"/>
                          <a:chExt cx="5538803" cy="4509612"/>
                        </a:xfrm>
                      </wpg:grpSpPr>
                      <wps:wsp>
                        <wps:cNvPr id="1073741825" name="Shape 1073741825"/>
                        <wps:cNvSpPr/>
                        <wps:spPr>
                          <a:xfrm>
                            <a:off x="18014" y="-1"/>
                            <a:ext cx="2769597" cy="517199"/>
                          </a:xfrm>
                          <a:prstGeom prst="rect">
                            <a:avLst/>
                          </a:prstGeom>
                          <a:noFill/>
                          <a:ln w="12700" cap="flat">
                            <a:noFill/>
                            <a:miter lim="400000"/>
                          </a:ln>
                          <a:effectLst/>
                        </wps:spPr>
                        <wps:txbx>
                          <w:txbxContent>
                            <w:p w:rsidR="00E1331A" w:rsidRDefault="000165CD">
                              <w:pPr>
                                <w:pStyle w:val="BodyA"/>
                                <w:spacing w:after="0" w:line="240" w:lineRule="auto"/>
                              </w:pPr>
                              <w:r>
                                <w:rPr>
                                  <w:rStyle w:val="None"/>
                                  <w:rFonts w:ascii="Helvetica" w:hAnsi="Helvetica"/>
                                </w:rPr>
                                <w:t>Figure 1: Timeline demonstrating clinical course with concurrent age</w:t>
                              </w:r>
                            </w:p>
                          </w:txbxContent>
                        </wps:txbx>
                        <wps:bodyPr wrap="square" lIns="50800" tIns="50800" rIns="50800" bIns="50800" numCol="1" anchor="t">
                          <a:noAutofit/>
                        </wps:bodyPr>
                      </wps:wsp>
                      <wps:wsp>
                        <wps:cNvPr id="1073741826" name="Shape 1073741826"/>
                        <wps:cNvCnPr/>
                        <wps:spPr>
                          <a:xfrm flipV="1">
                            <a:off x="2275342" y="2604838"/>
                            <a:ext cx="3" cy="447757"/>
                          </a:xfrm>
                          <a:prstGeom prst="line">
                            <a:avLst/>
                          </a:prstGeom>
                          <a:noFill/>
                          <a:ln w="12700" cap="flat">
                            <a:solidFill>
                              <a:srgbClr val="000000"/>
                            </a:solidFill>
                            <a:prstDash val="solid"/>
                            <a:miter lim="400000"/>
                            <a:tailEnd type="triangle" w="med" len="med"/>
                          </a:ln>
                          <a:effectLst/>
                        </wps:spPr>
                        <wps:bodyPr/>
                      </wps:wsp>
                      <wps:wsp>
                        <wps:cNvPr id="1073741827" name="Shape 1073741827"/>
                        <wps:cNvCnPr/>
                        <wps:spPr>
                          <a:xfrm>
                            <a:off x="182508" y="2591721"/>
                            <a:ext cx="5210202" cy="3"/>
                          </a:xfrm>
                          <a:prstGeom prst="line">
                            <a:avLst/>
                          </a:prstGeom>
                          <a:noFill/>
                          <a:ln w="25400" cap="flat">
                            <a:solidFill>
                              <a:srgbClr val="000000"/>
                            </a:solidFill>
                            <a:custDash>
                              <a:ds d="200000" sp="200000"/>
                            </a:custDash>
                            <a:miter lim="400000"/>
                          </a:ln>
                          <a:effectLst/>
                        </wps:spPr>
                        <wps:bodyPr/>
                      </wps:wsp>
                      <wps:wsp>
                        <wps:cNvPr id="1073741828" name="Shape 1073741828"/>
                        <wps:cNvCnPr/>
                        <wps:spPr>
                          <a:xfrm flipH="1">
                            <a:off x="174148" y="2042337"/>
                            <a:ext cx="3" cy="545438"/>
                          </a:xfrm>
                          <a:prstGeom prst="line">
                            <a:avLst/>
                          </a:prstGeom>
                          <a:noFill/>
                          <a:ln w="12700" cap="flat">
                            <a:solidFill>
                              <a:srgbClr val="000000"/>
                            </a:solidFill>
                            <a:prstDash val="solid"/>
                            <a:miter lim="400000"/>
                            <a:tailEnd type="triangle" w="med" len="med"/>
                          </a:ln>
                          <a:effectLst/>
                        </wps:spPr>
                        <wps:bodyPr/>
                      </wps:wsp>
                      <wps:wsp>
                        <wps:cNvPr id="1073741829" name="Shape 1073741829"/>
                        <wps:cNvCnPr/>
                        <wps:spPr>
                          <a:xfrm flipH="1">
                            <a:off x="1063630" y="2036634"/>
                            <a:ext cx="3" cy="545438"/>
                          </a:xfrm>
                          <a:prstGeom prst="line">
                            <a:avLst/>
                          </a:prstGeom>
                          <a:noFill/>
                          <a:ln w="12700" cap="flat">
                            <a:solidFill>
                              <a:srgbClr val="000000"/>
                            </a:solidFill>
                            <a:prstDash val="solid"/>
                            <a:miter lim="400000"/>
                            <a:tailEnd type="triangle" w="med" len="med"/>
                          </a:ln>
                          <a:effectLst/>
                        </wps:spPr>
                        <wps:bodyPr/>
                      </wps:wsp>
                      <wps:wsp>
                        <wps:cNvPr id="1073741830" name="Shape 1073741830"/>
                        <wps:cNvCnPr/>
                        <wps:spPr>
                          <a:xfrm>
                            <a:off x="2279334" y="2030198"/>
                            <a:ext cx="3" cy="551874"/>
                          </a:xfrm>
                          <a:prstGeom prst="line">
                            <a:avLst/>
                          </a:prstGeom>
                          <a:noFill/>
                          <a:ln w="12700" cap="flat">
                            <a:solidFill>
                              <a:srgbClr val="000000"/>
                            </a:solidFill>
                            <a:prstDash val="solid"/>
                            <a:miter lim="400000"/>
                            <a:tailEnd type="triangle" w="med" len="med"/>
                          </a:ln>
                          <a:effectLst/>
                        </wps:spPr>
                        <wps:bodyPr/>
                      </wps:wsp>
                      <wps:wsp>
                        <wps:cNvPr id="1073741831" name="Shape 1073741831"/>
                        <wps:cNvCnPr/>
                        <wps:spPr>
                          <a:xfrm>
                            <a:off x="3456080" y="2042337"/>
                            <a:ext cx="3" cy="545438"/>
                          </a:xfrm>
                          <a:prstGeom prst="line">
                            <a:avLst/>
                          </a:prstGeom>
                          <a:noFill/>
                          <a:ln w="12700" cap="flat">
                            <a:solidFill>
                              <a:srgbClr val="000000"/>
                            </a:solidFill>
                            <a:prstDash val="solid"/>
                            <a:miter lim="400000"/>
                            <a:tailEnd type="triangle" w="med" len="med"/>
                          </a:ln>
                          <a:effectLst/>
                        </wps:spPr>
                        <wps:bodyPr/>
                      </wps:wsp>
                      <wpg:grpSp>
                        <wpg:cNvPr id="1073741834" name="Group 1073741834"/>
                        <wpg:cNvGrpSpPr/>
                        <wpg:grpSpPr>
                          <a:xfrm>
                            <a:off x="3789169" y="883049"/>
                            <a:ext cx="963068" cy="1171578"/>
                            <a:chOff x="-1" y="-1"/>
                            <a:chExt cx="963066" cy="1171577"/>
                          </a:xfrm>
                        </wpg:grpSpPr>
                        <wps:wsp>
                          <wps:cNvPr id="1073741832" name="Shape 1073741832"/>
                          <wps:cNvSpPr/>
                          <wps:spPr>
                            <a:xfrm>
                              <a:off x="-2" y="-2"/>
                              <a:ext cx="963068" cy="1150224"/>
                            </a:xfrm>
                            <a:prstGeom prst="rect">
                              <a:avLst/>
                            </a:prstGeom>
                            <a:noFill/>
                            <a:ln w="12700" cap="flat">
                              <a:solidFill>
                                <a:srgbClr val="000000"/>
                              </a:solidFill>
                              <a:prstDash val="solid"/>
                              <a:miter lim="400000"/>
                            </a:ln>
                            <a:effectLst/>
                          </wps:spPr>
                          <wps:bodyPr/>
                        </wps:wsp>
                        <wps:wsp>
                          <wps:cNvPr id="1073741833" name="Shape 1073741833"/>
                          <wps:cNvSpPr/>
                          <wps:spPr>
                            <a:xfrm>
                              <a:off x="-2" y="-2"/>
                              <a:ext cx="963068" cy="1171579"/>
                            </a:xfrm>
                            <a:prstGeom prst="rect">
                              <a:avLst/>
                            </a:prstGeom>
                            <a:noFill/>
                            <a:ln w="12700" cap="flat">
                              <a:noFill/>
                              <a:miter lim="400000"/>
                            </a:ln>
                            <a:effectLst/>
                          </wps:spPr>
                          <wps:txbx>
                            <w:txbxContent>
                              <w:p w:rsidR="00E1331A" w:rsidRDefault="000165CD">
                                <w:pPr>
                                  <w:pStyle w:val="BodyA"/>
                                  <w:spacing w:after="0" w:line="240" w:lineRule="auto"/>
                                </w:pPr>
                                <w:r>
                                  <w:rPr>
                                    <w:rStyle w:val="None"/>
                                    <w:rFonts w:ascii="Helvetica" w:hAnsi="Helvetica"/>
                                    <w:sz w:val="20"/>
                                    <w:szCs w:val="20"/>
                                  </w:rPr>
                                  <w:t>Diagnosis of Coeliac Disease and subsequent improvement on gluten free diet</w:t>
                                </w:r>
                              </w:p>
                            </w:txbxContent>
                          </wps:txbx>
                          <wps:bodyPr wrap="square" lIns="50800" tIns="50800" rIns="50800" bIns="50800" numCol="1" anchor="t">
                            <a:noAutofit/>
                          </wps:bodyPr>
                        </wps:wsp>
                      </wpg:grpSp>
                      <wps:wsp>
                        <wps:cNvPr id="1073741835" name="Shape 1073741835"/>
                        <wps:cNvCnPr/>
                        <wps:spPr>
                          <a:xfrm>
                            <a:off x="4270702" y="2039852"/>
                            <a:ext cx="3" cy="545437"/>
                          </a:xfrm>
                          <a:prstGeom prst="line">
                            <a:avLst/>
                          </a:prstGeom>
                          <a:noFill/>
                          <a:ln w="12700" cap="flat">
                            <a:solidFill>
                              <a:srgbClr val="000000"/>
                            </a:solidFill>
                            <a:prstDash val="solid"/>
                            <a:miter lim="400000"/>
                            <a:tailEnd type="triangle" w="med" len="med"/>
                          </a:ln>
                          <a:effectLst/>
                        </wps:spPr>
                        <wps:bodyPr/>
                      </wps:wsp>
                      <wps:wsp>
                        <wps:cNvPr id="1073741836" name="Shape 1073741836"/>
                        <wps:cNvCnPr/>
                        <wps:spPr>
                          <a:xfrm>
                            <a:off x="5365403" y="2033417"/>
                            <a:ext cx="3" cy="545437"/>
                          </a:xfrm>
                          <a:prstGeom prst="line">
                            <a:avLst/>
                          </a:prstGeom>
                          <a:noFill/>
                          <a:ln w="12700" cap="flat">
                            <a:solidFill>
                              <a:srgbClr val="000000"/>
                            </a:solidFill>
                            <a:prstDash val="solid"/>
                            <a:miter lim="400000"/>
                            <a:tailEnd type="triangle" w="med" len="med"/>
                          </a:ln>
                          <a:effectLst/>
                        </wps:spPr>
                        <wps:bodyPr/>
                      </wps:wsp>
                      <wps:wsp>
                        <wps:cNvPr id="1073741837" name="Shape 1073741837"/>
                        <wps:cNvCnPr/>
                        <wps:spPr>
                          <a:xfrm flipV="1">
                            <a:off x="174148" y="2604838"/>
                            <a:ext cx="3" cy="545437"/>
                          </a:xfrm>
                          <a:prstGeom prst="line">
                            <a:avLst/>
                          </a:prstGeom>
                          <a:noFill/>
                          <a:ln w="12700" cap="flat">
                            <a:solidFill>
                              <a:srgbClr val="000000"/>
                            </a:solidFill>
                            <a:prstDash val="solid"/>
                            <a:miter lim="400000"/>
                            <a:tailEnd type="triangle" w="med" len="med"/>
                          </a:ln>
                          <a:effectLst/>
                        </wps:spPr>
                        <wps:bodyPr/>
                      </wps:wsp>
                      <wpg:grpSp>
                        <wpg:cNvPr id="1073741840" name="Group 1073741840"/>
                        <wpg:cNvGrpSpPr/>
                        <wpg:grpSpPr>
                          <a:xfrm>
                            <a:off x="-2" y="3156706"/>
                            <a:ext cx="348302" cy="1346558"/>
                            <a:chOff x="-1" y="0"/>
                            <a:chExt cx="348301" cy="1346557"/>
                          </a:xfrm>
                        </wpg:grpSpPr>
                        <wps:wsp>
                          <wps:cNvPr id="1073741838" name="Shape 1073741838"/>
                          <wps:cNvSpPr/>
                          <wps:spPr>
                            <a:xfrm rot="16200000">
                              <a:off x="-499130" y="499127"/>
                              <a:ext cx="1346559" cy="348302"/>
                            </a:xfrm>
                            <a:prstGeom prst="rect">
                              <a:avLst/>
                            </a:prstGeom>
                            <a:noFill/>
                            <a:ln w="12700" cap="flat">
                              <a:solidFill>
                                <a:srgbClr val="000000"/>
                              </a:solidFill>
                              <a:prstDash val="solid"/>
                              <a:miter lim="400000"/>
                            </a:ln>
                            <a:effectLst/>
                          </wps:spPr>
                          <wps:bodyPr/>
                        </wps:wsp>
                        <wps:wsp>
                          <wps:cNvPr id="1073741839" name="Shape 1073741839"/>
                          <wps:cNvSpPr/>
                          <wps:spPr>
                            <a:xfrm rot="16200000">
                              <a:off x="-499130" y="499127"/>
                              <a:ext cx="1346559" cy="348302"/>
                            </a:xfrm>
                            <a:prstGeom prst="rect">
                              <a:avLst/>
                            </a:prstGeom>
                            <a:noFill/>
                            <a:ln w="12700" cap="flat">
                              <a:noFill/>
                              <a:miter lim="400000"/>
                            </a:ln>
                            <a:effectLst/>
                          </wps:spPr>
                          <wps:txbx>
                            <w:txbxContent>
                              <w:p w:rsidR="00E1331A" w:rsidRDefault="000165CD">
                                <w:pPr>
                                  <w:pStyle w:val="BodyA"/>
                                  <w:spacing w:after="0" w:line="240" w:lineRule="auto"/>
                                </w:pPr>
                                <w:r>
                                  <w:rPr>
                                    <w:rStyle w:val="None"/>
                                    <w:rFonts w:ascii="Helvetica" w:hAnsi="Helvetica"/>
                                  </w:rPr>
                                  <w:t>7 years 2 months</w:t>
                                </w:r>
                              </w:p>
                            </w:txbxContent>
                          </wps:txbx>
                          <wps:bodyPr wrap="square" lIns="50800" tIns="50800" rIns="50800" bIns="50800" numCol="1" anchor="t">
                            <a:noAutofit/>
                          </wps:bodyPr>
                        </wps:wsp>
                      </wpg:grpSp>
                      <wps:wsp>
                        <wps:cNvPr id="1073741841" name="Shape 1073741841"/>
                        <wps:cNvCnPr/>
                        <wps:spPr>
                          <a:xfrm flipV="1">
                            <a:off x="3459565" y="2604838"/>
                            <a:ext cx="3" cy="447757"/>
                          </a:xfrm>
                          <a:prstGeom prst="line">
                            <a:avLst/>
                          </a:prstGeom>
                          <a:noFill/>
                          <a:ln w="12700" cap="flat">
                            <a:solidFill>
                              <a:srgbClr val="000000"/>
                            </a:solidFill>
                            <a:prstDash val="solid"/>
                            <a:miter lim="400000"/>
                            <a:tailEnd type="triangle" w="med" len="med"/>
                          </a:ln>
                          <a:effectLst/>
                        </wps:spPr>
                        <wps:bodyPr/>
                      </wps:wsp>
                      <wpg:grpSp>
                        <wpg:cNvPr id="1073741844" name="Group 1073741844"/>
                        <wpg:cNvGrpSpPr/>
                        <wpg:grpSpPr>
                          <a:xfrm>
                            <a:off x="3285416" y="3065377"/>
                            <a:ext cx="348300" cy="1444235"/>
                            <a:chOff x="0" y="0"/>
                            <a:chExt cx="348299" cy="1444234"/>
                          </a:xfrm>
                        </wpg:grpSpPr>
                        <wps:wsp>
                          <wps:cNvPr id="1073741842" name="Shape 1073741842"/>
                          <wps:cNvSpPr/>
                          <wps:spPr>
                            <a:xfrm rot="16200000">
                              <a:off x="-547969" y="547967"/>
                              <a:ext cx="1444236" cy="348300"/>
                            </a:xfrm>
                            <a:prstGeom prst="rect">
                              <a:avLst/>
                            </a:prstGeom>
                            <a:noFill/>
                            <a:ln w="12700" cap="flat">
                              <a:solidFill>
                                <a:srgbClr val="000000"/>
                              </a:solidFill>
                              <a:prstDash val="solid"/>
                              <a:miter lim="400000"/>
                            </a:ln>
                            <a:effectLst/>
                          </wps:spPr>
                          <wps:bodyPr/>
                        </wps:wsp>
                        <wps:wsp>
                          <wps:cNvPr id="1073741843" name="Shape 1073741843"/>
                          <wps:cNvSpPr/>
                          <wps:spPr>
                            <a:xfrm rot="16200000">
                              <a:off x="-547969" y="547967"/>
                              <a:ext cx="1444236" cy="348300"/>
                            </a:xfrm>
                            <a:prstGeom prst="rect">
                              <a:avLst/>
                            </a:prstGeom>
                            <a:noFill/>
                            <a:ln w="12700" cap="flat">
                              <a:noFill/>
                              <a:miter lim="400000"/>
                            </a:ln>
                            <a:effectLst/>
                          </wps:spPr>
                          <wps:txbx>
                            <w:txbxContent>
                              <w:p w:rsidR="00E1331A" w:rsidRDefault="000165CD">
                                <w:pPr>
                                  <w:pStyle w:val="BodyA"/>
                                  <w:spacing w:after="0" w:line="240" w:lineRule="auto"/>
                                </w:pPr>
                                <w:r>
                                  <w:rPr>
                                    <w:rStyle w:val="None"/>
                                    <w:rFonts w:ascii="Helvetica" w:hAnsi="Helvetica"/>
                                  </w:rPr>
                                  <w:t>8 years 10 months</w:t>
                                </w:r>
                              </w:p>
                            </w:txbxContent>
                          </wps:txbx>
                          <wps:bodyPr wrap="square" lIns="50800" tIns="50800" rIns="50800" bIns="50800" numCol="1" anchor="t">
                            <a:noAutofit/>
                          </wps:bodyPr>
                        </wps:wsp>
                      </wpg:grpSp>
                      <wpg:grpSp>
                        <wpg:cNvPr id="1073741847" name="Group 1073741847"/>
                        <wpg:cNvGrpSpPr/>
                        <wpg:grpSpPr>
                          <a:xfrm>
                            <a:off x="2101193" y="3059026"/>
                            <a:ext cx="348301" cy="1444238"/>
                            <a:chOff x="-1" y="0"/>
                            <a:chExt cx="348300" cy="1444237"/>
                          </a:xfrm>
                        </wpg:grpSpPr>
                        <wps:wsp>
                          <wps:cNvPr id="1073741845" name="Shape 1073741845"/>
                          <wps:cNvSpPr/>
                          <wps:spPr>
                            <a:xfrm rot="16200000">
                              <a:off x="-547970" y="547967"/>
                              <a:ext cx="1444238" cy="348301"/>
                            </a:xfrm>
                            <a:prstGeom prst="rect">
                              <a:avLst/>
                            </a:prstGeom>
                            <a:noFill/>
                            <a:ln w="12700" cap="flat">
                              <a:solidFill>
                                <a:srgbClr val="000000"/>
                              </a:solidFill>
                              <a:prstDash val="solid"/>
                              <a:miter lim="400000"/>
                            </a:ln>
                            <a:effectLst/>
                          </wps:spPr>
                          <wps:bodyPr/>
                        </wps:wsp>
                        <wps:wsp>
                          <wps:cNvPr id="1073741846" name="Shape 1073741846"/>
                          <wps:cNvSpPr/>
                          <wps:spPr>
                            <a:xfrm rot="16200000">
                              <a:off x="-547970" y="547967"/>
                              <a:ext cx="1444238" cy="348301"/>
                            </a:xfrm>
                            <a:prstGeom prst="rect">
                              <a:avLst/>
                            </a:prstGeom>
                            <a:noFill/>
                            <a:ln w="12700" cap="flat">
                              <a:noFill/>
                              <a:miter lim="400000"/>
                            </a:ln>
                            <a:effectLst/>
                          </wps:spPr>
                          <wps:txbx>
                            <w:txbxContent>
                              <w:p w:rsidR="00E1331A" w:rsidRDefault="000165CD">
                                <w:pPr>
                                  <w:pStyle w:val="BodyA"/>
                                  <w:spacing w:after="0" w:line="240" w:lineRule="auto"/>
                                </w:pPr>
                                <w:r>
                                  <w:rPr>
                                    <w:rStyle w:val="None"/>
                                    <w:rFonts w:ascii="Helvetica" w:hAnsi="Helvetica"/>
                                  </w:rPr>
                                  <w:t>8 years</w:t>
                                </w:r>
                              </w:p>
                            </w:txbxContent>
                          </wps:txbx>
                          <wps:bodyPr wrap="square" lIns="50800" tIns="50800" rIns="50800" bIns="50800" numCol="1" anchor="t">
                            <a:noAutofit/>
                          </wps:bodyPr>
                        </wps:wsp>
                      </wpg:grpSp>
                      <wps:wsp>
                        <wps:cNvPr id="1073741848" name="Shape 1073741848"/>
                        <wps:cNvCnPr/>
                        <wps:spPr>
                          <a:xfrm flipV="1">
                            <a:off x="5364651" y="2604838"/>
                            <a:ext cx="3" cy="545437"/>
                          </a:xfrm>
                          <a:prstGeom prst="line">
                            <a:avLst/>
                          </a:prstGeom>
                          <a:noFill/>
                          <a:ln w="12700" cap="flat">
                            <a:solidFill>
                              <a:srgbClr val="000000"/>
                            </a:solidFill>
                            <a:prstDash val="solid"/>
                            <a:miter lim="400000"/>
                            <a:tailEnd type="triangle" w="med" len="med"/>
                          </a:ln>
                          <a:effectLst/>
                        </wps:spPr>
                        <wps:bodyPr/>
                      </wps:wsp>
                      <wpg:grpSp>
                        <wpg:cNvPr id="1073741851" name="Group 1073741851"/>
                        <wpg:cNvGrpSpPr/>
                        <wpg:grpSpPr>
                          <a:xfrm>
                            <a:off x="5190500" y="3156707"/>
                            <a:ext cx="348302" cy="1346557"/>
                            <a:chOff x="-1" y="0"/>
                            <a:chExt cx="348301" cy="1346555"/>
                          </a:xfrm>
                        </wpg:grpSpPr>
                        <wps:wsp>
                          <wps:cNvPr id="1073741849" name="Shape 1073741849"/>
                          <wps:cNvSpPr/>
                          <wps:spPr>
                            <a:xfrm rot="16200000">
                              <a:off x="-499129" y="499126"/>
                              <a:ext cx="1346557" cy="348302"/>
                            </a:xfrm>
                            <a:prstGeom prst="rect">
                              <a:avLst/>
                            </a:prstGeom>
                            <a:noFill/>
                            <a:ln w="12700" cap="flat">
                              <a:solidFill>
                                <a:srgbClr val="000000"/>
                              </a:solidFill>
                              <a:prstDash val="solid"/>
                              <a:miter lim="400000"/>
                            </a:ln>
                            <a:effectLst/>
                          </wps:spPr>
                          <wps:bodyPr/>
                        </wps:wsp>
                        <wps:wsp>
                          <wps:cNvPr id="1073741850" name="Shape 1073741850"/>
                          <wps:cNvSpPr/>
                          <wps:spPr>
                            <a:xfrm rot="16200000">
                              <a:off x="-499129" y="499126"/>
                              <a:ext cx="1346557" cy="348302"/>
                            </a:xfrm>
                            <a:prstGeom prst="rect">
                              <a:avLst/>
                            </a:prstGeom>
                            <a:noFill/>
                            <a:ln w="12700" cap="flat">
                              <a:noFill/>
                              <a:miter lim="400000"/>
                            </a:ln>
                            <a:effectLst/>
                          </wps:spPr>
                          <wps:txbx>
                            <w:txbxContent>
                              <w:p w:rsidR="00E1331A" w:rsidRDefault="000165CD">
                                <w:pPr>
                                  <w:pStyle w:val="BodyA"/>
                                  <w:spacing w:after="0" w:line="240" w:lineRule="auto"/>
                                </w:pPr>
                                <w:r>
                                  <w:rPr>
                                    <w:rStyle w:val="None"/>
                                    <w:rFonts w:ascii="Helvetica" w:hAnsi="Helvetica"/>
                                  </w:rPr>
                                  <w:t xml:space="preserve">11 </w:t>
                                </w:r>
                                <w:r>
                                  <w:rPr>
                                    <w:rStyle w:val="None"/>
                                    <w:rFonts w:ascii="Helvetica" w:hAnsi="Helvetica"/>
                                  </w:rPr>
                                  <w:t>years</w:t>
                                </w:r>
                              </w:p>
                            </w:txbxContent>
                          </wps:txbx>
                          <wps:bodyPr wrap="square" lIns="50800" tIns="50800" rIns="50800" bIns="50800" numCol="1" anchor="t">
                            <a:noAutofit/>
                          </wps:bodyPr>
                        </wps:wsp>
                      </wpg:grpSp>
                      <wpg:grpSp>
                        <wpg:cNvPr id="1073741854" name="Group 1073741854"/>
                        <wpg:cNvGrpSpPr/>
                        <wpg:grpSpPr>
                          <a:xfrm>
                            <a:off x="3301239" y="682213"/>
                            <a:ext cx="309688" cy="1353693"/>
                            <a:chOff x="0" y="-1"/>
                            <a:chExt cx="309686" cy="1353691"/>
                          </a:xfrm>
                        </wpg:grpSpPr>
                        <wps:wsp>
                          <wps:cNvPr id="1073741852" name="Shape 1073741852"/>
                          <wps:cNvSpPr/>
                          <wps:spPr>
                            <a:xfrm rot="5400000">
                              <a:off x="-522004" y="522001"/>
                              <a:ext cx="1353693" cy="309687"/>
                            </a:xfrm>
                            <a:prstGeom prst="rect">
                              <a:avLst/>
                            </a:prstGeom>
                            <a:noFill/>
                            <a:ln w="12700" cap="flat">
                              <a:solidFill>
                                <a:srgbClr val="000000"/>
                              </a:solidFill>
                              <a:prstDash val="solid"/>
                              <a:miter lim="400000"/>
                            </a:ln>
                            <a:effectLst/>
                          </wps:spPr>
                          <wps:bodyPr/>
                        </wps:wsp>
                        <wps:wsp>
                          <wps:cNvPr id="1073741853" name="Shape 1073741853"/>
                          <wps:cNvSpPr/>
                          <wps:spPr>
                            <a:xfrm rot="5400000">
                              <a:off x="-522004" y="522001"/>
                              <a:ext cx="1353693" cy="309687"/>
                            </a:xfrm>
                            <a:prstGeom prst="rect">
                              <a:avLst/>
                            </a:prstGeom>
                            <a:noFill/>
                            <a:ln w="12700" cap="flat">
                              <a:noFill/>
                              <a:miter lim="400000"/>
                            </a:ln>
                            <a:effectLst/>
                          </wps:spPr>
                          <wps:txbx>
                            <w:txbxContent>
                              <w:p w:rsidR="00E1331A" w:rsidRDefault="000165CD">
                                <w:pPr>
                                  <w:pStyle w:val="BodyA"/>
                                  <w:spacing w:after="0" w:line="240" w:lineRule="auto"/>
                                </w:pPr>
                                <w:r>
                                  <w:rPr>
                                    <w:rStyle w:val="None"/>
                                    <w:rFonts w:ascii="Helvetica" w:hAnsi="Helvetica"/>
                                  </w:rPr>
                                  <w:t>Re-Presentation</w:t>
                                </w:r>
                              </w:p>
                            </w:txbxContent>
                          </wps:txbx>
                          <wps:bodyPr wrap="square" lIns="50800" tIns="50800" rIns="50800" bIns="50800" numCol="1" anchor="t">
                            <a:noAutofit/>
                          </wps:bodyPr>
                        </wps:wsp>
                      </wpg:grpSp>
                      <wpg:grpSp>
                        <wpg:cNvPr id="1073741857" name="Group 1073741857"/>
                        <wpg:cNvGrpSpPr/>
                        <wpg:grpSpPr>
                          <a:xfrm>
                            <a:off x="37321" y="682216"/>
                            <a:ext cx="290379" cy="1353690"/>
                            <a:chOff x="0" y="0"/>
                            <a:chExt cx="290378" cy="1353688"/>
                          </a:xfrm>
                        </wpg:grpSpPr>
                        <wps:wsp>
                          <wps:cNvPr id="1073741855" name="Shape 1073741855"/>
                          <wps:cNvSpPr/>
                          <wps:spPr>
                            <a:xfrm rot="5400000">
                              <a:off x="-531657" y="531655"/>
                              <a:ext cx="1353690" cy="290379"/>
                            </a:xfrm>
                            <a:prstGeom prst="rect">
                              <a:avLst/>
                            </a:prstGeom>
                            <a:noFill/>
                            <a:ln w="12700" cap="flat">
                              <a:solidFill>
                                <a:srgbClr val="000000"/>
                              </a:solidFill>
                              <a:prstDash val="solid"/>
                              <a:miter lim="400000"/>
                            </a:ln>
                            <a:effectLst/>
                          </wps:spPr>
                          <wps:bodyPr/>
                        </wps:wsp>
                        <wps:wsp>
                          <wps:cNvPr id="1073741856" name="Shape 1073741856"/>
                          <wps:cNvSpPr/>
                          <wps:spPr>
                            <a:xfrm rot="5400000">
                              <a:off x="-531657" y="531655"/>
                              <a:ext cx="1353690" cy="290379"/>
                            </a:xfrm>
                            <a:prstGeom prst="rect">
                              <a:avLst/>
                            </a:prstGeom>
                            <a:noFill/>
                            <a:ln w="12700" cap="flat">
                              <a:noFill/>
                              <a:miter lim="400000"/>
                            </a:ln>
                            <a:effectLst/>
                          </wps:spPr>
                          <wps:txbx>
                            <w:txbxContent>
                              <w:p w:rsidR="00E1331A" w:rsidRDefault="000165CD">
                                <w:pPr>
                                  <w:pStyle w:val="BodyA"/>
                                  <w:spacing w:after="0" w:line="240" w:lineRule="auto"/>
                                </w:pPr>
                                <w:r>
                                  <w:rPr>
                                    <w:rStyle w:val="None"/>
                                    <w:rFonts w:ascii="Helvetica" w:hAnsi="Helvetica"/>
                                  </w:rPr>
                                  <w:t>First Presentation</w:t>
                                </w:r>
                              </w:p>
                            </w:txbxContent>
                          </wps:txbx>
                          <wps:bodyPr wrap="square" lIns="50800" tIns="50800" rIns="50800" bIns="50800" numCol="1" anchor="t">
                            <a:noAutofit/>
                          </wps:bodyPr>
                        </wps:wsp>
                      </wpg:grpSp>
                      <wpg:grpSp>
                        <wpg:cNvPr id="1073741860" name="Group 1073741860"/>
                        <wpg:cNvGrpSpPr/>
                        <wpg:grpSpPr>
                          <a:xfrm>
                            <a:off x="1783816" y="1136912"/>
                            <a:ext cx="991039" cy="902946"/>
                            <a:chOff x="-1" y="-1"/>
                            <a:chExt cx="991038" cy="902944"/>
                          </a:xfrm>
                        </wpg:grpSpPr>
                        <wps:wsp>
                          <wps:cNvPr id="1073741858" name="Shape 1073741858"/>
                          <wps:cNvSpPr/>
                          <wps:spPr>
                            <a:xfrm>
                              <a:off x="-2" y="-2"/>
                              <a:ext cx="991040" cy="902946"/>
                            </a:xfrm>
                            <a:prstGeom prst="rect">
                              <a:avLst/>
                            </a:prstGeom>
                            <a:noFill/>
                            <a:ln w="12700" cap="flat">
                              <a:solidFill>
                                <a:srgbClr val="000000"/>
                              </a:solidFill>
                              <a:prstDash val="solid"/>
                              <a:miter lim="400000"/>
                            </a:ln>
                            <a:effectLst/>
                          </wps:spPr>
                          <wps:bodyPr/>
                        </wps:wsp>
                        <wps:wsp>
                          <wps:cNvPr id="1073741859" name="Shape 1073741859"/>
                          <wps:cNvSpPr/>
                          <wps:spPr>
                            <a:xfrm>
                              <a:off x="-2" y="-2"/>
                              <a:ext cx="991040" cy="902946"/>
                            </a:xfrm>
                            <a:prstGeom prst="rect">
                              <a:avLst/>
                            </a:prstGeom>
                            <a:noFill/>
                            <a:ln w="12700" cap="flat">
                              <a:noFill/>
                              <a:miter lim="400000"/>
                            </a:ln>
                            <a:effectLst/>
                          </wps:spPr>
                          <wps:txbx>
                            <w:txbxContent>
                              <w:p w:rsidR="00E1331A" w:rsidRDefault="000165CD">
                                <w:pPr>
                                  <w:pStyle w:val="BodyA"/>
                                  <w:spacing w:after="0" w:line="240" w:lineRule="auto"/>
                                </w:pPr>
                                <w:r>
                                  <w:rPr>
                                    <w:rStyle w:val="None"/>
                                    <w:rFonts w:ascii="Helvetica" w:hAnsi="Helvetica"/>
                                  </w:rPr>
                                  <w:t>Completed Treatment and clinical remission</w:t>
                                </w:r>
                              </w:p>
                            </w:txbxContent>
                          </wps:txbx>
                          <wps:bodyPr wrap="square" lIns="50800" tIns="50800" rIns="50800" bIns="50800" numCol="1" anchor="t">
                            <a:noAutofit/>
                          </wps:bodyPr>
                        </wps:wsp>
                      </wpg:grpSp>
                      <wpg:grpSp>
                        <wpg:cNvPr id="1073741863" name="Group 1073741863"/>
                        <wpg:cNvGrpSpPr/>
                        <wpg:grpSpPr>
                          <a:xfrm>
                            <a:off x="426161" y="1383984"/>
                            <a:ext cx="1237303" cy="652655"/>
                            <a:chOff x="0" y="-1"/>
                            <a:chExt cx="1237301" cy="652654"/>
                          </a:xfrm>
                        </wpg:grpSpPr>
                        <wps:wsp>
                          <wps:cNvPr id="1073741861" name="Shape 1073741861"/>
                          <wps:cNvSpPr/>
                          <wps:spPr>
                            <a:xfrm>
                              <a:off x="0" y="-2"/>
                              <a:ext cx="1237302" cy="652655"/>
                            </a:xfrm>
                            <a:prstGeom prst="rect">
                              <a:avLst/>
                            </a:prstGeom>
                            <a:noFill/>
                            <a:ln w="12700" cap="flat">
                              <a:solidFill>
                                <a:srgbClr val="000000"/>
                              </a:solidFill>
                              <a:prstDash val="solid"/>
                              <a:miter lim="400000"/>
                            </a:ln>
                            <a:effectLst/>
                          </wps:spPr>
                          <wps:bodyPr/>
                        </wps:wsp>
                        <wps:wsp>
                          <wps:cNvPr id="1073741862" name="Shape 1073741862"/>
                          <wps:cNvSpPr/>
                          <wps:spPr>
                            <a:xfrm>
                              <a:off x="0" y="-2"/>
                              <a:ext cx="1237302" cy="652655"/>
                            </a:xfrm>
                            <a:prstGeom prst="rect">
                              <a:avLst/>
                            </a:prstGeom>
                            <a:noFill/>
                            <a:ln w="12700" cap="flat">
                              <a:noFill/>
                              <a:miter lim="400000"/>
                            </a:ln>
                            <a:effectLst/>
                          </wps:spPr>
                          <wps:txbx>
                            <w:txbxContent>
                              <w:p w:rsidR="00E1331A" w:rsidRDefault="000165CD">
                                <w:pPr>
                                  <w:pStyle w:val="BodyA"/>
                                  <w:spacing w:after="0" w:line="240" w:lineRule="auto"/>
                                </w:pPr>
                                <w:r>
                                  <w:rPr>
                                    <w:rStyle w:val="None"/>
                                    <w:rFonts w:ascii="Helvetica" w:hAnsi="Helvetica"/>
                                  </w:rPr>
                                  <w:t>Began Treatment on HLH-2004 Protocol</w:t>
                                </w:r>
                              </w:p>
                            </w:txbxContent>
                          </wps:txbx>
                          <wps:bodyPr wrap="square" lIns="50800" tIns="50800" rIns="50800" bIns="50800" numCol="1" anchor="t">
                            <a:noAutofit/>
                          </wps:bodyPr>
                        </wps:wsp>
                      </wpg:grpSp>
                      <wpg:grpSp>
                        <wpg:cNvPr id="1073741866" name="Group 1073741866"/>
                        <wpg:cNvGrpSpPr/>
                        <wpg:grpSpPr>
                          <a:xfrm>
                            <a:off x="5196852" y="820065"/>
                            <a:ext cx="337393" cy="1210222"/>
                            <a:chOff x="0" y="0"/>
                            <a:chExt cx="337392" cy="1210220"/>
                          </a:xfrm>
                        </wpg:grpSpPr>
                        <wps:wsp>
                          <wps:cNvPr id="1073741864" name="Shape 1073741864"/>
                          <wps:cNvSpPr/>
                          <wps:spPr>
                            <a:xfrm rot="5400000">
                              <a:off x="-436415" y="436413"/>
                              <a:ext cx="1210222" cy="337393"/>
                            </a:xfrm>
                            <a:prstGeom prst="rect">
                              <a:avLst/>
                            </a:prstGeom>
                            <a:noFill/>
                            <a:ln w="12700" cap="flat">
                              <a:solidFill>
                                <a:srgbClr val="000000"/>
                              </a:solidFill>
                              <a:prstDash val="solid"/>
                              <a:miter lim="400000"/>
                            </a:ln>
                            <a:effectLst/>
                          </wps:spPr>
                          <wps:bodyPr/>
                        </wps:wsp>
                        <wps:wsp>
                          <wps:cNvPr id="1073741865" name="Shape 1073741865"/>
                          <wps:cNvSpPr/>
                          <wps:spPr>
                            <a:xfrm rot="5400000">
                              <a:off x="-436415" y="436413"/>
                              <a:ext cx="1210222" cy="337393"/>
                            </a:xfrm>
                            <a:prstGeom prst="rect">
                              <a:avLst/>
                            </a:prstGeom>
                            <a:noFill/>
                            <a:ln w="12700" cap="flat">
                              <a:noFill/>
                              <a:miter lim="400000"/>
                            </a:ln>
                            <a:effectLst/>
                          </wps:spPr>
                          <wps:txbx>
                            <w:txbxContent>
                              <w:p w:rsidR="00E1331A" w:rsidRDefault="000165CD">
                                <w:pPr>
                                  <w:pStyle w:val="CaptionA"/>
                                  <w:tabs>
                                    <w:tab w:val="clear" w:pos="1150"/>
                                    <w:tab w:val="left" w:pos="1440"/>
                                  </w:tabs>
                                  <w:suppressAutoHyphens/>
                                  <w:outlineLvl w:val="0"/>
                                </w:pPr>
                                <w:r>
                                  <w:rPr>
                                    <w:rStyle w:val="None"/>
                                    <w:b w:val="0"/>
                                    <w:bCs w:val="0"/>
                                    <w:caps w:val="0"/>
                                    <w:sz w:val="22"/>
                                    <w:szCs w:val="22"/>
                                  </w:rPr>
                                  <w:t>Diagnosis of JIA</w:t>
                                </w:r>
                              </w:p>
                            </w:txbxContent>
                          </wps:txbx>
                          <wps:bodyPr wrap="square" lIns="45718" tIns="45718" rIns="45718" bIns="45718" numCol="1" anchor="t">
                            <a:noAutofit/>
                          </wps:bodyPr>
                        </wps:wsp>
                      </wpg:grpSp>
                    </wpg:wgp>
                  </a:graphicData>
                </a:graphic>
              </wp:anchor>
            </w:drawing>
          </mc:Choice>
          <mc:Fallback>
            <w:pict>
              <v:group id="_x0000_s1026" style="visibility:visible;position:absolute;margin-left:72.0pt;margin-top:36.2pt;width:436.1pt;height:355.1pt;z-index:251659264;mso-position-horizontal:absolute;mso-position-horizontal-relative:page;mso-position-vertical:absolute;mso-position-vertical-relative:line;mso-wrap-distance-left:12.0pt;mso-wrap-distance-top:12.0pt;mso-wrap-distance-right:12.0pt;mso-wrap-distance-bottom:12.0pt;" coordorigin="-2,-1" coordsize="5538804,4509612">
                <w10:wrap type="topAndBottom" side="bothSides" anchorx="page"/>
                <v:rect id="_x0000_s1027" style="position:absolute;left:18014;top:-1;width:2769596;height:517198;">
                  <v:fill on="f"/>
                  <v:stroke on="f" weight="1.0pt" dashstyle="solid" endcap="flat" miterlimit="400.0%" joinstyle="miter" linestyle="single" startarrow="none" startarrowwidth="medium" startarrowlength="medium" endarrow="none" endarrowwidth="medium" endarrowlength="medium"/>
                  <v:textbox>
                    <w:txbxContent>
                      <w:p>
                        <w:pPr>
                          <w:pStyle w:val="Body A"/>
                          <w:spacing w:after="0" w:line="240" w:lineRule="auto"/>
                        </w:pPr>
                        <w:r>
                          <w:rPr>
                            <w:rStyle w:val="None"/>
                            <w:rFonts w:ascii="Helvetica" w:hAnsi="Helvetica"/>
                            <w:rtl w:val="0"/>
                            <w:lang w:val="en-US"/>
                          </w:rPr>
                          <w:t>Figure 1: Timeline demonstrating clinical course with concurrent age</w:t>
                        </w:r>
                      </w:p>
                    </w:txbxContent>
                  </v:textbox>
                </v:rect>
                <v:line id="_x0000_s1028" style="position:absolute;left:2275342;top:2604839;width:2;height:447756;flip:y;">
                  <v:fill on="f"/>
                  <v:stroke filltype="solid" color="#000000" opacity="100.0%" weight="1.0pt" dashstyle="solid" endcap="flat" miterlimit="400.0%" joinstyle="miter" linestyle="single" startarrow="none" startarrowwidth="medium" startarrowlength="medium" endarrow="block" endarrowwidth="medium" endarrowlength="medium"/>
                </v:line>
                <v:line id="_x0000_s1029" style="position:absolute;left:182508;top:2591722;width:5210201;height:2;">
                  <v:fill on="f"/>
                  <v:stroke filltype="solid" color="#000000" opacity="100.0%" weight="2.0pt" dashstyle="2 2" endcap="flat" miterlimit="400.0%" joinstyle="miter" linestyle="single" startarrow="none" startarrowwidth="medium" startarrowlength="medium" endarrow="none" endarrowwidth="medium" endarrowlength="medium"/>
                </v:line>
                <v:line id="_x0000_s1030" style="position:absolute;left:174148;top:2042337;width:2;height:545437;flip:x;">
                  <v:fill on="f"/>
                  <v:stroke filltype="solid" color="#000000" opacity="100.0%" weight="1.0pt" dashstyle="solid" endcap="flat" miterlimit="400.0%" joinstyle="miter" linestyle="single" startarrow="none" startarrowwidth="medium" startarrowlength="medium" endarrow="block" endarrowwidth="medium" endarrowlength="medium"/>
                </v:line>
                <v:line id="_x0000_s1031" style="position:absolute;left:1063630;top:2036634;width:2;height:545437;flip:x;">
                  <v:fill on="f"/>
                  <v:stroke filltype="solid" color="#000000" opacity="100.0%" weight="1.0pt" dashstyle="solid" endcap="flat" miterlimit="400.0%" joinstyle="miter" linestyle="single" startarrow="none" startarrowwidth="medium" startarrowlength="medium" endarrow="block" endarrowwidth="medium" endarrowlength="medium"/>
                </v:line>
                <v:line id="_x0000_s1032" style="position:absolute;left:2279334;top:2030198;width:2;height:551873;">
                  <v:fill on="f"/>
                  <v:stroke filltype="solid" color="#000000" opacity="100.0%" weight="1.0pt" dashstyle="solid" endcap="flat" miterlimit="400.0%" joinstyle="miter" linestyle="single" startarrow="none" startarrowwidth="medium" startarrowlength="medium" endarrow="block" endarrowwidth="medium" endarrowlength="medium"/>
                </v:line>
                <v:line id="_x0000_s1033" style="position:absolute;left:3456080;top:2042337;width:2;height:545437;">
                  <v:fill on="f"/>
                  <v:stroke filltype="solid" color="#000000" opacity="100.0%" weight="1.0pt" dashstyle="solid" endcap="flat" miterlimit="400.0%" joinstyle="miter" linestyle="single" startarrow="none" startarrowwidth="medium" startarrowlength="medium" endarrow="block" endarrowwidth="medium" endarrowlength="medium"/>
                </v:line>
                <v:group id="_x0000_s1034" style="position:absolute;left:3789169;top:883049;width:963067;height:1171577;" coordorigin="-1,-1" coordsize="963067,1171577">
                  <v:rect id="_x0000_s1035" style="position:absolute;left:-1;top:-1;width:963067;height:1150222;">
                    <v:fill on="f"/>
                    <v:stroke filltype="solid" color="#000000" opacity="100.0%" weight="1.0pt" dashstyle="solid" endcap="flat" miterlimit="400.0%" joinstyle="miter" linestyle="single" startarrow="none" startarrowwidth="medium" startarrowlength="medium" endarrow="none" endarrowwidth="medium" endarrowlength="medium"/>
                  </v:rect>
                  <v:rect id="_x0000_s1036" style="position:absolute;left:-1;top:-1;width:963067;height:1171577;">
                    <v:fill on="f"/>
                    <v:stroke on="f" weight="1.0pt" dashstyle="solid" endcap="flat" miterlimit="400.0%" joinstyle="miter" linestyle="single" startarrow="none" startarrowwidth="medium" startarrowlength="medium" endarrow="none" endarrowwidth="medium" endarrowlength="medium"/>
                    <v:textbox>
                      <w:txbxContent>
                        <w:p>
                          <w:pPr>
                            <w:pStyle w:val="Body A"/>
                            <w:spacing w:after="0" w:line="240" w:lineRule="auto"/>
                          </w:pPr>
                          <w:r>
                            <w:rPr>
                              <w:rStyle w:val="None"/>
                              <w:rFonts w:ascii="Helvetica" w:hAnsi="Helvetica"/>
                              <w:sz w:val="20"/>
                              <w:szCs w:val="20"/>
                              <w:rtl w:val="0"/>
                              <w:lang w:val="en-US"/>
                            </w:rPr>
                            <w:t>Diagnosis of Coeliac Disease and subsequent improvement on gluten free diet</w:t>
                          </w:r>
                        </w:p>
                      </w:txbxContent>
                    </v:textbox>
                  </v:rect>
                </v:group>
                <v:line id="_x0000_s1037" style="position:absolute;left:4270703;top:2039852;width:2;height:545436;">
                  <v:fill on="f"/>
                  <v:stroke filltype="solid" color="#000000" opacity="100.0%" weight="1.0pt" dashstyle="solid" endcap="flat" miterlimit="400.0%" joinstyle="miter" linestyle="single" startarrow="none" startarrowwidth="medium" startarrowlength="medium" endarrow="block" endarrowwidth="medium" endarrowlength="medium"/>
                </v:line>
                <v:line id="_x0000_s1038" style="position:absolute;left:5365404;top:2033417;width:2;height:545436;">
                  <v:fill on="f"/>
                  <v:stroke filltype="solid" color="#000000" opacity="100.0%" weight="1.0pt" dashstyle="solid" endcap="flat" miterlimit="400.0%" joinstyle="miter" linestyle="single" startarrow="none" startarrowwidth="medium" startarrowlength="medium" endarrow="block" endarrowwidth="medium" endarrowlength="medium"/>
                </v:line>
                <v:line id="_x0000_s1039" style="position:absolute;left:174148;top:2604839;width:2;height:545436;flip:y;">
                  <v:fill on="f"/>
                  <v:stroke filltype="solid" color="#000000" opacity="100.0%" weight="1.0pt" dashstyle="solid" endcap="flat" miterlimit="400.0%" joinstyle="miter" linestyle="single" startarrow="none" startarrowwidth="medium" startarrowlength="medium" endarrow="block" endarrowwidth="medium" endarrowlength="medium"/>
                </v:line>
                <v:group id="_x0000_s1040" style="position:absolute;left:-2;top:3156707;width:348301;height:1346557;" coordorigin="-1,-1" coordsize="348301,1346557">
                  <v:rect id="_x0000_s1041" style="position:absolute;left:-499129;top:499127;width:1346557;height:348301;rotation:17694720fd;">
                    <v:fill on="f"/>
                    <v:stroke filltype="solid" color="#000000" opacity="100.0%" weight="1.0pt" dashstyle="solid" endcap="flat" miterlimit="400.0%" joinstyle="miter" linestyle="single" startarrow="none" startarrowwidth="medium" startarrowlength="medium" endarrow="none" endarrowwidth="medium" endarrowlength="medium"/>
                  </v:rect>
                  <v:rect id="_x0000_s1042" style="position:absolute;left:-499129;top:499127;width:1346557;height:348301;rotation:17694720fd;">
                    <v:fill on="f"/>
                    <v:stroke on="f" weight="1.0pt" dashstyle="solid" endcap="flat" miterlimit="400.0%" joinstyle="miter" linestyle="single" startarrow="none" startarrowwidth="medium" startarrowlength="medium" endarrow="none" endarrowwidth="medium" endarrowlength="medium"/>
                    <v:textbox>
                      <w:txbxContent>
                        <w:p>
                          <w:pPr>
                            <w:pStyle w:val="Body A"/>
                            <w:spacing w:after="0" w:line="240" w:lineRule="auto"/>
                          </w:pPr>
                          <w:r>
                            <w:rPr>
                              <w:rStyle w:val="None"/>
                              <w:rFonts w:ascii="Helvetica" w:hAnsi="Helvetica"/>
                              <w:rtl w:val="0"/>
                              <w:lang w:val="en-US"/>
                            </w:rPr>
                            <w:t>7 years 2 months</w:t>
                          </w:r>
                        </w:p>
                      </w:txbxContent>
                    </v:textbox>
                  </v:rect>
                </v:group>
                <v:line id="_x0000_s1043" style="position:absolute;left:3459565;top:2604839;width:2;height:447756;flip:y;">
                  <v:fill on="f"/>
                  <v:stroke filltype="solid" color="#000000" opacity="100.0%" weight="1.0pt" dashstyle="solid" endcap="flat" miterlimit="400.0%" joinstyle="miter" linestyle="single" startarrow="none" startarrowwidth="medium" startarrowlength="medium" endarrow="block" endarrowwidth="medium" endarrowlength="medium"/>
                </v:line>
                <v:group id="_x0000_s1044" style="position:absolute;left:3285417;top:3065377;width:348299;height:1444234;" coordorigin="-1,0" coordsize="348300,1444234">
                  <v:rect id="_x0000_s1045" style="position:absolute;left:-547968;top:547967;width:1444234;height:348299;rotation:17694720fd;">
                    <v:fill on="f"/>
                    <v:stroke filltype="solid" color="#000000" opacity="100.0%" weight="1.0pt" dashstyle="solid" endcap="flat" miterlimit="400.0%" joinstyle="miter" linestyle="single" startarrow="none" startarrowwidth="medium" startarrowlength="medium" endarrow="none" endarrowwidth="medium" endarrowlength="medium"/>
                  </v:rect>
                  <v:rect id="_x0000_s1046" style="position:absolute;left:-547968;top:547967;width:1444234;height:348299;rotation:17694720fd;">
                    <v:fill on="f"/>
                    <v:stroke on="f" weight="1.0pt" dashstyle="solid" endcap="flat" miterlimit="400.0%" joinstyle="miter" linestyle="single" startarrow="none" startarrowwidth="medium" startarrowlength="medium" endarrow="none" endarrowwidth="medium" endarrowlength="medium"/>
                    <v:textbox>
                      <w:txbxContent>
                        <w:p>
                          <w:pPr>
                            <w:pStyle w:val="Body A"/>
                            <w:spacing w:after="0" w:line="240" w:lineRule="auto"/>
                          </w:pPr>
                          <w:r>
                            <w:rPr>
                              <w:rStyle w:val="None"/>
                              <w:rFonts w:ascii="Helvetica" w:hAnsi="Helvetica"/>
                              <w:rtl w:val="0"/>
                              <w:lang w:val="en-US"/>
                            </w:rPr>
                            <w:t>8 years 10 months</w:t>
                          </w:r>
                        </w:p>
                      </w:txbxContent>
                    </v:textbox>
                  </v:rect>
                </v:group>
                <v:group id="_x0000_s1047" style="position:absolute;left:2101193;top:3059027;width:348300;height:1444237;" coordorigin="-1,-1" coordsize="348300,1444237">
                  <v:rect id="_x0000_s1048" style="position:absolute;left:-547970;top:547968;width:1444237;height:348300;rotation:17694720fd;">
                    <v:fill on="f"/>
                    <v:stroke filltype="solid" color="#000000" opacity="100.0%" weight="1.0pt" dashstyle="solid" endcap="flat" miterlimit="400.0%" joinstyle="miter" linestyle="single" startarrow="none" startarrowwidth="medium" startarrowlength="medium" endarrow="none" endarrowwidth="medium" endarrowlength="medium"/>
                  </v:rect>
                  <v:rect id="_x0000_s1049" style="position:absolute;left:-547970;top:547968;width:1444237;height:348300;rotation:17694720fd;">
                    <v:fill on="f"/>
                    <v:stroke on="f" weight="1.0pt" dashstyle="solid" endcap="flat" miterlimit="400.0%" joinstyle="miter" linestyle="single" startarrow="none" startarrowwidth="medium" startarrowlength="medium" endarrow="none" endarrowwidth="medium" endarrowlength="medium"/>
                    <v:textbox>
                      <w:txbxContent>
                        <w:p>
                          <w:pPr>
                            <w:pStyle w:val="Body A"/>
                            <w:spacing w:after="0" w:line="240" w:lineRule="auto"/>
                          </w:pPr>
                          <w:r>
                            <w:rPr>
                              <w:rStyle w:val="None"/>
                              <w:rFonts w:ascii="Helvetica" w:hAnsi="Helvetica"/>
                              <w:rtl w:val="0"/>
                              <w:lang w:val="en-US"/>
                            </w:rPr>
                            <w:t>8 years</w:t>
                          </w:r>
                        </w:p>
                      </w:txbxContent>
                    </v:textbox>
                  </v:rect>
                </v:group>
                <v:line id="_x0000_s1050" style="position:absolute;left:5364652;top:2604839;width:2;height:545436;flip:y;">
                  <v:fill on="f"/>
                  <v:stroke filltype="solid" color="#000000" opacity="100.0%" weight="1.0pt" dashstyle="solid" endcap="flat" miterlimit="400.0%" joinstyle="miter" linestyle="single" startarrow="none" startarrowwidth="medium" startarrowlength="medium" endarrow="block" endarrowwidth="medium" endarrowlength="medium"/>
                </v:line>
                <v:group id="_x0000_s1051" style="position:absolute;left:5190501;top:3156708;width:348301;height:1346556;" coordorigin="-1,-1" coordsize="348301,1346556">
                  <v:rect id="_x0000_s1052" style="position:absolute;left:-499128;top:499127;width:1346556;height:348301;rotation:17694720fd;">
                    <v:fill on="f"/>
                    <v:stroke filltype="solid" color="#000000" opacity="100.0%" weight="1.0pt" dashstyle="solid" endcap="flat" miterlimit="400.0%" joinstyle="miter" linestyle="single" startarrow="none" startarrowwidth="medium" startarrowlength="medium" endarrow="none" endarrowwidth="medium" endarrowlength="medium"/>
                  </v:rect>
                  <v:rect id="_x0000_s1053" style="position:absolute;left:-499128;top:499127;width:1346556;height:348301;rotation:17694720fd;">
                    <v:fill on="f"/>
                    <v:stroke on="f" weight="1.0pt" dashstyle="solid" endcap="flat" miterlimit="400.0%" joinstyle="miter" linestyle="single" startarrow="none" startarrowwidth="medium" startarrowlength="medium" endarrow="none" endarrowwidth="medium" endarrowlength="medium"/>
                    <v:textbox>
                      <w:txbxContent>
                        <w:p>
                          <w:pPr>
                            <w:pStyle w:val="Body A"/>
                            <w:spacing w:after="0" w:line="240" w:lineRule="auto"/>
                          </w:pPr>
                          <w:r>
                            <w:rPr>
                              <w:rStyle w:val="None"/>
                              <w:rFonts w:ascii="Helvetica" w:hAnsi="Helvetica"/>
                              <w:rtl w:val="0"/>
                              <w:lang w:val="en-US"/>
                            </w:rPr>
                            <w:t>11 years</w:t>
                          </w:r>
                        </w:p>
                      </w:txbxContent>
                    </v:textbox>
                  </v:rect>
                </v:group>
                <v:group id="_x0000_s1054" style="position:absolute;left:3301240;top:682214;width:309686;height:1353692;" coordorigin="-1,-2" coordsize="309687,1353692">
                  <v:rect id="_x0000_s1055" style="position:absolute;left:-522003;top:522001;width:1353692;height:309686;rotation:5898240fd;">
                    <v:fill on="f"/>
                    <v:stroke filltype="solid" color="#000000" opacity="100.0%" weight="1.0pt" dashstyle="solid" endcap="flat" miterlimit="400.0%" joinstyle="miter" linestyle="single" startarrow="none" startarrowwidth="medium" startarrowlength="medium" endarrow="none" endarrowwidth="medium" endarrowlength="medium"/>
                  </v:rect>
                  <v:rect id="_x0000_s1056" style="position:absolute;left:-522003;top:522001;width:1353692;height:309686;rotation:5898240fd;">
                    <v:fill on="f"/>
                    <v:stroke on="f" weight="1.0pt" dashstyle="solid" endcap="flat" miterlimit="400.0%" joinstyle="miter" linestyle="single" startarrow="none" startarrowwidth="medium" startarrowlength="medium" endarrow="none" endarrowwidth="medium" endarrowlength="medium"/>
                    <v:textbox>
                      <w:txbxContent>
                        <w:p>
                          <w:pPr>
                            <w:pStyle w:val="Body A"/>
                            <w:spacing w:after="0" w:line="240" w:lineRule="auto"/>
                          </w:pPr>
                          <w:r>
                            <w:rPr>
                              <w:rStyle w:val="None"/>
                              <w:rFonts w:ascii="Helvetica" w:hAnsi="Helvetica"/>
                              <w:rtl w:val="0"/>
                              <w:lang w:val="en-US"/>
                            </w:rPr>
                            <w:t>Re-Presentation</w:t>
                          </w:r>
                        </w:p>
                      </w:txbxContent>
                    </v:textbox>
                  </v:rect>
                </v:group>
                <v:group id="_x0000_s1057" style="position:absolute;left:37321;top:682216;width:290378;height:1353689;" coordorigin="-1,0" coordsize="290378,1353689">
                  <v:rect id="_x0000_s1058" style="position:absolute;left:-531656;top:531656;width:1353689;height:290378;rotation:5898240fd;">
                    <v:fill on="f"/>
                    <v:stroke filltype="solid" color="#000000" opacity="100.0%" weight="1.0pt" dashstyle="solid" endcap="flat" miterlimit="400.0%" joinstyle="miter" linestyle="single" startarrow="none" startarrowwidth="medium" startarrowlength="medium" endarrow="none" endarrowwidth="medium" endarrowlength="medium"/>
                  </v:rect>
                  <v:rect id="_x0000_s1059" style="position:absolute;left:-531656;top:531656;width:1353689;height:290378;rotation:5898240fd;">
                    <v:fill on="f"/>
                    <v:stroke on="f" weight="1.0pt" dashstyle="solid" endcap="flat" miterlimit="400.0%" joinstyle="miter" linestyle="single" startarrow="none" startarrowwidth="medium" startarrowlength="medium" endarrow="none" endarrowwidth="medium" endarrowlength="medium"/>
                    <v:textbox>
                      <w:txbxContent>
                        <w:p>
                          <w:pPr>
                            <w:pStyle w:val="Body A"/>
                            <w:spacing w:after="0" w:line="240" w:lineRule="auto"/>
                          </w:pPr>
                          <w:r>
                            <w:rPr>
                              <w:rStyle w:val="None"/>
                              <w:rFonts w:ascii="Helvetica" w:hAnsi="Helvetica"/>
                              <w:rtl w:val="0"/>
                              <w:lang w:val="en-US"/>
                            </w:rPr>
                            <w:t>First Presentation</w:t>
                          </w:r>
                        </w:p>
                      </w:txbxContent>
                    </v:textbox>
                  </v:rect>
                </v:group>
                <v:group id="_x0000_s1060" style="position:absolute;left:1783816;top:1136912;width:991038;height:902945;" coordorigin="-1,-1" coordsize="991038,902945">
                  <v:rect id="_x0000_s1061" style="position:absolute;left:-1;top:-1;width:991038;height:902945;">
                    <v:fill on="f"/>
                    <v:stroke filltype="solid" color="#000000" opacity="100.0%" weight="1.0pt" dashstyle="solid" endcap="flat" miterlimit="400.0%" joinstyle="miter" linestyle="single" startarrow="none" startarrowwidth="medium" startarrowlength="medium" endarrow="none" endarrowwidth="medium" endarrowlength="medium"/>
                  </v:rect>
                  <v:rect id="_x0000_s1062" style="position:absolute;left:-1;top:-1;width:991038;height:902945;">
                    <v:fill on="f"/>
                    <v:stroke on="f" weight="1.0pt" dashstyle="solid" endcap="flat" miterlimit="400.0%" joinstyle="miter" linestyle="single" startarrow="none" startarrowwidth="medium" startarrowlength="medium" endarrow="none" endarrowwidth="medium" endarrowlength="medium"/>
                    <v:textbox>
                      <w:txbxContent>
                        <w:p>
                          <w:pPr>
                            <w:pStyle w:val="Body A"/>
                            <w:spacing w:after="0" w:line="240" w:lineRule="auto"/>
                          </w:pPr>
                          <w:r>
                            <w:rPr>
                              <w:rStyle w:val="None"/>
                              <w:rFonts w:ascii="Helvetica" w:hAnsi="Helvetica"/>
                              <w:rtl w:val="0"/>
                              <w:lang w:val="en-US"/>
                            </w:rPr>
                            <w:t>Completed Treatment and clinical remission</w:t>
                          </w:r>
                        </w:p>
                      </w:txbxContent>
                    </v:textbox>
                  </v:rect>
                </v:group>
                <v:group id="_x0000_s1063" style="position:absolute;left:426161;top:1383984;width:1237302;height:652654;" coordorigin="0,-1" coordsize="1237302,652654">
                  <v:rect id="_x0000_s1064" style="position:absolute;left:0;top:-1;width:1237302;height:652654;">
                    <v:fill on="f"/>
                    <v:stroke filltype="solid" color="#000000" opacity="100.0%" weight="1.0pt" dashstyle="solid" endcap="flat" miterlimit="400.0%" joinstyle="miter" linestyle="single" startarrow="none" startarrowwidth="medium" startarrowlength="medium" endarrow="none" endarrowwidth="medium" endarrowlength="medium"/>
                  </v:rect>
                  <v:rect id="_x0000_s1065" style="position:absolute;left:0;top:-1;width:1237302;height:652654;">
                    <v:fill on="f"/>
                    <v:stroke on="f" weight="1.0pt" dashstyle="solid" endcap="flat" miterlimit="400.0%" joinstyle="miter" linestyle="single" startarrow="none" startarrowwidth="medium" startarrowlength="medium" endarrow="none" endarrowwidth="medium" endarrowlength="medium"/>
                    <v:textbox>
                      <w:txbxContent>
                        <w:p>
                          <w:pPr>
                            <w:pStyle w:val="Body A"/>
                            <w:spacing w:after="0" w:line="240" w:lineRule="auto"/>
                          </w:pPr>
                          <w:r>
                            <w:rPr>
                              <w:rStyle w:val="None"/>
                              <w:rFonts w:ascii="Helvetica" w:hAnsi="Helvetica"/>
                              <w:rtl w:val="0"/>
                              <w:lang w:val="en-US"/>
                            </w:rPr>
                            <w:t>Began Treatment on HLH-2004 Protocol</w:t>
                          </w:r>
                        </w:p>
                      </w:txbxContent>
                    </v:textbox>
                  </v:rect>
                </v:group>
                <v:group id="_x0000_s1066" style="position:absolute;left:5196852;top:820066;width:337392;height:1210221;" coordorigin="0,-1" coordsize="337392,1210221">
                  <v:rect id="_x0000_s1067" style="position:absolute;left:-436415;top:436414;width:1210221;height:337392;rotation:5898240fd;">
                    <v:fill on="f"/>
                    <v:stroke filltype="solid" color="#000000" opacity="100.0%" weight="1.0pt" dashstyle="solid" endcap="flat" miterlimit="400.0%" joinstyle="miter" linestyle="single" startarrow="none" startarrowwidth="medium" startarrowlength="medium" endarrow="none" endarrowwidth="medium" endarrowlength="medium"/>
                  </v:rect>
                  <v:rect id="_x0000_s1068" style="position:absolute;left:-436415;top:436414;width:1210221;height:337392;rotation:5898240fd;">
                    <v:fill on="f"/>
                    <v:stroke on="f" weight="1.0pt" dashstyle="solid" endcap="flat" miterlimit="400.0%" joinstyle="miter" linestyle="single" startarrow="none" startarrowwidth="medium" startarrowlength="medium" endarrow="none" endarrowwidth="medium" endarrowlength="medium"/>
                    <v:textbox>
                      <w:txbxContent>
                        <w:p>
                          <w:pPr>
                            <w:pStyle w:val="Caption A"/>
                            <w:tabs>
                              <w:tab w:val="left" w:pos="1440"/>
                              <w:tab w:val="clear" w:pos="1150"/>
                            </w:tabs>
                            <w:suppressAutoHyphens w:val="1"/>
                            <w:outlineLvl w:val="0"/>
                          </w:pPr>
                          <w:r>
                            <w:rPr>
                              <w:rStyle w:val="None"/>
                              <w:b w:val="0"/>
                              <w:bCs w:val="0"/>
                              <w:caps w:val="0"/>
                              <w:smallCaps w:val="0"/>
                              <w:sz w:val="22"/>
                              <w:szCs w:val="22"/>
                              <w:rtl w:val="0"/>
                              <w:lang w:val="en-US"/>
                            </w:rPr>
                            <w:t>Diagnosis of JIA</w:t>
                          </w:r>
                        </w:p>
                      </w:txbxContent>
                    </v:textbox>
                  </v:rect>
                </v:group>
              </v:group>
            </w:pict>
          </mc:Fallback>
        </mc:AlternateContent>
      </w:r>
    </w:p>
    <w:sectPr w:rsidR="00E1331A">
      <w:headerReference w:type="default" r:id="rId11"/>
      <w:footerReference w:type="default" r:id="rId12"/>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65CD" w:rsidRDefault="000165CD">
      <w:r>
        <w:separator/>
      </w:r>
    </w:p>
  </w:endnote>
  <w:endnote w:type="continuationSeparator" w:id="0">
    <w:p w:rsidR="000165CD" w:rsidRDefault="00016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331A" w:rsidRDefault="00E1331A">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65CD" w:rsidRDefault="000165CD">
      <w:r>
        <w:separator/>
      </w:r>
    </w:p>
  </w:footnote>
  <w:footnote w:type="continuationSeparator" w:id="0">
    <w:p w:rsidR="000165CD" w:rsidRDefault="000165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331A" w:rsidRDefault="00E1331A">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2916F7"/>
    <w:multiLevelType w:val="hybridMultilevel"/>
    <w:tmpl w:val="4B8EDCF2"/>
    <w:numStyleLink w:val="Numbered"/>
  </w:abstractNum>
  <w:abstractNum w:abstractNumId="1" w15:restartNumberingAfterBreak="0">
    <w:nsid w:val="50911C7D"/>
    <w:multiLevelType w:val="hybridMultilevel"/>
    <w:tmpl w:val="4B8EDCF2"/>
    <w:styleLink w:val="Numbered"/>
    <w:lvl w:ilvl="0" w:tplc="D27201FE">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A9CEEEC8">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20ACA6E0">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6B644E5E">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BCD4A71E">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BF4A0B2E">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6456B1DA">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7570CD3C">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ECBED560">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31A"/>
    <w:rsid w:val="000165CD"/>
    <w:rsid w:val="00AC1A67"/>
    <w:rsid w:val="00E133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378C03-03A9-4D3D-93AB-C7200D656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pPr>
      <w:spacing w:after="200" w:line="276" w:lineRule="auto"/>
    </w:pPr>
    <w:rPr>
      <w:rFonts w:ascii="Calibri" w:eastAsia="Calibri" w:hAnsi="Calibri" w:cs="Calibri"/>
      <w:color w:val="000000"/>
      <w:sz w:val="22"/>
      <w:szCs w:val="22"/>
      <w:u w:color="000000"/>
      <w:lang w:val="en-US"/>
    </w:rPr>
  </w:style>
  <w:style w:type="character" w:customStyle="1" w:styleId="NoneA">
    <w:name w:val="None A"/>
    <w:rPr>
      <w:lang w:val="en-US"/>
    </w:rPr>
  </w:style>
  <w:style w:type="character" w:customStyle="1" w:styleId="None">
    <w:name w:val="None"/>
  </w:style>
  <w:style w:type="character" w:customStyle="1" w:styleId="Hyperlink0">
    <w:name w:val="Hyperlink.0"/>
    <w:basedOn w:val="None"/>
    <w:rPr>
      <w:color w:val="0000FF"/>
      <w:sz w:val="24"/>
      <w:szCs w:val="24"/>
      <w:u w:val="single" w:color="0000FF"/>
    </w:rPr>
  </w:style>
  <w:style w:type="character" w:customStyle="1" w:styleId="Hyperlink1">
    <w:name w:val="Hyperlink.1"/>
    <w:basedOn w:val="None"/>
    <w:rPr>
      <w:color w:val="0000FF"/>
      <w:sz w:val="24"/>
      <w:szCs w:val="24"/>
      <w:u w:val="single" w:color="0000FF"/>
      <w:lang w:val="en-US"/>
    </w:rPr>
  </w:style>
  <w:style w:type="numbering" w:customStyle="1" w:styleId="Numbered">
    <w:name w:val="Numbered"/>
    <w:pPr>
      <w:numPr>
        <w:numId w:val="1"/>
      </w:numPr>
    </w:pPr>
  </w:style>
  <w:style w:type="paragraph" w:customStyle="1" w:styleId="CaptionA">
    <w:name w:val="Caption A"/>
    <w:pPr>
      <w:tabs>
        <w:tab w:val="left" w:pos="1150"/>
      </w:tabs>
    </w:pPr>
    <w:rPr>
      <w:rFonts w:ascii="Helvetica" w:hAnsi="Helvetica" w:cs="Arial Unicode MS"/>
      <w:b/>
      <w:bCs/>
      <w:caps/>
      <w:color w:val="000000"/>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Richa.Ajitsaria@thh.nhs.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ickfordham@doctors.org.uk"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Subarna.chakravorty@nhs.net" TargetMode="External"/><Relationship Id="rId4" Type="http://schemas.openxmlformats.org/officeDocument/2006/relationships/webSettings" Target="webSettings.xml"/><Relationship Id="rId9" Type="http://schemas.openxmlformats.org/officeDocument/2006/relationships/hyperlink" Target="mailto:Leena.karnik@imperial.nhs.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1878</Words>
  <Characters>10706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12559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Stork, Leigh A</dc:creator>
  <cp:lastModifiedBy>Stork, Leigh A</cp:lastModifiedBy>
  <cp:revision>2</cp:revision>
  <dcterms:created xsi:type="dcterms:W3CDTF">2016-08-25T09:41:00Z</dcterms:created>
  <dcterms:modified xsi:type="dcterms:W3CDTF">2016-08-25T09:41:00Z</dcterms:modified>
</cp:coreProperties>
</file>