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71E78" w14:textId="3FFDAA27" w:rsidR="003A6CFE" w:rsidRPr="00EF759B" w:rsidRDefault="00EF759B" w:rsidP="00461C76">
      <w:pPr>
        <w:jc w:val="both"/>
        <w:rPr>
          <w:b/>
          <w:bCs/>
        </w:rPr>
      </w:pPr>
      <w:r w:rsidRPr="00EF759B">
        <w:rPr>
          <w:b/>
          <w:bCs/>
        </w:rPr>
        <w:t>Editorial</w:t>
      </w:r>
      <w:r w:rsidR="003A6CFE">
        <w:rPr>
          <w:b/>
          <w:bCs/>
        </w:rPr>
        <w:t>: Pulmonary hypertension with 2020 vision</w:t>
      </w:r>
    </w:p>
    <w:p w14:paraId="53C06A9E" w14:textId="77777777" w:rsidR="0003308A" w:rsidRDefault="0003308A" w:rsidP="0003308A">
      <w:r>
        <w:t>Rainer Schulz</w:t>
      </w:r>
    </w:p>
    <w:p w14:paraId="0676F217" w14:textId="4B3889A2" w:rsidR="0003308A" w:rsidRDefault="0003308A" w:rsidP="0003308A">
      <w:r>
        <w:t>Martin Wilkins</w:t>
      </w:r>
    </w:p>
    <w:p w14:paraId="6FBED179" w14:textId="77777777" w:rsidR="0003308A" w:rsidRDefault="0003308A" w:rsidP="00461C76">
      <w:pPr>
        <w:jc w:val="both"/>
      </w:pPr>
    </w:p>
    <w:p w14:paraId="78F2F26E" w14:textId="4CE35E50" w:rsidR="00393EAF" w:rsidRDefault="002A00A4" w:rsidP="00461C76">
      <w:pPr>
        <w:jc w:val="both"/>
      </w:pPr>
      <w:r w:rsidRPr="002A00A4">
        <w:t xml:space="preserve">The mean </w:t>
      </w:r>
      <w:r>
        <w:t>pulmonary artery pressure (PAP) of</w:t>
      </w:r>
      <w:r w:rsidRPr="002A00A4">
        <w:t xml:space="preserve"> healthy </w:t>
      </w:r>
      <w:r>
        <w:t xml:space="preserve">adults </w:t>
      </w:r>
      <w:r w:rsidRPr="002A00A4">
        <w:t xml:space="preserve">at rest at low altitude is approximately 14.0±3.3 mmHg </w:t>
      </w:r>
      <w:r w:rsidRPr="002A00A4">
        <w:fldChar w:fldCharType="begin"/>
      </w:r>
      <w:r w:rsidRPr="002A00A4">
        <w:instrText xml:space="preserve"> ADDIN EN.CITE &lt;EndNote&gt;&lt;Cite&gt;&lt;Author&gt;Kovacs&lt;/Author&gt;&lt;Year&gt;2009&lt;/Year&gt;&lt;RecNum&gt;362&lt;/RecNum&gt;&lt;DisplayText&gt;(Kovacs, Berghold, Scheidl &amp;amp; Olschewski, 2009)&lt;/DisplayText&gt;&lt;record&gt;&lt;rec-number&gt;362&lt;/rec-number&gt;&lt;foreign-keys&gt;&lt;key app="EN" db-id="v2exfweer2ztxxe0vz1pz0x6fsxvs9pazear" timestamp="1586648568"&gt;362&lt;/key&gt;&lt;/foreign-keys&gt;&lt;ref-type name="Journal Article"&gt;17&lt;/ref-type&gt;&lt;contributors&gt;&lt;authors&gt;&lt;author&gt;Kovacs, G.&lt;/author&gt;&lt;author&gt;Berghold, A.&lt;/author&gt;&lt;author&gt;Scheidl, S.&lt;/author&gt;&lt;author&gt;Olschewski, H.&lt;/author&gt;&lt;/authors&gt;&lt;/contributors&gt;&lt;auth-address&gt;Dept of Pulmonology, Medical University Graz, Graz, Austria.&lt;/auth-address&gt;&lt;titles&gt;&lt;title&gt;Pulmonary arterial pressure during rest and exercise in healthy subjects: a systematic review&lt;/title&gt;&lt;secondary-title&gt;Eur Respir J&lt;/secondary-title&gt;&lt;/titles&gt;&lt;periodical&gt;&lt;full-title&gt;Eur Respir J&lt;/full-title&gt;&lt;/periodical&gt;&lt;pages&gt;888-94&lt;/pages&gt;&lt;volume&gt;34&lt;/volume&gt;&lt;number&gt;4&lt;/number&gt;&lt;edition&gt;2009/03/28&lt;/edition&gt;&lt;keywords&gt;&lt;keyword&gt;*Blood Pressure&lt;/keyword&gt;&lt;keyword&gt;Cardiac Catheterization/*standards&lt;/keyword&gt;&lt;keyword&gt;Exercise&lt;/keyword&gt;&lt;keyword&gt;Heart Ventricles&lt;/keyword&gt;&lt;keyword&gt;Humans&lt;/keyword&gt;&lt;keyword&gt;Hypertension, Pulmonary/*diagnosis/*physiopathology&lt;/keyword&gt;&lt;keyword&gt;Reference Values&lt;/keyword&gt;&lt;keyword&gt;Rest&lt;/keyword&gt;&lt;/keywords&gt;&lt;dates&gt;&lt;year&gt;2009&lt;/year&gt;&lt;pub-dates&gt;&lt;date&gt;Oct&lt;/date&gt;&lt;/pub-dates&gt;&lt;/dates&gt;&lt;isbn&gt;1399-3003 (Electronic)&amp;#xD;0903-1936 (Linking)&lt;/isbn&gt;&lt;accession-num&gt;19324955&lt;/accession-num&gt;&lt;urls&gt;&lt;related-urls&gt;&lt;url&gt;https://www.ncbi.nlm.nih.gov/pubmed/19324955&lt;/url&gt;&lt;/related-urls&gt;&lt;/urls&gt;&lt;electronic-resource-num&gt;10.1183/09031936.00145608&lt;/electronic-resource-num&gt;&lt;/record&gt;&lt;/Cite&gt;&lt;/EndNote&gt;</w:instrText>
      </w:r>
      <w:r w:rsidRPr="002A00A4">
        <w:fldChar w:fldCharType="separate"/>
      </w:r>
      <w:r w:rsidRPr="002A00A4">
        <w:t>(Kovacs</w:t>
      </w:r>
      <w:r w:rsidR="00965F26">
        <w:t xml:space="preserve"> et al., </w:t>
      </w:r>
      <w:r w:rsidRPr="002A00A4">
        <w:t>2009)</w:t>
      </w:r>
      <w:r w:rsidRPr="002A00A4">
        <w:fldChar w:fldCharType="end"/>
      </w:r>
      <w:r w:rsidRPr="002A00A4">
        <w:t xml:space="preserve">. </w:t>
      </w:r>
      <w:r>
        <w:t xml:space="preserve"> This low pressure compared to the systemic circulation is reflected in the relatively thin</w:t>
      </w:r>
      <w:r w:rsidR="004001AA">
        <w:t xml:space="preserve"> </w:t>
      </w:r>
      <w:r>
        <w:t>wall</w:t>
      </w:r>
      <w:r w:rsidR="004001AA">
        <w:t xml:space="preserve"> of the</w:t>
      </w:r>
      <w:r>
        <w:t xml:space="preserve"> healthy right ventricle compared to its companion left ventricle. </w:t>
      </w:r>
      <w:r w:rsidR="004001AA">
        <w:t xml:space="preserve">A </w:t>
      </w:r>
      <w:r w:rsidR="001C746C">
        <w:t>mean resting PAP ≥25mmHg has been widely accepted as pulmonary hypertension. This arbitrary threshold has recently been revisited with the suggestion that it should be revised downward to 20mmHg (roughly two</w:t>
      </w:r>
      <w:r w:rsidRPr="002A00A4">
        <w:t xml:space="preserve"> standard deviations above </w:t>
      </w:r>
      <w:r w:rsidR="001C746C">
        <w:t xml:space="preserve">14mmHg), recognising the continuum of health risk </w:t>
      </w:r>
      <w:r w:rsidR="00C33B84">
        <w:t xml:space="preserve">with increasing </w:t>
      </w:r>
      <w:r w:rsidR="001C746C">
        <w:t xml:space="preserve">PAP </w:t>
      </w:r>
      <w:r w:rsidRPr="002A00A4">
        <w:fldChar w:fldCharType="begin">
          <w:fldData xml:space="preserve">PEVuZE5vdGU+PENpdGU+PEF1dGhvcj5TaW1vbm5lYXU8L0F1dGhvcj48WWVhcj4yMDE5PC9ZZWFy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</w:fldData>
        </w:fldChar>
      </w:r>
      <w:r w:rsidRPr="002A00A4">
        <w:instrText xml:space="preserve"> ADDIN EN.CITE </w:instrText>
      </w:r>
      <w:r w:rsidRPr="002A00A4">
        <w:fldChar w:fldCharType="begin">
          <w:fldData xml:space="preserve">PEVuZE5vdGU+PENpdGU+PEF1dGhvcj5TaW1vbm5lYXU8L0F1dGhvcj48WWVhcj4yMDE5PC9ZZWFy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</w:fldData>
        </w:fldChar>
      </w:r>
      <w:r w:rsidRPr="002A00A4">
        <w:instrText xml:space="preserve"> ADDIN EN.CITE.DATA </w:instrText>
      </w:r>
      <w:r w:rsidRPr="002A00A4">
        <w:fldChar w:fldCharType="end"/>
      </w:r>
      <w:r w:rsidRPr="002A00A4">
        <w:fldChar w:fldCharType="separate"/>
      </w:r>
      <w:r w:rsidRPr="002A00A4">
        <w:t>(Simonneau et al., 2019)</w:t>
      </w:r>
      <w:r w:rsidRPr="002A00A4">
        <w:fldChar w:fldCharType="end"/>
      </w:r>
      <w:r w:rsidRPr="002A00A4">
        <w:t>.</w:t>
      </w:r>
    </w:p>
    <w:p w14:paraId="33B86C51" w14:textId="77777777" w:rsidR="00393EAF" w:rsidRDefault="00393EAF" w:rsidP="00461C76">
      <w:pPr>
        <w:jc w:val="both"/>
      </w:pPr>
    </w:p>
    <w:p w14:paraId="2067DF8E" w14:textId="534B4148" w:rsidR="002A00A4" w:rsidRDefault="00393EAF" w:rsidP="00461C76">
      <w:pPr>
        <w:jc w:val="both"/>
      </w:pPr>
      <w:r>
        <w:t>Pulmonary hypertension places an increased workload on the right ventricle, and while in some patients this chamber may hypertrophy and adapt</w:t>
      </w:r>
      <w:r w:rsidR="00945141">
        <w:t>s</w:t>
      </w:r>
      <w:r>
        <w:t xml:space="preserve">, in many it dilatates and fails, leading to premature death. Right ventricular function is a major determinant of survival and emphasises the importance of thinking of the right ventricle-pulmonary circulation as a single vascular unit. </w:t>
      </w:r>
      <w:r w:rsidR="002A00A4" w:rsidRPr="002A00A4">
        <w:t xml:space="preserve"> </w:t>
      </w:r>
    </w:p>
    <w:p w14:paraId="4D1E1558" w14:textId="77777777" w:rsidR="00AC01DF" w:rsidRDefault="00AC01DF" w:rsidP="00461C76">
      <w:pPr>
        <w:jc w:val="both"/>
      </w:pPr>
    </w:p>
    <w:p w14:paraId="48E081A0" w14:textId="3B15A701" w:rsidR="00FC19D1" w:rsidRDefault="00C33B84" w:rsidP="00461C76">
      <w:pPr>
        <w:jc w:val="both"/>
      </w:pPr>
      <w:r>
        <w:t xml:space="preserve">There is </w:t>
      </w:r>
      <w:r w:rsidR="00F6030F">
        <w:t xml:space="preserve">a </w:t>
      </w:r>
      <w:r>
        <w:t>growing appreciation that</w:t>
      </w:r>
      <w:r w:rsidR="003B7E98">
        <w:t xml:space="preserve"> </w:t>
      </w:r>
      <w:r>
        <w:t xml:space="preserve">pulmonary hypertension is </w:t>
      </w:r>
      <w:r w:rsidR="00677092">
        <w:t>not a rare con</w:t>
      </w:r>
      <w:r w:rsidR="00F6030F">
        <w:t>d</w:t>
      </w:r>
      <w:r w:rsidR="00677092">
        <w:t>ition</w:t>
      </w:r>
      <w:r>
        <w:t xml:space="preserve">. Accurate data are difficult to come </w:t>
      </w:r>
      <w:r w:rsidR="00945141">
        <w:t>by,</w:t>
      </w:r>
      <w:r>
        <w:t xml:space="preserve"> but it may affect up to 1% of the global population and 10% of patients over </w:t>
      </w:r>
      <w:r w:rsidR="00EF759B">
        <w:t>65</w:t>
      </w:r>
      <w:r>
        <w:t>yrs</w:t>
      </w:r>
      <w:r w:rsidR="00ED4A2E">
        <w:t xml:space="preserve"> (Hoeper et al</w:t>
      </w:r>
      <w:r w:rsidR="00965F26">
        <w:t>.,</w:t>
      </w:r>
      <w:r w:rsidR="00EF759B">
        <w:t xml:space="preserve"> 2016</w:t>
      </w:r>
      <w:r w:rsidR="00ED4A2E">
        <w:t>)</w:t>
      </w:r>
      <w:r>
        <w:t xml:space="preserve">. </w:t>
      </w:r>
      <w:r w:rsidR="00ED4A2E">
        <w:t>In clinical workup, p</w:t>
      </w:r>
      <w:r w:rsidRPr="00C33B84">
        <w:t xml:space="preserve">atients are assigned to one of </w:t>
      </w:r>
      <w:r w:rsidR="00ED4A2E">
        <w:t>5</w:t>
      </w:r>
      <w:r w:rsidRPr="00C33B84">
        <w:t xml:space="preserve"> major groups according to whether their </w:t>
      </w:r>
      <w:r w:rsidR="00F6030F">
        <w:t>pulmonary hypertension</w:t>
      </w:r>
      <w:r w:rsidRPr="00C33B84">
        <w:t xml:space="preserve"> is judged to be pre- or post- capillary </w:t>
      </w:r>
      <w:r w:rsidR="005758D3">
        <w:t xml:space="preserve">on </w:t>
      </w:r>
      <w:r w:rsidR="00EF759B">
        <w:t>cardiac</w:t>
      </w:r>
      <w:r w:rsidR="005758D3">
        <w:t xml:space="preserve"> catheterisation </w:t>
      </w:r>
      <w:r w:rsidRPr="00C33B84">
        <w:t>and the nature of any co-morbidities.</w:t>
      </w:r>
      <w:r w:rsidR="00ED4A2E">
        <w:t xml:space="preserve"> </w:t>
      </w:r>
      <w:r w:rsidR="00F6030F" w:rsidRPr="00ED4A2E">
        <w:t xml:space="preserve">Pre-capillary </w:t>
      </w:r>
      <w:r w:rsidR="00F6030F">
        <w:t>pulmonary hypertension is defined by increased pulmonary vascular resistance (</w:t>
      </w:r>
      <w:r w:rsidR="003B7E98">
        <w:t xml:space="preserve">mean PAP/cardiac output = </w:t>
      </w:r>
      <w:r w:rsidR="00F6030F">
        <w:t>≥3 Wood units)</w:t>
      </w:r>
      <w:r w:rsidR="00EF759B">
        <w:t>,</w:t>
      </w:r>
      <w:r w:rsidR="00F6030F">
        <w:t xml:space="preserve"> while an elevated pulmonary artery wedge pressure &gt;15mmHg recognises </w:t>
      </w:r>
      <w:r w:rsidR="003B7E98">
        <w:t xml:space="preserve">that </w:t>
      </w:r>
      <w:r w:rsidR="00EF759B">
        <w:t xml:space="preserve">increased </w:t>
      </w:r>
      <w:r w:rsidR="00EF759B" w:rsidRPr="00EF759B">
        <w:t>backward transmission</w:t>
      </w:r>
      <w:r w:rsidR="00EF759B">
        <w:t xml:space="preserve"> from </w:t>
      </w:r>
      <w:r w:rsidR="00EF759B" w:rsidRPr="00EF759B">
        <w:t xml:space="preserve">high left-sided filling pressures </w:t>
      </w:r>
      <w:r w:rsidR="00EF759B">
        <w:t xml:space="preserve">due to left heart disease </w:t>
      </w:r>
      <w:r w:rsidR="003B7E98">
        <w:t>i</w:t>
      </w:r>
      <w:r w:rsidR="00F6030F">
        <w:t>s a significant component</w:t>
      </w:r>
      <w:r w:rsidR="003B7E98">
        <w:t xml:space="preserve"> of the raised PAP</w:t>
      </w:r>
      <w:r w:rsidR="00F6030F">
        <w:t xml:space="preserve">. </w:t>
      </w:r>
      <w:r w:rsidR="00EF759B">
        <w:t>R</w:t>
      </w:r>
      <w:r w:rsidR="00F6030F">
        <w:t>aised PAP secondary to left heart disease (Group 2) and chronic lung disease (Group 3)</w:t>
      </w:r>
      <w:r w:rsidR="00EF759B">
        <w:t xml:space="preserve"> are the commonest presentations of pulmonary hypertension</w:t>
      </w:r>
      <w:r w:rsidR="00F6030F">
        <w:t>. P</w:t>
      </w:r>
      <w:r w:rsidR="00F6030F" w:rsidRPr="00ED4A2E">
        <w:t>ulmonary arterial hypertension</w:t>
      </w:r>
      <w:r w:rsidR="00EF759B">
        <w:t xml:space="preserve"> (PAH, </w:t>
      </w:r>
      <w:r w:rsidR="00F6030F">
        <w:t>Group 1</w:t>
      </w:r>
      <w:r w:rsidR="00F6030F" w:rsidRPr="00ED4A2E">
        <w:t xml:space="preserve">) </w:t>
      </w:r>
      <w:r w:rsidR="00F6030F">
        <w:t>and chronic</w:t>
      </w:r>
      <w:r w:rsidR="00F6030F" w:rsidRPr="00ED4A2E">
        <w:t xml:space="preserve"> thromboembolic disease</w:t>
      </w:r>
      <w:r w:rsidR="00F6030F">
        <w:t xml:space="preserve"> (</w:t>
      </w:r>
      <w:r w:rsidR="00EF759B">
        <w:t xml:space="preserve">CTEPH, </w:t>
      </w:r>
      <w:r w:rsidR="00F6030F">
        <w:t>Group 4) are rare presentations</w:t>
      </w:r>
      <w:r w:rsidR="00F6030F" w:rsidRPr="00ED4A2E">
        <w:t xml:space="preserve">. Group 5 includes </w:t>
      </w:r>
      <w:r w:rsidR="00F6030F">
        <w:t>pulmonary hypertension</w:t>
      </w:r>
      <w:r w:rsidR="00F6030F" w:rsidRPr="00ED4A2E">
        <w:t xml:space="preserve"> from a miscellaneous collection of co-morbidities.</w:t>
      </w:r>
    </w:p>
    <w:p w14:paraId="48B3499E" w14:textId="211BFD67" w:rsidR="00ED4A2E" w:rsidRDefault="00ED4A2E" w:rsidP="00461C76">
      <w:pPr>
        <w:jc w:val="both"/>
      </w:pPr>
    </w:p>
    <w:p w14:paraId="5F57EC6F" w14:textId="4FDBE97D" w:rsidR="004F7176" w:rsidRDefault="00AC01DF" w:rsidP="00461C76">
      <w:pPr>
        <w:jc w:val="both"/>
      </w:pPr>
      <w:r>
        <w:t>Pulmonary hypertension</w:t>
      </w:r>
      <w:r w:rsidR="00393EAF">
        <w:t xml:space="preserve"> and preservation of right heart function present</w:t>
      </w:r>
      <w:r>
        <w:t xml:space="preserve"> an unmet clinical need. </w:t>
      </w:r>
      <w:r w:rsidR="00EF759B">
        <w:t xml:space="preserve">Most progress has been made in the management of PAH and CTEPH. Four classes of drug </w:t>
      </w:r>
      <w:r w:rsidR="00741300">
        <w:t>(</w:t>
      </w:r>
      <w:r w:rsidR="00EF759B">
        <w:t>namely, prostacyclin analogues, endothelin receptor antagonists, phosphodiesterase type 5 inhibitors and a soluble guanylate cyclase stimulator</w:t>
      </w:r>
      <w:r w:rsidR="00945141">
        <w:t>s</w:t>
      </w:r>
      <w:r w:rsidR="00741300">
        <w:t>) targeting 3 signalling pathways (prostacyclin, endothelin and nitric oxide-guanylate cyclase) are licenced for PAH</w:t>
      </w:r>
      <w:r w:rsidR="00EF759B">
        <w:t xml:space="preserve">. </w:t>
      </w:r>
      <w:r w:rsidR="00741300">
        <w:t>A soluble guanylate cyclase stimulator</w:t>
      </w:r>
      <w:r w:rsidR="00EF759B">
        <w:t xml:space="preserve"> has also been approved for CTEPH</w:t>
      </w:r>
      <w:r w:rsidR="00741300">
        <w:t>, where thromboendarterectomy is not indicated</w:t>
      </w:r>
      <w:r w:rsidR="00EF759B">
        <w:t xml:space="preserve">. </w:t>
      </w:r>
      <w:r w:rsidR="00741300">
        <w:t>The available drugs treatment</w:t>
      </w:r>
      <w:r w:rsidR="00EF759B">
        <w:t xml:space="preserve"> ha</w:t>
      </w:r>
      <w:r w:rsidR="00667FB7">
        <w:t>s</w:t>
      </w:r>
      <w:r w:rsidR="00EF759B">
        <w:t xml:space="preserve"> improved symptoms but ha</w:t>
      </w:r>
      <w:r w:rsidR="00741300">
        <w:t>ve</w:t>
      </w:r>
      <w:r w:rsidR="00EF759B">
        <w:t xml:space="preserve"> had little impact on the natural history of PAH; </w:t>
      </w:r>
      <w:r w:rsidR="00741300">
        <w:t xml:space="preserve">at best these agents slow the progression but do not halt or reverse. Clinical trials of these drugs in other presentations of pulmonary hypertension, particularly Group 2, have been disappointing. </w:t>
      </w:r>
    </w:p>
    <w:p w14:paraId="1410B959" w14:textId="60A34925" w:rsidR="00741300" w:rsidRDefault="00741300" w:rsidP="00461C76">
      <w:pPr>
        <w:jc w:val="both"/>
      </w:pPr>
    </w:p>
    <w:p w14:paraId="6D9C26E2" w14:textId="6F6A4AE7" w:rsidR="00461C76" w:rsidRDefault="00393EAF" w:rsidP="00461C76">
      <w:pPr>
        <w:jc w:val="both"/>
      </w:pPr>
      <w:r>
        <w:t xml:space="preserve">This issue of BJP focuses and expands on some of the latest thinking and developments in treatments for pulmonary hypertension. </w:t>
      </w:r>
      <w:r w:rsidR="00741300">
        <w:t xml:space="preserve">The </w:t>
      </w:r>
      <w:r w:rsidR="00A03304">
        <w:t xml:space="preserve">early </w:t>
      </w:r>
      <w:r w:rsidR="00741300">
        <w:t xml:space="preserve">success of </w:t>
      </w:r>
      <w:r w:rsidR="00A03304">
        <w:t xml:space="preserve">orally active drugs, particularly, endothelin antagonists and phosphodiesterase inhibitors, stimulated research interest in PAH </w:t>
      </w:r>
      <w:r w:rsidR="00A03304">
        <w:lastRenderedPageBreak/>
        <w:t xml:space="preserve">as an orphan condition and there is no shortage of potential new drug targets. </w:t>
      </w:r>
      <w:r w:rsidRPr="00DD4A41">
        <w:rPr>
          <w:iCs/>
          <w:color w:val="000000" w:themeColor="text1"/>
        </w:rPr>
        <w:t>Sommer et al</w:t>
      </w:r>
      <w:r w:rsidR="00DD4A41" w:rsidRPr="00DD4A41">
        <w:rPr>
          <w:iCs/>
          <w:color w:val="000000" w:themeColor="text1"/>
        </w:rPr>
        <w:t>. (2020)</w:t>
      </w:r>
      <w:r w:rsidRPr="00DD4A41">
        <w:rPr>
          <w:color w:val="000000" w:themeColor="text1"/>
        </w:rPr>
        <w:t xml:space="preserve"> </w:t>
      </w:r>
      <w:r>
        <w:t xml:space="preserve">review the current treatment options for PAH (Group 1) and novel pathways arising from our current understanding of the underlying pathology. </w:t>
      </w:r>
      <w:r w:rsidR="008F4442">
        <w:t>Interest</w:t>
      </w:r>
      <w:r w:rsidR="00A03304">
        <w:t xml:space="preserve"> ha</w:t>
      </w:r>
      <w:r w:rsidR="008F4442">
        <w:t>s</w:t>
      </w:r>
      <w:r w:rsidR="00A03304">
        <w:t xml:space="preserve"> </w:t>
      </w:r>
      <w:r w:rsidR="00461C76">
        <w:t>moved</w:t>
      </w:r>
      <w:r w:rsidR="00A03304">
        <w:t xml:space="preserve"> beyond manipulating vasoactive factors to directly addressing the vascular remodelling that characterises PAH. The proliferation of cells from the vascular wall has led to analogues with cancer and the repurposing of ideas and drugs from oncology</w:t>
      </w:r>
      <w:r>
        <w:t xml:space="preserve">, a theme </w:t>
      </w:r>
      <w:r w:rsidR="00461C76">
        <w:t>expanded on</w:t>
      </w:r>
      <w:r>
        <w:t xml:space="preserve"> </w:t>
      </w:r>
      <w:r w:rsidRPr="00DD4A41">
        <w:rPr>
          <w:color w:val="000000" w:themeColor="text1"/>
        </w:rPr>
        <w:t xml:space="preserve">by </w:t>
      </w:r>
      <w:r w:rsidRPr="00DD4A41">
        <w:rPr>
          <w:iCs/>
          <w:color w:val="000000" w:themeColor="text1"/>
        </w:rPr>
        <w:t>Weiss et al</w:t>
      </w:r>
      <w:r w:rsidR="00DD4A41" w:rsidRPr="00DD4A41">
        <w:rPr>
          <w:iCs/>
          <w:color w:val="000000" w:themeColor="text1"/>
        </w:rPr>
        <w:t>. (2019)</w:t>
      </w:r>
      <w:r w:rsidR="008F4442" w:rsidRPr="00DD4A41">
        <w:rPr>
          <w:color w:val="000000" w:themeColor="text1"/>
        </w:rPr>
        <w:t>,</w:t>
      </w:r>
      <w:r w:rsidR="008F4442">
        <w:t xml:space="preserve"> </w:t>
      </w:r>
      <w:r w:rsidR="006423A1">
        <w:t xml:space="preserve">who </w:t>
      </w:r>
      <w:r w:rsidR="00C57B35">
        <w:t>examine</w:t>
      </w:r>
      <w:r w:rsidR="006423A1">
        <w:t xml:space="preserve"> the case for targeted kinases inhibitors and the inherent challenges</w:t>
      </w:r>
      <w:r w:rsidR="008F4442">
        <w:t>,</w:t>
      </w:r>
      <w:r w:rsidR="006423A1">
        <w:t xml:space="preserve"> </w:t>
      </w:r>
      <w:r w:rsidR="006423A1" w:rsidRPr="00746A38">
        <w:rPr>
          <w:color w:val="000000" w:themeColor="text1"/>
        </w:rPr>
        <w:t xml:space="preserve">and </w:t>
      </w:r>
      <w:r w:rsidR="006423A1" w:rsidRPr="00746A38">
        <w:rPr>
          <w:iCs/>
          <w:color w:val="000000" w:themeColor="text1"/>
        </w:rPr>
        <w:t>Chelladurai et al</w:t>
      </w:r>
      <w:r w:rsidR="00746A38">
        <w:rPr>
          <w:iCs/>
          <w:color w:val="000000" w:themeColor="text1"/>
        </w:rPr>
        <w:t>. (2019)</w:t>
      </w:r>
      <w:r w:rsidR="006423A1" w:rsidRPr="00746A38">
        <w:rPr>
          <w:color w:val="000000" w:themeColor="text1"/>
        </w:rPr>
        <w:t xml:space="preserve">, where </w:t>
      </w:r>
      <w:r w:rsidR="006423A1">
        <w:t>the focus is the potential to regulate epigenetic changes in the pulmonary vascular wall and right ventricle.</w:t>
      </w:r>
      <w:r w:rsidR="00A03304">
        <w:t xml:space="preserve"> The marked appearance of inflammatory cells in vascular lesions has resulted in studies with anti-inflammatory agen</w:t>
      </w:r>
      <w:r w:rsidR="00A03304" w:rsidRPr="00A950A3">
        <w:rPr>
          <w:color w:val="000000" w:themeColor="text1"/>
        </w:rPr>
        <w:t xml:space="preserve">ts. </w:t>
      </w:r>
      <w:r w:rsidR="006423A1" w:rsidRPr="00A950A3">
        <w:rPr>
          <w:iCs/>
          <w:color w:val="000000" w:themeColor="text1"/>
        </w:rPr>
        <w:t>Mamazhakypov et al</w:t>
      </w:r>
      <w:r w:rsidR="00A950A3" w:rsidRPr="00A950A3">
        <w:rPr>
          <w:iCs/>
          <w:color w:val="000000" w:themeColor="text1"/>
        </w:rPr>
        <w:t>. (2019)</w:t>
      </w:r>
      <w:r w:rsidR="006423A1">
        <w:t xml:space="preserve"> discuss</w:t>
      </w:r>
      <w:r w:rsidR="006423A1" w:rsidRPr="006423A1">
        <w:t xml:space="preserve"> recent insights into the role of</w:t>
      </w:r>
      <w:r w:rsidR="00461C76">
        <w:t xml:space="preserve"> </w:t>
      </w:r>
      <w:r w:rsidR="006423A1" w:rsidRPr="006423A1">
        <w:t xml:space="preserve">chemokines and chemokine receptors in PAH and </w:t>
      </w:r>
      <w:r w:rsidR="006423A1">
        <w:t>right ventricular</w:t>
      </w:r>
      <w:r w:rsidR="006423A1" w:rsidRPr="006423A1">
        <w:t xml:space="preserve"> remodelling and the opportunities</w:t>
      </w:r>
      <w:r w:rsidR="006423A1">
        <w:t xml:space="preserve"> for pharmacological intervention. </w:t>
      </w:r>
      <w:r w:rsidR="008F4442">
        <w:t xml:space="preserve">The increased prevalence of metabolic syndrome in PAH and </w:t>
      </w:r>
      <w:r w:rsidR="00461C76">
        <w:t xml:space="preserve">the long-recognised </w:t>
      </w:r>
      <w:r w:rsidR="008F4442">
        <w:t xml:space="preserve">activation of the renin-angiotensin-system </w:t>
      </w:r>
      <w:r w:rsidR="00461C76">
        <w:t>are explored</w:t>
      </w:r>
      <w:r w:rsidR="00461C76" w:rsidRPr="00A950A3">
        <w:rPr>
          <w:color w:val="000000" w:themeColor="text1"/>
        </w:rPr>
        <w:t xml:space="preserve"> by </w:t>
      </w:r>
      <w:r w:rsidR="00461C76" w:rsidRPr="00A950A3">
        <w:rPr>
          <w:iCs/>
          <w:color w:val="000000" w:themeColor="text1"/>
        </w:rPr>
        <w:t>Maron et al</w:t>
      </w:r>
      <w:r w:rsidR="00A950A3" w:rsidRPr="00A950A3">
        <w:rPr>
          <w:iCs/>
          <w:color w:val="000000" w:themeColor="text1"/>
        </w:rPr>
        <w:t>. (2020)</w:t>
      </w:r>
      <w:r w:rsidR="00461C76" w:rsidRPr="00461C76">
        <w:rPr>
          <w:i/>
          <w:iCs/>
          <w:color w:val="FF0000"/>
        </w:rPr>
        <w:t xml:space="preserve"> </w:t>
      </w:r>
      <w:r w:rsidR="00461C76">
        <w:t xml:space="preserve">for clues for novel and repurposed therapeutics. </w:t>
      </w:r>
      <w:r w:rsidR="00461C76" w:rsidRPr="00A950A3">
        <w:rPr>
          <w:iCs/>
          <w:color w:val="000000" w:themeColor="text1"/>
        </w:rPr>
        <w:t>Tello et al</w:t>
      </w:r>
      <w:r w:rsidR="00A950A3" w:rsidRPr="00A950A3">
        <w:rPr>
          <w:color w:val="000000" w:themeColor="text1"/>
        </w:rPr>
        <w:t>. (2019)</w:t>
      </w:r>
      <w:r w:rsidR="00461C76" w:rsidRPr="00A950A3">
        <w:rPr>
          <w:color w:val="000000" w:themeColor="text1"/>
        </w:rPr>
        <w:t xml:space="preserve"> </w:t>
      </w:r>
      <w:r w:rsidR="00461C76" w:rsidRPr="00461C76">
        <w:rPr>
          <w:color w:val="000000" w:themeColor="text1"/>
        </w:rPr>
        <w:t xml:space="preserve">address </w:t>
      </w:r>
      <w:r w:rsidR="00461C76">
        <w:rPr>
          <w:color w:val="000000" w:themeColor="text1"/>
        </w:rPr>
        <w:t>the importance of the r</w:t>
      </w:r>
      <w:r w:rsidR="00461C76" w:rsidRPr="00461C76">
        <w:rPr>
          <w:color w:val="000000" w:themeColor="text1"/>
        </w:rPr>
        <w:t>ight ventricular function is a major determinant of survival and emphas</w:t>
      </w:r>
      <w:r w:rsidR="00461C76">
        <w:rPr>
          <w:color w:val="000000" w:themeColor="text1"/>
        </w:rPr>
        <w:t>ise</w:t>
      </w:r>
      <w:r w:rsidR="00461C76" w:rsidRPr="00461C76">
        <w:rPr>
          <w:color w:val="000000" w:themeColor="text1"/>
        </w:rPr>
        <w:t xml:space="preserve"> the importance </w:t>
      </w:r>
      <w:r w:rsidR="00461C76">
        <w:t>of thinking of the right ventricle-pulmonary circulation as a single vascular unit.</w:t>
      </w:r>
      <w:r w:rsidR="001D0AE5">
        <w:t xml:space="preserve"> </w:t>
      </w:r>
      <w:r w:rsidR="00461C76" w:rsidRPr="00C21BA4">
        <w:rPr>
          <w:iCs/>
          <w:color w:val="000000" w:themeColor="text1"/>
        </w:rPr>
        <w:t>Harbaum et al</w:t>
      </w:r>
      <w:r w:rsidR="00C21BA4">
        <w:rPr>
          <w:iCs/>
          <w:color w:val="000000" w:themeColor="text1"/>
        </w:rPr>
        <w:t>. (2020)</w:t>
      </w:r>
      <w:r w:rsidR="00461C76" w:rsidRPr="00C21BA4">
        <w:rPr>
          <w:color w:val="000000" w:themeColor="text1"/>
        </w:rPr>
        <w:t xml:space="preserve"> take </w:t>
      </w:r>
      <w:r w:rsidR="00461C76">
        <w:t xml:space="preserve">a step back and </w:t>
      </w:r>
      <w:r w:rsidR="00C57B35">
        <w:t xml:space="preserve">study </w:t>
      </w:r>
      <w:r w:rsidR="00461C76">
        <w:t xml:space="preserve">the use of ‘omics’ as an agnostic set of tools to investigate </w:t>
      </w:r>
      <w:r w:rsidR="006F67F1">
        <w:t xml:space="preserve">molecular pathways in PAH that can be exploited for drug target identification, diagnosis and therapeutic response monitoring. </w:t>
      </w:r>
      <w:r w:rsidR="00461C76">
        <w:t xml:space="preserve"> </w:t>
      </w:r>
    </w:p>
    <w:p w14:paraId="644218C7" w14:textId="1A8CACC2" w:rsidR="008F4442" w:rsidRDefault="008F4442" w:rsidP="00206D5A">
      <w:pPr>
        <w:jc w:val="both"/>
      </w:pPr>
    </w:p>
    <w:p w14:paraId="482268B0" w14:textId="447CEA4B" w:rsidR="00D635B2" w:rsidRPr="00404BF1" w:rsidRDefault="004C114F" w:rsidP="001D0AE5">
      <w:pPr>
        <w:jc w:val="both"/>
      </w:pPr>
      <w:r>
        <w:t xml:space="preserve">While the focus of research has been on PAH, there is increasing recognition that pulmonary hypertension is a convergent phenotype; in essence, the </w:t>
      </w:r>
      <w:r w:rsidR="00404BF1">
        <w:t xml:space="preserve">end </w:t>
      </w:r>
      <w:r>
        <w:t>result of diverse molecular drivers. Studies of other diseases associated with pulmonary hypertension could inform the pathology of pulmonary vascular disease</w:t>
      </w:r>
      <w:r w:rsidR="00404BF1">
        <w:t xml:space="preserve"> and attendant right heart failure</w:t>
      </w:r>
      <w:r w:rsidRPr="00C21BA4">
        <w:rPr>
          <w:color w:val="000000" w:themeColor="text1"/>
        </w:rPr>
        <w:t>.</w:t>
      </w:r>
      <w:r w:rsidR="000D3570" w:rsidRPr="00C21BA4">
        <w:rPr>
          <w:color w:val="000000" w:themeColor="text1"/>
        </w:rPr>
        <w:t xml:space="preserve"> </w:t>
      </w:r>
      <w:r w:rsidR="000D3570" w:rsidRPr="00C21BA4">
        <w:rPr>
          <w:iCs/>
          <w:color w:val="000000" w:themeColor="text1"/>
        </w:rPr>
        <w:t>Gassmann et al</w:t>
      </w:r>
      <w:r w:rsidR="00C21BA4">
        <w:rPr>
          <w:iCs/>
          <w:color w:val="000000" w:themeColor="text1"/>
        </w:rPr>
        <w:t>. (2020)</w:t>
      </w:r>
      <w:r w:rsidR="000D3570" w:rsidRPr="00C21BA4">
        <w:rPr>
          <w:color w:val="000000" w:themeColor="text1"/>
        </w:rPr>
        <w:t xml:space="preserve"> </w:t>
      </w:r>
      <w:r w:rsidR="000D3570">
        <w:t>have looked at studies of high-altitude pulmonary hypertension for insights in the regulation of the pulmonary circulation</w:t>
      </w:r>
      <w:r w:rsidR="00404BF1">
        <w:t>; in particular, at experiments of nature for clues to key regulatory pathways</w:t>
      </w:r>
      <w:r w:rsidR="000D3570" w:rsidRPr="00C21BA4">
        <w:rPr>
          <w:color w:val="000000" w:themeColor="text1"/>
        </w:rPr>
        <w:t xml:space="preserve">. </w:t>
      </w:r>
      <w:r w:rsidR="000D3570" w:rsidRPr="00C21BA4">
        <w:rPr>
          <w:iCs/>
          <w:color w:val="000000" w:themeColor="text1"/>
        </w:rPr>
        <w:t>Gredic et al</w:t>
      </w:r>
      <w:r w:rsidR="00C21BA4">
        <w:rPr>
          <w:iCs/>
          <w:color w:val="000000" w:themeColor="text1"/>
        </w:rPr>
        <w:t>. (2020)</w:t>
      </w:r>
      <w:r w:rsidR="000D3570" w:rsidRPr="00C21BA4">
        <w:rPr>
          <w:color w:val="000000" w:themeColor="text1"/>
        </w:rPr>
        <w:t xml:space="preserve"> delve </w:t>
      </w:r>
      <w:r w:rsidR="000D3570">
        <w:t>into the association of pulmonary hypertension with chronic obstructive airway disease</w:t>
      </w:r>
      <w:r w:rsidR="00206D5A">
        <w:t xml:space="preserve"> and </w:t>
      </w:r>
      <w:r w:rsidR="00206D5A" w:rsidRPr="00C21BA4">
        <w:rPr>
          <w:iCs/>
          <w:color w:val="000000" w:themeColor="text1"/>
        </w:rPr>
        <w:t>Fysikopoulos et al</w:t>
      </w:r>
      <w:r w:rsidR="00C21BA4">
        <w:rPr>
          <w:iCs/>
          <w:color w:val="000000" w:themeColor="text1"/>
        </w:rPr>
        <w:t>. (2020)</w:t>
      </w:r>
      <w:r w:rsidR="00206D5A" w:rsidRPr="00C21BA4">
        <w:rPr>
          <w:color w:val="000000" w:themeColor="text1"/>
        </w:rPr>
        <w:t xml:space="preserve"> have </w:t>
      </w:r>
      <w:r w:rsidR="00206D5A" w:rsidRPr="00404BF1">
        <w:rPr>
          <w:color w:val="000000" w:themeColor="text1"/>
        </w:rPr>
        <w:t xml:space="preserve">investigated </w:t>
      </w:r>
      <w:r w:rsidR="00206D5A">
        <w:t>iNOS as a potential new therapeutic target to treat severe emphysema and associated pulmonary hypertension.</w:t>
      </w:r>
      <w:r w:rsidR="000D3570">
        <w:t xml:space="preserve"> </w:t>
      </w:r>
      <w:r w:rsidR="007406EE" w:rsidRPr="009764E0">
        <w:rPr>
          <w:iCs/>
          <w:color w:val="000000" w:themeColor="text1"/>
        </w:rPr>
        <w:t>Rajagopal</w:t>
      </w:r>
      <w:r w:rsidR="000D3570" w:rsidRPr="009764E0">
        <w:rPr>
          <w:iCs/>
          <w:color w:val="000000" w:themeColor="text1"/>
        </w:rPr>
        <w:t xml:space="preserve"> et al</w:t>
      </w:r>
      <w:r w:rsidR="009764E0">
        <w:rPr>
          <w:iCs/>
          <w:color w:val="000000" w:themeColor="text1"/>
        </w:rPr>
        <w:t>. (2020)</w:t>
      </w:r>
      <w:r w:rsidR="000D3570" w:rsidRPr="009764E0">
        <w:rPr>
          <w:color w:val="000000" w:themeColor="text1"/>
        </w:rPr>
        <w:t xml:space="preserve"> </w:t>
      </w:r>
      <w:r w:rsidR="00C57B35" w:rsidRPr="009764E0">
        <w:rPr>
          <w:color w:val="000000" w:themeColor="text1"/>
        </w:rPr>
        <w:t>consider</w:t>
      </w:r>
      <w:r w:rsidR="000704EB" w:rsidRPr="009764E0">
        <w:rPr>
          <w:color w:val="000000" w:themeColor="text1"/>
        </w:rPr>
        <w:t xml:space="preserve"> </w:t>
      </w:r>
      <w:r w:rsidR="000704EB">
        <w:rPr>
          <w:color w:val="000000" w:themeColor="text1"/>
        </w:rPr>
        <w:t>pulmonary hypertension in the setting of</w:t>
      </w:r>
      <w:r w:rsidR="000D3570" w:rsidRPr="000D3570">
        <w:rPr>
          <w:color w:val="000000" w:themeColor="text1"/>
        </w:rPr>
        <w:t xml:space="preserve"> idiopathic pulmonary fibrosis</w:t>
      </w:r>
      <w:r w:rsidR="00206D5A">
        <w:rPr>
          <w:color w:val="000000" w:themeColor="text1"/>
        </w:rPr>
        <w:t xml:space="preserve"> a</w:t>
      </w:r>
      <w:r w:rsidR="00206D5A" w:rsidRPr="00E352DE">
        <w:rPr>
          <w:color w:val="000000" w:themeColor="text1"/>
        </w:rPr>
        <w:t xml:space="preserve">nd </w:t>
      </w:r>
      <w:r w:rsidR="00206D5A" w:rsidRPr="00E352DE">
        <w:rPr>
          <w:iCs/>
          <w:color w:val="000000" w:themeColor="text1"/>
        </w:rPr>
        <w:t>Fu et al</w:t>
      </w:r>
      <w:r w:rsidR="00E352DE" w:rsidRPr="00E352DE">
        <w:rPr>
          <w:iCs/>
          <w:color w:val="000000" w:themeColor="text1"/>
        </w:rPr>
        <w:t>. (2019)</w:t>
      </w:r>
      <w:r w:rsidR="00206D5A" w:rsidRPr="00E352DE">
        <w:rPr>
          <w:color w:val="000000" w:themeColor="text1"/>
        </w:rPr>
        <w:t xml:space="preserve"> </w:t>
      </w:r>
      <w:r w:rsidR="00206D5A">
        <w:rPr>
          <w:color w:val="000000" w:themeColor="text1"/>
        </w:rPr>
        <w:t xml:space="preserve">report on the potential of </w:t>
      </w:r>
      <w:r w:rsidR="000704EB">
        <w:rPr>
          <w:color w:val="000000" w:themeColor="text1"/>
        </w:rPr>
        <w:t>i</w:t>
      </w:r>
      <w:r w:rsidR="00206D5A" w:rsidRPr="00206D5A">
        <w:rPr>
          <w:color w:val="000000" w:themeColor="text1"/>
        </w:rPr>
        <w:t xml:space="preserve">mmune checkpoint inhibitor therapy </w:t>
      </w:r>
      <w:r w:rsidR="00206D5A">
        <w:rPr>
          <w:color w:val="000000" w:themeColor="text1"/>
        </w:rPr>
        <w:t>as</w:t>
      </w:r>
      <w:r w:rsidR="00206D5A" w:rsidRPr="00206D5A">
        <w:rPr>
          <w:color w:val="000000" w:themeColor="text1"/>
        </w:rPr>
        <w:t xml:space="preserve"> a viable</w:t>
      </w:r>
      <w:r w:rsidR="00206D5A">
        <w:rPr>
          <w:color w:val="000000" w:themeColor="text1"/>
        </w:rPr>
        <w:t xml:space="preserve"> </w:t>
      </w:r>
      <w:r w:rsidR="00206D5A" w:rsidRPr="00206D5A">
        <w:rPr>
          <w:color w:val="000000" w:themeColor="text1"/>
        </w:rPr>
        <w:t>therapeutic option</w:t>
      </w:r>
      <w:r w:rsidR="000D3570" w:rsidRPr="00E352DE">
        <w:rPr>
          <w:color w:val="000000" w:themeColor="text1"/>
        </w:rPr>
        <w:t xml:space="preserve">. </w:t>
      </w:r>
      <w:r w:rsidRPr="00E352DE">
        <w:rPr>
          <w:iCs/>
          <w:color w:val="000000" w:themeColor="text1"/>
        </w:rPr>
        <w:t>Lazou et al</w:t>
      </w:r>
      <w:r w:rsidR="00E352DE" w:rsidRPr="00E352DE">
        <w:rPr>
          <w:iCs/>
          <w:color w:val="000000" w:themeColor="text1"/>
        </w:rPr>
        <w:t>. (2020)</w:t>
      </w:r>
      <w:r>
        <w:t xml:space="preserve"> </w:t>
      </w:r>
      <w:r w:rsidR="00C57B35">
        <w:t>cover</w:t>
      </w:r>
      <w:r w:rsidR="000D3570">
        <w:t xml:space="preserve"> </w:t>
      </w:r>
      <w:r>
        <w:t xml:space="preserve">the pathophysiology of </w:t>
      </w:r>
      <w:r w:rsidR="000704EB">
        <w:t xml:space="preserve">the </w:t>
      </w:r>
      <w:r w:rsidR="000D3570">
        <w:t xml:space="preserve">cardiac </w:t>
      </w:r>
      <w:r w:rsidR="000704EB">
        <w:t>manifestations</w:t>
      </w:r>
      <w:r w:rsidR="000D3570">
        <w:t xml:space="preserve"> of </w:t>
      </w:r>
      <w:r>
        <w:t>chronic</w:t>
      </w:r>
      <w:r w:rsidR="000D3570">
        <w:t xml:space="preserve"> </w:t>
      </w:r>
      <w:r>
        <w:t>inflammatory diseases, such as rheumatoid arthritis, psoriasis,</w:t>
      </w:r>
      <w:r w:rsidR="000D3570">
        <w:t xml:space="preserve"> </w:t>
      </w:r>
      <w:r>
        <w:t>systemic lupus erythematosus, systemic sclerosis and</w:t>
      </w:r>
      <w:r w:rsidR="000D3570">
        <w:t xml:space="preserve"> </w:t>
      </w:r>
      <w:r>
        <w:t>inflammatory bowel disease.</w:t>
      </w:r>
      <w:r w:rsidR="00404BF1">
        <w:t xml:space="preserve"> </w:t>
      </w:r>
      <w:r w:rsidR="00D635B2">
        <w:rPr>
          <w:rFonts w:cs="Arial"/>
          <w:lang w:val="en-US"/>
        </w:rPr>
        <w:t>Finall</w:t>
      </w:r>
      <w:r w:rsidR="00D635B2" w:rsidRPr="00E352DE">
        <w:rPr>
          <w:rFonts w:cs="Arial"/>
          <w:color w:val="000000" w:themeColor="text1"/>
          <w:lang w:val="en-US"/>
        </w:rPr>
        <w:t xml:space="preserve">y, </w:t>
      </w:r>
      <w:r w:rsidR="00404BF1" w:rsidRPr="00E352DE">
        <w:rPr>
          <w:rFonts w:cs="Arial"/>
          <w:color w:val="000000" w:themeColor="text1"/>
          <w:lang w:val="en-US"/>
        </w:rPr>
        <w:t>Boengler et al</w:t>
      </w:r>
      <w:r w:rsidR="00E352DE" w:rsidRPr="00E352DE">
        <w:rPr>
          <w:rFonts w:cs="Arial"/>
          <w:color w:val="000000" w:themeColor="text1"/>
          <w:lang w:val="en-US"/>
        </w:rPr>
        <w:t>. 2020</w:t>
      </w:r>
      <w:r w:rsidR="00404BF1">
        <w:rPr>
          <w:rFonts w:cs="Arial"/>
          <w:lang w:val="en-US"/>
        </w:rPr>
        <w:t xml:space="preserve"> </w:t>
      </w:r>
      <w:r w:rsidR="000704EB">
        <w:rPr>
          <w:rFonts w:cs="Arial"/>
          <w:lang w:val="en-US"/>
        </w:rPr>
        <w:t>draw attention to</w:t>
      </w:r>
      <w:r w:rsidR="00C57B35">
        <w:rPr>
          <w:rFonts w:cs="Arial"/>
          <w:lang w:val="en-US"/>
        </w:rPr>
        <w:t xml:space="preserve"> the impact of impaired right ventricular function on the left ventricle and </w:t>
      </w:r>
      <w:r w:rsidR="000704EB">
        <w:rPr>
          <w:rFonts w:cs="Arial"/>
          <w:lang w:val="en-US"/>
        </w:rPr>
        <w:t>analyse</w:t>
      </w:r>
      <w:r w:rsidR="00C57B35">
        <w:rPr>
          <w:rFonts w:cs="Arial"/>
          <w:lang w:val="en-US"/>
        </w:rPr>
        <w:t xml:space="preserve"> the effect of </w:t>
      </w:r>
      <w:r w:rsidR="00667FB7">
        <w:rPr>
          <w:rFonts w:cs="Arial"/>
          <w:lang w:val="en-US"/>
        </w:rPr>
        <w:t>ischemic</w:t>
      </w:r>
      <w:r w:rsidR="00C57B35">
        <w:rPr>
          <w:rFonts w:cs="Arial"/>
          <w:lang w:val="en-US"/>
        </w:rPr>
        <w:t xml:space="preserve"> and pharmacological conditioning of </w:t>
      </w:r>
      <w:r w:rsidR="00404BF1">
        <w:rPr>
          <w:rFonts w:cs="Arial"/>
          <w:lang w:val="en-US"/>
        </w:rPr>
        <w:t xml:space="preserve">the left ventricle for </w:t>
      </w:r>
      <w:r w:rsidR="00C57B35">
        <w:rPr>
          <w:rFonts w:cs="Arial"/>
          <w:lang w:val="en-US"/>
        </w:rPr>
        <w:t>strategies to protect right ventricular function</w:t>
      </w:r>
      <w:r w:rsidR="00D635B2">
        <w:rPr>
          <w:rFonts w:cs="Arial"/>
          <w:lang w:val="en-US"/>
        </w:rPr>
        <w:t xml:space="preserve">.  </w:t>
      </w:r>
    </w:p>
    <w:p w14:paraId="62EC18E1" w14:textId="77777777" w:rsidR="00D635B2" w:rsidRDefault="00D635B2" w:rsidP="00206D5A">
      <w:pPr>
        <w:jc w:val="both"/>
      </w:pPr>
    </w:p>
    <w:p w14:paraId="32A9941D" w14:textId="32D6B54D" w:rsidR="00DF58F6" w:rsidRPr="00206D5A" w:rsidRDefault="00DF58F6" w:rsidP="00206D5A">
      <w:pPr>
        <w:jc w:val="both"/>
      </w:pPr>
      <w:r>
        <w:t xml:space="preserve">Collectively this themed issue seeks to bring those interested in pulmonary hypertension up to date with some of the most exciting developments in the management of this recalcitrant condition. </w:t>
      </w:r>
    </w:p>
    <w:p w14:paraId="217AC099" w14:textId="71F6166C" w:rsidR="007406EE" w:rsidRDefault="007406EE" w:rsidP="004C114F"/>
    <w:p w14:paraId="3F2F4A8D" w14:textId="051435FD" w:rsidR="008F4442" w:rsidRPr="000D3570" w:rsidRDefault="008F4442" w:rsidP="004C114F">
      <w:pPr>
        <w:rPr>
          <w:color w:val="FF0000"/>
        </w:rPr>
      </w:pPr>
    </w:p>
    <w:p w14:paraId="491261BA" w14:textId="77777777" w:rsidR="00043EB2" w:rsidRDefault="00043EB2">
      <w:pPr>
        <w:rPr>
          <w:b/>
          <w:bCs/>
        </w:rPr>
      </w:pPr>
      <w:r>
        <w:rPr>
          <w:b/>
          <w:bCs/>
        </w:rPr>
        <w:br w:type="page"/>
      </w:r>
    </w:p>
    <w:p w14:paraId="333736B2" w14:textId="0FB5B5F6" w:rsidR="00A03304" w:rsidRPr="001D0AE5" w:rsidRDefault="00616848" w:rsidP="00ED4A2E">
      <w:pPr>
        <w:rPr>
          <w:b/>
          <w:bCs/>
        </w:rPr>
      </w:pPr>
      <w:r w:rsidRPr="001D0AE5">
        <w:rPr>
          <w:b/>
          <w:bCs/>
        </w:rPr>
        <w:lastRenderedPageBreak/>
        <w:t>References</w:t>
      </w:r>
    </w:p>
    <w:p w14:paraId="340B44E9" w14:textId="77777777" w:rsidR="00043EB2" w:rsidRPr="00043EB2" w:rsidRDefault="00043EB2" w:rsidP="00043EB2">
      <w:pPr>
        <w:autoSpaceDE w:val="0"/>
        <w:autoSpaceDN w:val="0"/>
        <w:adjustRightInd w:val="0"/>
        <w:jc w:val="both"/>
        <w:rPr>
          <w:rFonts w:cstheme="minorHAnsi"/>
          <w:color w:val="231F20"/>
        </w:rPr>
      </w:pPr>
    </w:p>
    <w:p w14:paraId="471BC854" w14:textId="5C560023" w:rsidR="00E352DE" w:rsidRPr="00E352DE" w:rsidRDefault="00E352DE" w:rsidP="00E352DE">
      <w:pPr>
        <w:autoSpaceDE w:val="0"/>
        <w:autoSpaceDN w:val="0"/>
        <w:adjustRightInd w:val="0"/>
        <w:jc w:val="both"/>
        <w:rPr>
          <w:rFonts w:cstheme="minorHAnsi"/>
          <w:color w:val="231F20"/>
        </w:rPr>
      </w:pPr>
      <w:r w:rsidRPr="00E352DE">
        <w:rPr>
          <w:rFonts w:cstheme="minorHAnsi"/>
          <w:color w:val="231F20"/>
        </w:rPr>
        <w:t>Boengler</w:t>
      </w:r>
      <w:r>
        <w:rPr>
          <w:rFonts w:cstheme="minorHAnsi"/>
          <w:color w:val="231F20"/>
        </w:rPr>
        <w:t xml:space="preserve">, K., </w:t>
      </w:r>
      <w:r w:rsidRPr="00E352DE">
        <w:rPr>
          <w:rFonts w:cstheme="minorHAnsi"/>
          <w:color w:val="231F20"/>
        </w:rPr>
        <w:t xml:space="preserve"> Schlüter</w:t>
      </w:r>
      <w:r>
        <w:rPr>
          <w:rFonts w:cstheme="minorHAnsi"/>
          <w:color w:val="231F20"/>
        </w:rPr>
        <w:t>, K.D.</w:t>
      </w:r>
      <w:r w:rsidRPr="00E352DE">
        <w:rPr>
          <w:rFonts w:cstheme="minorHAnsi"/>
          <w:color w:val="231F20"/>
        </w:rPr>
        <w:t xml:space="preserve"> , Schermuly</w:t>
      </w:r>
      <w:r>
        <w:rPr>
          <w:rFonts w:cstheme="minorHAnsi"/>
          <w:color w:val="231F20"/>
        </w:rPr>
        <w:t>, R.T.</w:t>
      </w:r>
      <w:r w:rsidRPr="00E352DE">
        <w:rPr>
          <w:rFonts w:cstheme="minorHAnsi"/>
          <w:color w:val="231F20"/>
        </w:rPr>
        <w:t>, Schulz</w:t>
      </w:r>
      <w:r>
        <w:rPr>
          <w:rFonts w:cstheme="minorHAnsi"/>
          <w:color w:val="231F20"/>
        </w:rPr>
        <w:t xml:space="preserve">, R. (2020) </w:t>
      </w:r>
      <w:r w:rsidRPr="00E352DE">
        <w:rPr>
          <w:rFonts w:cstheme="minorHAnsi"/>
          <w:color w:val="231F20"/>
        </w:rPr>
        <w:t>Cardioprotection in right heart failure</w:t>
      </w:r>
      <w:r>
        <w:rPr>
          <w:rFonts w:cstheme="minorHAnsi"/>
          <w:color w:val="231F20"/>
        </w:rPr>
        <w:t xml:space="preserve">. </w:t>
      </w:r>
      <w:r w:rsidRPr="00DD4A41">
        <w:rPr>
          <w:i/>
        </w:rPr>
        <w:t>British Journal Pharmacology</w:t>
      </w:r>
      <w:r>
        <w:rPr>
          <w:i/>
        </w:rPr>
        <w:t>,</w:t>
      </w:r>
      <w:r w:rsidRPr="00E352DE">
        <w:rPr>
          <w:rFonts w:cstheme="minorHAnsi"/>
          <w:color w:val="231F20"/>
        </w:rPr>
        <w:t xml:space="preserve"> Jan 29.</w:t>
      </w:r>
      <w:r>
        <w:rPr>
          <w:rFonts w:cstheme="minorHAnsi"/>
          <w:color w:val="231F20"/>
        </w:rPr>
        <w:t xml:space="preserve"> </w:t>
      </w:r>
      <w:r w:rsidRPr="00E352DE">
        <w:rPr>
          <w:rFonts w:cstheme="minorHAnsi"/>
          <w:color w:val="231F20"/>
        </w:rPr>
        <w:t>doi: 10.1111/bph.14992.</w:t>
      </w:r>
    </w:p>
    <w:p w14:paraId="209970EE" w14:textId="77777777" w:rsidR="00E352DE" w:rsidRDefault="00E352DE" w:rsidP="00043EB2">
      <w:pPr>
        <w:autoSpaceDE w:val="0"/>
        <w:autoSpaceDN w:val="0"/>
        <w:adjustRightInd w:val="0"/>
        <w:jc w:val="both"/>
        <w:rPr>
          <w:rFonts w:cstheme="minorHAnsi"/>
          <w:color w:val="231F20"/>
        </w:rPr>
      </w:pPr>
    </w:p>
    <w:p w14:paraId="54D0E170" w14:textId="6A502B49" w:rsidR="00043EB2" w:rsidRPr="00043EB2" w:rsidRDefault="00043EB2" w:rsidP="00043EB2">
      <w:pPr>
        <w:autoSpaceDE w:val="0"/>
        <w:autoSpaceDN w:val="0"/>
        <w:adjustRightInd w:val="0"/>
        <w:jc w:val="both"/>
        <w:rPr>
          <w:rFonts w:cstheme="minorHAnsi"/>
          <w:color w:val="231F20"/>
        </w:rPr>
      </w:pPr>
      <w:r w:rsidRPr="00043EB2">
        <w:rPr>
          <w:rFonts w:cstheme="minorHAnsi"/>
          <w:color w:val="231F20"/>
        </w:rPr>
        <w:t>Chelladurai</w:t>
      </w:r>
      <w:r>
        <w:rPr>
          <w:rFonts w:cstheme="minorHAnsi"/>
          <w:color w:val="231F20"/>
        </w:rPr>
        <w:t>, P.</w:t>
      </w:r>
      <w:r w:rsidRPr="00043EB2">
        <w:rPr>
          <w:rFonts w:cstheme="minorHAnsi"/>
          <w:color w:val="231F20"/>
        </w:rPr>
        <w:t>, Boucherat</w:t>
      </w:r>
      <w:r>
        <w:rPr>
          <w:rFonts w:cstheme="minorHAnsi"/>
          <w:color w:val="231F20"/>
        </w:rPr>
        <w:t>, O.</w:t>
      </w:r>
      <w:r w:rsidRPr="00043EB2">
        <w:rPr>
          <w:rFonts w:cstheme="minorHAnsi"/>
          <w:color w:val="231F20"/>
        </w:rPr>
        <w:t>, Stenmark</w:t>
      </w:r>
      <w:r>
        <w:rPr>
          <w:rFonts w:cstheme="minorHAnsi"/>
          <w:color w:val="231F20"/>
        </w:rPr>
        <w:t>, K.</w:t>
      </w:r>
      <w:r w:rsidRPr="00043EB2">
        <w:rPr>
          <w:rFonts w:cstheme="minorHAnsi"/>
          <w:color w:val="231F20"/>
        </w:rPr>
        <w:t>, Kracht</w:t>
      </w:r>
      <w:r>
        <w:rPr>
          <w:rFonts w:cstheme="minorHAnsi"/>
          <w:color w:val="231F20"/>
        </w:rPr>
        <w:t>, M.</w:t>
      </w:r>
      <w:r w:rsidRPr="00043EB2">
        <w:rPr>
          <w:rFonts w:cstheme="minorHAnsi"/>
          <w:color w:val="231F20"/>
        </w:rPr>
        <w:t>, Seeger</w:t>
      </w:r>
      <w:r>
        <w:rPr>
          <w:rFonts w:cstheme="minorHAnsi"/>
          <w:color w:val="231F20"/>
        </w:rPr>
        <w:t xml:space="preserve">, W., … </w:t>
      </w:r>
      <w:r w:rsidRPr="00043EB2">
        <w:rPr>
          <w:rFonts w:cstheme="minorHAnsi"/>
          <w:color w:val="231F20"/>
        </w:rPr>
        <w:t xml:space="preserve"> , Pullamsetti</w:t>
      </w:r>
      <w:r>
        <w:rPr>
          <w:rFonts w:cstheme="minorHAnsi"/>
          <w:color w:val="231F20"/>
        </w:rPr>
        <w:t xml:space="preserve">, S.S. (2019) </w:t>
      </w:r>
      <w:r w:rsidRPr="00043EB2">
        <w:rPr>
          <w:rFonts w:cstheme="minorHAnsi"/>
          <w:color w:val="231F20"/>
        </w:rPr>
        <w:t>Targeting histone acetylation in pulmonary hypertension and right ventricular hypertrophy</w:t>
      </w:r>
      <w:r>
        <w:rPr>
          <w:rFonts w:cstheme="minorHAnsi"/>
          <w:color w:val="231F20"/>
        </w:rPr>
        <w:t xml:space="preserve">. </w:t>
      </w:r>
      <w:r w:rsidRPr="00DD4A41">
        <w:rPr>
          <w:i/>
        </w:rPr>
        <w:t>British Journal Pharmacology</w:t>
      </w:r>
      <w:r>
        <w:rPr>
          <w:i/>
        </w:rPr>
        <w:t xml:space="preserve">, </w:t>
      </w:r>
      <w:r w:rsidRPr="00043EB2">
        <w:rPr>
          <w:rFonts w:cstheme="minorHAnsi"/>
          <w:color w:val="231F20"/>
        </w:rPr>
        <w:t>Nov 20.</w:t>
      </w:r>
      <w:r>
        <w:rPr>
          <w:rFonts w:cstheme="minorHAnsi"/>
          <w:color w:val="231F20"/>
        </w:rPr>
        <w:t xml:space="preserve"> </w:t>
      </w:r>
      <w:r w:rsidRPr="00043EB2">
        <w:rPr>
          <w:rFonts w:cstheme="minorHAnsi"/>
          <w:color w:val="231F20"/>
        </w:rPr>
        <w:t>doi: 10.1111/bph.14932</w:t>
      </w:r>
      <w:r>
        <w:rPr>
          <w:rFonts w:cstheme="minorHAnsi"/>
          <w:color w:val="231F20"/>
        </w:rPr>
        <w:t>.</w:t>
      </w:r>
    </w:p>
    <w:p w14:paraId="7BC24FCC" w14:textId="77777777" w:rsidR="00F763DE" w:rsidRPr="00F763DE" w:rsidRDefault="00F763DE" w:rsidP="00F763DE">
      <w:pPr>
        <w:autoSpaceDE w:val="0"/>
        <w:autoSpaceDN w:val="0"/>
        <w:adjustRightInd w:val="0"/>
        <w:jc w:val="both"/>
        <w:rPr>
          <w:rFonts w:cstheme="minorHAnsi"/>
          <w:color w:val="231F20"/>
        </w:rPr>
      </w:pPr>
    </w:p>
    <w:p w14:paraId="289FC23D" w14:textId="50EB36B4" w:rsidR="00E352DE" w:rsidRPr="00F763DE" w:rsidRDefault="00F763DE" w:rsidP="00E352DE">
      <w:pPr>
        <w:autoSpaceDE w:val="0"/>
        <w:autoSpaceDN w:val="0"/>
        <w:adjustRightInd w:val="0"/>
        <w:jc w:val="both"/>
        <w:rPr>
          <w:rFonts w:cstheme="minorHAnsi"/>
          <w:color w:val="231F20"/>
        </w:rPr>
      </w:pPr>
      <w:r w:rsidRPr="00F763DE">
        <w:rPr>
          <w:rFonts w:cstheme="minorHAnsi"/>
          <w:color w:val="231F20"/>
        </w:rPr>
        <w:t>Fu</w:t>
      </w:r>
      <w:r w:rsidR="00E352DE">
        <w:rPr>
          <w:rFonts w:cstheme="minorHAnsi"/>
          <w:color w:val="231F20"/>
        </w:rPr>
        <w:t>, C.</w:t>
      </w:r>
      <w:r w:rsidRPr="00F763DE">
        <w:rPr>
          <w:rFonts w:cstheme="minorHAnsi"/>
          <w:color w:val="231F20"/>
        </w:rPr>
        <w:t>, Lu</w:t>
      </w:r>
      <w:r w:rsidR="00E352DE">
        <w:rPr>
          <w:rFonts w:cstheme="minorHAnsi"/>
          <w:color w:val="231F20"/>
        </w:rPr>
        <w:t>, Y.</w:t>
      </w:r>
      <w:r w:rsidRPr="00F763DE">
        <w:rPr>
          <w:rFonts w:cstheme="minorHAnsi"/>
          <w:color w:val="231F20"/>
        </w:rPr>
        <w:t>, Williams</w:t>
      </w:r>
      <w:r w:rsidR="00E352DE">
        <w:rPr>
          <w:rFonts w:cstheme="minorHAnsi"/>
          <w:color w:val="231F20"/>
        </w:rPr>
        <w:t>, M.A.</w:t>
      </w:r>
      <w:r w:rsidRPr="00F763DE">
        <w:rPr>
          <w:rFonts w:cstheme="minorHAnsi"/>
          <w:color w:val="231F20"/>
        </w:rPr>
        <w:t>, Brantly</w:t>
      </w:r>
      <w:r w:rsidR="00E352DE">
        <w:rPr>
          <w:rFonts w:cstheme="minorHAnsi"/>
          <w:color w:val="231F20"/>
        </w:rPr>
        <w:t>, M.L.</w:t>
      </w:r>
      <w:r w:rsidRPr="00F763DE">
        <w:rPr>
          <w:rFonts w:cstheme="minorHAnsi"/>
          <w:color w:val="231F20"/>
        </w:rPr>
        <w:t>, Ventetuolo</w:t>
      </w:r>
      <w:r w:rsidR="00E352DE">
        <w:rPr>
          <w:rFonts w:cstheme="minorHAnsi"/>
          <w:color w:val="231F20"/>
        </w:rPr>
        <w:t>, C.E.</w:t>
      </w:r>
      <w:r w:rsidRPr="00F763DE">
        <w:rPr>
          <w:rFonts w:cstheme="minorHAnsi"/>
          <w:color w:val="231F20"/>
        </w:rPr>
        <w:t>,</w:t>
      </w:r>
      <w:r w:rsidR="00E352DE">
        <w:rPr>
          <w:rFonts w:cstheme="minorHAnsi"/>
          <w:color w:val="231F20"/>
        </w:rPr>
        <w:t xml:space="preserve"> … , </w:t>
      </w:r>
      <w:r w:rsidRPr="00F763DE">
        <w:rPr>
          <w:rFonts w:cstheme="minorHAnsi"/>
          <w:color w:val="231F20"/>
        </w:rPr>
        <w:t>Bryant</w:t>
      </w:r>
      <w:r w:rsidR="00E352DE">
        <w:rPr>
          <w:rFonts w:cstheme="minorHAnsi"/>
          <w:color w:val="231F20"/>
        </w:rPr>
        <w:t xml:space="preserve">, A.J. (2019) </w:t>
      </w:r>
      <w:r w:rsidR="00E352DE" w:rsidRPr="00F763DE">
        <w:rPr>
          <w:rFonts w:cstheme="minorHAnsi"/>
          <w:color w:val="231F20"/>
        </w:rPr>
        <w:t>Emergency myelopoiesis contributes to immune cell exhaustion and pulmonary vascular remodelling</w:t>
      </w:r>
      <w:r w:rsidR="00E352DE">
        <w:rPr>
          <w:rFonts w:cstheme="minorHAnsi"/>
          <w:color w:val="231F20"/>
        </w:rPr>
        <w:t xml:space="preserve">. </w:t>
      </w:r>
      <w:r w:rsidR="00E352DE" w:rsidRPr="00DD4A41">
        <w:rPr>
          <w:i/>
        </w:rPr>
        <w:t>British Journal Pharmacology</w:t>
      </w:r>
      <w:r w:rsidR="00E352DE">
        <w:rPr>
          <w:i/>
        </w:rPr>
        <w:t>,</w:t>
      </w:r>
      <w:r w:rsidR="00E352DE" w:rsidRPr="00E352DE">
        <w:rPr>
          <w:rFonts w:cstheme="minorHAnsi"/>
          <w:color w:val="231F20"/>
        </w:rPr>
        <w:t xml:space="preserve"> </w:t>
      </w:r>
      <w:r w:rsidR="00E352DE" w:rsidRPr="00F763DE">
        <w:rPr>
          <w:rFonts w:cstheme="minorHAnsi"/>
          <w:color w:val="231F20"/>
        </w:rPr>
        <w:t>Dec 3.</w:t>
      </w:r>
      <w:r w:rsidR="00E352DE">
        <w:rPr>
          <w:rFonts w:cstheme="minorHAnsi"/>
          <w:color w:val="231F20"/>
        </w:rPr>
        <w:t xml:space="preserve"> </w:t>
      </w:r>
      <w:r w:rsidR="00E352DE" w:rsidRPr="00F763DE">
        <w:rPr>
          <w:rFonts w:cstheme="minorHAnsi"/>
          <w:color w:val="231F20"/>
        </w:rPr>
        <w:t>doi: 10.1111/bph.14945</w:t>
      </w:r>
    </w:p>
    <w:p w14:paraId="0DB03A89" w14:textId="41B3C52A" w:rsidR="00F763DE" w:rsidRDefault="00F763DE" w:rsidP="00F763DE">
      <w:pPr>
        <w:autoSpaceDE w:val="0"/>
        <w:autoSpaceDN w:val="0"/>
        <w:adjustRightInd w:val="0"/>
        <w:jc w:val="both"/>
        <w:rPr>
          <w:rFonts w:cstheme="minorHAnsi"/>
          <w:color w:val="231F20"/>
        </w:rPr>
      </w:pPr>
    </w:p>
    <w:p w14:paraId="263A1242" w14:textId="60CD144C" w:rsidR="00C21BA4" w:rsidRPr="00C21BA4" w:rsidRDefault="00C21BA4" w:rsidP="00C21BA4">
      <w:pPr>
        <w:autoSpaceDE w:val="0"/>
        <w:autoSpaceDN w:val="0"/>
        <w:adjustRightInd w:val="0"/>
        <w:jc w:val="both"/>
        <w:rPr>
          <w:rFonts w:cstheme="minorHAnsi"/>
          <w:color w:val="231F20"/>
        </w:rPr>
      </w:pPr>
      <w:r w:rsidRPr="00C21BA4">
        <w:rPr>
          <w:rFonts w:cstheme="minorHAnsi"/>
          <w:color w:val="231F20"/>
        </w:rPr>
        <w:t>Fysikopoulos</w:t>
      </w:r>
      <w:r>
        <w:rPr>
          <w:rFonts w:cstheme="minorHAnsi"/>
          <w:color w:val="231F20"/>
        </w:rPr>
        <w:t>, A.</w:t>
      </w:r>
      <w:r w:rsidRPr="00C21BA4">
        <w:rPr>
          <w:rFonts w:cstheme="minorHAnsi"/>
          <w:color w:val="231F20"/>
        </w:rPr>
        <w:t>, Seimetz</w:t>
      </w:r>
      <w:r>
        <w:rPr>
          <w:rFonts w:cstheme="minorHAnsi"/>
          <w:color w:val="231F20"/>
        </w:rPr>
        <w:t>, M.</w:t>
      </w:r>
      <w:r w:rsidRPr="00C21BA4">
        <w:rPr>
          <w:rFonts w:cstheme="minorHAnsi"/>
          <w:color w:val="231F20"/>
        </w:rPr>
        <w:t>, Hadzic</w:t>
      </w:r>
      <w:r>
        <w:rPr>
          <w:rFonts w:cstheme="minorHAnsi"/>
          <w:color w:val="231F20"/>
        </w:rPr>
        <w:t>, S.</w:t>
      </w:r>
      <w:r w:rsidRPr="00C21BA4">
        <w:rPr>
          <w:rFonts w:cstheme="minorHAnsi"/>
          <w:color w:val="231F20"/>
        </w:rPr>
        <w:t>, Knoepp</w:t>
      </w:r>
      <w:r>
        <w:rPr>
          <w:rFonts w:cstheme="minorHAnsi"/>
          <w:color w:val="231F20"/>
        </w:rPr>
        <w:t>, F.</w:t>
      </w:r>
      <w:r w:rsidRPr="00C21BA4">
        <w:rPr>
          <w:rFonts w:cstheme="minorHAnsi"/>
          <w:color w:val="231F20"/>
        </w:rPr>
        <w:t xml:space="preserve"> Wu</w:t>
      </w:r>
      <w:r>
        <w:rPr>
          <w:rFonts w:cstheme="minorHAnsi"/>
          <w:color w:val="231F20"/>
        </w:rPr>
        <w:t>, C.Y., … ,</w:t>
      </w:r>
      <w:r w:rsidRPr="00C21BA4">
        <w:rPr>
          <w:rFonts w:cstheme="minorHAnsi"/>
          <w:color w:val="231F20"/>
        </w:rPr>
        <w:t xml:space="preserve"> Kraut</w:t>
      </w:r>
      <w:r>
        <w:rPr>
          <w:rFonts w:cstheme="minorHAnsi"/>
          <w:color w:val="231F20"/>
        </w:rPr>
        <w:t xml:space="preserve">, S. (2020) </w:t>
      </w:r>
      <w:r w:rsidRPr="00C21BA4">
        <w:rPr>
          <w:rFonts w:cstheme="minorHAnsi"/>
          <w:color w:val="231F20"/>
        </w:rPr>
        <w:t>Amelioration of elastase-induced lung emphysema and reversal of pulmonary hypertension by pharmacological iNOS inhibition in mice</w:t>
      </w:r>
      <w:r>
        <w:rPr>
          <w:rFonts w:cstheme="minorHAnsi"/>
          <w:color w:val="231F20"/>
        </w:rPr>
        <w:t xml:space="preserve">. </w:t>
      </w:r>
      <w:r w:rsidRPr="00DD4A41">
        <w:rPr>
          <w:i/>
        </w:rPr>
        <w:t>British Journal Pharmacology</w:t>
      </w:r>
      <w:r>
        <w:rPr>
          <w:i/>
        </w:rPr>
        <w:t xml:space="preserve">, </w:t>
      </w:r>
      <w:r w:rsidRPr="00C21BA4">
        <w:rPr>
          <w:rFonts w:cstheme="minorHAnsi"/>
          <w:color w:val="231F20"/>
        </w:rPr>
        <w:t>Mar 22.</w:t>
      </w:r>
      <w:r>
        <w:rPr>
          <w:rFonts w:cstheme="minorHAnsi"/>
          <w:color w:val="231F20"/>
        </w:rPr>
        <w:t xml:space="preserve"> </w:t>
      </w:r>
      <w:r w:rsidRPr="00C21BA4">
        <w:rPr>
          <w:rFonts w:cstheme="minorHAnsi"/>
          <w:color w:val="231F20"/>
        </w:rPr>
        <w:t>doi: 10.1111/bph.15057.</w:t>
      </w:r>
    </w:p>
    <w:p w14:paraId="04154403" w14:textId="19913B9C" w:rsidR="00C21BA4" w:rsidRDefault="00C21BA4" w:rsidP="00C21BA4">
      <w:pPr>
        <w:autoSpaceDE w:val="0"/>
        <w:autoSpaceDN w:val="0"/>
        <w:adjustRightInd w:val="0"/>
        <w:jc w:val="both"/>
        <w:rPr>
          <w:rFonts w:cstheme="minorHAnsi"/>
          <w:color w:val="231F20"/>
        </w:rPr>
      </w:pPr>
    </w:p>
    <w:p w14:paraId="6659C4EC" w14:textId="3DC9479A" w:rsidR="00C21BA4" w:rsidRDefault="00C21BA4" w:rsidP="00C21BA4">
      <w:pPr>
        <w:jc w:val="both"/>
      </w:pPr>
      <w:r>
        <w:t xml:space="preserve">Gassmann, M.,  Cowburn, A., Gu, H., Li, J., Rodriguez, M., … , Zhao, L.  (2020) Hypoxia-induced pulmonary hypertension-Utilizing experiments of nature. </w:t>
      </w:r>
      <w:r w:rsidRPr="00DD4A41">
        <w:rPr>
          <w:i/>
        </w:rPr>
        <w:t>British Journal Pharmacology</w:t>
      </w:r>
      <w:r>
        <w:rPr>
          <w:i/>
        </w:rPr>
        <w:t>,</w:t>
      </w:r>
      <w:r w:rsidRPr="00C21BA4">
        <w:t xml:space="preserve"> </w:t>
      </w:r>
      <w:r>
        <w:t>May 28. doi: 10.1111/bph.15144.</w:t>
      </w:r>
    </w:p>
    <w:p w14:paraId="68EA5A8C" w14:textId="32A7B1B9" w:rsidR="00BB2A34" w:rsidRDefault="00BB2A34" w:rsidP="00C21BA4">
      <w:pPr>
        <w:jc w:val="both"/>
      </w:pPr>
    </w:p>
    <w:p w14:paraId="21AA8C7E" w14:textId="0AA2E033" w:rsidR="00C21BA4" w:rsidRDefault="00C21BA4" w:rsidP="00C21BA4">
      <w:pPr>
        <w:jc w:val="both"/>
      </w:pPr>
      <w:r>
        <w:t xml:space="preserve">Gredic, M., Blanco, I., Kovacs, G., Helyes, Z., Ferdinandy, P., … ,Weissmann, N. (2020) Pulmonary hypertension in chronic obstructive pulmonary disease. </w:t>
      </w:r>
      <w:r w:rsidRPr="00DD4A41">
        <w:rPr>
          <w:i/>
        </w:rPr>
        <w:t>British Journal Pharmacology</w:t>
      </w:r>
      <w:r>
        <w:rPr>
          <w:i/>
        </w:rPr>
        <w:t>,</w:t>
      </w:r>
      <w:r w:rsidRPr="00C21BA4">
        <w:t xml:space="preserve"> </w:t>
      </w:r>
      <w:r>
        <w:t>Jan 23. doi: 10.1111/bph.14979.</w:t>
      </w:r>
    </w:p>
    <w:p w14:paraId="56FF7FDC" w14:textId="179EF469" w:rsidR="00C21BA4" w:rsidRDefault="00C21BA4" w:rsidP="00C21BA4">
      <w:pPr>
        <w:jc w:val="both"/>
      </w:pPr>
    </w:p>
    <w:p w14:paraId="3286C1A8" w14:textId="71F927FB" w:rsidR="00C21BA4" w:rsidRDefault="00BB2A34" w:rsidP="00C21BA4">
      <w:pPr>
        <w:jc w:val="both"/>
      </w:pPr>
      <w:r>
        <w:t>Harbaum</w:t>
      </w:r>
      <w:r w:rsidR="00C21BA4">
        <w:t>, L.</w:t>
      </w:r>
      <w:r>
        <w:t>, Rhodes</w:t>
      </w:r>
      <w:r w:rsidR="00C21BA4">
        <w:t>, C.J.</w:t>
      </w:r>
      <w:r>
        <w:t>, Otero-Núñez</w:t>
      </w:r>
      <w:r w:rsidR="00C21BA4">
        <w:t>, P.</w:t>
      </w:r>
      <w:r>
        <w:t>, Wharton</w:t>
      </w:r>
      <w:r w:rsidR="00C21BA4">
        <w:t>, J.</w:t>
      </w:r>
      <w:r>
        <w:t>, Wilkins</w:t>
      </w:r>
      <w:r w:rsidR="00C21BA4">
        <w:t xml:space="preserve">, M.R. (2020) The application of 'omics' to pulmonary arterial hypertension. </w:t>
      </w:r>
      <w:r w:rsidR="00C21BA4" w:rsidRPr="00DD4A41">
        <w:rPr>
          <w:i/>
        </w:rPr>
        <w:t>British Journal Pharmacology</w:t>
      </w:r>
      <w:r w:rsidR="00C21BA4">
        <w:rPr>
          <w:i/>
        </w:rPr>
        <w:t xml:space="preserve">, </w:t>
      </w:r>
      <w:r w:rsidR="00C21BA4">
        <w:t>Mar 22. doi: 10.1111/bph.15056.</w:t>
      </w:r>
    </w:p>
    <w:p w14:paraId="561AF84A" w14:textId="777A8680" w:rsidR="00043EB2" w:rsidRDefault="00C21BA4" w:rsidP="00BB2A34">
      <w:pPr>
        <w:jc w:val="both"/>
      </w:pPr>
      <w:r>
        <w:t xml:space="preserve"> </w:t>
      </w:r>
      <w:r w:rsidR="00BB2A34">
        <w:t xml:space="preserve">  </w:t>
      </w:r>
    </w:p>
    <w:p w14:paraId="621D613B" w14:textId="64EBC223" w:rsidR="0074555A" w:rsidRDefault="0074555A" w:rsidP="0074555A">
      <w:pPr>
        <w:jc w:val="both"/>
      </w:pPr>
      <w:r>
        <w:t xml:space="preserve">Hoeper, M.M., Humbert, M., Souza, R., Idrees, M., Kawut, S.M., … , Gibbs, J.S.R. (2016) A global view of pulmonary hypertension. </w:t>
      </w:r>
      <w:r w:rsidRPr="00E847A8">
        <w:rPr>
          <w:i/>
        </w:rPr>
        <w:t>Lancet Respiratory Medicine</w:t>
      </w:r>
      <w:r>
        <w:t xml:space="preserve">, 4, 306-322.  doi: 10.1016/S2213-2600(15)00543-3. </w:t>
      </w:r>
    </w:p>
    <w:p w14:paraId="1C280A60" w14:textId="77777777" w:rsidR="0074555A" w:rsidRDefault="0074555A" w:rsidP="0074555A">
      <w:pPr>
        <w:jc w:val="both"/>
      </w:pPr>
    </w:p>
    <w:p w14:paraId="21A75459" w14:textId="3095791A" w:rsidR="00616848" w:rsidRDefault="00616848" w:rsidP="0074555A">
      <w:pPr>
        <w:autoSpaceDE w:val="0"/>
        <w:autoSpaceDN w:val="0"/>
        <w:adjustRightInd w:val="0"/>
        <w:jc w:val="both"/>
        <w:rPr>
          <w:rFonts w:cstheme="minorHAnsi"/>
          <w:color w:val="231F20"/>
        </w:rPr>
      </w:pPr>
      <w:r w:rsidRPr="00616848">
        <w:rPr>
          <w:rFonts w:cstheme="minorHAnsi"/>
          <w:color w:val="231F20"/>
        </w:rPr>
        <w:t>Kovacs</w:t>
      </w:r>
      <w:r w:rsidR="00E847A8">
        <w:rPr>
          <w:rFonts w:cstheme="minorHAnsi"/>
          <w:color w:val="231F20"/>
        </w:rPr>
        <w:t>,</w:t>
      </w:r>
      <w:r w:rsidRPr="00616848">
        <w:rPr>
          <w:rFonts w:cstheme="minorHAnsi"/>
          <w:color w:val="231F20"/>
        </w:rPr>
        <w:t xml:space="preserve"> G</w:t>
      </w:r>
      <w:r w:rsidR="00E847A8">
        <w:rPr>
          <w:rFonts w:cstheme="minorHAnsi"/>
          <w:color w:val="231F20"/>
        </w:rPr>
        <w:t>.</w:t>
      </w:r>
      <w:r w:rsidRPr="00616848">
        <w:rPr>
          <w:rFonts w:cstheme="minorHAnsi"/>
          <w:color w:val="231F20"/>
        </w:rPr>
        <w:t>, Berghold</w:t>
      </w:r>
      <w:r w:rsidR="00E847A8">
        <w:rPr>
          <w:rFonts w:cstheme="minorHAnsi"/>
          <w:color w:val="231F20"/>
        </w:rPr>
        <w:t>,</w:t>
      </w:r>
      <w:r w:rsidRPr="00616848">
        <w:rPr>
          <w:rFonts w:cstheme="minorHAnsi"/>
          <w:color w:val="231F20"/>
        </w:rPr>
        <w:t xml:space="preserve"> A</w:t>
      </w:r>
      <w:r w:rsidR="00E847A8">
        <w:rPr>
          <w:rFonts w:cstheme="minorHAnsi"/>
          <w:color w:val="231F20"/>
        </w:rPr>
        <w:t>.</w:t>
      </w:r>
      <w:r w:rsidRPr="00616848">
        <w:rPr>
          <w:rFonts w:cstheme="minorHAnsi"/>
          <w:color w:val="231F20"/>
        </w:rPr>
        <w:t>, Scheidl</w:t>
      </w:r>
      <w:r w:rsidR="00E847A8">
        <w:rPr>
          <w:rFonts w:cstheme="minorHAnsi"/>
          <w:color w:val="231F20"/>
        </w:rPr>
        <w:t>,</w:t>
      </w:r>
      <w:r w:rsidRPr="00616848">
        <w:rPr>
          <w:rFonts w:cstheme="minorHAnsi"/>
          <w:color w:val="231F20"/>
        </w:rPr>
        <w:t xml:space="preserve"> S</w:t>
      </w:r>
      <w:r w:rsidR="00E847A8">
        <w:rPr>
          <w:rFonts w:cstheme="minorHAnsi"/>
          <w:color w:val="231F20"/>
        </w:rPr>
        <w:t>.</w:t>
      </w:r>
      <w:r w:rsidRPr="00616848">
        <w:rPr>
          <w:rFonts w:cstheme="minorHAnsi"/>
        </w:rPr>
        <w:t xml:space="preserve">, </w:t>
      </w:r>
      <w:r w:rsidRPr="00616848">
        <w:rPr>
          <w:rFonts w:cstheme="minorHAnsi"/>
          <w:color w:val="231F20"/>
        </w:rPr>
        <w:t>Olschewski</w:t>
      </w:r>
      <w:r w:rsidR="00E847A8">
        <w:rPr>
          <w:rFonts w:cstheme="minorHAnsi"/>
          <w:color w:val="231F20"/>
        </w:rPr>
        <w:t>,</w:t>
      </w:r>
      <w:r w:rsidRPr="00616848">
        <w:rPr>
          <w:rFonts w:cstheme="minorHAnsi"/>
          <w:color w:val="231F20"/>
        </w:rPr>
        <w:t xml:space="preserve"> H.</w:t>
      </w:r>
      <w:r w:rsidR="00E847A8">
        <w:rPr>
          <w:rFonts w:cstheme="minorHAnsi"/>
          <w:color w:val="231F20"/>
        </w:rPr>
        <w:t xml:space="preserve"> (2009).</w:t>
      </w:r>
      <w:r w:rsidRPr="00616848">
        <w:rPr>
          <w:rFonts w:cstheme="minorHAnsi"/>
          <w:color w:val="231F20"/>
        </w:rPr>
        <w:t xml:space="preserve"> Pulmonary arterial pressure during rest and exercise in healthy subjects: a systematic review. </w:t>
      </w:r>
      <w:r w:rsidRPr="00E847A8">
        <w:rPr>
          <w:rFonts w:cstheme="minorHAnsi"/>
          <w:i/>
          <w:color w:val="231F20"/>
        </w:rPr>
        <w:t>European Respiratory Journal</w:t>
      </w:r>
      <w:r w:rsidR="00E847A8">
        <w:rPr>
          <w:rFonts w:cstheme="minorHAnsi"/>
          <w:color w:val="231F20"/>
        </w:rPr>
        <w:t>,</w:t>
      </w:r>
      <w:r w:rsidRPr="00616848">
        <w:rPr>
          <w:rFonts w:cstheme="minorHAnsi"/>
          <w:color w:val="231F20"/>
        </w:rPr>
        <w:t xml:space="preserve"> 34</w:t>
      </w:r>
      <w:r w:rsidR="00E847A8">
        <w:rPr>
          <w:rFonts w:cstheme="minorHAnsi"/>
          <w:color w:val="231F20"/>
        </w:rPr>
        <w:t>,</w:t>
      </w:r>
      <w:r w:rsidRPr="00616848">
        <w:rPr>
          <w:rFonts w:cstheme="minorHAnsi"/>
          <w:color w:val="231F20"/>
        </w:rPr>
        <w:t xml:space="preserve"> 888–894.</w:t>
      </w:r>
      <w:r w:rsidR="00E847A8">
        <w:rPr>
          <w:rFonts w:cstheme="minorHAnsi"/>
          <w:color w:val="231F20"/>
        </w:rPr>
        <w:t xml:space="preserve"> </w:t>
      </w:r>
      <w:r w:rsidR="00E847A8" w:rsidRPr="00E847A8">
        <w:rPr>
          <w:rFonts w:cstheme="minorHAnsi"/>
          <w:color w:val="231F20"/>
        </w:rPr>
        <w:t xml:space="preserve">doi: 10.1183/09031936.00145608. </w:t>
      </w:r>
    </w:p>
    <w:p w14:paraId="7153B5DB" w14:textId="3374837A" w:rsidR="00746A38" w:rsidRDefault="00746A38" w:rsidP="0074555A">
      <w:pPr>
        <w:autoSpaceDE w:val="0"/>
        <w:autoSpaceDN w:val="0"/>
        <w:adjustRightInd w:val="0"/>
        <w:jc w:val="both"/>
        <w:rPr>
          <w:rFonts w:cstheme="minorHAnsi"/>
          <w:color w:val="231F20"/>
        </w:rPr>
      </w:pPr>
    </w:p>
    <w:p w14:paraId="322A5061" w14:textId="644E5CE2" w:rsidR="00E352DE" w:rsidRDefault="00E352DE" w:rsidP="00E352DE">
      <w:pPr>
        <w:autoSpaceDE w:val="0"/>
        <w:autoSpaceDN w:val="0"/>
        <w:adjustRightInd w:val="0"/>
        <w:jc w:val="both"/>
        <w:rPr>
          <w:rFonts w:cstheme="minorHAnsi"/>
          <w:color w:val="231F20"/>
        </w:rPr>
      </w:pPr>
      <w:r w:rsidRPr="00E352DE">
        <w:rPr>
          <w:rFonts w:cstheme="minorHAnsi"/>
          <w:color w:val="231F20"/>
        </w:rPr>
        <w:t>Lazou</w:t>
      </w:r>
      <w:r>
        <w:rPr>
          <w:rFonts w:cstheme="minorHAnsi"/>
          <w:color w:val="231F20"/>
        </w:rPr>
        <w:t>,</w:t>
      </w:r>
      <w:r w:rsidRPr="00E352DE">
        <w:rPr>
          <w:rFonts w:cstheme="minorHAnsi"/>
          <w:color w:val="231F20"/>
        </w:rPr>
        <w:t xml:space="preserve"> A</w:t>
      </w:r>
      <w:r>
        <w:rPr>
          <w:rFonts w:cstheme="minorHAnsi"/>
          <w:color w:val="231F20"/>
        </w:rPr>
        <w:t>.</w:t>
      </w:r>
      <w:r w:rsidRPr="00E352DE">
        <w:rPr>
          <w:rFonts w:cstheme="minorHAnsi"/>
          <w:color w:val="231F20"/>
        </w:rPr>
        <w:t>, Ikonomidis</w:t>
      </w:r>
      <w:r>
        <w:rPr>
          <w:rFonts w:cstheme="minorHAnsi"/>
          <w:color w:val="231F20"/>
        </w:rPr>
        <w:t>,</w:t>
      </w:r>
      <w:r w:rsidRPr="00E352DE">
        <w:rPr>
          <w:rFonts w:cstheme="minorHAnsi"/>
          <w:color w:val="231F20"/>
        </w:rPr>
        <w:t xml:space="preserve"> I</w:t>
      </w:r>
      <w:r>
        <w:rPr>
          <w:rFonts w:cstheme="minorHAnsi"/>
          <w:color w:val="231F20"/>
        </w:rPr>
        <w:t>.</w:t>
      </w:r>
      <w:r w:rsidRPr="00E352DE">
        <w:rPr>
          <w:rFonts w:cstheme="minorHAnsi"/>
          <w:color w:val="231F20"/>
        </w:rPr>
        <w:t>, Bartekova</w:t>
      </w:r>
      <w:r>
        <w:rPr>
          <w:rFonts w:cstheme="minorHAnsi"/>
          <w:color w:val="231F20"/>
        </w:rPr>
        <w:t>,</w:t>
      </w:r>
      <w:r w:rsidRPr="00E352DE">
        <w:rPr>
          <w:rFonts w:cstheme="minorHAnsi"/>
          <w:color w:val="231F20"/>
        </w:rPr>
        <w:t xml:space="preserve"> M</w:t>
      </w:r>
      <w:r>
        <w:rPr>
          <w:rFonts w:cstheme="minorHAnsi"/>
          <w:color w:val="231F20"/>
        </w:rPr>
        <w:t>.</w:t>
      </w:r>
      <w:r w:rsidRPr="00E352DE">
        <w:rPr>
          <w:rFonts w:cstheme="minorHAnsi"/>
          <w:color w:val="231F20"/>
        </w:rPr>
        <w:t>, Benedek</w:t>
      </w:r>
      <w:r>
        <w:rPr>
          <w:rFonts w:cstheme="minorHAnsi"/>
          <w:color w:val="231F20"/>
        </w:rPr>
        <w:t>,</w:t>
      </w:r>
      <w:r w:rsidRPr="00E352DE">
        <w:rPr>
          <w:rFonts w:cstheme="minorHAnsi"/>
          <w:color w:val="231F20"/>
        </w:rPr>
        <w:t xml:space="preserve"> T</w:t>
      </w:r>
      <w:r>
        <w:rPr>
          <w:rFonts w:cstheme="minorHAnsi"/>
          <w:color w:val="231F20"/>
        </w:rPr>
        <w:t>.</w:t>
      </w:r>
      <w:r w:rsidRPr="00E352DE">
        <w:rPr>
          <w:rFonts w:cstheme="minorHAnsi"/>
          <w:color w:val="231F20"/>
        </w:rPr>
        <w:t>, Makavos</w:t>
      </w:r>
      <w:r>
        <w:rPr>
          <w:rFonts w:cstheme="minorHAnsi"/>
          <w:color w:val="231F20"/>
        </w:rPr>
        <w:t>,</w:t>
      </w:r>
      <w:r w:rsidRPr="00E352DE">
        <w:rPr>
          <w:rFonts w:cstheme="minorHAnsi"/>
          <w:color w:val="231F20"/>
        </w:rPr>
        <w:t xml:space="preserve"> G</w:t>
      </w:r>
      <w:r>
        <w:rPr>
          <w:rFonts w:cstheme="minorHAnsi"/>
          <w:color w:val="231F20"/>
        </w:rPr>
        <w:t>.</w:t>
      </w:r>
      <w:r w:rsidRPr="00E352DE">
        <w:rPr>
          <w:rFonts w:cstheme="minorHAnsi"/>
          <w:color w:val="231F20"/>
        </w:rPr>
        <w:t>,</w:t>
      </w:r>
      <w:r>
        <w:rPr>
          <w:rFonts w:cstheme="minorHAnsi"/>
          <w:color w:val="231F20"/>
        </w:rPr>
        <w:t xml:space="preserve"> …</w:t>
      </w:r>
      <w:r w:rsidRPr="00E352DE">
        <w:rPr>
          <w:rFonts w:cstheme="minorHAnsi"/>
          <w:color w:val="231F20"/>
        </w:rPr>
        <w:t xml:space="preserve"> , Andreadou</w:t>
      </w:r>
      <w:r>
        <w:rPr>
          <w:rFonts w:cstheme="minorHAnsi"/>
          <w:color w:val="231F20"/>
        </w:rPr>
        <w:t>,</w:t>
      </w:r>
      <w:r w:rsidRPr="00E352DE">
        <w:rPr>
          <w:rFonts w:cstheme="minorHAnsi"/>
          <w:color w:val="231F20"/>
        </w:rPr>
        <w:t xml:space="preserve"> I.</w:t>
      </w:r>
      <w:r>
        <w:rPr>
          <w:rFonts w:cstheme="minorHAnsi"/>
          <w:color w:val="231F20"/>
        </w:rPr>
        <w:t xml:space="preserve"> (2020) </w:t>
      </w:r>
      <w:r w:rsidRPr="00E352DE">
        <w:rPr>
          <w:rFonts w:cstheme="minorHAnsi"/>
          <w:color w:val="231F20"/>
        </w:rPr>
        <w:t>Chronic inflammatory diseases, myocardial function and cardioprotection.</w:t>
      </w:r>
      <w:r>
        <w:rPr>
          <w:rFonts w:cstheme="minorHAnsi"/>
          <w:color w:val="231F20"/>
        </w:rPr>
        <w:t xml:space="preserve"> </w:t>
      </w:r>
      <w:r w:rsidRPr="00DD4A41">
        <w:rPr>
          <w:i/>
        </w:rPr>
        <w:t>British Journal Pharmacology</w:t>
      </w:r>
      <w:r>
        <w:rPr>
          <w:i/>
        </w:rPr>
        <w:t xml:space="preserve">, </w:t>
      </w:r>
      <w:r w:rsidRPr="00E352DE">
        <w:rPr>
          <w:rFonts w:cstheme="minorHAnsi"/>
          <w:color w:val="231F20"/>
        </w:rPr>
        <w:t>Jan 13. doi: 10.1111/bph.14975.</w:t>
      </w:r>
    </w:p>
    <w:p w14:paraId="526595D0" w14:textId="77777777" w:rsidR="00E352DE" w:rsidRDefault="00E352DE" w:rsidP="00A950A3">
      <w:pPr>
        <w:autoSpaceDE w:val="0"/>
        <w:autoSpaceDN w:val="0"/>
        <w:adjustRightInd w:val="0"/>
        <w:jc w:val="both"/>
        <w:rPr>
          <w:rFonts w:cstheme="minorHAnsi"/>
          <w:color w:val="231F20"/>
        </w:rPr>
      </w:pPr>
    </w:p>
    <w:p w14:paraId="278B2529" w14:textId="1C5A61C5" w:rsidR="00A950A3" w:rsidRPr="00746A38" w:rsidRDefault="00746A38" w:rsidP="00A950A3">
      <w:pPr>
        <w:autoSpaceDE w:val="0"/>
        <w:autoSpaceDN w:val="0"/>
        <w:adjustRightInd w:val="0"/>
        <w:jc w:val="both"/>
        <w:rPr>
          <w:rFonts w:cstheme="minorHAnsi"/>
          <w:color w:val="231F20"/>
        </w:rPr>
      </w:pPr>
      <w:r w:rsidRPr="00746A38">
        <w:rPr>
          <w:rFonts w:cstheme="minorHAnsi"/>
          <w:color w:val="231F20"/>
        </w:rPr>
        <w:t>Mamazhakypov</w:t>
      </w:r>
      <w:r w:rsidR="00A950A3">
        <w:rPr>
          <w:rFonts w:cstheme="minorHAnsi"/>
          <w:color w:val="231F20"/>
        </w:rPr>
        <w:t>, A.</w:t>
      </w:r>
      <w:r w:rsidRPr="00746A38">
        <w:rPr>
          <w:rFonts w:cstheme="minorHAnsi"/>
          <w:color w:val="231F20"/>
        </w:rPr>
        <w:t>, Viswanathan</w:t>
      </w:r>
      <w:r w:rsidR="00A950A3">
        <w:rPr>
          <w:rFonts w:cstheme="minorHAnsi"/>
          <w:color w:val="231F20"/>
        </w:rPr>
        <w:t>, G.</w:t>
      </w:r>
      <w:r w:rsidRPr="00746A38">
        <w:rPr>
          <w:rFonts w:cstheme="minorHAnsi"/>
          <w:color w:val="231F20"/>
        </w:rPr>
        <w:t>, Lawrie</w:t>
      </w:r>
      <w:r w:rsidR="00A950A3">
        <w:rPr>
          <w:rFonts w:cstheme="minorHAnsi"/>
          <w:color w:val="231F20"/>
        </w:rPr>
        <w:t>, A.</w:t>
      </w:r>
      <w:r w:rsidRPr="00746A38">
        <w:rPr>
          <w:rFonts w:cstheme="minorHAnsi"/>
          <w:color w:val="231F20"/>
        </w:rPr>
        <w:t>, Schermuly</w:t>
      </w:r>
      <w:r w:rsidR="00A950A3">
        <w:rPr>
          <w:rFonts w:cstheme="minorHAnsi"/>
          <w:color w:val="231F20"/>
        </w:rPr>
        <w:t>, R.T.</w:t>
      </w:r>
      <w:r w:rsidRPr="00746A38">
        <w:rPr>
          <w:rFonts w:cstheme="minorHAnsi"/>
          <w:color w:val="231F20"/>
        </w:rPr>
        <w:t xml:space="preserve"> , Rajagopal</w:t>
      </w:r>
      <w:r w:rsidR="00A950A3">
        <w:rPr>
          <w:rFonts w:cstheme="minorHAnsi"/>
          <w:color w:val="231F20"/>
        </w:rPr>
        <w:t xml:space="preserve">, S. (2019) </w:t>
      </w:r>
      <w:r w:rsidR="00A950A3" w:rsidRPr="00746A38">
        <w:rPr>
          <w:rFonts w:cstheme="minorHAnsi"/>
          <w:color w:val="231F20"/>
        </w:rPr>
        <w:t>The role of chemokines and chemokine receptors in pulmonary arterial hypertension</w:t>
      </w:r>
      <w:r w:rsidR="00A950A3">
        <w:rPr>
          <w:rFonts w:cstheme="minorHAnsi"/>
          <w:color w:val="231F20"/>
        </w:rPr>
        <w:t xml:space="preserve">. </w:t>
      </w:r>
      <w:r w:rsidR="00A950A3" w:rsidRPr="00DD4A41">
        <w:rPr>
          <w:i/>
        </w:rPr>
        <w:t>British Journal Pharmacology</w:t>
      </w:r>
      <w:r w:rsidR="00A950A3">
        <w:rPr>
          <w:i/>
        </w:rPr>
        <w:t xml:space="preserve">, </w:t>
      </w:r>
      <w:r w:rsidR="00A950A3" w:rsidRPr="00746A38">
        <w:rPr>
          <w:rFonts w:cstheme="minorHAnsi"/>
          <w:color w:val="231F20"/>
        </w:rPr>
        <w:t>Aug 10.</w:t>
      </w:r>
      <w:r w:rsidR="00A950A3">
        <w:rPr>
          <w:rFonts w:cstheme="minorHAnsi"/>
          <w:color w:val="231F20"/>
        </w:rPr>
        <w:t xml:space="preserve"> </w:t>
      </w:r>
      <w:r w:rsidR="00A950A3" w:rsidRPr="00746A38">
        <w:rPr>
          <w:rFonts w:cstheme="minorHAnsi"/>
          <w:color w:val="231F20"/>
        </w:rPr>
        <w:t>doi: 10.1111/bph.14826.</w:t>
      </w:r>
    </w:p>
    <w:p w14:paraId="17E4AEF9" w14:textId="5F0B3735" w:rsidR="00746A38" w:rsidRDefault="00746A38" w:rsidP="00746A38">
      <w:pPr>
        <w:autoSpaceDE w:val="0"/>
        <w:autoSpaceDN w:val="0"/>
        <w:adjustRightInd w:val="0"/>
        <w:jc w:val="both"/>
        <w:rPr>
          <w:rFonts w:cstheme="minorHAnsi"/>
          <w:color w:val="231F20"/>
        </w:rPr>
      </w:pPr>
    </w:p>
    <w:p w14:paraId="2246FDCC" w14:textId="4C0FA75A" w:rsidR="00A950A3" w:rsidRPr="00A950A3" w:rsidRDefault="00A950A3" w:rsidP="00A950A3">
      <w:pPr>
        <w:autoSpaceDE w:val="0"/>
        <w:autoSpaceDN w:val="0"/>
        <w:adjustRightInd w:val="0"/>
        <w:jc w:val="both"/>
        <w:rPr>
          <w:rFonts w:cstheme="minorHAnsi"/>
          <w:color w:val="231F20"/>
        </w:rPr>
      </w:pPr>
      <w:r>
        <w:rPr>
          <w:rFonts w:cstheme="minorHAnsi"/>
          <w:color w:val="231F20"/>
        </w:rPr>
        <w:lastRenderedPageBreak/>
        <w:t>M</w:t>
      </w:r>
      <w:r w:rsidRPr="00A950A3">
        <w:rPr>
          <w:rFonts w:cstheme="minorHAnsi"/>
          <w:color w:val="231F20"/>
        </w:rPr>
        <w:t>aron</w:t>
      </w:r>
      <w:r>
        <w:rPr>
          <w:rFonts w:cstheme="minorHAnsi"/>
          <w:color w:val="231F20"/>
        </w:rPr>
        <w:t>, B.A.</w:t>
      </w:r>
      <w:r w:rsidRPr="00A950A3">
        <w:rPr>
          <w:rFonts w:cstheme="minorHAnsi"/>
          <w:color w:val="231F20"/>
        </w:rPr>
        <w:t>, Leopold</w:t>
      </w:r>
      <w:r>
        <w:rPr>
          <w:rFonts w:cstheme="minorHAnsi"/>
          <w:color w:val="231F20"/>
        </w:rPr>
        <w:t>, J.A.</w:t>
      </w:r>
      <w:r w:rsidRPr="00A950A3">
        <w:rPr>
          <w:rFonts w:cstheme="minorHAnsi"/>
          <w:color w:val="231F20"/>
        </w:rPr>
        <w:t>, Hemnes</w:t>
      </w:r>
      <w:r>
        <w:rPr>
          <w:rFonts w:cstheme="minorHAnsi"/>
          <w:color w:val="231F20"/>
        </w:rPr>
        <w:t xml:space="preserve">, A.R. (2020) </w:t>
      </w:r>
      <w:r w:rsidRPr="00A950A3">
        <w:rPr>
          <w:rFonts w:cstheme="minorHAnsi"/>
          <w:color w:val="231F20"/>
        </w:rPr>
        <w:t>Metabolic syndrome, neurohumoral modulation, and pulmonary arterial hypertension</w:t>
      </w:r>
      <w:r>
        <w:rPr>
          <w:rFonts w:cstheme="minorHAnsi"/>
          <w:color w:val="231F20"/>
        </w:rPr>
        <w:t xml:space="preserve">. </w:t>
      </w:r>
      <w:r w:rsidRPr="00DD4A41">
        <w:rPr>
          <w:i/>
        </w:rPr>
        <w:t>British Journal Pharmacology</w:t>
      </w:r>
      <w:r>
        <w:rPr>
          <w:i/>
        </w:rPr>
        <w:t xml:space="preserve">, </w:t>
      </w:r>
      <w:r w:rsidRPr="00A950A3">
        <w:rPr>
          <w:rFonts w:cstheme="minorHAnsi"/>
          <w:color w:val="231F20"/>
        </w:rPr>
        <w:t>177</w:t>
      </w:r>
      <w:r>
        <w:rPr>
          <w:rFonts w:cstheme="minorHAnsi"/>
          <w:color w:val="231F20"/>
        </w:rPr>
        <w:t xml:space="preserve">, </w:t>
      </w:r>
      <w:r w:rsidRPr="00A950A3">
        <w:rPr>
          <w:rFonts w:cstheme="minorHAnsi"/>
          <w:color w:val="231F20"/>
        </w:rPr>
        <w:t>1457-1471.</w:t>
      </w:r>
      <w:r>
        <w:rPr>
          <w:rFonts w:cstheme="minorHAnsi"/>
          <w:color w:val="231F20"/>
        </w:rPr>
        <w:t xml:space="preserve"> </w:t>
      </w:r>
      <w:r w:rsidRPr="00A950A3">
        <w:rPr>
          <w:rFonts w:cstheme="minorHAnsi"/>
          <w:color w:val="231F20"/>
        </w:rPr>
        <w:t>doi: 10.1111/bph.14968.</w:t>
      </w:r>
    </w:p>
    <w:p w14:paraId="4C51E14B" w14:textId="644516CE" w:rsidR="00A950A3" w:rsidRPr="00616848" w:rsidRDefault="00A950A3" w:rsidP="00A950A3">
      <w:pPr>
        <w:autoSpaceDE w:val="0"/>
        <w:autoSpaceDN w:val="0"/>
        <w:adjustRightInd w:val="0"/>
        <w:jc w:val="both"/>
        <w:rPr>
          <w:rFonts w:cstheme="minorHAnsi"/>
          <w:color w:val="231F20"/>
        </w:rPr>
      </w:pPr>
    </w:p>
    <w:p w14:paraId="6CF64F55" w14:textId="3CD0F7D2" w:rsidR="00C21BA4" w:rsidRDefault="00C21BA4" w:rsidP="00C21BA4">
      <w:pPr>
        <w:jc w:val="both"/>
      </w:pPr>
      <w:r>
        <w:t>Rajagopal, K., Bryant, A.J., Sahay, S., Wareing, N., Zhou</w:t>
      </w:r>
      <w:r w:rsidR="009764E0">
        <w:t>, Y.</w:t>
      </w:r>
      <w:r>
        <w:t>,</w:t>
      </w:r>
      <w:r w:rsidR="009764E0">
        <w:t xml:space="preserve"> … , </w:t>
      </w:r>
      <w:r>
        <w:t xml:space="preserve">Karmouty-Quintana, H. (2020)  Idiopathic pulmonary fibrosis and pulmonary hypertension: Heracles meets the Hydra. </w:t>
      </w:r>
      <w:r w:rsidRPr="00DD4A41">
        <w:rPr>
          <w:i/>
        </w:rPr>
        <w:t>British Journal Pharmacology</w:t>
      </w:r>
      <w:r>
        <w:rPr>
          <w:i/>
        </w:rPr>
        <w:t>,</w:t>
      </w:r>
      <w:r w:rsidRPr="00C21BA4">
        <w:t xml:space="preserve"> </w:t>
      </w:r>
      <w:r>
        <w:t>Mar 3. doi: 10.1111/bph.15036.</w:t>
      </w:r>
    </w:p>
    <w:p w14:paraId="588432BA" w14:textId="77777777" w:rsidR="00C21BA4" w:rsidRDefault="00C21BA4" w:rsidP="0074555A">
      <w:pPr>
        <w:jc w:val="both"/>
      </w:pPr>
    </w:p>
    <w:p w14:paraId="6B63F47B" w14:textId="75F9E373" w:rsidR="00880288" w:rsidRDefault="00616848" w:rsidP="0074555A">
      <w:pPr>
        <w:jc w:val="both"/>
      </w:pPr>
      <w:r>
        <w:t>Simonneau</w:t>
      </w:r>
      <w:r w:rsidR="00E847A8">
        <w:t>,</w:t>
      </w:r>
      <w:r>
        <w:t xml:space="preserve"> G</w:t>
      </w:r>
      <w:r w:rsidR="00E847A8">
        <w:t>.</w:t>
      </w:r>
      <w:r>
        <w:t>, Montani</w:t>
      </w:r>
      <w:r w:rsidR="00E847A8">
        <w:t>,</w:t>
      </w:r>
      <w:r>
        <w:t xml:space="preserve"> M</w:t>
      </w:r>
      <w:r w:rsidR="00E847A8">
        <w:t>.</w:t>
      </w:r>
      <w:r>
        <w:t>, Celermajer</w:t>
      </w:r>
      <w:r w:rsidR="00E847A8">
        <w:t>,</w:t>
      </w:r>
      <w:r>
        <w:t xml:space="preserve"> D</w:t>
      </w:r>
      <w:r w:rsidR="00E847A8">
        <w:t>.</w:t>
      </w:r>
      <w:r>
        <w:t>S</w:t>
      </w:r>
      <w:r w:rsidR="00E847A8">
        <w:t>.</w:t>
      </w:r>
      <w:r>
        <w:t>, Denton</w:t>
      </w:r>
      <w:r w:rsidR="00E847A8">
        <w:t>,</w:t>
      </w:r>
      <w:r>
        <w:t xml:space="preserve"> C</w:t>
      </w:r>
      <w:r w:rsidR="00E847A8">
        <w:t>.</w:t>
      </w:r>
      <w:r>
        <w:t>P</w:t>
      </w:r>
      <w:r w:rsidR="00E847A8">
        <w:t>.</w:t>
      </w:r>
      <w:r>
        <w:t>, Gatzoulis</w:t>
      </w:r>
      <w:r w:rsidR="00E847A8">
        <w:t>,</w:t>
      </w:r>
      <w:r>
        <w:t xml:space="preserve"> MA</w:t>
      </w:r>
      <w:r w:rsidR="00E847A8">
        <w:t>.</w:t>
      </w:r>
      <w:r>
        <w:t>,</w:t>
      </w:r>
      <w:r w:rsidR="00E847A8">
        <w:t>…,</w:t>
      </w:r>
      <w:r>
        <w:t xml:space="preserve"> Souza</w:t>
      </w:r>
      <w:r w:rsidR="00E847A8">
        <w:t>,</w:t>
      </w:r>
      <w:r>
        <w:t xml:space="preserve"> R.</w:t>
      </w:r>
      <w:r w:rsidR="00E847A8">
        <w:t xml:space="preserve"> (2019).</w:t>
      </w:r>
      <w:r>
        <w:t xml:space="preserve"> Haemodynamic definitions and updated clinical classification of pulmonary hypertension. </w:t>
      </w:r>
      <w:r w:rsidRPr="00E847A8">
        <w:rPr>
          <w:i/>
        </w:rPr>
        <w:t>European Respiratory Journal</w:t>
      </w:r>
      <w:r w:rsidR="00E847A8">
        <w:t>,</w:t>
      </w:r>
      <w:r>
        <w:t xml:space="preserve"> 53</w:t>
      </w:r>
      <w:r w:rsidR="00E847A8">
        <w:t>,</w:t>
      </w:r>
      <w:r>
        <w:t xml:space="preserve"> 1801913</w:t>
      </w:r>
      <w:r w:rsidR="00E847A8">
        <w:t xml:space="preserve">. </w:t>
      </w:r>
      <w:r w:rsidRPr="00616848">
        <w:t>DOI: 10.1183/13993003.01913-2018</w:t>
      </w:r>
    </w:p>
    <w:p w14:paraId="1647A656" w14:textId="77777777" w:rsidR="00DD4A41" w:rsidRDefault="00DD4A41" w:rsidP="00DD4A41">
      <w:pPr>
        <w:jc w:val="both"/>
      </w:pPr>
    </w:p>
    <w:p w14:paraId="63CFF11C" w14:textId="56F56F85" w:rsidR="00616848" w:rsidRDefault="00DD4A41" w:rsidP="00DD4A41">
      <w:pPr>
        <w:jc w:val="both"/>
      </w:pPr>
      <w:r>
        <w:t xml:space="preserve">Sommer, N., Ghofrani, H.A., Pak, O., Bonnet, S., Provencher, S., … , Kiely, D.G. (2020). Current and future treatments of pulmonary arterial hypertension. </w:t>
      </w:r>
      <w:r w:rsidRPr="00DD4A41">
        <w:rPr>
          <w:i/>
        </w:rPr>
        <w:t>British Journal Pharmacology</w:t>
      </w:r>
      <w:r>
        <w:t>, Feb 7. doi: 10.1111/bph.15016.</w:t>
      </w:r>
    </w:p>
    <w:p w14:paraId="3E091F06" w14:textId="77777777" w:rsidR="00A950A3" w:rsidRDefault="00A950A3" w:rsidP="00A950A3">
      <w:pPr>
        <w:jc w:val="both"/>
      </w:pPr>
    </w:p>
    <w:p w14:paraId="171E44F9" w14:textId="0F9B08E7" w:rsidR="00A950A3" w:rsidRDefault="00A950A3" w:rsidP="00A950A3">
      <w:pPr>
        <w:jc w:val="both"/>
      </w:pPr>
      <w:r>
        <w:t xml:space="preserve">Tello, K., Seeger, W., Naeije, R., Vanderpool, R., Ghofrani, H.A., … , Bogaard, H.M. (2019). Right heart failure in pulmonary hypertension: Diagnosis and new perspectives on vascular and direct right ventricular treatment. </w:t>
      </w:r>
      <w:r w:rsidRPr="00DD4A41">
        <w:rPr>
          <w:i/>
        </w:rPr>
        <w:t>British Journal Pharmacology</w:t>
      </w:r>
      <w:r>
        <w:t>, Sep 13. doi: 10.1111/bph.14866.</w:t>
      </w:r>
    </w:p>
    <w:p w14:paraId="4B8E8E36" w14:textId="7AD34C2D" w:rsidR="00DD4A41" w:rsidRDefault="00DD4A41" w:rsidP="00A950A3">
      <w:pPr>
        <w:jc w:val="both"/>
      </w:pPr>
    </w:p>
    <w:p w14:paraId="20F07656" w14:textId="034634B5" w:rsidR="00DD4A41" w:rsidRDefault="00DD4A41" w:rsidP="00DD4A41">
      <w:pPr>
        <w:jc w:val="both"/>
      </w:pPr>
      <w:r>
        <w:t xml:space="preserve">Weiss, A. , Boehm, M., Egemnazarov, B., Grimminger, F., Pullamsetti, S.S., … , Schermuly, R.T. (2019) Kinases as potential targets for treatment of pulmonary hypertension and right ventricular dysfunction. </w:t>
      </w:r>
      <w:r w:rsidRPr="00DD4A41">
        <w:rPr>
          <w:i/>
        </w:rPr>
        <w:t>British Journal Pharmacology</w:t>
      </w:r>
      <w:r>
        <w:rPr>
          <w:i/>
        </w:rPr>
        <w:t xml:space="preserve">, </w:t>
      </w:r>
      <w:r>
        <w:t xml:space="preserve">Nov 10. doi: 10.1111/bph.14919. </w:t>
      </w:r>
    </w:p>
    <w:p w14:paraId="5EAEEE82" w14:textId="1A20197B" w:rsidR="00DD4A41" w:rsidRDefault="00DD4A41" w:rsidP="00DD4A41"/>
    <w:p w14:paraId="3D1A1CC9" w14:textId="3DA274BA" w:rsidR="00DD4A41" w:rsidRDefault="00DD4A41" w:rsidP="00DD4A41">
      <w:pPr>
        <w:jc w:val="both"/>
      </w:pPr>
      <w:r>
        <w:t xml:space="preserve"> </w:t>
      </w:r>
    </w:p>
    <w:p w14:paraId="1C64E1D5" w14:textId="4280EFCE" w:rsidR="006B0DEC" w:rsidRDefault="006B0DEC" w:rsidP="00DD4A41">
      <w:pPr>
        <w:jc w:val="both"/>
      </w:pPr>
      <w:r>
        <w:t>Addresses:</w:t>
      </w:r>
    </w:p>
    <w:p w14:paraId="5C29A762" w14:textId="77777777" w:rsidR="006B0DEC" w:rsidRDefault="006B0DEC" w:rsidP="006B0DEC">
      <w:pPr>
        <w:jc w:val="both"/>
      </w:pPr>
    </w:p>
    <w:p w14:paraId="450733EB" w14:textId="77777777" w:rsidR="006B0DEC" w:rsidRDefault="006B0DEC" w:rsidP="006B0DEC">
      <w:pPr>
        <w:jc w:val="both"/>
      </w:pPr>
      <w:r>
        <w:t>Prof. Dr. med. Dr. h.c.(Budapest) Rainer Schulz</w:t>
      </w:r>
    </w:p>
    <w:p w14:paraId="405F85A1" w14:textId="77777777" w:rsidR="006B0DEC" w:rsidRDefault="006B0DEC" w:rsidP="006B0DEC">
      <w:pPr>
        <w:jc w:val="both"/>
      </w:pPr>
      <w:r>
        <w:t>Geschäftsführender Direktor</w:t>
      </w:r>
    </w:p>
    <w:p w14:paraId="2B96415D" w14:textId="77777777" w:rsidR="006B0DEC" w:rsidRDefault="006B0DEC" w:rsidP="006B0DEC">
      <w:pPr>
        <w:jc w:val="both"/>
      </w:pPr>
      <w:r>
        <w:t>Physiologisches Institut</w:t>
      </w:r>
    </w:p>
    <w:p w14:paraId="3E565863" w14:textId="77777777" w:rsidR="006B0DEC" w:rsidRDefault="006B0DEC" w:rsidP="006B0DEC">
      <w:pPr>
        <w:jc w:val="both"/>
      </w:pPr>
      <w:r>
        <w:t>Justus-Liebig Universität</w:t>
      </w:r>
    </w:p>
    <w:p w14:paraId="1189B25F" w14:textId="77777777" w:rsidR="006B0DEC" w:rsidRDefault="006B0DEC" w:rsidP="006B0DEC">
      <w:pPr>
        <w:jc w:val="both"/>
      </w:pPr>
      <w:r>
        <w:t>Aulweg 129</w:t>
      </w:r>
    </w:p>
    <w:p w14:paraId="6A8CA945" w14:textId="77777777" w:rsidR="006B0DEC" w:rsidRDefault="006B0DEC" w:rsidP="006B0DEC">
      <w:pPr>
        <w:jc w:val="both"/>
      </w:pPr>
      <w:r>
        <w:t>35392 Gießen</w:t>
      </w:r>
    </w:p>
    <w:p w14:paraId="3146B633" w14:textId="798A7D6A" w:rsidR="006B0DEC" w:rsidRDefault="006B0DEC" w:rsidP="006B0DEC">
      <w:pPr>
        <w:jc w:val="both"/>
      </w:pPr>
      <w:r>
        <w:t>Germany</w:t>
      </w:r>
    </w:p>
    <w:p w14:paraId="00C89F38" w14:textId="56895DF8" w:rsidR="006B0DEC" w:rsidRDefault="006B0DEC" w:rsidP="006B0DEC">
      <w:pPr>
        <w:jc w:val="both"/>
      </w:pPr>
      <w:r>
        <w:t>Tel</w:t>
      </w:r>
      <w:r>
        <w:tab/>
        <w:t>+49 641 99-47240</w:t>
      </w:r>
    </w:p>
    <w:p w14:paraId="6D5E7086" w14:textId="1883F2F7" w:rsidR="006B0DEC" w:rsidRDefault="006B0DEC" w:rsidP="006B0DEC">
      <w:pPr>
        <w:jc w:val="both"/>
      </w:pPr>
      <w:r>
        <w:t>Fax</w:t>
      </w:r>
      <w:r>
        <w:tab/>
        <w:t>+49 641 99-47239</w:t>
      </w:r>
    </w:p>
    <w:p w14:paraId="6C1FA2CE" w14:textId="5B0FACA4" w:rsidR="006B0DEC" w:rsidRDefault="006B0DEC" w:rsidP="006B0DEC">
      <w:pPr>
        <w:jc w:val="both"/>
      </w:pPr>
      <w:r>
        <w:t>rainer.schulz@physiologie.med.uni-giessen.de</w:t>
      </w:r>
    </w:p>
    <w:sectPr w:rsidR="006B0DEC" w:rsidSect="0061245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A4"/>
    <w:rsid w:val="0003308A"/>
    <w:rsid w:val="00043EB2"/>
    <w:rsid w:val="000704EB"/>
    <w:rsid w:val="000D3570"/>
    <w:rsid w:val="001850FF"/>
    <w:rsid w:val="001C746C"/>
    <w:rsid w:val="001D0AE5"/>
    <w:rsid w:val="00206D5A"/>
    <w:rsid w:val="002A00A4"/>
    <w:rsid w:val="00393EAF"/>
    <w:rsid w:val="003A6CFE"/>
    <w:rsid w:val="003B7E98"/>
    <w:rsid w:val="004001AA"/>
    <w:rsid w:val="00404BF1"/>
    <w:rsid w:val="00461C76"/>
    <w:rsid w:val="004C114F"/>
    <w:rsid w:val="004F7176"/>
    <w:rsid w:val="005758D3"/>
    <w:rsid w:val="0061245E"/>
    <w:rsid w:val="00616848"/>
    <w:rsid w:val="006423A1"/>
    <w:rsid w:val="00667FB7"/>
    <w:rsid w:val="00674984"/>
    <w:rsid w:val="00677092"/>
    <w:rsid w:val="006B0DEC"/>
    <w:rsid w:val="006F67F1"/>
    <w:rsid w:val="007406EE"/>
    <w:rsid w:val="00741300"/>
    <w:rsid w:val="0074555A"/>
    <w:rsid w:val="00746A38"/>
    <w:rsid w:val="00880288"/>
    <w:rsid w:val="008F4442"/>
    <w:rsid w:val="00945141"/>
    <w:rsid w:val="009469F9"/>
    <w:rsid w:val="00965F26"/>
    <w:rsid w:val="009764E0"/>
    <w:rsid w:val="00990047"/>
    <w:rsid w:val="00A03304"/>
    <w:rsid w:val="00A950A3"/>
    <w:rsid w:val="00AC01DF"/>
    <w:rsid w:val="00BB2A34"/>
    <w:rsid w:val="00C21BA4"/>
    <w:rsid w:val="00C33B84"/>
    <w:rsid w:val="00C57B35"/>
    <w:rsid w:val="00D06121"/>
    <w:rsid w:val="00D635B2"/>
    <w:rsid w:val="00DD4A41"/>
    <w:rsid w:val="00DF58F6"/>
    <w:rsid w:val="00E30154"/>
    <w:rsid w:val="00E352DE"/>
    <w:rsid w:val="00E847A8"/>
    <w:rsid w:val="00ED4A2E"/>
    <w:rsid w:val="00EF759B"/>
    <w:rsid w:val="00F6030F"/>
    <w:rsid w:val="00F763DE"/>
    <w:rsid w:val="00FA148A"/>
    <w:rsid w:val="00FC1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E275"/>
  <w15:chartTrackingRefBased/>
  <w15:docId w15:val="{F93433C9-A515-704E-8008-C0A5021D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A2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4A2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79FE5EEB3AC4E8CCB10C069D1BA7A" ma:contentTypeVersion="6" ma:contentTypeDescription="Create a new document." ma:contentTypeScope="" ma:versionID="1f5ebd3ef293f61b4f601247194e9313">
  <xsd:schema xmlns:xsd="http://www.w3.org/2001/XMLSchema" xmlns:xs="http://www.w3.org/2001/XMLSchema" xmlns:p="http://schemas.microsoft.com/office/2006/metadata/properties" xmlns:ns2="47e60004-8a84-4d2b-b8fb-4dd0d260e058" xmlns:ns3="a65d456f-535e-4610-bda8-42dd275e81f8" targetNamespace="http://schemas.microsoft.com/office/2006/metadata/properties" ma:root="true" ma:fieldsID="b12825514ee54afbf7e8303f1d8eeb7f" ns2:_="" ns3:_="">
    <xsd:import namespace="47e60004-8a84-4d2b-b8fb-4dd0d260e058"/>
    <xsd:import namespace="a65d456f-535e-4610-bda8-42dd275e8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60004-8a84-4d2b-b8fb-4dd0d260e0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5d456f-535e-4610-bda8-42dd275e81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D833E2-9E6D-4EC1-B6F4-8FD6AAAA5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60004-8a84-4d2b-b8fb-4dd0d260e058"/>
    <ds:schemaRef ds:uri="a65d456f-535e-4610-bda8-42dd275e81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70857-CA82-4F15-9DD9-E7F3C8D01228}">
  <ds:schemaRefs>
    <ds:schemaRef ds:uri="http://schemas.microsoft.com/sharepoint/v3/contenttype/forms"/>
  </ds:schemaRefs>
</ds:datastoreItem>
</file>

<file path=customXml/itemProps3.xml><?xml version="1.0" encoding="utf-8"?>
<ds:datastoreItem xmlns:ds="http://schemas.openxmlformats.org/officeDocument/2006/customXml" ds:itemID="{30777E9A-C3DE-4566-8622-F14E801175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1921</Words>
  <Characters>10953</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 Martin R</dc:creator>
  <cp:keywords/>
  <dc:description/>
  <cp:lastModifiedBy>Wilkins, Martin R</cp:lastModifiedBy>
  <cp:revision>2</cp:revision>
  <dcterms:created xsi:type="dcterms:W3CDTF">2022-02-08T08:31:00Z</dcterms:created>
  <dcterms:modified xsi:type="dcterms:W3CDTF">2022-02-08T08:31:00Z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0x010100FD079FE5EEB3AC4E8CCB10C069D1BA7A</vt:lpwstr>
  </property>
</Properties>
</file>