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4A2CD" w14:textId="77777777" w:rsidR="008F700E" w:rsidRDefault="004E5E47" w:rsidP="004E5E47">
      <w:pPr>
        <w:pStyle w:val="Text"/>
        <w:rPr>
          <w:b/>
          <w:bCs/>
        </w:rPr>
      </w:pPr>
      <w:bookmarkStart w:id="0" w:name="_GoBack"/>
      <w:bookmarkEnd w:id="0"/>
      <w:r w:rsidRPr="0004071B">
        <w:rPr>
          <w:b/>
          <w:bCs/>
        </w:rPr>
        <w:t>Title:</w:t>
      </w:r>
      <w:r w:rsidR="0021479B" w:rsidRPr="0004071B">
        <w:rPr>
          <w:b/>
          <w:bCs/>
        </w:rPr>
        <w:t xml:space="preserve"> </w:t>
      </w:r>
    </w:p>
    <w:p w14:paraId="50ED4A69" w14:textId="18B391FF" w:rsidR="004E5E47" w:rsidRPr="0004071B" w:rsidRDefault="00992FAC" w:rsidP="004E5E47">
      <w:pPr>
        <w:pStyle w:val="Text"/>
        <w:rPr>
          <w:b/>
          <w:bCs/>
        </w:rPr>
      </w:pPr>
      <w:r>
        <w:rPr>
          <w:bCs/>
        </w:rPr>
        <w:t>Association</w:t>
      </w:r>
      <w:r w:rsidR="00C21C0F" w:rsidRPr="0004071B">
        <w:rPr>
          <w:bCs/>
        </w:rPr>
        <w:t xml:space="preserve"> of </w:t>
      </w:r>
      <w:r w:rsidR="007466EA">
        <w:rPr>
          <w:bCs/>
        </w:rPr>
        <w:t>a</w:t>
      </w:r>
      <w:r w:rsidR="004F6E0E">
        <w:rPr>
          <w:bCs/>
        </w:rPr>
        <w:t xml:space="preserve"> Combined Measure of </w:t>
      </w:r>
      <w:r w:rsidR="00C21C0F" w:rsidRPr="0004071B">
        <w:rPr>
          <w:bCs/>
        </w:rPr>
        <w:t xml:space="preserve">Adherence and Treatment Intensity </w:t>
      </w:r>
      <w:r w:rsidR="006F6370">
        <w:rPr>
          <w:bCs/>
        </w:rPr>
        <w:t>with</w:t>
      </w:r>
      <w:r w:rsidR="00C21C0F" w:rsidRPr="0004071B">
        <w:rPr>
          <w:bCs/>
        </w:rPr>
        <w:t xml:space="preserve"> Cardiovascular Outcomes in Patients with Atherosclerosis or Other Cardiovascular Risk Factors Treate</w:t>
      </w:r>
      <w:r w:rsidR="00780D9E">
        <w:rPr>
          <w:bCs/>
        </w:rPr>
        <w:t>d with Statins and/or Ezetimibe</w:t>
      </w:r>
    </w:p>
    <w:p w14:paraId="3A4C7D61" w14:textId="77777777" w:rsidR="00F229CF" w:rsidRPr="0004071B" w:rsidRDefault="004E5E47" w:rsidP="004E5E47">
      <w:pPr>
        <w:pStyle w:val="Text"/>
        <w:rPr>
          <w:b/>
          <w:bCs/>
        </w:rPr>
      </w:pPr>
      <w:r w:rsidRPr="0004071B">
        <w:rPr>
          <w:b/>
          <w:bCs/>
        </w:rPr>
        <w:t>Authors:</w:t>
      </w:r>
      <w:r w:rsidR="00A21521" w:rsidRPr="0004071B">
        <w:rPr>
          <w:b/>
          <w:bCs/>
        </w:rPr>
        <w:t xml:space="preserve"> </w:t>
      </w:r>
    </w:p>
    <w:p w14:paraId="5C55D1FE" w14:textId="0DBB0CD7" w:rsidR="000431D3" w:rsidRDefault="009E51FC" w:rsidP="002A494D">
      <w:pPr>
        <w:pStyle w:val="Text"/>
      </w:pPr>
      <w:r>
        <w:t xml:space="preserve">Kamlesh </w:t>
      </w:r>
      <w:proofErr w:type="spellStart"/>
      <w:r>
        <w:t>Khunti</w:t>
      </w:r>
      <w:proofErr w:type="spellEnd"/>
      <w:r w:rsidRPr="00283CE2">
        <w:t xml:space="preserve">, MD, </w:t>
      </w:r>
      <w:proofErr w:type="spellStart"/>
      <w:r w:rsidR="007F3B20">
        <w:t>FMedSci</w:t>
      </w:r>
      <w:proofErr w:type="spellEnd"/>
      <w:r w:rsidRPr="00283CE2">
        <w:t xml:space="preserve"> </w:t>
      </w:r>
      <w:r w:rsidR="000431D3">
        <w:rPr>
          <w:bCs/>
        </w:rPr>
        <w:t>(1)</w:t>
      </w:r>
      <w:r w:rsidR="00550D10">
        <w:rPr>
          <w:bCs/>
        </w:rPr>
        <w:t>;</w:t>
      </w:r>
      <w:r w:rsidR="00DF6ABF" w:rsidRPr="00295783">
        <w:rPr>
          <w:bCs/>
        </w:rPr>
        <w:t xml:space="preserve"> </w:t>
      </w:r>
      <w:r w:rsidR="003F2E0F">
        <w:t xml:space="preserve">Mark D. Danese, MHS, PhD </w:t>
      </w:r>
      <w:r w:rsidR="000431D3">
        <w:rPr>
          <w:bCs/>
        </w:rPr>
        <w:t>(2)</w:t>
      </w:r>
      <w:r w:rsidR="00550D10">
        <w:rPr>
          <w:bCs/>
        </w:rPr>
        <w:t>;</w:t>
      </w:r>
      <w:r w:rsidR="00DF6ABF" w:rsidRPr="00295783">
        <w:rPr>
          <w:bCs/>
        </w:rPr>
        <w:t xml:space="preserve"> Lucie </w:t>
      </w:r>
      <w:proofErr w:type="spellStart"/>
      <w:r w:rsidR="00DF6ABF" w:rsidRPr="00295783">
        <w:rPr>
          <w:bCs/>
        </w:rPr>
        <w:t>Kutikova</w:t>
      </w:r>
      <w:proofErr w:type="spellEnd"/>
      <w:r w:rsidR="003F2E0F">
        <w:rPr>
          <w:bCs/>
        </w:rPr>
        <w:t>, PhD</w:t>
      </w:r>
      <w:r w:rsidR="000431D3">
        <w:rPr>
          <w:bCs/>
        </w:rPr>
        <w:t xml:space="preserve"> (3)</w:t>
      </w:r>
      <w:r w:rsidR="00550D10">
        <w:rPr>
          <w:bCs/>
        </w:rPr>
        <w:t>;</w:t>
      </w:r>
      <w:r w:rsidR="00DF6ABF" w:rsidRPr="00295783">
        <w:rPr>
          <w:bCs/>
        </w:rPr>
        <w:t xml:space="preserve"> David Catterick</w:t>
      </w:r>
      <w:r w:rsidR="003F2E0F">
        <w:rPr>
          <w:bCs/>
        </w:rPr>
        <w:t xml:space="preserve">, </w:t>
      </w:r>
      <w:r w:rsidR="003F2E0F">
        <w:rPr>
          <w:noProof/>
        </w:rPr>
        <w:t>MSc, PhD</w:t>
      </w:r>
      <w:r w:rsidR="003F2E0F">
        <w:rPr>
          <w:bCs/>
        </w:rPr>
        <w:t xml:space="preserve"> </w:t>
      </w:r>
      <w:r w:rsidR="000431D3">
        <w:rPr>
          <w:bCs/>
        </w:rPr>
        <w:t>(4)</w:t>
      </w:r>
      <w:r w:rsidR="00550D10">
        <w:rPr>
          <w:bCs/>
        </w:rPr>
        <w:t>;</w:t>
      </w:r>
      <w:r w:rsidR="00DF6ABF" w:rsidRPr="00295783">
        <w:rPr>
          <w:bCs/>
        </w:rPr>
        <w:t xml:space="preserve"> Francisco </w:t>
      </w:r>
      <w:proofErr w:type="spellStart"/>
      <w:r w:rsidR="00DF6ABF" w:rsidRPr="00295783">
        <w:rPr>
          <w:bCs/>
        </w:rPr>
        <w:t>Sorio</w:t>
      </w:r>
      <w:proofErr w:type="spellEnd"/>
      <w:r w:rsidR="00DF6ABF" w:rsidRPr="00295783">
        <w:rPr>
          <w:bCs/>
        </w:rPr>
        <w:t xml:space="preserve"> </w:t>
      </w:r>
      <w:proofErr w:type="spellStart"/>
      <w:r w:rsidR="00DF6ABF" w:rsidRPr="00295783">
        <w:rPr>
          <w:bCs/>
        </w:rPr>
        <w:t>Vilela</w:t>
      </w:r>
      <w:proofErr w:type="spellEnd"/>
      <w:r w:rsidR="00550D10">
        <w:rPr>
          <w:bCs/>
        </w:rPr>
        <w:t xml:space="preserve"> </w:t>
      </w:r>
      <w:r w:rsidR="000431D3">
        <w:rPr>
          <w:bCs/>
        </w:rPr>
        <w:t>(3)</w:t>
      </w:r>
      <w:r w:rsidR="00550D10">
        <w:rPr>
          <w:bCs/>
        </w:rPr>
        <w:t>;</w:t>
      </w:r>
      <w:r w:rsidR="00DF6ABF" w:rsidRPr="00295783">
        <w:rPr>
          <w:bCs/>
        </w:rPr>
        <w:t xml:space="preserve"> </w:t>
      </w:r>
      <w:r>
        <w:t xml:space="preserve">Michelle Gleeson, PhD </w:t>
      </w:r>
      <w:r w:rsidR="000431D3">
        <w:rPr>
          <w:bCs/>
        </w:rPr>
        <w:t>(3)</w:t>
      </w:r>
      <w:r w:rsidR="00550D10">
        <w:rPr>
          <w:bCs/>
        </w:rPr>
        <w:t>;</w:t>
      </w:r>
      <w:r w:rsidR="00DF6ABF" w:rsidRPr="00295783">
        <w:rPr>
          <w:bCs/>
        </w:rPr>
        <w:t xml:space="preserve"> </w:t>
      </w:r>
      <w:proofErr w:type="spellStart"/>
      <w:r w:rsidRPr="007B7EA0">
        <w:t>Sreenivasa</w:t>
      </w:r>
      <w:proofErr w:type="spellEnd"/>
      <w:r w:rsidRPr="007B7EA0">
        <w:t xml:space="preserve"> Rao </w:t>
      </w:r>
      <w:proofErr w:type="spellStart"/>
      <w:r w:rsidRPr="00283CE2">
        <w:t>Kondapally</w:t>
      </w:r>
      <w:proofErr w:type="spellEnd"/>
      <w:r w:rsidRPr="00283CE2">
        <w:t xml:space="preserve"> </w:t>
      </w:r>
      <w:proofErr w:type="spellStart"/>
      <w:r w:rsidRPr="00283CE2">
        <w:t>Seshasai</w:t>
      </w:r>
      <w:proofErr w:type="spellEnd"/>
      <w:r w:rsidRPr="00283CE2">
        <w:t xml:space="preserve">, MBBS, MD, MRCP, MPhil, PhD </w:t>
      </w:r>
      <w:r w:rsidR="000431D3">
        <w:rPr>
          <w:bCs/>
        </w:rPr>
        <w:t>(5)</w:t>
      </w:r>
      <w:r w:rsidR="00550D10">
        <w:rPr>
          <w:bCs/>
        </w:rPr>
        <w:t>;</w:t>
      </w:r>
      <w:r w:rsidR="00DF6ABF" w:rsidRPr="00295783">
        <w:rPr>
          <w:bCs/>
        </w:rPr>
        <w:t xml:space="preserve"> Jack Brownrigg</w:t>
      </w:r>
      <w:r w:rsidR="003F2E0F">
        <w:rPr>
          <w:bCs/>
        </w:rPr>
        <w:t xml:space="preserve">, </w:t>
      </w:r>
      <w:r w:rsidR="003F2E0F">
        <w:t>MBChB, BSc, MRCS, PhD</w:t>
      </w:r>
      <w:r w:rsidR="000431D3">
        <w:rPr>
          <w:bCs/>
        </w:rPr>
        <w:t xml:space="preserve"> (6)</w:t>
      </w:r>
      <w:r w:rsidR="003F2E0F">
        <w:rPr>
          <w:bCs/>
        </w:rPr>
        <w:t>;</w:t>
      </w:r>
      <w:r w:rsidR="00DF6ABF" w:rsidRPr="00295783">
        <w:rPr>
          <w:bCs/>
        </w:rPr>
        <w:t xml:space="preserve"> </w:t>
      </w:r>
      <w:r>
        <w:t xml:space="preserve">Kausik K. Ray, MD, FAHA </w:t>
      </w:r>
      <w:r w:rsidR="000431D3">
        <w:rPr>
          <w:bCs/>
        </w:rPr>
        <w:t>(7)</w:t>
      </w:r>
      <w:r w:rsidR="00DF6ABF" w:rsidRPr="00DF6ABF" w:rsidDel="00DF6ABF">
        <w:t xml:space="preserve"> </w:t>
      </w:r>
    </w:p>
    <w:p w14:paraId="054595DD" w14:textId="0B3438BF" w:rsidR="00F229CF" w:rsidRPr="00295783" w:rsidRDefault="004E5E47" w:rsidP="002A494D">
      <w:pPr>
        <w:pStyle w:val="Text"/>
        <w:rPr>
          <w:bCs/>
        </w:rPr>
      </w:pPr>
      <w:r w:rsidRPr="00DF6ABF">
        <w:rPr>
          <w:b/>
          <w:bCs/>
        </w:rPr>
        <w:t>Affiliations</w:t>
      </w:r>
      <w:r w:rsidRPr="00295783">
        <w:rPr>
          <w:bCs/>
        </w:rPr>
        <w:t>:</w:t>
      </w:r>
      <w:r w:rsidR="002A494D" w:rsidRPr="00295783">
        <w:rPr>
          <w:bCs/>
        </w:rPr>
        <w:t xml:space="preserve"> </w:t>
      </w:r>
    </w:p>
    <w:p w14:paraId="5993021F" w14:textId="4B3B40C2" w:rsidR="002A494D" w:rsidRPr="0004071B" w:rsidRDefault="003F2E0F" w:rsidP="002A494D">
      <w:pPr>
        <w:pStyle w:val="Text"/>
      </w:pPr>
      <w:r>
        <w:t xml:space="preserve">(1) </w:t>
      </w:r>
      <w:r w:rsidRPr="00836B6D">
        <w:t xml:space="preserve">Diabetes Research Centre, University of Leicester, Leicester, UK; </w:t>
      </w:r>
      <w:r>
        <w:t xml:space="preserve">(2) </w:t>
      </w:r>
      <w:r w:rsidRPr="00836B6D">
        <w:t xml:space="preserve">Outcomes Insights, Inc., </w:t>
      </w:r>
      <w:r>
        <w:t xml:space="preserve">Outcomes Research, </w:t>
      </w:r>
      <w:r w:rsidRPr="00836B6D">
        <w:t>Westlake Village, CA;</w:t>
      </w:r>
      <w:r>
        <w:t xml:space="preserve"> (3) </w:t>
      </w:r>
      <w:r w:rsidRPr="00836B6D">
        <w:t xml:space="preserve">Amgen (Europe) GmbH, </w:t>
      </w:r>
      <w:r>
        <w:t xml:space="preserve">Health Economics, </w:t>
      </w:r>
      <w:r w:rsidRPr="00836B6D">
        <w:t>Zug, Switzerland;</w:t>
      </w:r>
      <w:r>
        <w:t xml:space="preserve"> (4) </w:t>
      </w:r>
      <w:r w:rsidRPr="002E0C98">
        <w:t xml:space="preserve">Amgen </w:t>
      </w:r>
      <w:r w:rsidR="002E0C98">
        <w:t>Limited, Uxbridge, UK</w:t>
      </w:r>
      <w:r>
        <w:t xml:space="preserve">; (5) </w:t>
      </w:r>
      <w:r w:rsidRPr="00836B6D">
        <w:t>St George</w:t>
      </w:r>
      <w:r>
        <w:t>’</w:t>
      </w:r>
      <w:r w:rsidRPr="00836B6D">
        <w:t>s</w:t>
      </w:r>
      <w:r>
        <w:t xml:space="preserve">, </w:t>
      </w:r>
      <w:r w:rsidRPr="00836B6D">
        <w:t>University of London, London, UK</w:t>
      </w:r>
      <w:r w:rsidRPr="00283CE2">
        <w:t>;</w:t>
      </w:r>
      <w:r>
        <w:t xml:space="preserve"> (6) </w:t>
      </w:r>
      <w:r w:rsidR="00841D56">
        <w:t>St George’s Vascular Institute, London, UK</w:t>
      </w:r>
      <w:r>
        <w:t xml:space="preserve">; (7) </w:t>
      </w:r>
      <w:r w:rsidR="00085B6F">
        <w:t xml:space="preserve">Imperial Centre for Cardiovascular Disease Prevention, </w:t>
      </w:r>
      <w:r w:rsidRPr="00283CE2">
        <w:t xml:space="preserve">School of Public Health, </w:t>
      </w:r>
      <w:r>
        <w:t xml:space="preserve"> </w:t>
      </w:r>
      <w:r w:rsidRPr="00283CE2">
        <w:t>Imperial College London, London, UK</w:t>
      </w:r>
    </w:p>
    <w:p w14:paraId="77C539FF" w14:textId="77777777" w:rsidR="00F229CF" w:rsidRPr="0004071B" w:rsidRDefault="004E5E47" w:rsidP="004E5E47">
      <w:pPr>
        <w:pStyle w:val="Text"/>
        <w:rPr>
          <w:b/>
          <w:bCs/>
        </w:rPr>
      </w:pPr>
      <w:r w:rsidRPr="0004071B">
        <w:rPr>
          <w:b/>
          <w:bCs/>
        </w:rPr>
        <w:t>Key words:</w:t>
      </w:r>
      <w:r w:rsidR="00A21521" w:rsidRPr="0004071B">
        <w:rPr>
          <w:b/>
          <w:bCs/>
        </w:rPr>
        <w:t xml:space="preserve"> </w:t>
      </w:r>
    </w:p>
    <w:p w14:paraId="644EEA90" w14:textId="19A1031E" w:rsidR="004E5E47" w:rsidRPr="0004071B" w:rsidRDefault="005E2A86" w:rsidP="004E5E47">
      <w:pPr>
        <w:pStyle w:val="Text"/>
      </w:pPr>
      <w:r>
        <w:t>Adherence, compliance, intensity, cardiovascular disease, hypercholesterolemia, lipid lowering</w:t>
      </w:r>
    </w:p>
    <w:p w14:paraId="0EA84F23" w14:textId="77777777" w:rsidR="00F229CF" w:rsidRPr="0004071B" w:rsidRDefault="00A21521" w:rsidP="00A21521">
      <w:pPr>
        <w:pStyle w:val="Text"/>
        <w:rPr>
          <w:b/>
          <w:bCs/>
        </w:rPr>
      </w:pPr>
      <w:r w:rsidRPr="0004071B">
        <w:rPr>
          <w:b/>
          <w:bCs/>
        </w:rPr>
        <w:t>Contact information:</w:t>
      </w:r>
      <w:r w:rsidR="004F40F4" w:rsidRPr="0004071B">
        <w:rPr>
          <w:b/>
          <w:bCs/>
        </w:rPr>
        <w:t xml:space="preserve"> </w:t>
      </w:r>
    </w:p>
    <w:p w14:paraId="69F0AD5B" w14:textId="77777777" w:rsidR="003E472A" w:rsidRPr="0004071B" w:rsidRDefault="00F229CF" w:rsidP="003E472A">
      <w:pPr>
        <w:pStyle w:val="Text"/>
        <w:spacing w:line="240" w:lineRule="auto"/>
      </w:pPr>
      <w:r w:rsidRPr="0004071B">
        <w:t xml:space="preserve">Mark Danese, </w:t>
      </w:r>
      <w:r w:rsidR="00086012" w:rsidRPr="0004071B">
        <w:t xml:space="preserve">MHS, </w:t>
      </w:r>
      <w:r w:rsidRPr="0004071B">
        <w:t>PhD</w:t>
      </w:r>
    </w:p>
    <w:p w14:paraId="51376C60" w14:textId="77777777" w:rsidR="003E472A" w:rsidRPr="0004071B" w:rsidRDefault="00544B10" w:rsidP="003E472A">
      <w:pPr>
        <w:pStyle w:val="Text"/>
        <w:spacing w:line="240" w:lineRule="auto"/>
      </w:pPr>
      <w:r w:rsidRPr="0004071B">
        <w:t>2801 Townsgate Road, Suite 330</w:t>
      </w:r>
    </w:p>
    <w:p w14:paraId="5645836D" w14:textId="77777777" w:rsidR="003E472A" w:rsidRPr="0004071B" w:rsidRDefault="00544B10" w:rsidP="003E472A">
      <w:pPr>
        <w:pStyle w:val="Text"/>
        <w:spacing w:line="240" w:lineRule="auto"/>
      </w:pPr>
      <w:r w:rsidRPr="0004071B">
        <w:t>Westlake Village, CA 91361</w:t>
      </w:r>
    </w:p>
    <w:p w14:paraId="0AABA721" w14:textId="24B30CA3" w:rsidR="003C7A88" w:rsidRDefault="003C7A88" w:rsidP="003E472A">
      <w:pPr>
        <w:pStyle w:val="Text"/>
        <w:spacing w:line="240" w:lineRule="auto"/>
      </w:pPr>
      <w:r>
        <w:t>1-</w:t>
      </w:r>
      <w:r w:rsidR="00F229CF" w:rsidRPr="0004071B">
        <w:t xml:space="preserve">805-498-0034 (office)   </w:t>
      </w:r>
    </w:p>
    <w:p w14:paraId="43CFE3A9" w14:textId="40CF3128" w:rsidR="00F229CF" w:rsidRPr="0004071B" w:rsidRDefault="003C7A88" w:rsidP="003E472A">
      <w:pPr>
        <w:pStyle w:val="Text"/>
        <w:spacing w:line="240" w:lineRule="auto"/>
      </w:pPr>
      <w:r>
        <w:t>1-</w:t>
      </w:r>
      <w:r w:rsidR="00F229CF" w:rsidRPr="0004071B">
        <w:t>805-715-8106 (fax)</w:t>
      </w:r>
    </w:p>
    <w:p w14:paraId="195D95ED" w14:textId="77777777" w:rsidR="00F229CF" w:rsidRPr="0004071B" w:rsidRDefault="00F229CF" w:rsidP="00F229CF">
      <w:pPr>
        <w:pStyle w:val="Text"/>
        <w:rPr>
          <w:b/>
          <w:bCs/>
        </w:rPr>
      </w:pPr>
      <w:r w:rsidRPr="0004071B">
        <w:rPr>
          <w:b/>
          <w:bCs/>
        </w:rPr>
        <w:t>Word Count:</w:t>
      </w:r>
    </w:p>
    <w:p w14:paraId="364D5C2C" w14:textId="394FD1BF" w:rsidR="00F229CF" w:rsidRDefault="002F4A9B" w:rsidP="00F229CF">
      <w:pPr>
        <w:pStyle w:val="Text"/>
        <w:rPr>
          <w:bCs/>
        </w:rPr>
      </w:pPr>
      <w:r>
        <w:rPr>
          <w:bCs/>
        </w:rPr>
        <w:t>3,</w:t>
      </w:r>
      <w:r w:rsidR="00232C2F">
        <w:rPr>
          <w:bCs/>
        </w:rPr>
        <w:t>483</w:t>
      </w:r>
      <w:r w:rsidR="0055143D" w:rsidRPr="0004071B">
        <w:rPr>
          <w:bCs/>
        </w:rPr>
        <w:t xml:space="preserve"> </w:t>
      </w:r>
      <w:r w:rsidR="00F229CF" w:rsidRPr="0004071B">
        <w:rPr>
          <w:bCs/>
        </w:rPr>
        <w:t>(excluding abstract, tables, and references)</w:t>
      </w:r>
    </w:p>
    <w:p w14:paraId="6CAC67EF" w14:textId="7D7E3401" w:rsidR="0064790D" w:rsidRPr="0004071B" w:rsidRDefault="0064790D" w:rsidP="00F229CF">
      <w:pPr>
        <w:pStyle w:val="Text"/>
        <w:rPr>
          <w:bCs/>
        </w:rPr>
      </w:pPr>
      <w:r>
        <w:rPr>
          <w:bCs/>
        </w:rPr>
        <w:t xml:space="preserve">Revision date:  </w:t>
      </w:r>
      <w:r w:rsidR="00431C99">
        <w:rPr>
          <w:bCs/>
        </w:rPr>
        <w:t>October 1</w:t>
      </w:r>
      <w:r w:rsidR="00232C2F">
        <w:rPr>
          <w:bCs/>
        </w:rPr>
        <w:t>5</w:t>
      </w:r>
      <w:r>
        <w:rPr>
          <w:bCs/>
        </w:rPr>
        <w:t>, 2018</w:t>
      </w:r>
    </w:p>
    <w:p w14:paraId="3FACA02C" w14:textId="579A4AB8" w:rsidR="0020112C" w:rsidRDefault="004F40F4" w:rsidP="00EE31CA">
      <w:pPr>
        <w:pStyle w:val="Text"/>
        <w:rPr>
          <w:b/>
        </w:rPr>
      </w:pPr>
      <w:r w:rsidRPr="0004071B">
        <w:t xml:space="preserve"> </w:t>
      </w:r>
      <w:r w:rsidR="0020112C">
        <w:br w:type="page"/>
      </w:r>
    </w:p>
    <w:p w14:paraId="001C219C" w14:textId="77777777" w:rsidR="0020112C" w:rsidRDefault="0020112C" w:rsidP="00E4324D">
      <w:pPr>
        <w:pStyle w:val="Heading1"/>
      </w:pPr>
      <w:r>
        <w:lastRenderedPageBreak/>
        <w:t>Key Points</w:t>
      </w:r>
    </w:p>
    <w:p w14:paraId="37114A5E" w14:textId="4E30D17F" w:rsidR="0020112C" w:rsidRPr="0020112C" w:rsidRDefault="0020112C" w:rsidP="0020112C">
      <w:pPr>
        <w:pStyle w:val="Text"/>
      </w:pPr>
      <w:r w:rsidRPr="0020112C">
        <w:rPr>
          <w:b/>
        </w:rPr>
        <w:t xml:space="preserve">Question:  </w:t>
      </w:r>
      <w:r>
        <w:t>What are the</w:t>
      </w:r>
      <w:r w:rsidRPr="0020112C">
        <w:t xml:space="preserve"> contributions of adherence and treatment intensity </w:t>
      </w:r>
      <w:r>
        <w:t>to</w:t>
      </w:r>
      <w:r w:rsidRPr="0020112C">
        <w:t xml:space="preserve"> cardiovascular outcomes in patients </w:t>
      </w:r>
      <w:r>
        <w:t>newly treated with statins and/or ezetimibe?</w:t>
      </w:r>
    </w:p>
    <w:p w14:paraId="772C1394" w14:textId="78F7E495" w:rsidR="0020112C" w:rsidRPr="0020112C" w:rsidRDefault="0020112C" w:rsidP="0020112C">
      <w:pPr>
        <w:pStyle w:val="Text"/>
      </w:pPr>
      <w:r w:rsidRPr="0020112C">
        <w:rPr>
          <w:b/>
        </w:rPr>
        <w:t>Findings:</w:t>
      </w:r>
      <w:r>
        <w:rPr>
          <w:b/>
        </w:rPr>
        <w:t xml:space="preserve">  </w:t>
      </w:r>
      <w:r w:rsidR="00AA5371">
        <w:t>T</w:t>
      </w:r>
      <w:r>
        <w:t xml:space="preserve">his observational </w:t>
      </w:r>
      <w:r w:rsidR="005770C2">
        <w:t>study of three patient cohorts (</w:t>
      </w:r>
      <w:r w:rsidRPr="002267CA">
        <w:t>documen</w:t>
      </w:r>
      <w:r w:rsidR="00343CD3">
        <w:t>ted cardiovascular disease</w:t>
      </w:r>
      <w:r w:rsidRPr="002267CA">
        <w:t xml:space="preserve">, type 2 diabetes </w:t>
      </w:r>
      <w:r w:rsidR="00085B6F">
        <w:t xml:space="preserve">primary prevention </w:t>
      </w:r>
      <w:r w:rsidRPr="002267CA">
        <w:t xml:space="preserve">without chronic kidney disease, and </w:t>
      </w:r>
      <w:r>
        <w:t xml:space="preserve">CKD </w:t>
      </w:r>
      <w:r w:rsidR="00085B6F">
        <w:t>primary prevention</w:t>
      </w:r>
      <w:r w:rsidR="005770C2">
        <w:t>)</w:t>
      </w:r>
      <w:r w:rsidR="00343CD3">
        <w:t xml:space="preserve"> showed </w:t>
      </w:r>
      <w:r w:rsidR="00095355">
        <w:t xml:space="preserve">a </w:t>
      </w:r>
      <w:r w:rsidR="005E1C46">
        <w:t xml:space="preserve">continuous </w:t>
      </w:r>
      <w:r w:rsidR="00343CD3">
        <w:t>association</w:t>
      </w:r>
      <w:r w:rsidR="005E1C46">
        <w:t xml:space="preserve"> between the combination of </w:t>
      </w:r>
      <w:r w:rsidR="00AA5371">
        <w:t>adherence</w:t>
      </w:r>
      <w:r w:rsidR="005E1C46">
        <w:t xml:space="preserve"> and</w:t>
      </w:r>
      <w:r w:rsidR="00AA5371">
        <w:t xml:space="preserve"> treatment intensity</w:t>
      </w:r>
      <w:r w:rsidR="005E1C46">
        <w:t xml:space="preserve"> with low </w:t>
      </w:r>
      <w:r w:rsidR="00095355">
        <w:t>density</w:t>
      </w:r>
      <w:r w:rsidR="005E1C46">
        <w:t xml:space="preserve"> lipoprotein cholesterol (LDL-C) reduction</w:t>
      </w:r>
      <w:r w:rsidR="00AA5371">
        <w:t xml:space="preserve"> and with </w:t>
      </w:r>
      <w:r w:rsidR="00343CD3">
        <w:t>cardiovascular outcomes</w:t>
      </w:r>
      <w:r>
        <w:t xml:space="preserve">.  </w:t>
      </w:r>
      <w:r w:rsidR="00B93690" w:rsidRPr="00B93690">
        <w:t xml:space="preserve">The largest </w:t>
      </w:r>
      <w:r w:rsidR="005E1C46">
        <w:t>reduction</w:t>
      </w:r>
      <w:r w:rsidR="00095355">
        <w:t>s</w:t>
      </w:r>
      <w:r w:rsidR="005E1C46">
        <w:t xml:space="preserve"> in LDL-C and </w:t>
      </w:r>
      <w:r w:rsidR="00095355">
        <w:t>cardiovascular risk</w:t>
      </w:r>
      <w:r w:rsidR="00B93690" w:rsidRPr="00B93690">
        <w:t xml:space="preserve"> </w:t>
      </w:r>
      <w:r w:rsidR="00095355">
        <w:t>were</w:t>
      </w:r>
      <w:r w:rsidR="00B93690" w:rsidRPr="00B93690">
        <w:t xml:space="preserve"> observed among adherent patients receiving high intensity therapy and smallest </w:t>
      </w:r>
      <w:r w:rsidR="00095355">
        <w:t>were observed</w:t>
      </w:r>
      <w:r w:rsidR="00B93690" w:rsidRPr="00B93690">
        <w:t xml:space="preserve"> among non-adherent patients receiving low intensity therapy.</w:t>
      </w:r>
    </w:p>
    <w:p w14:paraId="0D0D0702" w14:textId="3BE51DDB" w:rsidR="0020112C" w:rsidRPr="005770C2" w:rsidRDefault="0020112C" w:rsidP="0020112C">
      <w:pPr>
        <w:pStyle w:val="Text"/>
      </w:pPr>
      <w:r w:rsidRPr="0020112C">
        <w:rPr>
          <w:b/>
        </w:rPr>
        <w:t>Meaning:</w:t>
      </w:r>
      <w:r w:rsidR="005770C2">
        <w:rPr>
          <w:b/>
        </w:rPr>
        <w:t xml:space="preserve"> </w:t>
      </w:r>
      <w:r w:rsidR="005770C2" w:rsidRPr="00784B2A">
        <w:t xml:space="preserve">Strategies that improve adherence and greater utilization of intensive therapies could </w:t>
      </w:r>
      <w:r w:rsidR="005E1C46">
        <w:t xml:space="preserve">achieve greater reductions in LDL-C and </w:t>
      </w:r>
      <w:r w:rsidR="005770C2" w:rsidRPr="00784B2A">
        <w:t>substantially reduce cardiovascular risk</w:t>
      </w:r>
      <w:r w:rsidR="005770C2">
        <w:t>.</w:t>
      </w:r>
    </w:p>
    <w:p w14:paraId="3544A2D9" w14:textId="77777777" w:rsidR="00373B34" w:rsidRDefault="00373B34">
      <w:pPr>
        <w:suppressAutoHyphens w:val="0"/>
        <w:spacing w:line="240" w:lineRule="auto"/>
        <w:rPr>
          <w:b/>
        </w:rPr>
      </w:pPr>
      <w:r>
        <w:br w:type="page"/>
      </w:r>
    </w:p>
    <w:p w14:paraId="4446F18C" w14:textId="4F3D77F9" w:rsidR="00FC440F" w:rsidRDefault="00423117" w:rsidP="00E4324D">
      <w:pPr>
        <w:pStyle w:val="Heading1"/>
      </w:pPr>
      <w:r w:rsidRPr="0004071B">
        <w:lastRenderedPageBreak/>
        <w:t>Abstract (</w:t>
      </w:r>
      <w:r w:rsidR="00490FEC">
        <w:t>350</w:t>
      </w:r>
      <w:r w:rsidR="003D182E" w:rsidRPr="0004071B">
        <w:t xml:space="preserve"> </w:t>
      </w:r>
      <w:r w:rsidRPr="0004071B">
        <w:t>words)</w:t>
      </w:r>
    </w:p>
    <w:p w14:paraId="3FEA6EE0" w14:textId="25275A16" w:rsidR="00FC440F" w:rsidRPr="00FC440F" w:rsidRDefault="00FC440F" w:rsidP="000467DE">
      <w:pPr>
        <w:pStyle w:val="Text"/>
        <w:spacing w:line="360" w:lineRule="atLeast"/>
      </w:pPr>
      <w:r w:rsidRPr="000467DE">
        <w:rPr>
          <w:b/>
        </w:rPr>
        <w:t>Importance</w:t>
      </w:r>
      <w:r w:rsidRPr="00FC440F">
        <w:t xml:space="preserve">:  </w:t>
      </w:r>
      <w:r>
        <w:t>Both adherence and treatment intensity can affect the effectiveness of lipid-lowering therapy in routine clinical practice.</w:t>
      </w:r>
    </w:p>
    <w:p w14:paraId="4112F05D" w14:textId="757EB4F3" w:rsidR="00FC440F" w:rsidRPr="00FC440F" w:rsidRDefault="00FC440F" w:rsidP="000467DE">
      <w:pPr>
        <w:pStyle w:val="Text"/>
        <w:spacing w:line="360" w:lineRule="atLeast"/>
      </w:pPr>
      <w:r w:rsidRPr="000467DE">
        <w:rPr>
          <w:b/>
        </w:rPr>
        <w:t>Objective</w:t>
      </w:r>
      <w:r w:rsidRPr="00FC440F">
        <w:t>:</w:t>
      </w:r>
      <w:r>
        <w:t xml:space="preserve">  </w:t>
      </w:r>
      <w:r w:rsidR="002267CA" w:rsidRPr="002267CA">
        <w:t xml:space="preserve">To evaluate the </w:t>
      </w:r>
      <w:r w:rsidR="00270ED0">
        <w:t>associations</w:t>
      </w:r>
      <w:r w:rsidR="00270ED0" w:rsidRPr="002267CA">
        <w:t xml:space="preserve"> </w:t>
      </w:r>
      <w:r w:rsidR="002267CA" w:rsidRPr="002267CA">
        <w:t xml:space="preserve">of adherence and treatment intensity on cardiovascular outcomes in patients with documented cardiovascular disease (CVD), type 2 diabetes </w:t>
      </w:r>
      <w:r w:rsidR="00351C3B">
        <w:t xml:space="preserve">primary prevention </w:t>
      </w:r>
      <w:r w:rsidR="002267CA" w:rsidRPr="002267CA">
        <w:t xml:space="preserve">without </w:t>
      </w:r>
      <w:r w:rsidR="00861237" w:rsidRPr="002267CA">
        <w:t>chronic kidney disease</w:t>
      </w:r>
      <w:r w:rsidR="00861237">
        <w:t xml:space="preserve"> (CKD)</w:t>
      </w:r>
      <w:r w:rsidR="00285E90">
        <w:t>,</w:t>
      </w:r>
      <w:r w:rsidR="00861237">
        <w:t xml:space="preserve"> </w:t>
      </w:r>
      <w:r w:rsidR="002267CA" w:rsidRPr="002267CA">
        <w:t xml:space="preserve">and </w:t>
      </w:r>
      <w:r w:rsidR="00861237">
        <w:t xml:space="preserve">CKD </w:t>
      </w:r>
      <w:r w:rsidR="00351C3B">
        <w:t xml:space="preserve">primary prevention. </w:t>
      </w:r>
    </w:p>
    <w:p w14:paraId="2866F9C9" w14:textId="64DE4817" w:rsidR="00FC440F" w:rsidRPr="00FC440F" w:rsidRDefault="00FC440F" w:rsidP="000467DE">
      <w:pPr>
        <w:pStyle w:val="Text"/>
        <w:spacing w:line="360" w:lineRule="atLeast"/>
      </w:pPr>
      <w:r w:rsidRPr="000467DE">
        <w:rPr>
          <w:b/>
        </w:rPr>
        <w:t>Design</w:t>
      </w:r>
      <w:r w:rsidRPr="00FC440F">
        <w:t>:</w:t>
      </w:r>
      <w:r>
        <w:t xml:space="preserve"> Retrospective cohort study using the Clinical Practice Research Datalink</w:t>
      </w:r>
      <w:r w:rsidR="00656F3D">
        <w:t xml:space="preserve"> from January 2010 through </w:t>
      </w:r>
      <w:r>
        <w:t>February 2016.</w:t>
      </w:r>
      <w:r w:rsidRPr="00FC440F">
        <w:br/>
      </w:r>
      <w:r w:rsidRPr="000467DE">
        <w:rPr>
          <w:b/>
        </w:rPr>
        <w:t>Setting</w:t>
      </w:r>
      <w:r w:rsidRPr="00FC440F">
        <w:t>:</w:t>
      </w:r>
      <w:r>
        <w:t xml:space="preserve">  </w:t>
      </w:r>
      <w:r w:rsidR="00FA6758">
        <w:t>United Kingdom p</w:t>
      </w:r>
      <w:r w:rsidR="009852EE">
        <w:t>rimary care</w:t>
      </w:r>
      <w:r w:rsidR="00742312">
        <w:t>.</w:t>
      </w:r>
    </w:p>
    <w:p w14:paraId="592A86AD" w14:textId="5F614FF0" w:rsidR="00FC440F" w:rsidRPr="00FC440F" w:rsidRDefault="00FC440F" w:rsidP="000467DE">
      <w:pPr>
        <w:pStyle w:val="Text"/>
        <w:spacing w:line="360" w:lineRule="atLeast"/>
      </w:pPr>
      <w:r w:rsidRPr="000467DE">
        <w:rPr>
          <w:b/>
        </w:rPr>
        <w:t>Participants</w:t>
      </w:r>
      <w:r w:rsidRPr="00FC440F">
        <w:t>:</w:t>
      </w:r>
      <w:r w:rsidR="00742312">
        <w:t xml:space="preserve">  </w:t>
      </w:r>
      <w:r w:rsidR="000B204C">
        <w:t>N</w:t>
      </w:r>
      <w:r w:rsidR="00742312">
        <w:t xml:space="preserve">ewly treated </w:t>
      </w:r>
      <w:r w:rsidR="00742312" w:rsidRPr="0004071B">
        <w:t>patients who received their first statin and/or ezetimibe prescription between January 1, 2010 and December 31, 2013</w:t>
      </w:r>
      <w:r w:rsidR="00742312">
        <w:t xml:space="preserve"> </w:t>
      </w:r>
      <w:r w:rsidR="00EE02E7">
        <w:t>plus</w:t>
      </w:r>
      <w:r w:rsidR="00742312" w:rsidRPr="0004071B">
        <w:t xml:space="preserve"> one additional prescription for statin and/or ezetimibe during the </w:t>
      </w:r>
      <w:r w:rsidR="00742312">
        <w:t xml:space="preserve">following </w:t>
      </w:r>
      <w:r w:rsidR="00742312" w:rsidRPr="0004071B">
        <w:t>year.</w:t>
      </w:r>
    </w:p>
    <w:p w14:paraId="3889995B" w14:textId="0CDA2894" w:rsidR="00FC440F" w:rsidRPr="00FC440F" w:rsidRDefault="00FC440F" w:rsidP="000467DE">
      <w:pPr>
        <w:pStyle w:val="Text"/>
        <w:spacing w:line="360" w:lineRule="atLeast"/>
      </w:pPr>
      <w:r w:rsidRPr="000467DE">
        <w:rPr>
          <w:b/>
        </w:rPr>
        <w:t>Exposures</w:t>
      </w:r>
      <w:r w:rsidRPr="00FC440F">
        <w:t>:</w:t>
      </w:r>
      <w:r w:rsidR="008C1554">
        <w:t xml:space="preserve">  </w:t>
      </w:r>
      <w:r w:rsidR="002267CA" w:rsidRPr="002267CA">
        <w:t>Adherence was assessed annually using the proportion of days covered (PDC) with “adherent” defined as a PDC ≥80%.  Treatment intensity was classified according to guidelines based on expected percent LDL-cholesterol reduction as low (&lt;30% reduction), moderate (30%-50% reduction), or high (&gt;50% reduction).  Adherence and treatment intensity were multiplied to create a combined measure reflecting treatment intensity after accounting for adherence.</w:t>
      </w:r>
      <w:r w:rsidR="008C1554">
        <w:t xml:space="preserve">  </w:t>
      </w:r>
    </w:p>
    <w:p w14:paraId="70D22C17" w14:textId="26477075" w:rsidR="00FC440F" w:rsidRPr="00FC440F" w:rsidRDefault="00FC440F" w:rsidP="000467DE">
      <w:pPr>
        <w:pStyle w:val="Text"/>
        <w:spacing w:line="360" w:lineRule="atLeast"/>
      </w:pPr>
      <w:r w:rsidRPr="000467DE">
        <w:rPr>
          <w:b/>
        </w:rPr>
        <w:t>Main Outcomes and Measures</w:t>
      </w:r>
      <w:r w:rsidRPr="00FC440F">
        <w:t>:</w:t>
      </w:r>
      <w:r w:rsidR="008C1554">
        <w:t xml:space="preserve">  </w:t>
      </w:r>
      <w:r w:rsidR="002267CA">
        <w:t>C</w:t>
      </w:r>
      <w:r w:rsidR="008C1554" w:rsidRPr="0004071B">
        <w:t xml:space="preserve">omposite endpoint of </w:t>
      </w:r>
      <w:r w:rsidR="008C1554">
        <w:t>cardiovascular</w:t>
      </w:r>
      <w:r w:rsidR="008C1554" w:rsidRPr="0004071B">
        <w:t xml:space="preserve"> death or hospitalization for </w:t>
      </w:r>
      <w:r w:rsidR="008C1554">
        <w:t>myocardial infarction, unstable angina, ischemic stroke, heart failure, or revascularization</w:t>
      </w:r>
      <w:r w:rsidR="008C1554" w:rsidRPr="0004071B">
        <w:t xml:space="preserve">.  </w:t>
      </w:r>
      <w:r w:rsidR="00BA7A3E">
        <w:t xml:space="preserve">Hazard ratios (HR) were </w:t>
      </w:r>
      <w:r w:rsidR="0032114C">
        <w:t>estimated</w:t>
      </w:r>
      <w:r w:rsidR="00BA7A3E">
        <w:t xml:space="preserve"> against patients </w:t>
      </w:r>
      <w:r w:rsidR="00B06FD7">
        <w:t xml:space="preserve">not </w:t>
      </w:r>
      <w:r w:rsidR="00BA7A3E">
        <w:t xml:space="preserve">treated for </w:t>
      </w:r>
      <w:r w:rsidR="00B83494">
        <w:t>≥1</w:t>
      </w:r>
      <w:r w:rsidR="00BA7A3E">
        <w:t xml:space="preserve"> year.</w:t>
      </w:r>
    </w:p>
    <w:p w14:paraId="0573B9E7" w14:textId="1075EC02" w:rsidR="00FC440F" w:rsidRPr="00FC440F" w:rsidRDefault="00FC440F" w:rsidP="000467DE">
      <w:pPr>
        <w:pStyle w:val="Text"/>
        <w:spacing w:line="360" w:lineRule="atLeast"/>
      </w:pPr>
      <w:r w:rsidRPr="000467DE">
        <w:rPr>
          <w:b/>
        </w:rPr>
        <w:t>Results</w:t>
      </w:r>
      <w:r w:rsidRPr="00FC440F">
        <w:t>:</w:t>
      </w:r>
      <w:r w:rsidR="008C1554">
        <w:t xml:space="preserve">  </w:t>
      </w:r>
      <w:r w:rsidR="008C1554" w:rsidRPr="008C1554">
        <w:rPr>
          <w:iCs/>
        </w:rPr>
        <w:t xml:space="preserve">There were 16,701, 12,422, and 674 </w:t>
      </w:r>
      <w:r w:rsidR="00830CEE">
        <w:rPr>
          <w:iCs/>
        </w:rPr>
        <w:t xml:space="preserve">patients with CVD, diabetes, and </w:t>
      </w:r>
      <w:r w:rsidR="008C1554" w:rsidRPr="008C1554">
        <w:rPr>
          <w:iCs/>
        </w:rPr>
        <w:t xml:space="preserve">CKD.  </w:t>
      </w:r>
      <w:r w:rsidR="00270ED0">
        <w:rPr>
          <w:iCs/>
        </w:rPr>
        <w:t>Mean age</w:t>
      </w:r>
      <w:r w:rsidR="00FA6758">
        <w:rPr>
          <w:iCs/>
        </w:rPr>
        <w:t>s</w:t>
      </w:r>
      <w:r w:rsidR="00270ED0">
        <w:rPr>
          <w:iCs/>
        </w:rPr>
        <w:t xml:space="preserve"> </w:t>
      </w:r>
      <w:r w:rsidR="00FA6758">
        <w:rPr>
          <w:iCs/>
        </w:rPr>
        <w:t>were</w:t>
      </w:r>
      <w:r w:rsidR="00270ED0">
        <w:rPr>
          <w:iCs/>
        </w:rPr>
        <w:t xml:space="preserve"> 68, 59, and 67 years, and male proportions were 61%, 55%, and 47%.  </w:t>
      </w:r>
      <w:r w:rsidR="008C1554" w:rsidRPr="008C1554">
        <w:rPr>
          <w:iCs/>
        </w:rPr>
        <w:t xml:space="preserve">In the CVD cohort, patients </w:t>
      </w:r>
      <w:r w:rsidR="00830CEE">
        <w:rPr>
          <w:iCs/>
        </w:rPr>
        <w:t xml:space="preserve">receiving high intensity therapy </w:t>
      </w:r>
      <w:r w:rsidR="008C1554" w:rsidRPr="008C1554">
        <w:rPr>
          <w:iCs/>
        </w:rPr>
        <w:t>were</w:t>
      </w:r>
      <w:r w:rsidR="00830CEE">
        <w:rPr>
          <w:iCs/>
        </w:rPr>
        <w:t xml:space="preserve"> the most likely to be adherent</w:t>
      </w:r>
      <w:r w:rsidR="008C1554" w:rsidRPr="008C1554">
        <w:rPr>
          <w:iCs/>
        </w:rPr>
        <w:t xml:space="preserve">. </w:t>
      </w:r>
      <w:r w:rsidR="002F482D">
        <w:rPr>
          <w:iCs/>
        </w:rPr>
        <w:t xml:space="preserve"> </w:t>
      </w:r>
      <w:r w:rsidR="008C1554" w:rsidRPr="008C1554">
        <w:rPr>
          <w:iCs/>
        </w:rPr>
        <w:t xml:space="preserve">Using </w:t>
      </w:r>
      <w:r w:rsidR="002F482D">
        <w:rPr>
          <w:iCs/>
        </w:rPr>
        <w:t>a</w:t>
      </w:r>
      <w:r w:rsidR="002F482D" w:rsidRPr="008C1554">
        <w:rPr>
          <w:iCs/>
        </w:rPr>
        <w:t xml:space="preserve"> </w:t>
      </w:r>
      <w:r w:rsidR="008C1554" w:rsidRPr="008C1554">
        <w:rPr>
          <w:iCs/>
        </w:rPr>
        <w:t>combined measure</w:t>
      </w:r>
      <w:r w:rsidR="002F482D">
        <w:rPr>
          <w:iCs/>
        </w:rPr>
        <w:t xml:space="preserve"> of adherence and intensity</w:t>
      </w:r>
      <w:r w:rsidR="008C1554" w:rsidRPr="008C1554">
        <w:rPr>
          <w:iCs/>
        </w:rPr>
        <w:t xml:space="preserve">, </w:t>
      </w:r>
      <w:r w:rsidR="00830CEE">
        <w:rPr>
          <w:iCs/>
        </w:rPr>
        <w:t xml:space="preserve">a graded relationship was observed </w:t>
      </w:r>
      <w:r w:rsidR="00AC0285">
        <w:rPr>
          <w:iCs/>
        </w:rPr>
        <w:t xml:space="preserve">with both LDL-C reduction and outcomes; </w:t>
      </w:r>
      <w:r w:rsidR="00905395">
        <w:t xml:space="preserve">each 10% increase was associated with a </w:t>
      </w:r>
      <w:r w:rsidR="00905395" w:rsidRPr="00C06611">
        <w:t xml:space="preserve">10% </w:t>
      </w:r>
      <w:r w:rsidR="00AC0285">
        <w:t xml:space="preserve">lower </w:t>
      </w:r>
      <w:r w:rsidR="003D182E">
        <w:t xml:space="preserve">risk </w:t>
      </w:r>
      <w:r w:rsidR="00905395" w:rsidRPr="00C06611">
        <w:t>(</w:t>
      </w:r>
      <w:r w:rsidR="00905395">
        <w:t xml:space="preserve">HR 0.90, </w:t>
      </w:r>
      <w:r w:rsidR="00905395" w:rsidRPr="00C06611">
        <w:t xml:space="preserve">95% CI </w:t>
      </w:r>
      <w:r w:rsidR="00905395">
        <w:t>0.86</w:t>
      </w:r>
      <w:r w:rsidR="00905395" w:rsidRPr="00C06611">
        <w:t xml:space="preserve"> to </w:t>
      </w:r>
      <w:r w:rsidR="00905395">
        <w:t>0.94</w:t>
      </w:r>
      <w:r w:rsidR="00905395" w:rsidRPr="00C06611">
        <w:t>)</w:t>
      </w:r>
      <w:r w:rsidR="00905395">
        <w:t xml:space="preserve">. </w:t>
      </w:r>
      <w:r w:rsidR="003D182E">
        <w:rPr>
          <w:iCs/>
        </w:rPr>
        <w:t xml:space="preserve"> </w:t>
      </w:r>
      <w:r w:rsidR="00AC0285">
        <w:rPr>
          <w:iCs/>
        </w:rPr>
        <w:t>A</w:t>
      </w:r>
      <w:r w:rsidR="008C1554" w:rsidRPr="008C1554">
        <w:rPr>
          <w:iCs/>
        </w:rPr>
        <w:t xml:space="preserve">dherent patients receiving a high intensity regimen </w:t>
      </w:r>
      <w:r w:rsidR="002F482D">
        <w:rPr>
          <w:iCs/>
        </w:rPr>
        <w:t xml:space="preserve">had </w:t>
      </w:r>
      <w:r w:rsidR="00AC0285">
        <w:rPr>
          <w:iCs/>
        </w:rPr>
        <w:t>the lowest risk (</w:t>
      </w:r>
      <w:r w:rsidR="00BA7A3E">
        <w:rPr>
          <w:iCs/>
        </w:rPr>
        <w:t>HR 0.66</w:t>
      </w:r>
      <w:r w:rsidR="00AC0285">
        <w:rPr>
          <w:iCs/>
        </w:rPr>
        <w:t xml:space="preserve">, </w:t>
      </w:r>
      <w:r w:rsidR="008C1554" w:rsidRPr="008C1554">
        <w:rPr>
          <w:iCs/>
        </w:rPr>
        <w:t>95% CI 0.56-0.78)</w:t>
      </w:r>
      <w:r w:rsidR="002F482D">
        <w:rPr>
          <w:iCs/>
        </w:rPr>
        <w:t xml:space="preserve"> </w:t>
      </w:r>
      <w:r w:rsidR="00FA6758">
        <w:rPr>
          <w:iCs/>
        </w:rPr>
        <w:t>versus</w:t>
      </w:r>
      <w:r w:rsidR="002F482D">
        <w:rPr>
          <w:iCs/>
        </w:rPr>
        <w:t xml:space="preserve"> patients untreated for </w:t>
      </w:r>
      <w:r w:rsidR="00FA6758">
        <w:rPr>
          <w:iCs/>
        </w:rPr>
        <w:t>≥1</w:t>
      </w:r>
      <w:r w:rsidR="002F482D">
        <w:rPr>
          <w:iCs/>
        </w:rPr>
        <w:t xml:space="preserve"> year</w:t>
      </w:r>
      <w:r w:rsidR="008C1554" w:rsidRPr="008C1554">
        <w:rPr>
          <w:iCs/>
        </w:rPr>
        <w:t xml:space="preserve">.  </w:t>
      </w:r>
      <w:r w:rsidR="002E58D1" w:rsidRPr="008C1554">
        <w:rPr>
          <w:iCs/>
        </w:rPr>
        <w:t>Diabetes and CKD findings were similar.</w:t>
      </w:r>
      <w:r w:rsidR="002E58D1">
        <w:rPr>
          <w:iCs/>
        </w:rPr>
        <w:t xml:space="preserve">  </w:t>
      </w:r>
    </w:p>
    <w:p w14:paraId="7B95B076" w14:textId="4EC93BA0" w:rsidR="001D3DB7" w:rsidRDefault="00FC440F" w:rsidP="000467DE">
      <w:pPr>
        <w:pStyle w:val="Text"/>
        <w:spacing w:line="360" w:lineRule="atLeast"/>
      </w:pPr>
      <w:r w:rsidRPr="000467DE">
        <w:rPr>
          <w:b/>
        </w:rPr>
        <w:t>Conclusions and Relevance</w:t>
      </w:r>
      <w:r>
        <w:t>:</w:t>
      </w:r>
      <w:r w:rsidR="008C1554">
        <w:t xml:space="preserve">  </w:t>
      </w:r>
      <w:r w:rsidR="00784B2A" w:rsidRPr="00784B2A">
        <w:t xml:space="preserve">The </w:t>
      </w:r>
      <w:r w:rsidR="00320B2D">
        <w:t>l</w:t>
      </w:r>
      <w:r w:rsidR="00AC0285">
        <w:t xml:space="preserve">owest cardiovascular risk was </w:t>
      </w:r>
      <w:r w:rsidR="00784B2A" w:rsidRPr="00784B2A">
        <w:t xml:space="preserve">observed among </w:t>
      </w:r>
      <w:r w:rsidR="00320B2D">
        <w:t xml:space="preserve">adherent </w:t>
      </w:r>
      <w:r w:rsidR="00357E6D">
        <w:t xml:space="preserve">patients receiving </w:t>
      </w:r>
      <w:r w:rsidR="00784B2A" w:rsidRPr="00784B2A">
        <w:t xml:space="preserve">high intensity therapy and </w:t>
      </w:r>
      <w:r w:rsidR="00AC0285">
        <w:t xml:space="preserve">the highest risk </w:t>
      </w:r>
      <w:r w:rsidR="00784B2A" w:rsidRPr="00784B2A">
        <w:t xml:space="preserve">among </w:t>
      </w:r>
      <w:r w:rsidR="00014E60">
        <w:t>non-adherent patients</w:t>
      </w:r>
      <w:r w:rsidR="00784B2A" w:rsidRPr="00784B2A">
        <w:t xml:space="preserve"> </w:t>
      </w:r>
      <w:r w:rsidR="00784B2A" w:rsidRPr="00784B2A">
        <w:lastRenderedPageBreak/>
        <w:t xml:space="preserve">receiving low intensity therapy. </w:t>
      </w:r>
      <w:r w:rsidR="00830CEE">
        <w:t xml:space="preserve"> </w:t>
      </w:r>
      <w:r w:rsidR="00784B2A" w:rsidRPr="00784B2A">
        <w:t xml:space="preserve">Strategies that improve adherence and greater utilization of intensive therapies could substantially </w:t>
      </w:r>
      <w:r w:rsidR="00AC0285">
        <w:t>improve</w:t>
      </w:r>
      <w:r w:rsidR="00784B2A" w:rsidRPr="00784B2A">
        <w:t xml:space="preserve"> cardiovascular risk</w:t>
      </w:r>
      <w:r w:rsidR="00784B2A">
        <w:t>.</w:t>
      </w:r>
    </w:p>
    <w:p w14:paraId="01B25EAC" w14:textId="2913E71B" w:rsidR="00070A7F" w:rsidRPr="00D04C1B" w:rsidRDefault="00D04C1B" w:rsidP="000467DE">
      <w:pPr>
        <w:pStyle w:val="Text"/>
        <w:spacing w:line="360" w:lineRule="atLeast"/>
      </w:pPr>
      <w:r>
        <w:br w:type="page"/>
      </w:r>
    </w:p>
    <w:p w14:paraId="2DE43EE3" w14:textId="40373555" w:rsidR="00423117" w:rsidRPr="0004071B" w:rsidRDefault="00423117" w:rsidP="00E4324D">
      <w:pPr>
        <w:pStyle w:val="Heading1"/>
      </w:pPr>
      <w:r w:rsidRPr="0004071B">
        <w:lastRenderedPageBreak/>
        <w:t>Introduction</w:t>
      </w:r>
    </w:p>
    <w:p w14:paraId="0467C69B" w14:textId="45B3AE8E" w:rsidR="005442F7" w:rsidRDefault="00AD6CD1" w:rsidP="00233F94">
      <w:pPr>
        <w:pStyle w:val="Text"/>
      </w:pPr>
      <w:r w:rsidRPr="0004071B">
        <w:t>Cardiovascular disease (</w:t>
      </w:r>
      <w:r w:rsidR="00233F94" w:rsidRPr="0004071B">
        <w:t>CVD</w:t>
      </w:r>
      <w:r w:rsidRPr="0004071B">
        <w:t>)</w:t>
      </w:r>
      <w:r w:rsidR="00233F94" w:rsidRPr="0004071B">
        <w:t xml:space="preserve"> is a major cause of premature death </w:t>
      </w:r>
      <w:r w:rsidR="00780D9E">
        <w:t xml:space="preserve">and disability </w:t>
      </w:r>
      <w:r w:rsidR="00233F94" w:rsidRPr="0004071B">
        <w:t>worldwide.</w:t>
      </w:r>
      <w:r w:rsidR="00233F94" w:rsidRPr="0004071B">
        <w:fldChar w:fldCharType="begin" w:fldLock="1"/>
      </w:r>
      <w:r w:rsidR="0075193E">
        <w:instrText>ADDIN CSL_CITATION {"citationItems":[{"id":"ITEM-1","itemData":{"DOI":"10.1093/eurheartj/ehw272","ISSN":"0195-668X","author":[{"dropping-particle":"","family":"Catapano","given":"Alberico L.","non-dropping-particle":"","parse-names":false,"suffix":""},{"dropping-particle":"","family":"Graham","given":"Ian","non-dropping-particle":"","parse-names":false,"suffix":""},{"dropping-particle":"","family":"Backer","given":"Guy","non-dropping-particle":"De","parse-names":false,"suffix":""},{"dropping-particle":"","family":"Wiklund","given":"Olov","non-dropping-particle":"","parse-names":false,"suffix":""},{"dropping-particle":"","family":"Chapman","given":"M. John","non-dropping-particle":"","parse-names":false,"suffix":""},{"dropping-particle":"","family":"Drexel","given":"Heinz","non-dropping-particle":"","parse-names":false,"suffix":""},{"dropping-particle":"","family":"Hoes","given":"Arno W.","non-dropping-particle":"","parse-names":false,"suffix":""},{"dropping-particle":"","family":"Jennings","given":"Catriona S.","non-dropping-particle":"","parse-names":false,"suffix":""},{"dropping-particle":"","family":"Landmesser","given":"Ulf","non-dropping-particle":"","parse-names":false,"suffix":""},{"dropping-particle":"","family":"Pedersen","given":"Terje R.","non-dropping-particle":"","parse-names":false,"suffix":""},{"dropping-particle":"","family":"Reiner","given":"Željko","non-dropping-particle":"","parse-names":false,"suffix":""},{"dropping-particle":"","family":"Riccardi","given":"Gabriele","non-dropping-particle":"","parse-names":false,"suffix":""},{"dropping-particle":"","family":"Taskinen","given":"Marja-Riita","non-dropping-particle":"","parse-names":false,"suffix":""},{"dropping-particle":"","family":"Tokgozoglu","given":"Lale","non-dropping-particle":"","parse-names":false,"suffix":""},{"dropping-particle":"","family":"Verschuren","given":"W. M. Monique","non-dropping-particle":"","parse-names":false,"suffix":""},{"dropping-particle":"","family":"Vlachopoulos","given":"Charalambos","non-dropping-particle":"","parse-names":false,"suffix":""},{"dropping-particle":"","family":"Wood","given":"David A.","non-dropping-particle":"","parse-names":false,"suffix":""},{"dropping-particle":"","family":"Zamorano","given":"Jose Luis","non-dropping-particle":"","parse-names":false,"suffix":""}],"container-title":"European Heart Journal","id":"ITEM-1","issue":"39","issued":{"date-parts":[["2016","10","14"]]},"page":"2999-3058","title":"2016 ESC/EAS Guidelines for the Management of Dyslipidaemias","type":"article-journal","volume":"37"},"uris":["http://www.mendeley.com/documents/?uuid=c7b2bd88-4060-4585-a494-a886f28cdb10"]},{"id":"ITEM-2","itemData":{"DOI":"10.1136/heartjnl-2014-305693","ISBN":"1355-6037","ISSN":"1355-6037","PMID":"24667225","abstract":"Joint British Societies’ consensus recommendations for the prevention of cardiovascular disease ( JBS3) JBS3 Board British Cardiovascular Society, Association of British Clinical Diabetologists, British Association for Cardiovascular Prevention &amp; Rehabilitation, British Association for Nursing in Cardiovascular Care, British Heart Foundation, British Hypertension Society, British Renal Society, Diabetes UK, HEART UK, Renal Association, Stroke Association Correspondence to BCS, 9 Fitzroy Square, London, W1T 5HW jbs3@bcs.com To cite:JBS3. Heart 2014;100:ii1– ii67","author":[{"dropping-particle":"","family":"JBS3 Board","given":"","non-dropping-particle":"","parse-names":false,"suffix":""}],"container-title":"Heart","id":"ITEM-2","issue":"Suppl 2","issued":{"date-parts":[["2014","4","1"]]},"page":"ii1-ii67","title":"Joint British Societies’ consensus recommendations for the prevention of cardiovascular disease ( JBS3)","type":"article-journal","volume":"100"},"uris":["http://www.mendeley.com/documents/?uuid=1f8ff1cb-0781-4a66-bde8-228ab9fbcd55"]},{"id":"ITEM-3","itemData":{"PMID":"25340243","abstract":"This guideline covers:\\n * Adults at higher risk of heart disease, stroke or peripheral arterial disease (cardiovascular disease). Risk of cardiovascular disease increases with age, as well as in people who smoke or who have high blood pressure or high cholesterol. People with heart disease in the family or men with a South Asian (for example, Indian, Pakistani or Bangladeshi) background are also at higher risk.\\n * People who have already had a heart attack, stroke or 'mini-stroke' (transient ischaemic attack or TIA).\\n * People who have angina or some other forms of cardiovascular disease.","author":[{"dropping-particle":"","family":"NICE","given":"","non-dropping-particle":"","parse-names":false,"suffix":""}],"container-title":"National Institute for Health and Clinical Excellence","id":"ITEM-3","issue":"July","issued":{"date-parts":[["2014"]]},"page":"231-254","title":"Lipid modification: NICE guideline (CG181)","type":"article-journal","volume":"12"},"uris":["http://www.mendeley.com/documents/?uuid=f47ddff4-66e2-45b3-bf93-96c772ed59e4"]}],"mendeley":{"formattedCitation":"&lt;sup&gt;1–3&lt;/sup&gt;","plainTextFormattedCitation":"1–3","previouslyFormattedCitation":"&lt;sup&gt;1–3&lt;/sup&gt;"},"properties":{"noteIndex":0},"schema":"https://github.com/citation-style-language/schema/raw/master/csl-citation.json"}</w:instrText>
      </w:r>
      <w:r w:rsidR="00233F94" w:rsidRPr="0004071B">
        <w:fldChar w:fldCharType="separate"/>
      </w:r>
      <w:r w:rsidR="00F008B5" w:rsidRPr="0004071B">
        <w:rPr>
          <w:noProof/>
          <w:vertAlign w:val="superscript"/>
        </w:rPr>
        <w:t>1–3</w:t>
      </w:r>
      <w:r w:rsidR="00233F94" w:rsidRPr="0004071B">
        <w:fldChar w:fldCharType="end"/>
      </w:r>
      <w:r w:rsidR="00233F94" w:rsidRPr="0004071B">
        <w:t xml:space="preserve">  Medications that reduce </w:t>
      </w:r>
      <w:r w:rsidR="00780D9E">
        <w:t xml:space="preserve">low density lipoprotein </w:t>
      </w:r>
      <w:r w:rsidR="006F6370">
        <w:t xml:space="preserve">cholesterol </w:t>
      </w:r>
      <w:r w:rsidR="00780D9E">
        <w:t>(</w:t>
      </w:r>
      <w:r w:rsidR="00233F94" w:rsidRPr="0004071B">
        <w:t>LDL</w:t>
      </w:r>
      <w:r w:rsidR="006F6370">
        <w:t>-C</w:t>
      </w:r>
      <w:r w:rsidR="00780D9E">
        <w:t>)</w:t>
      </w:r>
      <w:r w:rsidR="00233F94" w:rsidRPr="0004071B">
        <w:t xml:space="preserve"> </w:t>
      </w:r>
      <w:r w:rsidR="005C109B">
        <w:t xml:space="preserve">levels </w:t>
      </w:r>
      <w:r w:rsidR="00233F94" w:rsidRPr="0004071B">
        <w:t xml:space="preserve">have been proven to reduce </w:t>
      </w:r>
      <w:r w:rsidR="005C109B">
        <w:t xml:space="preserve">the </w:t>
      </w:r>
      <w:r w:rsidR="00233F94" w:rsidRPr="0004071B">
        <w:t xml:space="preserve">risk of </w:t>
      </w:r>
      <w:r w:rsidR="00780D9E">
        <w:t>cardiovascular</w:t>
      </w:r>
      <w:r w:rsidR="00233F94" w:rsidRPr="0004071B">
        <w:t xml:space="preserve"> events, </w:t>
      </w:r>
      <w:r w:rsidR="005442F7">
        <w:t>and statins are first-line therapy in global treatment guidelines</w:t>
      </w:r>
      <w:r w:rsidR="00233F94" w:rsidRPr="0004071B">
        <w:t xml:space="preserve">.  </w:t>
      </w:r>
      <w:r w:rsidR="005442F7">
        <w:t>Recent</w:t>
      </w:r>
      <w:r w:rsidR="00B5747D">
        <w:t xml:space="preserve"> </w:t>
      </w:r>
      <w:r w:rsidR="005442F7">
        <w:t>guidelines from the Ameri</w:t>
      </w:r>
      <w:r w:rsidR="00A30046">
        <w:t>can College of Cardiology</w:t>
      </w:r>
      <w:r w:rsidR="00DD3A05">
        <w:t xml:space="preserve"> and American Heart Association (ACC/AHA)</w:t>
      </w:r>
      <w:r w:rsidR="00B5747D">
        <w:t xml:space="preserve">, the </w:t>
      </w:r>
      <w:r w:rsidR="005442F7">
        <w:t>National Institute for H</w:t>
      </w:r>
      <w:r w:rsidR="00A30046">
        <w:t>ealth and Care Excellence</w:t>
      </w:r>
      <w:r w:rsidR="00663455">
        <w:t xml:space="preserve"> (NICE)</w:t>
      </w:r>
      <w:r w:rsidR="00A30046">
        <w:t>,</w:t>
      </w:r>
      <w:r w:rsidR="00B5747D">
        <w:t xml:space="preserve"> </w:t>
      </w:r>
      <w:r w:rsidR="00663455">
        <w:t xml:space="preserve">the Joint British Societies (JBS) </w:t>
      </w:r>
      <w:r w:rsidR="00B5747D">
        <w:t>and the European Society of Cardiology (ESC)</w:t>
      </w:r>
      <w:r w:rsidR="005442F7">
        <w:t xml:space="preserve">, </w:t>
      </w:r>
      <w:r w:rsidR="00A30046">
        <w:t xml:space="preserve">among others, </w:t>
      </w:r>
      <w:r w:rsidR="00B5747D">
        <w:t xml:space="preserve">have </w:t>
      </w:r>
      <w:r w:rsidR="009852EE">
        <w:t>emphasized the importance of</w:t>
      </w:r>
      <w:r w:rsidR="004B6CDA">
        <w:t xml:space="preserve"> align</w:t>
      </w:r>
      <w:r w:rsidR="00B5747D">
        <w:t>ing</w:t>
      </w:r>
      <w:r w:rsidR="006F6370">
        <w:t xml:space="preserve"> the intensity of LDL-C reduction with the risk of future cardiovascular events.</w:t>
      </w:r>
      <w:r w:rsidR="006F6370">
        <w:fldChar w:fldCharType="begin" w:fldLock="1"/>
      </w:r>
      <w:r w:rsidR="0075193E">
        <w:instrText>ADDIN CSL_CITATION {"citationItems":[{"id":"ITEM-1","itemData":{"PMID":"25340243","abstract":"This guideline covers:\\n * Adults at higher risk of heart disease, stroke or peripheral arterial disease (cardiovascular disease). Risk of cardiovascular disease increases with age, as well as in people who smoke or who have high blood pressure or high cholesterol. People with heart disease in the family or men with a South Asian (for example, Indian, Pakistani or Bangladeshi) background are also at higher risk.\\n * People who have already had a heart attack, stroke or 'mini-stroke' (transient ischaemic attack or TIA).\\n * People who have angina or some other forms of cardiovascular disease.","author":[{"dropping-particle":"","family":"NICE","given":"","non-dropping-particle":"","parse-names":false,"suffix":""}],"container-title":"National Institute for Health and Clinical Excellence","id":"ITEM-1","issue":"July","issued":{"date-parts":[["2014"]]},"page":"231-254","title":"Lipid modification: NICE guideline (CG181)","type":"article-journal","volume":"12"},"uris":["http://www.mendeley.com/documents/?uuid=f47ddff4-66e2-45b3-bf93-96c772ed59e4"]},{"id":"ITEM-2","itemData":{"DOI":"10.1136/heartjnl-2014-305693","ISBN":"1355-6037","ISSN":"1355-6037","PMID":"24667225","abstract":"Joint British Societies’ consensus recommendations for the prevention of cardiovascular disease ( JBS3) JBS3 Board British Cardiovascular Society, Association of British Clinical Diabetologists, British Association for Cardiovascular Prevention &amp; Rehabilitation, British Association for Nursing in Cardiovascular Care, British Heart Foundation, British Hypertension Society, British Renal Society, Diabetes UK, HEART UK, Renal Association, Stroke Association Correspondence to BCS, 9 Fitzroy Square, London, W1T 5HW jbs3@bcs.com To cite:JBS3. Heart 2014;100:ii1– ii67","author":[{"dropping-particle":"","family":"JBS3 Board","given":"","non-dropping-particle":"","parse-names":false,"suffix":""}],"container-title":"Heart","id":"ITEM-2","issue":"Suppl 2","issued":{"date-parts":[["2014","4","1"]]},"page":"ii1-ii67","title":"Joint British Societies’ consensus recommendations for the prevention of cardiovascular disease ( JBS3)","type":"article-journal","volume":"100"},"uris":["http://www.mendeley.com/documents/?uuid=1f8ff1cb-0781-4a66-bde8-228ab9fbcd55"]},{"id":"ITEM-3","itemData":{"DOI":"10.1093/eurheartj/ehw106","ISBN":"0195-668X 1522-9645","ISSN":"15229645","PMID":"17726041","author":[{"dropping-particle":"","family":"Piepoli","given":"Massimo F.","non-dropping-particle":"","parse-names":false,"suffix":""},{"dropping-particle":"","family":"Hoes","given":"Arno W.","non-dropping-particle":"","parse-names":false,"suffix":""},{"dropping-particle":"","family":"Agewall","given":"Stefan","non-dropping-particle":"","parse-names":false,"suffix":""},{"dropping-particle":"","family":"Albus","given":"Christian","non-dropping-particle":"","parse-names":false,"suffix":""},{"dropping-particle":"","family":"Brotons","given":"Carlos","non-dropping-particle":"","parse-names":false,"suffix":""},{"dropping-particle":"","family":"Catapano","given":"Alberico L.","non-dropping-particle":"","parse-names":false,"suffix":""},{"dropping-particle":"","family":"Cooney","given":"Marie-Therese Therese","non-dropping-particle":"","parse-names":false,"suffix":""},{"dropping-particle":"","family":"Corr??","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Richard","non-dropping-particle":"","parse-names":false,"suffix":""},{"dropping-particle":"","family":"L??chen","given":"Maja Lisa","non-dropping-particle":"","parse-names":false,"suffix":""},{"dropping-particle":"","family":"L??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dropping-particle":"","family":"Binno","given":"Simone","non-dropping-particle":"","parse-names":false,"suffix":""},{"dropping-particle":"","family":"Backer","given":"Guy","non-dropping-particle":"De","parse-names":false,"suffix":""},{"dropping-particle":"","family":"Roffi","given":"Marco","non-dropping-particle":"","parse-names":false,"suffix":""},{"dropping-particle":"","family":"Aboyans","given":"Victor","non-dropping-particle":"","parse-names":false,"suffix":""},{"dropping-particle":"","family":"Bachl","given":"Norbert","non-dropping-particle":"","parse-names":false,"suffix":""},{"dropping-particle":"","family":"Carerj","given":"Scipione","non-dropping-particle":"","parse-names":false,"suffix":""},{"dropping-particle":"","family":"Cho","given":"Leslie","non-dropping-particle":"","parse-names":false,"suffix":""},{"dropping-particle":"","family":"Cox","given":"John","non-dropping-particle":"","parse-names":false,"suffix":""},{"dropping-particle":"","family":"Sutter","given":"Johan","non-dropping-particle":"De","parse-names":false,"suffix":""},{"dropping-particle":"","family":"Egidi","given":"G??nther","non-dropping-particle":"","parse-names":false,"suffix":""},{"dropping-particle":"","family":"Fisher","given":"Miles","non-dropping-particle":"","parse-names":false,"suffix":""},{"dropping-particle":"","family":"Fitzsimons","given":"Donna","non-dropping-particle":"","parse-names":false,"suffix":""},{"dropping-particle":"","family":"Franco","given":"Oscar H.","non-dropping-particle":"","parse-names":false,"suffix":""},{"dropping-particle":"","family":"Guenoun","given":"Maxime","non-dropping-particle":"","parse-names":false,"suffix":""},{"dropping-particle":"","family":"Jennings","given":"Catriona","non-dropping-particle":"","parse-names":false,"suffix":""},{"dropping-particle":"","family":"Jug","given":"Borut","non-dropping-particle":"","parse-names":false,"suffix":""},{"dropping-particle":"","family":"Kirchhof","given":"Paulus","non-dropping-particle":"","parse-names":false,"suffix":""},{"dropping-particle":"","family":"Kotseva","given":"Kornelia","non-dropping-particle":"","parse-names":false,"suffix":""},{"dropping-particle":"","family":"Lip","given":"Gregory Y H","non-dropping-particle":"","parse-names":false,"suffix":""},{"dropping-particle":"","family":"Mach","given":"Francois Fran??ois","non-dropping-particle":"","parse-names":false,"suffix":""},{"dropping-particle":"","family":"Mancia","given":"Giuseppe","non-dropping-particle":"","parse-names":false,"suffix":""},{"dropping-particle":"","family":"Bermudo","given":"Franz Martin","non-dropping-particle":"","parse-names":false,"suffix":""},{"dropping-particle":"","family":"Mezzani","given":"Alessandro","non-dropping-particle":"","parse-names":false,"suffix":""},{"dropping-particle":"","family":"Niessner","given":"Alexander","non-dropping-particle":"","parse-names":false,"suffix":""},{"dropping-particle":"","family":"Ponikowski","given":"Piotr","non-dropping-particle":"","parse-names":false,"suffix":""},{"dropping-particle":"","family":"Rauch","given":"Bernhard","non-dropping-particle":"","parse-names":false,"suffix":""},{"dropping-particle":"","family":"Stauder","given":"Adrienne","non-dropping-particle":"","parse-names":false,"suffix":""},{"dropping-particle":"","family":"Turc","given":"Guillaume","non-dropping-particle":"","parse-names":false,"suffix":""},{"dropping-particle":"","family":"Wiklund","given":"Olov","non-dropping-particle":"","parse-names":false,"suffix":""},{"dropping-particle":"","family":"Windecker","given":"Stephan","non-dropping-particle":"","parse-names":false,"suffix":""},{"dropping-particle":"","family":"Zamorano","given":"Jose Luis","non-dropping-particle":"","parse-names":false,"suffix":""},{"dropping-particle":"","family":"Achenbach","given":"Stephan","non-dropping-particle":"","parse-names":false,"suffix":""},{"dropping-particle":"","family":"Badimon","given":"Lina","non-dropping-particle":"","parse-names":false,"suffix":""},{"dropping-particle":"","family":"Baron-Esquivias","given":"Gonzalo","non-dropping-particle":"","parse-names":false,"suffix":""},{"dropping-particle":"","family":"Baumgartner","given":"Helmut","non-dropping-particle":"","parse-names":false,"suffix":""},{"dropping-particle":"","family":"Bax","given":"Jeroen J.","non-dropping-particle":"","parse-names":false,"suffix":""},{"dropping-particle":"","family":"Dean","given":"Veronica","non-dropping-particle":"","parse-names":false,"suffix":""},{"dropping-particle":"","family":"Erol","given":"Etin","non-dropping-particle":"","parse-names":false,"suffix":""},{"dropping-particle":"","family":"Gaemperli","given":"Oliver","non-dropping-particle":"","parse-names":false,"suffix":""},{"dropping-particle":"","family":"Kolh","given":"Philippe","non-dropping-particle":"","parse-names":false,"suffix":""},{"dropping-particle":"","family":"Lancellotti","given":"Patrizio","non-dropping-particle":"","parse-names":false,"suffix":""},{"dropping-particle":"","family":"Nihoyannopoulos","given":"Petros","non-dropping-particle":"","parse-names":false,"suffix":""},{"dropping-particle":"","family":"Torbicki","given":"Adam","non-dropping-particle":"","parse-names":false,"suffix":""},{"dropping-particle":"","family":"Carneiro","given":"Ant??nio Vaz Antonio Vaz","non-dropping-particle":"","parse-names":false,"suffix":""},{"dropping-particle":"","family":"Metzler","given":"Bernhard","non-dropping-particle":"","parse-names":false,"suffix":""},{"dropping-particle":"","family":"Najafov","given":"Ruslan","non-dropping-particle":"","parse-names":false,"suffix":""},{"dropping-particle":"","family":"Stelmashok","given":"Valeriy","non-dropping-particle":"","parse-names":false,"suffix":""},{"dropping-particle":"","family":"Maeyer","given":"Catherine","non-dropping-particle":"De","parse-names":false,"suffix":""},{"dropping-particle":"","family":"Dili??","given":"Mirza","non-dropping-particle":"","parse-names":false,"suffix":""},{"dropping-particle":"","family":"Gruev","given":"Ivan","non-dropping-particle":"","parse-names":false,"suffix":""},{"dropping-particle":"","family":"Mili??i??","given":"Davor","non-dropping-particle":"","parse-names":false,"suffix":""},{"dropping-particle":"","family":"Vaverkova","given":"Helena","non-dropping-particle":"","parse-names":false,"suffix":""},{"dropping-particle":"","family":"Gustafsson","given":"Ida","non-dropping-particle":"","parse-names":false,"suffix":""},{"dropping-particle":"","family":"Attia","given":"Ihab","non-dropping-particle":"","parse-names":false,"suffix":""},{"dropping-particle":"","family":"Duishvili","given":"Davit","non-dropping-particle":"","parse-names":false,"suffix":""},{"dropping-particle":"","family":"Ferri??res","given":"Jean","non-dropping-particle":"","parse-names":false,"suffix":""},{"dropping-particle":"","family":"Kostova","given":"Nela","non-dropping-particle":"","parse-names":false,"suffix":""},{"dropping-particle":"","family":"Klimiashvili","given":"Zurab","non-dropping-particle":"","parse-names":false,"suffix":""},{"dropping-particle":"","family":"Hambrecht","given":"Rainer","non-dropping-particle":"","parse-names":false,"suffix":""},{"dropping-particle":"","family":"Tsioufis","given":"Konstantinos","non-dropping-particle":"","parse-names":false,"suffix":""},{"dropping-particle":"","family":"Szabados","given":"Eszter","non-dropping-particle":"","parse-names":false,"suffix":""},{"dropping-particle":"","family":"Andersen","given":"Karl","non-dropping-particle":"","parse-names":false,"suffix":""},{"dropping-particle":"","family":"Vaughan","given":"Carl","non-dropping-particle":"","parse-names":false,"suffix":""},{"dropping-particle":"","family":"Zafrir","given":"Barak","non-dropping-particle":"","parse-names":false,"suffix":""},{"dropping-particle":"","family":"Novo","given":"Salvatore","non-dropping-particle":"","parse-names":false,"suffix":""},{"dropping-particle":"","family":"Davletov","given":"Kairat","non-dropping-particle":"","parse-names":false,"suffix":""},{"dropping-particle":"","family":"Jashari","given":"Fisnik","non-dropping-particle":"","parse-names":false,"suffix":""},{"dropping-particle":"","family":"Kerimkulova","given":"Alina","non-dropping-particle":"","parse-names":false,"suffix":""},{"dropping-particle":"","family":"Mintale","given":"Iveta","non-dropping-particle":"","parse-names":false,"suffix":""},{"dropping-particle":"","family":"Saade","given":"Georges","non-dropping-particle":"","parse-names":false,"suffix":""},{"dropping-particle":"","family":"Petrulioniene","given":"Zaneta","non-dropping-particle":"","parse-names":false,"suffix":""},{"dropping-particle":"","family":"Delagardelle","given":"Charles","non-dropping-particle":"","parse-names":false,"suffix":""},{"dropping-particle":"","family":"Magri","given":"Caroline J.","non-dropping-particle":"","parse-names":false,"suffix":""},{"dropping-particle":"","family":"Rudi","given":"Victor","non-dropping-particle":"","parse-names":false,"suffix":""},{"dropping-particle":"","family":"Oukerraj","given":"Latifa","non-dropping-particle":"","parse-names":false,"suffix":""},{"dropping-particle":"","family":"????lkesen","given":"B. Ersen","non-dropping-particle":"","parse-names":false,"suffix":""},{"dropping-particle":"","family":"Schirmer","given":"Henrik","non-dropping-particle":"","parse-names":false,"suffix":""},{"dropping-particle":"","family":"Reis","given":"Roberto Palma","non-dropping-particle":"Dos","parse-names":false,"suffix":""},{"dropping-particle":"","family":"Gherasim","given":"Daniel","non-dropping-particle":"","parse-names":false,"suffix":""},{"dropping-particle":"","family":"Nedogoda","given":"Sergey","non-dropping-particle":"","parse-names":false,"suffix":""},{"dropping-particle":"","family":"Zavatta","given":"Marco","non-dropping-particle":"","parse-names":false,"suffix":""},{"dropping-particle":"","family":"Giga","given":"Vojislav","non-dropping-particle":"","parse-names":false,"suffix":""},{"dropping-particle":"","family":"Filipova","given":"Slavomira","non-dropping-particle":"","parse-names":false,"suffix":""},{"dropping-particle":"","family":"Padial","given":"Luis Rodr??guez","non-dropping-particle":"","parse-names":false,"suffix":""},{"dropping-particle":"","family":"Kiessling","given":"Anna","non-dropping-particle":"","parse-names":false,"suffix":""},{"dropping-particle":"","family":"Mahdhaoui","given":"Abdallah","non-dropping-particle":"","parse-names":false,"suffix":""},{"dropping-particle":"","family":"Ural","given":"Dilek","non-dropping-particle":"","parse-names":false,"suffix":""},{"dropping-particle":"","family":"Nesukay","given":"Elena","non-dropping-particle":"","parse-names":false,"suffix":""},{"dropping-particle":"","family":"Gale","given":"Chris","non-dropping-particle":"","parse-names":false,"suffix":""},{"dropping-particle":"","family":"Bar??n-Esquivias","given":"Gonzalo","non-dropping-particle":"","parse-names":false,"suffix":""},{"dropping-particle":"","family":"Baumgartner","given":"Helmut","non-dropping-particle":"","parse-names":false,"suffix":""},{"dropping-particle":"","family":"Bax","given":"Jeroen J.","non-dropping-particle":"","parse-names":false,"suffix":""},{"dropping-particle":"","family":"Dean","given":"Veronica","non-dropping-particle":"","parse-names":false,"suffix":""},{"dropping-particle":"","family":"Erol","given":"??etin","non-dropping-particle":"","parse-names":false,"suffix":""},{"dropping-particle":"","family":"Gaemperli","given":"Oliver","non-dropping-particle":"","parse-names":false,"suffix":""},{"dropping-particle":"","family":"Kolh","given":"Philippe","non-dropping-particle":"","parse-names":false,"suffix":""},{"dropping-particle":"","family":"Lancellotti","given":"Patrizio","non-dropping-particle":"","parse-names":false,"suffix":""},{"dropping-particle":"","family":"Nihoyannopoulos","given":"Petros","non-dropping-particle":"","parse-names":false,"suffix":""},{"dropping-particle":"","family":"Torbicki","given":"Adam","non-dropping-particle":"","parse-names":false,"suffix":""},{"dropping-particle":"","family":"Carneiro","given":"Ant??nio Vaz Antonio Vaz","non-dropping-particle":"","parse-names":false,"suffix":""},{"dropping-particle":"","family":"Metzler","given":"Bernhard","non-dropping-particle":"","parse-names":false,"suffix":""},{"dropping-particle":"","family":"Najafov","given":"Ruslan","non-dropping-particle":"","parse-names":false,"suffix":""},{"dropping-particle":"","family":"Stelmashok","given":"Valeriy","non-dropping-particle":"","parse-names":false,"suffix":""},{"dropping-particle":"","family":"Maeyer","given":"Catherine","non-dropping-particle":"De","parse-names":false,"suffix":""},{"dropping-particle":"","family":"Dili??","given":"Mirza","non-dropping-particle":"","parse-names":false,"suffix":""},{"dropping-particle":"","family":"Gruev","given":"Ivan","non-dropping-particle":"","parse-names":false,"suffix":""},{"dropping-particle":"","family":"Mili??i??","given":"Davor","non-dropping-particle":"","parse-names":false,"suffix":""},{"dropping-particle":"","family":"Vaverkova","given":"Helena","non-dropping-particle":"","parse-names":false,"suffix":""},{"dropping-particle":"","family":"Gustafsson","given":"Ida","non-dropping-particle":"","parse-names":false,"suffix":""},{"dropping-particle":"","family":"Attia","given":"Ihab","non-dropping-particle":"","parse-names":false,"suffix":""},{"dropping-particle":"","family":"Duishvili","given":"Davit","non-dropping-particle":"","parse-names":false,"suffix":""},{"dropping-particle":"","family":"Ferri??res","given":"Jean","non-dropping-particle":"","parse-names":false,"suffix":""},{"dropping-particle":"","family":"Kostova","given":"Nela","non-dropping-particle":"","parse-names":false,"suffix":""},{"dropping-particle":"","family":"Klimiashvili","given":"Zurab","non-dropping-particle":"","parse-names":false,"suffix":""},{"dropping-particle":"","family":"Hambrecht","given":"Rainer","non-dropping-particle":"","parse-names":false,"suffix":""},{"dropping-particle":"","family":"Tsioufis","given":"Konstantinos","non-dropping-particle":"","parse-names":false,"suffix":""},{"dropping-particle":"","family":"Szabados","given":"Eszter","non-dropping-particle":"","parse-names":false,"suffix":""},{"dropping-particle":"","family":"Andersen","given":"Karl","non-dropping-particle":"","parse-names":false,"suffix":""},{"dropping-particle":"","family":"Vaughan","given":"Carl","non-dropping-particle":"","parse-names":false,"suffix":""},{"dropping-particle":"","family":"Zafrir","given":"Barak","non-dropping-particle":"","parse-names":false,"suffix":""},{"dropping-particle":"","family":"Novo","given":"Salvatore","non-dropping-particle":"","parse-names":false,"suffix":""},{"dropping-particle":"","family":"Davletov","given":"Kairat","non-dropping-particle":"","parse-names":false,"suffix":""},{"dropping-particle":"","family":"Jashari","given":"Fisnik","non-dropping-particle":"","parse-names":false,"suffix":""},{"dropping-particle":"","family":"Kerimkulova","given":"Alina","non-dropping-particle":"","parse-names":false,"suffix":""},{"dropping-particle":"","family":"Mintale","given":"Iveta","non-dropping-particle":"","parse-names":false,"suffix":""},{"dropping-particle":"","family":"Saade","given":"Georges","non-dropping-particle":"","parse-names":false,"suffix":""},{"dropping-particle":"","family":"Petrulioniene","given":"Zaneta","non-dropping-particle":"","parse-names":false,"suffix":""},{"dropping-particle":"","family":"Delagardelle","given":"Charles","non-dropping-particle":"","parse-names":false,"suffix":""},{"dropping-particle":"","family":"Magri","given":"Caroline J.","non-dropping-particle":"","parse-names":false,"suffix":""},{"dropping-particle":"","family":"Rudi","given":"Victor","non-dropping-particle":"","parse-names":false,"suffix":""},{"dropping-particle":"","family":"Oukerraj","given":"Latifa","non-dropping-particle":"","parse-names":false,"suffix":""},{"dropping-particle":"","family":"????lkesen","given":"B. Ersen","non-dropping-particle":"","parse-names":false,"suffix":""},{"dropping-particle":"","family":"Schirmer","given":"Henrik","non-dropping-particle":"","parse-names":false,"suffix":""},{"dropping-particle":"","family":"Reis","given":"Roberto Palma","non-dropping-particle":"Dos","parse-names":false,"suffix":""},{"dropping-particle":"","family":"Gherasim","given":"Daniel","non-dropping-particle":"","parse-names":false,"suffix":""},{"dropping-particle":"","family":"Nedogoda","given":"Sergey","non-dropping-particle":"","parse-names":false,"suffix":""},{"dropping-particle":"","family":"Zavatta","given":"Marco","non-dropping-particle":"","parse-names":false,"suffix":""},{"dropping-particle":"","family":"Giga","given":"Vojislav","non-dropping-particle":"","parse-names":false,"suffix":""},{"dropping-particle":"","family":"Filipova","given":"Slavomira","non-dropping-particle":"","parse-names":false,"suffix":""},{"dropping-particle":"","family":"Padial","given":"Luis Rodr??guez","non-dropping-particle":"","parse-names":false,"suffix":""},{"dropping-particle":"","family":"Kiessling","given":"Anna","non-dropping-particle":"","parse-names":false,"suffix":""},{"dropping-particle":"","family":"Mahdhaoui","given":"Abdallah","non-dropping-particle":"","parse-names":false,"suffix":""},{"dropping-particle":"","family":"Ural","given":"Dilek","non-dropping-particle":"","parse-names":false,"suffix":""},{"dropping-particle":"","family":"Nesukay","given":"Elena","non-dropping-particle":"","parse-names":false,"suffix":""},{"dropping-particle":"","family":"Gale","given":"Chris","non-dropping-particle":"","parse-names":false,"suffix":""},{"dropping-particle":"","family":"Corrà","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øchen","given":"Maja-Lisa","non-dropping-particle":"","parse-names":false,"suffix":""},{"dropping-particle":"","family":"Lö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Monique","non-dropping-particle":"","parse-names":false,"suffix":""}],"container-title":"European Heart Journal","id":"ITEM-3","issue":"29","issued":{"date-parts":[["2016","5","23"]]},"page":"2315-2381","title":"2016 European Guidelines on cardiovascular disease prevention in clinical practice","type":"article-journal","volume":"37"},"uris":["http://www.mendeley.com/documents/?uuid=aab7a7c9-95cb-4252-8d32-974f5a2136b9"]},{"id":"ITEM-4","itemData":{"DOI":"10.1161/01.cir.0000437738.63853.7a","ISSN":"1524-4539","PMID":"24222016","author":[{"dropping-particle":"","family":"Stone","given":"Neil J","non-dropping-particle":"","parse-names":false,"suffix":""},{"dropping-particle":"","family":"Robinson","given":"Jennifer G","non-dropping-particle":"","parse-names":false,"suffix":""},{"dropping-particle":"","family":"Lichtenstein","given":"Alice H","non-dropping-particle":"","parse-names":false,"suffix":""},{"dropping-particle":"","family":"Bairey Merz","given":"C Noel","non-dropping-particle":"","parse-names":false,"suffix":""},{"dropping-particle":"","family":"Blum","given":"Conrad B","non-dropping-particle":"","parse-names":false,"suffix":""},{"dropping-particle":"","family":"Eckel","given":"Robert H","non-dropping-particle":"","parse-names":false,"suffix":""},{"dropping-particle":"","family":"Goldberg","given":"Anne C","non-dropping-particle":"","parse-names":false,"suffix":""},{"dropping-particle":"","family":"Gordon","given":"David","non-dropping-particle":"","parse-names":false,"suffix":""},{"dropping-particle":"","family":"Levy","given":"Daniel","non-dropping-particle":"","parse-names":false,"suffix":""},{"dropping-particle":"","family":"Lloyd-Jones","given":"Donald M","non-dropping-particle":"","parse-names":false,"suffix":""},{"dropping-particle":"","family":"McBride","given":"Patrick","non-dropping-particle":"","parse-names":false,"suffix":""},{"dropping-particle":"","family":"Schwartz","given":"J Sanford","non-dropping-particle":"","parse-names":false,"suffix":""},{"dropping-particle":"","family":"Shero","given":"Susan T","non-dropping-particle":"","parse-names":false,"suffix":""},{"dropping-particle":"","family":"Smith","given":"Sidney C","non-dropping-particle":"","parse-names":false,"suffix":""},{"dropping-particle":"","family":"Watson","given":"Karol","non-dropping-particle":"","parse-names":false,"suffix":""},{"dropping-particle":"","family":"Wilson","given":"Peter W F","non-dropping-particle":"","parse-names":false,"suffix":""},{"dropping-particle":"","family":"Eddleman","given":"Karen M","non-dropping-particle":"","parse-names":false,"suffix":""},{"dropping-particle":"","family":"Jarrett","given":"Nicole M","non-dropping-particle":"","parse-names":false,"suffix":""},{"dropping-particle":"","family":"LaBresh","given":"Ken","non-dropping-particle":"","parse-names":false,"suffix":""},{"dropping-particle":"","family":"Nevo","given":"Lev","non-dropping-particle":"","parse-names":false,"suffix":""},{"dropping-particle":"","family":"Wnek","given":"Janusz","non-dropping-particle":"","parse-names":false,"suffix":""},{"dropping-particle":"","family":"Anderson","given":"Jeffrey L","non-dropping-particle":"","parse-names":false,"suffix":""},{"dropping-particle":"","family":"Halperin","given":"Jonathan L","non-dropping-particle":"","parse-names":false,"suffix":""},{"dropping-particle":"","family":"Albert","given":"Nancy M","non-dropping-particle":"","parse-names":false,"suffix":""},{"dropping-particle":"","family":"Bozkurt","given":"Biykem","non-dropping-particle":"","parse-names":false,"suffix":""},{"dropping-particle":"","family":"Brindis","given":"Ralph G","non-dropping-particle":"","parse-names":false,"suffix":""},{"dropping-particle":"","family":"Curtis","given":"Lesley H","non-dropping-particle":"","parse-names":false,"suffix":""},{"dropping-particle":"","family":"DeMets","given":"David","non-dropping-particle":"","parse-names":false,"suffix":""},{"dropping-particle":"","family":"Hochman","given":"Judith S","non-dropping-particle":"","parse-names":false,"suffix":""},{"dropping-particle":"","family":"Kovacs","given":"Richard J","non-dropping-particle":"","parse-names":false,"suffix":""},{"dropping-particle":"","family":"Ohman","given":"E Magnus","non-dropping-particle":"","parse-names":false,"suffix":""},{"dropping-particle":"","family":"Pressler","given":"Susan J","non-dropping-particle":"","parse-names":false,"suffix":""},{"dropping-particle":"","family":"Sellke","given":"Frank W","non-dropping-particle":"","parse-names":false,"suffix":""},{"dropping-particle":"","family":"Shen","given":"Win-Kuang","non-dropping-particle":"","parse-names":false,"suffix":""},{"dropping-particle":"","family":"Smith","given":"Sidney C","non-dropping-particle":"","parse-names":false,"suffix":""},{"dropping-particle":"","family":"Tomaselli","given":"Gordon F","non-dropping-particle":"","parse-names":false,"suffix":""},{"dropping-particle":"","family":"American College of Cardiology/American Heart Association Task Force on Practice Guidelines","given":"","non-dropping-particle":"","parse-names":false,"suffix":""}],"container-title":"Circulation","id":"ITEM-4","issue":"25 Suppl 2","issued":{"date-parts":[["2014","6","24"]]},"page":"S1-45","title":"2013 ACC/AHA guideline on the treatment of blood cholesterol to reduce atherosclerotic cardiovascular risk in adults: a report of the American College of Cardiology/American Heart Association Task Force on Practice Guidelines.","type":"article-journal","volume":"129"},"uris":["http://www.mendeley.com/documents/?uuid=55c21412-f360-4fba-95ed-5cdf55eb7588"]}],"mendeley":{"formattedCitation":"&lt;sup&gt;2–5&lt;/sup&gt;","plainTextFormattedCitation":"2–5","previouslyFormattedCitation":"&lt;sup&gt;2–5&lt;/sup&gt;"},"properties":{"noteIndex":0},"schema":"https://github.com/citation-style-language/schema/raw/master/csl-citation.json"}</w:instrText>
      </w:r>
      <w:r w:rsidR="006F6370">
        <w:fldChar w:fldCharType="separate"/>
      </w:r>
      <w:r w:rsidR="006F6370" w:rsidRPr="006F6370">
        <w:rPr>
          <w:noProof/>
          <w:vertAlign w:val="superscript"/>
        </w:rPr>
        <w:t>2–5</w:t>
      </w:r>
      <w:r w:rsidR="006F6370">
        <w:fldChar w:fldCharType="end"/>
      </w:r>
    </w:p>
    <w:p w14:paraId="62A74971" w14:textId="4C5A30AB" w:rsidR="004B6CDA" w:rsidRDefault="00B5747D" w:rsidP="004B6CDA">
      <w:pPr>
        <w:pStyle w:val="Text"/>
      </w:pPr>
      <w:r>
        <w:t>However, p</w:t>
      </w:r>
      <w:r w:rsidR="004B6CDA" w:rsidRPr="0004071B">
        <w:t xml:space="preserve">atients may not </w:t>
      </w:r>
      <w:r w:rsidR="00157E78">
        <w:t>derive the intended benefit</w:t>
      </w:r>
      <w:r w:rsidR="004B6CDA" w:rsidRPr="0004071B">
        <w:t xml:space="preserve"> from the use of lipi</w:t>
      </w:r>
      <w:r w:rsidR="00AB254F">
        <w:t xml:space="preserve">d-lowering agents for </w:t>
      </w:r>
      <w:r w:rsidR="007466EA">
        <w:t>a number of</w:t>
      </w:r>
      <w:r w:rsidR="004B6CDA" w:rsidRPr="0004071B">
        <w:t xml:space="preserve"> reasons</w:t>
      </w:r>
      <w:r w:rsidR="007466EA">
        <w:t xml:space="preserve"> </w:t>
      </w:r>
      <w:r w:rsidR="006D2273">
        <w:t>related to physician and patient-level factors</w:t>
      </w:r>
      <w:r w:rsidR="004B6CDA" w:rsidRPr="0004071B">
        <w:t xml:space="preserve">.  </w:t>
      </w:r>
      <w:r w:rsidR="007466EA">
        <w:t xml:space="preserve">Physician-level factors include </w:t>
      </w:r>
      <w:r w:rsidR="006D2273">
        <w:t xml:space="preserve">limited </w:t>
      </w:r>
      <w:r w:rsidR="007466EA">
        <w:t>knowledge about the evidence</w:t>
      </w:r>
      <w:r w:rsidR="00E77218">
        <w:fldChar w:fldCharType="begin" w:fldLock="1"/>
      </w:r>
      <w:r w:rsidR="0075193E">
        <w:instrText>ADDIN CSL_CITATION {"citationItems":[{"id":"ITEM-1","itemData":{"DOI":"10.1371/journal.pone.0170228","ISBN":"1111111111","ISSN":"19326203","PMID":"28085944","abstract":"Background Primary cardiovascular disease (CVD) prevention in older people is challenging as they are a diverse group with varying needs, frequent presence of comorbidities, and are more susceptible to treatment harms. Moreover the potential benefits and harms of preventive medication for older people are uncertain. We explored GPs’ decision making about primary CVD prevention in patients aged 75 years and older.   Method 25 GPs participated in semi-structured interviews in New South Wales, Australia. Transcribed audio-recordings were thematically coded and Framework Analysis was used.   Results Analysis identified factors that are likely to contribute to variation in the management of CVD risk in older people. Some GPs based CVD prevention on guidelines regardless of patient age. Others tailored management based on factors such as perceptions of prevention in older age, knowledge of limited evidence, comorbidities, polypharmacy, frailty, and life expectancy. GPs were more confident about: 1) medication and lifestyle change for fit/healthy older patients, and 2) stopping or avoiding medication for frail/nursing home patients. Decision making for older patients outside of these categories was less clear.   Conclusion Older patients receive different care depending on their GP’s perceptions of ageing and CVD prevention, and their knowledge of available evidence. GPs consider CVD prevention for older patients challenging and would welcome more guidance in this area.","author":[{"dropping-particle":"","family":"Jansen","given":"Jesse","non-dropping-particle":"","parse-names":false,"suffix":""},{"dropping-particle":"","family":"McKinn","given":"Shannon","non-dropping-particle":"","parse-names":false,"suffix":""},{"dropping-particle":"","family":"Bonner","given":"Carissa","non-dropping-particle":"","parse-names":false,"suffix":""},{"dropping-particle":"","family":"Irwig","given":"Les","non-dropping-particle":"","parse-names":false,"suffix":""},{"dropping-particle":"","family":"Doust","given":"Jenny","non-dropping-particle":"","parse-names":false,"suffix":""},{"dropping-particle":"","family":"Glasziou","given":"Paul","non-dropping-particle":"","parse-names":false,"suffix":""},{"dropping-particle":"","family":"Bell","given":"Katy","non-dropping-particle":"","parse-names":false,"suffix":""},{"dropping-particle":"","family":"Naganathan","given":"Vasi","non-dropping-particle":"","parse-names":false,"suffix":""},{"dropping-particle":"","family":"McCaffery","given":"Kirsten","non-dropping-particle":"","parse-names":false,"suffix":""}],"container-title":"PLoS ONE","id":"ITEM-1","issue":"1","issued":{"date-parts":[["2017"]]},"page":"1-13","title":"General practitioners' decision making about primary prevention of cardiovascular disease in older adults: A qualitative study","type":"article-journal","volume":"12"},"uris":["http://www.mendeley.com/documents/?uuid=fe7546d2-9565-4ec8-bcac-8342ff77b211"]},{"id":"ITEM-2","itemData":{"DOI":"10.1016/j.atherosclerosis.2010.09.014","ISSN":"1879-1484","PMID":"20947087","abstract":"BACKGROUND Cardiovascular diseases (CVD) are the major cause of premature death in the world. This study was designed to examine the physicians' knowledge and perception of CVD risk factors and perceived implementation of CVD prevention guidelines as well as barriers to their implementation. METHODS A questionnaire survey by face-to-face interviews was performed among 1382 randomly selected physicians (general practitioners/family medicine specialists, internists and cardiologists) from different regions of Croatia. RESULTS Most physicians believe that guidelines are useful but only 56.9% are really using some guidelines. 40.2% favour Joint European guidelines. More primary care physicians use their own personal experience in prevention while internists and cardiologists tend more to use the guidelines. 80.6% believe that they treat their patients with dyslipidemia well but only 53.3% knew the LDL-cholesterol goal value for high-risk patients and only 56.2% knew which HDL-cholesterol level is the marker of increased risk. Hypertension was perceived as the most important risk factor, particularly by primary care physicians, while cardiologists tend to favour diabetes. Although most physicians considered the lack of financial resources as the main barrier in CVD prevention, at the same time most of them believe that it could primarily be improved by better patient education. CONCLUSIONS Although most physicians support the guidelines use, only half of them use them and in average their knowledge of guidelines is not satisfactory. This is, together with the lack of time and finances and perceived lack of patients' awareness, probably one of the main causes why they do not manage risk factors better.","author":[{"dropping-particle":"","family":"Reiner","given":"Zeljko","non-dropping-particle":"","parse-names":false,"suffix":""},{"dropping-particle":"","family":"Sonicki","given":"Zdenko","non-dropping-particle":"","parse-names":false,"suffix":""},{"dropping-particle":"","family":"Tedeschi-Reiner","given":"Eugenia","non-dropping-particle":"","parse-names":false,"suffix":""}],"container-title":"Atherosclerosis","id":"ITEM-2","issue":"2","issued":{"date-parts":[["2010","12"]]},"page":"598-603","title":"Physicians' perception, knowledge and awareness of cardiovascular risk factors and adherence to prevention guidelines: the PERCRO-DOC survey.","type":"article-journal","volume":"213"},"uris":["http://www.mendeley.com/documents/?uuid=81279f84-87ff-4435-80b0-fcbc98617de2"]},{"id":"ITEM-3","itemData":{"DOI":"10.1161/01.CIR.0000154568.43333.82","ISSN":"1524-4539","PMID":"15687140","abstract":"BACKGROUND Few data have evaluated physician adherence to cardiovascular disease (CVD) prevention guidelines according to physician specialty or patient characteristics, particularly gender. METHODS AND RESULTS An online study of 500 randomly selected physicians (300 primary care physicians, 100 obstetricians/gynecologists, and 100 cardiologists) used a standardized questionnaire to assess awareness of, adoption of, and barriers to national CVD prevention guidelines by specialty. An experimental case study design tested physician accuracy and determinants of CVD risk level assignment and application of guidelines among high-, intermediate-, or low-risk patients. Intermediate-risk women, as assessed by the Framingham risk score, were significantly more likely to be assigned to a lower-risk category by primary care physicians than men with identical risk profiles (P&lt;0.0001), and trends were similar for obstetricians/gynecologists and cardiologists. Assignment of risk level significantly predicted recommendations for lifestyle and preventive pharmacotherapy. After adjustment for risk assignment, the impact of patient gender on preventive care was not significant except for less aspirin (P&lt;0.01) and more weight management recommended (P&lt;0.04) for intermediate-risk women. Physicians did not rate themselves as very effective in their ability to help patients prevent CVD. Fewer than 1 in 5 physicians knew that more women than men die each year from CVD. CONCLUSIONS Perception of risk was the primary factor associated with CVD preventive recommendations. Gender disparities in recommendations for preventive therapy were explained largely by the lower perceived risk despite similar calculated risk for women versus men. Educational interventions for physicians are needed to improve the quality of CVD preventive care and lower morbidity and mortality from CVD for men and women.","author":[{"dropping-particle":"","family":"Mosca","given":"Lori","non-dropping-particle":"","parse-names":false,"suffix":""},{"dropping-particle":"","family":"Linfante","given":"Allison H","non-dropping-particle":"","parse-names":false,"suffix":""},{"dropping-particle":"","family":"Benjamin","given":"Emelia J","non-dropping-particle":"","parse-names":false,"suffix":""},{"dropping-particle":"","family":"Berra","given":"Kathy","non-dropping-particle":"","parse-names":false,"suffix":""},{"dropping-particle":"","family":"Hayes","given":"Sharonne N","non-dropping-particle":"","parse-names":false,"suffix":""},{"dropping-particle":"","family":"Walsh","given":"Brian W","non-dropping-particle":"","parse-names":false,"suffix":""},{"dropping-particle":"","family":"Fabunmi","given":"Rosalind P","non-dropping-particle":"","parse-names":false,"suffix":""},{"dropping-particle":"","family":"Kwan","given":"Johnny","non-dropping-particle":"","parse-names":false,"suffix":""},{"dropping-particle":"","family":"Mills","given":"Thomas","non-dropping-particle":"","parse-names":false,"suffix":""},{"dropping-particle":"","family":"Simpson","given":"Susan Lee","non-dropping-particle":"","parse-names":false,"suffix":""}],"container-title":"Circulation","id":"ITEM-3","issue":"4","issued":{"date-parts":[["2005","2","1"]]},"page":"499-510","title":"National study of physician awareness and adherence to cardiovascular disease prevention guidelines.","type":"article-journal","volume":"111"},"uris":["http://www.mendeley.com/documents/?uuid=94eb9c54-6f1b-43c0-ab0d-3209b828818a"]}],"mendeley":{"formattedCitation":"&lt;sup&gt;6–8&lt;/sup&gt;","plainTextFormattedCitation":"6–8","previouslyFormattedCitation":"&lt;sup&gt;6–8&lt;/sup&gt;"},"properties":{"noteIndex":0},"schema":"https://github.com/citation-style-language/schema/raw/master/csl-citation.json"}</w:instrText>
      </w:r>
      <w:r w:rsidR="00E77218">
        <w:fldChar w:fldCharType="separate"/>
      </w:r>
      <w:r w:rsidR="00E77218" w:rsidRPr="00E77218">
        <w:rPr>
          <w:noProof/>
          <w:vertAlign w:val="superscript"/>
        </w:rPr>
        <w:t>6–8</w:t>
      </w:r>
      <w:r w:rsidR="00E77218">
        <w:fldChar w:fldCharType="end"/>
      </w:r>
      <w:r w:rsidR="007466EA">
        <w:t xml:space="preserve"> </w:t>
      </w:r>
      <w:r w:rsidR="006D2273">
        <w:t>and</w:t>
      </w:r>
      <w:r w:rsidR="007466EA">
        <w:t xml:space="preserve"> a real or perceived risk of adverse effects.</w:t>
      </w:r>
      <w:r w:rsidR="007466EA">
        <w:fldChar w:fldCharType="begin" w:fldLock="1"/>
      </w:r>
      <w:r w:rsidR="0075193E">
        <w:instrText>ADDIN CSL_CITATION {"citationItems":[{"id":"ITEM-1","itemData":{"DOI":"10.6515/ACS20160611A","ISSN":"10116842","PMID":"27899849","abstract":"BACKGROUND: Hydroxymethyl glutaryl coenzyme A reductase inhibitors, commonly called statins, are some of the most commonly prescribed medications worldwide. Evidence suggests that statin therapy has significant mortality and morbidity benefit for both primary and secondary prevention from cardiovascular disease. Nonetheless, concern has been expressed regarding the adverse effects of long term statin use. The purpose of this article was to review the current medical literature regarding the safety of statins. METHODS: Major trials and review articles on the safety of statins were identified in a search of the MEDLINE database from 1980 to 2016, which was limited to English articles. RESULTS: Myalgia is the most common side effect of statin use, with documented rates from 1-10%. Rhabdomyolysis is the most serious adverse effect from statin use, though it occurs quite rarely (less than 0.1%). The most common risk factors for statin-related myopathy include hypothyroidism, polypharmacy and alcohol abuse. Derangement in liver function tests is common, affecting up to 1% of patients; however, the clinical significance of this is unknown. Some statin drugs are potentially diabetogenic and the risk appears to increase in those patients on higher doses. Pitavastatin has not been associated with increased risk of diabetes. Statins have not been proven to increase the risk of malignancy, dementia, mood disorders or acute interstitial nephritis. However, statins do have multiple drug interactions, primarily those which interact with the cytochrome p450 enzyme group. CONCLUSIONS: Overall, statin drugs appear to be safe for use in the vast majority of patients. However, patients with multiple medical co-morbidities are at increased risk of adverse effects from long-term statin use.","author":[{"dropping-particle":"","family":"Ramkumar","given":"Satish","non-dropping-particle":"","parse-names":false,"suffix":""},{"dropping-particle":"","family":"Raghunath","given":"Ajay","non-dropping-particle":"","parse-names":false,"suffix":""},{"dropping-particle":"","family":"Raghunath","given":"Sudhakshini","non-dropping-particle":"","parse-names":false,"suffix":""}],"container-title":"Acta Cardiologica Sinica","id":"ITEM-1","issue":"6","issued":{"date-parts":[["2016"]]},"page":"631-639","title":"Statin therapy: Review of safety and potential side effects","type":"article-journal","volume":"32"},"uris":["http://www.mendeley.com/documents/?uuid=ca18734a-2d51-44dc-8640-c2ca944c3bb6"]}],"mendeley":{"formattedCitation":"&lt;sup&gt;9&lt;/sup&gt;","plainTextFormattedCitation":"9","previouslyFormattedCitation":"&lt;sup&gt;9&lt;/sup&gt;"},"properties":{"noteIndex":0},"schema":"https://github.com/citation-style-language/schema/raw/master/csl-citation.json"}</w:instrText>
      </w:r>
      <w:r w:rsidR="007466EA">
        <w:fldChar w:fldCharType="separate"/>
      </w:r>
      <w:r w:rsidR="00E77218" w:rsidRPr="00E77218">
        <w:rPr>
          <w:noProof/>
          <w:vertAlign w:val="superscript"/>
        </w:rPr>
        <w:t>9</w:t>
      </w:r>
      <w:r w:rsidR="007466EA">
        <w:fldChar w:fldCharType="end"/>
      </w:r>
      <w:r w:rsidR="007466EA">
        <w:t xml:space="preserve">  There </w:t>
      </w:r>
      <w:r w:rsidR="006D2273">
        <w:t xml:space="preserve">is also reluctance to use </w:t>
      </w:r>
      <w:r w:rsidR="007466EA">
        <w:t>high intensity statin therapy among physicians.</w:t>
      </w:r>
      <w:r w:rsidR="006D2273">
        <w:fldChar w:fldCharType="begin" w:fldLock="1"/>
      </w:r>
      <w:r w:rsidR="0075193E">
        <w:instrText>ADDIN CSL_CITATION {"citationItems":[{"id":"ITEM-1","itemData":{"DOI":"10.2147/VHRM.S82710","ISSN":"1178-2048","PMID":"26082642","abstract":"PURPOSE There is an unmet need for strategies to prevent atherosclerotic cardiovascular disease in Singapore. The main objective of this study was to investigate Singapore physicians' response to the 2013 American College of Cardiology and American Heart Association (ACC/AHA) guidelines for treatment of cholesterol and their impact on clinical practice. METHODS This survey was conducted in two stages, qualitative and quantitative. Physicians were initially screened on the basis of an initial screener questionnaire, and eligible physicians were then included in the study. RESULTS Qualitative (n=19) and quantitative (n=66) surveys were completed by eligible physicians from Singapore. Physicians were less familiar with the 2013 ACC/AHA guidelines (35%) as compared with the Singapore Ministry of Health (MoH) lipid guidelines 2006 (49%). Of the physicians whose opinion was sought on the ACC/AHA guidelines, more than 50% disagreed with the definition of high-, moderate-, and low-intensity statin therapy; recommendation of atorvastatin 40-80 mg and rosuvastatin 20-40 mg as medications for high-intensity statin therapy; and classification of individuals who would benefit from moderate- to high-intensity statin therapy. Most physicians assumed that Asians may be intolerant to high-intensity statin therapy. CONCLUSION Although embracing the 2013 ACC/AHA guidelines in clinical practice is expected to provide better clinical care to patients, our study revealed high reluctance by physicians, especially in the use of high-dose statins. However, ACC/AHA guidelines can be easily adopted in Asia as there is a wealth of data available for atorvastatin in primary and secondary prevention of atherosclerotic cardiovascular disease with similar efficacy and safety profiles in the white and Asian populations.","author":[{"dropping-particle":"","family":"Setia","given":"Sajita","non-dropping-particle":"","parse-names":false,"suffix":""},{"dropping-particle":"","family":"Fung","given":"Selwyn Sze-Wang","non-dropping-particle":"","parse-names":false,"suffix":""},{"dropping-particle":"","family":"Waters","given":"David D","non-dropping-particle":"","parse-names":false,"suffix":""}],"container-title":"Vascular health and risk management","id":"ITEM-1","issued":{"date-parts":[["2015"]]},"page":"303-10","title":"Doctors' knowledge, attitudes, and compliance with 2013 ACC/AHA guidelines for prevention of atherosclerotic cardiovascular disease in Singapore.","type":"article-journal","volume":"11"},"uris":["http://www.mendeley.com/documents/?uuid=d61e6e1e-ccca-4d69-814d-af820542aad1"]},{"id":"ITEM-2","itemData":{"DOI":"10.1007/s00392-016-0991-z","ISSN":"1861-0692","PMID":"27120330","abstract":"The use of atorvastatin is rapidly increasing among statins since the introduction of generics. However, only limited data are available on its current use and the effectiveness outside of randomised trials. The aim of the study was to assess low-density lipoprotein (LDL-C) levels in ambulatory patients at very high cardiovascular risk on atorvastatin therapy in physician's offices. A total of 2625 high-risk patients on atorvastatin were included into this cross-sectional study by 539 office-based physicians between June and December 2014. 47.0 % of the patients had documented coronary heart disease (CHD), 25.1 % type 2 diabetes mellitus (DM), and 27.9 % CHD plus concomitant DM. The mean age was 66.1 ± 10.8 years, 62.1 % were male. Atorvastatin at the dose of 10, 20, 40 and 80 mg/day was administered in 15.6, 45.7, 33.9, and 4.8 % of the patients, respectively. The treatment duration was 92.6 ± 109.6 weeks. The mean atorvastatin dose at therapy start was 24.8 ± 15.2 mg/day and at time of documentation 27.9 ± 15.8 mg/day. Low-density lipoprotein cholesterol (LDL-C) &lt;70 mg/dL was achieved by 10.5 % of the total cohort (7.5 % in DM, 9.3 % in CHD, and 15.2 % in CHD + DM). In contrast, according to physicians' subjective assessment, 62.7 % of patients (with small differences between groups) had reached their individual LDL-C target. In summary, higher doses of atorvastatin are not frequently used in clinical practice. The LDL-C target level &lt;70 mg/dL as recommended by current guidelines is achieved only in a minority of atorvastatin treated patients at very high cardiovascular risk.","author":[{"dropping-particle":"","family":"Laufs","given":"Ulrich","non-dropping-particle":"","parse-names":false,"suffix":""},{"dropping-particle":"","family":"Karmann","given":"Barbara","non-dropping-particle":"","parse-names":false,"suffix":""},{"dropping-particle":"","family":"Pittrow","given":"David","non-dropping-particle":"","parse-names":false,"suffix":""}],"container-title":"Clinical research in cardiology : official journal of the German Cardiac Society","id":"ITEM-2","issue":"9","issued":{"date-parts":[["2016","9"]]},"page":"783-90","title":"Atorvastatin treatment and LDL cholesterol target attainment in patients at very high cardiovascular risk.","type":"article-journal","volume":"105"},"uris":["http://www.mendeley.com/documents/?uuid=af04bb43-f661-4514-89f4-517e41bcac27"]}],"mendeley":{"formattedCitation":"&lt;sup&gt;10,11&lt;/sup&gt;","plainTextFormattedCitation":"10,11","previouslyFormattedCitation":"&lt;sup&gt;10,11&lt;/sup&gt;"},"properties":{"noteIndex":0},"schema":"https://github.com/citation-style-language/schema/raw/master/csl-citation.json"}</w:instrText>
      </w:r>
      <w:r w:rsidR="006D2273">
        <w:fldChar w:fldCharType="separate"/>
      </w:r>
      <w:r w:rsidR="00E77218" w:rsidRPr="00E77218">
        <w:rPr>
          <w:noProof/>
          <w:vertAlign w:val="superscript"/>
        </w:rPr>
        <w:t>10,11</w:t>
      </w:r>
      <w:r w:rsidR="006D2273">
        <w:fldChar w:fldCharType="end"/>
      </w:r>
      <w:r w:rsidR="007466EA">
        <w:t xml:space="preserve">  Patient-level factors </w:t>
      </w:r>
      <w:r w:rsidR="00401E13">
        <w:t>include</w:t>
      </w:r>
      <w:r w:rsidR="007466EA">
        <w:t xml:space="preserve"> </w:t>
      </w:r>
      <w:r w:rsidR="009852EE">
        <w:t xml:space="preserve">poor </w:t>
      </w:r>
      <w:r w:rsidR="007466EA">
        <w:t xml:space="preserve">adherence, </w:t>
      </w:r>
      <w:r w:rsidR="006B5653" w:rsidRPr="0004071B">
        <w:t xml:space="preserve">either </w:t>
      </w:r>
      <w:r w:rsidR="00401E13">
        <w:t>from</w:t>
      </w:r>
      <w:r w:rsidR="00401E13" w:rsidRPr="0004071B">
        <w:t xml:space="preserve"> </w:t>
      </w:r>
      <w:r w:rsidR="006B5653" w:rsidRPr="0004071B">
        <w:t>not taking medication consistently</w:t>
      </w:r>
      <w:r w:rsidR="00401E13">
        <w:t xml:space="preserve"> (i.e., low compliance)</w:t>
      </w:r>
      <w:r w:rsidR="006B5653" w:rsidRPr="0004071B">
        <w:t>, or by discontinuing medication</w:t>
      </w:r>
      <w:r w:rsidR="00401E13">
        <w:t xml:space="preserve"> (i.e., low persistence)</w:t>
      </w:r>
      <w:r w:rsidR="006B5653" w:rsidRPr="0004071B">
        <w:t>.</w:t>
      </w:r>
      <w:r w:rsidR="006B5653" w:rsidRPr="0004071B">
        <w:fldChar w:fldCharType="begin" w:fldLock="1"/>
      </w:r>
      <w:r w:rsidR="0075193E">
        <w:instrText>ADDIN CSL_CITATION {"citationItems":[{"id":"ITEM-1","itemData":{"DOI":"10.5837/bjc.2012.003","ISSN":"09696113","abstract":"National Institute for Health and Clinical Excellence (NICE) guideline CG67 recommends that acute coronary syndrome (ACS) cases are treated with high-intensity statins (defined as statins used in doses that produce greater cholesterol lowering than simvastatin 40 mg). The objective of this study was to describe current UK prescribing of statins following ACS. This study used data from linkage between the Myocardial Ischaemia National Audit Project (MINAP) database and the General Practice Research Database (GPRD). The study included adults aged 40+ with a discharge diagnosis in MINAP of myocardial infarction, troponin positive or negative ACS discharged alive to home. A total of 6,138 ACS cases were included. Most ACS cases were prescribed both a statin at hospital discharge and by their GP, however, 340 of the 6,138 ACS cases (5.5%) had no record of statin prescription from either source. Of the ACS cases prescribed a statin by their GP, 30.1% received a high-intensity statin dose. At year four, 43% (95% confidence interval [CI] 41–45%) of ACS cases prescribed a statin remained on treatment (42% for those starting low and 45% for high intensity). In conclusion, statin therapy is provided to most ACS cases in the UK but duration and dosage is shorter and lower than recommended.","author":[{"dropping-particle":"","family":"Boggon","given":"Rachael","non-dropping-particle":"","parse-names":false,"suffix":""},{"dropping-particle":"","family":"Eaton","given":"Susan","non-dropping-particle":"","parse-names":false,"suffix":""},{"dropping-particle":"","family":"Adam","given":"Timmis","non-dropping-particle":"","parse-names":false,"suffix":""},{"dropping-particle":"","family":"Hemingway","given":"Harry","non-dropping-particle":"","parse-names":false,"suffix":""},{"dropping-particle":"","family":"Gabriel","given":"Zahava","non-dropping-particle":"","parse-names":false,"suffix":""},{"dropping-particle":"","family":"Minhas","given":"Iqbal","non-dropping-particle":"","parse-names":false,"suffix":""},{"dropping-particle":"","family":"Staa","given":"Tjeerd P","non-dropping-particle":"van","parse-names":false,"suffix":""}],"container-title":"British Journal of Cardiology","id":"ITEM-1","issue":"24","issued":{"date-parts":[["2012"]]},"title":"Current prescribing of statins and persistence to statins following ACS in the UK: a MINAP/GPRD study","type":"article-journal","volume":"19"},"uris":["http://www.mendeley.com/documents/?uuid=95e31482-d953-4748-8773-91eaf3d90fe8"]},{"id":"ITEM-2","itemData":{"DOI":"10.1177/2047487315569401","ISSN":"2047-4873","author":[{"dropping-particle":"","family":"Kotseva","given":"K.","non-dropping-particle":"","parse-names":false,"suffix":""},{"dropping-particle":"","family":"Wood","given":"D.","non-dropping-particle":"","parse-names":false,"suffix":""},{"dropping-particle":"","family":"Bacquer","given":"D.","non-dropping-particle":"De","parse-names":false,"suffix":""},{"dropping-particle":"","family":"Backer","given":"G.","non-dropping-particle":"De","parse-names":false,"suffix":""},{"dropping-particle":"","family":"Ryden","given":"L.","non-dropping-particle":"","parse-names":false,"suffix":""},{"dropping-particle":"","family":"Jennings","given":"C.","non-dropping-particle":"","parse-names":false,"suffix":""},{"dropping-particle":"","family":"Gyberg","given":"V.","non-dropping-particle":"","parse-names":false,"suffix":""},{"dropping-particle":"","family":"Amouyel","given":"P.","non-dropping-particle":"","parse-names":false,"suffix":""},{"dropping-particle":"","family":"Bruthans","given":"J.","non-dropping-particle":"","parse-names":false,"suffix":""},{"dropping-particle":"","family":"Castro Conde","given":"A.","non-dropping-particle":"","parse-names":false,"suffix":""},{"dropping-particle":"","family":"Cifkova","given":"R.","non-dropping-particle":"","parse-names":false,"suffix":""},{"dropping-particle":"","family":"Deckers","given":"J. W.","non-dropping-particle":"","parse-names":false,"suffix":""},{"dropping-particle":"","family":"Sutter","given":"J.","non-dropping-particle":"De","parse-names":false,"suffix":""},{"dropping-particle":"","family":"Dilic","given":"M.","non-dropping-particle":"","parse-names":false,"suffix":""},{"dropping-particle":"","family":"Dolzhenko","given":"M.","non-dropping-particle":"","parse-names":false,"suffix":""},{"dropping-particle":"","family":"Erglis","given":"A.","non-dropping-particle":"","parse-names":false,"suffix":""},{"dropping-particle":"","family":"Fras","given":"Z.","non-dropping-particle":"","parse-names":false,"suffix":""},{"dropping-particle":"","family":"Gaita","given":"D.","non-dropping-particle":"","parse-names":false,"suffix":""},{"dropping-particle":"","family":"Gotcheva","given":"N.","non-dropping-particle":"","parse-names":false,"suffix":""},{"dropping-particle":"","family":"Goudevenos","given":"J.","non-dropping-particle":"","parse-names":false,"suffix":""},{"dropping-particle":"","family":"Heuschmann","given":"P.","non-dropping-particle":"","parse-names":false,"suffix":""},{"dropping-particle":"","family":"Laucevicius","given":"A.","non-dropping-particle":"","parse-names":false,"suffix":""},{"dropping-particle":"","family":"Lehto","given":"S.","non-dropping-particle":"","parse-names":false,"suffix":""},{"dropping-particle":"","family":"Lovic","given":"D.","non-dropping-particle":"","parse-names":false,"suffix":""},{"dropping-particle":"","family":"Milicic","given":"D.","non-dropping-particle":"","parse-names":false,"suffix":""},{"dropping-particle":"","family":"Moore","given":"D.","non-dropping-particle":"","parse-names":false,"suffix":""},{"dropping-particle":"","family":"Nicolaides","given":"E.","non-dropping-particle":"","parse-names":false,"suffix":""},{"dropping-particle":"","family":"Oganov","given":"R.","non-dropping-particle":"","parse-names":false,"suffix":""},{"dropping-particle":"","family":"Pajak","given":"A.","non-dropping-particle":"","parse-names":false,"suffix":""},{"dropping-particle":"","family":"Pogosova","given":"N.","non-dropping-particle":"","parse-names":false,"suffix":""},{"dropping-particle":"","family":"Reiner","given":"Z.","non-dropping-particle":"","parse-names":false,"suffix":""},{"dropping-particle":"","family":"Stagmo","given":"M.","non-dropping-particle":"","parse-names":false,"suffix":""},{"dropping-particle":"","family":"Sto rk","given":"S.","non-dropping-particle":"","parse-names":false,"suffix":""},{"dropping-particle":"","family":"Tokgo zoglu","given":"L.","non-dropping-particle":"","parse-names":false,"suffix":""},{"dropping-particle":"","family":"Vulic","given":"D.","non-dropping-particle":"","parse-names":false,"suffix":""}],"container-title":"European Journal of Preventive Cardiology","id":"ITEM-2","issue":"6","issued":{"date-parts":[["2016","4","1"]]},"page":"636-648","title":"EUROASPIRE IV: A European Society of Cardiology survey on the lifestyle, risk factor and therapeutic management of coronary patients from 24 European countries","type":"article-journal","volume":"23"},"uris":["http://www.mendeley.com/documents/?uuid=53fed282-8a63-4ad2-9dd9-5f59f1c19c4b"]}],"mendeley":{"formattedCitation":"&lt;sup&gt;12,13&lt;/sup&gt;","plainTextFormattedCitation":"12,13","previouslyFormattedCitation":"&lt;sup&gt;12,13&lt;/sup&gt;"},"properties":{"noteIndex":0},"schema":"https://github.com/citation-style-language/schema/raw/master/csl-citation.json"}</w:instrText>
      </w:r>
      <w:r w:rsidR="006B5653" w:rsidRPr="0004071B">
        <w:fldChar w:fldCharType="separate"/>
      </w:r>
      <w:r w:rsidR="00E77218" w:rsidRPr="00E77218">
        <w:rPr>
          <w:noProof/>
          <w:vertAlign w:val="superscript"/>
        </w:rPr>
        <w:t>12,13</w:t>
      </w:r>
      <w:r w:rsidR="006B5653" w:rsidRPr="0004071B">
        <w:fldChar w:fldCharType="end"/>
      </w:r>
      <w:r w:rsidR="006B5653" w:rsidRPr="0004071B">
        <w:t xml:space="preserve">  </w:t>
      </w:r>
    </w:p>
    <w:p w14:paraId="1D997CA4" w14:textId="67968C70" w:rsidR="006B5653" w:rsidRDefault="00AB254F" w:rsidP="004B6CDA">
      <w:pPr>
        <w:pStyle w:val="Text"/>
      </w:pPr>
      <w:r>
        <w:t xml:space="preserve">These issues can lead to suboptimal risk reduction in </w:t>
      </w:r>
      <w:r w:rsidR="007466EA">
        <w:t xml:space="preserve">high risk </w:t>
      </w:r>
      <w:r>
        <w:t>population</w:t>
      </w:r>
      <w:r w:rsidR="007466EA">
        <w:t xml:space="preserve">s </w:t>
      </w:r>
      <w:r w:rsidR="007206E6">
        <w:t xml:space="preserve">that </w:t>
      </w:r>
      <w:r w:rsidR="007466EA">
        <w:t>may benefit from high intensity therapy</w:t>
      </w:r>
      <w:r>
        <w:t xml:space="preserve">.  </w:t>
      </w:r>
      <w:r w:rsidR="00501018">
        <w:t>Trial evidence suggests</w:t>
      </w:r>
      <w:r w:rsidR="002A3E4F">
        <w:t xml:space="preserve"> that </w:t>
      </w:r>
      <w:r w:rsidR="00BF1D00">
        <w:t xml:space="preserve">higher </w:t>
      </w:r>
      <w:r w:rsidR="002A3E4F">
        <w:t xml:space="preserve">treatment intensity </w:t>
      </w:r>
      <w:r w:rsidR="00464B24">
        <w:t xml:space="preserve">achieves greater reductions in LDL-C and </w:t>
      </w:r>
      <w:r w:rsidR="002A3E4F">
        <w:t xml:space="preserve">is associated with </w:t>
      </w:r>
      <w:r w:rsidR="00BF1D00">
        <w:t xml:space="preserve">improved </w:t>
      </w:r>
      <w:r w:rsidR="002A3E4F">
        <w:t xml:space="preserve">cardiovascular outcomes; similarly, </w:t>
      </w:r>
      <w:r w:rsidR="00501018">
        <w:t xml:space="preserve">observational </w:t>
      </w:r>
      <w:r w:rsidR="002A3E4F">
        <w:t>s</w:t>
      </w:r>
      <w:r w:rsidR="006B5653" w:rsidRPr="0004071B">
        <w:t xml:space="preserve">tudies have shown that </w:t>
      </w:r>
      <w:r w:rsidR="00BF1D00">
        <w:t xml:space="preserve">higher </w:t>
      </w:r>
      <w:r w:rsidR="006B5653" w:rsidRPr="0004071B">
        <w:t>adherence with lipid-lowering therapy is associated with improved cardiovascular outcomes.</w:t>
      </w:r>
      <w:r w:rsidR="00493428">
        <w:fldChar w:fldCharType="begin" w:fldLock="1"/>
      </w:r>
      <w:r w:rsidR="0075193E">
        <w:instrText>ADDIN CSL_CITATION {"citationItems":[{"id":"ITEM-1","itemData":{"DOI":"10.1111/j.1742-1241.2010.02445.x","ISBN":"13685031 (ISSN)","ISSN":"13685031","PMID":"20500533","abstract":"BACKGROUND: Adherence to lipid-lowering therapy in clinical practice is less than ideal. Analysis of registry data has indicated that this is associated with poor outcomes. The objective of the present analysis was to assess the impact of high adherence to drug (defined as &gt; 80% of days covered), compared with low adherence to drug (&lt; 50% of days covered) in terms of risk of events and long-term economic consequences.\\n\\nDESIGN: Open-label follow up of a randomised placebo-controlled trial in hypertensive patients.\\n\\nMETHODS: Cox proportional hazards and Poisson regression models were used to assess the hazard ratio of patients with high adherence compared with low adherence while controlling for cardiovascular risk. A Markov model was used to predict the long-term costs and health outcomes associated with poor adherence during the follow-up period.\\n\\nRESULTS: Both statistical models indicated that high adherence is associated with improved prognosis [Cox model: 0.75; 95% confidence interval (CI): 0.56-0.98, Poisson model hazard ratio: 0.73; 95% CI: 0.58-0.98]. Discounted at 3.5% per year, the Markov model predicts that as a consequence of higher adherence during the follow-up period, costs would be higher (1689 pounds per patient compared with 1323 pounds per patient) because of higher drug costs, but the projected survival and quality-adjusted survival (QALY) would also be longer (10.83 compared with 10.81 life years and 8.13 compared with 8.11 QALYs).\\n\\nCONCLUSION: Given the higher risk of cardiovascular events associated with low adherence shown here, measures to improve adherence are an important part of the prevention of cardiovascular disease.","author":[{"dropping-particle":"","family":"Lindgren","given":"P.","non-dropping-particle":"","parse-names":false,"suffix":""},{"dropping-particle":"","family":"Eriksson","given":"J.","non-dropping-particle":"","parse-names":false,"suffix":""},{"dropping-particle":"","family":"Buxton","given":"M.","non-dropping-particle":"","parse-names":false,"suffix":""},{"dropping-particle":"","family":"Kahan","given":"T.","non-dropping-particle":"","parse-names":false,"suffix":""},{"dropping-particle":"","family":"Poulter","given":"N. R.","non-dropping-particle":"","parse-names":false,"suffix":""},{"dropping-particle":"","family":"Dahlöf","given":"B.","non-dropping-particle":"","parse-names":false,"suffix":""},{"dropping-particle":"","family":"Sever","given":"P. S.","non-dropping-particle":"","parse-names":false,"suffix":""},{"dropping-particle":"","family":"Wedel","given":"H.","non-dropping-particle":"","parse-names":false,"suffix":""},{"dropping-particle":"","family":"Jönsson","given":"B.","non-dropping-particle":"","parse-names":false,"suffix":""}],"container-title":"International Journal of Clinical Practice","id":"ITEM-1","issue":"9","issued":{"date-parts":[["2010"]]},"page":"1228-1234","title":"The economic consequences of non-adherence to lipid-lowering therapy: Results from the Anglo-Scandinavian-Cardiac Outcomes Trial","type":"article-journal","volume":"64"},"uris":["http://www.mendeley.com/documents/?uuid=1617f896-6c27-420a-8c41-381e3c4c1c8c"]},{"id":"ITEM-2","itemData":{"DOI":"10.1001/jama.297.2.177","ISBN":"1538-3598","ISSN":"1538-3598","PMID":"17213401","abstract":"CONTEXT: The extent to which drug adherence may affect survival remains unclear, in part because mortality differences may be attributable to \"healthy adherer\" behavioral attributes more so than to pharmacological benefits.\\n\\nOBJECTIVE: To explore the relationship between drug adherence and mortality in survivors of acute myocardial infarction (AMI).\\n\\nDESIGN, SETTING, AND PARTICIPANTS: Population-based, observational, longitudinal study of 31 455 elderly AMI survivors between 1999 and 2003 in Ontario. All patients filled a prescription for statins, beta-blockers, or calcium channel blockers, with the latter drug considered a control given the absence of clinical trial-proven survival benefits.\\n\\nMAIN OUTCOME MEASURES: Patient adherence was subdivided a priori into 3 categories--high (proportion of days covered, &gt; or =80%), intermediate (proportion of days covered, 40%-79%), and low (proportion of days covered, &lt;40%)--and compared with long-term mortality (median of 2.4 years of follow-up) using multivariable survival models (and propensity analyses) adjusted for sociodemographic factors, illness severity, comorbidities, and concomitant use of evidence-based therapies.\\n\\nRESULTS: Among statin users, compared with their high-adherence counterparts, the risk of mortality was greatest for low adherers (deaths in 261/1071 (24%) vs 2310/14,345 (16%); adjusted hazard ratio, 1.25; 95% confidence interval, 1.09-1.42; P = .001) and was intermediary for intermediate adherers (deaths in 472/2407 (20%); adjusted hazard ratio, 1.12; 95% confidence interval, 1.01-1.25; P = .03). A similar but less pronounced dose-response-type adherence-mortality association was observed for beta-blockers. Mortality was not associated with adherence to calcium channel blockers. Moreover, sensitivity analyses demonstrated no relationships between drug adherence and cancer-related admissions, outcomes for which biological plausibility do not exist.\\n\\nCONCLUSION: The long-term survival advantages associated with improved drug adherence after AMI appear to be class-specific, suggesting that adherence outcome benefits are mediated by drug effects and do not merely reflect an epiphenomenon of \"healthy adherer\" behavioral attributes.","author":[{"dropping-particle":"","family":"Rasmussen","given":"Jeppe N","non-dropping-particle":"","parse-names":false,"suffix":""},{"dropping-particle":"","family":"Chong","given":"Alice","non-dropping-particle":"","parse-names":false,"suffix":""},{"dropping-particle":"","family":"Alter","given":"David a","non-dropping-particle":"","parse-names":false,"suffix":""}],"container-title":"Jama","id":"ITEM-2","issue":"2","issued":{"date-parts":[["2007"]]},"page":"177-86","title":"Relationship between adherence to evidence-based pharmacotherapy and long-term mortality after acute myocardial infarction.","type":"article-journal","volume":"297"},"uris":["http://www.mendeley.com/documents/?uuid=beb664d0-0e9f-4009-a7b7-3b130c51ae7c"]},{"id":"ITEM-3","itemData":{"DOI":"10.1111/bcp.12339","ISBN":"6048272138","ISSN":"1365-2125","PMID":"25364801","abstract":"AIMS: While suboptimal adherence to statin medication has been quantified in real-world patient settings, a better understanding of its impact is needed, particularly with respect to distinct problems of medication taking. Our aim was to synthesize current evidence on the impacts of statin adherence, discontinuation and persistence on cardiovascular disease and mortality outcomes.\\n\\nMETHODS: We conducted a systematic review of peer-reviewed studies using a mapped search of Medline, Embase and International Pharmaceutical Abstracts databases. Observational studies that met the following criteria were included: defined patient population;statin adherence exposure; defined study outcome [i.e. cardiovascular disease (CVD), mortality]; and reporting of statin-specific results.\\n\\nRESULTS: Overall, 28 studies were included, with 19 studies evaluating outcomes associated with statin adherence, six with statin discontinuation and three with statin persistence. Among adherence studies, the proportion of days covered was the most widely used measure, with the majority of studies reporting increased risk of CVD (statistically significant risk estimates ranging from 1.22 to 5.26)and mortality (statistically significant risk estimates ranging from 1.25 to 2.54) among non-adherent individuals. There was greater methodological variability in discontinuation and persistence studies. However, findings of increased CVD (statistically significant risk estimates ranging from 1.22 to 1.67) and mortality (statistically significant risk estimates ranging from 1.79 to 5.00) among nonpersistent individuals were also consistently reported.\\n\\nCONCLUSIONS: Observational studies consistently report an increased risk of adverse outcomes associated with poor statin adherence. These findings have important implications for patients and physicians and emphasize the importance of monitoring and encouraging adherence to statin therapy.","author":[{"dropping-particle":"","family":"Vera","given":"Mary A","non-dropping-particle":"De","parse-names":false,"suffix":""},{"dropping-particle":"","family":"Bhole","given":"Vidula","non-dropping-particle":"","parse-names":false,"suffix":""},{"dropping-particle":"","family":"Burns","given":"Lindsay C","non-dropping-particle":"","parse-names":false,"suffix":""},{"dropping-particle":"","family":"Lacaille","given":"Diane","non-dropping-particle":"","parse-names":false,"suffix":""}],"container-title":"British journal of clinical pharmacology","id":"ITEM-3","issue":"4","issued":{"date-parts":[["2014"]]},"page":"684-698","title":"Impact of statin adherence on cardiovascular disease and mortality outcomes: a systematic review.","type":"article-journal","volume":"78"},"uris":["http://www.mendeley.com/documents/?uuid=f2be1208-b589-49f4-abf4-87c298b4b9cc"]},{"id":"ITEM-4","itemData":{"DOI":"10.1016/S0140-6736(10)61350-5","ISBN":"1474-547X (Electronic)\\r0140-6736 (Linking)","ISSN":"01406736","PMID":"21067804","abstract":"Lowering of LDL cholesterol with standard statin regimens reduces the risk of occlusive vascular events in a wide range of individuals. We aimed to assess the safety and efficacy of more intensive lowering of LDL cholesterol with statin therapy. We undertook meta-analyses of individual participant data from randomised trials involving at least 1000 participants and at least 2 years' treatment duration of more versus less intensive statin regimens (five trials; 39 612 individuals; median follow-up 5·1 years) and of statin versus control (21 trials; 129 526 individuals; median follow-up 4·8 years). For each type of trial, we calculated not only the average risk reduction, but also the average risk reduction per 1·0 mmol/L LDL cholesterol reduction at 1 year after randomisation. In the trials of more versus less intensive statin therapy, the weighted mean further reduction in LDL cholesterol at 1 year was 0·51 mmol/L. Compared with less intensive regimens, more intensive regimens produced a highly significant 15 (95 CI 11-18; p&lt;0·0001) further reduction in major vascular events, consisting of separately significant reductions in coronary death or non-fatal myocardial infarction of 13 (95 CI 7-19; p&lt;0·0001), in coronary revascularisation of 19 (95 CI 15-24; p&lt;0·0001), and in ischaemic stroke of 16 (95 CI 5-26; p=0·005). Per 1·0 mmol/L reduction in LDL cholesterol, these further reductions in risk were similar to the proportional reductions in the trials of statin versus control. When both types of trial were combined, similar proportional reductions in major vascular events per 1·0 mmol/L LDL cholesterol reduction were found in all types of patient studied (rate ratio [RR] 0·78, 95 CI 0·76-0·80; p&lt;0·0001), including those with LDL cholesterol lower than 2 mmol/L on the less intensive or control regimen. Across all 26 trials, all-cause mortality was reduced by 10 per 1·0 mmol/L LDL reduction (RR 0·90, 95 CI 0·87-0·93; p&lt;0·0001), largely reflecting significant reductions in deaths due to coronary heart disease (RR 0·80, 99 CI 0·74-0·87; p&lt;0·0001) and other cardiac causes (RR 0·89, 99 CI 0·81-0·98; p=0·002), with no significant effect on deaths due to stroke (RR 0·96, 95 CI 0·84-1·09; p=0·5) or other vascular causes (RR 0·98, 99 CI 0·81-1·18; p=0·8). No significant effects were observed on deaths due to cancer or other non-vascular causes (RR 0·97, 95 CI 0·92-1·03; p=0·3) or on cancer incidence (RR 1·00, 95 CI 0·96- 1·04; p=0·9), even at low LDL cholesterol co…","author":[{"dropping-particle":"","family":"Treatment","given":"Cholesterol","non-dropping-particle":"","parse-names":false,"suffix":""},{"dropping-particle":"","family":"Ctt","given":"Trialists","non-dropping-particle":"","parse-names":false,"suffix":""}],"container-title":"The Lancet","id":"ITEM-4","issue":"9753","issued":{"date-parts":[["2010"]]},"page":"1670-1681","publisher":"Elsevier Ltd","title":"Efficacy and safety of more intensive lowering of LDL cholesterol: A meta-analysis of data from 170 000 participants in 26 randomised trials","type":"article-journal","volume":"376"},"uris":["http://www.mendeley.com/documents/?uuid=530ef62f-ee87-4453-bd50-1e260ac80529"]},{"id":"ITEM-5","itemData":{"DOI":"10.1080/03007995.2017.1281109","ISBN":"1473-4877 (Electronic)\r0300-7995 (Linking)","ISSN":"14734877","PMID":"28076703","abstract":"AbstractObjective: To identify and assess studies published over a 10 year period up to February 2016 which measure adherence or persistence with statins, to summarize their methods, strengths and weaknesses and to summarize evidence linking statin adherence/persistence with risk of cardiovascular events.Methods: Electronic databases and abstracts from four major cardiovascular disease conferences were searched from January 2005 to February 2016. The study selection process was performed by two reviewers working independently. Studies were included if they reported data regarding patient adherence or persistence with statins in adults with primary hypercholesterolemia, using any type of study design or length of follow-up. One reviewer extracted the study data and assessed study quality, which was checked by a second reviewer independently. Given the heterogeneity between the included studies a narrative critique and summary is presented.Results: We report on 84 real world studies which aimed to assess ad...","author":[{"dropping-particle":"","family":"Deshpande","given":"Sohan","non-dropping-particle":"","parse-names":false,"suffix":""},{"dropping-particle":"","family":"Quek","given":"Ruben G.W.","non-dropping-particle":"","parse-names":false,"suffix":""},{"dropping-particle":"","family":"Forbes","given":"Carol A.","non-dropping-particle":"","parse-names":false,"suffix":""},{"dropping-particle":"","family":"Kock","given":"Shelley","non-dropping-particle":"de","parse-names":false,"suffix":""},{"dropping-particle":"","family":"Kleijnen","given":"Jos","non-dropping-particle":"","parse-names":false,"suffix":""},{"dropping-particle":"","family":"Gandra","given":"Shravanthi R.","non-dropping-particle":"","parse-names":false,"suffix":""},{"dropping-particle":"","family":"Simpson","given":"Ross J.","non-dropping-particle":"","parse-names":false,"suffix":""}],"container-title":"Current Medical Research and Opinion","id":"ITEM-5","issue":"4","issued":{"date-parts":[["2017"]]},"page":"769-778","publisher":"Taylor 8 Francis","title":"A systematic review to assess adherence and persistence with statins","type":"article-journal","volume":"33"},"uris":["http://www.mendeley.com/documents/?uuid=1d2d8caf-13a9-4156-8092-1ea345a8589f"]}],"mendeley":{"formattedCitation":"&lt;sup&gt;14–18&lt;/sup&gt;","plainTextFormattedCitation":"14–18","previouslyFormattedCitation":"&lt;sup&gt;14–18&lt;/sup&gt;"},"properties":{"noteIndex":0},"schema":"https://github.com/citation-style-language/schema/raw/master/csl-citation.json"}</w:instrText>
      </w:r>
      <w:r w:rsidR="00493428">
        <w:fldChar w:fldCharType="separate"/>
      </w:r>
      <w:r w:rsidR="00E77218" w:rsidRPr="00E77218">
        <w:rPr>
          <w:noProof/>
          <w:vertAlign w:val="superscript"/>
        </w:rPr>
        <w:t>14–18</w:t>
      </w:r>
      <w:r w:rsidR="00493428">
        <w:fldChar w:fldCharType="end"/>
      </w:r>
      <w:r w:rsidR="006B5653" w:rsidRPr="0004071B">
        <w:t xml:space="preserve">  </w:t>
      </w:r>
      <w:r w:rsidR="007466EA">
        <w:t>The aim of our study was therefore</w:t>
      </w:r>
      <w:r w:rsidR="00F008B5" w:rsidRPr="0004071B">
        <w:t xml:space="preserve"> to evaluate</w:t>
      </w:r>
      <w:r w:rsidR="006B5653" w:rsidRPr="0004071B">
        <w:t xml:space="preserve"> the </w:t>
      </w:r>
      <w:r w:rsidR="00B5747D">
        <w:t>potential</w:t>
      </w:r>
      <w:r w:rsidR="002A3E4F">
        <w:t xml:space="preserve"> </w:t>
      </w:r>
      <w:r w:rsidR="006B5653" w:rsidRPr="0004071B">
        <w:t xml:space="preserve">contributions of both adherence and treatment intensity </w:t>
      </w:r>
      <w:r w:rsidR="00464B24">
        <w:t xml:space="preserve">jointly </w:t>
      </w:r>
      <w:r w:rsidR="002A3E4F">
        <w:t xml:space="preserve">over time on cardiovascular outcomes in </w:t>
      </w:r>
      <w:r w:rsidR="00C068C3">
        <w:t xml:space="preserve">newly treated </w:t>
      </w:r>
      <w:r w:rsidR="002A3E4F">
        <w:t>patient</w:t>
      </w:r>
      <w:r w:rsidR="00C068C3">
        <w:t>s</w:t>
      </w:r>
      <w:r w:rsidR="002A3E4F">
        <w:t xml:space="preserve"> </w:t>
      </w:r>
      <w:r w:rsidR="00401E13">
        <w:t xml:space="preserve">with </w:t>
      </w:r>
      <w:r w:rsidR="00D63D77">
        <w:t>important cardiovascular risk factors</w:t>
      </w:r>
      <w:r w:rsidR="00401E13">
        <w:t xml:space="preserve"> or documented cardiovascular disease</w:t>
      </w:r>
      <w:r w:rsidR="006B5653" w:rsidRPr="0004071B">
        <w:t>.</w:t>
      </w:r>
      <w:r w:rsidR="00A30046">
        <w:fldChar w:fldCharType="begin" w:fldLock="1"/>
      </w:r>
      <w:r w:rsidR="0075193E">
        <w:instrText>ADDIN CSL_CITATION {"citationItems":[{"id":"ITEM-1","itemData":{"DOI":"10.1093/eurheartj/ehw106","ISBN":"0195-668X 1522-9645","ISSN":"15229645","PMID":"17726041","author":[{"dropping-particle":"","family":"Piepoli","given":"Massimo F.","non-dropping-particle":"","parse-names":false,"suffix":""},{"dropping-particle":"","family":"Hoes","given":"Arno W.","non-dropping-particle":"","parse-names":false,"suffix":""},{"dropping-particle":"","family":"Agewall","given":"Stefan","non-dropping-particle":"","parse-names":false,"suffix":""},{"dropping-particle":"","family":"Albus","given":"Christian","non-dropping-particle":"","parse-names":false,"suffix":""},{"dropping-particle":"","family":"Brotons","given":"Carlos","non-dropping-particle":"","parse-names":false,"suffix":""},{"dropping-particle":"","family":"Catapano","given":"Alberico L.","non-dropping-particle":"","parse-names":false,"suffix":""},{"dropping-particle":"","family":"Cooney","given":"Marie-Therese Therese","non-dropping-particle":"","parse-names":false,"suffix":""},{"dropping-particle":"","family":"Corr??","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Richard","non-dropping-particle":"","parse-names":false,"suffix":""},{"dropping-particle":"","family":"L??chen","given":"Maja Lisa","non-dropping-particle":"","parse-names":false,"suffix":""},{"dropping-particle":"","family":"L??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dropping-particle":"","family":"Binno","given":"Simone","non-dropping-particle":"","parse-names":false,"suffix":""},{"dropping-particle":"","family":"Backer","given":"Guy","non-dropping-particle":"De","parse-names":false,"suffix":""},{"dropping-particle":"","family":"Roffi","given":"Marco","non-dropping-particle":"","parse-names":false,"suffix":""},{"dropping-particle":"","family":"Aboyans","given":"Victor","non-dropping-particle":"","parse-names":false,"suffix":""},{"dropping-particle":"","family":"Bachl","given":"Norbert","non-dropping-particle":"","parse-names":false,"suffix":""},{"dropping-particle":"","family":"Carerj","given":"Scipione","non-dropping-particle":"","parse-names":false,"suffix":""},{"dropping-particle":"","family":"Cho","given":"Leslie","non-dropping-particle":"","parse-names":false,"suffix":""},{"dropping-particle":"","family":"Cox","given":"John","non-dropping-particle":"","parse-names":false,"suffix":""},{"dropping-particle":"","family":"Sutter","given":"Johan","non-dropping-particle":"De","parse-names":false,"suffix":""},{"dropping-particle":"","family":"Egidi","given":"G??nther","non-dropping-particle":"","parse-names":false,"suffix":""},{"dropping-particle":"","family":"Fisher","given":"Miles","non-dropping-particle":"","parse-names":false,"suffix":""},{"dropping-particle":"","family":"Fitzsimons","given":"Donna","non-dropping-particle":"","parse-names":false,"suffix":""},{"dropping-particle":"","family":"Franco","given":"Oscar H.","non-dropping-particle":"","parse-names":false,"suffix":""},{"dropping-particle":"","family":"Guenoun","given":"Maxime","non-dropping-particle":"","parse-names":false,"suffix":""},{"dropping-particle":"","family":"Jennings","given":"Catriona","non-dropping-particle":"","parse-names":false,"suffix":""},{"dropping-particle":"","family":"Jug","given":"Borut","non-dropping-particle":"","parse-names":false,"suffix":""},{"dropping-particle":"","family":"Kirchhof","given":"Paulus","non-dropping-particle":"","parse-names":false,"suffix":""},{"dropping-particle":"","family":"Kotseva","given":"Kornelia","non-dropping-particle":"","parse-names":false,"suffix":""},{"dropping-particle":"","family":"Lip","given":"Gregory Y H","non-dropping-particle":"","parse-names":false,"suffix":""},{"dropping-particle":"","family":"Mach","given":"Francois Fran??ois","non-dropping-particle":"","parse-names":false,"suffix":""},{"dropping-particle":"","family":"Mancia","given":"Giuseppe","non-dropping-particle":"","parse-names":false,"suffix":""},{"dropping-particle":"","family":"Bermudo","given":"Franz Martin","non-dropping-particle":"","parse-names":false,"suffix":""},{"dropping-particle":"","family":"Mezzani","given":"Alessandro","non-dropping-particle":"","parse-names":false,"suffix":""},{"dropping-particle":"","family":"Niessner","given":"Alexander","non-dropping-particle":"","parse-names":false,"suffix":""},{"dropping-particle":"","family":"Ponikowski","given":"Piotr","non-dropping-particle":"","parse-names":false,"suffix":""},{"dropping-particle":"","family":"Rauch","given":"Bernhard","non-dropping-particle":"","parse-names":false,"suffix":""},{"dropping-particle":"","family":"Stauder","given":"Adrienne","non-dropping-particle":"","parse-names":false,"suffix":""},{"dropping-particle":"","family":"Turc","given":"Guillaume","non-dropping-particle":"","parse-names":false,"suffix":""},{"dropping-particle":"","family":"Wiklund","given":"Olov","non-dropping-particle":"","parse-names":false,"suffix":""},{"dropping-particle":"","family":"Windecker","given":"Stephan","non-dropping-particle":"","parse-names":false,"suffix":""},{"dropping-particle":"","family":"Zamorano","given":"Jose Luis","non-dropping-particle":"","parse-names":false,"suffix":""},{"dropping-particle":"","family":"Achenbach","given":"Stephan","non-dropping-particle":"","parse-names":false,"suffix":""},{"dropping-particle":"","family":"Badimon","given":"Lina","non-dropping-particle":"","parse-names":false,"suffix":""},{"dropping-particle":"","family":"Baron-Esquivias","given":"Gonzalo","non-dropping-particle":"","parse-names":false,"suffix":""},{"dropping-particle":"","family":"Baumgartner","given":"Helmut","non-dropping-particle":"","parse-names":false,"suffix":""},{"dropping-particle":"","family":"Bax","given":"Jeroen J.","non-dropping-particle":"","parse-names":false,"suffix":""},{"dropping-particle":"","family":"Dean","given":"Veronica","non-dropping-particle":"","parse-names":false,"suffix":""},{"dropping-particle":"","family":"Erol","given":"Etin","non-dropping-particle":"","parse-names":false,"suffix":""},{"dropping-particle":"","family":"Gaemperli","given":"Oliver","non-dropping-particle":"","parse-names":false,"suffix":""},{"dropping-particle":"","family":"Kolh","given":"Philippe","non-dropping-particle":"","parse-names":false,"suffix":""},{"dropping-particle":"","family":"Lancellotti","given":"Patrizio","non-dropping-particle":"","parse-names":false,"suffix":""},{"dropping-particle":"","family":"Nihoyannopoulos","given":"Petros","non-dropping-particle":"","parse-names":false,"suffix":""},{"dropping-particle":"","family":"Torbicki","given":"Adam","non-dropping-particle":"","parse-names":false,"suffix":""},{"dropping-particle":"","family":"Carneiro","given":"Ant??nio Vaz Antonio Vaz","non-dropping-particle":"","parse-names":false,"suffix":""},{"dropping-particle":"","family":"Metzler","given":"Bernhard","non-dropping-particle":"","parse-names":false,"suffix":""},{"dropping-particle":"","family":"Najafov","given":"Ruslan","non-dropping-particle":"","parse-names":false,"suffix":""},{"dropping-particle":"","family":"Stelmashok","given":"Valeriy","non-dropping-particle":"","parse-names":false,"suffix":""},{"dropping-particle":"","family":"Maeyer","given":"Catherine","non-dropping-particle":"De","parse-names":false,"suffix":""},{"dropping-particle":"","family":"Dili??","given":"Mirza","non-dropping-particle":"","parse-names":false,"suffix":""},{"dropping-particle":"","family":"Gruev","given":"Ivan","non-dropping-particle":"","parse-names":false,"suffix":""},{"dropping-particle":"","family":"Mili??i??","given":"Davor","non-dropping-particle":"","parse-names":false,"suffix":""},{"dropping-particle":"","family":"Vaverkova","given":"Helena","non-dropping-particle":"","parse-names":false,"suffix":""},{"dropping-particle":"","family":"Gustafsson","given":"Ida","non-dropping-particle":"","parse-names":false,"suffix":""},{"dropping-particle":"","family":"Attia","given":"Ihab","non-dropping-particle":"","parse-names":false,"suffix":""},{"dropping-particle":"","family":"Duishvili","given":"Davit","non-dropping-particle":"","parse-names":false,"suffix":""},{"dropping-particle":"","family":"Ferri??res","given":"Jean","non-dropping-particle":"","parse-names":false,"suffix":""},{"dropping-particle":"","family":"Kostova","given":"Nela","non-dropping-particle":"","parse-names":false,"suffix":""},{"dropping-particle":"","family":"Klimiashvili","given":"Zurab","non-dropping-particle":"","parse-names":false,"suffix":""},{"dropping-particle":"","family":"Hambrecht","given":"Rainer","non-dropping-particle":"","parse-names":false,"suffix":""},{"dropping-particle":"","family":"Tsioufis","given":"Konstantinos","non-dropping-particle":"","parse-names":false,"suffix":""},{"dropping-particle":"","family":"Szabados","given":"Eszter","non-dropping-particle":"","parse-names":false,"suffix":""},{"dropping-particle":"","family":"Andersen","given":"Karl","non-dropping-particle":"","parse-names":false,"suffix":""},{"dropping-particle":"","family":"Vaughan","given":"Carl","non-dropping-particle":"","parse-names":false,"suffix":""},{"dropping-particle":"","family":"Zafrir","given":"Barak","non-dropping-particle":"","parse-names":false,"suffix":""},{"dropping-particle":"","family":"Novo","given":"Salvatore","non-dropping-particle":"","parse-names":false,"suffix":""},{"dropping-particle":"","family":"Davletov","given":"Kairat","non-dropping-particle":"","parse-names":false,"suffix":""},{"dropping-particle":"","family":"Jashari","given":"Fisnik","non-dropping-particle":"","parse-names":false,"suffix":""},{"dropping-particle":"","family":"Kerimkulova","given":"Alina","non-dropping-particle":"","parse-names":false,"suffix":""},{"dropping-particle":"","family":"Mintale","given":"Iveta","non-dropping-particle":"","parse-names":false,"suffix":""},{"dropping-particle":"","family":"Saade","given":"Georges","non-dropping-particle":"","parse-names":false,"suffix":""},{"dropping-particle":"","family":"Petrulioniene","given":"Zaneta","non-dropping-particle":"","parse-names":false,"suffix":""},{"dropping-particle":"","family":"Delagardelle","given":"Charles","non-dropping-particle":"","parse-names":false,"suffix":""},{"dropping-particle":"","family":"Magri","given":"Caroline J.","non-dropping-particle":"","parse-names":false,"suffix":""},{"dropping-particle":"","family":"Rudi","given":"Victor","non-dropping-particle":"","parse-names":false,"suffix":""},{"dropping-particle":"","family":"Oukerraj","given":"Latifa","non-dropping-particle":"","parse-names":false,"suffix":""},{"dropping-particle":"","family":"????lkesen","given":"B. Ersen","non-dropping-particle":"","parse-names":false,"suffix":""},{"dropping-particle":"","family":"Schirmer","given":"Henrik","non-dropping-particle":"","parse-names":false,"suffix":""},{"dropping-particle":"","family":"Reis","given":"Roberto Palma","non-dropping-particle":"Dos","parse-names":false,"suffix":""},{"dropping-particle":"","family":"Gherasim","given":"Daniel","non-dropping-particle":"","parse-names":false,"suffix":""},{"dropping-particle":"","family":"Nedogoda","given":"Sergey","non-dropping-particle":"","parse-names":false,"suffix":""},{"dropping-particle":"","family":"Zavatta","given":"Marco","non-dropping-particle":"","parse-names":false,"suffix":""},{"dropping-particle":"","family":"Giga","given":"Vojislav","non-dropping-particle":"","parse-names":false,"suffix":""},{"dropping-particle":"","family":"Filipova","given":"Slavomira","non-dropping-particle":"","parse-names":false,"suffix":""},{"dropping-particle":"","family":"Padial","given":"Luis Rodr??guez","non-dropping-particle":"","parse-names":false,"suffix":""},{"dropping-particle":"","family":"Kiessling","given":"Anna","non-dropping-particle":"","parse-names":false,"suffix":""},{"dropping-particle":"","family":"Mahdhaoui","given":"Abdallah","non-dropping-particle":"","parse-names":false,"suffix":""},{"dropping-particle":"","family":"Ural","given":"Dilek","non-dropping-particle":"","parse-names":false,"suffix":""},{"dropping-particle":"","family":"Nesukay","given":"Elena","non-dropping-particle":"","parse-names":false,"suffix":""},{"dropping-particle":"","family":"Gale","given":"Chris","non-dropping-particle":"","parse-names":false,"suffix":""},{"dropping-particle":"","family":"Bar??n-Esquivias","given":"Gonzalo","non-dropping-particle":"","parse-names":false,"suffix":""},{"dropping-particle":"","family":"Baumgartner","given":"Helmut","non-dropping-particle":"","parse-names":false,"suffix":""},{"dropping-particle":"","family":"Bax","given":"Jeroen J.","non-dropping-particle":"","parse-names":false,"suffix":""},{"dropping-particle":"","family":"Dean","given":"Veronica","non-dropping-particle":"","parse-names":false,"suffix":""},{"dropping-particle":"","family":"Erol","given":"??etin","non-dropping-particle":"","parse-names":false,"suffix":""},{"dropping-particle":"","family":"Gaemperli","given":"Oliver","non-dropping-particle":"","parse-names":false,"suffix":""},{"dropping-particle":"","family":"Kolh","given":"Philippe","non-dropping-particle":"","parse-names":false,"suffix":""},{"dropping-particle":"","family":"Lancellotti","given":"Patrizio","non-dropping-particle":"","parse-names":false,"suffix":""},{"dropping-particle":"","family":"Nihoyannopoulos","given":"Petros","non-dropping-particle":"","parse-names":false,"suffix":""},{"dropping-particle":"","family":"Torbicki","given":"Adam","non-dropping-particle":"","parse-names":false,"suffix":""},{"dropping-particle":"","family":"Carneiro","given":"Ant??nio Vaz Antonio Vaz","non-dropping-particle":"","parse-names":false,"suffix":""},{"dropping-particle":"","family":"Metzler","given":"Bernhard","non-dropping-particle":"","parse-names":false,"suffix":""},{"dropping-particle":"","family":"Najafov","given":"Ruslan","non-dropping-particle":"","parse-names":false,"suffix":""},{"dropping-particle":"","family":"Stelmashok","given":"Valeriy","non-dropping-particle":"","parse-names":false,"suffix":""},{"dropping-particle":"","family":"Maeyer","given":"Catherine","non-dropping-particle":"De","parse-names":false,"suffix":""},{"dropping-particle":"","family":"Dili??","given":"Mirza","non-dropping-particle":"","parse-names":false,"suffix":""},{"dropping-particle":"","family":"Gruev","given":"Ivan","non-dropping-particle":"","parse-names":false,"suffix":""},{"dropping-particle":"","family":"Mili??i??","given":"Davor","non-dropping-particle":"","parse-names":false,"suffix":""},{"dropping-particle":"","family":"Vaverkova","given":"Helena","non-dropping-particle":"","parse-names":false,"suffix":""},{"dropping-particle":"","family":"Gustafsson","given":"Ida","non-dropping-particle":"","parse-names":false,"suffix":""},{"dropping-particle":"","family":"Attia","given":"Ihab","non-dropping-particle":"","parse-names":false,"suffix":""},{"dropping-particle":"","family":"Duishvili","given":"Davit","non-dropping-particle":"","parse-names":false,"suffix":""},{"dropping-particle":"","family":"Ferri??res","given":"Jean","non-dropping-particle":"","parse-names":false,"suffix":""},{"dropping-particle":"","family":"Kostova","given":"Nela","non-dropping-particle":"","parse-names":false,"suffix":""},{"dropping-particle":"","family":"Klimiashvili","given":"Zurab","non-dropping-particle":"","parse-names":false,"suffix":""},{"dropping-particle":"","family":"Hambrecht","given":"Rainer","non-dropping-particle":"","parse-names":false,"suffix":""},{"dropping-particle":"","family":"Tsioufis","given":"Konstantinos","non-dropping-particle":"","parse-names":false,"suffix":""},{"dropping-particle":"","family":"Szabados","given":"Eszter","non-dropping-particle":"","parse-names":false,"suffix":""},{"dropping-particle":"","family":"Andersen","given":"Karl","non-dropping-particle":"","parse-names":false,"suffix":""},{"dropping-particle":"","family":"Vaughan","given":"Carl","non-dropping-particle":"","parse-names":false,"suffix":""},{"dropping-particle":"","family":"Zafrir","given":"Barak","non-dropping-particle":"","parse-names":false,"suffix":""},{"dropping-particle":"","family":"Novo","given":"Salvatore","non-dropping-particle":"","parse-names":false,"suffix":""},{"dropping-particle":"","family":"Davletov","given":"Kairat","non-dropping-particle":"","parse-names":false,"suffix":""},{"dropping-particle":"","family":"Jashari","given":"Fisnik","non-dropping-particle":"","parse-names":false,"suffix":""},{"dropping-particle":"","family":"Kerimkulova","given":"Alina","non-dropping-particle":"","parse-names":false,"suffix":""},{"dropping-particle":"","family":"Mintale","given":"Iveta","non-dropping-particle":"","parse-names":false,"suffix":""},{"dropping-particle":"","family":"Saade","given":"Georges","non-dropping-particle":"","parse-names":false,"suffix":""},{"dropping-particle":"","family":"Petrulioniene","given":"Zaneta","non-dropping-particle":"","parse-names":false,"suffix":""},{"dropping-particle":"","family":"Delagardelle","given":"Charles","non-dropping-particle":"","parse-names":false,"suffix":""},{"dropping-particle":"","family":"Magri","given":"Caroline J.","non-dropping-particle":"","parse-names":false,"suffix":""},{"dropping-particle":"","family":"Rudi","given":"Victor","non-dropping-particle":"","parse-names":false,"suffix":""},{"dropping-particle":"","family":"Oukerraj","given":"Latifa","non-dropping-particle":"","parse-names":false,"suffix":""},{"dropping-particle":"","family":"????lkesen","given":"B. Ersen","non-dropping-particle":"","parse-names":false,"suffix":""},{"dropping-particle":"","family":"Schirmer","given":"Henrik","non-dropping-particle":"","parse-names":false,"suffix":""},{"dropping-particle":"","family":"Reis","given":"Roberto Palma","non-dropping-particle":"Dos","parse-names":false,"suffix":""},{"dropping-particle":"","family":"Gherasim","given":"Daniel","non-dropping-particle":"","parse-names":false,"suffix":""},{"dropping-particle":"","family":"Nedogoda","given":"Sergey","non-dropping-particle":"","parse-names":false,"suffix":""},{"dropping-particle":"","family":"Zavatta","given":"Marco","non-dropping-particle":"","parse-names":false,"suffix":""},{"dropping-particle":"","family":"Giga","given":"Vojislav","non-dropping-particle":"","parse-names":false,"suffix":""},{"dropping-particle":"","family":"Filipova","given":"Slavomira","non-dropping-particle":"","parse-names":false,"suffix":""},{"dropping-particle":"","family":"Padial","given":"Luis Rodr??guez","non-dropping-particle":"","parse-names":false,"suffix":""},{"dropping-particle":"","family":"Kiessling","given":"Anna","non-dropping-particle":"","parse-names":false,"suffix":""},{"dropping-particle":"","family":"Mahdhaoui","given":"Abdallah","non-dropping-particle":"","parse-names":false,"suffix":""},{"dropping-particle":"","family":"Ural","given":"Dilek","non-dropping-particle":"","parse-names":false,"suffix":""},{"dropping-particle":"","family":"Nesukay","given":"Elena","non-dropping-particle":"","parse-names":false,"suffix":""},{"dropping-particle":"","family":"Gale","given":"Chris","non-dropping-particle":"","parse-names":false,"suffix":""},{"dropping-particle":"","family":"Corrà","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øchen","given":"Maja-Lisa","non-dropping-particle":"","parse-names":false,"suffix":""},{"dropping-particle":"","family":"Lö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Monique","non-dropping-particle":"","parse-names":false,"suffix":""}],"container-title":"European Heart Journal","id":"ITEM-1","issue":"29","issued":{"date-parts":[["2016","5","23"]]},"page":"2315-2381","title":"2016 European Guidelines on cardiovascular disease prevention in clinical practice","type":"article-journal","volume":"37"},"uris":["http://www.mendeley.com/documents/?uuid=aab7a7c9-95cb-4252-8d32-974f5a2136b9"]}],"mendeley":{"formattedCitation":"&lt;sup&gt;4&lt;/sup&gt;","plainTextFormattedCitation":"4","previouslyFormattedCitation":"&lt;sup&gt;4&lt;/sup&gt;"},"properties":{"noteIndex":0},"schema":"https://github.com/citation-style-language/schema/raw/master/csl-citation.json"}</w:instrText>
      </w:r>
      <w:r w:rsidR="00A30046">
        <w:fldChar w:fldCharType="separate"/>
      </w:r>
      <w:r w:rsidR="00A30046" w:rsidRPr="00A30046">
        <w:rPr>
          <w:noProof/>
          <w:vertAlign w:val="superscript"/>
        </w:rPr>
        <w:t>4</w:t>
      </w:r>
      <w:r w:rsidR="00A30046">
        <w:fldChar w:fldCharType="end"/>
      </w:r>
    </w:p>
    <w:p w14:paraId="3C27B4D8" w14:textId="77777777" w:rsidR="00423117" w:rsidRPr="0004071B" w:rsidRDefault="00423117" w:rsidP="00E4324D">
      <w:pPr>
        <w:pStyle w:val="Heading1"/>
      </w:pPr>
      <w:r w:rsidRPr="0004071B">
        <w:br w:type="page"/>
      </w:r>
      <w:r w:rsidRPr="0004071B">
        <w:lastRenderedPageBreak/>
        <w:t>Methods</w:t>
      </w:r>
    </w:p>
    <w:p w14:paraId="2F4D437E" w14:textId="4003F8DB" w:rsidR="000A779C" w:rsidRDefault="005D14B3" w:rsidP="00D81896">
      <w:pPr>
        <w:pStyle w:val="Text"/>
      </w:pPr>
      <w:r>
        <w:t>We conducted</w:t>
      </w:r>
      <w:r w:rsidR="00F008B5" w:rsidRPr="0004071B">
        <w:t xml:space="preserve"> a retrospective observational cohort study </w:t>
      </w:r>
      <w:r w:rsidR="00D33F94">
        <w:t xml:space="preserve">from September 2017 through August 2018 </w:t>
      </w:r>
      <w:r w:rsidR="006D2273">
        <w:t xml:space="preserve">using </w:t>
      </w:r>
      <w:r w:rsidR="00AB3213">
        <w:t xml:space="preserve">linked </w:t>
      </w:r>
      <w:r w:rsidR="006D2273">
        <w:t xml:space="preserve">data from the following sources:  </w:t>
      </w:r>
      <w:r w:rsidR="002854A1">
        <w:t>Clinical Practice Research Datalink (CPRD)</w:t>
      </w:r>
      <w:r w:rsidR="00F008B5" w:rsidRPr="0004071B">
        <w:t xml:space="preserve">, </w:t>
      </w:r>
      <w:r w:rsidR="00AB254F">
        <w:t>Hospital Episode Statistics</w:t>
      </w:r>
      <w:r w:rsidR="002854A1">
        <w:t xml:space="preserve">, and </w:t>
      </w:r>
      <w:r w:rsidR="00F008B5" w:rsidRPr="0004071B">
        <w:t>Offi</w:t>
      </w:r>
      <w:r w:rsidR="00AB254F">
        <w:t>ce for National Statistics</w:t>
      </w:r>
      <w:r w:rsidR="00F008B5" w:rsidRPr="0004071B">
        <w:t xml:space="preserve">. </w:t>
      </w:r>
      <w:r w:rsidR="002425D0">
        <w:t xml:space="preserve"> </w:t>
      </w:r>
      <w:r w:rsidR="00436FA7">
        <w:t xml:space="preserve">All data were de-identified.    </w:t>
      </w:r>
    </w:p>
    <w:p w14:paraId="465D97BD" w14:textId="71283A30" w:rsidR="00F008B5" w:rsidRPr="0004071B" w:rsidRDefault="00F008B5" w:rsidP="00D81896">
      <w:pPr>
        <w:pStyle w:val="Text"/>
      </w:pPr>
      <w:r w:rsidRPr="0004071B">
        <w:t xml:space="preserve">The study </w:t>
      </w:r>
      <w:r w:rsidR="00C0166B">
        <w:t>included</w:t>
      </w:r>
      <w:r w:rsidRPr="0004071B">
        <w:t xml:space="preserve"> </w:t>
      </w:r>
      <w:r w:rsidR="00C068C3">
        <w:t xml:space="preserve">newly treated </w:t>
      </w:r>
      <w:r w:rsidRPr="0004071B">
        <w:t xml:space="preserve">patients </w:t>
      </w:r>
      <w:r w:rsidR="00B36E67">
        <w:t xml:space="preserve">with </w:t>
      </w:r>
      <w:r w:rsidR="00D41A9F">
        <w:t>hypercholesterolemia</w:t>
      </w:r>
      <w:r w:rsidR="00B36E67">
        <w:t xml:space="preserve">, defined as those </w:t>
      </w:r>
      <w:r w:rsidRPr="0004071B">
        <w:t xml:space="preserve">who </w:t>
      </w:r>
      <w:r w:rsidR="00AD61B1" w:rsidRPr="0004071B">
        <w:t>received their first statin and/or ezetimibe prescription between January 1, 2010 and December 31, 2013</w:t>
      </w:r>
      <w:r w:rsidR="00C0166B">
        <w:t xml:space="preserve"> and who also </w:t>
      </w:r>
      <w:r w:rsidR="00C0166B" w:rsidRPr="0004071B">
        <w:t xml:space="preserve">received at least one additional prescription for statin and/or ezetimibe during the </w:t>
      </w:r>
      <w:r w:rsidR="00C0166B">
        <w:t xml:space="preserve">following </w:t>
      </w:r>
      <w:r w:rsidR="00C0166B" w:rsidRPr="0004071B">
        <w:t>year</w:t>
      </w:r>
      <w:r w:rsidRPr="0004071B">
        <w:t xml:space="preserve">.  </w:t>
      </w:r>
      <w:r w:rsidR="00C0166B" w:rsidRPr="0004071B">
        <w:t>The index date (start of the period at risk for outcomes) was the date of the second prescription.</w:t>
      </w:r>
      <w:r w:rsidR="00C0166B">
        <w:t xml:space="preserve">  On the first prescription date, p</w:t>
      </w:r>
      <w:r w:rsidR="00E40FCA" w:rsidRPr="0004071B">
        <w:t xml:space="preserve">atients must </w:t>
      </w:r>
      <w:r w:rsidR="002153F9" w:rsidRPr="0004071B">
        <w:t xml:space="preserve">have been at least 18 years old, </w:t>
      </w:r>
      <w:r w:rsidR="00B36E67">
        <w:t>been registered in a general practice with</w:t>
      </w:r>
      <w:r w:rsidR="00E40FCA" w:rsidRPr="0004071B">
        <w:t xml:space="preserve"> a</w:t>
      </w:r>
      <w:r w:rsidRPr="0004071B">
        <w:t xml:space="preserve">t least two years of </w:t>
      </w:r>
      <w:r w:rsidR="00AD61B1" w:rsidRPr="0004071B">
        <w:t xml:space="preserve">up-to-standard </w:t>
      </w:r>
      <w:r w:rsidR="00C0166B">
        <w:t xml:space="preserve">data </w:t>
      </w:r>
      <w:proofErr w:type="gramStart"/>
      <w:r w:rsidR="00C0166B">
        <w:t>beforehand, and</w:t>
      </w:r>
      <w:proofErr w:type="gramEnd"/>
      <w:r w:rsidR="00C0166B">
        <w:t xml:space="preserve"> received no </w:t>
      </w:r>
      <w:r w:rsidR="00B36E67">
        <w:t xml:space="preserve">prior </w:t>
      </w:r>
      <w:r w:rsidR="002153F9" w:rsidRPr="0004071B">
        <w:t xml:space="preserve">lipid-lowering therapy </w:t>
      </w:r>
      <w:r w:rsidR="00BD5AEC">
        <w:t>based on</w:t>
      </w:r>
      <w:r w:rsidR="002153F9" w:rsidRPr="0004071B">
        <w:t xml:space="preserve"> their available </w:t>
      </w:r>
      <w:r w:rsidR="00C0166B">
        <w:t>medical history</w:t>
      </w:r>
      <w:r w:rsidR="002153F9" w:rsidRPr="0004071B">
        <w:t>.</w:t>
      </w:r>
      <w:r w:rsidRPr="0004071B">
        <w:t xml:space="preserve">  </w:t>
      </w:r>
      <w:r w:rsidR="00281115">
        <w:t>Serum LDL-C levels were assessed on or before the first prescription date.</w:t>
      </w:r>
    </w:p>
    <w:p w14:paraId="56A6B307" w14:textId="0D346D21" w:rsidR="00A03915" w:rsidRDefault="00641F68" w:rsidP="00453D20">
      <w:pPr>
        <w:pStyle w:val="Text"/>
      </w:pPr>
      <w:r>
        <w:t>To be included, p</w:t>
      </w:r>
      <w:r w:rsidR="00A03915" w:rsidRPr="0004071B">
        <w:t xml:space="preserve">atients must </w:t>
      </w:r>
      <w:r w:rsidR="009A01C3" w:rsidRPr="0004071B">
        <w:t xml:space="preserve">have had </w:t>
      </w:r>
      <w:r w:rsidR="00B36E67">
        <w:t xml:space="preserve">documented </w:t>
      </w:r>
      <w:r w:rsidR="009A01C3" w:rsidRPr="0004071B">
        <w:t xml:space="preserve">CVD, type 2 diabetes, or stage 4-5 </w:t>
      </w:r>
      <w:r w:rsidR="00105EC5">
        <w:t>chronic kidney disease (</w:t>
      </w:r>
      <w:r w:rsidR="009A01C3" w:rsidRPr="0004071B">
        <w:t>CKD</w:t>
      </w:r>
      <w:r w:rsidR="00105EC5">
        <w:t>)</w:t>
      </w:r>
      <w:r w:rsidR="00A03915" w:rsidRPr="0004071B">
        <w:t xml:space="preserve"> </w:t>
      </w:r>
      <w:r w:rsidR="001335D8">
        <w:t>a</w:t>
      </w:r>
      <w:r w:rsidR="00B36E67">
        <w:t>t the time of the initial lipid-</w:t>
      </w:r>
      <w:r w:rsidR="001335D8">
        <w:t>lowering therapy prescription</w:t>
      </w:r>
      <w:r w:rsidR="00967D62">
        <w:t xml:space="preserve"> to reflect very high</w:t>
      </w:r>
      <w:r w:rsidR="004F10EB">
        <w:t>-</w:t>
      </w:r>
      <w:r w:rsidR="00967D62">
        <w:t xml:space="preserve">risk patients as </w:t>
      </w:r>
      <w:r w:rsidR="004F10EB">
        <w:t>described in the</w:t>
      </w:r>
      <w:r w:rsidR="00967D62">
        <w:t xml:space="preserve"> ESC guidelines</w:t>
      </w:r>
      <w:r w:rsidR="00A03915" w:rsidRPr="0004071B">
        <w:t>.</w:t>
      </w:r>
      <w:r w:rsidR="004F10EB">
        <w:fldChar w:fldCharType="begin" w:fldLock="1"/>
      </w:r>
      <w:r w:rsidR="0075193E">
        <w:instrText>ADDIN CSL_CITATION {"citationItems":[{"id":"ITEM-1","itemData":{"DOI":"10.1093/eurheartj/ehw106","ISBN":"0195-668X 1522-9645","ISSN":"15229645","PMID":"17726041","author":[{"dropping-particle":"","family":"Piepoli","given":"Massimo F.","non-dropping-particle":"","parse-names":false,"suffix":""},{"dropping-particle":"","family":"Hoes","given":"Arno W.","non-dropping-particle":"","parse-names":false,"suffix":""},{"dropping-particle":"","family":"Agewall","given":"Stefan","non-dropping-particle":"","parse-names":false,"suffix":""},{"dropping-particle":"","family":"Albus","given":"Christian","non-dropping-particle":"","parse-names":false,"suffix":""},{"dropping-particle":"","family":"Brotons","given":"Carlos","non-dropping-particle":"","parse-names":false,"suffix":""},{"dropping-particle":"","family":"Catapano","given":"Alberico L.","non-dropping-particle":"","parse-names":false,"suffix":""},{"dropping-particle":"","family":"Cooney","given":"Marie-Therese Therese","non-dropping-particle":"","parse-names":false,"suffix":""},{"dropping-particle":"","family":"Corr??","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Richard","non-dropping-particle":"","parse-names":false,"suffix":""},{"dropping-particle":"","family":"L??chen","given":"Maja Lisa","non-dropping-particle":"","parse-names":false,"suffix":""},{"dropping-particle":"","family":"L??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dropping-particle":"","family":"Binno","given":"Simone","non-dropping-particle":"","parse-names":false,"suffix":""},{"dropping-particle":"","family":"Backer","given":"Guy","non-dropping-particle":"De","parse-names":false,"suffix":""},{"dropping-particle":"","family":"Roffi","given":"Marco","non-dropping-particle":"","parse-names":false,"suffix":""},{"dropping-particle":"","family":"Aboyans","given":"Victor","non-dropping-particle":"","parse-names":false,"suffix":""},{"dropping-particle":"","family":"Bachl","given":"Norbert","non-dropping-particle":"","parse-names":false,"suffix":""},{"dropping-particle":"","family":"Carerj","given":"Scipione","non-dropping-particle":"","parse-names":false,"suffix":""},{"dropping-particle":"","family":"Cho","given":"Leslie","non-dropping-particle":"","parse-names":false,"suffix":""},{"dropping-particle":"","family":"Cox","given":"John","non-dropping-particle":"","parse-names":false,"suffix":""},{"dropping-particle":"","family":"Sutter","given":"Johan","non-dropping-particle":"De","parse-names":false,"suffix":""},{"dropping-particle":"","family":"Egidi","given":"G??nther","non-dropping-particle":"","parse-names":false,"suffix":""},{"dropping-particle":"","family":"Fisher","given":"Miles","non-dropping-particle":"","parse-names":false,"suffix":""},{"dropping-particle":"","family":"Fitzsimons","given":"Donna","non-dropping-particle":"","parse-names":false,"suffix":""},{"dropping-particle":"","family":"Franco","given":"Oscar H.","non-dropping-particle":"","parse-names":false,"suffix":""},{"dropping-particle":"","family":"Guenoun","given":"Maxime","non-dropping-particle":"","parse-names":false,"suffix":""},{"dropping-particle":"","family":"Jennings","given":"Catriona","non-dropping-particle":"","parse-names":false,"suffix":""},{"dropping-particle":"","family":"Jug","given":"Borut","non-dropping-particle":"","parse-names":false,"suffix":""},{"dropping-particle":"","family":"Kirchhof","given":"Paulus","non-dropping-particle":"","parse-names":false,"suffix":""},{"dropping-particle":"","family":"Kotseva","given":"Kornelia","non-dropping-particle":"","parse-names":false,"suffix":""},{"dropping-particle":"","family":"Lip","given":"Gregory Y H","non-dropping-particle":"","parse-names":false,"suffix":""},{"dropping-particle":"","family":"Mach","given":"Francois Fran??ois","non-dropping-particle":"","parse-names":false,"suffix":""},{"dropping-particle":"","family":"Mancia","given":"Giuseppe","non-dropping-particle":"","parse-names":false,"suffix":""},{"dropping-particle":"","family":"Bermudo","given":"Franz Martin","non-dropping-particle":"","parse-names":false,"suffix":""},{"dropping-particle":"","family":"Mezzani","given":"Alessandro","non-dropping-particle":"","parse-names":false,"suffix":""},{"dropping-particle":"","family":"Niessner","given":"Alexander","non-dropping-particle":"","parse-names":false,"suffix":""},{"dropping-particle":"","family":"Ponikowski","given":"Piotr","non-dropping-particle":"","parse-names":false,"suffix":""},{"dropping-particle":"","family":"Rauch","given":"Bernhard","non-dropping-particle":"","parse-names":false,"suffix":""},{"dropping-particle":"","family":"Stauder","given":"Adrienne","non-dropping-particle":"","parse-names":false,"suffix":""},{"dropping-particle":"","family":"Turc","given":"Guillaume","non-dropping-particle":"","parse-names":false,"suffix":""},{"dropping-particle":"","family":"Wiklund","given":"Olov","non-dropping-particle":"","parse-names":false,"suffix":""},{"dropping-particle":"","family":"Windecker","given":"Stephan","non-dropping-particle":"","parse-names":false,"suffix":""},{"dropping-particle":"","family":"Zamorano","given":"Jose Luis","non-dropping-particle":"","parse-names":false,"suffix":""},{"dropping-particle":"","family":"Achenbach","given":"Stephan","non-dropping-particle":"","parse-names":false,"suffix":""},{"dropping-particle":"","family":"Badimon","given":"Lina","non-dropping-particle":"","parse-names":false,"suffix":""},{"dropping-particle":"","family":"Baron-Esquivias","given":"Gonzalo","non-dropping-particle":"","parse-names":false,"suffix":""},{"dropping-particle":"","family":"Baumgartner","given":"Helmut","non-dropping-particle":"","parse-names":false,"suffix":""},{"dropping-particle":"","family":"Bax","given":"Jeroen J.","non-dropping-particle":"","parse-names":false,"suffix":""},{"dropping-particle":"","family":"Dean","given":"Veronica","non-dropping-particle":"","parse-names":false,"suffix":""},{"dropping-particle":"","family":"Erol","given":"Etin","non-dropping-particle":"","parse-names":false,"suffix":""},{"dropping-particle":"","family":"Gaemperli","given":"Oliver","non-dropping-particle":"","parse-names":false,"suffix":""},{"dropping-particle":"","family":"Kolh","given":"Philippe","non-dropping-particle":"","parse-names":false,"suffix":""},{"dropping-particle":"","family":"Lancellotti","given":"Patrizio","non-dropping-particle":"","parse-names":false,"suffix":""},{"dropping-particle":"","family":"Nihoyannopoulos","given":"Petros","non-dropping-particle":"","parse-names":false,"suffix":""},{"dropping-particle":"","family":"Torbicki","given":"Adam","non-dropping-particle":"","parse-names":false,"suffix":""},{"dropping-particle":"","family":"Carneiro","given":"Ant??nio Vaz Antonio Vaz","non-dropping-particle":"","parse-names":false,"suffix":""},{"dropping-particle":"","family":"Metzler","given":"Bernhard","non-dropping-particle":"","parse-names":false,"suffix":""},{"dropping-particle":"","family":"Najafov","given":"Ruslan","non-dropping-particle":"","parse-names":false,"suffix":""},{"dropping-particle":"","family":"Stelmashok","given":"Valeriy","non-dropping-particle":"","parse-names":false,"suffix":""},{"dropping-particle":"","family":"Maeyer","given":"Catherine","non-dropping-particle":"De","parse-names":false,"suffix":""},{"dropping-particle":"","family":"Dili??","given":"Mirza","non-dropping-particle":"","parse-names":false,"suffix":""},{"dropping-particle":"","family":"Gruev","given":"Ivan","non-dropping-particle":"","parse-names":false,"suffix":""},{"dropping-particle":"","family":"Mili??i??","given":"Davor","non-dropping-particle":"","parse-names":false,"suffix":""},{"dropping-particle":"","family":"Vaverkova","given":"Helena","non-dropping-particle":"","parse-names":false,"suffix":""},{"dropping-particle":"","family":"Gustafsson","given":"Ida","non-dropping-particle":"","parse-names":false,"suffix":""},{"dropping-particle":"","family":"Attia","given":"Ihab","non-dropping-particle":"","parse-names":false,"suffix":""},{"dropping-particle":"","family":"Duishvili","given":"Davit","non-dropping-particle":"","parse-names":false,"suffix":""},{"dropping-particle":"","family":"Ferri??res","given":"Jean","non-dropping-particle":"","parse-names":false,"suffix":""},{"dropping-particle":"","family":"Kostova","given":"Nela","non-dropping-particle":"","parse-names":false,"suffix":""},{"dropping-particle":"","family":"Klimiashvili","given":"Zurab","non-dropping-particle":"","parse-names":false,"suffix":""},{"dropping-particle":"","family":"Hambrecht","given":"Rainer","non-dropping-particle":"","parse-names":false,"suffix":""},{"dropping-particle":"","family":"Tsioufis","given":"Konstantinos","non-dropping-particle":"","parse-names":false,"suffix":""},{"dropping-particle":"","family":"Szabados","given":"Eszter","non-dropping-particle":"","parse-names":false,"suffix":""},{"dropping-particle":"","family":"Andersen","given":"Karl","non-dropping-particle":"","parse-names":false,"suffix":""},{"dropping-particle":"","family":"Vaughan","given":"Carl","non-dropping-particle":"","parse-names":false,"suffix":""},{"dropping-particle":"","family":"Zafrir","given":"Barak","non-dropping-particle":"","parse-names":false,"suffix":""},{"dropping-particle":"","family":"Novo","given":"Salvatore","non-dropping-particle":"","parse-names":false,"suffix":""},{"dropping-particle":"","family":"Davletov","given":"Kairat","non-dropping-particle":"","parse-names":false,"suffix":""},{"dropping-particle":"","family":"Jashari","given":"Fisnik","non-dropping-particle":"","parse-names":false,"suffix":""},{"dropping-particle":"","family":"Kerimkulova","given":"Alina","non-dropping-particle":"","parse-names":false,"suffix":""},{"dropping-particle":"","family":"Mintale","given":"Iveta","non-dropping-particle":"","parse-names":false,"suffix":""},{"dropping-particle":"","family":"Saade","given":"Georges","non-dropping-particle":"","parse-names":false,"suffix":""},{"dropping-particle":"","family":"Petrulioniene","given":"Zaneta","non-dropping-particle":"","parse-names":false,"suffix":""},{"dropping-particle":"","family":"Delagardelle","given":"Charles","non-dropping-particle":"","parse-names":false,"suffix":""},{"dropping-particle":"","family":"Magri","given":"Caroline J.","non-dropping-particle":"","parse-names":false,"suffix":""},{"dropping-particle":"","family":"Rudi","given":"Victor","non-dropping-particle":"","parse-names":false,"suffix":""},{"dropping-particle":"","family":"Oukerraj","given":"Latifa","non-dropping-particle":"","parse-names":false,"suffix":""},{"dropping-particle":"","family":"????lkesen","given":"B. Ersen","non-dropping-particle":"","parse-names":false,"suffix":""},{"dropping-particle":"","family":"Schirmer","given":"Henrik","non-dropping-particle":"","parse-names":false,"suffix":""},{"dropping-particle":"","family":"Reis","given":"Roberto Palma","non-dropping-particle":"Dos","parse-names":false,"suffix":""},{"dropping-particle":"","family":"Gherasim","given":"Daniel","non-dropping-particle":"","parse-names":false,"suffix":""},{"dropping-particle":"","family":"Nedogoda","given":"Sergey","non-dropping-particle":"","parse-names":false,"suffix":""},{"dropping-particle":"","family":"Zavatta","given":"Marco","non-dropping-particle":"","parse-names":false,"suffix":""},{"dropping-particle":"","family":"Giga","given":"Vojislav","non-dropping-particle":"","parse-names":false,"suffix":""},{"dropping-particle":"","family":"Filipova","given":"Slavomira","non-dropping-particle":"","parse-names":false,"suffix":""},{"dropping-particle":"","family":"Padial","given":"Luis Rodr??guez","non-dropping-particle":"","parse-names":false,"suffix":""},{"dropping-particle":"","family":"Kiessling","given":"Anna","non-dropping-particle":"","parse-names":false,"suffix":""},{"dropping-particle":"","family":"Mahdhaoui","given":"Abdallah","non-dropping-particle":"","parse-names":false,"suffix":""},{"dropping-particle":"","family":"Ural","given":"Dilek","non-dropping-particle":"","parse-names":false,"suffix":""},{"dropping-particle":"","family":"Nesukay","given":"Elena","non-dropping-particle":"","parse-names":false,"suffix":""},{"dropping-particle":"","family":"Gale","given":"Chris","non-dropping-particle":"","parse-names":false,"suffix":""},{"dropping-particle":"","family":"Bar??n-Esquivias","given":"Gonzalo","non-dropping-particle":"","parse-names":false,"suffix":""},{"dropping-particle":"","family":"Baumgartner","given":"Helmut","non-dropping-particle":"","parse-names":false,"suffix":""},{"dropping-particle":"","family":"Bax","given":"Jeroen J.","non-dropping-particle":"","parse-names":false,"suffix":""},{"dropping-particle":"","family":"Dean","given":"Veronica","non-dropping-particle":"","parse-names":false,"suffix":""},{"dropping-particle":"","family":"Erol","given":"??etin","non-dropping-particle":"","parse-names":false,"suffix":""},{"dropping-particle":"","family":"Gaemperli","given":"Oliver","non-dropping-particle":"","parse-names":false,"suffix":""},{"dropping-particle":"","family":"Kolh","given":"Philippe","non-dropping-particle":"","parse-names":false,"suffix":""},{"dropping-particle":"","family":"Lancellotti","given":"Patrizio","non-dropping-particle":"","parse-names":false,"suffix":""},{"dropping-particle":"","family":"Nihoyannopoulos","given":"Petros","non-dropping-particle":"","parse-names":false,"suffix":""},{"dropping-particle":"","family":"Torbicki","given":"Adam","non-dropping-particle":"","parse-names":false,"suffix":""},{"dropping-particle":"","family":"Carneiro","given":"Ant??nio Vaz Antonio Vaz","non-dropping-particle":"","parse-names":false,"suffix":""},{"dropping-particle":"","family":"Metzler","given":"Bernhard","non-dropping-particle":"","parse-names":false,"suffix":""},{"dropping-particle":"","family":"Najafov","given":"Ruslan","non-dropping-particle":"","parse-names":false,"suffix":""},{"dropping-particle":"","family":"Stelmashok","given":"Valeriy","non-dropping-particle":"","parse-names":false,"suffix":""},{"dropping-particle":"","family":"Maeyer","given":"Catherine","non-dropping-particle":"De","parse-names":false,"suffix":""},{"dropping-particle":"","family":"Dili??","given":"Mirza","non-dropping-particle":"","parse-names":false,"suffix":""},{"dropping-particle":"","family":"Gruev","given":"Ivan","non-dropping-particle":"","parse-names":false,"suffix":""},{"dropping-particle":"","family":"Mili??i??","given":"Davor","non-dropping-particle":"","parse-names":false,"suffix":""},{"dropping-particle":"","family":"Vaverkova","given":"Helena","non-dropping-particle":"","parse-names":false,"suffix":""},{"dropping-particle":"","family":"Gustafsson","given":"Ida","non-dropping-particle":"","parse-names":false,"suffix":""},{"dropping-particle":"","family":"Attia","given":"Ihab","non-dropping-particle":"","parse-names":false,"suffix":""},{"dropping-particle":"","family":"Duishvili","given":"Davit","non-dropping-particle":"","parse-names":false,"suffix":""},{"dropping-particle":"","family":"Ferri??res","given":"Jean","non-dropping-particle":"","parse-names":false,"suffix":""},{"dropping-particle":"","family":"Kostova","given":"Nela","non-dropping-particle":"","parse-names":false,"suffix":""},{"dropping-particle":"","family":"Klimiashvili","given":"Zurab","non-dropping-particle":"","parse-names":false,"suffix":""},{"dropping-particle":"","family":"Hambrecht","given":"Rainer","non-dropping-particle":"","parse-names":false,"suffix":""},{"dropping-particle":"","family":"Tsioufis","given":"Konstantinos","non-dropping-particle":"","parse-names":false,"suffix":""},{"dropping-particle":"","family":"Szabados","given":"Eszter","non-dropping-particle":"","parse-names":false,"suffix":""},{"dropping-particle":"","family":"Andersen","given":"Karl","non-dropping-particle":"","parse-names":false,"suffix":""},{"dropping-particle":"","family":"Vaughan","given":"Carl","non-dropping-particle":"","parse-names":false,"suffix":""},{"dropping-particle":"","family":"Zafrir","given":"Barak","non-dropping-particle":"","parse-names":false,"suffix":""},{"dropping-particle":"","family":"Novo","given":"Salvatore","non-dropping-particle":"","parse-names":false,"suffix":""},{"dropping-particle":"","family":"Davletov","given":"Kairat","non-dropping-particle":"","parse-names":false,"suffix":""},{"dropping-particle":"","family":"Jashari","given":"Fisnik","non-dropping-particle":"","parse-names":false,"suffix":""},{"dropping-particle":"","family":"Kerimkulova","given":"Alina","non-dropping-particle":"","parse-names":false,"suffix":""},{"dropping-particle":"","family":"Mintale","given":"Iveta","non-dropping-particle":"","parse-names":false,"suffix":""},{"dropping-particle":"","family":"Saade","given":"Georges","non-dropping-particle":"","parse-names":false,"suffix":""},{"dropping-particle":"","family":"Petrulioniene","given":"Zaneta","non-dropping-particle":"","parse-names":false,"suffix":""},{"dropping-particle":"","family":"Delagardelle","given":"Charles","non-dropping-particle":"","parse-names":false,"suffix":""},{"dropping-particle":"","family":"Magri","given":"Caroline J.","non-dropping-particle":"","parse-names":false,"suffix":""},{"dropping-particle":"","family":"Rudi","given":"Victor","non-dropping-particle":"","parse-names":false,"suffix":""},{"dropping-particle":"","family":"Oukerraj","given":"Latifa","non-dropping-particle":"","parse-names":false,"suffix":""},{"dropping-particle":"","family":"????lkesen","given":"B. Ersen","non-dropping-particle":"","parse-names":false,"suffix":""},{"dropping-particle":"","family":"Schirmer","given":"Henrik","non-dropping-particle":"","parse-names":false,"suffix":""},{"dropping-particle":"","family":"Reis","given":"Roberto Palma","non-dropping-particle":"Dos","parse-names":false,"suffix":""},{"dropping-particle":"","family":"Gherasim","given":"Daniel","non-dropping-particle":"","parse-names":false,"suffix":""},{"dropping-particle":"","family":"Nedogoda","given":"Sergey","non-dropping-particle":"","parse-names":false,"suffix":""},{"dropping-particle":"","family":"Zavatta","given":"Marco","non-dropping-particle":"","parse-names":false,"suffix":""},{"dropping-particle":"","family":"Giga","given":"Vojislav","non-dropping-particle":"","parse-names":false,"suffix":""},{"dropping-particle":"","family":"Filipova","given":"Slavomira","non-dropping-particle":"","parse-names":false,"suffix":""},{"dropping-particle":"","family":"Padial","given":"Luis Rodr??guez","non-dropping-particle":"","parse-names":false,"suffix":""},{"dropping-particle":"","family":"Kiessling","given":"Anna","non-dropping-particle":"","parse-names":false,"suffix":""},{"dropping-particle":"","family":"Mahdhaoui","given":"Abdallah","non-dropping-particle":"","parse-names":false,"suffix":""},{"dropping-particle":"","family":"Ural","given":"Dilek","non-dropping-particle":"","parse-names":false,"suffix":""},{"dropping-particle":"","family":"Nesukay","given":"Elena","non-dropping-particle":"","parse-names":false,"suffix":""},{"dropping-particle":"","family":"Gale","given":"Chris","non-dropping-particle":"","parse-names":false,"suffix":""},{"dropping-particle":"","family":"Corrà","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øchen","given":"Maja-Lisa","non-dropping-particle":"","parse-names":false,"suffix":""},{"dropping-particle":"","family":"Lö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Monique","non-dropping-particle":"","parse-names":false,"suffix":""}],"container-title":"European Heart Journal","id":"ITEM-1","issue":"29","issued":{"date-parts":[["2016","5","23"]]},"page":"2315-2381","title":"2016 European Guidelines on cardiovascular disease prevention in clinical practice","type":"article-journal","volume":"37"},"uris":["http://www.mendeley.com/documents/?uuid=aab7a7c9-95cb-4252-8d32-974f5a2136b9"]}],"mendeley":{"formattedCitation":"&lt;sup&gt;4&lt;/sup&gt;","plainTextFormattedCitation":"4","previouslyFormattedCitation":"&lt;sup&gt;4&lt;/sup&gt;"},"properties":{"noteIndex":0},"schema":"https://github.com/citation-style-language/schema/raw/master/csl-citation.json"}</w:instrText>
      </w:r>
      <w:r w:rsidR="004F10EB">
        <w:fldChar w:fldCharType="separate"/>
      </w:r>
      <w:r w:rsidR="004F10EB" w:rsidRPr="004F10EB">
        <w:rPr>
          <w:noProof/>
          <w:vertAlign w:val="superscript"/>
        </w:rPr>
        <w:t>4</w:t>
      </w:r>
      <w:r w:rsidR="004F10EB">
        <w:fldChar w:fldCharType="end"/>
      </w:r>
      <w:r w:rsidR="00A03915" w:rsidRPr="0004071B">
        <w:t xml:space="preserve">  </w:t>
      </w:r>
      <w:r w:rsidR="00205557">
        <w:t>D</w:t>
      </w:r>
      <w:r w:rsidR="001C60D3">
        <w:t xml:space="preserve">ocumented </w:t>
      </w:r>
      <w:r w:rsidR="009A01C3" w:rsidRPr="0004071B">
        <w:t xml:space="preserve">CVD </w:t>
      </w:r>
      <w:r w:rsidR="00205557">
        <w:t xml:space="preserve">was defined </w:t>
      </w:r>
      <w:r w:rsidR="009A01C3" w:rsidRPr="0004071B">
        <w:t xml:space="preserve">as </w:t>
      </w:r>
      <w:r w:rsidR="001335D8">
        <w:t>any</w:t>
      </w:r>
      <w:r w:rsidR="001C60D3">
        <w:t xml:space="preserve"> of the following</w:t>
      </w:r>
      <w:r w:rsidR="00A03915" w:rsidRPr="0004071B">
        <w:t>:  myocardial infarction</w:t>
      </w:r>
      <w:r w:rsidR="00B20293">
        <w:t xml:space="preserve"> (MI)</w:t>
      </w:r>
      <w:r w:rsidR="00A03915" w:rsidRPr="0004071B">
        <w:t>, unstable angina</w:t>
      </w:r>
      <w:r w:rsidR="00B20293">
        <w:t xml:space="preserve"> (UA)</w:t>
      </w:r>
      <w:r w:rsidR="00A03915" w:rsidRPr="0004071B">
        <w:t>, ischemic stroke</w:t>
      </w:r>
      <w:r w:rsidR="00B20293">
        <w:t xml:space="preserve"> (IS)</w:t>
      </w:r>
      <w:r w:rsidR="00A03915" w:rsidRPr="0004071B">
        <w:t xml:space="preserve">, </w:t>
      </w:r>
      <w:r w:rsidR="00B20293" w:rsidRPr="0004071B">
        <w:t xml:space="preserve">surgical or percutaneous </w:t>
      </w:r>
      <w:r w:rsidR="00A03915" w:rsidRPr="0004071B">
        <w:t>revascularization, transient ischemic attack</w:t>
      </w:r>
      <w:r w:rsidR="00B20293">
        <w:t xml:space="preserve"> (TIA)</w:t>
      </w:r>
      <w:r w:rsidR="00A03915" w:rsidRPr="0004071B">
        <w:t xml:space="preserve">, carotid stenosis, peripheral artery disease, abdominal aortic aneurysm, or </w:t>
      </w:r>
      <w:r w:rsidR="001C60D3">
        <w:t>stable angina</w:t>
      </w:r>
      <w:r w:rsidR="00A03915" w:rsidRPr="0004071B">
        <w:t>.</w:t>
      </w:r>
      <w:r w:rsidR="00C068C3">
        <w:fldChar w:fldCharType="begin" w:fldLock="1"/>
      </w:r>
      <w:r w:rsidR="0075193E">
        <w:instrText>ADDIN CSL_CITATION {"citationItems":[{"id":"ITEM-1","itemData":{"DOI":"10.1093/eurheartj/ehw106","ISBN":"0195-668X 1522-9645","ISSN":"15229645","PMID":"17726041","author":[{"dropping-particle":"","family":"Piepoli","given":"Massimo F.","non-dropping-particle":"","parse-names":false,"suffix":""},{"dropping-particle":"","family":"Hoes","given":"Arno W.","non-dropping-particle":"","parse-names":false,"suffix":""},{"dropping-particle":"","family":"Agewall","given":"Stefan","non-dropping-particle":"","parse-names":false,"suffix":""},{"dropping-particle":"","family":"Albus","given":"Christian","non-dropping-particle":"","parse-names":false,"suffix":""},{"dropping-particle":"","family":"Brotons","given":"Carlos","non-dropping-particle":"","parse-names":false,"suffix":""},{"dropping-particle":"","family":"Catapano","given":"Alberico L.","non-dropping-particle":"","parse-names":false,"suffix":""},{"dropping-particle":"","family":"Cooney","given":"Marie-Therese Therese","non-dropping-particle":"","parse-names":false,"suffix":""},{"dropping-particle":"","family":"Corr??","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Richard","non-dropping-particle":"","parse-names":false,"suffix":""},{"dropping-particle":"","family":"L??chen","given":"Maja Lisa","non-dropping-particle":"","parse-names":false,"suffix":""},{"dropping-particle":"","family":"L??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dropping-particle":"","family":"Binno","given":"Simone","non-dropping-particle":"","parse-names":false,"suffix":""},{"dropping-particle":"","family":"Backer","given":"Guy","non-dropping-particle":"De","parse-names":false,"suffix":""},{"dropping-particle":"","family":"Roffi","given":"Marco","non-dropping-particle":"","parse-names":false,"suffix":""},{"dropping-particle":"","family":"Aboyans","given":"Victor","non-dropping-particle":"","parse-names":false,"suffix":""},{"dropping-particle":"","family":"Bachl","given":"Norbert","non-dropping-particle":"","parse-names":false,"suffix":""},{"dropping-particle":"","family":"Carerj","given":"Scipione","non-dropping-particle":"","parse-names":false,"suffix":""},{"dropping-particle":"","family":"Cho","given":"Leslie","non-dropping-particle":"","parse-names":false,"suffix":""},{"dropping-particle":"","family":"Cox","given":"John","non-dropping-particle":"","parse-names":false,"suffix":""},{"dropping-particle":"","family":"Sutter","given":"Johan","non-dropping-particle":"De","parse-names":false,"suffix":""},{"dropping-particle":"","family":"Egidi","given":"G??nther","non-dropping-particle":"","parse-names":false,"suffix":""},{"dropping-particle":"","family":"Fisher","given":"Miles","non-dropping-particle":"","parse-names":false,"suffix":""},{"dropping-particle":"","family":"Fitzsimons","given":"Donna","non-dropping-particle":"","parse-names":false,"suffix":""},{"dropping-particle":"","family":"Franco","given":"Oscar H.","non-dropping-particle":"","parse-names":false,"suffix":""},{"dropping-particle":"","family":"Guenoun","given":"Maxime","non-dropping-particle":"","parse-names":false,"suffix":""},{"dropping-particle":"","family":"Jennings","given":"Catriona","non-dropping-particle":"","parse-names":false,"suffix":""},{"dropping-particle":"","family":"Jug","given":"Borut","non-dropping-particle":"","parse-names":false,"suffix":""},{"dropping-particle":"","family":"Kirchhof","given":"Paulus","non-dropping-particle":"","parse-names":false,"suffix":""},{"dropping-particle":"","family":"Kotseva","given":"Kornelia","non-dropping-particle":"","parse-names":false,"suffix":""},{"dropping-particle":"","family":"Lip","given":"Gregory Y H","non-dropping-particle":"","parse-names":false,"suffix":""},{"dropping-particle":"","family":"Mach","given":"Francois Fran??ois","non-dropping-particle":"","parse-names":false,"suffix":""},{"dropping-particle":"","family":"Mancia","given":"Giuseppe","non-dropping-particle":"","parse-names":false,"suffix":""},{"dropping-particle":"","family":"Bermudo","given":"Franz Martin","non-dropping-particle":"","parse-names":false,"suffix":""},{"dropping-particle":"","family":"Mezzani","given":"Alessandro","non-dropping-particle":"","parse-names":false,"suffix":""},{"dropping-particle":"","family":"Niessner","given":"Alexander","non-dropping-particle":"","parse-names":false,"suffix":""},{"dropping-particle":"","family":"Ponikowski","given":"Piotr","non-dropping-particle":"","parse-names":false,"suffix":""},{"dropping-particle":"","family":"Rauch","given":"Bernhard","non-dropping-particle":"","parse-names":false,"suffix":""},{"dropping-particle":"","family":"Stauder","given":"Adrienne","non-dropping-particle":"","parse-names":false,"suffix":""},{"dropping-particle":"","family":"Turc","given":"Guillaume","non-dropping-particle":"","parse-names":false,"suffix":""},{"dropping-particle":"","family":"Wiklund","given":"Olov","non-dropping-particle":"","parse-names":false,"suffix":""},{"dropping-particle":"","family":"Windecker","given":"Stephan","non-dropping-particle":"","parse-names":false,"suffix":""},{"dropping-particle":"","family":"Zamorano","given":"Jose Luis","non-dropping-particle":"","parse-names":false,"suffix":""},{"dropping-particle":"","family":"Achenbach","given":"Stephan","non-dropping-particle":"","parse-names":false,"suffix":""},{"dropping-particle":"","family":"Badimon","given":"Lina","non-dropping-particle":"","parse-names":false,"suffix":""},{"dropping-particle":"","family":"Baron-Esquivias","given":"Gonzalo","non-dropping-particle":"","parse-names":false,"suffix":""},{"dropping-particle":"","family":"Baumgartner","given":"Helmut","non-dropping-particle":"","parse-names":false,"suffix":""},{"dropping-particle":"","family":"Bax","given":"Jeroen J.","non-dropping-particle":"","parse-names":false,"suffix":""},{"dropping-particle":"","family":"Dean","given":"Veronica","non-dropping-particle":"","parse-names":false,"suffix":""},{"dropping-particle":"","family":"Erol","given":"Etin","non-dropping-particle":"","parse-names":false,"suffix":""},{"dropping-particle":"","family":"Gaemperli","given":"Oliver","non-dropping-particle":"","parse-names":false,"suffix":""},{"dropping-particle":"","family":"Kolh","given":"Philippe","non-dropping-particle":"","parse-names":false,"suffix":""},{"dropping-particle":"","family":"Lancellotti","given":"Patrizio","non-dropping-particle":"","parse-names":false,"suffix":""},{"dropping-particle":"","family":"Nihoyannopoulos","given":"Petros","non-dropping-particle":"","parse-names":false,"suffix":""},{"dropping-particle":"","family":"Torbicki","given":"Adam","non-dropping-particle":"","parse-names":false,"suffix":""},{"dropping-particle":"","family":"Carneiro","given":"Ant??nio Vaz Antonio Vaz","non-dropping-particle":"","parse-names":false,"suffix":""},{"dropping-particle":"","family":"Metzler","given":"Bernhard","non-dropping-particle":"","parse-names":false,"suffix":""},{"dropping-particle":"","family":"Najafov","given":"Ruslan","non-dropping-particle":"","parse-names":false,"suffix":""},{"dropping-particle":"","family":"Stelmashok","given":"Valeriy","non-dropping-particle":"","parse-names":false,"suffix":""},{"dropping-particle":"","family":"Maeyer","given":"Catherine","non-dropping-particle":"De","parse-names":false,"suffix":""},{"dropping-particle":"","family":"Dili??","given":"Mirza","non-dropping-particle":"","parse-names":false,"suffix":""},{"dropping-particle":"","family":"Gruev","given":"Ivan","non-dropping-particle":"","parse-names":false,"suffix":""},{"dropping-particle":"","family":"Mili??i??","given":"Davor","non-dropping-particle":"","parse-names":false,"suffix":""},{"dropping-particle":"","family":"Vaverkova","given":"Helena","non-dropping-particle":"","parse-names":false,"suffix":""},{"dropping-particle":"","family":"Gustafsson","given":"Ida","non-dropping-particle":"","parse-names":false,"suffix":""},{"dropping-particle":"","family":"Attia","given":"Ihab","non-dropping-particle":"","parse-names":false,"suffix":""},{"dropping-particle":"","family":"Duishvili","given":"Davit","non-dropping-particle":"","parse-names":false,"suffix":""},{"dropping-particle":"","family":"Ferri??res","given":"Jean","non-dropping-particle":"","parse-names":false,"suffix":""},{"dropping-particle":"","family":"Kostova","given":"Nela","non-dropping-particle":"","parse-names":false,"suffix":""},{"dropping-particle":"","family":"Klimiashvili","given":"Zurab","non-dropping-particle":"","parse-names":false,"suffix":""},{"dropping-particle":"","family":"Hambrecht","given":"Rainer","non-dropping-particle":"","parse-names":false,"suffix":""},{"dropping-particle":"","family":"Tsioufis","given":"Konstantinos","non-dropping-particle":"","parse-names":false,"suffix":""},{"dropping-particle":"","family":"Szabados","given":"Eszter","non-dropping-particle":"","parse-names":false,"suffix":""},{"dropping-particle":"","family":"Andersen","given":"Karl","non-dropping-particle":"","parse-names":false,"suffix":""},{"dropping-particle":"","family":"Vaughan","given":"Carl","non-dropping-particle":"","parse-names":false,"suffix":""},{"dropping-particle":"","family":"Zafrir","given":"Barak","non-dropping-particle":"","parse-names":false,"suffix":""},{"dropping-particle":"","family":"Novo","given":"Salvatore","non-dropping-particle":"","parse-names":false,"suffix":""},{"dropping-particle":"","family":"Davletov","given":"Kairat","non-dropping-particle":"","parse-names":false,"suffix":""},{"dropping-particle":"","family":"Jashari","given":"Fisnik","non-dropping-particle":"","parse-names":false,"suffix":""},{"dropping-particle":"","family":"Kerimkulova","given":"Alina","non-dropping-particle":"","parse-names":false,"suffix":""},{"dropping-particle":"","family":"Mintale","given":"Iveta","non-dropping-particle":"","parse-names":false,"suffix":""},{"dropping-particle":"","family":"Saade","given":"Georges","non-dropping-particle":"","parse-names":false,"suffix":""},{"dropping-particle":"","family":"Petrulioniene","given":"Zaneta","non-dropping-particle":"","parse-names":false,"suffix":""},{"dropping-particle":"","family":"Delagardelle","given":"Charles","non-dropping-particle":"","parse-names":false,"suffix":""},{"dropping-particle":"","family":"Magri","given":"Caroline J.","non-dropping-particle":"","parse-names":false,"suffix":""},{"dropping-particle":"","family":"Rudi","given":"Victor","non-dropping-particle":"","parse-names":false,"suffix":""},{"dropping-particle":"","family":"Oukerraj","given":"Latifa","non-dropping-particle":"","parse-names":false,"suffix":""},{"dropping-particle":"","family":"????lkesen","given":"B. Ersen","non-dropping-particle":"","parse-names":false,"suffix":""},{"dropping-particle":"","family":"Schirmer","given":"Henrik","non-dropping-particle":"","parse-names":false,"suffix":""},{"dropping-particle":"","family":"Reis","given":"Roberto Palma","non-dropping-particle":"Dos","parse-names":false,"suffix":""},{"dropping-particle":"","family":"Gherasim","given":"Daniel","non-dropping-particle":"","parse-names":false,"suffix":""},{"dropping-particle":"","family":"Nedogoda","given":"Sergey","non-dropping-particle":"","parse-names":false,"suffix":""},{"dropping-particle":"","family":"Zavatta","given":"Marco","non-dropping-particle":"","parse-names":false,"suffix":""},{"dropping-particle":"","family":"Giga","given":"Vojislav","non-dropping-particle":"","parse-names":false,"suffix":""},{"dropping-particle":"","family":"Filipova","given":"Slavomira","non-dropping-particle":"","parse-names":false,"suffix":""},{"dropping-particle":"","family":"Padial","given":"Luis Rodr??guez","non-dropping-particle":"","parse-names":false,"suffix":""},{"dropping-particle":"","family":"Kiessling","given":"Anna","non-dropping-particle":"","parse-names":false,"suffix":""},{"dropping-particle":"","family":"Mahdhaoui","given":"Abdallah","non-dropping-particle":"","parse-names":false,"suffix":""},{"dropping-particle":"","family":"Ural","given":"Dilek","non-dropping-particle":"","parse-names":false,"suffix":""},{"dropping-particle":"","family":"Nesukay","given":"Elena","non-dropping-particle":"","parse-names":false,"suffix":""},{"dropping-particle":"","family":"Gale","given":"Chris","non-dropping-particle":"","parse-names":false,"suffix":""},{"dropping-particle":"","family":"Bar??n-Esquivias","given":"Gonzalo","non-dropping-particle":"","parse-names":false,"suffix":""},{"dropping-particle":"","family":"Baumgartner","given":"Helmut","non-dropping-particle":"","parse-names":false,"suffix":""},{"dropping-particle":"","family":"Bax","given":"Jeroen J.","non-dropping-particle":"","parse-names":false,"suffix":""},{"dropping-particle":"","family":"Dean","given":"Veronica","non-dropping-particle":"","parse-names":false,"suffix":""},{"dropping-particle":"","family":"Erol","given":"??etin","non-dropping-particle":"","parse-names":false,"suffix":""},{"dropping-particle":"","family":"Gaemperli","given":"Oliver","non-dropping-particle":"","parse-names":false,"suffix":""},{"dropping-particle":"","family":"Kolh","given":"Philippe","non-dropping-particle":"","parse-names":false,"suffix":""},{"dropping-particle":"","family":"Lancellotti","given":"Patrizio","non-dropping-particle":"","parse-names":false,"suffix":""},{"dropping-particle":"","family":"Nihoyannopoulos","given":"Petros","non-dropping-particle":"","parse-names":false,"suffix":""},{"dropping-particle":"","family":"Torbicki","given":"Adam","non-dropping-particle":"","parse-names":false,"suffix":""},{"dropping-particle":"","family":"Carneiro","given":"Ant??nio Vaz Antonio Vaz","non-dropping-particle":"","parse-names":false,"suffix":""},{"dropping-particle":"","family":"Metzler","given":"Bernhard","non-dropping-particle":"","parse-names":false,"suffix":""},{"dropping-particle":"","family":"Najafov","given":"Ruslan","non-dropping-particle":"","parse-names":false,"suffix":""},{"dropping-particle":"","family":"Stelmashok","given":"Valeriy","non-dropping-particle":"","parse-names":false,"suffix":""},{"dropping-particle":"","family":"Maeyer","given":"Catherine","non-dropping-particle":"De","parse-names":false,"suffix":""},{"dropping-particle":"","family":"Dili??","given":"Mirza","non-dropping-particle":"","parse-names":false,"suffix":""},{"dropping-particle":"","family":"Gruev","given":"Ivan","non-dropping-particle":"","parse-names":false,"suffix":""},{"dropping-particle":"","family":"Mili??i??","given":"Davor","non-dropping-particle":"","parse-names":false,"suffix":""},{"dropping-particle":"","family":"Vaverkova","given":"Helena","non-dropping-particle":"","parse-names":false,"suffix":""},{"dropping-particle":"","family":"Gustafsson","given":"Ida","non-dropping-particle":"","parse-names":false,"suffix":""},{"dropping-particle":"","family":"Attia","given":"Ihab","non-dropping-particle":"","parse-names":false,"suffix":""},{"dropping-particle":"","family":"Duishvili","given":"Davit","non-dropping-particle":"","parse-names":false,"suffix":""},{"dropping-particle":"","family":"Ferri??res","given":"Jean","non-dropping-particle":"","parse-names":false,"suffix":""},{"dropping-particle":"","family":"Kostova","given":"Nela","non-dropping-particle":"","parse-names":false,"suffix":""},{"dropping-particle":"","family":"Klimiashvili","given":"Zurab","non-dropping-particle":"","parse-names":false,"suffix":""},{"dropping-particle":"","family":"Hambrecht","given":"Rainer","non-dropping-particle":"","parse-names":false,"suffix":""},{"dropping-particle":"","family":"Tsioufis","given":"Konstantinos","non-dropping-particle":"","parse-names":false,"suffix":""},{"dropping-particle":"","family":"Szabados","given":"Eszter","non-dropping-particle":"","parse-names":false,"suffix":""},{"dropping-particle":"","family":"Andersen","given":"Karl","non-dropping-particle":"","parse-names":false,"suffix":""},{"dropping-particle":"","family":"Vaughan","given":"Carl","non-dropping-particle":"","parse-names":false,"suffix":""},{"dropping-particle":"","family":"Zafrir","given":"Barak","non-dropping-particle":"","parse-names":false,"suffix":""},{"dropping-particle":"","family":"Novo","given":"Salvatore","non-dropping-particle":"","parse-names":false,"suffix":""},{"dropping-particle":"","family":"Davletov","given":"Kairat","non-dropping-particle":"","parse-names":false,"suffix":""},{"dropping-particle":"","family":"Jashari","given":"Fisnik","non-dropping-particle":"","parse-names":false,"suffix":""},{"dropping-particle":"","family":"Kerimkulova","given":"Alina","non-dropping-particle":"","parse-names":false,"suffix":""},{"dropping-particle":"","family":"Mintale","given":"Iveta","non-dropping-particle":"","parse-names":false,"suffix":""},{"dropping-particle":"","family":"Saade","given":"Georges","non-dropping-particle":"","parse-names":false,"suffix":""},{"dropping-particle":"","family":"Petrulioniene","given":"Zaneta","non-dropping-particle":"","parse-names":false,"suffix":""},{"dropping-particle":"","family":"Delagardelle","given":"Charles","non-dropping-particle":"","parse-names":false,"suffix":""},{"dropping-particle":"","family":"Magri","given":"Caroline J.","non-dropping-particle":"","parse-names":false,"suffix":""},{"dropping-particle":"","family":"Rudi","given":"Victor","non-dropping-particle":"","parse-names":false,"suffix":""},{"dropping-particle":"","family":"Oukerraj","given":"Latifa","non-dropping-particle":"","parse-names":false,"suffix":""},{"dropping-particle":"","family":"????lkesen","given":"B. Ersen","non-dropping-particle":"","parse-names":false,"suffix":""},{"dropping-particle":"","family":"Schirmer","given":"Henrik","non-dropping-particle":"","parse-names":false,"suffix":""},{"dropping-particle":"","family":"Reis","given":"Roberto Palma","non-dropping-particle":"Dos","parse-names":false,"suffix":""},{"dropping-particle":"","family":"Gherasim","given":"Daniel","non-dropping-particle":"","parse-names":false,"suffix":""},{"dropping-particle":"","family":"Nedogoda","given":"Sergey","non-dropping-particle":"","parse-names":false,"suffix":""},{"dropping-particle":"","family":"Zavatta","given":"Marco","non-dropping-particle":"","parse-names":false,"suffix":""},{"dropping-particle":"","family":"Giga","given":"Vojislav","non-dropping-particle":"","parse-names":false,"suffix":""},{"dropping-particle":"","family":"Filipova","given":"Slavomira","non-dropping-particle":"","parse-names":false,"suffix":""},{"dropping-particle":"","family":"Padial","given":"Luis Rodr??guez","non-dropping-particle":"","parse-names":false,"suffix":""},{"dropping-particle":"","family":"Kiessling","given":"Anna","non-dropping-particle":"","parse-names":false,"suffix":""},{"dropping-particle":"","family":"Mahdhaoui","given":"Abdallah","non-dropping-particle":"","parse-names":false,"suffix":""},{"dropping-particle":"","family":"Ural","given":"Dilek","non-dropping-particle":"","parse-names":false,"suffix":""},{"dropping-particle":"","family":"Nesukay","given":"Elena","non-dropping-particle":"","parse-names":false,"suffix":""},{"dropping-particle":"","family":"Gale","given":"Chris","non-dropping-particle":"","parse-names":false,"suffix":""},{"dropping-particle":"","family":"Corrà","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øchen","given":"Maja-Lisa","non-dropping-particle":"","parse-names":false,"suffix":""},{"dropping-particle":"","family":"Lö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Monique","non-dropping-particle":"","parse-names":false,"suffix":""}],"container-title":"European Heart Journal","id":"ITEM-1","issue":"29","issued":{"date-parts":[["2016","5","23"]]},"page":"2315-2381","title":"2016 European Guidelines on cardiovascular disease prevention in clinical practice","type":"article-journal","volume":"37"},"uris":["http://www.mendeley.com/documents/?uuid=aab7a7c9-95cb-4252-8d32-974f5a2136b9"]}],"mendeley":{"formattedCitation":"&lt;sup&gt;4&lt;/sup&gt;","plainTextFormattedCitation":"4","previouslyFormattedCitation":"&lt;sup&gt;4&lt;/sup&gt;"},"properties":{"noteIndex":0},"schema":"https://github.com/citation-style-language/schema/raw/master/csl-citation.json"}</w:instrText>
      </w:r>
      <w:r w:rsidR="00C068C3">
        <w:fldChar w:fldCharType="separate"/>
      </w:r>
      <w:r w:rsidR="00C068C3" w:rsidRPr="00C068C3">
        <w:rPr>
          <w:noProof/>
          <w:vertAlign w:val="superscript"/>
        </w:rPr>
        <w:t>4</w:t>
      </w:r>
      <w:r w:rsidR="00C068C3">
        <w:fldChar w:fldCharType="end"/>
      </w:r>
      <w:r w:rsidR="00A03915" w:rsidRPr="0004071B">
        <w:t xml:space="preserve">  </w:t>
      </w:r>
      <w:r w:rsidR="00F2282E">
        <w:t xml:space="preserve">CKD </w:t>
      </w:r>
      <w:r w:rsidR="00F2282E" w:rsidRPr="0004071B">
        <w:t xml:space="preserve">was identified based on </w:t>
      </w:r>
      <w:r w:rsidR="00F2282E">
        <w:t>diagnoses or estimated glomerular filtration rate (</w:t>
      </w:r>
      <w:r w:rsidR="00F2282E" w:rsidRPr="0004071B">
        <w:t>eGFR</w:t>
      </w:r>
      <w:r w:rsidR="00F2282E">
        <w:t>) values</w:t>
      </w:r>
      <w:r w:rsidR="00F2282E" w:rsidRPr="0004071B">
        <w:t xml:space="preserve">.  Type 2 diabetes was based on </w:t>
      </w:r>
      <w:r w:rsidR="00F2282E">
        <w:t>diagnoses</w:t>
      </w:r>
      <w:r w:rsidR="00F2282E" w:rsidRPr="0004071B">
        <w:t xml:space="preserve"> or the use of antidiabetic medication.</w:t>
      </w:r>
      <w:r w:rsidR="00F2282E">
        <w:fldChar w:fldCharType="begin" w:fldLock="1"/>
      </w:r>
      <w:r w:rsidR="0075193E">
        <w:instrText>ADDIN CSL_CITATION {"citationItems":[{"id":"ITEM-1","itemData":{"DOI":"10.1111/j.1464-5491.2009.02920.x","ISBN":"0742-3071","ISSN":"14645491","PMID":"20536944","abstract":"To conduct a systematic review to identify types and implications of incorrect or incomplete coding or classification within diabetes or between diabetes and other conditions; also to determine the availability of evidence regarding frequency of occurrence. Medical Subject Headings (MeSH) and free-text terms were used to search relevant electronic databases for papers published to the end of August 2008. Two researchers independently reviewed titles and abstracts and, subsequently, the full text of potential papers. Reference lists of selected papers were also reviewed and authors consulted. Three reviewers independently extracted data. Seventeen eligible studies were identified, including five concerned with distinguishing between Type 1 and Type 2 diabetes. Evidence was also identified regarding: the distinction between diabetes and no-diabetes, failure to specify type of diabetes, and diagnostic errors or difficulties involving maturity-onset diabetes of the young, latent autoimmune diabetes in adults, pancreatic diabetes, persistence of foetal haemoglobin and acquired immune deficiency syndrome (AIDS). The sample was too heterogeneous to derive accurate information about frequency, but our findings suggested that misclassification occurs most commonly in young people. Implications relating to treatment options and risk management were highlighted, in addition to psychological and financial implications and the potential impact on the validity of quality of care evaluations and research. This review draws attention to the occurrence and implications of incorrect or incomplete coding or classification of diabetes, particularly in young people. A pragmatic and clinically relevant approach to classification is needed to assist those involved in making decisions about types of diabetes.; Diabet. Med. 27, 491-497 (2010) To conduct a systematic review to identify types and implications of incorrect or incomplete coding or classification within diabetes or between diabetes and other conditions; also to determine the availability of evidence regarding frequency of occurrence. Medical Subject Headings (MeSH) and free-text terms were used to search relevant electronic databases for papers published to the end of August 2008. Two researchers independently reviewed titles and abstracts and, subsequently, the full text of potential papers. Reference lists of selected papers were also reviewed and authors consulted. Three reviewers independently extracted data. Se…","author":[{"dropping-particle":"","family":"Stone","given":"M. A.","non-dropping-particle":"","parse-names":false,"suffix":""},{"dropping-particle":"","family":"Camosso-Stefinovic","given":"J.","non-dropping-particle":"","parse-names":false,"suffix":""},{"dropping-particle":"","family":"Wilkinson","given":"J.","non-dropping-particle":"","parse-names":false,"suffix":""},{"dropping-particle":"","family":"Lusignan","given":"S.","non-dropping-particle":"De","parse-names":false,"suffix":""},{"dropping-particle":"","family":"Hattersley","given":"A. T.","non-dropping-particle":"","parse-names":false,"suffix":""},{"dropping-particle":"","family":"Khunti","given":"K.","non-dropping-particle":"","parse-names":false,"suffix":""}],"container-title":"Diabetic Medicine","id":"ITEM-1","issue":"5","issued":{"date-parts":[["2010"]]},"page":"491-497","title":"Incorrect and incomplete coding and classification of diabetes: A systematic review","type":"article","volume":"27"},"uris":["http://www.mendeley.com/documents/?uuid=71ab8872-cea2-48e0-ae22-94f8cf9f8bd9"]}],"mendeley":{"formattedCitation":"&lt;sup&gt;19&lt;/sup&gt;","plainTextFormattedCitation":"19","previouslyFormattedCitation":"&lt;sup&gt;19&lt;/sup&gt;"},"properties":{"noteIndex":0},"schema":"https://github.com/citation-style-language/schema/raw/master/csl-citation.json"}</w:instrText>
      </w:r>
      <w:r w:rsidR="00F2282E">
        <w:fldChar w:fldCharType="separate"/>
      </w:r>
      <w:r w:rsidR="00B719E5" w:rsidRPr="00B719E5">
        <w:rPr>
          <w:noProof/>
          <w:vertAlign w:val="superscript"/>
        </w:rPr>
        <w:t>19</w:t>
      </w:r>
      <w:r w:rsidR="00F2282E">
        <w:fldChar w:fldCharType="end"/>
      </w:r>
      <w:r w:rsidR="00F2282E">
        <w:t xml:space="preserve">  </w:t>
      </w:r>
      <w:r w:rsidR="005D14B3">
        <w:t>(</w:t>
      </w:r>
      <w:proofErr w:type="spellStart"/>
      <w:r w:rsidR="0022317A">
        <w:t>eMethods</w:t>
      </w:r>
      <w:proofErr w:type="spellEnd"/>
      <w:r w:rsidR="005D14B3">
        <w:t>)</w:t>
      </w:r>
    </w:p>
    <w:p w14:paraId="4712203E" w14:textId="2F4B5252" w:rsidR="00365648" w:rsidRPr="0004071B" w:rsidRDefault="00365648" w:rsidP="00453D20">
      <w:pPr>
        <w:pStyle w:val="Text"/>
      </w:pPr>
      <w:r>
        <w:t xml:space="preserve">Patients were </w:t>
      </w:r>
      <w:r w:rsidR="00967D62">
        <w:t>analyzed in</w:t>
      </w:r>
      <w:r w:rsidR="005D14B3">
        <w:t xml:space="preserve"> </w:t>
      </w:r>
      <w:r>
        <w:t xml:space="preserve">three cohorts:  those with documented CVD (CVD cohort), those with type 2 diabetes without CVD </w:t>
      </w:r>
      <w:r w:rsidR="00F2282E">
        <w:t xml:space="preserve">or CKD </w:t>
      </w:r>
      <w:r>
        <w:t xml:space="preserve">(diabetes cohort), </w:t>
      </w:r>
      <w:r w:rsidRPr="0004071B">
        <w:t xml:space="preserve">and </w:t>
      </w:r>
      <w:r>
        <w:t xml:space="preserve">those </w:t>
      </w:r>
      <w:r w:rsidR="005C2087">
        <w:t xml:space="preserve">with </w:t>
      </w:r>
      <w:r w:rsidRPr="0004071B">
        <w:t>CKD</w:t>
      </w:r>
      <w:r>
        <w:t xml:space="preserve"> without CVD (CKD cohort).</w:t>
      </w:r>
      <w:r w:rsidR="00E00AE9">
        <w:t xml:space="preserve">  </w:t>
      </w:r>
    </w:p>
    <w:p w14:paraId="6F7D2C92" w14:textId="680C06B4" w:rsidR="00F008B5" w:rsidRPr="0004071B" w:rsidRDefault="00453D20" w:rsidP="00192B18">
      <w:pPr>
        <w:pStyle w:val="Heading2"/>
      </w:pPr>
      <w:r w:rsidRPr="0004071B">
        <w:t>Exposures</w:t>
      </w:r>
      <w:r w:rsidR="00105EC5">
        <w:t xml:space="preserve"> and Outcomes</w:t>
      </w:r>
    </w:p>
    <w:p w14:paraId="47F3CB52" w14:textId="554731C9" w:rsidR="00C36938" w:rsidRDefault="00453D20" w:rsidP="00453D20">
      <w:pPr>
        <w:pStyle w:val="Text"/>
      </w:pPr>
      <w:r w:rsidRPr="0004071B">
        <w:rPr>
          <w:iCs/>
        </w:rPr>
        <w:t xml:space="preserve">Adherence </w:t>
      </w:r>
      <w:r w:rsidR="00073FBC" w:rsidRPr="0004071B">
        <w:rPr>
          <w:iCs/>
        </w:rPr>
        <w:t>wa</w:t>
      </w:r>
      <w:r w:rsidR="001A2AA4" w:rsidRPr="0004071B">
        <w:rPr>
          <w:iCs/>
        </w:rPr>
        <w:t>s</w:t>
      </w:r>
      <w:r w:rsidRPr="0004071B">
        <w:rPr>
          <w:iCs/>
        </w:rPr>
        <w:t xml:space="preserve"> measured using the proportion of days covered (PDC).</w:t>
      </w:r>
      <w:r w:rsidR="002425D0">
        <w:rPr>
          <w:iCs/>
        </w:rPr>
        <w:fldChar w:fldCharType="begin" w:fldLock="1"/>
      </w:r>
      <w:r w:rsidR="0075193E">
        <w:rPr>
          <w:iCs/>
        </w:rPr>
        <w:instrText>ADDIN CSL_CITATION {"citationItems":[{"id":"ITEM-1","itemData":{"abstract":"The Pharmacy Quality Alliance (PQA) has developed, tested and endorsed numerous measures of medication-use quality. PQA members identified medication adherence as an important component of medication-use quality, and therefore PQA sought to endorse a standard method for calculation of medication adherence using data that would be widely available across prescription drug plans and pharmacies. After reviewing the extant literature and conducting tests of draft measure specifications, PQA chose to endorse the method known as Proportion of Days Covered (PDC).","author":[{"dropping-particle":"","family":"Nau","given":"David P.","non-dropping-particle":"","parse-names":false,"suffix":""}],"container-title":"Pharmacy Quality Alliance","id":"ITEM-1","issued":{"date-parts":[["2006"]]},"page":"1-3","title":"Proportion of days covered (PDC) as a preferred method of measuring medication adherence","type":"article-journal","volume":"2012"},"uris":["http://www.mendeley.com/documents/?uuid=570bfd23-d50c-418d-b4e2-101211261f21"]},{"id":"ITEM-2","itemData":{"DOI":"10.1002/pds.1230","ISSN":"1053-8569","PMID":"16514590","abstract":"PURPOSE: Our aim was to perform a systematic review of the methods currently being used to assess adherence and persistence in pharmacoepidemiological and pharmacoeconomic studies using automated databases. METHODS: A MEDLINE search of English language literature was performed to identify studies published between January 1, 1980 and March 31, 2004 that evaluated adherence, compliance, persistence, switching, or discontinuations of medications using automated dispensing data (pharmacy records). Two study investigators independently reviewed the abstracts and articles to determine relevant studies according to specified criteria. RESULTS: A total of 136 articles met the criteria for evaluation. The types of measures of adherence and persistence commonly reported include the medication possession ratio and related measures of medication availability (77 studies), discontinuation/continuation (58 studies), switching (34 studies), medication gaps (13 studies), refill compliance (7 studies), and retentiveness/turbulence (4 studies). Specific issues considered include the assessment of exposed time to drug therapy and specification of the follow-up period. CONCLUSIONS: The terminology, definitions, and methods to determine adherence and persistence differ greatly in the published literature. The appropriateness and choice of the specific measure employed should be determined by the overall goals of the study, as well as the relative advantages and limitations of the measures.","author":[{"dropping-particle":"","family":"Andrade","given":"Susan E","non-dropping-particle":"","parse-names":false,"suffix":""},{"dropping-particle":"","family":"Kahler","given":"Kristijan H","non-dropping-particle":"","parse-names":false,"suffix":""},{"dropping-particle":"","family":"Frech","given":"Feride","non-dropping-particle":"","parse-names":false,"suffix":""},{"dropping-particle":"","family":"Chan","given":"K Arnold","non-dropping-particle":"","parse-names":false,"suffix":""}],"container-title":"Pharmacoepidemiology and drug safety","id":"ITEM-2","issue":"8","issued":{"date-parts":[["2006","8"]]},"page":"565-74; discussion 575-7","title":"Methods for evaluation of medication adherence and persistence using automated databases.","type":"article-journal","volume":"15"},"uris":["http://www.mendeley.com/documents/?uuid=2974a2bb-8504-4121-a9e9-59d85363c491"]}],"mendeley":{"formattedCitation":"&lt;sup&gt;20,21&lt;/sup&gt;","plainTextFormattedCitation":"20,21","previouslyFormattedCitation":"&lt;sup&gt;20,21&lt;/sup&gt;"},"properties":{"noteIndex":0},"schema":"https://github.com/citation-style-language/schema/raw/master/csl-citation.json"}</w:instrText>
      </w:r>
      <w:r w:rsidR="002425D0">
        <w:rPr>
          <w:iCs/>
        </w:rPr>
        <w:fldChar w:fldCharType="separate"/>
      </w:r>
      <w:r w:rsidR="00B719E5" w:rsidRPr="00B719E5">
        <w:rPr>
          <w:iCs/>
          <w:noProof/>
          <w:vertAlign w:val="superscript"/>
        </w:rPr>
        <w:t>20,21</w:t>
      </w:r>
      <w:r w:rsidR="002425D0">
        <w:rPr>
          <w:iCs/>
        </w:rPr>
        <w:fldChar w:fldCharType="end"/>
      </w:r>
      <w:r w:rsidRPr="0004071B">
        <w:rPr>
          <w:iCs/>
        </w:rPr>
        <w:t xml:space="preserve">  </w:t>
      </w:r>
      <w:r w:rsidR="00AF3587">
        <w:rPr>
          <w:iCs/>
        </w:rPr>
        <w:t xml:space="preserve">In keeping </w:t>
      </w:r>
      <w:r w:rsidR="006B51BE">
        <w:rPr>
          <w:iCs/>
        </w:rPr>
        <w:t>with other studies, w</w:t>
      </w:r>
      <w:r w:rsidR="00211C71">
        <w:rPr>
          <w:iCs/>
        </w:rPr>
        <w:t>e</w:t>
      </w:r>
      <w:r w:rsidR="00DA3C4E">
        <w:rPr>
          <w:iCs/>
        </w:rPr>
        <w:t xml:space="preserve"> defined patients with a PDC </w:t>
      </w:r>
      <w:r w:rsidR="00211C71">
        <w:rPr>
          <w:iCs/>
        </w:rPr>
        <w:t>≥</w:t>
      </w:r>
      <w:r w:rsidR="00DA3C4E">
        <w:rPr>
          <w:iCs/>
        </w:rPr>
        <w:t xml:space="preserve"> 80% as “adherent”</w:t>
      </w:r>
      <w:r w:rsidR="00211C71">
        <w:rPr>
          <w:iCs/>
        </w:rPr>
        <w:t>.</w:t>
      </w:r>
      <w:r w:rsidR="006B51BE">
        <w:rPr>
          <w:iCs/>
        </w:rPr>
        <w:fldChar w:fldCharType="begin" w:fldLock="1"/>
      </w:r>
      <w:r w:rsidR="0075193E">
        <w:rPr>
          <w:iCs/>
        </w:rPr>
        <w:instrText>ADDIN CSL_CITATION {"citationItems":[{"id":"ITEM-1","itemData":{"DOI":"10.1080/03007995.2017.1281109","ISBN":"1473-4877 (Electronic)\r0300-7995 (Linking)","ISSN":"14734877","PMID":"28076703","abstract":"AbstractObjective: To identify and assess studies published over a 10 year period up to February 2016 which measure adherence or persistence with statins, to summarize their methods, strengths and weaknesses and to summarize evidence linking statin adherence/persistence with risk of cardiovascular events.Methods: Electronic databases and abstracts from four major cardiovascular disease conferences were searched from January 2005 to February 2016. The study selection process was performed by two reviewers working independently. Studies were included if they reported data regarding patient adherence or persistence with statins in adults with primary hypercholesterolemia, using any type of study design or length of follow-up. One reviewer extracted the study data and assessed study quality, which was checked by a second reviewer independently. Given the heterogeneity between the included studies a narrative critique and summary is presented.Results: We report on 84 real world studies which aimed to assess ad...","author":[{"dropping-particle":"","family":"Deshpande","given":"Sohan","non-dropping-particle":"","parse-names":false,"suffix":""},{"dropping-particle":"","family":"Quek","given":"Ruben G.W.","non-dropping-particle":"","parse-names":false,"suffix":""},{"dropping-particle":"","family":"Forbes","given":"Carol A.","non-dropping-particle":"","parse-names":false,"suffix":""},{"dropping-particle":"","family":"Kock","given":"Shelley","non-dropping-particle":"de","parse-names":false,"suffix":""},{"dropping-particle":"","family":"Kleijnen","given":"Jos","non-dropping-particle":"","parse-names":false,"suffix":""},{"dropping-particle":"","family":"Gandra","given":"Shravanthi R.","non-dropping-particle":"","parse-names":false,"suffix":""},{"dropping-particle":"","family":"Simpson","given":"Ross J.","non-dropping-particle":"","parse-names":false,"suffix":""}],"container-title":"Current Medical Research and Opinion","id":"ITEM-1","issue":"4","issued":{"date-parts":[["2017"]]},"page":"769-778","publisher":"Taylor 8 Francis","title":"A systematic review to assess adherence and persistence with statins","type":"article-journal","volume":"33"},"uris":["http://www.mendeley.com/documents/?uuid=1d2d8caf-13a9-4156-8092-1ea345a8589f"]}],"mendeley":{"formattedCitation":"&lt;sup&gt;18&lt;/sup&gt;","plainTextFormattedCitation":"18","previouslyFormattedCitation":"&lt;sup&gt;18&lt;/sup&gt;"},"properties":{"noteIndex":0},"schema":"https://github.com/citation-style-language/schema/raw/master/csl-citation.json"}</w:instrText>
      </w:r>
      <w:r w:rsidR="006B51BE">
        <w:rPr>
          <w:iCs/>
        </w:rPr>
        <w:fldChar w:fldCharType="separate"/>
      </w:r>
      <w:r w:rsidR="00E77218" w:rsidRPr="00E77218">
        <w:rPr>
          <w:iCs/>
          <w:noProof/>
          <w:vertAlign w:val="superscript"/>
        </w:rPr>
        <w:t>18</w:t>
      </w:r>
      <w:r w:rsidR="006B51BE">
        <w:rPr>
          <w:iCs/>
        </w:rPr>
        <w:fldChar w:fldCharType="end"/>
      </w:r>
      <w:r w:rsidR="00F653EE">
        <w:rPr>
          <w:iCs/>
        </w:rPr>
        <w:t xml:space="preserve">  </w:t>
      </w:r>
      <w:r w:rsidR="00A01537">
        <w:rPr>
          <w:iCs/>
        </w:rPr>
        <w:t>Lipid-lowering</w:t>
      </w:r>
      <w:r w:rsidR="00A01537" w:rsidRPr="0004071B">
        <w:rPr>
          <w:iCs/>
        </w:rPr>
        <w:t xml:space="preserve"> </w:t>
      </w:r>
      <w:r w:rsidR="0079277F" w:rsidRPr="0004071B">
        <w:t xml:space="preserve">regimens </w:t>
      </w:r>
      <w:r w:rsidR="002425D0">
        <w:t>were</w:t>
      </w:r>
      <w:r w:rsidR="0079277F" w:rsidRPr="0004071B">
        <w:t xml:space="preserve"> </w:t>
      </w:r>
      <w:r w:rsidR="00E65ED5">
        <w:t>analyzed</w:t>
      </w:r>
      <w:r w:rsidR="0079277F" w:rsidRPr="0004071B">
        <w:t xml:space="preserve"> </w:t>
      </w:r>
      <w:r w:rsidR="0079277F">
        <w:t>based on the expected percent LDL-C</w:t>
      </w:r>
      <w:r w:rsidR="0079277F" w:rsidRPr="0004071B">
        <w:t xml:space="preserve"> </w:t>
      </w:r>
      <w:r w:rsidR="0079277F">
        <w:t>reduction</w:t>
      </w:r>
      <w:r w:rsidR="0079277F" w:rsidRPr="0004071B">
        <w:t xml:space="preserve"> </w:t>
      </w:r>
      <w:r w:rsidR="0079277F">
        <w:t xml:space="preserve">measured in </w:t>
      </w:r>
      <w:r w:rsidR="0079277F" w:rsidRPr="0004071B">
        <w:t>trial data</w:t>
      </w:r>
      <w:r w:rsidR="002D12F9">
        <w:t xml:space="preserve"> (</w:t>
      </w:r>
      <w:proofErr w:type="spellStart"/>
      <w:r w:rsidR="002D12F9">
        <w:t>eTable</w:t>
      </w:r>
      <w:proofErr w:type="spellEnd"/>
      <w:r w:rsidR="002D12F9">
        <w:t xml:space="preserve"> 1)</w:t>
      </w:r>
      <w:r w:rsidR="0079277F" w:rsidRPr="0004071B">
        <w:t>.</w:t>
      </w:r>
      <w:r w:rsidR="0079277F">
        <w:fldChar w:fldCharType="begin" w:fldLock="1"/>
      </w:r>
      <w:r w:rsidR="0075193E">
        <w:instrText>ADDIN CSL_CITATION {"citationItems":[{"id":"ITEM-1","itemData":{"PMID":"25340243","abstract":"This guideline covers:\\n * Adults at higher risk of heart disease, stroke or peripheral arterial disease (cardiovascular disease). Risk of cardiovascular disease increases with age, as well as in people who smoke or who have high blood pressure or high cholesterol. People with heart disease in the family or men with a South Asian (for example, Indian, Pakistani or Bangladeshi) background are also at higher risk.\\n * People who have already had a heart attack, stroke or 'mini-stroke' (transient ischaemic attack or TIA).\\n * People who have angina or some other forms of cardiovascular disease.","author":[{"dropping-particle":"","family":"NICE","given":"","non-dropping-particle":"","parse-names":false,"suffix":""}],"container-title":"National Institute for Health and Clinical Excellence","id":"ITEM-1","issue":"July","issued":{"date-parts":[["2014"]]},"page":"231-254","title":"Lipid modification: NICE guideline (CG181)","type":"article-journal","volume":"12"},"uris":["http://www.mendeley.com/documents/?uuid=f47ddff4-66e2-45b3-bf93-96c772ed59e4"]}],"mendeley":{"formattedCitation":"&lt;sup&gt;3&lt;/sup&gt;","plainTextFormattedCitation":"3","previouslyFormattedCitation":"&lt;sup&gt;3&lt;/sup&gt;"},"properties":{"noteIndex":0},"schema":"https://github.com/citation-style-language/schema/raw/master/csl-citation.json"}</w:instrText>
      </w:r>
      <w:r w:rsidR="0079277F">
        <w:fldChar w:fldCharType="separate"/>
      </w:r>
      <w:r w:rsidR="0079277F" w:rsidRPr="0079277F">
        <w:rPr>
          <w:noProof/>
          <w:vertAlign w:val="superscript"/>
        </w:rPr>
        <w:t>3</w:t>
      </w:r>
      <w:r w:rsidR="0079277F">
        <w:fldChar w:fldCharType="end"/>
      </w:r>
      <w:r w:rsidR="0079277F" w:rsidRPr="0004071B">
        <w:t xml:space="preserve">  </w:t>
      </w:r>
      <w:r w:rsidR="0079277F">
        <w:t>According to the ACC</w:t>
      </w:r>
      <w:r w:rsidR="00AB3213">
        <w:t>/AHA</w:t>
      </w:r>
      <w:r w:rsidR="0079277F">
        <w:t xml:space="preserve"> guidelines, </w:t>
      </w:r>
      <w:r w:rsidR="00E65ED5">
        <w:t xml:space="preserve">they can be grouped into </w:t>
      </w:r>
      <w:r w:rsidR="0079277F" w:rsidRPr="0004071B">
        <w:t xml:space="preserve">low </w:t>
      </w:r>
      <w:r w:rsidR="0079277F">
        <w:t xml:space="preserve">intensity </w:t>
      </w:r>
      <w:r w:rsidR="0079277F" w:rsidRPr="0004071B">
        <w:t xml:space="preserve">(≤ 30% reduction), moderate </w:t>
      </w:r>
      <w:r w:rsidR="0079277F">
        <w:t xml:space="preserve">intensity </w:t>
      </w:r>
      <w:r w:rsidR="0079277F" w:rsidRPr="0004071B">
        <w:t>(31%</w:t>
      </w:r>
      <w:r w:rsidR="00DD6AFD">
        <w:t>-</w:t>
      </w:r>
      <w:r w:rsidR="0079277F" w:rsidRPr="0004071B">
        <w:t xml:space="preserve">50% reduction), and high </w:t>
      </w:r>
      <w:r w:rsidR="0079277F">
        <w:t xml:space="preserve">intensity </w:t>
      </w:r>
      <w:r w:rsidR="0079277F" w:rsidRPr="0004071B">
        <w:t>(&gt; 50% reduction)</w:t>
      </w:r>
      <w:r w:rsidRPr="0004071B">
        <w:rPr>
          <w:iCs/>
        </w:rPr>
        <w:t>.</w:t>
      </w:r>
      <w:r w:rsidRPr="0004071B">
        <w:fldChar w:fldCharType="begin" w:fldLock="1"/>
      </w:r>
      <w:r w:rsidR="00A4627C">
        <w:instrText>ADDIN CSL_CITATION {"citationItems":[{"id":"ITEM-1","itemData":{"DOI":"10.1161/01.cir.0000437738.63853.7a","ISSN":"1524-4539","PMID":"24222016","author":[{"dropping-particle":"","family":"Stone","given":"Neil J","non-dropping-particle":"","parse-names":false,"suffix":""},{"dropping-particle":"","family":"Robinson","given":"Jennifer G","non-dropping-particle":"","parse-names":false,"suffix":""},{"dropping-particle":"","family":"Lichtenstein","given":"Alice H","non-dropping-particle":"","parse-names":false,"suffix":""},{"dropping-particle":"","family":"Bairey Merz","given":"C Noel","non-dropping-particle":"","parse-names":false,"suffix":""},{"dropping-particle":"","family":"Blum","given":"Conrad B","non-dropping-particle":"","parse-names":false,"suffix":""},{"dropping-particle":"","family":"Eckel","given":"Robert H","non-dropping-particle":"","parse-names":false,"suffix":""},{"dropping-particle":"","family":"Goldberg","given":"Anne C","non-dropping-particle":"","parse-names":false,"suffix":""},{"dropping-particle":"","family":"Gordon","given":"David","non-dropping-particle":"","parse-names":false,"suffix":""},{"dropping-particle":"","family":"Levy","given":"Daniel","non-dropping-particle":"","parse-names":false,"suffix":""},{"dropping-particle":"","family":"Lloyd-Jones","given":"Donald M","non-dropping-particle":"","parse-names":false,"suffix":""},{"dropping-particle":"","family":"McBride","given":"Patrick","non-dropping-particle":"","parse-names":false,"suffix":""},{"dropping-particle":"","family":"Schwartz","given":"J Sanford","non-dropping-particle":"","parse-names":false,"suffix":""},{"dropping-particle":"","family":"Shero","given":"Susan T","non-dropping-particle":"","parse-names":false,"suffix":""},{"dropping-particle":"","family":"Smith","given":"Sidney C","non-dropping-particle":"","parse-names":false,"suffix":""},{"dropping-particle":"","family":"Watson","given":"Karol","non-dropping-particle":"","parse-names":false,"suffix":""},{"dropping-particle":"","family":"Wilson","given":"Peter W F","non-dropping-particle":"","parse-names":false,"suffix":""},{"dropping-particle":"","family":"Eddleman","given":"Karen M","non-dropping-particle":"","parse-names":false,"suffix":""},{"dropping-particle":"","family":"Jarrett","given":"Nicole M","non-dropping-particle":"","parse-names":false,"suffix":""},{"dropping-particle":"","family":"LaBresh","given":"Ken","non-dropping-particle":"","parse-names":false,"suffix":""},{"dropping-particle":"","family":"Nevo","given":"Lev","non-dropping-particle":"","parse-names":false,"suffix":""},{"dropping-particle":"","family":"Wnek","given":"Janusz","non-dropping-particle":"","parse-names":false,"suffix":""},{"dropping-particle":"","family":"Anderson","given":"Jeffrey L","non-dropping-particle":"","parse-names":false,"suffix":""},{"dropping-particle":"","family":"Halperin","given":"Jonathan L","non-dropping-particle":"","parse-names":false,"suffix":""},{"dropping-particle":"","family":"Albert","given":"Nancy M","non-dropping-particle":"","parse-names":false,"suffix":""},{"dropping-particle":"","family":"Bozkurt","given":"Biykem","non-dropping-particle":"","parse-names":false,"suffix":""},{"dropping-particle":"","family":"Brindis","given":"Ralph G","non-dropping-particle":"","parse-names":false,"suffix":""},{"dropping-particle":"","family":"Curtis","given":"Lesley H","non-dropping-particle":"","parse-names":false,"suffix":""},{"dropping-particle":"","family":"DeMets","given":"David","non-dropping-particle":"","parse-names":false,"suffix":""},{"dropping-particle":"","family":"Hochman","given":"Judith S","non-dropping-particle":"","parse-names":false,"suffix":""},{"dropping-particle":"","family":"Kovacs","given":"Richard J","non-dropping-particle":"","parse-names":false,"suffix":""},{"dropping-particle":"","family":"Ohman","given":"E Magnus","non-dropping-particle":"","parse-names":false,"suffix":""},{"dropping-particle":"","family":"Pressler","given":"Susan J","non-dropping-particle":"","parse-names":false,"suffix":""},{"dropping-particle":"","family":"Sellke","given":"Frank W","non-dropping-particle":"","parse-names":false,"suffix":""},{"dropping-particle":"","family":"Shen","given":"Win-Kuang","non-dropping-particle":"","parse-names":false,"suffix":""},{"dropping-particle":"","family":"Smith","given":"Sidney C","non-dropping-particle":"","parse-names":false,"suffix":""},{"dropping-particle":"","family":"Tomaselli","given":"Gordon F","non-dropping-particle":"","parse-names":false,"suffix":""},{"dropping-particle":"","family":"American College of Cardiology/American Heart Association Task Force on Practice Guidelines","given":"","non-dropping-particle":"","parse-names":false,"suffix":""}],"container-title":"Circulation","id":"ITEM-1","issue":"25 Suppl 2","issued":{"date-parts":[["2014","6","24"]]},"page":"S1-45","title":"2013 ACC/AHA guideline on the treatment of blood cholesterol to reduce atherosclerotic cardiovascular risk in adults: a report of the American College of Cardiology/American Heart Association Task Force on Practice Guidelines.","type":"article-journal","volume":"129"},"uris":["http://www.mendeley.com/documents/?uuid=55c21412-f360-4fba-95ed-5cdf55eb7588"]},{"id":"ITEM-2","itemData":{"DOI":"10.1016/j.atherosclerosis.2016.01.018","ISSN":"18791484","PMID":"26812002","abstract":"Objective: Since dyslipidaemia is one of the most important risk factors for coronary heart disease (CHD), lowering of LDL-cholesterol (LDL-C) causes significant reduction in morbidity and mortality, particularly in patients with established CHD. The aim of this survey was to assess how statins were prescribed in CHD patients at discharge after a coronary event from hospitals throughout Europe and how the intake of these drugs was reported by the patients when they were seen more than one year later in relationship with their achieved LDL-C levels. Methods: 6648 CHD patients' data from centres in 24 European countries were gathered using standardized methods. Lipid measurements were performed in one central laboratory. Patients were divided in three groups: high-intensity statin therapy, moderate or low intensity statin therapy and no statin therapy at all. Results: 90.4% CHD patients were on statin therapy at the time of discharge from the hospital which decreased to 86% one year later. Only 37.6% of these patients were prescribed a high-intensity statin at discharge which even decreased to 32.7% later. In only 6 countries (all of them high-income countries) the number of patients on a high-intensity statin therapy increased substantially after the hospital discharge. It is worrying that statin therapy was discontinued in 11.6% and that only 19.3% of all CHD patients achieved target values of LDL-C &lt; 1.8 mmol/L at the time of interview. Conclusions: Too many CHD patients with dyslipidaemia are still inadequately treated and most of these patients on statin therapy are not achieving the treatment targets. Therapeutic control of LDL-C is clearly related to the intensity of lipid lowering drug regimen after the CHD event indicating that a considerable potential still exists throughout Europe to reduce CHD mortality and morbidity rates through more efficient LDL-C lowering.","author":[{"dropping-particle":"","family":"Reiner","given":"","non-dropping-particle":"","parse-names":false,"suffix":""},{"dropping-particle":"","family":"Backer","given":"G.","non-dropping-particle":"De","parse-names":false,"suffix":""},{"dropping-particle":"","family":"Fras","given":"Z.","non-dropping-particle":"","parse-names":false,"suffix":""},{"dropping-particle":"","family":"Kotseva","given":"K.","non-dropping-particle":"","parse-names":false,"suffix":""},{"dropping-particle":"","family":"Tokgözoglu","given":"L.","non-dropping-particle":"","parse-names":false,"suffix":""},{"dropping-particle":"","family":"Wood","given":"D.","non-dropping-particle":"","parse-names":false,"suffix":""},{"dropping-particle":"","family":"Bacquer","given":"D.","non-dropping-particle":"De","parse-names":false,"suffix":""}],"container-title":"Atherosclerosis","id":"ITEM-2","issued":{"date-parts":[["2016"]]},"page":"243-250","title":"Lipid lowering drug therapy in patients with coronary heart disease from 24 European countries - Findings from the EUROASPIRE IV survey","type":"article-journal","volume":"246"},"uris":["http://www.mendeley.com/documents/?uuid=465790f4-03e5-4482-9c48-cae0f1b63110"]},{"id":"ITEM-3","itemData":{"PMID":"25340243","abstract":"This guideline covers:\\n * Adults at higher risk of heart disease, stroke or peripheral arterial disease (cardiovascular disease). Risk of cardiovascular disease increases with age, as well as in people who smoke or who have high blood pressure or high cholesterol. People with heart disease in the family or men with a South Asian (for example, Indian, Pakistani or Bangladeshi) background are also at higher risk.\\n * People who have already had a heart attack, stroke or 'mini-stroke' (transient ischaemic attack or TIA).\\n * People who have angina or some other forms of cardiovascular disease.","author":[{"dropping-particle":"","family":"NICE","given":"","non-dropping-particle":"","parse-names":false,"suffix":""}],"container-title":"National Institute for Health and Clinical Excellence","id":"ITEM-3","issue":"July","issued":{"date-parts":[["2014"]]},"page":"231-254","title":"Lipid modification: NICE guideline (CG181)","type":"article-journal","volume":"12"},"uris":["http://www.mendeley.com/documents/?uuid=f47ddff4-66e2-45b3-bf93-96c772ed59e4"]}],"mendeley":{"formattedCitation":"&lt;sup&gt;3,5,22&lt;/sup&gt;","manualFormatting":"3,5 ","plainTextFormattedCitation":"3,5,22","previouslyFormattedCitation":"&lt;sup&gt;3,5,22&lt;/sup&gt;"},"properties":{"noteIndex":0},"schema":"https://github.com/citation-style-language/schema/raw/master/csl-citation.json"}</w:instrText>
      </w:r>
      <w:r w:rsidRPr="0004071B">
        <w:fldChar w:fldCharType="separate"/>
      </w:r>
      <w:r w:rsidR="00E77218" w:rsidRPr="00E77218">
        <w:rPr>
          <w:noProof/>
          <w:vertAlign w:val="superscript"/>
        </w:rPr>
        <w:t>3,5</w:t>
      </w:r>
      <w:r w:rsidR="002F4A9B" w:rsidRPr="00E77218" w:rsidDel="002F4A9B">
        <w:rPr>
          <w:noProof/>
          <w:vertAlign w:val="superscript"/>
        </w:rPr>
        <w:t xml:space="preserve"> </w:t>
      </w:r>
      <w:r w:rsidRPr="0004071B">
        <w:fldChar w:fldCharType="end"/>
      </w:r>
      <w:r w:rsidRPr="0004071B">
        <w:t xml:space="preserve">  </w:t>
      </w:r>
      <w:bookmarkStart w:id="1" w:name="_Hlk524612914"/>
      <w:r w:rsidR="00FE141A" w:rsidRPr="00FC0DE6">
        <w:rPr>
          <w:iCs/>
        </w:rPr>
        <w:t>Ezetimibe monotherapy was considered low intensity (</w:t>
      </w:r>
      <w:r w:rsidR="007155D7" w:rsidRPr="00FC0DE6">
        <w:rPr>
          <w:iCs/>
        </w:rPr>
        <w:t>19</w:t>
      </w:r>
      <w:r w:rsidR="00FE141A" w:rsidRPr="00FC0DE6">
        <w:rPr>
          <w:iCs/>
        </w:rPr>
        <w:t>% expected LDL-C reduction) and</w:t>
      </w:r>
      <w:r w:rsidR="007155D7" w:rsidRPr="00FC0DE6">
        <w:rPr>
          <w:iCs/>
        </w:rPr>
        <w:t xml:space="preserve"> combination therapy assumed a </w:t>
      </w:r>
      <w:r w:rsidR="00BE4267" w:rsidRPr="00FC0DE6">
        <w:rPr>
          <w:iCs/>
        </w:rPr>
        <w:t xml:space="preserve">24% reduction in LDL-C </w:t>
      </w:r>
      <w:r w:rsidR="007155D7" w:rsidRPr="00FC0DE6">
        <w:rPr>
          <w:iCs/>
        </w:rPr>
        <w:t>after applying the statin reduction</w:t>
      </w:r>
      <w:r w:rsidR="00E67D4F" w:rsidRPr="00FC0DE6">
        <w:rPr>
          <w:iCs/>
        </w:rPr>
        <w:t>.</w:t>
      </w:r>
      <w:r w:rsidR="00E67D4F" w:rsidRPr="00DB4091">
        <w:rPr>
          <w:iCs/>
          <w:highlight w:val="yellow"/>
        </w:rPr>
        <w:fldChar w:fldCharType="begin" w:fldLock="1"/>
      </w:r>
      <w:r w:rsidR="004301EE">
        <w:rPr>
          <w:iCs/>
        </w:rPr>
        <w:instrText>ADDIN CSL_CITATION {"citationItems":[{"id":"ITEM-1","itemData":{"DOI":"10.1056/NEJMoa1410489","ISBN":"0028-4793","ISSN":"1533-4406","PMID":"26039521","abstract":"BACKGROUND Statin therapy reduces low-density lipoprotein (LDL) cholesterol levels and the risk of cardiovascular events, but whether the addition of ezetimibe, a nonstatin drug that reduces intestinal cholesterol absorption, can reduce the rate of cardiovascular events further is not known. METHODS We conducted a double-blind, randomized trial involving 18,144 patients who had been hospitalized for an acute coronary syndrome within the preceding 10 days and had LDL cholesterol levels of 50 to 100 mg per deciliter (1.3 to 2.6 mmol per liter) if they were receiving lipid-lowering therapy or 50 to 125 mg per deciliter (1.3 to 3.2 mmol per liter) if they were not receiving lipid-lowering therapy. The combination of simvastatin (40 mg) and ezetimibe (10 mg) (simvastatin-ezetimibe) was compared with simvastatin (40 mg) and placebo (simvastatin monotherapy). The primary end point was a composite of cardiovascular death, nonfatal myocardial infarction, unstable angina requiring rehospitalization, coronary revascularization (≥30 days after randomization), or nonfatal stroke. The median follow-up was 6 years. RESULTS The median time-weighted average LDL cholesterol level during the study was 53.7 mg per deciliter (1.4 mmol per liter) in the simvastatin-ezetimibe group, as compared with 69.5 mg per deciliter (1.8 mmol per liter) in the simvastatin-monotherapy group (P&lt;0.001). The Kaplan-Meier event rate for the primary end point at 7 years was 32.7% in the simvastatin-ezetimibe group, as compared with 34.7% in the simvastatin-monotherapy group (absolute risk difference, 2.0 percentage points; hazard ratio, 0.936; 95% confidence interval, 0.89 to 0.99; P=0.016). Rates of prespecified muscle, gallbladder, and hepatic adverse effects and cancer were similar in the two groups. CONCLUSIONS When added to statin therapy, ezetimibe resulted in incremental lowering of LDL cholesterol levels and improved cardiovascular outcomes. Moreover, lowering LDL cholesterol to levels below previous targets provided additional benefit. (Funded by Merck; IMPROVE-IT ClinicalTrials.gov number, NCT00202878.).","author":[{"dropping-particle":"","family":"Cannon","given":"Christopher P.","non-dropping-particle":"","parse-names":false,"suffix":""},{"dropping-particle":"","family":"Blazing","given":"Michael a.","non-dropping-particle":"","parse-names":false,"suffix":""},{"dropping-particle":"","family":"Giugliano","given":"Robert P.","non-dropping-particle":"","parse-names":false,"suffix":""},{"dropping-particle":"","family":"McCagg","given":"Amy","non-dropping-particle":"","parse-names":false,"suffix":""},{"dropping-particle":"","family":"White","given":"Jennifer A","non-dropping-particle":"","parse-names":false,"suffix":""},{"dropping-particle":"","family":"Theroux","given":"Pierre","non-dropping-particle":"","parse-names":false,"suffix":""},{"dropping-particle":"","family":"Darius","given":"Harald","non-dropping-particle":"","parse-names":false,"suffix":""},{"dropping-particle":"","family":"Lewis","given":"Basil S","non-dropping-particle":"","parse-names":false,"suffix":""},{"dropping-particle":"","family":"Ophuis","given":"Ton Oude","non-dropping-particle":"","parse-names":false,"suffix":""},{"dropping-particle":"","family":"Jukema","given":"J. Wouter","non-dropping-particle":"","parse-names":false,"suffix":""},{"dropping-particle":"","family":"Ferrari","given":"Gaetano M.","non-dropping-particle":"De","parse-names":false,"suffix":""},{"dropping-particle":"","family":"Ruzyllo","given":"Witold","non-dropping-particle":"","parse-names":false,"suffix":""},{"dropping-particle":"","family":"Lucca","given":"Paul","non-dropping-particle":"De","parse-names":false,"suffix":""},{"dropping-particle":"","family":"Im","given":"KyungAh","non-dropping-particle":"","parse-names":false,"suffix":""},{"dropping-particle":"","family":"Bohula","given":"Erin a.","non-dropping-particle":"","parse-names":false,"suffix":""},{"dropping-particle":"","family":"Reist","given":"Craig","non-dropping-particle":"","parse-names":false,"suffix":""},{"dropping-particle":"","family":"Wiviott","given":"Stephen D","non-dropping-particle":"","parse-names":false,"suffix":""},{"dropping-particle":"","family":"Tershakovec","given":"Andrew M","non-dropping-particle":"","parse-names":false,"suffix":""},{"dropping-particle":"","family":"Musliner","given":"Thomas A","non-dropping-particle":"","parse-names":false,"suffix":""},{"dropping-particle":"","family":"Braunwald","given":"Eugene","non-dropping-particle":"","parse-names":false,"suffix":""},{"dropping-particle":"","family":"Califf","given":"Robert M","non-dropping-particle":"","parse-names":false,"suffix":""},{"dropping-particle":"","family":"IMPROVE-IT Investigators","given":"","non-dropping-particle":"","parse-names":false,"suffix":""}],"container-title":"The New England journal of medicine","id":"ITEM-1","issue":"25","issued":{"date-parts":[["2015","6","18"]]},"page":"2387-97","title":"Ezetimibe Added to Statin Therapy after Acute Coronary Syndromes.","type":"article-journal","volume":"372"},"uris":["http://www.mendeley.com/documents/?uuid=b6fb61aa-bc7c-40c7-94ed-4e7fa301c293"]},{"id":"ITEM-2","itemData":{"DOI":"10.1016/j.atherosclerosis.2016.01.018","ISSN":"18791484","PMID":"26812002","abstract":"Objective: Since dyslipidaemia is one of the most important risk factors for coronary heart disease (CHD), lowering of LDL-cholesterol (LDL-C) causes significant reduction in morbidity and mortality, particularly in patients with established CHD. The aim of this survey was to assess how statins were prescribed in CHD patients at discharge after a coronary event from hospitals throughout Europe and how the intake of these drugs was reported by the patients when they were seen more than one year later in relationship with their achieved LDL-C levels. Methods: 6648 CHD patients' data from centres in 24 European countries were gathered using standardized methods. Lipid measurements were performed in one central laboratory. Patients were divided in three groups: high-intensity statin therapy, moderate or low intensity statin therapy and no statin therapy at all. Results: 90.4% CHD patients were on statin therapy at the time of discharge from the hospital which decreased to 86% one year later. Only 37.6% of these patients were prescribed a high-intensity statin at discharge which even decreased to 32.7% later. In only 6 countries (all of them high-income countries) the number of patients on a high-intensity statin therapy increased substantially after the hospital discharge. It is worrying that statin therapy was discontinued in 11.6% and that only 19.3% of all CHD patients achieved target values of LDL-C &lt; 1.8 mmol/L at the time of interview. Conclusions: Too many CHD patients with dyslipidaemia are still inadequately treated and most of these patients on statin therapy are not achieving the treatment targets. Therapeutic control of LDL-C is clearly related to the intensity of lipid lowering drug regimen after the CHD event indicating that a considerable potential still exists throughout Europe to reduce CHD mortality and morbidity rates through more efficient LDL-C lowering.","author":[{"dropping-particle":"","family":"Reiner","given":"","non-dropping-particle":"","parse-names":false,"suffix":""},{"dropping-particle":"","family":"Backer","given":"G.","non-dropping-particle":"De","parse-names":false,"suffix":""},{"dropping-particle":"","family":"Fras","given":"Z.","non-dropping-particle":"","parse-names":false,"suffix":""},{"dropping-particle":"","family":"Kotseva","given":"K.","non-dropping-particle":"","parse-names":false,"suffix":""},{"dropping-particle":"","family":"Tokgözoglu","given":"L.","non-dropping-particle":"","parse-names":false,"suffix":""},{"dropping-particle":"","family":"Wood","given":"D.","non-dropping-particle":"","parse-names":false,"suffix":""},{"dropping-particle":"","family":"Bacquer","given":"D.","non-dropping-particle":"De","parse-names":false,"suffix":""}],"container-title":"Atherosclerosis","id":"ITEM-2","issued":{"date-parts":[["2016"]]},"page":"243-250","title":"Lipid lowering drug therapy in patients with coronary heart disease from 24 European countries - Findings from the EUROASPIRE IV survey","type":"article-journal","volume":"246"},"uris":["http://www.mendeley.com/documents/?uuid=465790f4-03e5-4482-9c48-cae0f1b63110"]}],"mendeley":{"formattedCitation":"&lt;sup&gt;22,23&lt;/sup&gt;","plainTextFormattedCitation":"22,23","previouslyFormattedCitation":"&lt;sup&gt;22,23&lt;/sup&gt;"},"properties":{"noteIndex":0},"schema":"https://github.com/citation-style-language/schema/raw/master/csl-citation.json"}</w:instrText>
      </w:r>
      <w:r w:rsidR="00E67D4F" w:rsidRPr="00DB4091">
        <w:rPr>
          <w:iCs/>
          <w:highlight w:val="yellow"/>
        </w:rPr>
        <w:fldChar w:fldCharType="separate"/>
      </w:r>
      <w:r w:rsidR="00E67D4F" w:rsidRPr="00FC0DE6">
        <w:rPr>
          <w:iCs/>
          <w:noProof/>
          <w:vertAlign w:val="superscript"/>
        </w:rPr>
        <w:t>22,23</w:t>
      </w:r>
      <w:r w:rsidR="00E67D4F" w:rsidRPr="00DB4091">
        <w:rPr>
          <w:iCs/>
          <w:highlight w:val="yellow"/>
        </w:rPr>
        <w:fldChar w:fldCharType="end"/>
      </w:r>
      <w:r w:rsidR="00E67D4F" w:rsidRPr="00FC0DE6">
        <w:rPr>
          <w:iCs/>
        </w:rPr>
        <w:t xml:space="preserve">  </w:t>
      </w:r>
      <w:bookmarkEnd w:id="1"/>
      <w:r w:rsidR="00F2282E">
        <w:lastRenderedPageBreak/>
        <w:t xml:space="preserve">Individuals who received no treatment during the </w:t>
      </w:r>
      <w:r w:rsidR="00D53BBD">
        <w:t xml:space="preserve">entire </w:t>
      </w:r>
      <w:r w:rsidR="00F2282E">
        <w:t xml:space="preserve">year were </w:t>
      </w:r>
      <w:r w:rsidR="00357E6D">
        <w:t xml:space="preserve">included in the reference group for </w:t>
      </w:r>
      <w:r w:rsidR="00671710">
        <w:t>that year</w:t>
      </w:r>
      <w:r w:rsidR="00357E6D">
        <w:t xml:space="preserve"> </w:t>
      </w:r>
      <w:r w:rsidR="00671710">
        <w:t xml:space="preserve">using time-varying covariates </w:t>
      </w:r>
      <w:r w:rsidR="002C2CA1">
        <w:t xml:space="preserve">for adherence and intensity </w:t>
      </w:r>
      <w:r w:rsidR="00671710">
        <w:t>(</w:t>
      </w:r>
      <w:proofErr w:type="spellStart"/>
      <w:r w:rsidR="005927D8">
        <w:t>eFigure</w:t>
      </w:r>
      <w:proofErr w:type="spellEnd"/>
      <w:r w:rsidR="005927D8">
        <w:t xml:space="preserve"> 1</w:t>
      </w:r>
      <w:r w:rsidR="00671710">
        <w:t>).</w:t>
      </w:r>
    </w:p>
    <w:p w14:paraId="6BE181A2" w14:textId="6D955BA0" w:rsidR="00453D20" w:rsidRDefault="00BC6FD9" w:rsidP="00453D20">
      <w:pPr>
        <w:pStyle w:val="Text"/>
        <w:rPr>
          <w:iCs/>
        </w:rPr>
      </w:pPr>
      <w:r>
        <w:rPr>
          <w:iCs/>
        </w:rPr>
        <w:t xml:space="preserve">We explored </w:t>
      </w:r>
      <w:r w:rsidR="00AB3213">
        <w:rPr>
          <w:iCs/>
        </w:rPr>
        <w:t xml:space="preserve">continuous </w:t>
      </w:r>
      <w:r w:rsidR="00AE3894">
        <w:rPr>
          <w:iCs/>
        </w:rPr>
        <w:t xml:space="preserve">measures of adherence and </w:t>
      </w:r>
      <w:r w:rsidR="00B544E0">
        <w:rPr>
          <w:iCs/>
        </w:rPr>
        <w:t xml:space="preserve">treatment </w:t>
      </w:r>
      <w:r w:rsidR="00AE3894">
        <w:rPr>
          <w:iCs/>
        </w:rPr>
        <w:t>intensity</w:t>
      </w:r>
      <w:r>
        <w:rPr>
          <w:iCs/>
        </w:rPr>
        <w:t xml:space="preserve"> in separate models.  For our primary model,</w:t>
      </w:r>
      <w:r w:rsidR="00AE3894">
        <w:rPr>
          <w:iCs/>
        </w:rPr>
        <w:t xml:space="preserve"> w</w:t>
      </w:r>
      <w:r w:rsidR="00E02D91" w:rsidRPr="0004071B">
        <w:rPr>
          <w:iCs/>
        </w:rPr>
        <w:t xml:space="preserve">e combined </w:t>
      </w:r>
      <w:r>
        <w:rPr>
          <w:iCs/>
        </w:rPr>
        <w:t xml:space="preserve">adherence and intensity </w:t>
      </w:r>
      <w:r w:rsidR="004D0AE3">
        <w:rPr>
          <w:iCs/>
        </w:rPr>
        <w:t>into</w:t>
      </w:r>
      <w:r w:rsidR="00AE3894">
        <w:rPr>
          <w:iCs/>
        </w:rPr>
        <w:t xml:space="preserve"> a single </w:t>
      </w:r>
      <w:r w:rsidR="00E03F03">
        <w:rPr>
          <w:iCs/>
        </w:rPr>
        <w:t>value</w:t>
      </w:r>
      <w:r w:rsidR="00341338">
        <w:t xml:space="preserve"> intended to reflect the treatment intensity of a regimen after accounting for a patient’s adherence.</w:t>
      </w:r>
      <w:r w:rsidR="009E2B57">
        <w:fldChar w:fldCharType="begin" w:fldLock="1"/>
      </w:r>
      <w:r w:rsidR="004301EE">
        <w:instrText>ADDIN CSL_CITATION {"citationItems":[{"id":"ITEM-1","itemData":{"DOI":"10.1097/HJR.0b013e32832130f5","ISSN":"1741-8275","PMID":"19322096","abstract":"BACKGROUND The Incremental Decrease in End Points through Aggressive Lipid Lowering trial showed that the primary endpoint major coronary event was reduced by 11% (0.78-1.01) using atorvastatin 80 mg versus simvastatin 20-40 mg in patients with coronary heart disease (P=0.07). Adherence was high in both treatment groups but significantly higher in patients treated with simvastatin. DESIGN The Incremental Decrease in End Points through Aggressive Lipid Lowering was a prescription trial with a prospective randomized open label endpoint evaluation. METHODS AND RESULTS Adherence was calculated as exposure time on prescribed drugs divided by total follow-up time until death or end of follow-up and was a potential confounder. Adjusting for categorical adherence below or above 80% by two methods revealed that the relative risk reduction of the primary endpoint was more in the region of 15% (P=0.02) than 11% as found unadjusted. Censoring at the first occurrence of a cardiovascular event rather than at death increased this estimate to 17% (P=0.02). Noncardiovascular mortality was reduced on atorvastatin treatment by 21% (1-37%) after adjustment for adherence, whereas such reduction was not observed for cardiovascular mortality. CONCLUSION This study found that the difference in adherence between treatment groups may have underestimated the true effect of the treatment differential. Usage of prospective randomized open label endpoint evaluation design should be carefully considered when well-known treatments are compared with rather new ones and especially in segments where patients could be more vulnerable, as in the elderly. Nonadherers in a clinical trial may be at especially high risk of fatal and nonfatal endpoints from various diseases and should be carefully monitored.","author":[{"dropping-particle":"","family":"Holme","given":"Ingar","non-dropping-particle":"","parse-names":false,"suffix":""},{"dropping-particle":"","family":"Szarek","given":"Michael","non-dropping-particle":"","parse-names":false,"suffix":""},{"dropping-particle":"","family":"Cater","given":"Nilo B","non-dropping-particle":"","parse-names":false,"suffix":""},{"dropping-particle":"","family":"Faergeman","given":"Ole","non-dropping-particle":"","parse-names":false,"suffix":""},{"dropping-particle":"","family":"Kastelein","given":"John J P","non-dropping-particle":"","parse-names":false,"suffix":""},{"dropping-particle":"","family":"Olsson","given":"Anders G","non-dropping-particle":"","parse-names":false,"suffix":""},{"dropping-particle":"","family":"Tikkanen","given":"Matti J","non-dropping-particle":"","parse-names":false,"suffix":""},{"dropping-particle":"","family":"Larsen","given":"Mogens Lytken","non-dropping-particle":"","parse-names":false,"suffix":""},{"dropping-particle":"","family":"Lindahl","given":"Christina","non-dropping-particle":"","parse-names":false,"suffix":""},{"dropping-particle":"","family":"Pedersen","given":"Terje R","non-dropping-particle":"","parse-names":false,"suffix":""},{"dropping-particle":"","family":"Incremental Decrease in End Points Through Aggressive Lipid Lowering Study Group","given":"","non-dropping-particle":"","parse-names":false,"suffix":""}],"container-title":"European journal of cardiovascular prevention and rehabilitation : official journal of the European Society of Cardiology, Working Groups on Epidemiology &amp; Prevention and Cardiac Rehabilitation and Exercise Physiology","id":"ITEM-1","issue":"3","issued":{"date-parts":[["2009","6"]]},"page":"315-20","title":"Adherence-adjusted efficacy with intensive versus standard statin therapy in patients with acute myocardial infarction in the IDEAL study.","type":"article-journal","volume":"16"},"uris":["http://www.mendeley.com/documents/?uuid=a4fe99b7-ed9e-4128-a4fc-c9789abcf81d"]}],"mendeley":{"formattedCitation":"&lt;sup&gt;24&lt;/sup&gt;","plainTextFormattedCitation":"24","previouslyFormattedCitation":"&lt;sup&gt;23&lt;/sup&gt;"},"properties":{"noteIndex":0},"schema":"https://github.com/citation-style-language/schema/raw/master/csl-citation.json"}</w:instrText>
      </w:r>
      <w:r w:rsidR="009E2B57">
        <w:fldChar w:fldCharType="separate"/>
      </w:r>
      <w:r w:rsidR="004301EE" w:rsidRPr="004301EE">
        <w:rPr>
          <w:noProof/>
          <w:vertAlign w:val="superscript"/>
        </w:rPr>
        <w:t>24</w:t>
      </w:r>
      <w:r w:rsidR="009E2B57">
        <w:fldChar w:fldCharType="end"/>
      </w:r>
      <w:r w:rsidR="00341338">
        <w:t xml:space="preserve">  </w:t>
      </w:r>
      <w:r w:rsidR="00B544E0">
        <w:t>Th</w:t>
      </w:r>
      <w:r w:rsidR="00CB4783">
        <w:t>is</w:t>
      </w:r>
      <w:r w:rsidR="00B544E0">
        <w:t xml:space="preserve"> combined measure</w:t>
      </w:r>
      <w:r w:rsidR="00341338">
        <w:t xml:space="preserve"> </w:t>
      </w:r>
      <w:r w:rsidR="002425D0">
        <w:t>was</w:t>
      </w:r>
      <w:r w:rsidR="00341338">
        <w:t xml:space="preserve"> created by multiplying adherence</w:t>
      </w:r>
      <w:r w:rsidR="00DD6AFD">
        <w:t xml:space="preserve"> (</w:t>
      </w:r>
      <w:r w:rsidR="00341338">
        <w:t>range</w:t>
      </w:r>
      <w:r w:rsidR="00DD6AFD">
        <w:t xml:space="preserve">: </w:t>
      </w:r>
      <w:r w:rsidR="00341338">
        <w:t>0 to 100%</w:t>
      </w:r>
      <w:r w:rsidR="00DD6AFD">
        <w:t>)</w:t>
      </w:r>
      <w:r w:rsidR="00341338">
        <w:t xml:space="preserve"> and treatment intensity</w:t>
      </w:r>
      <w:r w:rsidR="00DD6AFD">
        <w:t xml:space="preserve"> (range:</w:t>
      </w:r>
      <w:r w:rsidR="00341338">
        <w:t xml:space="preserve"> 0</w:t>
      </w:r>
      <w:r w:rsidR="00DD6AFD">
        <w:t>-</w:t>
      </w:r>
      <w:r w:rsidR="00341338">
        <w:t>66%</w:t>
      </w:r>
      <w:r w:rsidR="00DD6AFD">
        <w:t>)</w:t>
      </w:r>
      <w:r w:rsidR="00341338">
        <w:t xml:space="preserve">; as a </w:t>
      </w:r>
      <w:r w:rsidR="004D0AE3">
        <w:t>result,</w:t>
      </w:r>
      <w:r w:rsidR="00341338">
        <w:t xml:space="preserve"> the combined measure range</w:t>
      </w:r>
      <w:r w:rsidR="00DD6AFD">
        <w:t>d</w:t>
      </w:r>
      <w:r w:rsidR="00341338">
        <w:t xml:space="preserve"> from 0 to 66%</w:t>
      </w:r>
      <w:r w:rsidR="002425D0">
        <w:t xml:space="preserve"> (i.e., 0.66 x 1.0 = 0.66)</w:t>
      </w:r>
      <w:r w:rsidR="00341338">
        <w:t xml:space="preserve">.  </w:t>
      </w:r>
      <w:r w:rsidR="00F16CE1">
        <w:rPr>
          <w:iCs/>
        </w:rPr>
        <w:t>Because t</w:t>
      </w:r>
      <w:r w:rsidR="00EB2032" w:rsidRPr="0004071B">
        <w:rPr>
          <w:iCs/>
        </w:rPr>
        <w:t xml:space="preserve">he </w:t>
      </w:r>
      <w:r w:rsidR="00341338">
        <w:rPr>
          <w:iCs/>
        </w:rPr>
        <w:t>combined</w:t>
      </w:r>
      <w:r w:rsidR="00EB2032" w:rsidRPr="0004071B">
        <w:rPr>
          <w:iCs/>
        </w:rPr>
        <w:t xml:space="preserve"> measure </w:t>
      </w:r>
      <w:r w:rsidR="00F16CE1">
        <w:rPr>
          <w:iCs/>
        </w:rPr>
        <w:t>is continuous, it was more efficient</w:t>
      </w:r>
      <w:r w:rsidR="00EB2032" w:rsidRPr="0004071B">
        <w:rPr>
          <w:iCs/>
        </w:rPr>
        <w:t xml:space="preserve"> </w:t>
      </w:r>
      <w:r w:rsidR="006A386F">
        <w:rPr>
          <w:iCs/>
        </w:rPr>
        <w:t xml:space="preserve">than using a categorical </w:t>
      </w:r>
      <w:r w:rsidR="007A2C82">
        <w:rPr>
          <w:iCs/>
        </w:rPr>
        <w:t>representation</w:t>
      </w:r>
      <w:r w:rsidR="006A386F">
        <w:rPr>
          <w:iCs/>
        </w:rPr>
        <w:t xml:space="preserve"> </w:t>
      </w:r>
      <w:r w:rsidR="00EB2032" w:rsidRPr="0004071B">
        <w:rPr>
          <w:iCs/>
        </w:rPr>
        <w:t xml:space="preserve">and </w:t>
      </w:r>
      <w:r w:rsidR="002778BF">
        <w:rPr>
          <w:iCs/>
        </w:rPr>
        <w:t>facilitated estimates</w:t>
      </w:r>
      <w:r w:rsidR="00EB2032" w:rsidRPr="0004071B">
        <w:rPr>
          <w:iCs/>
        </w:rPr>
        <w:t xml:space="preserve"> </w:t>
      </w:r>
      <w:r w:rsidR="002778BF">
        <w:rPr>
          <w:iCs/>
        </w:rPr>
        <w:t>in untreated patients (i.e., 0%</w:t>
      </w:r>
      <w:r w:rsidR="002778BF" w:rsidRPr="0004071B">
        <w:rPr>
          <w:iCs/>
        </w:rPr>
        <w:t xml:space="preserve"> </w:t>
      </w:r>
      <w:r w:rsidR="00EB2032" w:rsidRPr="0004071B">
        <w:rPr>
          <w:iCs/>
        </w:rPr>
        <w:t xml:space="preserve">treatment intensity and </w:t>
      </w:r>
      <w:r w:rsidR="002778BF">
        <w:rPr>
          <w:iCs/>
        </w:rPr>
        <w:t xml:space="preserve">0% </w:t>
      </w:r>
      <w:r w:rsidR="00EB2032" w:rsidRPr="0004071B">
        <w:rPr>
          <w:iCs/>
        </w:rPr>
        <w:t>PDC</w:t>
      </w:r>
      <w:r w:rsidR="002778BF">
        <w:rPr>
          <w:iCs/>
        </w:rPr>
        <w:t>)</w:t>
      </w:r>
      <w:r w:rsidR="00EB2032" w:rsidRPr="0004071B">
        <w:rPr>
          <w:iCs/>
        </w:rPr>
        <w:t xml:space="preserve">. </w:t>
      </w:r>
      <w:r w:rsidR="00C001E4">
        <w:rPr>
          <w:iCs/>
        </w:rPr>
        <w:t xml:space="preserve"> </w:t>
      </w:r>
    </w:p>
    <w:p w14:paraId="6BAEDC79" w14:textId="4A8C75DD" w:rsidR="00F008B5" w:rsidRDefault="005C423E" w:rsidP="002423EF">
      <w:pPr>
        <w:pStyle w:val="Text"/>
      </w:pPr>
      <w:r w:rsidRPr="0004071B">
        <w:t xml:space="preserve">The primary outcome measure was a composite endpoint of </w:t>
      </w:r>
      <w:r w:rsidR="00AB72D1">
        <w:t>cardiovascular</w:t>
      </w:r>
      <w:r w:rsidRPr="0004071B">
        <w:t xml:space="preserve"> death or hospitalization for </w:t>
      </w:r>
      <w:r w:rsidR="00B20293">
        <w:t>MI, UA, IS, HF or revascularization</w:t>
      </w:r>
      <w:r w:rsidR="002D12F9">
        <w:t xml:space="preserve"> (</w:t>
      </w:r>
      <w:proofErr w:type="spellStart"/>
      <w:r w:rsidR="002D12F9">
        <w:t>eTable</w:t>
      </w:r>
      <w:proofErr w:type="spellEnd"/>
      <w:r w:rsidR="002D12F9">
        <w:t xml:space="preserve"> 2)</w:t>
      </w:r>
      <w:r w:rsidRPr="0004071B">
        <w:t xml:space="preserve">.  </w:t>
      </w:r>
      <w:r w:rsidR="0075377F">
        <w:t xml:space="preserve">Because HF is less commonly used as an outcome measure in lipid-lowering trials </w:t>
      </w:r>
      <w:r w:rsidR="00D63D77">
        <w:t xml:space="preserve">but is relevant in health economic evaluations, </w:t>
      </w:r>
      <w:r w:rsidR="00AF3587">
        <w:t xml:space="preserve">we excluded </w:t>
      </w:r>
      <w:r w:rsidR="007D0E50">
        <w:t>HF from the composite</w:t>
      </w:r>
      <w:r w:rsidR="00D63D77" w:rsidRPr="00D63D77">
        <w:t xml:space="preserve"> </w:t>
      </w:r>
      <w:r w:rsidR="00D63D77">
        <w:t>in sensitivity analyses</w:t>
      </w:r>
      <w:r w:rsidR="007D0E50">
        <w:t xml:space="preserve">.  </w:t>
      </w:r>
    </w:p>
    <w:p w14:paraId="1192D682" w14:textId="05330139" w:rsidR="00F653EE" w:rsidRPr="0004071B" w:rsidRDefault="003B66CE" w:rsidP="00F653EE">
      <w:pPr>
        <w:pStyle w:val="Text"/>
        <w:rPr>
          <w:iCs/>
        </w:rPr>
      </w:pPr>
      <w:r w:rsidRPr="0004071B">
        <w:t xml:space="preserve">Time at risk </w:t>
      </w:r>
      <w:r w:rsidR="0089059A">
        <w:t xml:space="preserve">for </w:t>
      </w:r>
      <w:r w:rsidR="00AB72D1">
        <w:t>cardiovascular</w:t>
      </w:r>
      <w:r w:rsidR="0089059A">
        <w:t xml:space="preserve"> events began after the index date.  </w:t>
      </w:r>
      <w:r w:rsidR="00CA57D7" w:rsidRPr="0004071B">
        <w:t xml:space="preserve">The baseline period for </w:t>
      </w:r>
      <w:r w:rsidR="00CA57D7">
        <w:t>assessing</w:t>
      </w:r>
      <w:r w:rsidR="00CA57D7" w:rsidRPr="0004071B">
        <w:t xml:space="preserve"> demographics, comorbidity, and laboratory values was defined </w:t>
      </w:r>
      <w:r w:rsidR="00CA57D7">
        <w:t>as the period prior to</w:t>
      </w:r>
      <w:r w:rsidR="00CA57D7" w:rsidRPr="0004071B">
        <w:t xml:space="preserve"> the index date.</w:t>
      </w:r>
      <w:r w:rsidR="00CA57D7">
        <w:t xml:space="preserve">  </w:t>
      </w:r>
      <w:r w:rsidR="0089059A">
        <w:t>Measures of a</w:t>
      </w:r>
      <w:r w:rsidRPr="0004071B">
        <w:t xml:space="preserve">dherence and treatment intensity were </w:t>
      </w:r>
      <w:r w:rsidR="00E03AA5">
        <w:t xml:space="preserve">calculated based on prescriptions during each year of follow-up and were </w:t>
      </w:r>
      <w:r w:rsidRPr="0004071B">
        <w:t>updated annually</w:t>
      </w:r>
      <w:r w:rsidR="0089059A">
        <w:t xml:space="preserve"> for each patient</w:t>
      </w:r>
      <w:r w:rsidRPr="0004071B">
        <w:t>.</w:t>
      </w:r>
      <w:r w:rsidR="00A712F3">
        <w:t xml:space="preserve">  Adheren</w:t>
      </w:r>
      <w:r w:rsidR="0004638E">
        <w:t>c</w:t>
      </w:r>
      <w:r w:rsidR="00A712F3">
        <w:t>e and intensity c</w:t>
      </w:r>
      <w:r w:rsidR="00CA57D7">
        <w:t>alculations for patients who ended follow-up within a year were based on the data through the end of follow-up.</w:t>
      </w:r>
      <w:r w:rsidRPr="0004071B">
        <w:t xml:space="preserve">  </w:t>
      </w:r>
      <w:r w:rsidR="00F008B5" w:rsidRPr="0004071B">
        <w:t xml:space="preserve">The follow-up period for the assessment of </w:t>
      </w:r>
      <w:r w:rsidR="00AB72D1">
        <w:t>cardiovascular</w:t>
      </w:r>
      <w:r w:rsidR="00F008B5" w:rsidRPr="0004071B">
        <w:t xml:space="preserve"> events continued </w:t>
      </w:r>
      <w:r w:rsidR="0089059A">
        <w:t xml:space="preserve">until </w:t>
      </w:r>
      <w:r w:rsidR="00F008B5" w:rsidRPr="0004071B">
        <w:t xml:space="preserve">death, </w:t>
      </w:r>
      <w:r w:rsidR="00AB72D1">
        <w:t>cardiovascular</w:t>
      </w:r>
      <w:r w:rsidR="00F008B5" w:rsidRPr="0004071B">
        <w:t xml:space="preserve"> event of interest, last known up-to-standard CPRD record for the patient in the practice, </w:t>
      </w:r>
      <w:r w:rsidR="0089059A">
        <w:t xml:space="preserve">switch to a </w:t>
      </w:r>
      <w:r w:rsidR="00E00AE9">
        <w:t xml:space="preserve">therapy other than a </w:t>
      </w:r>
      <w:r w:rsidR="0089059A">
        <w:t xml:space="preserve">statin or ezetimibe, </w:t>
      </w:r>
      <w:r w:rsidR="00F008B5" w:rsidRPr="0004071B">
        <w:t xml:space="preserve">or </w:t>
      </w:r>
      <w:r w:rsidR="00D54768" w:rsidRPr="0004071B">
        <w:t>29 February 2016</w:t>
      </w:r>
      <w:r w:rsidR="00F008B5" w:rsidRPr="0004071B">
        <w:t xml:space="preserve">, whichever came first. </w:t>
      </w:r>
    </w:p>
    <w:p w14:paraId="0184C032" w14:textId="50A97023" w:rsidR="00F008B5" w:rsidRPr="0004071B" w:rsidRDefault="00F008B5" w:rsidP="00EE31CA">
      <w:pPr>
        <w:rPr>
          <w:b/>
        </w:rPr>
      </w:pPr>
      <w:r w:rsidRPr="0004071B">
        <w:rPr>
          <w:b/>
        </w:rPr>
        <w:t>Analyses</w:t>
      </w:r>
    </w:p>
    <w:p w14:paraId="631C5929" w14:textId="5923176C" w:rsidR="00F05643" w:rsidRDefault="003B66CE" w:rsidP="002423EF">
      <w:pPr>
        <w:pStyle w:val="Text"/>
      </w:pPr>
      <w:r w:rsidRPr="0004071B">
        <w:t xml:space="preserve">We used Cox proportional hazards </w:t>
      </w:r>
      <w:r w:rsidR="0002020B">
        <w:t xml:space="preserve">regression </w:t>
      </w:r>
      <w:r w:rsidRPr="0004071B">
        <w:t xml:space="preserve">models to </w:t>
      </w:r>
      <w:r w:rsidR="0002020B">
        <w:t>quantify the association</w:t>
      </w:r>
      <w:r w:rsidRPr="0004071B">
        <w:t xml:space="preserve"> </w:t>
      </w:r>
      <w:r w:rsidR="00A01537">
        <w:t>of</w:t>
      </w:r>
      <w:r w:rsidR="00A01537" w:rsidRPr="0004071B">
        <w:t xml:space="preserve"> </w:t>
      </w:r>
      <w:r w:rsidR="00F05643" w:rsidRPr="0004071B">
        <w:t>adherence and treatment intensity</w:t>
      </w:r>
      <w:r w:rsidR="00F05643">
        <w:t xml:space="preserve"> </w:t>
      </w:r>
      <w:r w:rsidR="0002020B">
        <w:t xml:space="preserve">with the risk of </w:t>
      </w:r>
      <w:r w:rsidR="00AB72D1">
        <w:t>cardiovascular</w:t>
      </w:r>
      <w:r w:rsidR="0002020B">
        <w:t xml:space="preserve"> events</w:t>
      </w:r>
      <w:r w:rsidRPr="0004071B">
        <w:t xml:space="preserve">.  </w:t>
      </w:r>
      <w:r w:rsidR="007301A6" w:rsidRPr="0004071B">
        <w:t xml:space="preserve">Analyses were conducted separately for each cohort.  </w:t>
      </w:r>
      <w:r w:rsidR="00271A33">
        <w:t xml:space="preserve">First, we </w:t>
      </w:r>
      <w:r w:rsidR="00D56813">
        <w:t xml:space="preserve">assessed </w:t>
      </w:r>
      <w:r w:rsidR="006110C2">
        <w:t xml:space="preserve">a continuous measure of </w:t>
      </w:r>
      <w:r w:rsidR="00F05643">
        <w:t xml:space="preserve">adherence </w:t>
      </w:r>
      <w:r w:rsidR="00271A33">
        <w:t xml:space="preserve">and </w:t>
      </w:r>
      <w:r w:rsidR="006110C2">
        <w:t xml:space="preserve">a continuous measure of </w:t>
      </w:r>
      <w:r w:rsidR="00F05643">
        <w:t xml:space="preserve">treatment intensity in </w:t>
      </w:r>
      <w:r w:rsidR="00271A33">
        <w:t xml:space="preserve">two </w:t>
      </w:r>
      <w:r w:rsidR="00F05643">
        <w:t>separate models</w:t>
      </w:r>
      <w:r w:rsidR="006110C2">
        <w:t xml:space="preserve">, and </w:t>
      </w:r>
      <w:r w:rsidR="00A34E7A">
        <w:t xml:space="preserve">then </w:t>
      </w:r>
      <w:r w:rsidR="00F05643">
        <w:t>modeled the</w:t>
      </w:r>
      <w:r w:rsidR="005D3A24">
        <w:t xml:space="preserve"> combined measure of adherence and treatment</w:t>
      </w:r>
      <w:r w:rsidR="00F05643">
        <w:t xml:space="preserve"> intensity</w:t>
      </w:r>
      <w:r w:rsidR="006110C2">
        <w:t xml:space="preserve"> </w:t>
      </w:r>
      <w:r w:rsidR="00027A9B">
        <w:t>as</w:t>
      </w:r>
      <w:r w:rsidR="006110C2">
        <w:t xml:space="preserve"> our primary analyses</w:t>
      </w:r>
      <w:r w:rsidR="00F05643">
        <w:t xml:space="preserve">.  </w:t>
      </w:r>
      <w:bookmarkStart w:id="2" w:name="_Hlk524430157"/>
      <w:r w:rsidR="00BC0C3C">
        <w:rPr>
          <w:rFonts w:cstheme="minorHAnsi"/>
          <w:color w:val="000000"/>
        </w:rPr>
        <w:t>W</w:t>
      </w:r>
      <w:r w:rsidR="00C001E4">
        <w:rPr>
          <w:iCs/>
        </w:rPr>
        <w:t xml:space="preserve">e </w:t>
      </w:r>
      <w:r w:rsidR="00F62C48">
        <w:rPr>
          <w:iCs/>
        </w:rPr>
        <w:t xml:space="preserve">also </w:t>
      </w:r>
      <w:r w:rsidR="00C001E4">
        <w:rPr>
          <w:iCs/>
        </w:rPr>
        <w:t xml:space="preserve">present </w:t>
      </w:r>
      <w:r w:rsidR="00F62C48">
        <w:rPr>
          <w:iCs/>
        </w:rPr>
        <w:t>results</w:t>
      </w:r>
      <w:r w:rsidR="00C001E4">
        <w:rPr>
          <w:iCs/>
        </w:rPr>
        <w:t xml:space="preserve"> for specific patient profiles </w:t>
      </w:r>
      <w:r w:rsidR="00F62C48">
        <w:rPr>
          <w:iCs/>
        </w:rPr>
        <w:t xml:space="preserve">(e.g., “adherent patients”) </w:t>
      </w:r>
      <w:r w:rsidR="00C001E4">
        <w:rPr>
          <w:iCs/>
        </w:rPr>
        <w:t xml:space="preserve">based on the </w:t>
      </w:r>
      <w:r w:rsidR="00F62C48">
        <w:rPr>
          <w:iCs/>
        </w:rPr>
        <w:t>mean value of the continuous measure for patients with the specific adherence and/or intensity profile</w:t>
      </w:r>
      <w:bookmarkEnd w:id="2"/>
      <w:r w:rsidR="00271A33">
        <w:rPr>
          <w:iCs/>
        </w:rPr>
        <w:t>.</w:t>
      </w:r>
    </w:p>
    <w:p w14:paraId="1F9F3C76" w14:textId="25DA0BFD" w:rsidR="00DA32B4" w:rsidRDefault="00D34A57" w:rsidP="002423EF">
      <w:pPr>
        <w:pStyle w:val="Text"/>
      </w:pPr>
      <w:r>
        <w:lastRenderedPageBreak/>
        <w:t xml:space="preserve">In all Cox </w:t>
      </w:r>
      <w:r w:rsidR="00D56813">
        <w:t xml:space="preserve">regression </w:t>
      </w:r>
      <w:r>
        <w:t>models, we</w:t>
      </w:r>
      <w:r w:rsidR="00355DF2">
        <w:t xml:space="preserve"> used age as the time scale to </w:t>
      </w:r>
      <w:r w:rsidR="00006592">
        <w:t xml:space="preserve">minimize </w:t>
      </w:r>
      <w:r w:rsidR="009B237F">
        <w:t xml:space="preserve">any </w:t>
      </w:r>
      <w:r w:rsidR="00006592">
        <w:t>association</w:t>
      </w:r>
      <w:r w:rsidR="0044642F">
        <w:t xml:space="preserve"> between the event rate </w:t>
      </w:r>
      <w:r w:rsidR="009B237F">
        <w:t xml:space="preserve">and </w:t>
      </w:r>
      <w:r w:rsidR="0044642F">
        <w:t>time</w:t>
      </w:r>
      <w:r w:rsidR="009B237F">
        <w:t>, particularly for the CVD cohort</w:t>
      </w:r>
      <w:r w:rsidR="0044642F">
        <w:t>.</w:t>
      </w:r>
      <w:r w:rsidR="0044642F">
        <w:fldChar w:fldCharType="begin" w:fldLock="1"/>
      </w:r>
      <w:r w:rsidR="004301EE">
        <w:instrText>ADDIN CSL_CITATION {"citationItems":[{"id":"ITEM-1","itemData":{"DOI":"10.1002/sim.5347.Use","abstract":"Issues surrounding choice of time scales in Cox proportional hazard regression models havereceived limited attention in the literature. Although the choice between time on study and‘attained’ age time scales has been examined, the calendar time scale may be of interest whenmodeling health effects of environmental exposures with noteworthy secular trends such asambient particulate matter air pollution in large epidemiological cohort studies. The authors usesimulation studies to examine performance (bias, mean squared error, coverage probabilities, andpower) of models using all three time scales when the primary exposure of interest depends oncalendar time. Results show that performance of models fit to the calendar time scale variesinversely with the strength of the linear association between the time-varying primary exposureand calendar time. Although models fit to attained age and time on study that do not adjust forcalendar time were relatively robust, the authors conclude that care should be exercised whenusing time scales that are highly correlated with exposures of interest.","author":[{"dropping-particle":"","family":"Griffin","given":"Beth Ann","non-dropping-particle":"","parse-names":false,"suffix":""},{"dropping-particle":"","family":"Anderson","given":"Garnet L","non-dropping-particle":"","parse-names":false,"suffix":""},{"dropping-particle":"","family":"Shih","given":"Regina a","non-dropping-particle":"","parse-names":false,"suffix":""},{"dropping-particle":"","family":"Whitsel","given":"Eric a","non-dropping-particle":"","parse-names":false,"suffix":""},{"dropping-particle":"","family":"Corporation","given":"Rand","non-dropping-particle":"","parse-names":false,"suffix":""},{"dropping-particle":"","family":"Beth","given":"Virginia","non-dropping-particle":"","parse-names":false,"suffix":""},{"dropping-particle":"","family":"Griffin","given":"Ann","non-dropping-particle":"","parse-names":false,"suffix":""},{"dropping-particle":"","family":"Shih","given":"Regina a","non-dropping-particle":"","parse-names":false,"suffix":""},{"dropping-particle":"","family":"Hutchinson","given":"Fred","non-dropping-particle":"","parse-names":false,"suffix":""},{"dropping-particle":"","family":"Hill","given":"Chapel","non-dropping-particle":"","parse-names":false,"suffix":""},{"dropping-particle":"","family":"Carolina","given":"North","non-dropping-particle":"","parse-names":false,"suffix":""},{"dropping-particle":"","family":"Whitsel","given":"Eric a","non-dropping-particle":"","parse-names":false,"suffix":""}],"container-title":"Stat Med","id":"ITEM-1","issue":"27","issued":{"date-parts":[["2013"]]},"page":"3320-3327","title":"Use of Alternative Time Scales in Cox Proportional Hazard Models : Implications for Time-Varying Environmental Exposures","type":"article-journal","volume":"31"},"uris":["http://www.mendeley.com/documents/?uuid=9ce7e197-5a71-4d82-a6a8-d58c607aa730"]}],"mendeley":{"formattedCitation":"&lt;sup&gt;25&lt;/sup&gt;","plainTextFormattedCitation":"25","previouslyFormattedCitation":"&lt;sup&gt;24&lt;/sup&gt;"},"properties":{"noteIndex":0},"schema":"https://github.com/citation-style-language/schema/raw/master/csl-citation.json"}</w:instrText>
      </w:r>
      <w:r w:rsidR="0044642F">
        <w:fldChar w:fldCharType="separate"/>
      </w:r>
      <w:r w:rsidR="004301EE" w:rsidRPr="004301EE">
        <w:rPr>
          <w:noProof/>
          <w:vertAlign w:val="superscript"/>
        </w:rPr>
        <w:t>25</w:t>
      </w:r>
      <w:r w:rsidR="0044642F">
        <w:fldChar w:fldCharType="end"/>
      </w:r>
      <w:r w:rsidR="0044642F">
        <w:t xml:space="preserve">  </w:t>
      </w:r>
      <w:r w:rsidR="005F51CB">
        <w:t xml:space="preserve">Because adherence, </w:t>
      </w:r>
      <w:r w:rsidR="003B66CE" w:rsidRPr="0004071B">
        <w:t>treatment intensity</w:t>
      </w:r>
      <w:r w:rsidR="005F51CB">
        <w:t xml:space="preserve">, and the combined measure were annual estimates, all were modeled using </w:t>
      </w:r>
      <w:r w:rsidR="00F726A5">
        <w:t>a 1-year lag</w:t>
      </w:r>
      <w:r w:rsidR="00852F87">
        <w:t xml:space="preserve"> to provide a stable PDC estimat</w:t>
      </w:r>
      <w:r w:rsidR="00773FED">
        <w:t>e</w:t>
      </w:r>
      <w:r w:rsidR="0029303D">
        <w:t xml:space="preserve">; hence, </w:t>
      </w:r>
      <w:r w:rsidR="004C13AA">
        <w:t>adherence and intensity in one year were used to predict cardiovascular events in the following year</w:t>
      </w:r>
      <w:r w:rsidR="005F51CB">
        <w:t xml:space="preserve">.  </w:t>
      </w:r>
      <w:r w:rsidR="00F33D0D">
        <w:t xml:space="preserve">As a result, events occurring during the first year </w:t>
      </w:r>
      <w:r w:rsidR="00F00685">
        <w:t>after treatment</w:t>
      </w:r>
      <w:r w:rsidR="00F2282E">
        <w:t xml:space="preserve"> </w:t>
      </w:r>
      <w:r w:rsidR="004C13AA">
        <w:t xml:space="preserve">were attributed to </w:t>
      </w:r>
      <w:r w:rsidR="00773FED">
        <w:t>the lack of treatment</w:t>
      </w:r>
      <w:r w:rsidR="00F2282E">
        <w:t xml:space="preserve"> in the </w:t>
      </w:r>
      <w:r w:rsidR="00357E6D">
        <w:t>year before</w:t>
      </w:r>
      <w:r w:rsidR="00F00685">
        <w:t>hand</w:t>
      </w:r>
      <w:r w:rsidR="00C47DD5">
        <w:t xml:space="preserve"> (</w:t>
      </w:r>
      <w:proofErr w:type="spellStart"/>
      <w:r w:rsidR="00C47DD5">
        <w:t>eFigure</w:t>
      </w:r>
      <w:proofErr w:type="spellEnd"/>
      <w:r w:rsidR="00C47DD5">
        <w:t xml:space="preserve"> 1)</w:t>
      </w:r>
      <w:r w:rsidR="00F00685">
        <w:t>.  Exposure during t</w:t>
      </w:r>
      <w:r w:rsidR="00E917A8">
        <w:t>his period was included in the reference group (</w:t>
      </w:r>
      <w:r w:rsidR="002C2CA1">
        <w:t xml:space="preserve">defined as </w:t>
      </w:r>
      <w:r w:rsidR="00E917A8">
        <w:t>“untreated for at least a year”)</w:t>
      </w:r>
      <w:r w:rsidR="004C13AA">
        <w:t xml:space="preserve">.  </w:t>
      </w:r>
      <w:r w:rsidR="005F51CB">
        <w:t>The</w:t>
      </w:r>
      <w:r w:rsidR="00A36BB3">
        <w:t xml:space="preserve"> adherence and intensity</w:t>
      </w:r>
      <w:r w:rsidR="005F51CB">
        <w:t xml:space="preserve"> measures</w:t>
      </w:r>
      <w:r w:rsidR="00F726A5">
        <w:t>, as well as the</w:t>
      </w:r>
      <w:r w:rsidR="0044642F">
        <w:t xml:space="preserve"> year of follow up</w:t>
      </w:r>
      <w:r w:rsidR="00F726A5">
        <w:t>,</w:t>
      </w:r>
      <w:r w:rsidR="0044642F">
        <w:t xml:space="preserve"> </w:t>
      </w:r>
      <w:r w:rsidR="00C45351">
        <w:t>were</w:t>
      </w:r>
      <w:r w:rsidR="0017410A">
        <w:t xml:space="preserve"> included as</w:t>
      </w:r>
      <w:r w:rsidR="003B66CE" w:rsidRPr="0004071B">
        <w:t xml:space="preserve"> time-varying covariate</w:t>
      </w:r>
      <w:r w:rsidR="0044642F">
        <w:t>s</w:t>
      </w:r>
      <w:r w:rsidR="006A386F">
        <w:t xml:space="preserve"> and updated annually</w:t>
      </w:r>
      <w:r w:rsidR="003B66CE" w:rsidRPr="0004071B">
        <w:t xml:space="preserve">. </w:t>
      </w:r>
      <w:r w:rsidR="00F74DA5">
        <w:t xml:space="preserve"> As a result, patients moved into and out of the reference group over time as a function of their time-varying covariates. </w:t>
      </w:r>
      <w:r w:rsidR="003B66CE" w:rsidRPr="0004071B">
        <w:t xml:space="preserve"> </w:t>
      </w:r>
      <w:r w:rsidR="002503AF">
        <w:t xml:space="preserve">  </w:t>
      </w:r>
    </w:p>
    <w:p w14:paraId="6A32DD85" w14:textId="5F3C9009" w:rsidR="00046031" w:rsidRDefault="00DA32B4" w:rsidP="002423EF">
      <w:pPr>
        <w:pStyle w:val="Text"/>
      </w:pPr>
      <w:bookmarkStart w:id="3" w:name="_Hlk524463215"/>
      <w:r>
        <w:t xml:space="preserve">We also </w:t>
      </w:r>
      <w:r w:rsidR="00F33D0D">
        <w:t>estimate</w:t>
      </w:r>
      <w:r>
        <w:t>d</w:t>
      </w:r>
      <w:r w:rsidR="00F33D0D">
        <w:t xml:space="preserve"> the residual cardiovascular event risk if </w:t>
      </w:r>
      <w:r w:rsidR="00CE6A9F">
        <w:t xml:space="preserve">all patients </w:t>
      </w:r>
      <w:r>
        <w:t xml:space="preserve">in the CVD cohort </w:t>
      </w:r>
      <w:r w:rsidR="00F33D0D">
        <w:t xml:space="preserve">were to receive </w:t>
      </w:r>
      <w:r>
        <w:t xml:space="preserve">and comply with a </w:t>
      </w:r>
      <w:r w:rsidR="0072262C">
        <w:t>high intensity regimen</w:t>
      </w:r>
      <w:r w:rsidR="00C96153">
        <w:t xml:space="preserve"> (“Optimal </w:t>
      </w:r>
      <w:r w:rsidR="00545159">
        <w:t>Adherence and Intensity</w:t>
      </w:r>
      <w:r w:rsidR="00C96153">
        <w:t>”)</w:t>
      </w:r>
      <w:r>
        <w:t>.  To do this</w:t>
      </w:r>
      <w:r w:rsidR="0072262C">
        <w:t>, we</w:t>
      </w:r>
      <w:r w:rsidR="002503AF">
        <w:t xml:space="preserve"> </w:t>
      </w:r>
      <w:r>
        <w:t xml:space="preserve">used the information from the fitted Cox proportional hazards model to estimate </w:t>
      </w:r>
      <w:r w:rsidR="002503AF">
        <w:t xml:space="preserve">the expected </w:t>
      </w:r>
      <w:r w:rsidR="00137D68">
        <w:t xml:space="preserve">rate </w:t>
      </w:r>
      <w:r w:rsidR="005C3676">
        <w:t>of events</w:t>
      </w:r>
      <w:r>
        <w:t xml:space="preserve"> assuming everyone had a combined measure of 50% (i.e., a 50% expected LDL-C reduction after accounting for adherence).  We used </w:t>
      </w:r>
      <w:r w:rsidR="006243BE">
        <w:t>bootstrap</w:t>
      </w:r>
      <w:r>
        <w:t>ping to estimate</w:t>
      </w:r>
      <w:r w:rsidR="002503AF">
        <w:t xml:space="preserve"> </w:t>
      </w:r>
      <w:r>
        <w:t xml:space="preserve">the 95% </w:t>
      </w:r>
      <w:r w:rsidR="002503AF">
        <w:t>confidence interval</w:t>
      </w:r>
      <w:r w:rsidR="006243BE">
        <w:t>s</w:t>
      </w:r>
      <w:r w:rsidR="002503AF">
        <w:t xml:space="preserve"> (CI)</w:t>
      </w:r>
      <w:r w:rsidR="00513198">
        <w:t xml:space="preserve"> for the estimates</w:t>
      </w:r>
      <w:r w:rsidR="002503AF">
        <w:t>.</w:t>
      </w:r>
      <w:bookmarkEnd w:id="3"/>
    </w:p>
    <w:p w14:paraId="5EBDF821" w14:textId="5F7C3F93" w:rsidR="007E1CDD" w:rsidRDefault="009315BE" w:rsidP="002423EF">
      <w:pPr>
        <w:pStyle w:val="Text"/>
      </w:pPr>
      <w:r>
        <w:t>In addition to analyses for the three primary cohorts, w</w:t>
      </w:r>
      <w:r w:rsidR="007E1CDD">
        <w:t xml:space="preserve">e also evaluated </w:t>
      </w:r>
      <w:r>
        <w:t xml:space="preserve">a variety of </w:t>
      </w:r>
      <w:r w:rsidR="00D47296">
        <w:t>pre-planned</w:t>
      </w:r>
      <w:r w:rsidR="00F2403C">
        <w:t xml:space="preserve"> </w:t>
      </w:r>
      <w:r>
        <w:t>subgroups in the documented CVD cohort based on risk factors, comorbidity score</w:t>
      </w:r>
      <w:r w:rsidR="002D432D">
        <w:t xml:space="preserve">s, </w:t>
      </w:r>
      <w:r w:rsidR="00C70753">
        <w:t>and polypharmacy (</w:t>
      </w:r>
      <w:proofErr w:type="spellStart"/>
      <w:r w:rsidR="005E3DF7">
        <w:t>eMethods</w:t>
      </w:r>
      <w:proofErr w:type="spellEnd"/>
      <w:r w:rsidR="00C14CAA">
        <w:t>)</w:t>
      </w:r>
      <w:r w:rsidR="00C70753">
        <w:t xml:space="preserve">. </w:t>
      </w:r>
    </w:p>
    <w:p w14:paraId="6863BE9F" w14:textId="7F58E590" w:rsidR="00D33F94" w:rsidRPr="0004071B" w:rsidRDefault="006916EA" w:rsidP="002423EF">
      <w:pPr>
        <w:pStyle w:val="Text"/>
      </w:pPr>
      <w:r>
        <w:t xml:space="preserve">To </w:t>
      </w:r>
      <w:r w:rsidR="009E18B7">
        <w:t xml:space="preserve">assess whether </w:t>
      </w:r>
      <w:r>
        <w:t>th</w:t>
      </w:r>
      <w:r w:rsidR="009E18B7">
        <w:t>e</w:t>
      </w:r>
      <w:r>
        <w:t xml:space="preserve"> changes in adherence and intensity were </w:t>
      </w:r>
      <w:r w:rsidR="000341DF">
        <w:t xml:space="preserve">also </w:t>
      </w:r>
      <w:r>
        <w:t>associated with changes in LDL-C</w:t>
      </w:r>
      <w:r w:rsidR="00EC1373">
        <w:t xml:space="preserve">, </w:t>
      </w:r>
      <w:r w:rsidR="009E18B7">
        <w:t xml:space="preserve">thus </w:t>
      </w:r>
      <w:r w:rsidR="00311890">
        <w:t xml:space="preserve">representing </w:t>
      </w:r>
      <w:r w:rsidR="009E18B7">
        <w:t xml:space="preserve">a biologically plausible mechanism, </w:t>
      </w:r>
      <w:r w:rsidR="00EC1373">
        <w:t>we evaluated the effect of the combined adherence and intensity measure on the percent change in LDL-C over time</w:t>
      </w:r>
      <w:r>
        <w:t>.  We included</w:t>
      </w:r>
      <w:r w:rsidR="00EC1373">
        <w:t xml:space="preserve"> patients with at least one pre- and one post-treatment LDL-C measure</w:t>
      </w:r>
      <w:r>
        <w:t xml:space="preserve"> </w:t>
      </w:r>
      <w:r w:rsidR="00311890">
        <w:t>within each</w:t>
      </w:r>
      <w:r>
        <w:t xml:space="preserve"> cohort</w:t>
      </w:r>
      <w:r w:rsidR="00EC1373">
        <w:t xml:space="preserve">.  </w:t>
      </w:r>
      <w:r w:rsidR="00D33F94">
        <w:t xml:space="preserve">  </w:t>
      </w:r>
    </w:p>
    <w:p w14:paraId="5CCDF11D" w14:textId="3C999DBD" w:rsidR="00F008B5" w:rsidRPr="0004071B" w:rsidRDefault="00F008B5" w:rsidP="002423EF">
      <w:pPr>
        <w:pStyle w:val="Text"/>
      </w:pPr>
      <w:r w:rsidRPr="0004071B">
        <w:t xml:space="preserve">All analyses </w:t>
      </w:r>
      <w:r w:rsidR="00FF4460" w:rsidRPr="0004071B">
        <w:t>were conducted in R (version 3.4</w:t>
      </w:r>
      <w:r w:rsidRPr="0004071B">
        <w:t>.</w:t>
      </w:r>
      <w:r w:rsidR="00EC1373">
        <w:t>4</w:t>
      </w:r>
      <w:r w:rsidRPr="0004071B">
        <w:t xml:space="preserve">).  </w:t>
      </w:r>
      <w:r w:rsidR="00C66F63">
        <w:t xml:space="preserve">Additional details </w:t>
      </w:r>
      <w:r w:rsidR="00815B6D">
        <w:t xml:space="preserve">are </w:t>
      </w:r>
      <w:r w:rsidR="00C66F63">
        <w:t xml:space="preserve">available in </w:t>
      </w:r>
      <w:proofErr w:type="spellStart"/>
      <w:r w:rsidR="00C66F63">
        <w:t>eMethods</w:t>
      </w:r>
      <w:proofErr w:type="spellEnd"/>
      <w:r w:rsidR="00C66F63">
        <w:t xml:space="preserve">.  </w:t>
      </w:r>
    </w:p>
    <w:p w14:paraId="674626B2" w14:textId="77777777" w:rsidR="00423117" w:rsidRPr="0004071B" w:rsidRDefault="00423117" w:rsidP="00E4324D">
      <w:pPr>
        <w:pStyle w:val="Heading1"/>
      </w:pPr>
      <w:r w:rsidRPr="0004071B">
        <w:br w:type="page"/>
      </w:r>
      <w:r w:rsidRPr="0004071B">
        <w:lastRenderedPageBreak/>
        <w:t>Results</w:t>
      </w:r>
    </w:p>
    <w:p w14:paraId="09477361" w14:textId="6D39C55A" w:rsidR="00011AE7" w:rsidRDefault="005972F9" w:rsidP="002B1B9F">
      <w:pPr>
        <w:pStyle w:val="Text"/>
      </w:pPr>
      <w:r>
        <w:t xml:space="preserve">Of the 29,797 newly treated patients, there were </w:t>
      </w:r>
      <w:r w:rsidR="009E5778">
        <w:t xml:space="preserve">16,701 </w:t>
      </w:r>
      <w:r>
        <w:t xml:space="preserve">(56%) </w:t>
      </w:r>
      <w:r w:rsidR="00946485">
        <w:t xml:space="preserve">in the </w:t>
      </w:r>
      <w:r w:rsidR="00605D6A">
        <w:t xml:space="preserve">documented </w:t>
      </w:r>
      <w:r w:rsidR="009E5778">
        <w:t>CVD</w:t>
      </w:r>
      <w:r w:rsidR="00946485">
        <w:t xml:space="preserve"> cohort</w:t>
      </w:r>
      <w:r w:rsidR="009E5778">
        <w:t xml:space="preserve">, 12,548 </w:t>
      </w:r>
      <w:r>
        <w:t xml:space="preserve">(42%) </w:t>
      </w:r>
      <w:r w:rsidR="00946485">
        <w:t>in the</w:t>
      </w:r>
      <w:r w:rsidR="009E5778">
        <w:t xml:space="preserve"> </w:t>
      </w:r>
      <w:r w:rsidR="00BE1AD5">
        <w:t>type 2 diabetes</w:t>
      </w:r>
      <w:r w:rsidR="00750BE4">
        <w:t xml:space="preserve"> </w:t>
      </w:r>
      <w:r w:rsidR="00946485">
        <w:t>without</w:t>
      </w:r>
      <w:r w:rsidR="00750BE4">
        <w:t xml:space="preserve"> CVD</w:t>
      </w:r>
      <w:r w:rsidR="00946485">
        <w:t xml:space="preserve"> </w:t>
      </w:r>
      <w:r w:rsidR="002459E7">
        <w:t xml:space="preserve">or CKD </w:t>
      </w:r>
      <w:r w:rsidR="00946485">
        <w:t>cohort</w:t>
      </w:r>
      <w:r w:rsidR="00BE1AD5">
        <w:t>, and 674</w:t>
      </w:r>
      <w:r w:rsidR="00741634">
        <w:t xml:space="preserve"> (2%)</w:t>
      </w:r>
      <w:r w:rsidR="00BE1AD5">
        <w:t xml:space="preserve"> </w:t>
      </w:r>
      <w:r w:rsidR="00946485">
        <w:t xml:space="preserve">in the </w:t>
      </w:r>
      <w:r w:rsidR="00605D6A">
        <w:t xml:space="preserve">CKD </w:t>
      </w:r>
      <w:r w:rsidR="00946485">
        <w:t>without</w:t>
      </w:r>
      <w:r w:rsidR="00605D6A">
        <w:t xml:space="preserve"> CVD</w:t>
      </w:r>
      <w:r w:rsidR="00946485">
        <w:t xml:space="preserve"> cohort</w:t>
      </w:r>
      <w:r w:rsidR="00AB3213">
        <w:t xml:space="preserve"> (</w:t>
      </w:r>
      <w:proofErr w:type="spellStart"/>
      <w:r w:rsidR="002D12F9">
        <w:t>eFigure</w:t>
      </w:r>
      <w:proofErr w:type="spellEnd"/>
      <w:r w:rsidR="002D12F9">
        <w:t xml:space="preserve"> 2</w:t>
      </w:r>
      <w:r w:rsidR="00AB3213">
        <w:t>)</w:t>
      </w:r>
      <w:r w:rsidR="00BE1AD5">
        <w:t xml:space="preserve">.  Mean age </w:t>
      </w:r>
      <w:r w:rsidR="00D56813">
        <w:t xml:space="preserve">was </w:t>
      </w:r>
      <w:r w:rsidR="00BE1AD5">
        <w:t>similar in the CVD and CKD cohorts (68 and 67 years)</w:t>
      </w:r>
      <w:r w:rsidR="00750BE4">
        <w:t>,</w:t>
      </w:r>
      <w:r w:rsidR="00BE1AD5">
        <w:t xml:space="preserve"> </w:t>
      </w:r>
      <w:r w:rsidR="00D56813">
        <w:t xml:space="preserve">but </w:t>
      </w:r>
      <w:r w:rsidR="001808DB">
        <w:t xml:space="preserve">lower in </w:t>
      </w:r>
      <w:r w:rsidR="00BE1AD5">
        <w:t xml:space="preserve">the diabetes cohort (59 years).  The CVD cohort had </w:t>
      </w:r>
      <w:r w:rsidR="00750BE4">
        <w:t>a higher proportion of</w:t>
      </w:r>
      <w:r w:rsidR="00BE1AD5">
        <w:t xml:space="preserve"> males (61%) than </w:t>
      </w:r>
      <w:r w:rsidR="00750BE4">
        <w:t xml:space="preserve">did the </w:t>
      </w:r>
      <w:r w:rsidR="00BE1AD5">
        <w:t>diabetes (55%) and CKD (47%)</w:t>
      </w:r>
      <w:r w:rsidR="00750BE4">
        <w:t xml:space="preserve"> cohorts</w:t>
      </w:r>
      <w:r w:rsidR="00BE1AD5">
        <w:t xml:space="preserve">.  Baseline </w:t>
      </w:r>
      <w:r w:rsidR="006F6370">
        <w:t>LDL-C</w:t>
      </w:r>
      <w:r w:rsidR="00BE1AD5">
        <w:t xml:space="preserve"> </w:t>
      </w:r>
      <w:r w:rsidR="00DA7DAE">
        <w:t>(</w:t>
      </w:r>
      <w:r w:rsidR="00BE1AD5">
        <w:t xml:space="preserve">for </w:t>
      </w:r>
      <w:r w:rsidR="00741634">
        <w:t xml:space="preserve">64% of </w:t>
      </w:r>
      <w:r w:rsidR="00BE1AD5">
        <w:t>patients with available data</w:t>
      </w:r>
      <w:r w:rsidR="00DA7DAE">
        <w:t>)</w:t>
      </w:r>
      <w:r w:rsidR="00BE1AD5">
        <w:t xml:space="preserve"> </w:t>
      </w:r>
      <w:r w:rsidR="00750BE4">
        <w:t>was</w:t>
      </w:r>
      <w:r w:rsidR="00BE1AD5">
        <w:t xml:space="preserve"> </w:t>
      </w:r>
      <w:r w:rsidR="00874B07">
        <w:t>128 mg/</w:t>
      </w:r>
      <w:proofErr w:type="spellStart"/>
      <w:r w:rsidR="00874B07">
        <w:t>dL</w:t>
      </w:r>
      <w:proofErr w:type="spellEnd"/>
      <w:r w:rsidR="00BE1AD5">
        <w:t xml:space="preserve"> for </w:t>
      </w:r>
      <w:r w:rsidR="00583F7D">
        <w:t xml:space="preserve">the </w:t>
      </w:r>
      <w:r w:rsidR="00BE1AD5">
        <w:t>CVD</w:t>
      </w:r>
      <w:r w:rsidR="00583F7D">
        <w:t xml:space="preserve"> cohort</w:t>
      </w:r>
      <w:r w:rsidR="00BE1AD5">
        <w:t xml:space="preserve">, </w:t>
      </w:r>
      <w:r w:rsidR="00874B07">
        <w:t>135 mg/</w:t>
      </w:r>
      <w:proofErr w:type="spellStart"/>
      <w:r w:rsidR="00874B07">
        <w:t>dL</w:t>
      </w:r>
      <w:proofErr w:type="spellEnd"/>
      <w:r w:rsidR="00BE1AD5">
        <w:t xml:space="preserve"> for </w:t>
      </w:r>
      <w:r w:rsidR="00583F7D">
        <w:t xml:space="preserve">the </w:t>
      </w:r>
      <w:r w:rsidR="00BE1AD5">
        <w:t>diabetes</w:t>
      </w:r>
      <w:r w:rsidR="00583F7D">
        <w:t xml:space="preserve"> cohort</w:t>
      </w:r>
      <w:r w:rsidR="00BE1AD5">
        <w:t xml:space="preserve">, and </w:t>
      </w:r>
      <w:r w:rsidR="00874B07">
        <w:t>143 mg/</w:t>
      </w:r>
      <w:proofErr w:type="spellStart"/>
      <w:r w:rsidR="00874B07">
        <w:t>dL</w:t>
      </w:r>
      <w:proofErr w:type="spellEnd"/>
      <w:r w:rsidR="00BE1AD5">
        <w:t xml:space="preserve"> for CKD</w:t>
      </w:r>
      <w:r w:rsidR="00583F7D">
        <w:t xml:space="preserve"> cohort</w:t>
      </w:r>
      <w:r w:rsidR="00BE1AD5">
        <w:t xml:space="preserve">.  In the CVD cohort, 79% had </w:t>
      </w:r>
      <w:r w:rsidR="000A4164">
        <w:t xml:space="preserve">been </w:t>
      </w:r>
      <w:r w:rsidR="00F11D89">
        <w:t>diagnosed with a cardiovascular condition in the year before initiating therapy</w:t>
      </w:r>
      <w:r w:rsidR="00BE1AD5">
        <w:t xml:space="preserve">.  Mean </w:t>
      </w:r>
      <w:r w:rsidR="00605D6A">
        <w:t>duration</w:t>
      </w:r>
      <w:r w:rsidR="00BE1AD5">
        <w:t xml:space="preserve"> of follow-up was approximately 3 years for each cohort</w:t>
      </w:r>
      <w:r w:rsidR="00C35974">
        <w:t xml:space="preserve"> (</w:t>
      </w:r>
      <w:r w:rsidR="00C932DF">
        <w:t>Table 1</w:t>
      </w:r>
      <w:r w:rsidR="002D12F9">
        <w:t xml:space="preserve"> and </w:t>
      </w:r>
      <w:proofErr w:type="spellStart"/>
      <w:r w:rsidR="002D12F9">
        <w:t>eTable</w:t>
      </w:r>
      <w:proofErr w:type="spellEnd"/>
      <w:r w:rsidR="002D12F9">
        <w:t xml:space="preserve"> 3</w:t>
      </w:r>
      <w:r w:rsidR="00C35974">
        <w:t>)</w:t>
      </w:r>
      <w:r w:rsidR="00C932DF">
        <w:t>.</w:t>
      </w:r>
    </w:p>
    <w:p w14:paraId="4950F5DB" w14:textId="75BED798" w:rsidR="00BE1AD5" w:rsidRDefault="00BE1AD5" w:rsidP="002B1B9F">
      <w:pPr>
        <w:pStyle w:val="Text"/>
      </w:pPr>
      <w:r>
        <w:t>The initi</w:t>
      </w:r>
      <w:r w:rsidR="009A383E">
        <w:t>al lipid-</w:t>
      </w:r>
      <w:r>
        <w:t xml:space="preserve">lowering therapy was a high intensity statin for 23% of the CVD cohort, compared to 1.1% of the diabetes cohort and 3.1% of the CKD cohort.  The majority of patients received moderate intensity statins (74% for </w:t>
      </w:r>
      <w:r w:rsidR="00583F7D">
        <w:t xml:space="preserve">the </w:t>
      </w:r>
      <w:r>
        <w:t>CVD</w:t>
      </w:r>
      <w:r w:rsidR="00583F7D">
        <w:t xml:space="preserve"> cohort</w:t>
      </w:r>
      <w:r>
        <w:t xml:space="preserve">, 95% for </w:t>
      </w:r>
      <w:r w:rsidR="00583F7D">
        <w:t xml:space="preserve">the </w:t>
      </w:r>
      <w:r>
        <w:t>diabetes</w:t>
      </w:r>
      <w:r w:rsidR="00583F7D">
        <w:t xml:space="preserve"> cohort,</w:t>
      </w:r>
      <w:r>
        <w:t xml:space="preserve"> and 87% for </w:t>
      </w:r>
      <w:r w:rsidR="00583F7D">
        <w:t xml:space="preserve">the </w:t>
      </w:r>
      <w:r>
        <w:t>CKD</w:t>
      </w:r>
      <w:r w:rsidR="00583F7D">
        <w:t xml:space="preserve"> cohort</w:t>
      </w:r>
      <w:r>
        <w:t xml:space="preserve">).  </w:t>
      </w:r>
      <w:r w:rsidR="001808DB">
        <w:t>Initial u</w:t>
      </w:r>
      <w:r w:rsidR="00D56813">
        <w:t>se of e</w:t>
      </w:r>
      <w:r>
        <w:t>zetimibe alone</w:t>
      </w:r>
      <w:r w:rsidR="00D56813">
        <w:t>,</w:t>
      </w:r>
      <w:r>
        <w:t xml:space="preserve"> </w:t>
      </w:r>
      <w:r w:rsidR="00D56813">
        <w:t xml:space="preserve">with </w:t>
      </w:r>
      <w:r>
        <w:t>or with</w:t>
      </w:r>
      <w:r w:rsidR="00D56813">
        <w:t>out</w:t>
      </w:r>
      <w:r>
        <w:t xml:space="preserve"> a statin</w:t>
      </w:r>
      <w:r w:rsidR="00D56813">
        <w:t>,</w:t>
      </w:r>
      <w:r>
        <w:t xml:space="preserve"> was extremely rare </w:t>
      </w:r>
      <w:r w:rsidR="00DB288E">
        <w:t xml:space="preserve">at both the initial and last prescriptions </w:t>
      </w:r>
      <w:r>
        <w:t>(&lt; 1% for all cohorts</w:t>
      </w:r>
      <w:r w:rsidR="00C932DF">
        <w:t>; Table 1</w:t>
      </w:r>
      <w:r>
        <w:t>).</w:t>
      </w:r>
      <w:r w:rsidR="00DB288E">
        <w:t xml:space="preserve">  At the end of follow</w:t>
      </w:r>
      <w:r w:rsidR="00896273">
        <w:t>-</w:t>
      </w:r>
      <w:r w:rsidR="00DB288E">
        <w:t>up for each person, moderate intensity regimens were still the most common.  Between 33% and 43% of patients, depending on cohort, did not have an active prescription at the end of follow up.</w:t>
      </w:r>
    </w:p>
    <w:p w14:paraId="7D08CED0" w14:textId="0A8FAEDB" w:rsidR="001745E3" w:rsidRDefault="00014C31" w:rsidP="001745E3">
      <w:pPr>
        <w:pStyle w:val="Text"/>
      </w:pPr>
      <w:r>
        <w:t xml:space="preserve">Adherence, as measured by PDC, </w:t>
      </w:r>
      <w:r w:rsidR="001745E3">
        <w:t xml:space="preserve">varied by cohort and by treatment intensity and generally declined after the first year.  </w:t>
      </w:r>
      <w:r w:rsidR="00F643BC" w:rsidRPr="00F643BC">
        <w:t xml:space="preserve">In the CVD cohort, </w:t>
      </w:r>
      <w:r w:rsidR="00F643BC">
        <w:t xml:space="preserve">patients receiving </w:t>
      </w:r>
      <w:r w:rsidR="00F643BC" w:rsidRPr="00F643BC">
        <w:t>high intensity therapy were more like</w:t>
      </w:r>
      <w:r w:rsidR="00F643BC">
        <w:t xml:space="preserve">ly to be adherent over time (84% in Year 1 and </w:t>
      </w:r>
      <w:r w:rsidR="00F643BC" w:rsidRPr="00F643BC">
        <w:t>72%</w:t>
      </w:r>
      <w:r w:rsidR="00F643BC">
        <w:t xml:space="preserve"> in Year 6</w:t>
      </w:r>
      <w:r w:rsidR="00F643BC" w:rsidRPr="00F643BC">
        <w:t xml:space="preserve">) than </w:t>
      </w:r>
      <w:r w:rsidR="00F643BC">
        <w:t xml:space="preserve">patients receiving </w:t>
      </w:r>
      <w:r w:rsidR="00F643BC" w:rsidRPr="00F643BC">
        <w:t xml:space="preserve">low intensity </w:t>
      </w:r>
      <w:r w:rsidR="00F643BC">
        <w:t xml:space="preserve">therapy </w:t>
      </w:r>
      <w:r w:rsidR="00F643BC" w:rsidRPr="00F643BC">
        <w:t>(57</w:t>
      </w:r>
      <w:r w:rsidR="00F643BC">
        <w:t xml:space="preserve">% and </w:t>
      </w:r>
      <w:r w:rsidR="00F643BC" w:rsidRPr="00F643BC">
        <w:t>44%)</w:t>
      </w:r>
      <w:r w:rsidR="00F643BC">
        <w:t xml:space="preserve">.  </w:t>
      </w:r>
      <w:r w:rsidR="001745E3">
        <w:t xml:space="preserve">Adherence was generally similar across treatment intensity groups for </w:t>
      </w:r>
      <w:r w:rsidR="00D352C9">
        <w:t xml:space="preserve">the </w:t>
      </w:r>
      <w:r w:rsidR="001745E3">
        <w:t>diabetes and CKD</w:t>
      </w:r>
      <w:r w:rsidR="00D352C9">
        <w:t xml:space="preserve"> cohorts</w:t>
      </w:r>
      <w:r w:rsidR="001745E3">
        <w:t xml:space="preserve"> (Figure 1).</w:t>
      </w:r>
      <w:r w:rsidR="009963F8">
        <w:t xml:space="preserve">  </w:t>
      </w:r>
    </w:p>
    <w:p w14:paraId="52228CA5" w14:textId="269CE599" w:rsidR="007B1893" w:rsidRDefault="00DD6AFD" w:rsidP="002B1B9F">
      <w:pPr>
        <w:pStyle w:val="Text"/>
      </w:pPr>
      <w:r>
        <w:t>C</w:t>
      </w:r>
      <w:r w:rsidR="00AB72D1">
        <w:t>ardiovascular</w:t>
      </w:r>
      <w:r w:rsidR="007B1893">
        <w:t xml:space="preserve"> event rate</w:t>
      </w:r>
      <w:r>
        <w:t>s</w:t>
      </w:r>
      <w:r w:rsidR="007B1893">
        <w:t xml:space="preserve"> varied </w:t>
      </w:r>
      <w:r w:rsidR="000A58C2">
        <w:t>by cohort.  The CVD cohort had the</w:t>
      </w:r>
      <w:r w:rsidR="007B1893">
        <w:t xml:space="preserve"> highest </w:t>
      </w:r>
      <w:r w:rsidR="000A58C2">
        <w:t xml:space="preserve">mean event rate </w:t>
      </w:r>
      <w:r w:rsidR="007B1893">
        <w:t>(</w:t>
      </w:r>
      <w:r w:rsidR="000A58C2">
        <w:t>72</w:t>
      </w:r>
      <w:r w:rsidR="00D717C9">
        <w:t xml:space="preserve"> per 1,000 person-</w:t>
      </w:r>
      <w:r w:rsidR="007B1893">
        <w:t>years</w:t>
      </w:r>
      <w:r w:rsidR="00F54410">
        <w:t xml:space="preserve"> of follow-up</w:t>
      </w:r>
      <w:r w:rsidR="007B1893">
        <w:t>)</w:t>
      </w:r>
      <w:r w:rsidR="004E5882">
        <w:t>.  T</w:t>
      </w:r>
      <w:r w:rsidR="000A58C2">
        <w:t xml:space="preserve">his rate </w:t>
      </w:r>
      <w:r w:rsidR="004E5882">
        <w:t xml:space="preserve">was highest during the first year at </w:t>
      </w:r>
      <w:r w:rsidR="000A58C2">
        <w:t xml:space="preserve">136 </w:t>
      </w:r>
      <w:r w:rsidR="001D7B25">
        <w:t xml:space="preserve">and </w:t>
      </w:r>
      <w:r w:rsidR="009A450C">
        <w:t xml:space="preserve">was lower afterward, </w:t>
      </w:r>
      <w:r w:rsidR="001D7B25">
        <w:t>rang</w:t>
      </w:r>
      <w:r w:rsidR="009A450C">
        <w:t>ing</w:t>
      </w:r>
      <w:r w:rsidR="001D7B25">
        <w:t xml:space="preserve"> from</w:t>
      </w:r>
      <w:r w:rsidR="007B1893">
        <w:t xml:space="preserve"> </w:t>
      </w:r>
      <w:r w:rsidR="001D7B25">
        <w:t xml:space="preserve">a minimum of </w:t>
      </w:r>
      <w:r w:rsidR="007B1893">
        <w:t xml:space="preserve">30 </w:t>
      </w:r>
      <w:r w:rsidR="001D7B25">
        <w:t xml:space="preserve">to a maximum of </w:t>
      </w:r>
      <w:r w:rsidR="007B1893">
        <w:t>46.</w:t>
      </w:r>
      <w:r w:rsidR="000A58C2">
        <w:t xml:space="preserve">  </w:t>
      </w:r>
      <w:r w:rsidR="002F4430">
        <w:t>The d</w:t>
      </w:r>
      <w:r w:rsidR="005C1BF8">
        <w:t xml:space="preserve">ecrease in rates is most likely due to the effects of treatment. </w:t>
      </w:r>
      <w:r w:rsidR="000A58C2">
        <w:t xml:space="preserve">The </w:t>
      </w:r>
      <w:r w:rsidR="00750BE4">
        <w:t xml:space="preserve">mean event rate in the </w:t>
      </w:r>
      <w:r w:rsidR="000A58C2">
        <w:t xml:space="preserve">diabetes cohort was 13 and ranged from 10 to 20; the </w:t>
      </w:r>
      <w:r w:rsidR="00750BE4">
        <w:t xml:space="preserve">mean rate in the </w:t>
      </w:r>
      <w:r w:rsidR="000A58C2">
        <w:t>CKD cohort was 38 and ranged from 20 to 52</w:t>
      </w:r>
      <w:r w:rsidR="009170A1">
        <w:t xml:space="preserve"> (</w:t>
      </w:r>
      <w:proofErr w:type="spellStart"/>
      <w:r w:rsidR="002553F0">
        <w:t>eTable</w:t>
      </w:r>
      <w:r w:rsidR="005C1BF8">
        <w:t>s</w:t>
      </w:r>
      <w:proofErr w:type="spellEnd"/>
      <w:r w:rsidR="002553F0">
        <w:t xml:space="preserve"> 4</w:t>
      </w:r>
      <w:r w:rsidR="005C1BF8">
        <w:t>, 5</w:t>
      </w:r>
      <w:r w:rsidR="009170A1">
        <w:t>)</w:t>
      </w:r>
      <w:r w:rsidR="000A58C2">
        <w:t>.</w:t>
      </w:r>
      <w:r w:rsidR="00C75916">
        <w:t xml:space="preserve">  </w:t>
      </w:r>
    </w:p>
    <w:p w14:paraId="2E6AC33D" w14:textId="467E26A1" w:rsidR="009D3447" w:rsidRDefault="00D555B7" w:rsidP="00192B18">
      <w:pPr>
        <w:pStyle w:val="Heading2"/>
      </w:pPr>
      <w:r>
        <w:t>Association of Adherence and Intensity on Outcomes</w:t>
      </w:r>
    </w:p>
    <w:p w14:paraId="764BDFE1" w14:textId="53725032" w:rsidR="00255444" w:rsidRDefault="00603E55" w:rsidP="00AE48C1">
      <w:pPr>
        <w:pStyle w:val="Text"/>
        <w:rPr>
          <w:iCs/>
        </w:rPr>
      </w:pPr>
      <w:r>
        <w:t>Higher a</w:t>
      </w:r>
      <w:r w:rsidR="0038729E">
        <w:t xml:space="preserve">dherence </w:t>
      </w:r>
      <w:r w:rsidR="00E77218">
        <w:t>and higher intensity were each</w:t>
      </w:r>
      <w:r w:rsidR="009B6FEC">
        <w:t xml:space="preserve"> associated with </w:t>
      </w:r>
      <w:r w:rsidR="007925BB">
        <w:t xml:space="preserve">a lower risk of </w:t>
      </w:r>
      <w:r w:rsidR="00B523ED">
        <w:t xml:space="preserve">a </w:t>
      </w:r>
      <w:r w:rsidR="007925BB">
        <w:t>cardiovascular event</w:t>
      </w:r>
      <w:r>
        <w:t>s</w:t>
      </w:r>
      <w:r w:rsidR="009B6FEC">
        <w:t xml:space="preserve"> in </w:t>
      </w:r>
      <w:r w:rsidR="00F643BC">
        <w:t xml:space="preserve">separate </w:t>
      </w:r>
      <w:r w:rsidR="009B6FEC">
        <w:t>adjusted regression models</w:t>
      </w:r>
      <w:r w:rsidR="004776A0">
        <w:t>.  The relationships were</w:t>
      </w:r>
      <w:r w:rsidR="00F643BC">
        <w:t xml:space="preserve"> </w:t>
      </w:r>
      <w:r w:rsidR="007D3E6B">
        <w:t xml:space="preserve">graded </w:t>
      </w:r>
      <w:r w:rsidR="007D3E6B">
        <w:lastRenderedPageBreak/>
        <w:t xml:space="preserve">and </w:t>
      </w:r>
      <w:r w:rsidR="00F643BC">
        <w:t>consistent across</w:t>
      </w:r>
      <w:r w:rsidR="00D95F67">
        <w:t xml:space="preserve"> all </w:t>
      </w:r>
      <w:r w:rsidR="00C13822">
        <w:t>three</w:t>
      </w:r>
      <w:r w:rsidR="00D95F67">
        <w:t xml:space="preserve"> cohorts</w:t>
      </w:r>
      <w:r w:rsidR="006401F8">
        <w:t xml:space="preserve"> (</w:t>
      </w:r>
      <w:r w:rsidR="00DB53A0">
        <w:t>Table 2</w:t>
      </w:r>
      <w:r w:rsidR="006401F8">
        <w:t>)</w:t>
      </w:r>
      <w:r w:rsidR="009B6FEC">
        <w:t xml:space="preserve">. </w:t>
      </w:r>
      <w:r w:rsidR="0029303D" w:rsidRPr="0029303D">
        <w:t xml:space="preserve"> </w:t>
      </w:r>
      <w:r w:rsidR="0029303D">
        <w:rPr>
          <w:iCs/>
        </w:rPr>
        <w:t xml:space="preserve">In </w:t>
      </w:r>
      <w:r w:rsidR="00255444">
        <w:rPr>
          <w:iCs/>
        </w:rPr>
        <w:t xml:space="preserve">particular, in </w:t>
      </w:r>
      <w:r w:rsidR="0029303D">
        <w:rPr>
          <w:iCs/>
        </w:rPr>
        <w:t>the CVD cohort t</w:t>
      </w:r>
      <w:r w:rsidR="0029303D" w:rsidRPr="0029303D">
        <w:rPr>
          <w:iCs/>
        </w:rPr>
        <w:t xml:space="preserve">he hazard ratio (HR) for </w:t>
      </w:r>
      <w:r w:rsidR="009F36E3">
        <w:t xml:space="preserve">each 10% increase in adherence </w:t>
      </w:r>
      <w:r w:rsidR="00CC015D">
        <w:t xml:space="preserve">(e.g., 70% to 80%) </w:t>
      </w:r>
      <w:r w:rsidR="009F36E3">
        <w:t xml:space="preserve">was </w:t>
      </w:r>
      <w:r w:rsidR="00FD741B" w:rsidRPr="00FD741B">
        <w:t>0.95 (95% CI 0.94 to 0.97)</w:t>
      </w:r>
      <w:r w:rsidR="009F36E3">
        <w:t xml:space="preserve">. </w:t>
      </w:r>
      <w:r w:rsidR="00FD741B">
        <w:t xml:space="preserve"> </w:t>
      </w:r>
      <w:r w:rsidR="005E3C4D">
        <w:t>Based on the mean PDC for</w:t>
      </w:r>
      <w:r w:rsidR="009F36E3">
        <w:t xml:space="preserve"> </w:t>
      </w:r>
      <w:r w:rsidR="00C23E82">
        <w:t xml:space="preserve">all </w:t>
      </w:r>
      <w:r w:rsidR="0029303D" w:rsidRPr="0029303D">
        <w:rPr>
          <w:iCs/>
        </w:rPr>
        <w:t xml:space="preserve">adherent </w:t>
      </w:r>
      <w:r w:rsidR="0029303D">
        <w:rPr>
          <w:iCs/>
        </w:rPr>
        <w:t>patients</w:t>
      </w:r>
      <w:r w:rsidR="009F36E3">
        <w:rPr>
          <w:iCs/>
        </w:rPr>
        <w:t>, the HR</w:t>
      </w:r>
      <w:r w:rsidR="0029303D">
        <w:rPr>
          <w:iCs/>
        </w:rPr>
        <w:t xml:space="preserve"> </w:t>
      </w:r>
      <w:r w:rsidR="0029303D" w:rsidRPr="0029303D">
        <w:rPr>
          <w:iCs/>
        </w:rPr>
        <w:t xml:space="preserve">was 0.65 (95% CI 0.60-0.70).  </w:t>
      </w:r>
      <w:r w:rsidR="00CC015D">
        <w:rPr>
          <w:iCs/>
        </w:rPr>
        <w:t>Similarly, for each 10% increase in treatment intensity</w:t>
      </w:r>
      <w:r w:rsidR="006B002D">
        <w:rPr>
          <w:iCs/>
        </w:rPr>
        <w:t xml:space="preserve"> (e.g., 30% to 40%)</w:t>
      </w:r>
      <w:r w:rsidR="00CC015D">
        <w:rPr>
          <w:iCs/>
        </w:rPr>
        <w:t xml:space="preserve">, the HR was </w:t>
      </w:r>
      <w:r w:rsidR="00CC015D" w:rsidRPr="00CC015D">
        <w:rPr>
          <w:iCs/>
        </w:rPr>
        <w:t>0.90 (95% CI 0.86 to 0.95)</w:t>
      </w:r>
      <w:r w:rsidR="00CC015D">
        <w:rPr>
          <w:iCs/>
        </w:rPr>
        <w:t xml:space="preserve">.  </w:t>
      </w:r>
      <w:r w:rsidR="00C23E82">
        <w:rPr>
          <w:iCs/>
        </w:rPr>
        <w:t>Based on the mean intensity for</w:t>
      </w:r>
      <w:r w:rsidR="00CC015D">
        <w:rPr>
          <w:iCs/>
        </w:rPr>
        <w:t xml:space="preserve"> </w:t>
      </w:r>
      <w:r w:rsidR="0029303D">
        <w:rPr>
          <w:iCs/>
        </w:rPr>
        <w:t xml:space="preserve">patients receiving </w:t>
      </w:r>
      <w:r w:rsidR="0029303D" w:rsidRPr="0029303D">
        <w:rPr>
          <w:iCs/>
        </w:rPr>
        <w:t xml:space="preserve">high intensity </w:t>
      </w:r>
      <w:r w:rsidR="0029303D">
        <w:rPr>
          <w:iCs/>
        </w:rPr>
        <w:t>therapy</w:t>
      </w:r>
      <w:r w:rsidR="00CC015D">
        <w:rPr>
          <w:iCs/>
        </w:rPr>
        <w:t>, the HR</w:t>
      </w:r>
      <w:r w:rsidR="0029303D">
        <w:rPr>
          <w:iCs/>
        </w:rPr>
        <w:t xml:space="preserve"> </w:t>
      </w:r>
      <w:r w:rsidR="0029303D" w:rsidRPr="0029303D">
        <w:rPr>
          <w:iCs/>
        </w:rPr>
        <w:t xml:space="preserve">was 0.60 (95% CI 0.52-0.68).  </w:t>
      </w:r>
      <w:r w:rsidR="00255444">
        <w:rPr>
          <w:iCs/>
        </w:rPr>
        <w:t>Results were similar for the diabetes and CKD cohorts.</w:t>
      </w:r>
      <w:r w:rsidR="00CC36BB">
        <w:rPr>
          <w:iCs/>
        </w:rPr>
        <w:t xml:space="preserve"> </w:t>
      </w:r>
      <w:r w:rsidR="00CC36BB" w:rsidRPr="00CC36BB">
        <w:rPr>
          <w:iCs/>
        </w:rPr>
        <w:t xml:space="preserve">The reference group for all analyses </w:t>
      </w:r>
      <w:r w:rsidR="00B24F9A">
        <w:rPr>
          <w:iCs/>
        </w:rPr>
        <w:t>was defined as</w:t>
      </w:r>
      <w:r w:rsidR="00CC36BB" w:rsidRPr="00CC36BB">
        <w:rPr>
          <w:iCs/>
        </w:rPr>
        <w:t xml:space="preserve"> patients untreated f</w:t>
      </w:r>
      <w:r w:rsidR="00CC36BB">
        <w:rPr>
          <w:iCs/>
        </w:rPr>
        <w:t>or at least a year</w:t>
      </w:r>
      <w:r w:rsidR="00CC36BB" w:rsidRPr="00CC36BB">
        <w:rPr>
          <w:iCs/>
        </w:rPr>
        <w:t>.</w:t>
      </w:r>
      <w:r w:rsidR="00F46AFB">
        <w:rPr>
          <w:iCs/>
        </w:rPr>
        <w:t xml:space="preserve"> </w:t>
      </w:r>
    </w:p>
    <w:p w14:paraId="0FCD3AAD" w14:textId="652C7A9B" w:rsidR="00DC6B2B" w:rsidRDefault="00255444" w:rsidP="00AE48C1">
      <w:pPr>
        <w:pStyle w:val="Text"/>
      </w:pPr>
      <w:r>
        <w:rPr>
          <w:iCs/>
        </w:rPr>
        <w:t xml:space="preserve">The relationship between the combined measure of adherence and treatment intensity and outcomes was also graded (Figure 2).  For example, </w:t>
      </w:r>
      <w:r>
        <w:t xml:space="preserve">in the CVD cohort, </w:t>
      </w:r>
      <w:r w:rsidR="007D3E6B">
        <w:t>each</w:t>
      </w:r>
      <w:r>
        <w:t xml:space="preserve"> increase of 10% in the combined measure (e.g., from 40% to 50%) was associated with a </w:t>
      </w:r>
      <w:r w:rsidR="00603E55">
        <w:t>lower risk of</w:t>
      </w:r>
      <w:r>
        <w:t xml:space="preserve"> cardiovascular event </w:t>
      </w:r>
      <w:r w:rsidR="00603E55">
        <w:t>by</w:t>
      </w:r>
      <w:r>
        <w:t xml:space="preserve"> </w:t>
      </w:r>
      <w:r w:rsidRPr="00C06611">
        <w:t>10% (</w:t>
      </w:r>
      <w:r>
        <w:t xml:space="preserve">HR 0.90, </w:t>
      </w:r>
      <w:r w:rsidRPr="00C06611">
        <w:t xml:space="preserve">95% CI </w:t>
      </w:r>
      <w:r>
        <w:t>0.86</w:t>
      </w:r>
      <w:r w:rsidRPr="00C06611">
        <w:t xml:space="preserve"> to </w:t>
      </w:r>
      <w:r>
        <w:t>0.94</w:t>
      </w:r>
      <w:r w:rsidRPr="00C06611">
        <w:t>)</w:t>
      </w:r>
      <w:r>
        <w:t xml:space="preserve">.  </w:t>
      </w:r>
      <w:r>
        <w:rPr>
          <w:iCs/>
        </w:rPr>
        <w:t>As a particular example</w:t>
      </w:r>
      <w:r w:rsidR="0029303D" w:rsidRPr="0029303D">
        <w:rPr>
          <w:iCs/>
        </w:rPr>
        <w:t xml:space="preserve">, </w:t>
      </w:r>
      <w:r>
        <w:rPr>
          <w:iCs/>
        </w:rPr>
        <w:t xml:space="preserve">in the CVD cohort, </w:t>
      </w:r>
      <w:r w:rsidR="0029303D" w:rsidRPr="0029303D">
        <w:rPr>
          <w:iCs/>
        </w:rPr>
        <w:t>adherent patients receiving a high intensity regimen had a 34% lower cardiovascular event risk</w:t>
      </w:r>
      <w:r w:rsidR="00996E90">
        <w:rPr>
          <w:iCs/>
        </w:rPr>
        <w:t xml:space="preserve"> than patients who were untreated for at least a year (the reference group)</w:t>
      </w:r>
      <w:r w:rsidR="004776A0">
        <w:rPr>
          <w:iCs/>
        </w:rPr>
        <w:t xml:space="preserve">.  In contrast, </w:t>
      </w:r>
      <w:r w:rsidR="0029303D" w:rsidRPr="0029303D">
        <w:rPr>
          <w:iCs/>
        </w:rPr>
        <w:t>non-adherent patients receiving a low intensity regimen</w:t>
      </w:r>
      <w:r w:rsidR="00B70827">
        <w:rPr>
          <w:iCs/>
        </w:rPr>
        <w:t xml:space="preserve"> </w:t>
      </w:r>
      <w:r>
        <w:rPr>
          <w:iCs/>
        </w:rPr>
        <w:t>had a 5% lower risk</w:t>
      </w:r>
      <w:r w:rsidR="0029303D" w:rsidRPr="0029303D">
        <w:rPr>
          <w:iCs/>
        </w:rPr>
        <w:t xml:space="preserve">. </w:t>
      </w:r>
      <w:r w:rsidR="00BD786A">
        <w:rPr>
          <w:iCs/>
        </w:rPr>
        <w:t xml:space="preserve"> </w:t>
      </w:r>
      <w:r w:rsidR="00B70827">
        <w:t>Results were similar for the diabetes and CKD cohorts (Figure 2).</w:t>
      </w:r>
    </w:p>
    <w:p w14:paraId="6973822E" w14:textId="15541A62" w:rsidR="00DC6B2B" w:rsidRDefault="00DC6B2B" w:rsidP="00AE48C1">
      <w:pPr>
        <w:pStyle w:val="Text"/>
      </w:pPr>
      <w:r>
        <w:t xml:space="preserve">We conducted additional subgroup and sensitivity analyses </w:t>
      </w:r>
      <w:r w:rsidR="004A6272">
        <w:t>within</w:t>
      </w:r>
      <w:r>
        <w:t xml:space="preserve"> the CVD cohort (Figure </w:t>
      </w:r>
      <w:r w:rsidR="00B70827">
        <w:t>3</w:t>
      </w:r>
      <w:r>
        <w:t xml:space="preserve">).  </w:t>
      </w:r>
      <w:r w:rsidR="004A6272">
        <w:t xml:space="preserve">The associated </w:t>
      </w:r>
      <w:r w:rsidR="00406BEB">
        <w:t>risk reduction</w:t>
      </w:r>
      <w:r w:rsidR="004A6272">
        <w:t xml:space="preserve"> for each 10% </w:t>
      </w:r>
      <w:r w:rsidR="00406BEB">
        <w:t>increase</w:t>
      </w:r>
      <w:r w:rsidR="004A6272">
        <w:t xml:space="preserve"> in the combined measure appeared more marked among high risk subgroups including those</w:t>
      </w:r>
      <w:r w:rsidR="00AE13ED">
        <w:t xml:space="preserve"> </w:t>
      </w:r>
      <w:r>
        <w:t xml:space="preserve">with diabetes </w:t>
      </w:r>
      <w:r w:rsidR="00B70827">
        <w:t>(</w:t>
      </w:r>
      <w:r w:rsidR="00781481">
        <w:t xml:space="preserve">HR 0.70, </w:t>
      </w:r>
      <w:r w:rsidRPr="000253C9">
        <w:t xml:space="preserve">95% CI </w:t>
      </w:r>
      <w:r w:rsidR="00781481">
        <w:t>0.60 to 0.82</w:t>
      </w:r>
      <w:r w:rsidRPr="000253C9">
        <w:t>)</w:t>
      </w:r>
      <w:r w:rsidRPr="000B2D21">
        <w:t xml:space="preserve"> </w:t>
      </w:r>
      <w:r w:rsidR="003A1259">
        <w:t>and</w:t>
      </w:r>
      <w:r w:rsidR="00B70827">
        <w:t xml:space="preserve"> </w:t>
      </w:r>
      <w:r w:rsidR="004A6272">
        <w:t>those</w:t>
      </w:r>
      <w:r w:rsidR="00AE13ED">
        <w:t xml:space="preserve"> </w:t>
      </w:r>
      <w:r>
        <w:t xml:space="preserve">with both LDL-C ≥ </w:t>
      </w:r>
      <w:r w:rsidR="00713716">
        <w:t>135 mg/</w:t>
      </w:r>
      <w:proofErr w:type="spellStart"/>
      <w:r w:rsidR="00713716">
        <w:t>dL</w:t>
      </w:r>
      <w:proofErr w:type="spellEnd"/>
      <w:r>
        <w:t xml:space="preserve"> and multiple </w:t>
      </w:r>
      <w:r w:rsidR="008E1AF3">
        <w:t>cardiovascular</w:t>
      </w:r>
      <w:r w:rsidR="004A6272">
        <w:t xml:space="preserve"> </w:t>
      </w:r>
      <w:r>
        <w:t xml:space="preserve">events in their history </w:t>
      </w:r>
      <w:r w:rsidR="00B70827">
        <w:t>(</w:t>
      </w:r>
      <w:r>
        <w:t>21%</w:t>
      </w:r>
      <w:r w:rsidR="00B70827">
        <w:t xml:space="preserve">, </w:t>
      </w:r>
      <w:r w:rsidR="00FE514B">
        <w:t xml:space="preserve">HR 0.79, </w:t>
      </w:r>
      <w:r>
        <w:t xml:space="preserve">95% CI </w:t>
      </w:r>
      <w:r w:rsidR="00FE514B">
        <w:t>0.68 to 0.92</w:t>
      </w:r>
      <w:r w:rsidRPr="000B2D21">
        <w:t>)</w:t>
      </w:r>
      <w:r>
        <w:t>.</w:t>
      </w:r>
      <w:r w:rsidR="00141646">
        <w:rPr>
          <w:rFonts w:cstheme="minorHAnsi"/>
          <w:color w:val="000000"/>
        </w:rPr>
        <w:t xml:space="preserve">  </w:t>
      </w:r>
      <w:r w:rsidR="00055F75">
        <w:t>We tested ezetimibe use as an independent predictor, but it was not associated with an additional reduction in risk</w:t>
      </w:r>
      <w:r w:rsidR="00720BA8">
        <w:t xml:space="preserve"> </w:t>
      </w:r>
      <w:r w:rsidR="00141646">
        <w:rPr>
          <w:rFonts w:cstheme="minorHAnsi"/>
          <w:color w:val="000000"/>
        </w:rPr>
        <w:t>(HR 1.0</w:t>
      </w:r>
      <w:r w:rsidR="002B669F">
        <w:rPr>
          <w:rFonts w:cstheme="minorHAnsi"/>
          <w:color w:val="000000"/>
        </w:rPr>
        <w:t>6, 95% CI 0.53 to 1.59</w:t>
      </w:r>
      <w:r w:rsidR="00141646">
        <w:rPr>
          <w:rFonts w:cstheme="minorHAnsi"/>
          <w:color w:val="000000"/>
        </w:rPr>
        <w:t>).</w:t>
      </w:r>
    </w:p>
    <w:p w14:paraId="60BE281A" w14:textId="099CD248" w:rsidR="002C5001" w:rsidRDefault="00931A39" w:rsidP="00AE48C1">
      <w:pPr>
        <w:pStyle w:val="Text"/>
      </w:pPr>
      <w:r>
        <w:t>We estimated there would have been 2069 events</w:t>
      </w:r>
      <w:r w:rsidR="000C6F6D">
        <w:t xml:space="preserve"> across all patients over the same period of follow up</w:t>
      </w:r>
      <w:r>
        <w:t xml:space="preserve"> if patients were treated </w:t>
      </w:r>
      <w:r w:rsidR="00545159">
        <w:t>optimally</w:t>
      </w:r>
      <w:r w:rsidR="0043387B">
        <w:t xml:space="preserve"> (50% combined measure)</w:t>
      </w:r>
      <w:r>
        <w:t xml:space="preserve">, compared to </w:t>
      </w:r>
      <w:r w:rsidR="00FA1994">
        <w:t xml:space="preserve">the 3086 actual observed events </w:t>
      </w:r>
      <w:r w:rsidR="004A1A8C">
        <w:t>(</w:t>
      </w:r>
      <w:r w:rsidR="0043387B">
        <w:t xml:space="preserve">21% combined measure; </w:t>
      </w:r>
      <w:proofErr w:type="spellStart"/>
      <w:r w:rsidR="002C6530">
        <w:t>eFigure</w:t>
      </w:r>
      <w:proofErr w:type="spellEnd"/>
      <w:r w:rsidR="002C6530">
        <w:t xml:space="preserve"> 2</w:t>
      </w:r>
      <w:r w:rsidR="004A1A8C">
        <w:t>)</w:t>
      </w:r>
      <w:r w:rsidR="00F7340D">
        <w:t>. This represents</w:t>
      </w:r>
      <w:r w:rsidR="004A1A8C">
        <w:t xml:space="preserve"> </w:t>
      </w:r>
      <w:r w:rsidR="00F7340D">
        <w:t xml:space="preserve">a </w:t>
      </w:r>
      <w:r w:rsidR="000C6F6D">
        <w:t>theoretical</w:t>
      </w:r>
      <w:r w:rsidR="00F7340D">
        <w:t xml:space="preserve"> decline from the observed </w:t>
      </w:r>
      <w:r w:rsidR="000C6F6D">
        <w:t xml:space="preserve">rate </w:t>
      </w:r>
      <w:r w:rsidR="00F7340D">
        <w:t xml:space="preserve">of </w:t>
      </w:r>
      <w:r w:rsidR="004E0BC4">
        <w:t>72 events per 1,000 person-years to 48.3</w:t>
      </w:r>
      <w:r w:rsidR="00F7340D">
        <w:t xml:space="preserve"> per 1,000 </w:t>
      </w:r>
      <w:r w:rsidR="000C6F6D">
        <w:t>person-</w:t>
      </w:r>
      <w:r w:rsidR="00F7340D">
        <w:t>years, reflecting an</w:t>
      </w:r>
      <w:r w:rsidR="00E34E6C">
        <w:t xml:space="preserve"> </w:t>
      </w:r>
      <w:r w:rsidR="00F7340D">
        <w:t>absolute difference</w:t>
      </w:r>
      <w:r w:rsidR="00654F77">
        <w:t xml:space="preserve"> </w:t>
      </w:r>
      <w:r w:rsidR="00E34E6C">
        <w:t xml:space="preserve">of </w:t>
      </w:r>
      <w:r w:rsidR="004E0BC4">
        <w:t xml:space="preserve">23.7 </w:t>
      </w:r>
      <w:r w:rsidR="00E34E6C">
        <w:t xml:space="preserve">(95% CI </w:t>
      </w:r>
      <w:r w:rsidR="004E0BC4">
        <w:t xml:space="preserve">15.7 </w:t>
      </w:r>
      <w:r w:rsidR="00E34E6C">
        <w:t xml:space="preserve">to </w:t>
      </w:r>
      <w:r w:rsidR="004E0BC4">
        <w:t>31.4</w:t>
      </w:r>
      <w:r w:rsidR="00E34E6C">
        <w:t>)</w:t>
      </w:r>
      <w:r w:rsidR="00F7340D">
        <w:t xml:space="preserve"> per 1,000 person</w:t>
      </w:r>
      <w:r w:rsidR="000C6F6D">
        <w:t>-</w:t>
      </w:r>
      <w:r w:rsidR="00F7340D">
        <w:t>years</w:t>
      </w:r>
      <w:r w:rsidR="00E34E6C">
        <w:t>.</w:t>
      </w:r>
      <w:r w:rsidR="003C64B7">
        <w:t xml:space="preserve">  </w:t>
      </w:r>
      <w:r w:rsidR="00813B04">
        <w:t xml:space="preserve">Results were similar for the diabetes and CKD cohorts. </w:t>
      </w:r>
    </w:p>
    <w:p w14:paraId="786C8B57" w14:textId="361AFB37" w:rsidR="00D23F7D" w:rsidRDefault="00654F77" w:rsidP="00AE48C1">
      <w:pPr>
        <w:pStyle w:val="Text"/>
      </w:pPr>
      <w:r>
        <w:t>S</w:t>
      </w:r>
      <w:r w:rsidR="00D23F7D">
        <w:t xml:space="preserve">ensitivity analyses excluding HF from the composite measure yielded very similar results </w:t>
      </w:r>
      <w:r w:rsidR="00C83178">
        <w:t>to the primary endpoint</w:t>
      </w:r>
      <w:r w:rsidR="00716CFB">
        <w:t xml:space="preserve"> </w:t>
      </w:r>
      <w:r w:rsidR="00D23F7D">
        <w:t>(</w:t>
      </w:r>
      <w:r w:rsidR="00D90AC9">
        <w:t>Table 2</w:t>
      </w:r>
      <w:r w:rsidR="00D23F7D">
        <w:t>).</w:t>
      </w:r>
    </w:p>
    <w:p w14:paraId="265E78D2" w14:textId="1189D959" w:rsidR="00EC1373" w:rsidRDefault="00716CFB" w:rsidP="00EC1373">
      <w:pPr>
        <w:pStyle w:val="Text"/>
      </w:pPr>
      <w:r>
        <w:t>In analyses of</w:t>
      </w:r>
      <w:r w:rsidR="00D90AC9">
        <w:t xml:space="preserve"> percent LDL-C change (</w:t>
      </w:r>
      <w:r w:rsidR="000C6F6D">
        <w:t>Figure 2</w:t>
      </w:r>
      <w:r>
        <w:t xml:space="preserve">) </w:t>
      </w:r>
      <w:r w:rsidR="00EC1373">
        <w:t xml:space="preserve">a 10% increase in the combined adherence and treatment intensity measure was associated with a </w:t>
      </w:r>
      <w:r w:rsidR="00EA5004">
        <w:t xml:space="preserve">mean </w:t>
      </w:r>
      <w:r w:rsidR="00EC1373">
        <w:t xml:space="preserve">9.1% (95% CI 8.8 to </w:t>
      </w:r>
      <w:r w:rsidR="00EC1373" w:rsidRPr="001D7592">
        <w:t xml:space="preserve">9.4) </w:t>
      </w:r>
      <w:r w:rsidR="00A337EB">
        <w:lastRenderedPageBreak/>
        <w:t>reduction</w:t>
      </w:r>
      <w:r w:rsidR="00EC1373" w:rsidRPr="001D7592">
        <w:t xml:space="preserve"> in </w:t>
      </w:r>
      <w:r w:rsidR="00EC1373">
        <w:t>LDL-C</w:t>
      </w:r>
      <w:r w:rsidR="00EA5004">
        <w:t xml:space="preserve"> </w:t>
      </w:r>
      <w:r w:rsidR="00A337EB">
        <w:t xml:space="preserve">in the CVD cohort, a </w:t>
      </w:r>
      <w:r w:rsidR="00EC1373">
        <w:t>10.3% (95% CI 10.0 to 10.5</w:t>
      </w:r>
      <w:r w:rsidR="00EC1373" w:rsidRPr="001D7592">
        <w:t>)</w:t>
      </w:r>
      <w:r w:rsidR="00EC1373">
        <w:t xml:space="preserve"> </w:t>
      </w:r>
      <w:r w:rsidR="00A337EB">
        <w:t>reduction</w:t>
      </w:r>
      <w:r w:rsidR="00EC1373">
        <w:t xml:space="preserve"> in </w:t>
      </w:r>
      <w:r w:rsidR="00A337EB">
        <w:t>the diabetes cohort</w:t>
      </w:r>
      <w:r w:rsidR="000C6F6D">
        <w:t>,</w:t>
      </w:r>
      <w:r w:rsidR="00A337EB">
        <w:t xml:space="preserve"> and a </w:t>
      </w:r>
      <w:r w:rsidR="00EC1373">
        <w:t xml:space="preserve">10.2% </w:t>
      </w:r>
      <w:r w:rsidR="00A337EB">
        <w:t xml:space="preserve">reduction </w:t>
      </w:r>
      <w:r w:rsidR="00EC1373">
        <w:t xml:space="preserve">(95% CI -8.7 to </w:t>
      </w:r>
      <w:r w:rsidR="00EC1373" w:rsidRPr="001D7592">
        <w:t>11.7)</w:t>
      </w:r>
      <w:r w:rsidR="00EC1373">
        <w:t xml:space="preserve"> </w:t>
      </w:r>
      <w:r w:rsidR="000C6F6D">
        <w:t>in the CKD cohort</w:t>
      </w:r>
      <w:r w:rsidR="00EC1373">
        <w:t xml:space="preserve">.  </w:t>
      </w:r>
    </w:p>
    <w:p w14:paraId="1521F541" w14:textId="52C86D4E" w:rsidR="00423117" w:rsidRPr="0004071B" w:rsidRDefault="006E6E4E" w:rsidP="00E4324D">
      <w:pPr>
        <w:pStyle w:val="Heading1"/>
      </w:pPr>
      <w:r w:rsidRPr="0004071B">
        <w:br w:type="page"/>
      </w:r>
      <w:r w:rsidR="000A47C1" w:rsidRPr="0004071B">
        <w:lastRenderedPageBreak/>
        <w:t>Discussion</w:t>
      </w:r>
    </w:p>
    <w:p w14:paraId="61495B72" w14:textId="603BB9C5" w:rsidR="006C5CEA" w:rsidRDefault="000A5F26" w:rsidP="00AA4F16">
      <w:pPr>
        <w:pStyle w:val="Text"/>
      </w:pPr>
      <w:r>
        <w:t xml:space="preserve">Our study assesses, </w:t>
      </w:r>
      <w:r w:rsidR="006C5CEA">
        <w:t xml:space="preserve">for the first time, the </w:t>
      </w:r>
      <w:r w:rsidR="00270ED0">
        <w:t xml:space="preserve">association of the </w:t>
      </w:r>
      <w:r w:rsidR="006C5CEA">
        <w:t>combined effect</w:t>
      </w:r>
      <w:r w:rsidR="00E728A5">
        <w:t>s</w:t>
      </w:r>
      <w:r w:rsidR="006C5CEA">
        <w:t xml:space="preserve"> of adherence and treatment intensity </w:t>
      </w:r>
      <w:r w:rsidR="00270ED0">
        <w:t xml:space="preserve">with </w:t>
      </w:r>
      <w:r w:rsidR="00E728A5">
        <w:t xml:space="preserve">LDL-C reduction and </w:t>
      </w:r>
      <w:r w:rsidR="00981996">
        <w:t xml:space="preserve">with </w:t>
      </w:r>
      <w:r w:rsidR="006C5CEA">
        <w:t>cardiovascular outcomes</w:t>
      </w:r>
      <w:r w:rsidR="00C068C3">
        <w:t xml:space="preserve"> in </w:t>
      </w:r>
      <w:r w:rsidR="00F041A3">
        <w:t xml:space="preserve">patients </w:t>
      </w:r>
      <w:r w:rsidR="00C068C3">
        <w:t xml:space="preserve">newly treated </w:t>
      </w:r>
      <w:r w:rsidR="00F041A3">
        <w:t xml:space="preserve">with lipid-lowering therapy who </w:t>
      </w:r>
      <w:r w:rsidR="00E728A5">
        <w:t xml:space="preserve">are at high risk of </w:t>
      </w:r>
      <w:r w:rsidR="00981996">
        <w:t>cardiovascular events</w:t>
      </w:r>
      <w:r w:rsidR="00E728A5">
        <w:t xml:space="preserve"> by virtue of </w:t>
      </w:r>
      <w:r w:rsidR="00F041A3">
        <w:t>hav</w:t>
      </w:r>
      <w:r w:rsidR="00E728A5">
        <w:t xml:space="preserve">ing </w:t>
      </w:r>
      <w:r w:rsidR="00F041A3">
        <w:t xml:space="preserve">documented CVD, diabetes </w:t>
      </w:r>
      <w:r w:rsidR="00E728A5">
        <w:t>or</w:t>
      </w:r>
      <w:r w:rsidR="00F041A3">
        <w:t xml:space="preserve"> CKD</w:t>
      </w:r>
      <w:r w:rsidR="00E728A5">
        <w:t>.</w:t>
      </w:r>
      <w:r w:rsidR="006C5CEA">
        <w:t xml:space="preserve">  </w:t>
      </w:r>
      <w:r>
        <w:t>Adherent patients receiving high intensity therapy had a 34% lower risk of a cardiovascular event</w:t>
      </w:r>
      <w:r w:rsidR="00242A6A">
        <w:t xml:space="preserve">, </w:t>
      </w:r>
      <w:r w:rsidR="00E728A5">
        <w:t>as compared with</w:t>
      </w:r>
      <w:r w:rsidR="00242A6A">
        <w:t xml:space="preserve"> 5% </w:t>
      </w:r>
      <w:r w:rsidR="00E728A5">
        <w:t>among</w:t>
      </w:r>
      <w:r w:rsidR="00242A6A">
        <w:t xml:space="preserve"> </w:t>
      </w:r>
      <w:r>
        <w:t>non-adherent patients receiving low intensity therapy.</w:t>
      </w:r>
      <w:r w:rsidR="006C5CEA">
        <w:t xml:space="preserve">  </w:t>
      </w:r>
      <w:r>
        <w:t xml:space="preserve">These findings were consistent across </w:t>
      </w:r>
      <w:r w:rsidR="002459E7">
        <w:t>the</w:t>
      </w:r>
      <w:r>
        <w:t xml:space="preserve"> three cohorts and </w:t>
      </w:r>
      <w:r w:rsidR="006C5CEA">
        <w:t xml:space="preserve">suggest that high intensity regimens are feasible and effective in routine clinical practice.  </w:t>
      </w:r>
      <w:r w:rsidR="00E728A5">
        <w:t>Optimal therapy, with</w:t>
      </w:r>
      <w:r w:rsidR="00634672">
        <w:t xml:space="preserve"> </w:t>
      </w:r>
      <w:r>
        <w:t>complete utilization</w:t>
      </w:r>
      <w:r w:rsidR="00634672">
        <w:t xml:space="preserve"> of, and adherence </w:t>
      </w:r>
      <w:r w:rsidR="00E728A5">
        <w:t>to</w:t>
      </w:r>
      <w:r w:rsidR="00634672">
        <w:t xml:space="preserve">, high intensity regimens could result in a one-third reduction in the number of </w:t>
      </w:r>
      <w:r w:rsidR="00572ABA">
        <w:t xml:space="preserve">cardiovascular </w:t>
      </w:r>
      <w:r w:rsidR="00634672">
        <w:t>events in patients with CVD</w:t>
      </w:r>
      <w:r w:rsidR="00E728A5">
        <w:t xml:space="preserve"> within </w:t>
      </w:r>
      <w:r w:rsidR="00981996">
        <w:t xml:space="preserve">approximately </w:t>
      </w:r>
      <w:r w:rsidR="00E728A5">
        <w:t>3 years</w:t>
      </w:r>
      <w:r w:rsidR="0017749C">
        <w:t>.  H</w:t>
      </w:r>
      <w:r w:rsidR="00F23070">
        <w:t xml:space="preserve">owever, it may </w:t>
      </w:r>
      <w:r w:rsidR="003255A4">
        <w:t>not be possible for</w:t>
      </w:r>
      <w:r w:rsidR="00F23070">
        <w:t xml:space="preserve"> non-adherent patients to receive the full benefits of therapy because adherence is a proxy for a wide array of patient-related factors.</w:t>
      </w:r>
      <w:r w:rsidR="00634672">
        <w:t xml:space="preserve">  </w:t>
      </w:r>
    </w:p>
    <w:p w14:paraId="035BCDC3" w14:textId="4473B8B9" w:rsidR="00663455" w:rsidRDefault="00A04F11" w:rsidP="00AA4F16">
      <w:pPr>
        <w:pStyle w:val="Text"/>
      </w:pPr>
      <w:r>
        <w:t xml:space="preserve">Reducing </w:t>
      </w:r>
      <w:r w:rsidR="00F041A3">
        <w:t xml:space="preserve">the likelihood of </w:t>
      </w:r>
      <w:r>
        <w:t xml:space="preserve">preventable </w:t>
      </w:r>
      <w:r w:rsidR="00F041A3">
        <w:t xml:space="preserve">cardiovascular </w:t>
      </w:r>
      <w:r>
        <w:t xml:space="preserve">events is the purpose of recent updates </w:t>
      </w:r>
      <w:r w:rsidR="00E728A5">
        <w:t>from</w:t>
      </w:r>
      <w:r>
        <w:t xml:space="preserve"> UK and European clinical guidelines for patients either </w:t>
      </w:r>
      <w:r w:rsidR="00663455">
        <w:t xml:space="preserve">with established CVD or </w:t>
      </w:r>
      <w:r w:rsidR="00F041A3">
        <w:t>those at high risk of developing cardiovascular disease</w:t>
      </w:r>
      <w:r w:rsidR="00663455">
        <w:t>.  The NICE guidelines recommend high intensity statin therapy with the goal of ensuring at least a 40% reduction in non-HDL cholesterol after 3 months.</w:t>
      </w:r>
      <w:r w:rsidR="00663455">
        <w:fldChar w:fldCharType="begin" w:fldLock="1"/>
      </w:r>
      <w:r w:rsidR="0075193E">
        <w:instrText>ADDIN CSL_CITATION {"citationItems":[{"id":"ITEM-1","itemData":{"PMID":"25340243","abstract":"This guideline covers:\\n * Adults at higher risk of heart disease, stroke or peripheral arterial disease (cardiovascular disease). Risk of cardiovascular disease increases with age, as well as in people who smoke or who have high blood pressure or high cholesterol. People with heart disease in the family or men with a South Asian (for example, Indian, Pakistani or Bangladeshi) background are also at higher risk.\\n * People who have already had a heart attack, stroke or 'mini-stroke' (transient ischaemic attack or TIA).\\n * People who have angina or some other forms of cardiovascular disease.","author":[{"dropping-particle":"","family":"NICE","given":"","non-dropping-particle":"","parse-names":false,"suffix":""}],"container-title":"National Institute for Health and Clinical Excellence","id":"ITEM-1","issue":"July","issued":{"date-parts":[["2014"]]},"page":"231-254","title":"Lipid modification: NICE guideline (CG181)","type":"article-journal","volume":"12"},"uris":["http://www.mendeley.com/documents/?uuid=f47ddff4-66e2-45b3-bf93-96c772ed59e4"]}],"mendeley":{"formattedCitation":"&lt;sup&gt;3&lt;/sup&gt;","plainTextFormattedCitation":"3","previouslyFormattedCitation":"&lt;sup&gt;3&lt;/sup&gt;"},"properties":{"noteIndex":0},"schema":"https://github.com/citation-style-language/schema/raw/master/csl-citation.json"}</w:instrText>
      </w:r>
      <w:r w:rsidR="00663455">
        <w:fldChar w:fldCharType="separate"/>
      </w:r>
      <w:r w:rsidR="002F4A9B" w:rsidRPr="002F4A9B">
        <w:rPr>
          <w:noProof/>
          <w:vertAlign w:val="superscript"/>
        </w:rPr>
        <w:t>3</w:t>
      </w:r>
      <w:r w:rsidR="00663455">
        <w:fldChar w:fldCharType="end"/>
      </w:r>
      <w:r w:rsidR="00663455">
        <w:t xml:space="preserve">  The ESC </w:t>
      </w:r>
      <w:r w:rsidR="00F041A3">
        <w:t xml:space="preserve">has recently recommended </w:t>
      </w:r>
      <w:r w:rsidR="00663455">
        <w:t xml:space="preserve">a reduction of 50% if the baseline LDL-C is between </w:t>
      </w:r>
      <w:r w:rsidR="00713716">
        <w:t>70</w:t>
      </w:r>
      <w:r w:rsidR="00663455">
        <w:t xml:space="preserve"> and </w:t>
      </w:r>
      <w:r w:rsidR="00713716">
        <w:t>135</w:t>
      </w:r>
      <w:r w:rsidR="00663455">
        <w:t xml:space="preserve"> </w:t>
      </w:r>
      <w:r w:rsidR="00713716">
        <w:t>mg/</w:t>
      </w:r>
      <w:proofErr w:type="spellStart"/>
      <w:r w:rsidR="00713716">
        <w:t>dL</w:t>
      </w:r>
      <w:proofErr w:type="spellEnd"/>
      <w:r w:rsidR="00F041A3">
        <w:t xml:space="preserve"> or a target of &lt; </w:t>
      </w:r>
      <w:r w:rsidR="00713716">
        <w:t>70 mg/</w:t>
      </w:r>
      <w:proofErr w:type="spellStart"/>
      <w:r w:rsidR="00713716">
        <w:t>dL</w:t>
      </w:r>
      <w:proofErr w:type="spellEnd"/>
      <w:r w:rsidR="00F041A3">
        <w:t xml:space="preserve"> if the LDL-C is higher than </w:t>
      </w:r>
      <w:r w:rsidR="00713716">
        <w:t>135 mg/</w:t>
      </w:r>
      <w:proofErr w:type="spellStart"/>
      <w:r w:rsidR="00713716">
        <w:t>dL</w:t>
      </w:r>
      <w:proofErr w:type="spellEnd"/>
      <w:r w:rsidR="00F041A3">
        <w:t xml:space="preserve"> in an attempt to ensure that physicians maximize the absolute LDL-C reduction</w:t>
      </w:r>
      <w:r w:rsidR="00B567B8">
        <w:t>.</w:t>
      </w:r>
      <w:r w:rsidR="00B567B8">
        <w:fldChar w:fldCharType="begin" w:fldLock="1"/>
      </w:r>
      <w:r w:rsidR="0075193E">
        <w:instrText>ADDIN CSL_CITATION {"citationItems":[{"id":"ITEM-1","itemData":{"DOI":"10.1093/eurheartj/ehw106","ISBN":"0195-668X 1522-9645","ISSN":"15229645","PMID":"17726041","author":[{"dropping-particle":"","family":"Piepoli","given":"Massimo F.","non-dropping-particle":"","parse-names":false,"suffix":""},{"dropping-particle":"","family":"Hoes","given":"Arno W.","non-dropping-particle":"","parse-names":false,"suffix":""},{"dropping-particle":"","family":"Agewall","given":"Stefan","non-dropping-particle":"","parse-names":false,"suffix":""},{"dropping-particle":"","family":"Albus","given":"Christian","non-dropping-particle":"","parse-names":false,"suffix":""},{"dropping-particle":"","family":"Brotons","given":"Carlos","non-dropping-particle":"","parse-names":false,"suffix":""},{"dropping-particle":"","family":"Catapano","given":"Alberico L.","non-dropping-particle":"","parse-names":false,"suffix":""},{"dropping-particle":"","family":"Cooney","given":"Marie-Therese Therese","non-dropping-particle":"","parse-names":false,"suffix":""},{"dropping-particle":"","family":"Corr??","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Richard","non-dropping-particle":"","parse-names":false,"suffix":""},{"dropping-particle":"","family":"L??chen","given":"Maja Lisa","non-dropping-particle":"","parse-names":false,"suffix":""},{"dropping-particle":"","family":"L??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dropping-particle":"","family":"Binno","given":"Simone","non-dropping-particle":"","parse-names":false,"suffix":""},{"dropping-particle":"","family":"Backer","given":"Guy","non-dropping-particle":"De","parse-names":false,"suffix":""},{"dropping-particle":"","family":"Roffi","given":"Marco","non-dropping-particle":"","parse-names":false,"suffix":""},{"dropping-particle":"","family":"Aboyans","given":"Victor","non-dropping-particle":"","parse-names":false,"suffix":""},{"dropping-particle":"","family":"Bachl","given":"Norbert","non-dropping-particle":"","parse-names":false,"suffix":""},{"dropping-particle":"","family":"Carerj","given":"Scipione","non-dropping-particle":"","parse-names":false,"suffix":""},{"dropping-particle":"","family":"Cho","given":"Leslie","non-dropping-particle":"","parse-names":false,"suffix":""},{"dropping-particle":"","family":"Cox","given":"John","non-dropping-particle":"","parse-names":false,"suffix":""},{"dropping-particle":"","family":"Sutter","given":"Johan","non-dropping-particle":"De","parse-names":false,"suffix":""},{"dropping-particle":"","family":"Egidi","given":"G??nther","non-dropping-particle":"","parse-names":false,"suffix":""},{"dropping-particle":"","family":"Fisher","given":"Miles","non-dropping-particle":"","parse-names":false,"suffix":""},{"dropping-particle":"","family":"Fitzsimons","given":"Donna","non-dropping-particle":"","parse-names":false,"suffix":""},{"dropping-particle":"","family":"Franco","given":"Oscar H.","non-dropping-particle":"","parse-names":false,"suffix":""},{"dropping-particle":"","family":"Guenoun","given":"Maxime","non-dropping-particle":"","parse-names":false,"suffix":""},{"dropping-particle":"","family":"Jennings","given":"Catriona","non-dropping-particle":"","parse-names":false,"suffix":""},{"dropping-particle":"","family":"Jug","given":"Borut","non-dropping-particle":"","parse-names":false,"suffix":""},{"dropping-particle":"","family":"Kirchhof","given":"Paulus","non-dropping-particle":"","parse-names":false,"suffix":""},{"dropping-particle":"","family":"Kotseva","given":"Kornelia","non-dropping-particle":"","parse-names":false,"suffix":""},{"dropping-particle":"","family":"Lip","given":"Gregory Y H","non-dropping-particle":"","parse-names":false,"suffix":""},{"dropping-particle":"","family":"Mach","given":"Francois Fran??ois","non-dropping-particle":"","parse-names":false,"suffix":""},{"dropping-particle":"","family":"Mancia","given":"Giuseppe","non-dropping-particle":"","parse-names":false,"suffix":""},{"dropping-particle":"","family":"Bermudo","given":"Franz Martin","non-dropping-particle":"","parse-names":false,"suffix":""},{"dropping-particle":"","family":"Mezzani","given":"Alessandro","non-dropping-particle":"","parse-names":false,"suffix":""},{"dropping-particle":"","family":"Niessner","given":"Alexander","non-dropping-particle":"","parse-names":false,"suffix":""},{"dropping-particle":"","family":"Ponikowski","given":"Piotr","non-dropping-particle":"","parse-names":false,"suffix":""},{"dropping-particle":"","family":"Rauch","given":"Bernhard","non-dropping-particle":"","parse-names":false,"suffix":""},{"dropping-particle":"","family":"Stauder","given":"Adrienne","non-dropping-particle":"","parse-names":false,"suffix":""},{"dropping-particle":"","family":"Turc","given":"Guillaume","non-dropping-particle":"","parse-names":false,"suffix":""},{"dropping-particle":"","family":"Wiklund","given":"Olov","non-dropping-particle":"","parse-names":false,"suffix":""},{"dropping-particle":"","family":"Windecker","given":"Stephan","non-dropping-particle":"","parse-names":false,"suffix":""},{"dropping-particle":"","family":"Zamorano","given":"Jose Luis","non-dropping-particle":"","parse-names":false,"suffix":""},{"dropping-particle":"","family":"Achenbach","given":"Stephan","non-dropping-particle":"","parse-names":false,"suffix":""},{"dropping-particle":"","family":"Badimon","given":"Lina","non-dropping-particle":"","parse-names":false,"suffix":""},{"dropping-particle":"","family":"Baron-Esquivias","given":"Gonzalo","non-dropping-particle":"","parse-names":false,"suffix":""},{"dropping-particle":"","family":"Baumgartner","given":"Helmut","non-dropping-particle":"","parse-names":false,"suffix":""},{"dropping-particle":"","family":"Bax","given":"Jeroen J.","non-dropping-particle":"","parse-names":false,"suffix":""},{"dropping-particle":"","family":"Dean","given":"Veronica","non-dropping-particle":"","parse-names":false,"suffix":""},{"dropping-particle":"","family":"Erol","given":"Etin","non-dropping-particle":"","parse-names":false,"suffix":""},{"dropping-particle":"","family":"Gaemperli","given":"Oliver","non-dropping-particle":"","parse-names":false,"suffix":""},{"dropping-particle":"","family":"Kolh","given":"Philippe","non-dropping-particle":"","parse-names":false,"suffix":""},{"dropping-particle":"","family":"Lancellotti","given":"Patrizio","non-dropping-particle":"","parse-names":false,"suffix":""},{"dropping-particle":"","family":"Nihoyannopoulos","given":"Petros","non-dropping-particle":"","parse-names":false,"suffix":""},{"dropping-particle":"","family":"Torbicki","given":"Adam","non-dropping-particle":"","parse-names":false,"suffix":""},{"dropping-particle":"","family":"Carneiro","given":"Ant??nio Vaz Antonio Vaz","non-dropping-particle":"","parse-names":false,"suffix":""},{"dropping-particle":"","family":"Metzler","given":"Bernhard","non-dropping-particle":"","parse-names":false,"suffix":""},{"dropping-particle":"","family":"Najafov","given":"Ruslan","non-dropping-particle":"","parse-names":false,"suffix":""},{"dropping-particle":"","family":"Stelmashok","given":"Valeriy","non-dropping-particle":"","parse-names":false,"suffix":""},{"dropping-particle":"","family":"Maeyer","given":"Catherine","non-dropping-particle":"De","parse-names":false,"suffix":""},{"dropping-particle":"","family":"Dili??","given":"Mirza","non-dropping-particle":"","parse-names":false,"suffix":""},{"dropping-particle":"","family":"Gruev","given":"Ivan","non-dropping-particle":"","parse-names":false,"suffix":""},{"dropping-particle":"","family":"Mili??i??","given":"Davor","non-dropping-particle":"","parse-names":false,"suffix":""},{"dropping-particle":"","family":"Vaverkova","given":"Helena","non-dropping-particle":"","parse-names":false,"suffix":""},{"dropping-particle":"","family":"Gustafsson","given":"Ida","non-dropping-particle":"","parse-names":false,"suffix":""},{"dropping-particle":"","family":"Attia","given":"Ihab","non-dropping-particle":"","parse-names":false,"suffix":""},{"dropping-particle":"","family":"Duishvili","given":"Davit","non-dropping-particle":"","parse-names":false,"suffix":""},{"dropping-particle":"","family":"Ferri??res","given":"Jean","non-dropping-particle":"","parse-names":false,"suffix":""},{"dropping-particle":"","family":"Kostova","given":"Nela","non-dropping-particle":"","parse-names":false,"suffix":""},{"dropping-particle":"","family":"Klimiashvili","given":"Zurab","non-dropping-particle":"","parse-names":false,"suffix":""},{"dropping-particle":"","family":"Hambrecht","given":"Rainer","non-dropping-particle":"","parse-names":false,"suffix":""},{"dropping-particle":"","family":"Tsioufis","given":"Konstantinos","non-dropping-particle":"","parse-names":false,"suffix":""},{"dropping-particle":"","family":"Szabados","given":"Eszter","non-dropping-particle":"","parse-names":false,"suffix":""},{"dropping-particle":"","family":"Andersen","given":"Karl","non-dropping-particle":"","parse-names":false,"suffix":""},{"dropping-particle":"","family":"Vaughan","given":"Carl","non-dropping-particle":"","parse-names":false,"suffix":""},{"dropping-particle":"","family":"Zafrir","given":"Barak","non-dropping-particle":"","parse-names":false,"suffix":""},{"dropping-particle":"","family":"Novo","given":"Salvatore","non-dropping-particle":"","parse-names":false,"suffix":""},{"dropping-particle":"","family":"Davletov","given":"Kairat","non-dropping-particle":"","parse-names":false,"suffix":""},{"dropping-particle":"","family":"Jashari","given":"Fisnik","non-dropping-particle":"","parse-names":false,"suffix":""},{"dropping-particle":"","family":"Kerimkulova","given":"Alina","non-dropping-particle":"","parse-names":false,"suffix":""},{"dropping-particle":"","family":"Mintale","given":"Iveta","non-dropping-particle":"","parse-names":false,"suffix":""},{"dropping-particle":"","family":"Saade","given":"Georges","non-dropping-particle":"","parse-names":false,"suffix":""},{"dropping-particle":"","family":"Petrulioniene","given":"Zaneta","non-dropping-particle":"","parse-names":false,"suffix":""},{"dropping-particle":"","family":"Delagardelle","given":"Charles","non-dropping-particle":"","parse-names":false,"suffix":""},{"dropping-particle":"","family":"Magri","given":"Caroline J.","non-dropping-particle":"","parse-names":false,"suffix":""},{"dropping-particle":"","family":"Rudi","given":"Victor","non-dropping-particle":"","parse-names":false,"suffix":""},{"dropping-particle":"","family":"Oukerraj","given":"Latifa","non-dropping-particle":"","parse-names":false,"suffix":""},{"dropping-particle":"","family":"????lkesen","given":"B. Ersen","non-dropping-particle":"","parse-names":false,"suffix":""},{"dropping-particle":"","family":"Schirmer","given":"Henrik","non-dropping-particle":"","parse-names":false,"suffix":""},{"dropping-particle":"","family":"Reis","given":"Roberto Palma","non-dropping-particle":"Dos","parse-names":false,"suffix":""},{"dropping-particle":"","family":"Gherasim","given":"Daniel","non-dropping-particle":"","parse-names":false,"suffix":""},{"dropping-particle":"","family":"Nedogoda","given":"Sergey","non-dropping-particle":"","parse-names":false,"suffix":""},{"dropping-particle":"","family":"Zavatta","given":"Marco","non-dropping-particle":"","parse-names":false,"suffix":""},{"dropping-particle":"","family":"Giga","given":"Vojislav","non-dropping-particle":"","parse-names":false,"suffix":""},{"dropping-particle":"","family":"Filipova","given":"Slavomira","non-dropping-particle":"","parse-names":false,"suffix":""},{"dropping-particle":"","family":"Padial","given":"Luis Rodr??guez","non-dropping-particle":"","parse-names":false,"suffix":""},{"dropping-particle":"","family":"Kiessling","given":"Anna","non-dropping-particle":"","parse-names":false,"suffix":""},{"dropping-particle":"","family":"Mahdhaoui","given":"Abdallah","non-dropping-particle":"","parse-names":false,"suffix":""},{"dropping-particle":"","family":"Ural","given":"Dilek","non-dropping-particle":"","parse-names":false,"suffix":""},{"dropping-particle":"","family":"Nesukay","given":"Elena","non-dropping-particle":"","parse-names":false,"suffix":""},{"dropping-particle":"","family":"Gale","given":"Chris","non-dropping-particle":"","parse-names":false,"suffix":""},{"dropping-particle":"","family":"Bar??n-Esquivias","given":"Gonzalo","non-dropping-particle":"","parse-names":false,"suffix":""},{"dropping-particle":"","family":"Baumgartner","given":"Helmut","non-dropping-particle":"","parse-names":false,"suffix":""},{"dropping-particle":"","family":"Bax","given":"Jeroen J.","non-dropping-particle":"","parse-names":false,"suffix":""},{"dropping-particle":"","family":"Dean","given":"Veronica","non-dropping-particle":"","parse-names":false,"suffix":""},{"dropping-particle":"","family":"Erol","given":"??etin","non-dropping-particle":"","parse-names":false,"suffix":""},{"dropping-particle":"","family":"Gaemperli","given":"Oliver","non-dropping-particle":"","parse-names":false,"suffix":""},{"dropping-particle":"","family":"Kolh","given":"Philippe","non-dropping-particle":"","parse-names":false,"suffix":""},{"dropping-particle":"","family":"Lancellotti","given":"Patrizio","non-dropping-particle":"","parse-names":false,"suffix":""},{"dropping-particle":"","family":"Nihoyannopoulos","given":"Petros","non-dropping-particle":"","parse-names":false,"suffix":""},{"dropping-particle":"","family":"Torbicki","given":"Adam","non-dropping-particle":"","parse-names":false,"suffix":""},{"dropping-particle":"","family":"Carneiro","given":"Ant??nio Vaz Antonio Vaz","non-dropping-particle":"","parse-names":false,"suffix":""},{"dropping-particle":"","family":"Metzler","given":"Bernhard","non-dropping-particle":"","parse-names":false,"suffix":""},{"dropping-particle":"","family":"Najafov","given":"Ruslan","non-dropping-particle":"","parse-names":false,"suffix":""},{"dropping-particle":"","family":"Stelmashok","given":"Valeriy","non-dropping-particle":"","parse-names":false,"suffix":""},{"dropping-particle":"","family":"Maeyer","given":"Catherine","non-dropping-particle":"De","parse-names":false,"suffix":""},{"dropping-particle":"","family":"Dili??","given":"Mirza","non-dropping-particle":"","parse-names":false,"suffix":""},{"dropping-particle":"","family":"Gruev","given":"Ivan","non-dropping-particle":"","parse-names":false,"suffix":""},{"dropping-particle":"","family":"Mili??i??","given":"Davor","non-dropping-particle":"","parse-names":false,"suffix":""},{"dropping-particle":"","family":"Vaverkova","given":"Helena","non-dropping-particle":"","parse-names":false,"suffix":""},{"dropping-particle":"","family":"Gustafsson","given":"Ida","non-dropping-particle":"","parse-names":false,"suffix":""},{"dropping-particle":"","family":"Attia","given":"Ihab","non-dropping-particle":"","parse-names":false,"suffix":""},{"dropping-particle":"","family":"Duishvili","given":"Davit","non-dropping-particle":"","parse-names":false,"suffix":""},{"dropping-particle":"","family":"Ferri??res","given":"Jean","non-dropping-particle":"","parse-names":false,"suffix":""},{"dropping-particle":"","family":"Kostova","given":"Nela","non-dropping-particle":"","parse-names":false,"suffix":""},{"dropping-particle":"","family":"Klimiashvili","given":"Zurab","non-dropping-particle":"","parse-names":false,"suffix":""},{"dropping-particle":"","family":"Hambrecht","given":"Rainer","non-dropping-particle":"","parse-names":false,"suffix":""},{"dropping-particle":"","family":"Tsioufis","given":"Konstantinos","non-dropping-particle":"","parse-names":false,"suffix":""},{"dropping-particle":"","family":"Szabados","given":"Eszter","non-dropping-particle":"","parse-names":false,"suffix":""},{"dropping-particle":"","family":"Andersen","given":"Karl","non-dropping-particle":"","parse-names":false,"suffix":""},{"dropping-particle":"","family":"Vaughan","given":"Carl","non-dropping-particle":"","parse-names":false,"suffix":""},{"dropping-particle":"","family":"Zafrir","given":"Barak","non-dropping-particle":"","parse-names":false,"suffix":""},{"dropping-particle":"","family":"Novo","given":"Salvatore","non-dropping-particle":"","parse-names":false,"suffix":""},{"dropping-particle":"","family":"Davletov","given":"Kairat","non-dropping-particle":"","parse-names":false,"suffix":""},{"dropping-particle":"","family":"Jashari","given":"Fisnik","non-dropping-particle":"","parse-names":false,"suffix":""},{"dropping-particle":"","family":"Kerimkulova","given":"Alina","non-dropping-particle":"","parse-names":false,"suffix":""},{"dropping-particle":"","family":"Mintale","given":"Iveta","non-dropping-particle":"","parse-names":false,"suffix":""},{"dropping-particle":"","family":"Saade","given":"Georges","non-dropping-particle":"","parse-names":false,"suffix":""},{"dropping-particle":"","family":"Petrulioniene","given":"Zaneta","non-dropping-particle":"","parse-names":false,"suffix":""},{"dropping-particle":"","family":"Delagardelle","given":"Charles","non-dropping-particle":"","parse-names":false,"suffix":""},{"dropping-particle":"","family":"Magri","given":"Caroline J.","non-dropping-particle":"","parse-names":false,"suffix":""},{"dropping-particle":"","family":"Rudi","given":"Victor","non-dropping-particle":"","parse-names":false,"suffix":""},{"dropping-particle":"","family":"Oukerraj","given":"Latifa","non-dropping-particle":"","parse-names":false,"suffix":""},{"dropping-particle":"","family":"????lkesen","given":"B. Ersen","non-dropping-particle":"","parse-names":false,"suffix":""},{"dropping-particle":"","family":"Schirmer","given":"Henrik","non-dropping-particle":"","parse-names":false,"suffix":""},{"dropping-particle":"","family":"Reis","given":"Roberto Palma","non-dropping-particle":"Dos","parse-names":false,"suffix":""},{"dropping-particle":"","family":"Gherasim","given":"Daniel","non-dropping-particle":"","parse-names":false,"suffix":""},{"dropping-particle":"","family":"Nedogoda","given":"Sergey","non-dropping-particle":"","parse-names":false,"suffix":""},{"dropping-particle":"","family":"Zavatta","given":"Marco","non-dropping-particle":"","parse-names":false,"suffix":""},{"dropping-particle":"","family":"Giga","given":"Vojislav","non-dropping-particle":"","parse-names":false,"suffix":""},{"dropping-particle":"","family":"Filipova","given":"Slavomira","non-dropping-particle":"","parse-names":false,"suffix":""},{"dropping-particle":"","family":"Padial","given":"Luis Rodr??guez","non-dropping-particle":"","parse-names":false,"suffix":""},{"dropping-particle":"","family":"Kiessling","given":"Anna","non-dropping-particle":"","parse-names":false,"suffix":""},{"dropping-particle":"","family":"Mahdhaoui","given":"Abdallah","non-dropping-particle":"","parse-names":false,"suffix":""},{"dropping-particle":"","family":"Ural","given":"Dilek","non-dropping-particle":"","parse-names":false,"suffix":""},{"dropping-particle":"","family":"Nesukay","given":"Elena","non-dropping-particle":"","parse-names":false,"suffix":""},{"dropping-particle":"","family":"Gale","given":"Chris","non-dropping-particle":"","parse-names":false,"suffix":""},{"dropping-particle":"","family":"Corrà","given":"Ugo","non-dropping-particle":"","parse-names":false,"suffix":""},{"dropping-particle":"","family":"Cosyns","given":"Bernard","non-dropping-particle":"","parse-names":false,"suffix":""},{"dropping-particle":"","family":"Deaton","given":"Christi","non-dropping-particle":"","parse-names":false,"suffix":""},{"dropping-particle":"","family":"Graham","given":"Ian","non-dropping-particle":"","parse-names":false,"suffix":""},{"dropping-particle":"","family":"Hall","given":"Michael Stephen","non-dropping-particle":"","parse-names":false,"suffix":""},{"dropping-particle":"","family":"Hobbs","given":"F. D. Richard","non-dropping-particle":"","parse-names":false,"suffix":""},{"dropping-particle":"","family":"Løchen","given":"Maja-Lisa","non-dropping-particle":"","parse-names":false,"suffix":""},{"dropping-particle":"","family":"Löllgen","given":"Herbert","non-dropping-particle":"","parse-names":false,"suffix":""},{"dropping-particle":"","family":"Marques-Vidal","given":"Pedro","non-dropping-particle":"","parse-names":false,"suffix":""},{"dropping-particle":"","family":"Perk","given":"Joep","non-dropping-particle":"","parse-names":false,"suffix":""},{"dropping-particle":"","family":"Prescott","given":"Eva","non-dropping-particle":"","parse-names":false,"suffix":""},{"dropping-particle":"","family":"Redon","given":"Josep","non-dropping-particle":"","parse-names":false,"suffix":""},{"dropping-particle":"","family":"Richter","given":"Dimitrios J.","non-dropping-particle":"","parse-names":false,"suffix":""},{"dropping-particle":"","family":"Sattar","given":"Naveed","non-dropping-particle":"","parse-names":false,"suffix":""},{"dropping-particle":"","family":"Smulders","given":"Yvo","non-dropping-particle":"","parse-names":false,"suffix":""},{"dropping-particle":"","family":"Tiberi","given":"Monica","non-dropping-particle":"","parse-names":false,"suffix":""},{"dropping-particle":"","family":"Worp","given":"H. Bart","non-dropping-particle":"van der","parse-names":false,"suffix":""},{"dropping-particle":"","family":"Dis","given":"Ineke","non-dropping-particle":"Van","parse-names":false,"suffix":""},{"dropping-particle":"","family":"Verschuren","given":"W. M. Monique","non-dropping-particle":"","parse-names":false,"suffix":""}],"container-title":"European Heart Journal","id":"ITEM-1","issue":"29","issued":{"date-parts":[["2016","5","23"]]},"page":"2315-2381","title":"2016 European Guidelines on cardiovascular disease prevention in clinical practice","type":"article-journal","volume":"37"},"uris":["http://www.mendeley.com/documents/?uuid=aab7a7c9-95cb-4252-8d32-974f5a2136b9"]}],"mendeley":{"formattedCitation":"&lt;sup&gt;4&lt;/sup&gt;","plainTextFormattedCitation":"4","previouslyFormattedCitation":"&lt;sup&gt;4&lt;/sup&gt;"},"properties":{"noteIndex":0},"schema":"https://github.com/citation-style-language/schema/raw/master/csl-citation.json"}</w:instrText>
      </w:r>
      <w:r w:rsidR="00B567B8">
        <w:fldChar w:fldCharType="separate"/>
      </w:r>
      <w:r w:rsidR="00B567B8" w:rsidRPr="002F4A9B">
        <w:rPr>
          <w:noProof/>
          <w:vertAlign w:val="superscript"/>
        </w:rPr>
        <w:t>4</w:t>
      </w:r>
      <w:r w:rsidR="00B567B8">
        <w:fldChar w:fldCharType="end"/>
      </w:r>
      <w:r w:rsidR="00B567B8">
        <w:t xml:space="preserve">  This is</w:t>
      </w:r>
      <w:r w:rsidR="00F041A3">
        <w:t xml:space="preserve"> based in part on the observations from the Cholesterol Treatment Trialists </w:t>
      </w:r>
      <w:r w:rsidR="00B567B8">
        <w:t xml:space="preserve">(CTT) </w:t>
      </w:r>
      <w:r w:rsidR="00F041A3">
        <w:t xml:space="preserve">meta-analysis </w:t>
      </w:r>
      <w:r w:rsidR="00B567B8">
        <w:t>showing that the absolute LDL-C reduction is proportional to the benefit in risk reduction</w:t>
      </w:r>
      <w:r w:rsidR="00663455">
        <w:t>.</w:t>
      </w:r>
      <w:r w:rsidR="00B719E5">
        <w:fldChar w:fldCharType="begin" w:fldLock="1"/>
      </w:r>
      <w:r w:rsidR="0075193E">
        <w:instrText>ADDIN CSL_CITATION {"citationItems":[{"id":"ITEM-1","itemData":{"DOI":"10.1016/S0140-6736(10)61350-5","ISBN":"1474-547X (Electronic)\\r0140-6736 (Linking)","ISSN":"01406736","PMID":"21067804","abstract":"Lowering of LDL cholesterol with standard statin regimens reduces the risk of occlusive vascular events in a wide range of individuals. We aimed to assess the safety and efficacy of more intensive lowering of LDL cholesterol with statin therapy. We undertook meta-analyses of individual participant data from randomised trials involving at least 1000 participants and at least 2 years' treatment duration of more versus less intensive statin regimens (five trials; 39 612 individuals; median follow-up 5·1 years) and of statin versus control (21 trials; 129 526 individuals; median follow-up 4·8 years). For each type of trial, we calculated not only the average risk reduction, but also the average risk reduction per 1·0 mmol/L LDL cholesterol reduction at 1 year after randomisation. In the trials of more versus less intensive statin therapy, the weighted mean further reduction in LDL cholesterol at 1 year was 0·51 mmol/L. Compared with less intensive regimens, more intensive regimens produced a highly significant 15 (95 CI 11-18; p&lt;0·0001) further reduction in major vascular events, consisting of separately significant reductions in coronary death or non-fatal myocardial infarction of 13 (95 CI 7-19; p&lt;0·0001), in coronary revascularisation of 19 (95 CI 15-24; p&lt;0·0001), and in ischaemic stroke of 16 (95 CI 5-26; p=0·005). Per 1·0 mmol/L reduction in LDL cholesterol, these further reductions in risk were similar to the proportional reductions in the trials of statin versus control. When both types of trial were combined, similar proportional reductions in major vascular events per 1·0 mmol/L LDL cholesterol reduction were found in all types of patient studied (rate ratio [RR] 0·78, 95 CI 0·76-0·80; p&lt;0·0001), including those with LDL cholesterol lower than 2 mmol/L on the less intensive or control regimen. Across all 26 trials, all-cause mortality was reduced by 10 per 1·0 mmol/L LDL reduction (RR 0·90, 95 CI 0·87-0·93; p&lt;0·0001), largely reflecting significant reductions in deaths due to coronary heart disease (RR 0·80, 99 CI 0·74-0·87; p&lt;0·0001) and other cardiac causes (RR 0·89, 99 CI 0·81-0·98; p=0·002), with no significant effect on deaths due to stroke (RR 0·96, 95 CI 0·84-1·09; p=0·5) or other vascular causes (RR 0·98, 99 CI 0·81-1·18; p=0·8). No significant effects were observed on deaths due to cancer or other non-vascular causes (RR 0·97, 95 CI 0·92-1·03; p=0·3) or on cancer incidence (RR 1·00, 95 CI 0·96- 1·04; p=0·9), even at low LDL cholesterol co…","author":[{"dropping-particle":"","family":"Treatment","given":"Cholesterol","non-dropping-particle":"","parse-names":false,"suffix":""},{"dropping-particle":"","family":"Ctt","given":"Trialists","non-dropping-particle":"","parse-names":false,"suffix":""}],"container-title":"The Lancet","id":"ITEM-1","issue":"9753","issued":{"date-parts":[["2010"]]},"page":"1670-1681","publisher":"Elsevier Ltd","title":"Efficacy and safety of more intensive lowering of LDL cholesterol: A meta-analysis of data from 170 000 participants in 26 randomised trials","type":"article-journal","volume":"376"},"uris":["http://www.mendeley.com/documents/?uuid=530ef62f-ee87-4453-bd50-1e260ac80529"]}],"mendeley":{"formattedCitation":"&lt;sup&gt;17&lt;/sup&gt;","plainTextFormattedCitation":"17","previouslyFormattedCitation":"&lt;sup&gt;17&lt;/sup&gt;"},"properties":{"noteIndex":0},"schema":"https://github.com/citation-style-language/schema/raw/master/csl-citation.json"}</w:instrText>
      </w:r>
      <w:r w:rsidR="00B719E5">
        <w:fldChar w:fldCharType="separate"/>
      </w:r>
      <w:r w:rsidR="00B719E5" w:rsidRPr="00B719E5">
        <w:rPr>
          <w:noProof/>
          <w:vertAlign w:val="superscript"/>
        </w:rPr>
        <w:t>17</w:t>
      </w:r>
      <w:r w:rsidR="00B719E5">
        <w:fldChar w:fldCharType="end"/>
      </w:r>
      <w:r w:rsidR="00663455">
        <w:t xml:space="preserve">  </w:t>
      </w:r>
    </w:p>
    <w:p w14:paraId="02271D64" w14:textId="2A495D41" w:rsidR="00AA4F16" w:rsidRDefault="00A04F11" w:rsidP="00AA4F16">
      <w:pPr>
        <w:pStyle w:val="Text"/>
      </w:pPr>
      <w:r>
        <w:t>In contrast to the guidelines, p</w:t>
      </w:r>
      <w:r w:rsidR="006C5CEA">
        <w:t xml:space="preserve">atients in the three cohorts </w:t>
      </w:r>
      <w:r w:rsidR="00015E3D">
        <w:t xml:space="preserve">were primarily treated with moderate intensity regimens, </w:t>
      </w:r>
      <w:r w:rsidR="002459E7">
        <w:t>a finding consistent with</w:t>
      </w:r>
      <w:r w:rsidR="00015E3D">
        <w:t xml:space="preserve"> other </w:t>
      </w:r>
      <w:r w:rsidR="00FA7797">
        <w:t>research</w:t>
      </w:r>
      <w:r w:rsidR="00015E3D">
        <w:t>.</w:t>
      </w:r>
      <w:r w:rsidR="00FA7797">
        <w:fldChar w:fldCharType="begin" w:fldLock="1"/>
      </w:r>
      <w:r w:rsidR="004301EE">
        <w:instrText>ADDIN CSL_CITATION {"citationItems":[{"id":"ITEM-1","itemData":{"DOI":"10.18553/jmcp.2016.22.6.685","ISBN":"2376-1032 (Electronic)","ISSN":"2376-0540","PMID":"27231796","abstract":"BACKGROUND: Widespread use of statins has improved hypercholesterolemia management, yet a significant proportion of patients remain at risk for cardiovascular (CV) events. Analyses of treatment patterns reveal inadequate intensity and duration of statin therapy among patients with hypercholesterolemia, and little is known about real-world statin use, specifically in subgroups of patients at high risk for CV events. OBJECTIVE: To examine patterns of statin use and outcomes among patients with high-risk features who newly initiated statin monotherapy. METHODS: Adult patients (aged &gt; 18 years) at high CV risk who received &gt; 1 prescription for statin monotherapy and who had not received lipid-modifying therapy during the previous 12 months were identified from the Truven MarketScan Commercial and Medicare Supplemental databases (from January 2007 to June 2013). Patients with atherosclerotic cardiovascular disease (ASCVD) or diabetes were hierarchically classified into 5 mutually exclusive CV risk categories (listed here in order from highest to lowest risk): (1) recent CV event (subcategorized by hospitalization for acute coronary syndrome [ACS] or other non-ACS CV event within 90 days of index); (2) coronary heart disease (CHD); (3) history of ischemic stroke; (4) peripheral artery disease (PAD); and (5) diabetes. Outcomes of interest included changes in therapy, proportion of days covered (PDC), time to discontinuation, and proportion of patients with ASCVD-related inpatient visit during the follow-up period. Statin therapy was subdivided into high-intensity treatment (atorvastatin 40 mg or 80 mg, rosuvastatin 20 mg or 40 mg, or simvastatin 80 mg) or moderate- to low-intensity treatment (all other statins and statin dosing regimens). Follow-up data were obtained from the index date (statin initiation) until the end of continuous enrollment. RESULTS: A total of 541,221 patients were included in the analysis. The majority of patients were stratified in the diabetes cohort (61.1%), followed in frequency by recent ACS event (15.8%), recent non-ACS CV event (9.9%), PAD (4.7%), CHD (4.4%), and history of ischemic stroke (4.1%). Only 15.0% of the population initiated therapy with a high-intensity statin, and 22.5% of these high-intensity statin initiators switched to a moderate- to low-intensity regimen during the follow-up period. Median time to statin discontinuation was approximately 15 months. Duration of treatment was longer among those who were treated wit…","author":[{"dropping-particle":"","family":"Lin","given":"Iris","non-dropping-particle":"","parse-names":false,"suffix":""},{"dropping-particle":"","family":"Sung","given":"Jennifer","non-dropping-particle":"","parse-names":false,"suffix":""},{"dropping-particle":"","family":"Sanchez","given":"Robert J.","non-dropping-particle":"","parse-names":false,"suffix":""},{"dropping-particle":"","family":"Mallya","given":"Usha G.","non-dropping-particle":"","parse-names":false,"suffix":""},{"dropping-particle":"","family":"Friedman","given":"Mark","non-dropping-particle":"","parse-names":false,"suffix":""},{"dropping-particle":"","family":"Panaccio","given":"Mary","non-dropping-particle":"","parse-names":false,"suffix":""},{"dropping-particle":"","family":"Koren","given":"Andrew","non-dropping-particle":"","parse-names":false,"suffix":""},{"dropping-particle":"","family":"Neumann","given":"Peter","non-dropping-particle":"","parse-names":false,"suffix":""},{"dropping-particle":"","family":"Menzin","given":"Joseph","non-dropping-particle":"","parse-names":false,"suffix":""}],"container-title":"Journal of Managed Care &amp; Specialty Pharmacy","id":"ITEM-1","issue":"6","issued":{"date-parts":[["2016"]]},"page":"685-698","title":"Patterns of Statin Use in a Real-World Population of Patients at High Cardiovascular Risk","type":"article-journal","volume":"22"},"uris":["http://www.mendeley.com/documents/?uuid=3d8cf19e-903a-4b68-9caf-9b9a93b5c430"]}],"mendeley":{"formattedCitation":"&lt;sup&gt;26&lt;/sup&gt;","plainTextFormattedCitation":"26","previouslyFormattedCitation":"&lt;sup&gt;25&lt;/sup&gt;"},"properties":{"noteIndex":0},"schema":"https://github.com/citation-style-language/schema/raw/master/csl-citation.json"}</w:instrText>
      </w:r>
      <w:r w:rsidR="00FA7797">
        <w:fldChar w:fldCharType="separate"/>
      </w:r>
      <w:r w:rsidR="004301EE" w:rsidRPr="004301EE">
        <w:rPr>
          <w:noProof/>
          <w:vertAlign w:val="superscript"/>
        </w:rPr>
        <w:t>26</w:t>
      </w:r>
      <w:r w:rsidR="00FA7797">
        <w:fldChar w:fldCharType="end"/>
      </w:r>
      <w:r w:rsidR="000A0688">
        <w:t xml:space="preserve"> </w:t>
      </w:r>
      <w:r w:rsidR="00AA4F16">
        <w:t xml:space="preserve"> </w:t>
      </w:r>
      <w:r>
        <w:t xml:space="preserve">While it might be hypothesized that </w:t>
      </w:r>
      <w:r w:rsidR="00227A88">
        <w:t xml:space="preserve">clinicians avoided using higher intensity regimens out of concern about patients’ ability to adhere to therapy, </w:t>
      </w:r>
      <w:r w:rsidR="000A0688">
        <w:t xml:space="preserve">patients </w:t>
      </w:r>
      <w:r w:rsidR="00015E3D">
        <w:t xml:space="preserve">receiving high intensity therapy </w:t>
      </w:r>
      <w:r w:rsidR="000A0688">
        <w:t>were at least as likely t</w:t>
      </w:r>
      <w:r w:rsidR="00015E3D">
        <w:t>o be adherent as other patients.  In particular,</w:t>
      </w:r>
      <w:r w:rsidR="000A0688">
        <w:t xml:space="preserve"> </w:t>
      </w:r>
      <w:r w:rsidR="0031429A">
        <w:t>patient</w:t>
      </w:r>
      <w:r w:rsidR="00227A88">
        <w:t>s</w:t>
      </w:r>
      <w:r w:rsidR="0031429A">
        <w:t xml:space="preserve"> </w:t>
      </w:r>
      <w:r w:rsidR="000A0688">
        <w:t xml:space="preserve">with documented CVD </w:t>
      </w:r>
      <w:r w:rsidR="0031429A">
        <w:t xml:space="preserve">receiving high intensity therapy </w:t>
      </w:r>
      <w:r w:rsidR="000A0688">
        <w:t xml:space="preserve">were </w:t>
      </w:r>
      <w:r w:rsidR="00AA4F16">
        <w:t>the most</w:t>
      </w:r>
      <w:r w:rsidR="000A0688">
        <w:t xml:space="preserve"> adherent throughout follow up</w:t>
      </w:r>
      <w:r w:rsidR="0031429A">
        <w:t>; those receiving low intensity therapy were the least adherent</w:t>
      </w:r>
      <w:r w:rsidR="000A0688">
        <w:t xml:space="preserve">.  </w:t>
      </w:r>
      <w:r w:rsidR="00B719E5">
        <w:t>The reasons for this are unclear</w:t>
      </w:r>
      <w:r w:rsidR="00CD2158">
        <w:t>; however, o</w:t>
      </w:r>
      <w:r w:rsidR="00015E3D">
        <w:t xml:space="preserve">ne explanation might be that the patients treated with high intensity regimens </w:t>
      </w:r>
      <w:r w:rsidR="00B719E5">
        <w:t>had a greater understanding of their disease severity</w:t>
      </w:r>
      <w:r w:rsidR="00015E3D">
        <w:t xml:space="preserve">, making them </w:t>
      </w:r>
      <w:r w:rsidR="00B719E5">
        <w:t xml:space="preserve">more </w:t>
      </w:r>
      <w:r w:rsidR="00015E3D">
        <w:t>diligent.</w:t>
      </w:r>
      <w:r w:rsidR="00912BBB">
        <w:t xml:space="preserve"> </w:t>
      </w:r>
      <w:r w:rsidR="00E728A5">
        <w:t>Conversely,</w:t>
      </w:r>
      <w:r w:rsidR="00A57499">
        <w:t xml:space="preserve"> </w:t>
      </w:r>
      <w:r w:rsidR="00C05904">
        <w:t xml:space="preserve">adverse events </w:t>
      </w:r>
      <w:r w:rsidR="00E44760">
        <w:t xml:space="preserve">or statin intolerance </w:t>
      </w:r>
      <w:r w:rsidR="00C05904">
        <w:t xml:space="preserve">may have </w:t>
      </w:r>
      <w:proofErr w:type="spellStart"/>
      <w:r w:rsidR="00C05904">
        <w:t>lead</w:t>
      </w:r>
      <w:proofErr w:type="spellEnd"/>
      <w:r w:rsidR="00C05904">
        <w:t xml:space="preserve"> to discontinuation or </w:t>
      </w:r>
      <w:r w:rsidR="00EE0929">
        <w:t xml:space="preserve">reductions in </w:t>
      </w:r>
      <w:r w:rsidR="00E728A5">
        <w:t xml:space="preserve">the </w:t>
      </w:r>
      <w:r w:rsidR="00C05904">
        <w:t>intensity</w:t>
      </w:r>
      <w:r w:rsidR="00E728A5">
        <w:t xml:space="preserve"> of therapy</w:t>
      </w:r>
      <w:r w:rsidR="00C05904">
        <w:t xml:space="preserve">, </w:t>
      </w:r>
      <w:r w:rsidR="00A57499">
        <w:t>but we did not have data to evaluate this hypothesis</w:t>
      </w:r>
      <w:r w:rsidR="00912BBB">
        <w:t>.</w:t>
      </w:r>
      <w:r w:rsidR="00015E3D">
        <w:t xml:space="preserve"> </w:t>
      </w:r>
    </w:p>
    <w:p w14:paraId="502990B8" w14:textId="48F1AACD" w:rsidR="00F86A1E" w:rsidRDefault="00F86A1E" w:rsidP="00F86A1E">
      <w:pPr>
        <w:pStyle w:val="Text"/>
      </w:pPr>
      <w:r>
        <w:lastRenderedPageBreak/>
        <w:t>The use of a combine</w:t>
      </w:r>
      <w:r w:rsidR="007005DF">
        <w:t>d</w:t>
      </w:r>
      <w:r>
        <w:t xml:space="preserve"> measure of adherence and treatment intensity is intended to reflect </w:t>
      </w:r>
      <w:r w:rsidR="00CD2158">
        <w:t xml:space="preserve">the magnitude of LDL-C reduction </w:t>
      </w:r>
      <w:r>
        <w:t>after accounting for adherence</w:t>
      </w:r>
      <w:r w:rsidR="00CD2158">
        <w:t xml:space="preserve"> (i.e., it is the product of </w:t>
      </w:r>
      <w:r w:rsidR="003338BD">
        <w:t>adherence</w:t>
      </w:r>
      <w:r w:rsidR="00CD2158">
        <w:t xml:space="preserve"> x </w:t>
      </w:r>
      <w:r w:rsidR="003338BD">
        <w:t>intensity</w:t>
      </w:r>
      <w:r w:rsidR="00CD2158">
        <w:t>)</w:t>
      </w:r>
      <w:r>
        <w:t xml:space="preserve">.  </w:t>
      </w:r>
      <w:r w:rsidR="00227A88">
        <w:t>R</w:t>
      </w:r>
      <w:r>
        <w:t xml:space="preserve">esults </w:t>
      </w:r>
      <w:r w:rsidR="00227A88">
        <w:t xml:space="preserve">using the combined </w:t>
      </w:r>
      <w:r w:rsidR="002F4A9B">
        <w:t>measure</w:t>
      </w:r>
      <w:r w:rsidR="00227A88">
        <w:t xml:space="preserve"> </w:t>
      </w:r>
      <w:r>
        <w:t xml:space="preserve">are consistent with the </w:t>
      </w:r>
      <w:r w:rsidR="00D745B7">
        <w:t>CTT</w:t>
      </w:r>
      <w:r>
        <w:t xml:space="preserve"> meta-analysis results for more versus less </w:t>
      </w:r>
      <w:r w:rsidR="006F6370">
        <w:t>LDL-C</w:t>
      </w:r>
      <w:r>
        <w:t xml:space="preserve"> intensive therapy.</w:t>
      </w:r>
      <w:r>
        <w:fldChar w:fldCharType="begin" w:fldLock="1"/>
      </w:r>
      <w:r w:rsidR="0075193E">
        <w:instrText>ADDIN CSL_CITATION {"citationItems":[{"id":"ITEM-1","itemData":{"DOI":"10.1016/S0140-6736(10)61350-5","ISBN":"1474-547X (Electronic)\\r0140-6736 (Linking)","ISSN":"01406736","PMID":"21067804","abstract":"Lowering of LDL cholesterol with standard statin regimens reduces the risk of occlusive vascular events in a wide range of individuals. We aimed to assess the safety and efficacy of more intensive lowering of LDL cholesterol with statin therapy. We undertook meta-analyses of individual participant data from randomised trials involving at least 1000 participants and at least 2 years' treatment duration of more versus less intensive statin regimens (five trials; 39 612 individuals; median follow-up 5·1 years) and of statin versus control (21 trials; 129 526 individuals; median follow-up 4·8 years). For each type of trial, we calculated not only the average risk reduction, but also the average risk reduction per 1·0 mmol/L LDL cholesterol reduction at 1 year after randomisation. In the trials of more versus less intensive statin therapy, the weighted mean further reduction in LDL cholesterol at 1 year was 0·51 mmol/L. Compared with less intensive regimens, more intensive regimens produced a highly significant 15 (95 CI 11-18; p&lt;0·0001) further reduction in major vascular events, consisting of separately significant reductions in coronary death or non-fatal myocardial infarction of 13 (95 CI 7-19; p&lt;0·0001), in coronary revascularisation of 19 (95 CI 15-24; p&lt;0·0001), and in ischaemic stroke of 16 (95 CI 5-26; p=0·005). Per 1·0 mmol/L reduction in LDL cholesterol, these further reductions in risk were similar to the proportional reductions in the trials of statin versus control. When both types of trial were combined, similar proportional reductions in major vascular events per 1·0 mmol/L LDL cholesterol reduction were found in all types of patient studied (rate ratio [RR] 0·78, 95 CI 0·76-0·80; p&lt;0·0001), including those with LDL cholesterol lower than 2 mmol/L on the less intensive or control regimen. Across all 26 trials, all-cause mortality was reduced by 10 per 1·0 mmol/L LDL reduction (RR 0·90, 95 CI 0·87-0·93; p&lt;0·0001), largely reflecting significant reductions in deaths due to coronary heart disease (RR 0·80, 99 CI 0·74-0·87; p&lt;0·0001) and other cardiac causes (RR 0·89, 99 CI 0·81-0·98; p=0·002), with no significant effect on deaths due to stroke (RR 0·96, 95 CI 0·84-1·09; p=0·5) or other vascular causes (RR 0·98, 99 CI 0·81-1·18; p=0·8). No significant effects were observed on deaths due to cancer or other non-vascular causes (RR 0·97, 95 CI 0·92-1·03; p=0·3) or on cancer incidence (RR 1·00, 95 CI 0·96- 1·04; p=0·9), even at low LDL cholesterol co…","author":[{"dropping-particle":"","family":"Treatment","given":"Cholesterol","non-dropping-particle":"","parse-names":false,"suffix":""},{"dropping-particle":"","family":"Ctt","given":"Trialists","non-dropping-particle":"","parse-names":false,"suffix":""}],"container-title":"The Lancet","id":"ITEM-1","issue":"9753","issued":{"date-parts":[["2010"]]},"page":"1670-1681","publisher":"Elsevier Ltd","title":"Efficacy and safety of more intensive lowering of LDL cholesterol: A meta-analysis of data from 170 000 participants in 26 randomised trials","type":"article-journal","volume":"376"},"uris":["http://www.mendeley.com/documents/?uuid=530ef62f-ee87-4453-bd50-1e260ac80529"]}],"mendeley":{"formattedCitation":"&lt;sup&gt;17&lt;/sup&gt;","plainTextFormattedCitation":"17","previouslyFormattedCitation":"&lt;sup&gt;17&lt;/sup&gt;"},"properties":{"noteIndex":0},"schema":"https://github.com/citation-style-language/schema/raw/master/csl-citation.json"}</w:instrText>
      </w:r>
      <w:r>
        <w:fldChar w:fldCharType="separate"/>
      </w:r>
      <w:r w:rsidR="00E77218" w:rsidRPr="00E77218">
        <w:rPr>
          <w:noProof/>
          <w:vertAlign w:val="superscript"/>
        </w:rPr>
        <w:t>17</w:t>
      </w:r>
      <w:r>
        <w:fldChar w:fldCharType="end"/>
      </w:r>
      <w:r>
        <w:t xml:space="preserve">  </w:t>
      </w:r>
      <w:r w:rsidR="001B0920">
        <w:t>In the CTT results,</w:t>
      </w:r>
      <w:r>
        <w:t xml:space="preserve"> a </w:t>
      </w:r>
      <w:r w:rsidR="00713716">
        <w:t>20 mg/</w:t>
      </w:r>
      <w:proofErr w:type="spellStart"/>
      <w:r w:rsidR="00713716">
        <w:t>dL</w:t>
      </w:r>
      <w:proofErr w:type="spellEnd"/>
      <w:r w:rsidR="00227A88">
        <w:t xml:space="preserve">  </w:t>
      </w:r>
      <w:r>
        <w:t xml:space="preserve">mean </w:t>
      </w:r>
      <w:r w:rsidR="006F6370">
        <w:t>LDL-C</w:t>
      </w:r>
      <w:r>
        <w:t xml:space="preserve"> reduction (20% </w:t>
      </w:r>
      <w:r w:rsidR="00227A88">
        <w:t xml:space="preserve">lower than the </w:t>
      </w:r>
      <w:r w:rsidR="00713716">
        <w:t>100 mg/</w:t>
      </w:r>
      <w:proofErr w:type="spellStart"/>
      <w:r w:rsidR="00713716">
        <w:t>dL</w:t>
      </w:r>
      <w:proofErr w:type="spellEnd"/>
      <w:r w:rsidR="00227A88">
        <w:t xml:space="preserve"> baseline</w:t>
      </w:r>
      <w:r>
        <w:t>) was associated with a 15% red</w:t>
      </w:r>
      <w:r w:rsidR="00FD66C1">
        <w:t xml:space="preserve">uction in </w:t>
      </w:r>
      <w:r w:rsidR="00E728A5">
        <w:t xml:space="preserve">the risk of </w:t>
      </w:r>
      <w:r w:rsidR="00FD66C1">
        <w:t>major vascular events</w:t>
      </w:r>
      <w:r>
        <w:t xml:space="preserve">.  In our </w:t>
      </w:r>
      <w:r w:rsidR="00227A88">
        <w:t>CVD cohort</w:t>
      </w:r>
      <w:r>
        <w:t xml:space="preserve">, </w:t>
      </w:r>
      <w:r w:rsidR="00227A88">
        <w:t xml:space="preserve">this </w:t>
      </w:r>
      <w:r w:rsidR="00E728A5">
        <w:t xml:space="preserve">same difference </w:t>
      </w:r>
      <w:r w:rsidR="00600ADE">
        <w:t>might be accomplished by</w:t>
      </w:r>
      <w:r w:rsidR="00227A88">
        <w:t xml:space="preserve"> increasing</w:t>
      </w:r>
      <w:r>
        <w:t xml:space="preserve"> </w:t>
      </w:r>
      <w:r w:rsidR="00E061A7">
        <w:t>treatment intensity</w:t>
      </w:r>
      <w:r>
        <w:t xml:space="preserve"> </w:t>
      </w:r>
      <w:r w:rsidR="001B0920">
        <w:t>by 20%</w:t>
      </w:r>
      <w:r w:rsidR="00D745B7">
        <w:t xml:space="preserve"> (e.g., from 30% to 50%)</w:t>
      </w:r>
      <w:r w:rsidR="00227A88">
        <w:t xml:space="preserve">.  </w:t>
      </w:r>
      <w:r w:rsidR="002F4A9B">
        <w:t>I</w:t>
      </w:r>
      <w:r w:rsidR="001B0920">
        <w:t>n</w:t>
      </w:r>
      <w:r w:rsidR="00FD66C1">
        <w:t xml:space="preserve"> someone with an adherence of 75</w:t>
      </w:r>
      <w:r>
        <w:t>%</w:t>
      </w:r>
      <w:r w:rsidR="00227A88">
        <w:t xml:space="preserve">, </w:t>
      </w:r>
      <w:r w:rsidR="002F4A9B">
        <w:t>this</w:t>
      </w:r>
      <w:r w:rsidR="00227A88">
        <w:t xml:space="preserve"> would result in a </w:t>
      </w:r>
      <w:r w:rsidR="00FD66C1">
        <w:t>15</w:t>
      </w:r>
      <w:r>
        <w:t xml:space="preserve">% </w:t>
      </w:r>
      <w:r w:rsidR="00E061A7">
        <w:t>change</w:t>
      </w:r>
      <w:r>
        <w:t xml:space="preserve"> in the </w:t>
      </w:r>
      <w:r w:rsidR="001B0920">
        <w:t xml:space="preserve">adherence </w:t>
      </w:r>
      <w:r w:rsidR="00D745B7">
        <w:t xml:space="preserve">x </w:t>
      </w:r>
      <w:r w:rsidR="001B0920">
        <w:t>intensity</w:t>
      </w:r>
      <w:r w:rsidR="005E31EB">
        <w:t xml:space="preserve"> </w:t>
      </w:r>
      <w:r w:rsidR="00D745B7">
        <w:t xml:space="preserve">product </w:t>
      </w:r>
      <w:r w:rsidR="005E31EB">
        <w:t>(</w:t>
      </w:r>
      <w:r w:rsidR="00D745B7">
        <w:t>0.</w:t>
      </w:r>
      <w:r w:rsidR="0097015B">
        <w:t>75</w:t>
      </w:r>
      <w:r w:rsidR="00D745B7">
        <w:t xml:space="preserve"> x 0.</w:t>
      </w:r>
      <w:r w:rsidR="0097015B">
        <w:t>50</w:t>
      </w:r>
      <w:r w:rsidR="00D745B7">
        <w:t xml:space="preserve"> - </w:t>
      </w:r>
      <w:r w:rsidR="005E31EB">
        <w:t>0.</w:t>
      </w:r>
      <w:r w:rsidR="0097015B">
        <w:t>75</w:t>
      </w:r>
      <w:r w:rsidR="00227A88">
        <w:t xml:space="preserve"> </w:t>
      </w:r>
      <w:r w:rsidR="005E31EB">
        <w:t>x 0.</w:t>
      </w:r>
      <w:r w:rsidR="0097015B">
        <w:t xml:space="preserve">30 </w:t>
      </w:r>
      <w:r w:rsidR="005E31EB">
        <w:t>= 0.</w:t>
      </w:r>
      <w:r w:rsidR="00227A88">
        <w:t>15</w:t>
      </w:r>
      <w:r w:rsidR="005E31EB">
        <w:t>)</w:t>
      </w:r>
      <w:r w:rsidR="00E061A7">
        <w:t xml:space="preserve">.  </w:t>
      </w:r>
      <w:r w:rsidR="00227A88">
        <w:t xml:space="preserve">According to our model, this </w:t>
      </w:r>
      <w:r w:rsidR="002F4A9B">
        <w:t xml:space="preserve">change </w:t>
      </w:r>
      <w:r w:rsidR="00015E3D">
        <w:t>would be</w:t>
      </w:r>
      <w:r w:rsidR="001B0920">
        <w:t xml:space="preserve"> associated with </w:t>
      </w:r>
      <w:r w:rsidR="00E061A7">
        <w:t xml:space="preserve">a </w:t>
      </w:r>
      <w:r w:rsidR="00600ADE">
        <w:t xml:space="preserve">15% </w:t>
      </w:r>
      <w:r w:rsidR="002E7FE7">
        <w:t xml:space="preserve">lower </w:t>
      </w:r>
      <w:r w:rsidR="00600ADE">
        <w:t xml:space="preserve">risk </w:t>
      </w:r>
      <w:r w:rsidR="002E7FE7">
        <w:t>of events</w:t>
      </w:r>
      <w:r w:rsidR="00E061A7">
        <w:t xml:space="preserve"> </w:t>
      </w:r>
      <w:r w:rsidR="00FD66C1" w:rsidRPr="00FD66C1">
        <w:t>(</w:t>
      </w:r>
      <w:r w:rsidR="005E31EB">
        <w:t xml:space="preserve">HR 0.85, </w:t>
      </w:r>
      <w:r w:rsidR="00FD66C1" w:rsidRPr="00FD66C1">
        <w:t xml:space="preserve">95% CI </w:t>
      </w:r>
      <w:r w:rsidR="005E31EB">
        <w:t>0.80 to 0.91</w:t>
      </w:r>
      <w:r w:rsidR="00FD66C1" w:rsidRPr="00FD66C1">
        <w:t>)</w:t>
      </w:r>
      <w:r>
        <w:t xml:space="preserve">. </w:t>
      </w:r>
      <w:r w:rsidR="00E061A7">
        <w:t xml:space="preserve"> </w:t>
      </w:r>
      <w:r w:rsidR="00D025CA">
        <w:t xml:space="preserve">In patients with better adherence, the </w:t>
      </w:r>
      <w:r w:rsidR="002E7FE7">
        <w:t xml:space="preserve">difference in </w:t>
      </w:r>
      <w:r w:rsidR="00D025CA">
        <w:t xml:space="preserve">risk for the same intensity </w:t>
      </w:r>
      <w:r w:rsidR="002E7FE7">
        <w:t xml:space="preserve">of statin therapy </w:t>
      </w:r>
      <w:r w:rsidR="00D025CA">
        <w:t>would be even greater.</w:t>
      </w:r>
      <w:r w:rsidR="00E061A7">
        <w:t xml:space="preserve"> </w:t>
      </w:r>
      <w:r>
        <w:t xml:space="preserve"> </w:t>
      </w:r>
      <w:r w:rsidR="00981996">
        <w:t>Since</w:t>
      </w:r>
      <w:r w:rsidR="002E7FE7">
        <w:t xml:space="preserve"> </w:t>
      </w:r>
      <w:r w:rsidR="00FB7AC5">
        <w:t>the combined measure</w:t>
      </w:r>
      <w:r w:rsidR="007005DF">
        <w:t xml:space="preserve"> </w:t>
      </w:r>
      <w:r w:rsidR="002E7FE7">
        <w:t xml:space="preserve">assessed in our study </w:t>
      </w:r>
      <w:r w:rsidR="00FB7AC5">
        <w:t xml:space="preserve">demonstrates </w:t>
      </w:r>
      <w:r w:rsidR="002E7FE7">
        <w:t>concordance with</w:t>
      </w:r>
      <w:r w:rsidR="00C90E2D">
        <w:t xml:space="preserve"> </w:t>
      </w:r>
      <w:r w:rsidR="002E7FE7">
        <w:t xml:space="preserve">the risk reductions observed </w:t>
      </w:r>
      <w:r w:rsidR="00FB7AC5">
        <w:t>in</w:t>
      </w:r>
      <w:r w:rsidR="007005DF">
        <w:t xml:space="preserve"> </w:t>
      </w:r>
      <w:r w:rsidR="002E7FE7">
        <w:t xml:space="preserve">clinical </w:t>
      </w:r>
      <w:r w:rsidR="007005DF">
        <w:t>trial</w:t>
      </w:r>
      <w:r w:rsidR="002E7FE7">
        <w:t>s</w:t>
      </w:r>
      <w:r w:rsidR="00981996">
        <w:t>,</w:t>
      </w:r>
      <w:r w:rsidR="007005DF">
        <w:t xml:space="preserve"> </w:t>
      </w:r>
      <w:r w:rsidR="002E7FE7">
        <w:t xml:space="preserve">we feel that other assumptions are reliable. </w:t>
      </w:r>
      <w:r w:rsidR="009E0479">
        <w:t xml:space="preserve">  </w:t>
      </w:r>
    </w:p>
    <w:p w14:paraId="6FE1CD1F" w14:textId="54E4C814" w:rsidR="00D55D53" w:rsidRDefault="002E7FE7" w:rsidP="00A51FA6">
      <w:pPr>
        <w:pStyle w:val="Text"/>
      </w:pPr>
      <w:r>
        <w:t>To provide biological plausibility for our findings we</w:t>
      </w:r>
      <w:r w:rsidR="00D55D53">
        <w:t xml:space="preserve"> also </w:t>
      </w:r>
      <w:r w:rsidR="00736859">
        <w:t>compared</w:t>
      </w:r>
      <w:r>
        <w:t xml:space="preserve"> </w:t>
      </w:r>
      <w:r w:rsidR="00D55D53">
        <w:t xml:space="preserve">the </w:t>
      </w:r>
      <w:r w:rsidR="00736859">
        <w:t xml:space="preserve">observed </w:t>
      </w:r>
      <w:r>
        <w:t>reduction</w:t>
      </w:r>
      <w:r w:rsidR="00736859">
        <w:t xml:space="preserve"> </w:t>
      </w:r>
      <w:r>
        <w:t>in</w:t>
      </w:r>
      <w:r w:rsidR="00D55D53">
        <w:t xml:space="preserve"> LDL-C against the value </w:t>
      </w:r>
      <w:r>
        <w:t xml:space="preserve">that would be </w:t>
      </w:r>
      <w:r w:rsidR="0075193E">
        <w:t xml:space="preserve">expected </w:t>
      </w:r>
      <w:r w:rsidR="00D55D53">
        <w:t xml:space="preserve">by the </w:t>
      </w:r>
      <w:r w:rsidR="001C0EE7">
        <w:t xml:space="preserve">adherence x </w:t>
      </w:r>
      <w:r w:rsidR="00D55D53">
        <w:t xml:space="preserve">intensity </w:t>
      </w:r>
      <w:r w:rsidR="001C0EE7">
        <w:t>product</w:t>
      </w:r>
      <w:r>
        <w:t xml:space="preserve">. </w:t>
      </w:r>
      <w:r w:rsidR="00D55D53">
        <w:t xml:space="preserve"> This </w:t>
      </w:r>
      <w:r>
        <w:t xml:space="preserve">additional finding provides a biological framework around which our findings can be </w:t>
      </w:r>
      <w:r w:rsidR="00D55D53">
        <w:t>interpret</w:t>
      </w:r>
      <w:r>
        <w:t>ed, namely</w:t>
      </w:r>
      <w:r w:rsidR="00736859">
        <w:t>,</w:t>
      </w:r>
      <w:r>
        <w:t xml:space="preserve"> </w:t>
      </w:r>
      <w:r w:rsidR="00D55D53">
        <w:t xml:space="preserve">the combined measure </w:t>
      </w:r>
      <w:r>
        <w:t>reflects</w:t>
      </w:r>
      <w:r w:rsidR="00D55D53">
        <w:t xml:space="preserve"> “</w:t>
      </w:r>
      <w:r>
        <w:t xml:space="preserve">average </w:t>
      </w:r>
      <w:r w:rsidR="00D55D53">
        <w:t xml:space="preserve">achieved treatment intensity.”  </w:t>
      </w:r>
      <w:r w:rsidR="005A31FD">
        <w:t>Our findings are consistent with the observation</w:t>
      </w:r>
      <w:r w:rsidR="00736859">
        <w:t>s</w:t>
      </w:r>
      <w:r w:rsidR="005A31FD">
        <w:t xml:space="preserve"> </w:t>
      </w:r>
      <w:r w:rsidR="00736859">
        <w:t xml:space="preserve">from others </w:t>
      </w:r>
      <w:r w:rsidR="005A31FD">
        <w:t xml:space="preserve">that LDL-C is not only causal but </w:t>
      </w:r>
      <w:r w:rsidR="00736859">
        <w:t xml:space="preserve">also </w:t>
      </w:r>
      <w:r w:rsidR="005A31FD">
        <w:t>cumulative</w:t>
      </w:r>
      <w:r w:rsidR="00736859">
        <w:t xml:space="preserve">; that is, </w:t>
      </w:r>
      <w:r w:rsidR="005A31FD">
        <w:t>a modest difference in LDL-C</w:t>
      </w:r>
      <w:r w:rsidR="00736859">
        <w:t xml:space="preserve"> </w:t>
      </w:r>
      <w:r w:rsidR="005A31FD">
        <w:t>of about 13</w:t>
      </w:r>
      <w:r w:rsidR="00736859">
        <w:t xml:space="preserve"> </w:t>
      </w:r>
      <w:r w:rsidR="005A31FD">
        <w:t xml:space="preserve">mg/dl maintained over 52 years from genetic studies affords the same protection as a </w:t>
      </w:r>
      <w:r w:rsidR="00736859">
        <w:t xml:space="preserve">difference of </w:t>
      </w:r>
      <w:r w:rsidR="005A31FD">
        <w:t>39</w:t>
      </w:r>
      <w:r w:rsidR="00736859">
        <w:t xml:space="preserve"> </w:t>
      </w:r>
      <w:r w:rsidR="005A31FD">
        <w:t>mg/dl maintained over a 5 year period with statins.</w:t>
      </w:r>
      <w:r w:rsidR="0075193E">
        <w:fldChar w:fldCharType="begin" w:fldLock="1"/>
      </w:r>
      <w:r w:rsidR="004301EE">
        <w:instrText>ADDIN CSL_CITATION {"citationItems":[{"id":"ITEM-1","itemData":{"DOI":"10.1093/eurheartj/ehx144","ISSN":"1522-9645","PMID":"28444290","abstract":"Aims To appraise the clinical and genetic evidence that low-density lipoproteins (LDLs) cause atherosclerotic cardiovascular disease (ASCVD). Methods and results We assessed whether the association between LDL and ASCVD fulfils the criteria for causality by evaluating the totality of evidence from genetic studies, prospective epidemiologic cohort studies, Mendelian randomization studies, and randomized trials of LDL-lowering therapies. In clinical studies, plasma LDL burden is usually estimated by determination of plasma LDL cholesterol level (LDL-C). Rare genetic mutations that cause reduced LDL receptor function lead to markedly higher LDL-C and a dose-dependent increase in the risk of ASCVD, whereas rare variants leading to lower LDL-C are associated with a correspondingly lower risk of ASCVD. Separate meta-analyses of over 200 prospective cohort studies, Mendelian randomization studies, and randomized trials including more than 2 million participants with over 20 million person-years of follow-up and over 150 000 cardiovascular events demonstrate a remarkably consistent dose-dependent log-linear association between the absolute magnitude of exposure of the vasculature to LDL-C and the risk of ASCVD; and this effect appears to increase with increasing duration of exposure to LDL-C. Both the naturally randomized genetic studies and the randomized intervention trials consistently demonstrate that any mechanism of lowering plasma LDL particle concentration should reduce the risk of ASCVD events proportional to the absolute reduction in LDL-C and the cumulative duration of exposure to lower LDL-C, provided that the achieved reduction in LDL-C is concordant with the reduction in LDL particle number and that there are no competing deleterious off-target effects. Conclusion Consistent evidence from numerous and multiple different types of clinical and genetic studies unequivocally establishes that LDL causes ASCVD.","author":[{"dropping-particle":"","family":"Ference","given":"Brian A","non-dropping-particle":"","parse-names":false,"suffix":""},{"dropping-particle":"","family":"Ginsberg","given":"Henry N","non-dropping-particle":"","parse-names":false,"suffix":""},{"dropping-particle":"","family":"Graham","given":"Ian","non-dropping-particle":"","parse-names":false,"suffix":""},{"dropping-particle":"","family":"Ray","given":"Kausik K","non-dropping-particle":"","parse-names":false,"suffix":""},{"dropping-particle":"","family":"Packard","given":"Chris J","non-dropping-particle":"","parse-names":false,"suffix":""},{"dropping-particle":"","family":"Bruckert","given":"Eric","non-dropping-particle":"","parse-names":false,"suffix":""},{"dropping-particle":"","family":"Hegele","given":"Robert A","non-dropping-particle":"","parse-names":false,"suffix":""},{"dropping-particle":"","family":"Krauss","given":"Ronald M","non-dropping-particle":"","parse-names":false,"suffix":""},{"dropping-particle":"","family":"Raal","given":"Frederick J","non-dropping-particle":"","parse-names":false,"suffix":""},{"dropping-particle":"","family":"Schunkert","given":"Heribert","non-dropping-particle":"","parse-names":false,"suffix":""},{"dropping-particle":"","family":"Watts","given":"Gerald F","non-dropping-particle":"","parse-names":false,"suffix":""},{"dropping-particle":"","family":"Borén","given":"Jan","non-dropping-particle":"","parse-names":false,"suffix":""},{"dropping-particle":"","family":"Fazio","given":"Sergio","non-dropping-particle":"","parse-names":false,"suffix":""},{"dropping-particle":"","family":"Horton","given":"Jay D","non-dropping-particle":"","parse-names":false,"suffix":""},{"dropping-particle":"","family":"Masana","given":"Luis","non-dropping-particle":"","parse-names":false,"suffix":""},{"dropping-particle":"","family":"Nicholls","given":"Stephen J","non-dropping-particle":"","parse-names":false,"suffix":""},{"dropping-particle":"","family":"Nordestgaard","given":"Børge G","non-dropping-particle":"","parse-names":false,"suffix":""},{"dropping-particle":"","family":"Sluis","given":"Bart","non-dropping-particle":"van de","parse-names":false,"suffix":""},{"dropping-particle":"","family":"Taskinen","given":"Marja-Riitta","non-dropping-particle":"","parse-names":false,"suffix":""},{"dropping-particle":"","family":"Tokgözoglu","given":"Lale","non-dropping-particle":"","parse-names":false,"suffix":""},{"dropping-particle":"","family":"Landmesser","given":"Ulf","non-dropping-particle":"","parse-names":false,"suffix":""},{"dropping-particle":"","family":"Laufs","given":"Ulrich","non-dropping-particle":"","parse-names":false,"suffix":""},{"dropping-particle":"","family":"Wiklund","given":"Olov","non-dropping-particle":"","parse-names":false,"suffix":""},{"dropping-particle":"","family":"Stock","given":"Jane K","non-dropping-particle":"","parse-names":false,"suffix":""},{"dropping-particle":"","family":"Chapman","given":"M John","non-dropping-particle":"","parse-names":false,"suffix":""},{"dropping-particle":"","family":"Catapano","given":"Alberico L","non-dropping-particle":"","parse-names":false,"suffix":""}],"container-title":"European heart journal","id":"ITEM-1","issue":"32","issued":{"date-parts":[["2017","8","21"]]},"page":"2459-2472","title":"Low-density lipoproteins cause atherosclerotic cardiovascular disease. 1. Evidence from genetic, epidemiologic, and clinical studies. A consensus statement from the European Atherosclerosis Society Consensus Panel.","type":"article-journal","volume":"38"},"uris":["http://www.mendeley.com/documents/?uuid=5c8c45c3-d174-4403-8c2b-5e6754973963"]}],"mendeley":{"formattedCitation":"&lt;sup&gt;27&lt;/sup&gt;","plainTextFormattedCitation":"27","previouslyFormattedCitation":"&lt;sup&gt;26&lt;/sup&gt;"},"properties":{"noteIndex":0},"schema":"https://github.com/citation-style-language/schema/raw/master/csl-citation.json"}</w:instrText>
      </w:r>
      <w:r w:rsidR="0075193E">
        <w:fldChar w:fldCharType="separate"/>
      </w:r>
      <w:r w:rsidR="004301EE" w:rsidRPr="004301EE">
        <w:rPr>
          <w:noProof/>
          <w:vertAlign w:val="superscript"/>
        </w:rPr>
        <w:t>27</w:t>
      </w:r>
      <w:r w:rsidR="0075193E">
        <w:fldChar w:fldCharType="end"/>
      </w:r>
      <w:r w:rsidR="005A31FD">
        <w:t xml:space="preserve"> </w:t>
      </w:r>
      <w:r w:rsidR="0075193E">
        <w:t xml:space="preserve"> </w:t>
      </w:r>
      <w:r w:rsidR="005A31FD">
        <w:t>Moreover those individuals who have the greatest variability in LDL-C reduction over time in statin trials have the worst outcomes independent of the intensity of therapy.</w:t>
      </w:r>
      <w:r w:rsidR="0075193E">
        <w:fldChar w:fldCharType="begin" w:fldLock="1"/>
      </w:r>
      <w:r w:rsidR="004301EE">
        <w:instrText>ADDIN CSL_CITATION {"citationItems":[{"id":"ITEM-1","itemData":{"DOI":"10.1016/j.jacc.2015.02.017","ISSN":"1558-3597","PMID":"25881936","abstract":"BACKGROUND Studies demonstrate that lowering low-density lipoprotein cholesterol (LDL-C) using a statin is associated with significant reduction in cardiovascular events. Whether visit-to-visit variability in LDL-C levels affects cardiovascular outcomes is unknown. OBJECTIVES This study sought to evaluate the role of visit-to-visit variability in LDL-C levels on cardiovascular outcomes. METHODS We evaluated patients with coronary artery disease and LDL-C &lt;130 mg/dl enrolled in the TNT (Treating to New Targets) trial, randomly assigned to receive atorvastatin 80 mg/day versus 10 mg/day and with at least one post-baseline measurement of LDL-C. Visit-to-visit LDL-C variability was evaluated from 3 months into random assignment through the use of various measurements of LDL-C variability: SD, average successive variability (ASV), coefficient of variation, and variation independent of mean, with the first 2 measurements used as the primary measurements. Primary outcome was any coronary event, and secondary outcomes were any cardiovascular event, death, myocardial infarction, or stroke. RESULTS Among 9,572 patients, SD and ASV were significantly lower with atorvastatin 80 mg/day versus 10 mg/day (SD: 12.03 ± 9.70 vs. 12.52 ± 7.43; p = 0.005; ASV: 12.84 ± 10.48 vs. 13.76 ± 8.69; p &lt; 0.0001). In the adjusted model, each 1-SD increase in LDL-C variability (by ASV) increased the risk of any coronary event by 16% (hazard ratio [HR]: 1.16; 95% confidence interval [CI]: 1.10 to 1.23; p &lt; 0.0001), any cardiovascular event by 11% (HR: 1.11; 95% CI: 1.07 to 1.15; p &lt; 0.0001), death by 23% (HR: 1.23; 95% CI: 1.14 to 1.34; p &lt; 0.0001), myocardial infarction by 10% (HR: 1.10; 95% CI: 1.02 to 1.19; p = 0.02), and stroke by 17% (HR: 1.17; 95% CI: 1.04 to 1.31; p = 0.01), independent of treatment effect and achieved LDL-C levels. Results were largely consistent when adjusted for medication adherence. CONCLUSIONS In subjects with coronary artery disease, visit-to-visit LDL-C variability is an independent predictor of cardiovascular events.","author":[{"dropping-particle":"","family":"Bangalore","given":"Sripal","non-dropping-particle":"","parse-names":false,"suffix":""},{"dropping-particle":"","family":"Breazna","given":"Andrei","non-dropping-particle":"","parse-names":false,"suffix":""},{"dropping-particle":"","family":"DeMicco","given":"David A","non-dropping-particle":"","parse-names":false,"suffix":""},{"dropping-particle":"","family":"Wun","given":"Chuan-Chuan","non-dropping-particle":"","parse-names":false,"suffix":""},{"dropping-particle":"","family":"Messerli","given":"Franz H","non-dropping-particle":"","parse-names":false,"suffix":""},{"dropping-particle":"","family":"TNT Steering Committee and Investigators","given":"","non-dropping-particle":"","parse-names":false,"suffix":""}],"container-title":"Journal of the American College of Cardiology","id":"ITEM-1","issue":"15","issued":{"date-parts":[["2015","4","21"]]},"page":"1539-48","title":"Visit-to-visit low-density lipoprotein cholesterol variability and risk of cardiovascular outcomes: insights from the TNT trial.","type":"article-journal","volume":"65"},"uris":["http://www.mendeley.com/documents/?uuid=14ce1814-2686-4001-a0f7-baec98b4e30d"]}],"mendeley":{"formattedCitation":"&lt;sup&gt;28&lt;/sup&gt;","plainTextFormattedCitation":"28","previouslyFormattedCitation":"&lt;sup&gt;27&lt;/sup&gt;"},"properties":{"noteIndex":0},"schema":"https://github.com/citation-style-language/schema/raw/master/csl-citation.json"}</w:instrText>
      </w:r>
      <w:r w:rsidR="0075193E">
        <w:fldChar w:fldCharType="separate"/>
      </w:r>
      <w:r w:rsidR="004301EE" w:rsidRPr="004301EE">
        <w:rPr>
          <w:noProof/>
          <w:vertAlign w:val="superscript"/>
        </w:rPr>
        <w:t>28</w:t>
      </w:r>
      <w:r w:rsidR="0075193E">
        <w:fldChar w:fldCharType="end"/>
      </w:r>
      <w:r w:rsidR="005A31FD">
        <w:t xml:space="preserve"> Taken together these prior observations and our own novel findings suggest that public health would be better served by optimizing the cumulative reduction in LDL-C over time. </w:t>
      </w:r>
    </w:p>
    <w:p w14:paraId="6C972C23" w14:textId="1AC4952B" w:rsidR="00F23070" w:rsidRDefault="000E1ACC" w:rsidP="00A51FA6">
      <w:pPr>
        <w:pStyle w:val="Text"/>
      </w:pPr>
      <w:r>
        <w:t xml:space="preserve">There are several limitations to </w:t>
      </w:r>
      <w:r w:rsidR="0087794E">
        <w:t xml:space="preserve">our </w:t>
      </w:r>
      <w:r>
        <w:t xml:space="preserve">study.  </w:t>
      </w:r>
      <w:bookmarkStart w:id="4" w:name="_Hlk524460225"/>
      <w:r w:rsidR="00F23070">
        <w:t xml:space="preserve">Adherence is a proxy for a </w:t>
      </w:r>
      <w:r w:rsidR="00E155F0">
        <w:t>variety</w:t>
      </w:r>
      <w:r w:rsidR="00F23070">
        <w:t xml:space="preserve"> of </w:t>
      </w:r>
      <w:r w:rsidR="00E155F0">
        <w:t>patient-related health care behaviors</w:t>
      </w:r>
      <w:r w:rsidR="00F23070">
        <w:t xml:space="preserve">.  </w:t>
      </w:r>
      <w:r w:rsidR="00E155F0" w:rsidRPr="00E155F0">
        <w:t xml:space="preserve">Patients who adhere to therapy tend to have better adherence to other lifestyle factors such as diet and physical activity.  We could not address </w:t>
      </w:r>
      <w:r w:rsidR="00E155F0">
        <w:t>such factors</w:t>
      </w:r>
      <w:r w:rsidR="00E155F0" w:rsidRPr="00E155F0">
        <w:t xml:space="preserve"> in our analys</w:t>
      </w:r>
      <w:r w:rsidR="00E155F0">
        <w:t>es</w:t>
      </w:r>
      <w:r w:rsidR="00E155F0" w:rsidRPr="00E155F0">
        <w:t xml:space="preserve"> </w:t>
      </w:r>
      <w:r w:rsidR="00E155F0">
        <w:t>because this data is not</w:t>
      </w:r>
      <w:r w:rsidR="00E155F0" w:rsidRPr="00E155F0">
        <w:t xml:space="preserve"> captured in routine health care records</w:t>
      </w:r>
      <w:r w:rsidR="00E155F0">
        <w:t>.</w:t>
      </w:r>
      <w:r w:rsidR="00F23070">
        <w:t xml:space="preserve">  Similarly, we could not account for better adherence to other cardiovascular medications which could explain part of the benefit of adherence with lipid-lowering therapy.  Because of these factors, it may be challenging for non-adherent patients to experience the full benefits of statins.</w:t>
      </w:r>
    </w:p>
    <w:p w14:paraId="16ABB366" w14:textId="219A42D2" w:rsidR="009C3909" w:rsidRDefault="002C2CA1" w:rsidP="00A51FA6">
      <w:pPr>
        <w:pStyle w:val="Text"/>
      </w:pPr>
      <w:r>
        <w:t xml:space="preserve">Because </w:t>
      </w:r>
      <w:r w:rsidR="000872B0">
        <w:t>we required a year to estimate adherence</w:t>
      </w:r>
      <w:r>
        <w:t xml:space="preserve">, patients were considered to be “untreated” during their first year on therapy.  </w:t>
      </w:r>
      <w:r w:rsidR="00291D7D">
        <w:t xml:space="preserve">Constructing a control group </w:t>
      </w:r>
      <w:r w:rsidR="00B84468">
        <w:t xml:space="preserve">in an observational study of </w:t>
      </w:r>
      <w:r w:rsidR="00B84468">
        <w:lastRenderedPageBreak/>
        <w:t>adherence</w:t>
      </w:r>
      <w:r w:rsidR="00291D7D">
        <w:t xml:space="preserve"> requires trade-offs</w:t>
      </w:r>
      <w:r w:rsidR="00841577">
        <w:t xml:space="preserve">; </w:t>
      </w:r>
      <w:r w:rsidR="00B84468">
        <w:t xml:space="preserve">however, </w:t>
      </w:r>
      <w:r>
        <w:t xml:space="preserve">our </w:t>
      </w:r>
      <w:r w:rsidR="00291D7D">
        <w:t>approach</w:t>
      </w:r>
      <w:r>
        <w:t xml:space="preserve"> </w:t>
      </w:r>
      <w:r w:rsidR="00291D7D">
        <w:t xml:space="preserve">may </w:t>
      </w:r>
      <w:r w:rsidR="002E7FE7">
        <w:t xml:space="preserve">be considered </w:t>
      </w:r>
      <w:r>
        <w:t>conservative beca</w:t>
      </w:r>
      <w:r w:rsidR="000872B0">
        <w:t xml:space="preserve">use at least some treatment effect is likely to be present during this </w:t>
      </w:r>
      <w:r w:rsidR="00B84468">
        <w:t xml:space="preserve">untreated </w:t>
      </w:r>
      <w:r w:rsidR="000872B0">
        <w:t>period</w:t>
      </w:r>
      <w:r w:rsidR="00CE00EA">
        <w:t>.  B</w:t>
      </w:r>
      <w:r w:rsidR="00E31FD7">
        <w:t>ased on CTT this benefit is about half the benefit observed in subsequent years</w:t>
      </w:r>
      <w:r w:rsidR="00CE00EA">
        <w:t xml:space="preserve">.  </w:t>
      </w:r>
      <w:bookmarkEnd w:id="4"/>
      <w:r w:rsidR="001C0EE7">
        <w:t>Some guidelines</w:t>
      </w:r>
      <w:r w:rsidR="004216AB">
        <w:t>,</w:t>
      </w:r>
      <w:r w:rsidR="001C0EE7">
        <w:t xml:space="preserve"> such as </w:t>
      </w:r>
      <w:r w:rsidR="004216AB">
        <w:t>those from the</w:t>
      </w:r>
      <w:r w:rsidR="003779B2">
        <w:t xml:space="preserve"> ESC</w:t>
      </w:r>
      <w:r w:rsidR="004216AB">
        <w:t>,</w:t>
      </w:r>
      <w:r w:rsidR="003779B2">
        <w:t xml:space="preserve"> consider diabetic patients with “marked hypercholesterolemia” to be at very </w:t>
      </w:r>
      <w:r w:rsidR="005A3E85">
        <w:t>high-risk</w:t>
      </w:r>
      <w:r w:rsidR="003779B2">
        <w:t>, and other</w:t>
      </w:r>
      <w:r w:rsidR="00B92948">
        <w:t xml:space="preserve"> diabetic patient</w:t>
      </w:r>
      <w:r w:rsidR="003779B2">
        <w:t xml:space="preserve">s to be at </w:t>
      </w:r>
      <w:r w:rsidR="005A3E85">
        <w:t>high-risk</w:t>
      </w:r>
      <w:r w:rsidR="003779B2">
        <w:t xml:space="preserve">.  However, because LDL-C was not available </w:t>
      </w:r>
      <w:r w:rsidR="004216AB">
        <w:t xml:space="preserve">for </w:t>
      </w:r>
      <w:r w:rsidR="003779B2">
        <w:t>all patients</w:t>
      </w:r>
      <w:r w:rsidR="001C0EE7">
        <w:t xml:space="preserve"> and </w:t>
      </w:r>
      <w:r w:rsidR="004216AB">
        <w:t xml:space="preserve">because </w:t>
      </w:r>
      <w:r w:rsidR="001C0EE7">
        <w:t>clinicians may treat these patients to reduce their risk of cardiovascular events</w:t>
      </w:r>
      <w:r w:rsidR="004216AB">
        <w:t xml:space="preserve"> regardless of LDL-C</w:t>
      </w:r>
      <w:r w:rsidR="001C0EE7">
        <w:t>,</w:t>
      </w:r>
      <w:r w:rsidR="003779B2">
        <w:t xml:space="preserve"> we included all diabetic patients </w:t>
      </w:r>
      <w:r w:rsidR="00B92948">
        <w:t>who initiated</w:t>
      </w:r>
      <w:r w:rsidR="003779B2">
        <w:t xml:space="preserve"> lipid-lowering </w:t>
      </w:r>
      <w:r w:rsidR="00B92948">
        <w:t>therapy</w:t>
      </w:r>
      <w:r w:rsidR="003779B2">
        <w:t xml:space="preserve">.  </w:t>
      </w:r>
      <w:r w:rsidR="000E1ACC">
        <w:t xml:space="preserve">While we used age as the time scale to avoid </w:t>
      </w:r>
      <w:r w:rsidR="00A223F7">
        <w:t>a</w:t>
      </w:r>
      <w:r w:rsidR="007917F0">
        <w:t xml:space="preserve"> </w:t>
      </w:r>
      <w:r w:rsidR="002B7B77">
        <w:t xml:space="preserve">spurious, </w:t>
      </w:r>
      <w:r w:rsidR="007917F0">
        <w:t>temporal</w:t>
      </w:r>
      <w:r w:rsidR="000E1ACC">
        <w:t xml:space="preserve"> association</w:t>
      </w:r>
      <w:r w:rsidR="00AE6384">
        <w:t xml:space="preserve"> between diagnosis of cardiovascular conditions and initiation of lipid-lowering therapy</w:t>
      </w:r>
      <w:r w:rsidR="000E1ACC">
        <w:t xml:space="preserve">, </w:t>
      </w:r>
      <w:r w:rsidR="002E61A2">
        <w:t xml:space="preserve">we cannot rule out </w:t>
      </w:r>
      <w:r w:rsidR="00A223F7">
        <w:t xml:space="preserve">the effects of </w:t>
      </w:r>
      <w:r w:rsidR="002E61A2">
        <w:t xml:space="preserve">other </w:t>
      </w:r>
      <w:r w:rsidR="007917F0">
        <w:t>interventions</w:t>
      </w:r>
      <w:r w:rsidR="002B7B77">
        <w:t xml:space="preserve">.  </w:t>
      </w:r>
      <w:r w:rsidR="0068458F">
        <w:t xml:space="preserve">Finally, </w:t>
      </w:r>
      <w:r w:rsidR="002E61A2">
        <w:t xml:space="preserve">prescription data may not reflect the actual utilization </w:t>
      </w:r>
      <w:r w:rsidR="00A223F7">
        <w:t>by the patient</w:t>
      </w:r>
      <w:r w:rsidR="002E61A2">
        <w:t xml:space="preserve">.  </w:t>
      </w:r>
    </w:p>
    <w:p w14:paraId="3DAE3394" w14:textId="00566191" w:rsidR="00C57E32" w:rsidRPr="0004071B" w:rsidRDefault="00A77947" w:rsidP="00A51FA6">
      <w:pPr>
        <w:pStyle w:val="Text"/>
      </w:pPr>
      <w:r>
        <w:t xml:space="preserve">In conclusion, </w:t>
      </w:r>
      <w:r w:rsidR="001C1A6F">
        <w:t xml:space="preserve">our </w:t>
      </w:r>
      <w:r>
        <w:t xml:space="preserve">study </w:t>
      </w:r>
      <w:r w:rsidR="002B7B77">
        <w:t>not only provides evidence</w:t>
      </w:r>
      <w:r>
        <w:t xml:space="preserve"> </w:t>
      </w:r>
      <w:r w:rsidR="002B7B77">
        <w:t xml:space="preserve">that </w:t>
      </w:r>
      <w:r w:rsidR="00C068C3">
        <w:t xml:space="preserve">newly treated </w:t>
      </w:r>
      <w:r w:rsidR="002B7B77">
        <w:t xml:space="preserve">patients are </w:t>
      </w:r>
      <w:r w:rsidR="00F32473">
        <w:t xml:space="preserve">as </w:t>
      </w:r>
      <w:r w:rsidR="002B7B77">
        <w:t xml:space="preserve">adherent </w:t>
      </w:r>
      <w:r w:rsidR="00F32473">
        <w:t xml:space="preserve">to </w:t>
      </w:r>
      <w:r w:rsidR="002B7B77">
        <w:t>high intensity regimens</w:t>
      </w:r>
      <w:r w:rsidR="00F32473">
        <w:t xml:space="preserve"> as to lower intensity regimens</w:t>
      </w:r>
      <w:r w:rsidR="00AA72F9">
        <w:t>,</w:t>
      </w:r>
      <w:r w:rsidR="002B7B77">
        <w:t xml:space="preserve"> but also demonstrates the </w:t>
      </w:r>
      <w:r w:rsidR="009D5C77">
        <w:t xml:space="preserve">joint </w:t>
      </w:r>
      <w:r w:rsidR="00E14915">
        <w:t>effects of both</w:t>
      </w:r>
      <w:r>
        <w:t xml:space="preserve"> adherence and treatment intensity </w:t>
      </w:r>
      <w:r w:rsidR="002B7B77">
        <w:t xml:space="preserve">on the </w:t>
      </w:r>
      <w:r w:rsidR="00EA1E6B">
        <w:t xml:space="preserve">risk </w:t>
      </w:r>
      <w:r>
        <w:t xml:space="preserve">of </w:t>
      </w:r>
      <w:r w:rsidR="00AB72D1">
        <w:t>cardiovascular</w:t>
      </w:r>
      <w:r>
        <w:t xml:space="preserve"> events</w:t>
      </w:r>
      <w:r w:rsidR="009D5C77">
        <w:t xml:space="preserve"> which is likely mediated through the average reduction in LDL-C</w:t>
      </w:r>
      <w:r>
        <w:t xml:space="preserve">.  </w:t>
      </w:r>
      <w:r w:rsidR="00F32473">
        <w:t>H</w:t>
      </w:r>
      <w:r w:rsidR="00376755" w:rsidRPr="00376755">
        <w:t xml:space="preserve">igh intensity </w:t>
      </w:r>
      <w:r w:rsidR="00F558C4">
        <w:t>with</w:t>
      </w:r>
      <w:r w:rsidR="00F558C4" w:rsidRPr="00376755">
        <w:t xml:space="preserve"> </w:t>
      </w:r>
      <w:r w:rsidR="00376755" w:rsidRPr="00376755">
        <w:t>high adherence w</w:t>
      </w:r>
      <w:r w:rsidR="009D5C77">
        <w:t>as</w:t>
      </w:r>
      <w:r w:rsidR="00F558C4">
        <w:t xml:space="preserve"> </w:t>
      </w:r>
      <w:r w:rsidR="00376755" w:rsidRPr="00376755">
        <w:t xml:space="preserve">associated with </w:t>
      </w:r>
      <w:r w:rsidR="009D5C77">
        <w:t xml:space="preserve">the </w:t>
      </w:r>
      <w:r w:rsidR="00376755" w:rsidRPr="00376755">
        <w:t>lowe</w:t>
      </w:r>
      <w:r w:rsidR="009D5C77">
        <w:t xml:space="preserve">st </w:t>
      </w:r>
      <w:r w:rsidR="00376755" w:rsidRPr="00376755">
        <w:t xml:space="preserve">risk, and lower adherence </w:t>
      </w:r>
      <w:r w:rsidR="00F558C4">
        <w:t>with</w:t>
      </w:r>
      <w:r w:rsidR="00F558C4" w:rsidRPr="00376755">
        <w:t xml:space="preserve"> </w:t>
      </w:r>
      <w:r w:rsidR="00376755" w:rsidRPr="00376755">
        <w:t>lower intensity w</w:t>
      </w:r>
      <w:r w:rsidR="009D5C77">
        <w:t>as</w:t>
      </w:r>
      <w:r w:rsidR="00376755" w:rsidRPr="00376755">
        <w:t xml:space="preserve"> associated with </w:t>
      </w:r>
      <w:r w:rsidR="009D5C77">
        <w:t xml:space="preserve">the </w:t>
      </w:r>
      <w:r w:rsidR="00376755" w:rsidRPr="00376755">
        <w:t>highe</w:t>
      </w:r>
      <w:r w:rsidR="009D5C77">
        <w:t>st risk</w:t>
      </w:r>
      <w:r w:rsidR="00376755" w:rsidRPr="00376755">
        <w:t>.</w:t>
      </w:r>
      <w:r w:rsidR="00E14915">
        <w:t xml:space="preserve"> </w:t>
      </w:r>
      <w:r w:rsidR="004D3607">
        <w:t xml:space="preserve"> </w:t>
      </w:r>
      <w:r w:rsidR="00946D18">
        <w:t xml:space="preserve">Strategies </w:t>
      </w:r>
      <w:r w:rsidR="009D5C77">
        <w:t xml:space="preserve">which optimize LDL-C reduction through better use of high intensity statins </w:t>
      </w:r>
      <w:r w:rsidR="00FE3667">
        <w:t>and improved</w:t>
      </w:r>
      <w:r w:rsidR="0029216C">
        <w:t xml:space="preserve"> adherence </w:t>
      </w:r>
      <w:r w:rsidR="009D5C77">
        <w:t xml:space="preserve">could </w:t>
      </w:r>
      <w:r w:rsidR="0029216C">
        <w:t>reduce</w:t>
      </w:r>
      <w:r w:rsidR="00F32473">
        <w:t xml:space="preserve"> the risk of cardiovascular disease in </w:t>
      </w:r>
      <w:r w:rsidR="009D5C77">
        <w:t>high</w:t>
      </w:r>
      <w:r w:rsidR="00F558C4">
        <w:t>-</w:t>
      </w:r>
      <w:r w:rsidR="009D5C77">
        <w:t xml:space="preserve">risk </w:t>
      </w:r>
      <w:r w:rsidR="00F32473">
        <w:t>populations</w:t>
      </w:r>
      <w:r w:rsidR="00E14915">
        <w:t xml:space="preserve">.  </w:t>
      </w:r>
    </w:p>
    <w:p w14:paraId="35CAB69B" w14:textId="77777777" w:rsidR="00B06C31" w:rsidRPr="0004071B" w:rsidRDefault="00423117" w:rsidP="00E4324D">
      <w:pPr>
        <w:pStyle w:val="Heading1"/>
      </w:pPr>
      <w:r w:rsidRPr="0004071B">
        <w:br w:type="page"/>
      </w:r>
      <w:r w:rsidR="00B06C31" w:rsidRPr="0004071B">
        <w:lastRenderedPageBreak/>
        <w:t>Figures</w:t>
      </w:r>
    </w:p>
    <w:p w14:paraId="3CCC3286" w14:textId="77777777" w:rsidR="00B06C31" w:rsidRPr="0004071B" w:rsidRDefault="00B06C31" w:rsidP="00B06C31">
      <w:pPr>
        <w:pStyle w:val="Caption"/>
        <w:jc w:val="left"/>
      </w:pPr>
      <w:bookmarkStart w:id="5" w:name="_Ref146869115"/>
      <w:bookmarkStart w:id="6" w:name="_Ref146869001"/>
      <w:bookmarkStart w:id="7" w:name="_Ref146868977"/>
      <w:r w:rsidRPr="0004071B">
        <w:t xml:space="preserve">Figure </w:t>
      </w:r>
      <w:bookmarkEnd w:id="5"/>
      <w:r>
        <w:t>1</w:t>
      </w:r>
      <w:r w:rsidRPr="0004071B">
        <w:t xml:space="preserve">:  </w:t>
      </w:r>
      <w:r>
        <w:t>Proportion of Adherent Patients Over Time, by Cohort and Treatment Intensity</w:t>
      </w:r>
    </w:p>
    <w:p w14:paraId="00BB0CD6" w14:textId="1CBB6754" w:rsidR="00B06C31" w:rsidRPr="0004071B" w:rsidRDefault="008E6769" w:rsidP="00B06C31">
      <w:pPr>
        <w:pStyle w:val="Text"/>
      </w:pPr>
      <w:r>
        <w:rPr>
          <w:noProof/>
        </w:rPr>
        <w:drawing>
          <wp:inline distT="0" distB="0" distL="0" distR="0" wp14:anchorId="5C77B750" wp14:editId="1E8A548F">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pdf"/>
                    <pic:cNvPicPr/>
                  </pic:nvPicPr>
                  <pic:blipFill>
                    <a:blip r:embed="rId9"/>
                    <a:stretch>
                      <a:fillRect/>
                    </a:stretch>
                  </pic:blipFill>
                  <pic:spPr>
                    <a:xfrm>
                      <a:off x="0" y="0"/>
                      <a:ext cx="5943600" cy="4457700"/>
                    </a:xfrm>
                    <a:prstGeom prst="rect">
                      <a:avLst/>
                    </a:prstGeom>
                  </pic:spPr>
                </pic:pic>
              </a:graphicData>
            </a:graphic>
          </wp:inline>
        </w:drawing>
      </w:r>
    </w:p>
    <w:p w14:paraId="22E80C2A" w14:textId="4D63AEA1" w:rsidR="00B06C31" w:rsidRDefault="00B06C31" w:rsidP="00B06C31">
      <w:pPr>
        <w:pStyle w:val="Text"/>
      </w:pPr>
      <w:r w:rsidRPr="0004071B">
        <w:t xml:space="preserve">Note:  </w:t>
      </w:r>
      <w:r>
        <w:t xml:space="preserve">Adherent patients </w:t>
      </w:r>
      <w:r w:rsidR="00A64637">
        <w:t>defined as</w:t>
      </w:r>
      <w:r>
        <w:t xml:space="preserve"> those with a PDC of 80% or higher for the year. </w:t>
      </w:r>
      <w:r w:rsidR="00BF12FE">
        <w:t xml:space="preserve"> Mean duration of follow-up was approximately 3 years; therefore, sample sizes in </w:t>
      </w:r>
      <w:r w:rsidR="00237029">
        <w:t>Years 4-</w:t>
      </w:r>
      <w:r w:rsidR="00BF12FE">
        <w:t>6 are smaller.</w:t>
      </w:r>
    </w:p>
    <w:p w14:paraId="6FC4E3F2" w14:textId="14BFF4F9" w:rsidR="00D230F0" w:rsidRDefault="00D230F0">
      <w:pPr>
        <w:suppressAutoHyphens w:val="0"/>
        <w:spacing w:line="240" w:lineRule="auto"/>
      </w:pPr>
      <w:bookmarkStart w:id="8" w:name="_Ref174719699"/>
      <w:r>
        <w:br w:type="page"/>
      </w:r>
    </w:p>
    <w:p w14:paraId="4A29E03E" w14:textId="4196B8DC" w:rsidR="00C20C2C" w:rsidRDefault="00B06C31">
      <w:pPr>
        <w:pStyle w:val="Caption"/>
        <w:jc w:val="left"/>
      </w:pPr>
      <w:r w:rsidRPr="0004071B">
        <w:lastRenderedPageBreak/>
        <w:t xml:space="preserve">Figure </w:t>
      </w:r>
      <w:bookmarkEnd w:id="6"/>
      <w:bookmarkEnd w:id="8"/>
      <w:r w:rsidR="000D41BA">
        <w:t>2</w:t>
      </w:r>
      <w:r w:rsidRPr="0004071B">
        <w:t xml:space="preserve">:  </w:t>
      </w:r>
      <w:bookmarkEnd w:id="7"/>
      <w:r w:rsidR="00027A9B">
        <w:t xml:space="preserve">Cardiovascular Risk </w:t>
      </w:r>
      <w:r w:rsidR="00021A52">
        <w:t xml:space="preserve">Reduction </w:t>
      </w:r>
      <w:r w:rsidR="00027A9B">
        <w:t>and LDL-C Reduction</w:t>
      </w:r>
      <w:r w:rsidR="00EF0D21">
        <w:t xml:space="preserve"> </w:t>
      </w:r>
      <w:r w:rsidR="00C90217">
        <w:t>Using</w:t>
      </w:r>
      <w:r w:rsidR="00EF0D21">
        <w:t xml:space="preserve"> the Combined </w:t>
      </w:r>
      <w:r w:rsidR="00C90217">
        <w:t xml:space="preserve">Measure </w:t>
      </w:r>
      <w:r w:rsidR="00EF0D21">
        <w:t xml:space="preserve">of </w:t>
      </w:r>
      <w:r w:rsidR="006E2581">
        <w:t xml:space="preserve">Adherence and </w:t>
      </w:r>
      <w:r w:rsidR="00EF0D21">
        <w:t>Treatment Intensity</w:t>
      </w:r>
    </w:p>
    <w:p w14:paraId="6DDF0876" w14:textId="248258DC" w:rsidR="00880DC4" w:rsidRDefault="00EA3FAE" w:rsidP="00EE31CA">
      <w:r>
        <w:t>[</w:t>
      </w:r>
      <w:r w:rsidR="002621ED" w:rsidRPr="002621ED">
        <w:t>Cardiovascular Risk</w:t>
      </w:r>
      <w:r w:rsidR="00280A75">
        <w:t xml:space="preserve"> Panel</w:t>
      </w:r>
      <w:r>
        <w:t>]</w:t>
      </w:r>
    </w:p>
    <w:p w14:paraId="3797BBE6" w14:textId="7BDD7C20" w:rsidR="008E6769" w:rsidRDefault="008E6769" w:rsidP="00EE31CA">
      <w:r>
        <w:rPr>
          <w:noProof/>
        </w:rPr>
        <w:drawing>
          <wp:inline distT="0" distB="0" distL="0" distR="0" wp14:anchorId="7AEFBFC6" wp14:editId="53637F3D">
            <wp:extent cx="5486400" cy="685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2 CVD panel.pdf"/>
                    <pic:cNvPicPr/>
                  </pic:nvPicPr>
                  <pic:blipFill>
                    <a:blip r:embed="rId10"/>
                    <a:stretch>
                      <a:fillRect/>
                    </a:stretch>
                  </pic:blipFill>
                  <pic:spPr>
                    <a:xfrm>
                      <a:off x="0" y="0"/>
                      <a:ext cx="5486400" cy="6858000"/>
                    </a:xfrm>
                    <a:prstGeom prst="rect">
                      <a:avLst/>
                    </a:prstGeom>
                  </pic:spPr>
                </pic:pic>
              </a:graphicData>
            </a:graphic>
          </wp:inline>
        </w:drawing>
      </w:r>
    </w:p>
    <w:p w14:paraId="553B7D0E" w14:textId="77777777" w:rsidR="008E6769" w:rsidRDefault="008E6769" w:rsidP="00EE31CA">
      <w:pPr>
        <w:suppressAutoHyphens w:val="0"/>
        <w:spacing w:line="240" w:lineRule="auto"/>
      </w:pPr>
    </w:p>
    <w:p w14:paraId="3CBB19B2" w14:textId="77777777" w:rsidR="008E6769" w:rsidRDefault="008E6769">
      <w:pPr>
        <w:suppressAutoHyphens w:val="0"/>
        <w:spacing w:line="240" w:lineRule="auto"/>
      </w:pPr>
      <w:r>
        <w:br w:type="page"/>
      </w:r>
    </w:p>
    <w:p w14:paraId="2D26C6B0" w14:textId="0E6E68E7" w:rsidR="00C20C2C" w:rsidRDefault="00EA3FAE" w:rsidP="00EE31CA">
      <w:pPr>
        <w:suppressAutoHyphens w:val="0"/>
        <w:spacing w:line="240" w:lineRule="auto"/>
      </w:pPr>
      <w:r>
        <w:lastRenderedPageBreak/>
        <w:t>[</w:t>
      </w:r>
      <w:r w:rsidR="000124D6">
        <w:t xml:space="preserve"> </w:t>
      </w:r>
      <w:r w:rsidR="002621ED">
        <w:t xml:space="preserve">LDL-C </w:t>
      </w:r>
      <w:r w:rsidR="0029041C">
        <w:t>Reduction</w:t>
      </w:r>
      <w:r w:rsidR="00280A75">
        <w:t xml:space="preserve"> Panel</w:t>
      </w:r>
      <w:r>
        <w:t>]</w:t>
      </w:r>
    </w:p>
    <w:p w14:paraId="14A42FEE" w14:textId="5F13B6C1" w:rsidR="003E3326" w:rsidRPr="003E3326" w:rsidRDefault="008E6769" w:rsidP="00295783">
      <w:r>
        <w:rPr>
          <w:noProof/>
        </w:rPr>
        <w:drawing>
          <wp:inline distT="0" distB="0" distL="0" distR="0" wp14:anchorId="1256FD22" wp14:editId="75CFA6B6">
            <wp:extent cx="5486400" cy="685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2 LDL panel.pdf"/>
                    <pic:cNvPicPr/>
                  </pic:nvPicPr>
                  <pic:blipFill>
                    <a:blip r:embed="rId11"/>
                    <a:stretch>
                      <a:fillRect/>
                    </a:stretch>
                  </pic:blipFill>
                  <pic:spPr>
                    <a:xfrm>
                      <a:off x="0" y="0"/>
                      <a:ext cx="5486400" cy="6858000"/>
                    </a:xfrm>
                    <a:prstGeom prst="rect">
                      <a:avLst/>
                    </a:prstGeom>
                  </pic:spPr>
                </pic:pic>
              </a:graphicData>
            </a:graphic>
          </wp:inline>
        </w:drawing>
      </w:r>
    </w:p>
    <w:p w14:paraId="4CB3C858" w14:textId="4CF2DC2C" w:rsidR="007E2613" w:rsidRDefault="00B06C31" w:rsidP="00796904">
      <w:pPr>
        <w:pStyle w:val="Text"/>
      </w:pPr>
      <w:r w:rsidRPr="0004071B">
        <w:t xml:space="preserve">Note:  </w:t>
      </w:r>
      <w:r w:rsidR="00C90217">
        <w:t>A</w:t>
      </w:r>
      <w:r w:rsidR="003D71A1">
        <w:t>dherent</w:t>
      </w:r>
      <w:r w:rsidR="00EF0D21">
        <w:t xml:space="preserve"> </w:t>
      </w:r>
      <w:r w:rsidR="00C90217">
        <w:t xml:space="preserve">defined as </w:t>
      </w:r>
      <w:r w:rsidR="00307562">
        <w:t xml:space="preserve">proportion of days covered </w:t>
      </w:r>
      <w:r w:rsidR="00EF0D21">
        <w:t>≥ 80</w:t>
      </w:r>
      <w:r w:rsidR="00307562">
        <w:t>%</w:t>
      </w:r>
      <w:r w:rsidR="00EF0D21">
        <w:t xml:space="preserve">.  </w:t>
      </w:r>
      <w:r w:rsidR="00307562">
        <w:t xml:space="preserve">CVD = cardiovascular disease, CKD = chronic kidney disease.  </w:t>
      </w:r>
      <w:r w:rsidR="00FF2823">
        <w:t>Figures are based on the analysis of the combined adherence x intensity</w:t>
      </w:r>
      <w:r w:rsidR="00EF0D21">
        <w:t xml:space="preserve"> </w:t>
      </w:r>
      <w:r w:rsidR="00FF2823">
        <w:t xml:space="preserve">measure as a continuous variable.  </w:t>
      </w:r>
      <w:r w:rsidR="00160046">
        <w:t>For patient subgroups by adherence and intensity</w:t>
      </w:r>
      <w:r w:rsidR="00FF2823">
        <w:t xml:space="preserve">, </w:t>
      </w:r>
      <w:r w:rsidR="00160046">
        <w:t xml:space="preserve">labels illustrate </w:t>
      </w:r>
      <w:r w:rsidR="00FF2823">
        <w:t xml:space="preserve">the result </w:t>
      </w:r>
      <w:r w:rsidR="00160046">
        <w:t xml:space="preserve">at </w:t>
      </w:r>
      <w:r w:rsidR="00123B5F">
        <w:t xml:space="preserve">the </w:t>
      </w:r>
      <w:r w:rsidR="00EF0D21">
        <w:t xml:space="preserve">mean value </w:t>
      </w:r>
      <w:r w:rsidR="00123B5F">
        <w:t>of the combined measure</w:t>
      </w:r>
      <w:r w:rsidR="00FF2823">
        <w:t xml:space="preserve"> for the subgroup</w:t>
      </w:r>
      <w:r w:rsidR="00EF0D21">
        <w:t>.</w:t>
      </w:r>
      <w:r w:rsidR="00C90217">
        <w:t xml:space="preserve">  </w:t>
      </w:r>
      <w:r w:rsidR="002621ED">
        <w:lastRenderedPageBreak/>
        <w:t>Shaded areas reflect the 95% CI.  Cardiovascular risk m</w:t>
      </w:r>
      <w:r w:rsidR="00C90217">
        <w:t>odel</w:t>
      </w:r>
      <w:r w:rsidR="00FF2823">
        <w:t>s are</w:t>
      </w:r>
      <w:r w:rsidR="00C90217">
        <w:t xml:space="preserve"> adjusted for </w:t>
      </w:r>
      <w:r w:rsidR="00A17DB9">
        <w:t xml:space="preserve">initial use of high intensity therapy, </w:t>
      </w:r>
      <w:r w:rsidR="00C90217">
        <w:t xml:space="preserve">sex, smoking status, hypertension status, anti-thrombotic medication use, </w:t>
      </w:r>
      <w:r w:rsidR="00A81AA5">
        <w:t>chronic kidney disease (</w:t>
      </w:r>
      <w:r w:rsidR="00C90217">
        <w:t>CKD</w:t>
      </w:r>
      <w:r w:rsidR="00A81AA5">
        <w:t>)</w:t>
      </w:r>
      <w:r w:rsidR="00C90217">
        <w:t xml:space="preserve"> status (except CKD cohort), history of chronic CVD (CVD cohort only), diabetes status (except diabetes cohort), duration of diabetes (diabetes cohort only), atrial fibrillation status, year of follow-up, and Charlson comorbidity score.</w:t>
      </w:r>
      <w:r w:rsidR="00307562">
        <w:t xml:space="preserve"> </w:t>
      </w:r>
      <w:r w:rsidR="002621ED">
        <w:t>LDL-C change models</w:t>
      </w:r>
      <w:r w:rsidR="00307562">
        <w:t xml:space="preserve"> </w:t>
      </w:r>
      <w:r w:rsidR="002621ED">
        <w:t xml:space="preserve">include random effects for patient and baseline LDL-C above </w:t>
      </w:r>
      <w:r w:rsidR="00713716">
        <w:t>135 mg/</w:t>
      </w:r>
      <w:proofErr w:type="spellStart"/>
      <w:r w:rsidR="00713716">
        <w:t>dL</w:t>
      </w:r>
      <w:proofErr w:type="spellEnd"/>
      <w:r w:rsidR="002621ED">
        <w:t>, and fixed effects for age, sex, hypertension, smoking, CKD (except CKD cohort), diabetes (except diabetes cohort), Charlson score, and year of follow up.</w:t>
      </w:r>
      <w:r w:rsidR="00A64E4B">
        <w:t xml:space="preserve">  LDL-C change figures show the adjusted percent LDL-C change </w:t>
      </w:r>
      <w:r w:rsidR="00784A47">
        <w:t>for individuals</w:t>
      </w:r>
      <w:r w:rsidR="00A64E4B">
        <w:t xml:space="preserve">.  </w:t>
      </w:r>
    </w:p>
    <w:p w14:paraId="60DF9D29" w14:textId="058BBFE6" w:rsidR="00D91554" w:rsidRDefault="00B06C31">
      <w:pPr>
        <w:suppressAutoHyphens w:val="0"/>
        <w:spacing w:line="240" w:lineRule="auto"/>
        <w:rPr>
          <w:szCs w:val="22"/>
        </w:rPr>
      </w:pPr>
      <w:r w:rsidRPr="0004071B">
        <w:br w:type="page"/>
      </w:r>
    </w:p>
    <w:p w14:paraId="7BCFFF3F" w14:textId="57C090E0" w:rsidR="00790F77" w:rsidRPr="0004071B" w:rsidRDefault="00790F77" w:rsidP="00790F77">
      <w:pPr>
        <w:pStyle w:val="Caption"/>
        <w:jc w:val="left"/>
      </w:pPr>
      <w:r w:rsidRPr="0004071B">
        <w:lastRenderedPageBreak/>
        <w:t xml:space="preserve">Figure </w:t>
      </w:r>
      <w:r w:rsidR="000D41BA">
        <w:t>3</w:t>
      </w:r>
      <w:r w:rsidRPr="0004071B">
        <w:t xml:space="preserve">:  </w:t>
      </w:r>
      <w:r w:rsidR="00D825BA">
        <w:t>Cardiovascular Risk Reduction</w:t>
      </w:r>
      <w:r w:rsidR="00C90217">
        <w:t xml:space="preserve"> </w:t>
      </w:r>
      <w:r w:rsidR="00D825BA">
        <w:t xml:space="preserve">per </w:t>
      </w:r>
      <w:r w:rsidR="00E24623">
        <w:t>10% Increase in the</w:t>
      </w:r>
      <w:r w:rsidR="00C90217">
        <w:t xml:space="preserve"> Combined Measure of </w:t>
      </w:r>
      <w:r w:rsidR="006E2581">
        <w:t xml:space="preserve">Adherence and </w:t>
      </w:r>
      <w:r w:rsidR="00C90217">
        <w:t>Treatment Intensity for Documented CVD and Subgroups</w:t>
      </w:r>
    </w:p>
    <w:p w14:paraId="0F77E4A8" w14:textId="37AB13C6" w:rsidR="00B06C31" w:rsidRDefault="008E6769" w:rsidP="00375624">
      <w:pPr>
        <w:pStyle w:val="FigureLegend"/>
      </w:pPr>
      <w:r>
        <w:rPr>
          <w:noProof/>
        </w:rPr>
        <w:drawing>
          <wp:inline distT="0" distB="0" distL="0" distR="0" wp14:anchorId="39227250" wp14:editId="4A62BF6A">
            <wp:extent cx="5943600" cy="685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3.pdf"/>
                    <pic:cNvPicPr/>
                  </pic:nvPicPr>
                  <pic:blipFill>
                    <a:blip r:embed="rId12"/>
                    <a:stretch>
                      <a:fillRect/>
                    </a:stretch>
                  </pic:blipFill>
                  <pic:spPr>
                    <a:xfrm>
                      <a:off x="0" y="0"/>
                      <a:ext cx="5943600" cy="6858000"/>
                    </a:xfrm>
                    <a:prstGeom prst="rect">
                      <a:avLst/>
                    </a:prstGeom>
                  </pic:spPr>
                </pic:pic>
              </a:graphicData>
            </a:graphic>
          </wp:inline>
        </w:drawing>
      </w:r>
    </w:p>
    <w:p w14:paraId="38ACD80B" w14:textId="291CF1A5" w:rsidR="006E2581" w:rsidRDefault="00790F77" w:rsidP="00EE31CA">
      <w:pPr>
        <w:pStyle w:val="Text"/>
      </w:pPr>
      <w:r>
        <w:t xml:space="preserve">Note:  </w:t>
      </w:r>
      <w:r w:rsidR="00124724">
        <w:t xml:space="preserve">Subgroups </w:t>
      </w:r>
      <w:r>
        <w:t xml:space="preserve">are not mutually exclusive.  </w:t>
      </w:r>
      <w:r w:rsidR="00307562">
        <w:t xml:space="preserve">CV = cardiovascular, </w:t>
      </w:r>
      <w:r w:rsidR="005D135D">
        <w:t>CV</w:t>
      </w:r>
      <w:r w:rsidR="002A0349">
        <w:t>D</w:t>
      </w:r>
      <w:r w:rsidR="005D135D">
        <w:t xml:space="preserve"> = cardiovascular</w:t>
      </w:r>
      <w:r w:rsidR="002A0349">
        <w:t xml:space="preserve"> disease, MI = myocardial infarction</w:t>
      </w:r>
      <w:r w:rsidR="00687B89">
        <w:t>, PAD = peripheral artery disease, IS = ischemic stroke</w:t>
      </w:r>
      <w:r w:rsidR="00CF2180">
        <w:t>.</w:t>
      </w:r>
      <w:r w:rsidR="002E146A">
        <w:t xml:space="preserve">  Vascular beds range from 1 to 3 (coronary, cerebrovascular, peripheral).</w:t>
      </w:r>
      <w:r w:rsidR="00E77218" w:rsidRPr="00E77218">
        <w:t xml:space="preserve"> </w:t>
      </w:r>
      <w:r w:rsidR="00687B89">
        <w:t xml:space="preserve"> </w:t>
      </w:r>
      <w:r w:rsidR="00C90217">
        <w:t>Model adjusted for</w:t>
      </w:r>
      <w:r w:rsidR="00A17DB9">
        <w:t xml:space="preserve"> </w:t>
      </w:r>
      <w:r w:rsidR="00A17DB9">
        <w:lastRenderedPageBreak/>
        <w:t>initial use of high intensity therapy,</w:t>
      </w:r>
      <w:r w:rsidR="00C90217">
        <w:t xml:space="preserve"> sex, smoking status, hypertension status, anti-thrombotic medication use, </w:t>
      </w:r>
      <w:r w:rsidR="00A81AA5">
        <w:t>chronic kidney disease</w:t>
      </w:r>
      <w:r w:rsidR="00C90217">
        <w:t xml:space="preserve"> status, history of chronic CVD, diabetes status, atrial fibrillation status, year of follow-up, and Charlson comorbidity score</w:t>
      </w:r>
      <w:r w:rsidR="00E77218">
        <w:t>.</w:t>
      </w:r>
      <w:bookmarkStart w:id="9" w:name="_Ref146628626"/>
      <w:r w:rsidR="009B0F13">
        <w:br/>
      </w:r>
    </w:p>
    <w:p w14:paraId="50445A16" w14:textId="77777777" w:rsidR="00F070AD" w:rsidRPr="004629F0" w:rsidRDefault="00F070AD" w:rsidP="004629F0">
      <w:pPr>
        <w:sectPr w:rsidR="00F070AD" w:rsidRPr="004629F0" w:rsidSect="001D357A">
          <w:headerReference w:type="default" r:id="rId13"/>
          <w:footerReference w:type="default" r:id="rId14"/>
          <w:endnotePr>
            <w:numFmt w:val="decimal"/>
          </w:endnotePr>
          <w:pgSz w:w="12240" w:h="15840" w:code="1"/>
          <w:pgMar w:top="1440" w:right="1440" w:bottom="1440" w:left="1440" w:header="720" w:footer="720" w:gutter="0"/>
          <w:lnNumType w:countBy="1"/>
          <w:cols w:space="720"/>
          <w:docGrid w:linePitch="360"/>
        </w:sectPr>
      </w:pPr>
    </w:p>
    <w:p w14:paraId="54E094C6" w14:textId="3FEA9287" w:rsidR="00F070AD" w:rsidRDefault="00F070AD" w:rsidP="00E4324D">
      <w:pPr>
        <w:pStyle w:val="Heading1"/>
      </w:pPr>
      <w:r w:rsidRPr="0004071B">
        <w:lastRenderedPageBreak/>
        <w:t>Tables</w:t>
      </w:r>
    </w:p>
    <w:p w14:paraId="759FB28A" w14:textId="1E0F2F7B" w:rsidR="00B06C31" w:rsidRPr="0004071B" w:rsidRDefault="00B06C31" w:rsidP="00B06C31">
      <w:pPr>
        <w:pStyle w:val="Caption"/>
        <w:jc w:val="left"/>
      </w:pPr>
      <w:r w:rsidRPr="0004071B">
        <w:t xml:space="preserve">Table </w:t>
      </w:r>
      <w:bookmarkEnd w:id="9"/>
      <w:r w:rsidR="00236222">
        <w:t>1</w:t>
      </w:r>
      <w:r w:rsidRPr="0004071B">
        <w:t>:  Baseline Characteristics of the Cohorts</w:t>
      </w:r>
    </w:p>
    <w:tbl>
      <w:tblPr>
        <w:tblW w:w="9360" w:type="dxa"/>
        <w:tblLook w:val="04A0" w:firstRow="1" w:lastRow="0" w:firstColumn="1" w:lastColumn="0" w:noHBand="0" w:noVBand="1"/>
      </w:tblPr>
      <w:tblGrid>
        <w:gridCol w:w="3685"/>
        <w:gridCol w:w="1891"/>
        <w:gridCol w:w="1892"/>
        <w:gridCol w:w="1892"/>
      </w:tblGrid>
      <w:tr w:rsidR="00FA1541" w:rsidRPr="003A2F6E" w14:paraId="0CF27F9D" w14:textId="77777777" w:rsidTr="00EE31CA">
        <w:trPr>
          <w:trHeight w:val="432"/>
          <w:tblHeader/>
        </w:trPr>
        <w:tc>
          <w:tcPr>
            <w:tcW w:w="3685" w:type="dxa"/>
            <w:vMerge w:val="restart"/>
            <w:tcBorders>
              <w:top w:val="single" w:sz="4" w:space="0" w:color="000000"/>
              <w:left w:val="single" w:sz="4" w:space="0" w:color="000000"/>
              <w:right w:val="single" w:sz="4" w:space="0" w:color="000000"/>
            </w:tcBorders>
            <w:shd w:val="clear" w:color="auto" w:fill="FFFFFF"/>
            <w:vAlign w:val="center"/>
          </w:tcPr>
          <w:p w14:paraId="50840B5F" w14:textId="77777777" w:rsidR="00FA1541" w:rsidRPr="003A2F6E" w:rsidRDefault="00FA1541" w:rsidP="00EE31CA">
            <w:pPr>
              <w:spacing w:before="100" w:beforeAutospacing="1" w:after="100" w:afterAutospacing="1" w:line="240" w:lineRule="auto"/>
              <w:rPr>
                <w:rFonts w:cs="Arial"/>
                <w:b/>
                <w:color w:val="000000"/>
                <w:szCs w:val="22"/>
              </w:rPr>
            </w:pPr>
            <w:r w:rsidRPr="003A2F6E">
              <w:rPr>
                <w:rFonts w:cs="Arial"/>
                <w:b/>
                <w:color w:val="000000"/>
                <w:szCs w:val="22"/>
              </w:rPr>
              <w:t>Variable</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B52A8D" w14:textId="77777777" w:rsidR="00FA1541" w:rsidRPr="003A2F6E" w:rsidRDefault="00FA1541" w:rsidP="00EE31CA">
            <w:pPr>
              <w:spacing w:before="100" w:beforeAutospacing="1" w:after="100" w:afterAutospacing="1"/>
              <w:jc w:val="center"/>
              <w:rPr>
                <w:rFonts w:cs="Arial"/>
                <w:b/>
                <w:color w:val="000000"/>
                <w:szCs w:val="22"/>
              </w:rPr>
            </w:pPr>
            <w:r w:rsidRPr="003A2F6E">
              <w:rPr>
                <w:rFonts w:cs="Arial"/>
                <w:b/>
                <w:color w:val="000000"/>
                <w:szCs w:val="22"/>
              </w:rPr>
              <w:t>Documented CVD</w:t>
            </w:r>
            <w:r w:rsidRPr="003A2F6E">
              <w:rPr>
                <w:rFonts w:cs="Arial"/>
                <w:b/>
                <w:color w:val="000000"/>
                <w:szCs w:val="22"/>
              </w:rPr>
              <w:br/>
              <w:t>(N = 16,701)</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2E6AC4" w14:textId="77777777" w:rsidR="00FA1541" w:rsidRPr="003A2F6E" w:rsidRDefault="00FA1541" w:rsidP="00EE31CA">
            <w:pPr>
              <w:spacing w:before="100" w:beforeAutospacing="1" w:after="100" w:afterAutospacing="1"/>
              <w:jc w:val="center"/>
              <w:rPr>
                <w:rFonts w:cs="Arial"/>
                <w:b/>
                <w:color w:val="000000"/>
                <w:szCs w:val="22"/>
              </w:rPr>
            </w:pPr>
            <w:r w:rsidRPr="003A2F6E">
              <w:rPr>
                <w:rFonts w:cs="Arial"/>
                <w:b/>
                <w:color w:val="000000"/>
                <w:szCs w:val="22"/>
              </w:rPr>
              <w:t>Type 2 Diabetes without CVD or CKD</w:t>
            </w:r>
            <w:r w:rsidRPr="003A2F6E">
              <w:rPr>
                <w:rFonts w:cs="Arial"/>
                <w:b/>
                <w:color w:val="000000"/>
                <w:szCs w:val="22"/>
              </w:rPr>
              <w:br/>
              <w:t>(N = 12,422)</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C2D1AC" w14:textId="77777777" w:rsidR="00FA1541" w:rsidRPr="003A2F6E" w:rsidRDefault="00FA1541" w:rsidP="00EE31CA">
            <w:pPr>
              <w:spacing w:before="100" w:beforeAutospacing="1" w:after="100" w:afterAutospacing="1"/>
              <w:jc w:val="center"/>
              <w:rPr>
                <w:rFonts w:cs="Arial"/>
                <w:b/>
                <w:color w:val="000000"/>
                <w:szCs w:val="22"/>
              </w:rPr>
            </w:pPr>
            <w:r w:rsidRPr="003A2F6E">
              <w:rPr>
                <w:rFonts w:cs="Arial"/>
                <w:b/>
                <w:color w:val="000000"/>
                <w:szCs w:val="22"/>
              </w:rPr>
              <w:t>CKD without CVD</w:t>
            </w:r>
            <w:r w:rsidRPr="003A2F6E">
              <w:rPr>
                <w:rFonts w:cs="Arial"/>
                <w:b/>
                <w:color w:val="000000"/>
                <w:szCs w:val="22"/>
              </w:rPr>
              <w:br/>
              <w:t>(N = 674)</w:t>
            </w:r>
          </w:p>
        </w:tc>
      </w:tr>
      <w:tr w:rsidR="00FA1541" w:rsidRPr="003A2F6E" w14:paraId="5A01EAF7" w14:textId="77777777" w:rsidTr="00EE31CA">
        <w:trPr>
          <w:trHeight w:val="432"/>
          <w:tblHeader/>
        </w:trPr>
        <w:tc>
          <w:tcPr>
            <w:tcW w:w="3685" w:type="dxa"/>
            <w:vMerge/>
            <w:tcBorders>
              <w:left w:val="single" w:sz="4" w:space="0" w:color="000000"/>
              <w:bottom w:val="single" w:sz="4" w:space="0" w:color="000000"/>
              <w:right w:val="single" w:sz="4" w:space="0" w:color="000000"/>
            </w:tcBorders>
            <w:shd w:val="clear" w:color="auto" w:fill="FFFFFF"/>
            <w:vAlign w:val="center"/>
          </w:tcPr>
          <w:p w14:paraId="4E16727E" w14:textId="77777777" w:rsidR="00FA1541" w:rsidRPr="003A2F6E" w:rsidRDefault="00FA1541" w:rsidP="00EE31CA">
            <w:pPr>
              <w:spacing w:before="100" w:beforeAutospacing="1" w:after="100" w:afterAutospacing="1" w:line="240" w:lineRule="auto"/>
              <w:jc w:val="center"/>
              <w:rPr>
                <w:rFonts w:cs="Arial"/>
                <w:szCs w:val="22"/>
              </w:rPr>
            </w:pP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33180D"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b/>
                <w:color w:val="000000"/>
                <w:szCs w:val="22"/>
              </w:rPr>
              <w:t>Mean (SD) or No. (%)</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E811E" w14:textId="77777777" w:rsidR="00FA1541" w:rsidRPr="003A2F6E" w:rsidRDefault="00FA1541" w:rsidP="00EE31CA">
            <w:pPr>
              <w:spacing w:before="100" w:beforeAutospacing="1" w:after="100" w:afterAutospacing="1" w:line="240" w:lineRule="auto"/>
              <w:jc w:val="center"/>
              <w:rPr>
                <w:rFonts w:cs="Arial"/>
                <w:b/>
                <w:color w:val="000000"/>
                <w:szCs w:val="22"/>
              </w:rPr>
            </w:pPr>
            <w:r w:rsidRPr="003A2F6E">
              <w:rPr>
                <w:rFonts w:cs="Arial"/>
                <w:b/>
                <w:color w:val="000000"/>
                <w:szCs w:val="22"/>
              </w:rPr>
              <w:t>Mean (SD) or No. (%)</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1C1FEF" w14:textId="77777777" w:rsidR="00FA1541" w:rsidRPr="003A2F6E" w:rsidRDefault="00FA1541" w:rsidP="00EE31CA">
            <w:pPr>
              <w:spacing w:before="100" w:beforeAutospacing="1" w:after="100" w:afterAutospacing="1" w:line="240" w:lineRule="auto"/>
              <w:jc w:val="center"/>
              <w:rPr>
                <w:rFonts w:cs="Arial"/>
                <w:b/>
                <w:color w:val="000000"/>
                <w:szCs w:val="22"/>
              </w:rPr>
            </w:pPr>
            <w:r w:rsidRPr="003A2F6E">
              <w:rPr>
                <w:rFonts w:cs="Arial"/>
                <w:b/>
                <w:color w:val="000000"/>
                <w:szCs w:val="22"/>
              </w:rPr>
              <w:t>Mean (SD) or No. (%)</w:t>
            </w:r>
          </w:p>
        </w:tc>
      </w:tr>
      <w:tr w:rsidR="00FA1541" w:rsidRPr="003A2F6E" w14:paraId="20D86AD5"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9FE917"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Age (years)</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BDC54A"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68.3 (13.2)</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46689E"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59.3 (12.4)</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287333"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67.3 (15.1)</w:t>
            </w:r>
          </w:p>
        </w:tc>
      </w:tr>
      <w:tr w:rsidR="00FA1541" w:rsidRPr="003A2F6E" w14:paraId="0AC4B99F"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87383C"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Male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851AE2"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10,117 (60.6%)</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6515B5"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6,832 (55.0%)</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FEB725"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317 (47.0%)</w:t>
            </w:r>
          </w:p>
        </w:tc>
      </w:tr>
      <w:tr w:rsidR="00FA1541" w:rsidRPr="003A2F6E" w14:paraId="35259C03"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1BE90"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BMI (kg/m</w:t>
            </w:r>
            <w:r w:rsidRPr="003A2F6E">
              <w:rPr>
                <w:rFonts w:cs="Arial"/>
                <w:color w:val="000000"/>
                <w:szCs w:val="22"/>
                <w:vertAlign w:val="superscript"/>
              </w:rPr>
              <w:t>2</w:t>
            </w:r>
            <w:r w:rsidRPr="003A2F6E">
              <w:rPr>
                <w:rFonts w:cs="Arial"/>
                <w:color w:val="000000"/>
                <w:szCs w:val="22"/>
              </w:rPr>
              <w:t xml:space="preserve">) </w:t>
            </w:r>
            <w:r w:rsidRPr="003A2F6E">
              <w:rPr>
                <w:rFonts w:cs="Arial"/>
                <w:color w:val="000000"/>
                <w:szCs w:val="22"/>
                <w:vertAlign w:val="superscript"/>
              </w:rPr>
              <w:t>a</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85DD3"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27.6 (5.4)</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C43460"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32.3 (6.6)</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1A4714"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29.3 (6.2)</w:t>
            </w:r>
          </w:p>
        </w:tc>
      </w:tr>
      <w:tr w:rsidR="00FA1541" w:rsidRPr="003A2F6E" w14:paraId="7E34E5FE"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DEFF72"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Follow-up Time (years)</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FAA8E2"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2.9 (1.5)</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DB24D"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3.1 (1.5)</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1E29C2"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3.2 (1.6)</w:t>
            </w:r>
          </w:p>
        </w:tc>
      </w:tr>
      <w:tr w:rsidR="00FA1541" w:rsidRPr="003A2F6E" w14:paraId="6C3482BD"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683E7A" w14:textId="77777777" w:rsidR="00FA1541" w:rsidRPr="003A2F6E" w:rsidRDefault="00FA1541" w:rsidP="00EE31CA">
            <w:pPr>
              <w:spacing w:before="100" w:beforeAutospacing="1" w:after="100" w:afterAutospacing="1"/>
              <w:rPr>
                <w:rFonts w:cs="Arial"/>
                <w:b/>
                <w:szCs w:val="22"/>
              </w:rPr>
            </w:pPr>
            <w:r w:rsidRPr="003A2F6E">
              <w:rPr>
                <w:rFonts w:cs="Arial"/>
                <w:b/>
                <w:color w:val="000000"/>
                <w:szCs w:val="22"/>
              </w:rPr>
              <w:t>Smoking</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31BC3E" w14:textId="77777777" w:rsidR="00FA1541" w:rsidRPr="003A2F6E" w:rsidRDefault="00FA1541" w:rsidP="00EE31CA">
            <w:pPr>
              <w:spacing w:before="100" w:beforeAutospacing="1" w:after="100" w:afterAutospacing="1"/>
              <w:rPr>
                <w:rFonts w:cs="Arial"/>
                <w:b/>
                <w:szCs w:val="22"/>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F5BE8" w14:textId="77777777" w:rsidR="00FA1541" w:rsidRPr="003A2F6E" w:rsidRDefault="00FA1541" w:rsidP="00EE31CA">
            <w:pPr>
              <w:spacing w:before="100" w:beforeAutospacing="1" w:after="100" w:afterAutospacing="1"/>
              <w:rPr>
                <w:rFonts w:cs="Arial"/>
                <w:b/>
                <w:szCs w:val="22"/>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45B4C3" w14:textId="77777777" w:rsidR="00FA1541" w:rsidRPr="003A2F6E" w:rsidRDefault="00FA1541" w:rsidP="00EE31CA">
            <w:pPr>
              <w:spacing w:before="100" w:beforeAutospacing="1" w:after="100" w:afterAutospacing="1"/>
              <w:rPr>
                <w:rFonts w:cs="Arial"/>
                <w:b/>
                <w:szCs w:val="22"/>
              </w:rPr>
            </w:pPr>
          </w:p>
        </w:tc>
      </w:tr>
      <w:tr w:rsidR="00FA1541" w:rsidRPr="003A2F6E" w14:paraId="74F6004D"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888E10"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Current Smoker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EC9F6"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3,246 (19.4%)</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56CD83"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2,210 (17.8%)</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17110E"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103 (15.3%)</w:t>
            </w:r>
          </w:p>
        </w:tc>
      </w:tr>
      <w:tr w:rsidR="00FA1541" w:rsidRPr="003A2F6E" w14:paraId="6C2D44E5"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768F59"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Former Smoker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660919"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6,384 (38.2%)</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77CDA9"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3,990 (32.1%)</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19B478"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228 (33.8%)</w:t>
            </w:r>
          </w:p>
        </w:tc>
      </w:tr>
      <w:tr w:rsidR="00FA1541" w:rsidRPr="003A2F6E" w14:paraId="3A43F1A8"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B8F536"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Never Smoker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A3E160"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7,071 (42.3%)</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09E1A9"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6,222 (50.1%)</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22FCAA"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343 (50.9%)</w:t>
            </w:r>
          </w:p>
        </w:tc>
      </w:tr>
      <w:tr w:rsidR="00FA1541" w:rsidRPr="003A2F6E" w14:paraId="21A94E1B"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9A8316" w14:textId="77777777" w:rsidR="00FA1541" w:rsidRPr="003A2F6E" w:rsidRDefault="00FA1541" w:rsidP="00EE31CA">
            <w:pPr>
              <w:spacing w:before="100" w:beforeAutospacing="1" w:after="100" w:afterAutospacing="1"/>
              <w:rPr>
                <w:rFonts w:cs="Arial"/>
                <w:b/>
                <w:szCs w:val="22"/>
              </w:rPr>
            </w:pPr>
            <w:r w:rsidRPr="003A2F6E">
              <w:rPr>
                <w:rFonts w:cs="Arial"/>
                <w:b/>
                <w:color w:val="000000"/>
                <w:szCs w:val="22"/>
              </w:rPr>
              <w:t>Charlson Comorbidity Index</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A3C0A7" w14:textId="77777777" w:rsidR="00FA1541" w:rsidRPr="003A2F6E" w:rsidRDefault="00FA1541" w:rsidP="00EE31CA">
            <w:pPr>
              <w:spacing w:before="100" w:beforeAutospacing="1" w:after="100" w:afterAutospacing="1"/>
              <w:rPr>
                <w:rFonts w:cs="Arial"/>
                <w:b/>
                <w:szCs w:val="22"/>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22A275" w14:textId="77777777" w:rsidR="00FA1541" w:rsidRPr="003A2F6E" w:rsidRDefault="00FA1541" w:rsidP="00EE31CA">
            <w:pPr>
              <w:spacing w:before="100" w:beforeAutospacing="1" w:after="100" w:afterAutospacing="1"/>
              <w:rPr>
                <w:rFonts w:cs="Arial"/>
                <w:b/>
                <w:szCs w:val="22"/>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BF2989" w14:textId="77777777" w:rsidR="00FA1541" w:rsidRPr="003A2F6E" w:rsidRDefault="00FA1541" w:rsidP="00EE31CA">
            <w:pPr>
              <w:spacing w:before="100" w:beforeAutospacing="1" w:after="100" w:afterAutospacing="1"/>
              <w:rPr>
                <w:rFonts w:cs="Arial"/>
                <w:b/>
                <w:szCs w:val="22"/>
              </w:rPr>
            </w:pPr>
          </w:p>
        </w:tc>
      </w:tr>
      <w:tr w:rsidR="00FA1541" w:rsidRPr="003A2F6E" w14:paraId="272D6FF7"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261368"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Charlson 0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C3866E"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4,040 (24.2%)</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08D101"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68 (0.5%)</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46B8D5"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141 (20.9%)</w:t>
            </w:r>
          </w:p>
        </w:tc>
      </w:tr>
      <w:tr w:rsidR="00FA1541" w:rsidRPr="003A2F6E" w14:paraId="64D5C65B"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2D0D22"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Charlson 1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5D7FE1"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6,531 (39.1%)</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FFD33A"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7,646 (61.6%)</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570E8B"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87 (12.9%)</w:t>
            </w:r>
          </w:p>
        </w:tc>
      </w:tr>
      <w:tr w:rsidR="00FA1541" w:rsidRPr="003A2F6E" w14:paraId="1EAEEF19"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27856B"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Charlson 2+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365D73"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6,130 (36.7%)</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ABB6C2"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4,708 (37.9%)</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8EE9DF"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446 (66.2%)</w:t>
            </w:r>
          </w:p>
        </w:tc>
      </w:tr>
      <w:tr w:rsidR="00FA1541" w:rsidRPr="003A2F6E" w14:paraId="57CC8E84"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758E4" w14:textId="77777777" w:rsidR="00FA1541" w:rsidRPr="003A2F6E" w:rsidRDefault="00FA1541" w:rsidP="00EE31CA">
            <w:pPr>
              <w:spacing w:before="100" w:beforeAutospacing="1" w:after="100" w:afterAutospacing="1"/>
              <w:rPr>
                <w:rFonts w:cs="Arial"/>
                <w:b/>
                <w:color w:val="000000"/>
                <w:szCs w:val="22"/>
              </w:rPr>
            </w:pPr>
            <w:r w:rsidRPr="003A2F6E">
              <w:rPr>
                <w:rFonts w:cs="Arial"/>
                <w:b/>
                <w:color w:val="000000"/>
                <w:szCs w:val="22"/>
              </w:rPr>
              <w:t>Risk Factors</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B9EF41" w14:textId="77777777" w:rsidR="00FA1541" w:rsidRPr="003A2F6E" w:rsidRDefault="00FA1541" w:rsidP="00EE31CA">
            <w:pPr>
              <w:spacing w:before="100" w:beforeAutospacing="1" w:after="100" w:afterAutospacing="1"/>
              <w:rPr>
                <w:rFonts w:cs="Arial"/>
                <w:b/>
                <w:color w:val="000000"/>
                <w:szCs w:val="22"/>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1C74F1" w14:textId="77777777" w:rsidR="00FA1541" w:rsidRPr="003A2F6E" w:rsidRDefault="00FA1541" w:rsidP="00EE31CA">
            <w:pPr>
              <w:spacing w:before="100" w:beforeAutospacing="1" w:after="100" w:afterAutospacing="1"/>
              <w:rPr>
                <w:rFonts w:cs="Arial"/>
                <w:b/>
                <w:color w:val="000000"/>
                <w:szCs w:val="22"/>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BF23C7" w14:textId="77777777" w:rsidR="00FA1541" w:rsidRPr="003A2F6E" w:rsidRDefault="00FA1541" w:rsidP="00EE31CA">
            <w:pPr>
              <w:spacing w:before="100" w:beforeAutospacing="1" w:after="100" w:afterAutospacing="1"/>
              <w:rPr>
                <w:rFonts w:cs="Arial"/>
                <w:b/>
                <w:color w:val="000000"/>
                <w:szCs w:val="22"/>
              </w:rPr>
            </w:pPr>
          </w:p>
        </w:tc>
      </w:tr>
      <w:tr w:rsidR="00FA1541" w:rsidRPr="003A2F6E" w14:paraId="0E07B50D"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84364B"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Hypertension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23BB01"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14,455 (86.6%)</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C9F472"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8,605 (69.3%)</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B3A683"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581 (86.2%)</w:t>
            </w:r>
          </w:p>
        </w:tc>
      </w:tr>
      <w:tr w:rsidR="00FA1541" w:rsidRPr="003A2F6E" w14:paraId="7C9B2149"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B975CF"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Type 2 Diabetes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E967FB"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1,043 (6.2%)</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6E398"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12,422 (100.0%)</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962F22"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126 (18.7%)</w:t>
            </w:r>
          </w:p>
        </w:tc>
      </w:tr>
      <w:tr w:rsidR="00FA1541" w:rsidRPr="003A2F6E" w14:paraId="1A16117D"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58E9F9"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Potential Familial Hypercholesterolemia </w:t>
            </w:r>
            <w:r w:rsidRPr="003A2F6E">
              <w:rPr>
                <w:rFonts w:cs="Arial"/>
                <w:color w:val="000000"/>
                <w:szCs w:val="22"/>
                <w:vertAlign w:val="superscript"/>
              </w:rPr>
              <w:t>b</w:t>
            </w:r>
            <w:r w:rsidRPr="003A2F6E">
              <w:rPr>
                <w:rFonts w:cs="Arial"/>
                <w:color w:val="000000"/>
                <w:szCs w:val="22"/>
              </w:rPr>
              <w:t xml:space="preserve">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14EA6B"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15 (0.1%)</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71F977"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13 (0.1%)</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7C27F7"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 (0.1%)</w:t>
            </w:r>
          </w:p>
        </w:tc>
      </w:tr>
      <w:tr w:rsidR="00FA1541" w:rsidRPr="003A2F6E" w14:paraId="3ED23609"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A9AB52"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Stage 4-5 CKD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1E4A80"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286 (1.7%)</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1CBE96"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0 (0.0%)</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C828CD"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674 (100.0%)</w:t>
            </w:r>
          </w:p>
        </w:tc>
      </w:tr>
      <w:tr w:rsidR="00FA1541" w:rsidRPr="003A2F6E" w14:paraId="1FFF4B4D"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6FDF46"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Anti-hypertensive drug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D53866"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12,833 (76.8%)</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E19532"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6,420 (51.7%)</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256778"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509 (75.5%)</w:t>
            </w:r>
          </w:p>
        </w:tc>
      </w:tr>
      <w:tr w:rsidR="00FA1541" w:rsidRPr="003A2F6E" w14:paraId="6C5A0533"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F8813F"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Anti-thrombotic drug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83112D"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14,114 (84.5%)</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36A32C"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1,614 (13.0%)</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1E8ED2"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226 (33.5%)</w:t>
            </w:r>
          </w:p>
        </w:tc>
      </w:tr>
      <w:tr w:rsidR="00FA1541" w:rsidRPr="003A2F6E" w14:paraId="1C141FAA"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86597B" w14:textId="77777777" w:rsidR="00FA1541" w:rsidRPr="003A2F6E" w:rsidRDefault="00FA1541" w:rsidP="00EE31CA">
            <w:pPr>
              <w:spacing w:before="100" w:beforeAutospacing="1" w:after="100" w:afterAutospacing="1" w:line="240" w:lineRule="auto"/>
              <w:jc w:val="right"/>
              <w:rPr>
                <w:rFonts w:cs="Arial"/>
                <w:color w:val="000000"/>
                <w:szCs w:val="22"/>
              </w:rPr>
            </w:pPr>
            <w:r w:rsidRPr="003A2F6E">
              <w:rPr>
                <w:rFonts w:cs="Arial"/>
                <w:color w:val="000000"/>
                <w:szCs w:val="22"/>
              </w:rPr>
              <w:t>Anti-diabetic drug</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23A983"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726 (4.3%)</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2ADAAA"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8,159 (65.7%)</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135797"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104 (15.4%)</w:t>
            </w:r>
          </w:p>
        </w:tc>
      </w:tr>
      <w:tr w:rsidR="00FA1541" w:rsidRPr="003A2F6E" w14:paraId="29FF855A"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0F6E23"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Atrial Fibrillation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010317"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1,584 (9.5%)</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E0630C"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373 (3.0%)</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448718"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62 (9.2%)</w:t>
            </w:r>
          </w:p>
        </w:tc>
      </w:tr>
      <w:tr w:rsidR="00FA1541" w:rsidRPr="003A2F6E" w14:paraId="6ED564A9"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B9B2C"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Systolic Blood Pressure (mmHg) </w:t>
            </w:r>
            <w:r w:rsidRPr="003A2F6E">
              <w:rPr>
                <w:rFonts w:cs="Arial"/>
                <w:color w:val="000000"/>
                <w:szCs w:val="22"/>
                <w:vertAlign w:val="superscript"/>
              </w:rPr>
              <w:t>a</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6CB9C8"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138 (15.7)</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1FFC7B"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139 (14.0)</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25D7D2"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139 (15.6)</w:t>
            </w:r>
          </w:p>
        </w:tc>
      </w:tr>
      <w:tr w:rsidR="00FA1541" w:rsidRPr="003A2F6E" w14:paraId="50AD0054"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838B47"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lastRenderedPageBreak/>
              <w:t>Diastolic Blood Pressure (mmHg)</w:t>
            </w:r>
            <w:r w:rsidRPr="003A2F6E">
              <w:rPr>
                <w:rFonts w:cs="Arial"/>
                <w:color w:val="000000"/>
                <w:szCs w:val="22"/>
                <w:vertAlign w:val="superscript"/>
              </w:rPr>
              <w:t xml:space="preserve"> a</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2DB37"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79 (8.8)</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209E34"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82 (8.3)</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6206D5"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79 (8.7)</w:t>
            </w:r>
          </w:p>
        </w:tc>
      </w:tr>
      <w:tr w:rsidR="00FA1541" w:rsidRPr="003A2F6E" w14:paraId="160DFC7A"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F28663" w14:textId="77777777" w:rsidR="00FA1541" w:rsidRPr="003A2F6E" w:rsidRDefault="00FA1541" w:rsidP="00EE31CA">
            <w:pPr>
              <w:spacing w:before="100" w:beforeAutospacing="1" w:after="100" w:afterAutospacing="1" w:line="240" w:lineRule="auto"/>
              <w:jc w:val="right"/>
              <w:rPr>
                <w:rFonts w:cs="Arial"/>
                <w:color w:val="000000"/>
                <w:szCs w:val="22"/>
              </w:rPr>
            </w:pPr>
            <w:r w:rsidRPr="003A2F6E">
              <w:rPr>
                <w:rFonts w:cs="Arial"/>
                <w:color w:val="000000"/>
                <w:szCs w:val="22"/>
              </w:rPr>
              <w:t xml:space="preserve">Chronic Disease Medications (Multimorbidity/ Polypharmacy) </w:t>
            </w:r>
            <w:r w:rsidRPr="003A2F6E">
              <w:rPr>
                <w:rFonts w:cs="Arial"/>
                <w:color w:val="000000"/>
                <w:szCs w:val="22"/>
                <w:vertAlign w:val="superscript"/>
              </w:rPr>
              <w:t>c</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1A3EB5"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5.7 (3.8)</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E48F2D"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4.8 (3.6)</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55A0FD"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6.6 (4.2)</w:t>
            </w:r>
          </w:p>
        </w:tc>
      </w:tr>
      <w:tr w:rsidR="00FA1541" w:rsidRPr="003A2F6E" w14:paraId="5BCB0CE1"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9BA3BF" w14:textId="77777777" w:rsidR="00FA1541" w:rsidRPr="003A2F6E" w:rsidRDefault="00FA1541" w:rsidP="00EE31CA">
            <w:pPr>
              <w:spacing w:before="100" w:beforeAutospacing="1" w:after="100" w:afterAutospacing="1"/>
              <w:rPr>
                <w:rFonts w:cs="Arial"/>
                <w:b/>
                <w:szCs w:val="22"/>
              </w:rPr>
            </w:pPr>
            <w:r w:rsidRPr="003A2F6E">
              <w:rPr>
                <w:rFonts w:cs="Arial"/>
                <w:b/>
                <w:color w:val="000000"/>
                <w:szCs w:val="22"/>
              </w:rPr>
              <w:t>Cholesterol Measures</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E59E8B" w14:textId="77777777" w:rsidR="00FA1541" w:rsidRPr="003A2F6E" w:rsidRDefault="00FA1541" w:rsidP="00EE31CA">
            <w:pPr>
              <w:spacing w:before="100" w:beforeAutospacing="1" w:after="100" w:afterAutospacing="1"/>
              <w:rPr>
                <w:rFonts w:cs="Arial"/>
                <w:b/>
                <w:szCs w:val="22"/>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001144" w14:textId="77777777" w:rsidR="00FA1541" w:rsidRPr="003A2F6E" w:rsidRDefault="00FA1541" w:rsidP="00EE31CA">
            <w:pPr>
              <w:spacing w:before="100" w:beforeAutospacing="1" w:after="100" w:afterAutospacing="1"/>
              <w:rPr>
                <w:rFonts w:cs="Arial"/>
                <w:b/>
                <w:szCs w:val="22"/>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A31E38" w14:textId="77777777" w:rsidR="00FA1541" w:rsidRPr="003A2F6E" w:rsidRDefault="00FA1541" w:rsidP="00EE31CA">
            <w:pPr>
              <w:spacing w:before="100" w:beforeAutospacing="1" w:after="100" w:afterAutospacing="1"/>
              <w:rPr>
                <w:rFonts w:cs="Arial"/>
                <w:b/>
                <w:szCs w:val="22"/>
              </w:rPr>
            </w:pPr>
          </w:p>
        </w:tc>
      </w:tr>
      <w:tr w:rsidR="00FA1541" w:rsidRPr="003A2F6E" w14:paraId="19B5B09E"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B9F8F8"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LDL Cholesterol (mg/</w:t>
            </w:r>
            <w:proofErr w:type="spellStart"/>
            <w:r w:rsidRPr="003A2F6E">
              <w:rPr>
                <w:rFonts w:cs="Arial"/>
                <w:color w:val="000000"/>
                <w:szCs w:val="22"/>
              </w:rPr>
              <w:t>dL</w:t>
            </w:r>
            <w:proofErr w:type="spellEnd"/>
            <w:r w:rsidRPr="003A2F6E">
              <w:rPr>
                <w:rFonts w:cs="Arial"/>
                <w:color w:val="000000"/>
                <w:szCs w:val="22"/>
              </w:rPr>
              <w:t>)</w:t>
            </w:r>
            <w:r w:rsidRPr="003A2F6E">
              <w:rPr>
                <w:rFonts w:cs="Arial"/>
                <w:color w:val="000000"/>
                <w:szCs w:val="22"/>
                <w:vertAlign w:val="superscript"/>
              </w:rPr>
              <w:t xml:space="preserve"> a</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9104C7"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128 (39)</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713975"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135 (35)</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B61E50"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143 (39)</w:t>
            </w:r>
          </w:p>
        </w:tc>
      </w:tr>
      <w:tr w:rsidR="00FA1541" w:rsidRPr="003A2F6E" w14:paraId="4BD4AC97"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550CC"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Total Cholesterol (mg/</w:t>
            </w:r>
            <w:proofErr w:type="spellStart"/>
            <w:r w:rsidRPr="003A2F6E">
              <w:rPr>
                <w:rFonts w:cs="Arial"/>
                <w:color w:val="000000"/>
                <w:szCs w:val="22"/>
              </w:rPr>
              <w:t>dL</w:t>
            </w:r>
            <w:proofErr w:type="spellEnd"/>
            <w:r w:rsidRPr="003A2F6E">
              <w:rPr>
                <w:rFonts w:cs="Arial"/>
                <w:color w:val="000000"/>
                <w:szCs w:val="22"/>
              </w:rPr>
              <w:t>)</w:t>
            </w:r>
            <w:r w:rsidRPr="003A2F6E">
              <w:rPr>
                <w:rFonts w:cs="Arial"/>
                <w:color w:val="000000"/>
                <w:szCs w:val="22"/>
                <w:vertAlign w:val="superscript"/>
              </w:rPr>
              <w:t xml:space="preserve"> a</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39932E"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205 (46)</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D002DC"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220 (43)</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0A7FC6"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228 (50)</w:t>
            </w:r>
          </w:p>
        </w:tc>
      </w:tr>
      <w:tr w:rsidR="00FA1541" w:rsidRPr="003A2F6E" w14:paraId="647233C3"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EDF8A5"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HDL Cholesterol (mg/</w:t>
            </w:r>
            <w:proofErr w:type="spellStart"/>
            <w:r w:rsidRPr="003A2F6E">
              <w:rPr>
                <w:rFonts w:cs="Arial"/>
                <w:color w:val="000000"/>
                <w:szCs w:val="22"/>
              </w:rPr>
              <w:t>dL</w:t>
            </w:r>
            <w:proofErr w:type="spellEnd"/>
            <w:r w:rsidRPr="003A2F6E">
              <w:rPr>
                <w:rFonts w:cs="Arial"/>
                <w:color w:val="000000"/>
                <w:szCs w:val="22"/>
              </w:rPr>
              <w:t>)</w:t>
            </w:r>
            <w:r w:rsidRPr="003A2F6E">
              <w:rPr>
                <w:rFonts w:cs="Arial"/>
                <w:color w:val="000000"/>
                <w:szCs w:val="22"/>
                <w:vertAlign w:val="superscript"/>
              </w:rPr>
              <w:t xml:space="preserve"> a</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6898FA"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54 (15)</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C169C9"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46 (12)</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044259"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54 (15)</w:t>
            </w:r>
          </w:p>
        </w:tc>
      </w:tr>
      <w:tr w:rsidR="00FA1541" w:rsidRPr="003A2F6E" w14:paraId="3B0EC3D7"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389B1B" w14:textId="77777777" w:rsidR="00FA1541" w:rsidRPr="003A2F6E" w:rsidRDefault="00FA1541" w:rsidP="00EE31CA">
            <w:pPr>
              <w:spacing w:before="100" w:beforeAutospacing="1" w:after="100" w:afterAutospacing="1"/>
              <w:rPr>
                <w:rFonts w:cs="Arial"/>
                <w:b/>
                <w:szCs w:val="22"/>
              </w:rPr>
            </w:pPr>
            <w:r w:rsidRPr="003A2F6E">
              <w:rPr>
                <w:rFonts w:cs="Arial"/>
                <w:b/>
                <w:color w:val="000000"/>
                <w:szCs w:val="22"/>
              </w:rPr>
              <w:t>Initial Prescription</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3176C" w14:textId="77777777" w:rsidR="00FA1541" w:rsidRPr="003A2F6E" w:rsidRDefault="00FA1541" w:rsidP="00EE31CA">
            <w:pPr>
              <w:spacing w:before="100" w:beforeAutospacing="1" w:after="100" w:afterAutospacing="1"/>
              <w:rPr>
                <w:rFonts w:cs="Arial"/>
                <w:b/>
                <w:szCs w:val="22"/>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C68869" w14:textId="77777777" w:rsidR="00FA1541" w:rsidRPr="003A2F6E" w:rsidRDefault="00FA1541" w:rsidP="00EE31CA">
            <w:pPr>
              <w:spacing w:before="100" w:beforeAutospacing="1" w:after="100" w:afterAutospacing="1"/>
              <w:rPr>
                <w:rFonts w:cs="Arial"/>
                <w:b/>
                <w:szCs w:val="22"/>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6C1FDA" w14:textId="77777777" w:rsidR="00FA1541" w:rsidRPr="003A2F6E" w:rsidRDefault="00FA1541" w:rsidP="00EE31CA">
            <w:pPr>
              <w:spacing w:before="100" w:beforeAutospacing="1" w:after="100" w:afterAutospacing="1"/>
              <w:rPr>
                <w:rFonts w:cs="Arial"/>
                <w:b/>
                <w:szCs w:val="22"/>
              </w:rPr>
            </w:pPr>
          </w:p>
        </w:tc>
      </w:tr>
      <w:tr w:rsidR="00FA1541" w:rsidRPr="003A2F6E" w14:paraId="4DB11E93"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BDA2F"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High Intensity Statin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6E1710"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3,916 (23.4%)</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77A06C"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140 (1.1%)</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522062"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21 (3.1%)</w:t>
            </w:r>
          </w:p>
        </w:tc>
      </w:tr>
      <w:tr w:rsidR="00FA1541" w:rsidRPr="003A2F6E" w14:paraId="3EB0692F"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EED87A"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Moderate Intensity Statin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F38973"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12,364 (74.0%)</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ECE568"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11,743 (94.5%)</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299E73"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587 (87.1%)</w:t>
            </w:r>
          </w:p>
        </w:tc>
      </w:tr>
      <w:tr w:rsidR="00FA1541" w:rsidRPr="003A2F6E" w14:paraId="12A6234C"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C00DE3"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Low Intensity Statin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E180D4"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388 (2.3%)</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1803CF"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514 (4.1%)</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56D7EC"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61 (9.1%)</w:t>
            </w:r>
          </w:p>
        </w:tc>
      </w:tr>
      <w:tr w:rsidR="00FA1541" w:rsidRPr="003A2F6E" w14:paraId="44D85113"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A4D4AF"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Statin with Ezetimibe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7FE848"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5 (0.0%)</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FF0086"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6 (0.0%)</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C403F3"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2 (0.3%)</w:t>
            </w:r>
          </w:p>
        </w:tc>
      </w:tr>
      <w:tr w:rsidR="00FA1541" w:rsidRPr="003A2F6E" w14:paraId="23751222"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AB30E7" w14:textId="77777777" w:rsidR="00FA1541" w:rsidRPr="003A2F6E" w:rsidRDefault="00FA1541" w:rsidP="00EE31CA">
            <w:pPr>
              <w:spacing w:before="100" w:beforeAutospacing="1" w:after="100" w:afterAutospacing="1" w:line="240" w:lineRule="auto"/>
              <w:jc w:val="right"/>
              <w:rPr>
                <w:rFonts w:cs="Arial"/>
                <w:szCs w:val="22"/>
              </w:rPr>
            </w:pPr>
            <w:r w:rsidRPr="003A2F6E">
              <w:rPr>
                <w:rFonts w:cs="Arial"/>
                <w:color w:val="000000"/>
                <w:szCs w:val="22"/>
              </w:rPr>
              <w:t xml:space="preserve">Ezetimibe Alone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7FD014" w14:textId="77777777" w:rsidR="00FA1541" w:rsidRPr="003A2F6E" w:rsidRDefault="00FA1541" w:rsidP="00EE31CA">
            <w:pPr>
              <w:spacing w:before="100" w:beforeAutospacing="1" w:after="100" w:afterAutospacing="1" w:line="240" w:lineRule="auto"/>
              <w:jc w:val="center"/>
              <w:rPr>
                <w:rFonts w:cs="Arial"/>
                <w:szCs w:val="22"/>
              </w:rPr>
            </w:pPr>
            <w:r w:rsidRPr="003A2F6E">
              <w:rPr>
                <w:rFonts w:cs="Arial"/>
                <w:color w:val="000000"/>
                <w:szCs w:val="22"/>
              </w:rPr>
              <w:t>28 (0.2%)</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5E7803"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19 (0.2%)</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2F08E5"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3 (0.4%)</w:t>
            </w:r>
          </w:p>
        </w:tc>
      </w:tr>
      <w:tr w:rsidR="00FA1541" w:rsidRPr="003A2F6E" w14:paraId="3D5D5089"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456D21" w14:textId="77777777" w:rsidR="00FA1541" w:rsidRPr="003A2F6E" w:rsidRDefault="00FA1541" w:rsidP="00EE31CA">
            <w:pPr>
              <w:spacing w:before="100" w:beforeAutospacing="1" w:after="100" w:afterAutospacing="1" w:line="240" w:lineRule="auto"/>
              <w:rPr>
                <w:rFonts w:cs="Arial"/>
                <w:color w:val="000000"/>
                <w:szCs w:val="22"/>
              </w:rPr>
            </w:pPr>
            <w:r w:rsidRPr="003A2F6E">
              <w:rPr>
                <w:rFonts w:cs="Arial"/>
                <w:b/>
                <w:color w:val="000000"/>
                <w:szCs w:val="22"/>
              </w:rPr>
              <w:t xml:space="preserve">Last Prescription </w:t>
            </w:r>
            <w:r w:rsidRPr="003A2F6E">
              <w:rPr>
                <w:rFonts w:cs="Arial"/>
                <w:b/>
                <w:color w:val="000000"/>
                <w:szCs w:val="22"/>
                <w:vertAlign w:val="superscript"/>
              </w:rPr>
              <w:t>d</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786F77" w14:textId="77777777" w:rsidR="00FA1541" w:rsidRPr="003A2F6E" w:rsidRDefault="00FA1541" w:rsidP="00EE31CA">
            <w:pPr>
              <w:spacing w:before="100" w:beforeAutospacing="1" w:after="100" w:afterAutospacing="1" w:line="240" w:lineRule="auto"/>
              <w:jc w:val="center"/>
              <w:rPr>
                <w:rFonts w:cs="Arial"/>
                <w:color w:val="000000"/>
                <w:szCs w:val="22"/>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591852" w14:textId="77777777" w:rsidR="00FA1541" w:rsidRPr="003A2F6E" w:rsidRDefault="00FA1541" w:rsidP="00EE31CA">
            <w:pPr>
              <w:spacing w:before="100" w:beforeAutospacing="1" w:after="100" w:afterAutospacing="1" w:line="240" w:lineRule="auto"/>
              <w:jc w:val="center"/>
              <w:rPr>
                <w:rFonts w:cs="Arial"/>
                <w:color w:val="000000"/>
                <w:szCs w:val="22"/>
              </w:rPr>
            </w:pP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06F7CE" w14:textId="77777777" w:rsidR="00FA1541" w:rsidRPr="003A2F6E" w:rsidRDefault="00FA1541" w:rsidP="00EE31CA">
            <w:pPr>
              <w:spacing w:before="100" w:beforeAutospacing="1" w:after="100" w:afterAutospacing="1" w:line="240" w:lineRule="auto"/>
              <w:jc w:val="center"/>
              <w:rPr>
                <w:rFonts w:cs="Arial"/>
                <w:color w:val="000000"/>
                <w:szCs w:val="22"/>
              </w:rPr>
            </w:pPr>
          </w:p>
        </w:tc>
      </w:tr>
      <w:tr w:rsidR="00FA1541" w:rsidRPr="003A2F6E" w14:paraId="2B94B35F"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E7622D" w14:textId="77777777" w:rsidR="00FA1541" w:rsidRPr="003A2F6E" w:rsidRDefault="00FA1541" w:rsidP="00EE31CA">
            <w:pPr>
              <w:spacing w:before="100" w:beforeAutospacing="1" w:after="100" w:afterAutospacing="1" w:line="240" w:lineRule="auto"/>
              <w:jc w:val="right"/>
              <w:rPr>
                <w:rFonts w:cs="Arial"/>
                <w:b/>
                <w:color w:val="000000"/>
                <w:szCs w:val="22"/>
              </w:rPr>
            </w:pPr>
            <w:r w:rsidRPr="003A2F6E">
              <w:rPr>
                <w:rFonts w:cs="Arial"/>
                <w:color w:val="000000"/>
                <w:szCs w:val="22"/>
              </w:rPr>
              <w:t xml:space="preserve">High Intensity Statin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AE30FD"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3,050 (18.3%)</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9A2F2D"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586 (4.7%)</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10C64F"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23 (3.4%)</w:t>
            </w:r>
          </w:p>
        </w:tc>
      </w:tr>
      <w:tr w:rsidR="00FA1541" w:rsidRPr="003A2F6E" w14:paraId="4F4BDC7D"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B201EE" w14:textId="77777777" w:rsidR="00FA1541" w:rsidRPr="003A2F6E" w:rsidRDefault="00FA1541" w:rsidP="00EE31CA">
            <w:pPr>
              <w:spacing w:before="100" w:beforeAutospacing="1" w:after="100" w:afterAutospacing="1" w:line="240" w:lineRule="auto"/>
              <w:jc w:val="right"/>
              <w:rPr>
                <w:rFonts w:cs="Arial"/>
                <w:color w:val="000000"/>
                <w:szCs w:val="22"/>
              </w:rPr>
            </w:pPr>
            <w:r w:rsidRPr="003A2F6E">
              <w:rPr>
                <w:rFonts w:cs="Arial"/>
                <w:color w:val="000000"/>
                <w:szCs w:val="22"/>
              </w:rPr>
              <w:t xml:space="preserve">Moderate Intensity Statin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00C6B4"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7,653 (45.8%)</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D3A68E"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6,870 (55.3%)</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A98B25"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320 (47.5%)</w:t>
            </w:r>
          </w:p>
        </w:tc>
      </w:tr>
      <w:tr w:rsidR="00FA1541" w:rsidRPr="003A2F6E" w14:paraId="09A7FD65"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67D48" w14:textId="77777777" w:rsidR="00FA1541" w:rsidRPr="003A2F6E" w:rsidRDefault="00FA1541" w:rsidP="00EE31CA">
            <w:pPr>
              <w:spacing w:before="100" w:beforeAutospacing="1" w:after="100" w:afterAutospacing="1" w:line="240" w:lineRule="auto"/>
              <w:jc w:val="right"/>
              <w:rPr>
                <w:rFonts w:cs="Arial"/>
                <w:color w:val="000000"/>
                <w:szCs w:val="22"/>
              </w:rPr>
            </w:pPr>
            <w:r w:rsidRPr="003A2F6E">
              <w:rPr>
                <w:rFonts w:cs="Arial"/>
                <w:color w:val="000000"/>
                <w:szCs w:val="22"/>
              </w:rPr>
              <w:t xml:space="preserve">Low Intensity Statin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10ECC8"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345 (2.1%)</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585BEB"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376 (3.0%)</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CB271B"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38 (5.6%)</w:t>
            </w:r>
          </w:p>
        </w:tc>
      </w:tr>
      <w:tr w:rsidR="00FA1541" w:rsidRPr="003A2F6E" w14:paraId="025AFB9B"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B0C337" w14:textId="77777777" w:rsidR="00FA1541" w:rsidRPr="003A2F6E" w:rsidRDefault="00FA1541" w:rsidP="00EE31CA">
            <w:pPr>
              <w:spacing w:before="100" w:beforeAutospacing="1" w:after="100" w:afterAutospacing="1" w:line="240" w:lineRule="auto"/>
              <w:jc w:val="right"/>
              <w:rPr>
                <w:rFonts w:cs="Arial"/>
                <w:color w:val="000000"/>
                <w:szCs w:val="22"/>
              </w:rPr>
            </w:pPr>
            <w:r w:rsidRPr="003A2F6E">
              <w:rPr>
                <w:rFonts w:cs="Arial"/>
                <w:color w:val="000000"/>
                <w:szCs w:val="22"/>
              </w:rPr>
              <w:t xml:space="preserve">Statin with Ezetimibe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3DDF4E"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22 (0.1%)</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ACBABC"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14 (0.1%)</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847A76"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0 (0.0%)</w:t>
            </w:r>
          </w:p>
        </w:tc>
      </w:tr>
      <w:tr w:rsidR="00FA1541" w:rsidRPr="003A2F6E" w14:paraId="41712B90"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730ACC" w14:textId="77777777" w:rsidR="00FA1541" w:rsidRPr="003A2F6E" w:rsidRDefault="00FA1541" w:rsidP="00EE31CA">
            <w:pPr>
              <w:spacing w:before="100" w:beforeAutospacing="1" w:after="100" w:afterAutospacing="1" w:line="240" w:lineRule="auto"/>
              <w:jc w:val="right"/>
              <w:rPr>
                <w:rFonts w:cs="Arial"/>
                <w:color w:val="000000"/>
                <w:szCs w:val="22"/>
              </w:rPr>
            </w:pPr>
            <w:r w:rsidRPr="003A2F6E">
              <w:rPr>
                <w:rFonts w:cs="Arial"/>
                <w:color w:val="000000"/>
                <w:szCs w:val="22"/>
              </w:rPr>
              <w:t xml:space="preserve">Ezetimibe Alone </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723BBC"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73 (0.4%)</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A5D03"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56 (0.5%)</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7EFB08"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4 (0.6%)</w:t>
            </w:r>
          </w:p>
        </w:tc>
      </w:tr>
      <w:tr w:rsidR="00FA1541" w:rsidRPr="003A2F6E" w14:paraId="1F9A151D" w14:textId="77777777" w:rsidTr="00EE31CA">
        <w:trPr>
          <w:trHeight w:val="432"/>
        </w:trPr>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A0FBFF" w14:textId="77777777" w:rsidR="00FA1541" w:rsidRPr="003A2F6E" w:rsidRDefault="00FA1541" w:rsidP="00EE31CA">
            <w:pPr>
              <w:spacing w:before="100" w:beforeAutospacing="1" w:after="100" w:afterAutospacing="1" w:line="240" w:lineRule="auto"/>
              <w:jc w:val="right"/>
              <w:rPr>
                <w:rFonts w:cs="Arial"/>
                <w:color w:val="000000"/>
                <w:szCs w:val="22"/>
              </w:rPr>
            </w:pPr>
            <w:r w:rsidRPr="003A2F6E">
              <w:rPr>
                <w:rFonts w:cs="Arial"/>
                <w:color w:val="000000"/>
                <w:szCs w:val="22"/>
              </w:rPr>
              <w:t>None</w:t>
            </w:r>
          </w:p>
        </w:tc>
        <w:tc>
          <w:tcPr>
            <w:tcW w:w="18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F02075"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5,558 (33.3%)</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19F288"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4,520 (36.4%)</w:t>
            </w:r>
          </w:p>
        </w:tc>
        <w:tc>
          <w:tcPr>
            <w:tcW w:w="18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7A36EE" w14:textId="77777777" w:rsidR="00FA1541" w:rsidRPr="003A2F6E" w:rsidRDefault="00FA1541" w:rsidP="00EE31CA">
            <w:pPr>
              <w:spacing w:before="100" w:beforeAutospacing="1" w:after="100" w:afterAutospacing="1" w:line="240" w:lineRule="auto"/>
              <w:jc w:val="center"/>
              <w:rPr>
                <w:rFonts w:cs="Arial"/>
                <w:color w:val="000000"/>
                <w:szCs w:val="22"/>
              </w:rPr>
            </w:pPr>
            <w:r w:rsidRPr="003A2F6E">
              <w:rPr>
                <w:rFonts w:cs="Arial"/>
                <w:color w:val="000000"/>
                <w:szCs w:val="22"/>
              </w:rPr>
              <w:t>289 (42.9%)</w:t>
            </w:r>
          </w:p>
        </w:tc>
      </w:tr>
    </w:tbl>
    <w:p w14:paraId="0AF8C955" w14:textId="77777777" w:rsidR="00FA1541" w:rsidRDefault="00FA1541" w:rsidP="00375624">
      <w:pPr>
        <w:pStyle w:val="FigureLegend"/>
      </w:pPr>
    </w:p>
    <w:p w14:paraId="23389557" w14:textId="6CBA5033" w:rsidR="00FA1541" w:rsidRDefault="00B06C31" w:rsidP="00EE31CA">
      <w:pPr>
        <w:pStyle w:val="FigureLegend"/>
      </w:pPr>
      <w:r w:rsidRPr="0004071B">
        <w:t>Note</w:t>
      </w:r>
      <w:r w:rsidR="00F37181">
        <w:t>s</w:t>
      </w:r>
      <w:r w:rsidRPr="0004071B">
        <w:t xml:space="preserve">:  </w:t>
      </w:r>
      <w:proofErr w:type="gramStart"/>
      <w:r w:rsidR="00124724" w:rsidRPr="00EE31CA">
        <w:rPr>
          <w:vertAlign w:val="superscript"/>
        </w:rPr>
        <w:t>a</w:t>
      </w:r>
      <w:proofErr w:type="gramEnd"/>
      <w:r w:rsidR="00F37181">
        <w:t xml:space="preserve"> </w:t>
      </w:r>
      <w:r w:rsidR="009F4703">
        <w:t>Laboratory measures only available on a subset of the population</w:t>
      </w:r>
      <w:r w:rsidR="00C279E1">
        <w:t>.</w:t>
      </w:r>
      <w:r w:rsidR="00FD4569">
        <w:t xml:space="preserve">  </w:t>
      </w:r>
      <w:r w:rsidR="00124724">
        <w:rPr>
          <w:vertAlign w:val="superscript"/>
        </w:rPr>
        <w:t xml:space="preserve">b </w:t>
      </w:r>
      <w:r w:rsidR="00F37181">
        <w:t xml:space="preserve">Potential familial hypercholesterolemia </w:t>
      </w:r>
      <w:r w:rsidR="00A81AA5">
        <w:t>(FH) identified using the Dutch Lipid Clinic scor</w:t>
      </w:r>
      <w:r w:rsidR="00C377F7">
        <w:t>e</w:t>
      </w:r>
      <w:r w:rsidR="00A81AA5">
        <w:t xml:space="preserve"> </w:t>
      </w:r>
      <w:r w:rsidR="005D5BD9">
        <w:t>(</w:t>
      </w:r>
      <w:r w:rsidR="008C0642">
        <w:t>retrospectively</w:t>
      </w:r>
      <w:r w:rsidR="005D5BD9">
        <w:t>)</w:t>
      </w:r>
      <w:r w:rsidR="008C0642">
        <w:t xml:space="preserve"> </w:t>
      </w:r>
      <w:r w:rsidR="00A81AA5">
        <w:t>and</w:t>
      </w:r>
      <w:r w:rsidR="00E44760">
        <w:t>/or</w:t>
      </w:r>
      <w:r w:rsidR="00A81AA5">
        <w:t xml:space="preserve"> FH-specific Read codes</w:t>
      </w:r>
      <w:r w:rsidR="00BE4E20">
        <w:t xml:space="preserve">.  </w:t>
      </w:r>
      <w:r w:rsidR="00124724">
        <w:rPr>
          <w:vertAlign w:val="superscript"/>
        </w:rPr>
        <w:t>c</w:t>
      </w:r>
      <w:r w:rsidR="00BE4E20">
        <w:t xml:space="preserve"> </w:t>
      </w:r>
      <w:r w:rsidR="00F37181">
        <w:t>Unique m</w:t>
      </w:r>
      <w:r w:rsidR="00C3493B">
        <w:t>edication</w:t>
      </w:r>
      <w:r w:rsidR="00FD4569">
        <w:t xml:space="preserve"> count excludes lipid-lowering therapies.</w:t>
      </w:r>
      <w:r w:rsidR="00183D8A">
        <w:t xml:space="preserve">  </w:t>
      </w:r>
      <w:r w:rsidR="00124724" w:rsidRPr="00EE31CA">
        <w:rPr>
          <w:vertAlign w:val="superscript"/>
        </w:rPr>
        <w:t>d</w:t>
      </w:r>
      <w:r w:rsidR="00183D8A">
        <w:t xml:space="preserve"> Last </w:t>
      </w:r>
      <w:r w:rsidR="003A45B9">
        <w:t>Prescription</w:t>
      </w:r>
      <w:r w:rsidR="00C279E1">
        <w:t xml:space="preserve"> </w:t>
      </w:r>
      <w:r w:rsidR="00183D8A">
        <w:t>refers to the prescription at the end of observation for each person.</w:t>
      </w:r>
      <w:r w:rsidR="00C279E1">
        <w:t xml:space="preserve"> </w:t>
      </w:r>
      <w:r w:rsidR="00A2048C">
        <w:t xml:space="preserve"> Patients without an active prescription on this date we</w:t>
      </w:r>
      <w:r w:rsidR="00EC17D2">
        <w:t>re</w:t>
      </w:r>
      <w:r w:rsidR="00867382">
        <w:t xml:space="preserve"> </w:t>
      </w:r>
      <w:r w:rsidR="00337EFE">
        <w:t>included as “none.”</w:t>
      </w:r>
      <w:r w:rsidR="00BB0663">
        <w:t xml:space="preserve"> </w:t>
      </w:r>
      <w:r w:rsidR="00C3493B">
        <w:t xml:space="preserve"> </w:t>
      </w:r>
      <w:r w:rsidR="00BB0663">
        <w:t>CVD = cardiovascular disease; CKD = chronic kidney disease; BMI = body mass index; SD = standard deviation; N = sample size.</w:t>
      </w:r>
      <w:r w:rsidR="00E21548">
        <w:t xml:space="preserve">  </w:t>
      </w:r>
      <w:r w:rsidR="00FA1541">
        <w:br w:type="page"/>
      </w:r>
    </w:p>
    <w:p w14:paraId="05DE0718" w14:textId="6E6E38C9" w:rsidR="00422D74" w:rsidRPr="00712CE2" w:rsidRDefault="00422D74" w:rsidP="00412E1C">
      <w:pPr>
        <w:pStyle w:val="Caption"/>
        <w:jc w:val="left"/>
      </w:pPr>
      <w:r>
        <w:lastRenderedPageBreak/>
        <w:t xml:space="preserve">Table </w:t>
      </w:r>
      <w:r>
        <w:rPr>
          <w:noProof/>
        </w:rPr>
        <w:t>2</w:t>
      </w:r>
      <w:r w:rsidRPr="008F3155">
        <w:t>:  Separate and Combined Effects of</w:t>
      </w:r>
      <w:r w:rsidR="00D825BA">
        <w:t xml:space="preserve"> Adherence and Intensity on Cardiovascular Risk </w:t>
      </w:r>
      <w:r w:rsidRPr="008F3155">
        <w:t>by Cohort</w:t>
      </w:r>
    </w:p>
    <w:tbl>
      <w:tblPr>
        <w:tblStyle w:val="TableGrid"/>
        <w:tblW w:w="0" w:type="auto"/>
        <w:tblLook w:val="04A0" w:firstRow="1" w:lastRow="0" w:firstColumn="1" w:lastColumn="0" w:noHBand="0" w:noVBand="1"/>
      </w:tblPr>
      <w:tblGrid>
        <w:gridCol w:w="3595"/>
        <w:gridCol w:w="1918"/>
        <w:gridCol w:w="1918"/>
        <w:gridCol w:w="1919"/>
      </w:tblGrid>
      <w:tr w:rsidR="00422D74" w14:paraId="12D635AC" w14:textId="77777777" w:rsidTr="00422D74">
        <w:trPr>
          <w:trHeight w:val="432"/>
        </w:trPr>
        <w:tc>
          <w:tcPr>
            <w:tcW w:w="3595" w:type="dxa"/>
            <w:vAlign w:val="center"/>
          </w:tcPr>
          <w:p w14:paraId="31C2C73C" w14:textId="77777777" w:rsidR="00422D74" w:rsidRPr="00D430F2" w:rsidRDefault="00422D74" w:rsidP="00422D74">
            <w:pPr>
              <w:suppressAutoHyphens w:val="0"/>
              <w:spacing w:line="240" w:lineRule="auto"/>
              <w:rPr>
                <w:b/>
              </w:rPr>
            </w:pPr>
            <w:r w:rsidRPr="00D430F2">
              <w:rPr>
                <w:b/>
              </w:rPr>
              <w:t>Measures</w:t>
            </w:r>
          </w:p>
        </w:tc>
        <w:tc>
          <w:tcPr>
            <w:tcW w:w="1918" w:type="dxa"/>
            <w:vAlign w:val="center"/>
          </w:tcPr>
          <w:p w14:paraId="18622663" w14:textId="77777777" w:rsidR="00422D74" w:rsidRDefault="00422D74" w:rsidP="00422D74">
            <w:pPr>
              <w:suppressAutoHyphens w:val="0"/>
              <w:spacing w:line="240" w:lineRule="auto"/>
              <w:jc w:val="center"/>
              <w:rPr>
                <w:rFonts w:cs="Arial"/>
                <w:b/>
                <w:szCs w:val="22"/>
              </w:rPr>
            </w:pPr>
            <w:r>
              <w:rPr>
                <w:rFonts w:cs="Arial"/>
                <w:b/>
                <w:szCs w:val="22"/>
              </w:rPr>
              <w:t>Documented CVD</w:t>
            </w:r>
          </w:p>
          <w:p w14:paraId="0867526D" w14:textId="77777777" w:rsidR="00422D74" w:rsidRDefault="00422D74" w:rsidP="00422D74">
            <w:pPr>
              <w:suppressAutoHyphens w:val="0"/>
              <w:spacing w:line="240" w:lineRule="auto"/>
              <w:jc w:val="center"/>
            </w:pPr>
            <w:r>
              <w:rPr>
                <w:rFonts w:cs="Arial"/>
                <w:b/>
                <w:szCs w:val="22"/>
              </w:rPr>
              <w:t>HR (95% CI)</w:t>
            </w:r>
          </w:p>
        </w:tc>
        <w:tc>
          <w:tcPr>
            <w:tcW w:w="1918" w:type="dxa"/>
            <w:vAlign w:val="center"/>
          </w:tcPr>
          <w:p w14:paraId="7ED1C462" w14:textId="77777777" w:rsidR="00422D74" w:rsidRDefault="00422D74" w:rsidP="00422D74">
            <w:pPr>
              <w:suppressAutoHyphens w:val="0"/>
              <w:spacing w:line="240" w:lineRule="auto"/>
              <w:jc w:val="center"/>
              <w:rPr>
                <w:rFonts w:cs="Arial"/>
                <w:b/>
                <w:szCs w:val="22"/>
              </w:rPr>
            </w:pPr>
            <w:r>
              <w:rPr>
                <w:rFonts w:cs="Arial"/>
                <w:b/>
                <w:szCs w:val="22"/>
              </w:rPr>
              <w:t>Type 2 Diabetes without CVD</w:t>
            </w:r>
          </w:p>
          <w:p w14:paraId="5067EAEC" w14:textId="77777777" w:rsidR="00422D74" w:rsidRDefault="00422D74" w:rsidP="00422D74">
            <w:pPr>
              <w:suppressAutoHyphens w:val="0"/>
              <w:spacing w:line="240" w:lineRule="auto"/>
              <w:jc w:val="center"/>
            </w:pPr>
            <w:r>
              <w:rPr>
                <w:rFonts w:cs="Arial"/>
                <w:b/>
                <w:szCs w:val="22"/>
              </w:rPr>
              <w:t>HR (95% CI)</w:t>
            </w:r>
          </w:p>
        </w:tc>
        <w:tc>
          <w:tcPr>
            <w:tcW w:w="1919" w:type="dxa"/>
            <w:vAlign w:val="center"/>
          </w:tcPr>
          <w:p w14:paraId="3DAC3B5F" w14:textId="77777777" w:rsidR="00422D74" w:rsidRDefault="00422D74" w:rsidP="00422D74">
            <w:pPr>
              <w:suppressAutoHyphens w:val="0"/>
              <w:spacing w:line="240" w:lineRule="auto"/>
              <w:jc w:val="center"/>
              <w:rPr>
                <w:rFonts w:cs="Arial"/>
                <w:b/>
                <w:szCs w:val="22"/>
              </w:rPr>
            </w:pPr>
            <w:r>
              <w:rPr>
                <w:rFonts w:cs="Arial"/>
                <w:b/>
                <w:szCs w:val="22"/>
              </w:rPr>
              <w:t>CKD without CVD</w:t>
            </w:r>
          </w:p>
          <w:p w14:paraId="136E8AF9" w14:textId="77777777" w:rsidR="00422D74" w:rsidRDefault="00422D74" w:rsidP="00422D74">
            <w:pPr>
              <w:suppressAutoHyphens w:val="0"/>
              <w:spacing w:line="240" w:lineRule="auto"/>
              <w:jc w:val="center"/>
            </w:pPr>
            <w:r>
              <w:rPr>
                <w:rFonts w:cs="Arial"/>
                <w:b/>
                <w:szCs w:val="22"/>
              </w:rPr>
              <w:t>HR (95% CI)</w:t>
            </w:r>
          </w:p>
        </w:tc>
      </w:tr>
      <w:tr w:rsidR="00422D74" w:rsidRPr="00D430F2" w14:paraId="280DA591" w14:textId="77777777" w:rsidTr="00422D74">
        <w:trPr>
          <w:trHeight w:val="432"/>
        </w:trPr>
        <w:tc>
          <w:tcPr>
            <w:tcW w:w="9350" w:type="dxa"/>
            <w:gridSpan w:val="4"/>
            <w:vAlign w:val="center"/>
          </w:tcPr>
          <w:p w14:paraId="3ED5B857" w14:textId="271CD37E" w:rsidR="00422D74" w:rsidRPr="00D430F2" w:rsidRDefault="00AA399E" w:rsidP="00422D74">
            <w:pPr>
              <w:suppressAutoHyphens w:val="0"/>
              <w:spacing w:line="240" w:lineRule="auto"/>
              <w:rPr>
                <w:b/>
              </w:rPr>
            </w:pPr>
            <w:r>
              <w:rPr>
                <w:b/>
              </w:rPr>
              <w:t xml:space="preserve">Model 1: </w:t>
            </w:r>
            <w:r w:rsidR="00422D74" w:rsidRPr="00D430F2">
              <w:rPr>
                <w:b/>
              </w:rPr>
              <w:t>Adherence</w:t>
            </w:r>
            <w:r w:rsidR="00422D74">
              <w:rPr>
                <w:b/>
              </w:rPr>
              <w:t xml:space="preserve"> alone</w:t>
            </w:r>
          </w:p>
        </w:tc>
      </w:tr>
      <w:tr w:rsidR="004C5E84" w14:paraId="0B76FA9C" w14:textId="77777777" w:rsidTr="00DE5461">
        <w:trPr>
          <w:trHeight w:val="432"/>
        </w:trPr>
        <w:tc>
          <w:tcPr>
            <w:tcW w:w="3595" w:type="dxa"/>
            <w:vAlign w:val="center"/>
          </w:tcPr>
          <w:p w14:paraId="192BB258" w14:textId="2EA10EB8" w:rsidR="004C5E84" w:rsidRDefault="004C5E84" w:rsidP="00DE5461">
            <w:pPr>
              <w:suppressAutoHyphens w:val="0"/>
              <w:spacing w:line="240" w:lineRule="auto"/>
            </w:pPr>
            <w:r>
              <w:t>Per 10% increase</w:t>
            </w:r>
          </w:p>
        </w:tc>
        <w:tc>
          <w:tcPr>
            <w:tcW w:w="1918" w:type="dxa"/>
            <w:vAlign w:val="center"/>
          </w:tcPr>
          <w:p w14:paraId="3C6597B6" w14:textId="77777777" w:rsidR="004C5E84" w:rsidRPr="001C409A" w:rsidRDefault="004C5E84" w:rsidP="00DE5461">
            <w:pPr>
              <w:suppressAutoHyphens w:val="0"/>
              <w:spacing w:line="240" w:lineRule="auto"/>
              <w:jc w:val="center"/>
              <w:rPr>
                <w:rFonts w:cs="Arial"/>
                <w:color w:val="000000"/>
              </w:rPr>
            </w:pPr>
            <w:r w:rsidRPr="00C65ACB">
              <w:rPr>
                <w:rFonts w:cs="Arial"/>
                <w:color w:val="000000"/>
              </w:rPr>
              <w:t xml:space="preserve">0.95 (0.94 </w:t>
            </w:r>
            <w:r>
              <w:rPr>
                <w:rFonts w:cs="Arial"/>
                <w:color w:val="000000"/>
              </w:rPr>
              <w:t>-</w:t>
            </w:r>
            <w:r w:rsidRPr="00C65ACB">
              <w:rPr>
                <w:rFonts w:cs="Arial"/>
                <w:color w:val="000000"/>
              </w:rPr>
              <w:t xml:space="preserve"> 0.97)</w:t>
            </w:r>
          </w:p>
        </w:tc>
        <w:tc>
          <w:tcPr>
            <w:tcW w:w="1918" w:type="dxa"/>
            <w:vAlign w:val="center"/>
          </w:tcPr>
          <w:p w14:paraId="2079EE5F" w14:textId="77777777" w:rsidR="004C5E84" w:rsidRPr="00CF60D3" w:rsidRDefault="004C5E84" w:rsidP="00DE5461">
            <w:pPr>
              <w:suppressAutoHyphens w:val="0"/>
              <w:spacing w:line="240" w:lineRule="auto"/>
              <w:jc w:val="center"/>
              <w:rPr>
                <w:rFonts w:cs="Arial"/>
                <w:color w:val="000000"/>
              </w:rPr>
            </w:pPr>
            <w:r w:rsidRPr="00860389">
              <w:rPr>
                <w:rFonts w:cs="Arial"/>
                <w:color w:val="000000"/>
              </w:rPr>
              <w:t xml:space="preserve">0.97 (0.95 </w:t>
            </w:r>
            <w:r>
              <w:rPr>
                <w:rFonts w:cs="Arial"/>
                <w:color w:val="000000"/>
              </w:rPr>
              <w:t>-</w:t>
            </w:r>
            <w:r w:rsidRPr="00860389">
              <w:rPr>
                <w:rFonts w:cs="Arial"/>
                <w:color w:val="000000"/>
              </w:rPr>
              <w:t xml:space="preserve"> 0.99)</w:t>
            </w:r>
          </w:p>
        </w:tc>
        <w:tc>
          <w:tcPr>
            <w:tcW w:w="1919" w:type="dxa"/>
            <w:vAlign w:val="center"/>
          </w:tcPr>
          <w:p w14:paraId="00BA7068" w14:textId="77777777" w:rsidR="004C5E84" w:rsidRPr="001C409A" w:rsidRDefault="004C5E84" w:rsidP="00DE5461">
            <w:pPr>
              <w:suppressAutoHyphens w:val="0"/>
              <w:spacing w:line="240" w:lineRule="auto"/>
              <w:jc w:val="center"/>
              <w:rPr>
                <w:rFonts w:cs="Arial"/>
                <w:color w:val="000000"/>
              </w:rPr>
            </w:pPr>
            <w:r w:rsidRPr="00C65ACB">
              <w:rPr>
                <w:rFonts w:cs="Arial"/>
                <w:color w:val="000000"/>
              </w:rPr>
              <w:t xml:space="preserve">0.93 (0.88 </w:t>
            </w:r>
            <w:r>
              <w:rPr>
                <w:rFonts w:cs="Arial"/>
                <w:color w:val="000000"/>
              </w:rPr>
              <w:t>-</w:t>
            </w:r>
            <w:r w:rsidRPr="00C65ACB">
              <w:rPr>
                <w:rFonts w:cs="Arial"/>
                <w:color w:val="000000"/>
              </w:rPr>
              <w:t xml:space="preserve"> 0.98)</w:t>
            </w:r>
          </w:p>
        </w:tc>
      </w:tr>
      <w:tr w:rsidR="00422D74" w14:paraId="4C91E4F0" w14:textId="77777777" w:rsidTr="00422D74">
        <w:trPr>
          <w:trHeight w:val="432"/>
        </w:trPr>
        <w:tc>
          <w:tcPr>
            <w:tcW w:w="3595" w:type="dxa"/>
            <w:vAlign w:val="center"/>
          </w:tcPr>
          <w:p w14:paraId="2E957BDA" w14:textId="77777777" w:rsidR="00422D74" w:rsidRDefault="00422D74" w:rsidP="00422D74">
            <w:pPr>
              <w:suppressAutoHyphens w:val="0"/>
              <w:spacing w:line="240" w:lineRule="auto"/>
            </w:pPr>
            <w:r>
              <w:t>Adherent</w:t>
            </w:r>
          </w:p>
        </w:tc>
        <w:tc>
          <w:tcPr>
            <w:tcW w:w="1918" w:type="dxa"/>
            <w:vAlign w:val="center"/>
          </w:tcPr>
          <w:p w14:paraId="37BD1B4F" w14:textId="77777777" w:rsidR="00422D74" w:rsidRPr="00394256" w:rsidRDefault="00422D74" w:rsidP="00422D74">
            <w:pPr>
              <w:suppressAutoHyphens w:val="0"/>
              <w:spacing w:line="240" w:lineRule="auto"/>
              <w:jc w:val="center"/>
              <w:rPr>
                <w:rFonts w:cs="Arial"/>
              </w:rPr>
            </w:pPr>
            <w:r w:rsidRPr="00394256">
              <w:rPr>
                <w:rFonts w:cs="Arial"/>
                <w:color w:val="000000"/>
              </w:rPr>
              <w:t>0.65 (0.60 - 0.70)</w:t>
            </w:r>
          </w:p>
        </w:tc>
        <w:tc>
          <w:tcPr>
            <w:tcW w:w="1918" w:type="dxa"/>
            <w:vAlign w:val="center"/>
          </w:tcPr>
          <w:p w14:paraId="6CCD799E" w14:textId="77777777" w:rsidR="00422D74" w:rsidRPr="00394256" w:rsidRDefault="00422D74" w:rsidP="00422D74">
            <w:pPr>
              <w:suppressAutoHyphens w:val="0"/>
              <w:spacing w:line="240" w:lineRule="auto"/>
              <w:jc w:val="center"/>
              <w:rPr>
                <w:rFonts w:cs="Arial"/>
              </w:rPr>
            </w:pPr>
            <w:r w:rsidRPr="00CF60D3">
              <w:rPr>
                <w:rFonts w:cs="Arial"/>
                <w:color w:val="000000"/>
              </w:rPr>
              <w:t>0.74 (0.68 - 0.81)</w:t>
            </w:r>
          </w:p>
        </w:tc>
        <w:tc>
          <w:tcPr>
            <w:tcW w:w="1919" w:type="dxa"/>
            <w:vAlign w:val="center"/>
          </w:tcPr>
          <w:p w14:paraId="21BF8D06" w14:textId="77777777" w:rsidR="00422D74" w:rsidRPr="00394256" w:rsidRDefault="00422D74" w:rsidP="00422D74">
            <w:pPr>
              <w:suppressAutoHyphens w:val="0"/>
              <w:spacing w:line="240" w:lineRule="auto"/>
              <w:jc w:val="center"/>
              <w:rPr>
                <w:rFonts w:cs="Arial"/>
              </w:rPr>
            </w:pPr>
            <w:r w:rsidRPr="00394256">
              <w:rPr>
                <w:rFonts w:cs="Arial"/>
                <w:color w:val="000000"/>
              </w:rPr>
              <w:t>0.52 (0.41 - 0.66)</w:t>
            </w:r>
          </w:p>
        </w:tc>
      </w:tr>
      <w:tr w:rsidR="00422D74" w14:paraId="2EB71FB5" w14:textId="77777777" w:rsidTr="00422D74">
        <w:trPr>
          <w:trHeight w:val="432"/>
        </w:trPr>
        <w:tc>
          <w:tcPr>
            <w:tcW w:w="3595" w:type="dxa"/>
            <w:vAlign w:val="center"/>
          </w:tcPr>
          <w:p w14:paraId="1408A927" w14:textId="77777777" w:rsidR="00422D74" w:rsidRDefault="00422D74" w:rsidP="00422D74">
            <w:pPr>
              <w:suppressAutoHyphens w:val="0"/>
              <w:spacing w:line="240" w:lineRule="auto"/>
            </w:pPr>
            <w:r>
              <w:t>Non-adherent</w:t>
            </w:r>
          </w:p>
        </w:tc>
        <w:tc>
          <w:tcPr>
            <w:tcW w:w="1918" w:type="dxa"/>
            <w:vAlign w:val="center"/>
          </w:tcPr>
          <w:p w14:paraId="2B4DE81A" w14:textId="77777777" w:rsidR="00422D74" w:rsidRPr="00394256" w:rsidRDefault="00422D74" w:rsidP="00422D74">
            <w:pPr>
              <w:suppressAutoHyphens w:val="0"/>
              <w:spacing w:line="240" w:lineRule="auto"/>
              <w:jc w:val="center"/>
              <w:rPr>
                <w:rFonts w:cs="Arial"/>
                <w:color w:val="000000"/>
              </w:rPr>
            </w:pPr>
            <w:r w:rsidRPr="001C409A">
              <w:rPr>
                <w:rFonts w:cs="Arial"/>
                <w:color w:val="000000"/>
              </w:rPr>
              <w:t>0.78 (0.78 - 0.78)</w:t>
            </w:r>
          </w:p>
        </w:tc>
        <w:tc>
          <w:tcPr>
            <w:tcW w:w="1918" w:type="dxa"/>
            <w:vAlign w:val="center"/>
          </w:tcPr>
          <w:p w14:paraId="66CE0A5B" w14:textId="77777777" w:rsidR="00422D74" w:rsidRPr="00394256" w:rsidRDefault="00422D74" w:rsidP="00422D74">
            <w:pPr>
              <w:suppressAutoHyphens w:val="0"/>
              <w:spacing w:line="240" w:lineRule="auto"/>
              <w:jc w:val="center"/>
              <w:rPr>
                <w:rFonts w:cs="Arial"/>
                <w:color w:val="000000"/>
              </w:rPr>
            </w:pPr>
            <w:r w:rsidRPr="00CF60D3">
              <w:rPr>
                <w:rFonts w:cs="Arial"/>
                <w:color w:val="000000"/>
              </w:rPr>
              <w:t>0.85 (0.84 - 0.85)</w:t>
            </w:r>
          </w:p>
        </w:tc>
        <w:tc>
          <w:tcPr>
            <w:tcW w:w="1919" w:type="dxa"/>
            <w:vAlign w:val="center"/>
          </w:tcPr>
          <w:p w14:paraId="097027E5" w14:textId="77777777" w:rsidR="00422D74" w:rsidRPr="00394256" w:rsidRDefault="00422D74" w:rsidP="00422D74">
            <w:pPr>
              <w:suppressAutoHyphens w:val="0"/>
              <w:spacing w:line="240" w:lineRule="auto"/>
              <w:jc w:val="center"/>
              <w:rPr>
                <w:rFonts w:cs="Arial"/>
                <w:color w:val="000000"/>
              </w:rPr>
            </w:pPr>
            <w:r w:rsidRPr="001C409A">
              <w:rPr>
                <w:rFonts w:cs="Arial"/>
                <w:color w:val="000000"/>
              </w:rPr>
              <w:t>0.69 (0.68 - 0.70)</w:t>
            </w:r>
          </w:p>
        </w:tc>
      </w:tr>
      <w:tr w:rsidR="00422D74" w:rsidRPr="00D430F2" w14:paraId="57AECE98" w14:textId="77777777" w:rsidTr="00422D74">
        <w:trPr>
          <w:trHeight w:val="432"/>
        </w:trPr>
        <w:tc>
          <w:tcPr>
            <w:tcW w:w="9350" w:type="dxa"/>
            <w:gridSpan w:val="4"/>
            <w:vAlign w:val="center"/>
          </w:tcPr>
          <w:p w14:paraId="320A7ECA" w14:textId="75AF8ECE" w:rsidR="00422D74" w:rsidRPr="00D430F2" w:rsidRDefault="00AA399E" w:rsidP="00422D74">
            <w:pPr>
              <w:suppressAutoHyphens w:val="0"/>
              <w:spacing w:line="240" w:lineRule="auto"/>
              <w:rPr>
                <w:b/>
              </w:rPr>
            </w:pPr>
            <w:r>
              <w:rPr>
                <w:b/>
              </w:rPr>
              <w:t xml:space="preserve">Model 2: </w:t>
            </w:r>
            <w:r w:rsidR="00422D74" w:rsidRPr="00D430F2">
              <w:rPr>
                <w:b/>
              </w:rPr>
              <w:t>Intensity</w:t>
            </w:r>
            <w:r w:rsidR="00422D74">
              <w:rPr>
                <w:b/>
              </w:rPr>
              <w:t xml:space="preserve"> Alone</w:t>
            </w:r>
          </w:p>
        </w:tc>
      </w:tr>
      <w:tr w:rsidR="004C5E84" w14:paraId="11D3FE5E" w14:textId="77777777" w:rsidTr="00DE5461">
        <w:trPr>
          <w:trHeight w:val="432"/>
        </w:trPr>
        <w:tc>
          <w:tcPr>
            <w:tcW w:w="3595" w:type="dxa"/>
            <w:vAlign w:val="center"/>
          </w:tcPr>
          <w:p w14:paraId="123225C0" w14:textId="10B663B2" w:rsidR="004C5E84" w:rsidRDefault="004C5E84" w:rsidP="00DE5461">
            <w:pPr>
              <w:suppressAutoHyphens w:val="0"/>
              <w:spacing w:line="240" w:lineRule="auto"/>
            </w:pPr>
            <w:r>
              <w:t>Per 10% increase</w:t>
            </w:r>
          </w:p>
        </w:tc>
        <w:tc>
          <w:tcPr>
            <w:tcW w:w="1918" w:type="dxa"/>
            <w:vAlign w:val="center"/>
          </w:tcPr>
          <w:p w14:paraId="28DEF5EB" w14:textId="77777777" w:rsidR="004C5E84" w:rsidRPr="00394256" w:rsidRDefault="004C5E84" w:rsidP="00DE5461">
            <w:pPr>
              <w:suppressAutoHyphens w:val="0"/>
              <w:spacing w:line="240" w:lineRule="auto"/>
              <w:jc w:val="center"/>
              <w:rPr>
                <w:rFonts w:cs="Arial"/>
                <w:color w:val="000000"/>
              </w:rPr>
            </w:pPr>
            <w:r w:rsidRPr="00352137">
              <w:rPr>
                <w:rFonts w:cs="Arial"/>
                <w:color w:val="000000"/>
              </w:rPr>
              <w:t xml:space="preserve">0.90 (0.86 </w:t>
            </w:r>
            <w:r>
              <w:rPr>
                <w:rFonts w:cs="Arial"/>
                <w:color w:val="000000"/>
              </w:rPr>
              <w:t>-</w:t>
            </w:r>
            <w:r w:rsidRPr="00352137">
              <w:rPr>
                <w:rFonts w:cs="Arial"/>
                <w:color w:val="000000"/>
              </w:rPr>
              <w:t xml:space="preserve"> 0.95)</w:t>
            </w:r>
          </w:p>
        </w:tc>
        <w:tc>
          <w:tcPr>
            <w:tcW w:w="1918" w:type="dxa"/>
            <w:vAlign w:val="center"/>
          </w:tcPr>
          <w:p w14:paraId="0C8CF092" w14:textId="77777777" w:rsidR="004C5E84" w:rsidRDefault="004C5E84" w:rsidP="00DE5461">
            <w:pPr>
              <w:suppressAutoHyphens w:val="0"/>
              <w:spacing w:line="240" w:lineRule="auto"/>
              <w:jc w:val="center"/>
              <w:rPr>
                <w:rFonts w:cs="Arial"/>
                <w:color w:val="000000"/>
              </w:rPr>
            </w:pPr>
            <w:r w:rsidRPr="00352137">
              <w:rPr>
                <w:rFonts w:cs="Arial"/>
                <w:color w:val="000000"/>
              </w:rPr>
              <w:t xml:space="preserve">0.93 (0.89 </w:t>
            </w:r>
            <w:r>
              <w:rPr>
                <w:rFonts w:cs="Arial"/>
                <w:color w:val="000000"/>
              </w:rPr>
              <w:t>-</w:t>
            </w:r>
            <w:r w:rsidRPr="00352137">
              <w:rPr>
                <w:rFonts w:cs="Arial"/>
                <w:color w:val="000000"/>
              </w:rPr>
              <w:t xml:space="preserve"> 0.98)</w:t>
            </w:r>
          </w:p>
        </w:tc>
        <w:tc>
          <w:tcPr>
            <w:tcW w:w="1919" w:type="dxa"/>
            <w:vAlign w:val="center"/>
          </w:tcPr>
          <w:p w14:paraId="15F5CD5C" w14:textId="77777777" w:rsidR="004C5E84" w:rsidRPr="00394256" w:rsidRDefault="004C5E84" w:rsidP="00DE5461">
            <w:pPr>
              <w:suppressAutoHyphens w:val="0"/>
              <w:spacing w:line="240" w:lineRule="auto"/>
              <w:jc w:val="center"/>
              <w:rPr>
                <w:rFonts w:cs="Arial"/>
                <w:color w:val="000000"/>
              </w:rPr>
            </w:pPr>
            <w:r w:rsidRPr="00352137">
              <w:rPr>
                <w:rFonts w:cs="Arial"/>
                <w:color w:val="000000"/>
              </w:rPr>
              <w:t xml:space="preserve">0.87 (0.76 </w:t>
            </w:r>
            <w:r>
              <w:rPr>
                <w:rFonts w:cs="Arial"/>
                <w:color w:val="000000"/>
              </w:rPr>
              <w:t>-</w:t>
            </w:r>
            <w:r w:rsidRPr="00352137">
              <w:rPr>
                <w:rFonts w:cs="Arial"/>
                <w:color w:val="000000"/>
              </w:rPr>
              <w:t xml:space="preserve"> 0.99)</w:t>
            </w:r>
          </w:p>
        </w:tc>
      </w:tr>
      <w:tr w:rsidR="00422D74" w14:paraId="57B71907" w14:textId="77777777" w:rsidTr="00422D74">
        <w:trPr>
          <w:trHeight w:val="432"/>
        </w:trPr>
        <w:tc>
          <w:tcPr>
            <w:tcW w:w="3595" w:type="dxa"/>
            <w:vAlign w:val="center"/>
          </w:tcPr>
          <w:p w14:paraId="6838746F" w14:textId="77777777" w:rsidR="00422D74" w:rsidRDefault="00422D74" w:rsidP="00422D74">
            <w:pPr>
              <w:suppressAutoHyphens w:val="0"/>
              <w:spacing w:line="240" w:lineRule="auto"/>
            </w:pPr>
            <w:r>
              <w:t>High Intensity</w:t>
            </w:r>
          </w:p>
        </w:tc>
        <w:tc>
          <w:tcPr>
            <w:tcW w:w="1918" w:type="dxa"/>
            <w:vAlign w:val="center"/>
          </w:tcPr>
          <w:p w14:paraId="58D7B0A5" w14:textId="77777777" w:rsidR="00422D74" w:rsidRPr="00394256" w:rsidRDefault="00422D74" w:rsidP="00422D74">
            <w:pPr>
              <w:suppressAutoHyphens w:val="0"/>
              <w:spacing w:line="240" w:lineRule="auto"/>
              <w:jc w:val="center"/>
              <w:rPr>
                <w:rFonts w:cs="Arial"/>
              </w:rPr>
            </w:pPr>
            <w:r w:rsidRPr="00394256">
              <w:rPr>
                <w:rFonts w:cs="Arial"/>
                <w:color w:val="000000"/>
              </w:rPr>
              <w:t>0.60 (0.52 - 0.68)</w:t>
            </w:r>
          </w:p>
        </w:tc>
        <w:tc>
          <w:tcPr>
            <w:tcW w:w="1918" w:type="dxa"/>
            <w:vAlign w:val="center"/>
          </w:tcPr>
          <w:p w14:paraId="65A0A07A" w14:textId="77777777" w:rsidR="00422D74" w:rsidRPr="00394256" w:rsidRDefault="00422D74" w:rsidP="00422D74">
            <w:pPr>
              <w:suppressAutoHyphens w:val="0"/>
              <w:spacing w:line="240" w:lineRule="auto"/>
              <w:jc w:val="center"/>
              <w:rPr>
                <w:rFonts w:cs="Arial"/>
              </w:rPr>
            </w:pPr>
            <w:r w:rsidRPr="00394256">
              <w:rPr>
                <w:rFonts w:cs="Arial"/>
                <w:color w:val="000000"/>
              </w:rPr>
              <w:t>0.71 (0.62 - 0.81)</w:t>
            </w:r>
          </w:p>
        </w:tc>
        <w:tc>
          <w:tcPr>
            <w:tcW w:w="1919" w:type="dxa"/>
            <w:vAlign w:val="center"/>
          </w:tcPr>
          <w:p w14:paraId="5E394FCB" w14:textId="77777777" w:rsidR="00422D74" w:rsidRPr="00394256" w:rsidRDefault="00422D74" w:rsidP="00422D74">
            <w:pPr>
              <w:suppressAutoHyphens w:val="0"/>
              <w:spacing w:line="240" w:lineRule="auto"/>
              <w:jc w:val="center"/>
              <w:rPr>
                <w:rFonts w:cs="Arial"/>
              </w:rPr>
            </w:pPr>
            <w:r w:rsidRPr="00394256">
              <w:rPr>
                <w:rFonts w:cs="Arial"/>
                <w:color w:val="000000"/>
              </w:rPr>
              <w:t>0.47 (0.32 - 0.71)</w:t>
            </w:r>
          </w:p>
        </w:tc>
      </w:tr>
      <w:tr w:rsidR="00422D74" w14:paraId="71396A5C" w14:textId="77777777" w:rsidTr="00422D74">
        <w:trPr>
          <w:trHeight w:val="432"/>
        </w:trPr>
        <w:tc>
          <w:tcPr>
            <w:tcW w:w="3595" w:type="dxa"/>
            <w:vAlign w:val="center"/>
          </w:tcPr>
          <w:p w14:paraId="26480C2B" w14:textId="77777777" w:rsidR="00422D74" w:rsidRDefault="00422D74" w:rsidP="00422D74">
            <w:pPr>
              <w:suppressAutoHyphens w:val="0"/>
              <w:spacing w:line="240" w:lineRule="auto"/>
            </w:pPr>
            <w:r>
              <w:t xml:space="preserve">Moderate Intensity </w:t>
            </w:r>
          </w:p>
        </w:tc>
        <w:tc>
          <w:tcPr>
            <w:tcW w:w="1918" w:type="dxa"/>
            <w:vAlign w:val="center"/>
          </w:tcPr>
          <w:p w14:paraId="3507934E" w14:textId="77777777" w:rsidR="00422D74" w:rsidRPr="00394256" w:rsidRDefault="00422D74" w:rsidP="00422D74">
            <w:pPr>
              <w:suppressAutoHyphens w:val="0"/>
              <w:spacing w:line="240" w:lineRule="auto"/>
              <w:jc w:val="center"/>
              <w:rPr>
                <w:rFonts w:cs="Arial"/>
              </w:rPr>
            </w:pPr>
            <w:r w:rsidRPr="00394256">
              <w:rPr>
                <w:rFonts w:cs="Arial"/>
                <w:color w:val="000000"/>
              </w:rPr>
              <w:t>0.69 (0.65 - 0.73)</w:t>
            </w:r>
          </w:p>
        </w:tc>
        <w:tc>
          <w:tcPr>
            <w:tcW w:w="1918" w:type="dxa"/>
            <w:vAlign w:val="center"/>
          </w:tcPr>
          <w:p w14:paraId="7EAAEE53" w14:textId="77777777" w:rsidR="00422D74" w:rsidRPr="00394256" w:rsidRDefault="00422D74" w:rsidP="00422D74">
            <w:pPr>
              <w:suppressAutoHyphens w:val="0"/>
              <w:spacing w:line="240" w:lineRule="auto"/>
              <w:jc w:val="center"/>
              <w:rPr>
                <w:rFonts w:cs="Arial"/>
              </w:rPr>
            </w:pPr>
            <w:r w:rsidRPr="00CF60D3">
              <w:rPr>
                <w:rFonts w:cs="Arial"/>
                <w:color w:val="000000"/>
              </w:rPr>
              <w:t>0.78 (0.73 - 0.83)</w:t>
            </w:r>
          </w:p>
        </w:tc>
        <w:tc>
          <w:tcPr>
            <w:tcW w:w="1919" w:type="dxa"/>
            <w:vAlign w:val="center"/>
          </w:tcPr>
          <w:p w14:paraId="7E85E1EE" w14:textId="77777777" w:rsidR="00422D74" w:rsidRPr="00394256" w:rsidRDefault="00422D74" w:rsidP="00422D74">
            <w:pPr>
              <w:suppressAutoHyphens w:val="0"/>
              <w:spacing w:line="240" w:lineRule="auto"/>
              <w:jc w:val="center"/>
              <w:rPr>
                <w:rFonts w:cs="Arial"/>
              </w:rPr>
            </w:pPr>
            <w:r w:rsidRPr="00394256">
              <w:rPr>
                <w:rFonts w:cs="Arial"/>
                <w:color w:val="000000"/>
              </w:rPr>
              <w:t>0.59 (0.49 - 0.72)</w:t>
            </w:r>
          </w:p>
        </w:tc>
      </w:tr>
      <w:tr w:rsidR="00422D74" w14:paraId="2F7C5598" w14:textId="77777777" w:rsidTr="00422D74">
        <w:trPr>
          <w:trHeight w:val="432"/>
        </w:trPr>
        <w:tc>
          <w:tcPr>
            <w:tcW w:w="3595" w:type="dxa"/>
            <w:vAlign w:val="center"/>
          </w:tcPr>
          <w:p w14:paraId="42B231D9" w14:textId="77777777" w:rsidR="00422D74" w:rsidRDefault="00422D74" w:rsidP="00422D74">
            <w:pPr>
              <w:suppressAutoHyphens w:val="0"/>
              <w:spacing w:line="240" w:lineRule="auto"/>
            </w:pPr>
            <w:r>
              <w:t xml:space="preserve">Low Intensity </w:t>
            </w:r>
          </w:p>
        </w:tc>
        <w:tc>
          <w:tcPr>
            <w:tcW w:w="1918" w:type="dxa"/>
            <w:vAlign w:val="center"/>
          </w:tcPr>
          <w:p w14:paraId="492F375C" w14:textId="77777777" w:rsidR="00422D74" w:rsidRPr="00394256" w:rsidRDefault="00422D74" w:rsidP="00422D74">
            <w:pPr>
              <w:suppressAutoHyphens w:val="0"/>
              <w:spacing w:line="240" w:lineRule="auto"/>
              <w:jc w:val="center"/>
              <w:rPr>
                <w:rFonts w:cs="Arial"/>
              </w:rPr>
            </w:pPr>
            <w:r w:rsidRPr="00394256">
              <w:rPr>
                <w:rFonts w:cs="Arial"/>
                <w:color w:val="000000"/>
              </w:rPr>
              <w:t>0.78 (0.78 - 0.78)</w:t>
            </w:r>
          </w:p>
        </w:tc>
        <w:tc>
          <w:tcPr>
            <w:tcW w:w="1918" w:type="dxa"/>
            <w:vAlign w:val="center"/>
          </w:tcPr>
          <w:p w14:paraId="336BA2FC" w14:textId="77777777" w:rsidR="00422D74" w:rsidRPr="00394256" w:rsidRDefault="00422D74" w:rsidP="00422D74">
            <w:pPr>
              <w:suppressAutoHyphens w:val="0"/>
              <w:spacing w:line="240" w:lineRule="auto"/>
              <w:jc w:val="center"/>
              <w:rPr>
                <w:rFonts w:cs="Arial"/>
              </w:rPr>
            </w:pPr>
            <w:r>
              <w:rPr>
                <w:rFonts w:cs="Arial"/>
                <w:color w:val="000000"/>
              </w:rPr>
              <w:t>0.85 (0.85</w:t>
            </w:r>
            <w:r w:rsidRPr="00394256">
              <w:rPr>
                <w:rFonts w:cs="Arial"/>
                <w:color w:val="000000"/>
              </w:rPr>
              <w:t xml:space="preserve"> - 0.85)</w:t>
            </w:r>
          </w:p>
        </w:tc>
        <w:tc>
          <w:tcPr>
            <w:tcW w:w="1919" w:type="dxa"/>
            <w:vAlign w:val="center"/>
          </w:tcPr>
          <w:p w14:paraId="435859DD" w14:textId="77777777" w:rsidR="00422D74" w:rsidRPr="00394256" w:rsidRDefault="00422D74" w:rsidP="00422D74">
            <w:pPr>
              <w:suppressAutoHyphens w:val="0"/>
              <w:spacing w:line="240" w:lineRule="auto"/>
              <w:jc w:val="center"/>
              <w:rPr>
                <w:rFonts w:cs="Arial"/>
              </w:rPr>
            </w:pPr>
            <w:r w:rsidRPr="00394256">
              <w:rPr>
                <w:rFonts w:cs="Arial"/>
                <w:color w:val="000000"/>
              </w:rPr>
              <w:t>0.70 (0.68 - 0.73)</w:t>
            </w:r>
          </w:p>
        </w:tc>
      </w:tr>
      <w:tr w:rsidR="00422D74" w:rsidRPr="00D430F2" w14:paraId="6CDAB557" w14:textId="77777777" w:rsidTr="00422D74">
        <w:trPr>
          <w:trHeight w:val="432"/>
        </w:trPr>
        <w:tc>
          <w:tcPr>
            <w:tcW w:w="9350" w:type="dxa"/>
            <w:gridSpan w:val="4"/>
            <w:vAlign w:val="center"/>
          </w:tcPr>
          <w:p w14:paraId="336961D3" w14:textId="1ED7D694" w:rsidR="00422D74" w:rsidRPr="00D430F2" w:rsidRDefault="00AA399E" w:rsidP="00422D74">
            <w:pPr>
              <w:suppressAutoHyphens w:val="0"/>
              <w:spacing w:line="240" w:lineRule="auto"/>
              <w:rPr>
                <w:b/>
              </w:rPr>
            </w:pPr>
            <w:r>
              <w:rPr>
                <w:b/>
              </w:rPr>
              <w:t xml:space="preserve">Model 3: </w:t>
            </w:r>
            <w:r w:rsidR="00422D74" w:rsidRPr="00D430F2">
              <w:rPr>
                <w:b/>
              </w:rPr>
              <w:t>Combined Adherence and Intensity</w:t>
            </w:r>
          </w:p>
        </w:tc>
      </w:tr>
      <w:tr w:rsidR="004C5E84" w14:paraId="133EE7B7" w14:textId="77777777" w:rsidTr="00DE5461">
        <w:trPr>
          <w:trHeight w:val="432"/>
        </w:trPr>
        <w:tc>
          <w:tcPr>
            <w:tcW w:w="3595" w:type="dxa"/>
            <w:vAlign w:val="center"/>
          </w:tcPr>
          <w:p w14:paraId="2747212B" w14:textId="372B8497" w:rsidR="004C5E84" w:rsidRDefault="004C5E84" w:rsidP="00DE5461">
            <w:pPr>
              <w:suppressAutoHyphens w:val="0"/>
              <w:spacing w:line="240" w:lineRule="auto"/>
            </w:pPr>
            <w:r>
              <w:t>Per 10% increase</w:t>
            </w:r>
          </w:p>
        </w:tc>
        <w:tc>
          <w:tcPr>
            <w:tcW w:w="1918" w:type="dxa"/>
            <w:vAlign w:val="center"/>
          </w:tcPr>
          <w:p w14:paraId="6ED04336" w14:textId="77777777" w:rsidR="004C5E84" w:rsidRPr="00394256" w:rsidRDefault="004C5E84" w:rsidP="00DE5461">
            <w:pPr>
              <w:suppressAutoHyphens w:val="0"/>
              <w:spacing w:line="240" w:lineRule="auto"/>
              <w:jc w:val="center"/>
              <w:rPr>
                <w:rFonts w:cs="Arial"/>
                <w:color w:val="000000"/>
              </w:rPr>
            </w:pPr>
            <w:r w:rsidRPr="00300D44">
              <w:rPr>
                <w:rFonts w:cs="Arial"/>
                <w:color w:val="000000"/>
              </w:rPr>
              <w:t xml:space="preserve">0.90 (0.86 </w:t>
            </w:r>
            <w:r>
              <w:rPr>
                <w:rFonts w:cs="Arial"/>
                <w:color w:val="000000"/>
              </w:rPr>
              <w:t>-</w:t>
            </w:r>
            <w:r w:rsidRPr="00300D44">
              <w:rPr>
                <w:rFonts w:cs="Arial"/>
                <w:color w:val="000000"/>
              </w:rPr>
              <w:t xml:space="preserve"> 0.94)</w:t>
            </w:r>
          </w:p>
        </w:tc>
        <w:tc>
          <w:tcPr>
            <w:tcW w:w="1918" w:type="dxa"/>
            <w:vAlign w:val="center"/>
          </w:tcPr>
          <w:p w14:paraId="46AF7197" w14:textId="77777777" w:rsidR="004C5E84" w:rsidRPr="00394256" w:rsidRDefault="004C5E84" w:rsidP="00DE5461">
            <w:pPr>
              <w:suppressAutoHyphens w:val="0"/>
              <w:spacing w:line="240" w:lineRule="auto"/>
              <w:jc w:val="center"/>
              <w:rPr>
                <w:rFonts w:cs="Arial"/>
                <w:color w:val="000000"/>
              </w:rPr>
            </w:pPr>
            <w:r>
              <w:rPr>
                <w:rFonts w:cs="Arial"/>
                <w:color w:val="000000"/>
              </w:rPr>
              <w:t xml:space="preserve">0.92 </w:t>
            </w:r>
            <w:r w:rsidRPr="00300D44">
              <w:rPr>
                <w:rFonts w:cs="Arial"/>
                <w:color w:val="000000"/>
              </w:rPr>
              <w:t xml:space="preserve">(0.87 </w:t>
            </w:r>
            <w:r>
              <w:rPr>
                <w:rFonts w:cs="Arial"/>
                <w:color w:val="000000"/>
              </w:rPr>
              <w:t>-</w:t>
            </w:r>
            <w:r w:rsidRPr="00300D44">
              <w:rPr>
                <w:rFonts w:cs="Arial"/>
                <w:color w:val="000000"/>
              </w:rPr>
              <w:t xml:space="preserve"> 0.97)</w:t>
            </w:r>
          </w:p>
        </w:tc>
        <w:tc>
          <w:tcPr>
            <w:tcW w:w="1919" w:type="dxa"/>
            <w:vAlign w:val="center"/>
          </w:tcPr>
          <w:p w14:paraId="53A59B2D" w14:textId="77777777" w:rsidR="004C5E84" w:rsidRPr="00394256" w:rsidRDefault="004C5E84" w:rsidP="00DE5461">
            <w:pPr>
              <w:suppressAutoHyphens w:val="0"/>
              <w:spacing w:line="240" w:lineRule="auto"/>
              <w:jc w:val="center"/>
              <w:rPr>
                <w:rFonts w:cs="Arial"/>
                <w:color w:val="000000"/>
              </w:rPr>
            </w:pPr>
            <w:r w:rsidRPr="00300D44">
              <w:rPr>
                <w:rFonts w:cs="Arial"/>
                <w:color w:val="000000"/>
              </w:rPr>
              <w:t>0.81</w:t>
            </w:r>
            <w:r>
              <w:rPr>
                <w:rFonts w:cs="Arial"/>
                <w:color w:val="000000"/>
              </w:rPr>
              <w:t xml:space="preserve"> </w:t>
            </w:r>
            <w:r w:rsidRPr="00300D44">
              <w:rPr>
                <w:rFonts w:cs="Arial"/>
                <w:color w:val="000000"/>
              </w:rPr>
              <w:t xml:space="preserve">(0.70 </w:t>
            </w:r>
            <w:r>
              <w:rPr>
                <w:rFonts w:cs="Arial"/>
                <w:color w:val="000000"/>
              </w:rPr>
              <w:t>-</w:t>
            </w:r>
            <w:r w:rsidRPr="00300D44">
              <w:rPr>
                <w:rFonts w:cs="Arial"/>
                <w:color w:val="000000"/>
              </w:rPr>
              <w:t xml:space="preserve"> 0.95)</w:t>
            </w:r>
          </w:p>
        </w:tc>
      </w:tr>
      <w:tr w:rsidR="004C5E84" w14:paraId="2DCB10CA" w14:textId="77777777" w:rsidTr="00DE5461">
        <w:trPr>
          <w:trHeight w:val="432"/>
        </w:trPr>
        <w:tc>
          <w:tcPr>
            <w:tcW w:w="3595" w:type="dxa"/>
            <w:vAlign w:val="center"/>
          </w:tcPr>
          <w:p w14:paraId="6F4C0D34" w14:textId="5DBCB978" w:rsidR="004C5E84" w:rsidRDefault="004C5E84" w:rsidP="00DE5461">
            <w:pPr>
              <w:suppressAutoHyphens w:val="0"/>
              <w:spacing w:line="240" w:lineRule="auto"/>
            </w:pPr>
            <w:r>
              <w:t>Per 10% increase, no heart failure*</w:t>
            </w:r>
          </w:p>
        </w:tc>
        <w:tc>
          <w:tcPr>
            <w:tcW w:w="1918" w:type="dxa"/>
            <w:vAlign w:val="center"/>
          </w:tcPr>
          <w:p w14:paraId="53A366CC" w14:textId="77777777" w:rsidR="004C5E84" w:rsidRPr="00394256" w:rsidRDefault="004C5E84" w:rsidP="00DE5461">
            <w:pPr>
              <w:suppressAutoHyphens w:val="0"/>
              <w:spacing w:line="240" w:lineRule="auto"/>
              <w:jc w:val="center"/>
              <w:rPr>
                <w:rFonts w:cs="Arial"/>
                <w:color w:val="000000"/>
              </w:rPr>
            </w:pPr>
            <w:r w:rsidRPr="00D65F80">
              <w:rPr>
                <w:rFonts w:cs="Arial"/>
                <w:color w:val="000000"/>
              </w:rPr>
              <w:t>0.90</w:t>
            </w:r>
            <w:r>
              <w:rPr>
                <w:rFonts w:cs="Arial"/>
                <w:color w:val="000000"/>
              </w:rPr>
              <w:t xml:space="preserve"> </w:t>
            </w:r>
            <w:r w:rsidRPr="00D65F80">
              <w:rPr>
                <w:rFonts w:cs="Arial"/>
                <w:color w:val="000000"/>
              </w:rPr>
              <w:t xml:space="preserve">(0.86 </w:t>
            </w:r>
            <w:r>
              <w:rPr>
                <w:rFonts w:cs="Arial"/>
                <w:color w:val="000000"/>
              </w:rPr>
              <w:t>-</w:t>
            </w:r>
            <w:r w:rsidRPr="00D65F80">
              <w:rPr>
                <w:rFonts w:cs="Arial"/>
                <w:color w:val="000000"/>
              </w:rPr>
              <w:t xml:space="preserve"> 0.94)</w:t>
            </w:r>
          </w:p>
        </w:tc>
        <w:tc>
          <w:tcPr>
            <w:tcW w:w="1918" w:type="dxa"/>
            <w:vAlign w:val="center"/>
          </w:tcPr>
          <w:p w14:paraId="3EAB70F5" w14:textId="77777777" w:rsidR="004C5E84" w:rsidRPr="00394256" w:rsidRDefault="004C5E84" w:rsidP="00DE5461">
            <w:pPr>
              <w:suppressAutoHyphens w:val="0"/>
              <w:spacing w:line="240" w:lineRule="auto"/>
              <w:jc w:val="center"/>
              <w:rPr>
                <w:rFonts w:cs="Arial"/>
                <w:color w:val="000000"/>
              </w:rPr>
            </w:pPr>
            <w:r w:rsidRPr="0087463A">
              <w:rPr>
                <w:rFonts w:cs="Arial"/>
                <w:color w:val="000000"/>
              </w:rPr>
              <w:t>0.90</w:t>
            </w:r>
            <w:r>
              <w:rPr>
                <w:rFonts w:cs="Arial"/>
                <w:color w:val="000000"/>
              </w:rPr>
              <w:t xml:space="preserve"> </w:t>
            </w:r>
            <w:r w:rsidRPr="0087463A">
              <w:rPr>
                <w:rFonts w:cs="Arial"/>
                <w:color w:val="000000"/>
              </w:rPr>
              <w:t xml:space="preserve">(0.85 </w:t>
            </w:r>
            <w:r>
              <w:rPr>
                <w:rFonts w:cs="Arial"/>
                <w:color w:val="000000"/>
              </w:rPr>
              <w:t>-</w:t>
            </w:r>
            <w:r w:rsidRPr="0087463A">
              <w:rPr>
                <w:rFonts w:cs="Arial"/>
                <w:color w:val="000000"/>
              </w:rPr>
              <w:t xml:space="preserve"> 0.96)</w:t>
            </w:r>
          </w:p>
        </w:tc>
        <w:tc>
          <w:tcPr>
            <w:tcW w:w="1919" w:type="dxa"/>
            <w:vAlign w:val="center"/>
          </w:tcPr>
          <w:p w14:paraId="52194078" w14:textId="77777777" w:rsidR="004C5E84" w:rsidRPr="00394256" w:rsidRDefault="004C5E84" w:rsidP="00DE5461">
            <w:pPr>
              <w:suppressAutoHyphens w:val="0"/>
              <w:spacing w:line="240" w:lineRule="auto"/>
              <w:jc w:val="center"/>
              <w:rPr>
                <w:rFonts w:cs="Arial"/>
                <w:color w:val="000000"/>
              </w:rPr>
            </w:pPr>
            <w:r w:rsidRPr="009221AC">
              <w:rPr>
                <w:rFonts w:cs="Arial"/>
                <w:color w:val="000000"/>
              </w:rPr>
              <w:t>0.86</w:t>
            </w:r>
            <w:r>
              <w:rPr>
                <w:rFonts w:cs="Arial"/>
                <w:color w:val="000000"/>
              </w:rPr>
              <w:t xml:space="preserve"> </w:t>
            </w:r>
            <w:r w:rsidRPr="009221AC">
              <w:rPr>
                <w:rFonts w:cs="Arial"/>
                <w:color w:val="000000"/>
              </w:rPr>
              <w:t xml:space="preserve">(0.73 </w:t>
            </w:r>
            <w:r>
              <w:rPr>
                <w:rFonts w:cs="Arial"/>
                <w:color w:val="000000"/>
              </w:rPr>
              <w:t>-</w:t>
            </w:r>
            <w:r w:rsidRPr="009221AC">
              <w:rPr>
                <w:rFonts w:cs="Arial"/>
                <w:color w:val="000000"/>
              </w:rPr>
              <w:t xml:space="preserve"> 1.02)</w:t>
            </w:r>
          </w:p>
        </w:tc>
      </w:tr>
      <w:tr w:rsidR="00422D74" w14:paraId="09F5FCD8" w14:textId="77777777" w:rsidTr="00422D74">
        <w:trPr>
          <w:trHeight w:val="432"/>
        </w:trPr>
        <w:tc>
          <w:tcPr>
            <w:tcW w:w="3595" w:type="dxa"/>
            <w:vAlign w:val="center"/>
          </w:tcPr>
          <w:p w14:paraId="1D6BB4B5" w14:textId="77777777" w:rsidR="00422D74" w:rsidRDefault="00422D74" w:rsidP="00422D74">
            <w:pPr>
              <w:suppressAutoHyphens w:val="0"/>
              <w:spacing w:line="240" w:lineRule="auto"/>
            </w:pPr>
            <w:r>
              <w:t>High Intensity + Adherent</w:t>
            </w:r>
          </w:p>
        </w:tc>
        <w:tc>
          <w:tcPr>
            <w:tcW w:w="1918" w:type="dxa"/>
            <w:vAlign w:val="center"/>
          </w:tcPr>
          <w:p w14:paraId="48003F06" w14:textId="77777777" w:rsidR="00422D74" w:rsidRPr="00394256" w:rsidRDefault="00422D74" w:rsidP="00422D74">
            <w:pPr>
              <w:suppressAutoHyphens w:val="0"/>
              <w:spacing w:line="240" w:lineRule="auto"/>
              <w:jc w:val="center"/>
              <w:rPr>
                <w:rFonts w:cs="Arial"/>
              </w:rPr>
            </w:pPr>
            <w:r w:rsidRPr="00394256">
              <w:rPr>
                <w:rFonts w:cs="Arial"/>
                <w:color w:val="000000"/>
              </w:rPr>
              <w:t>0.60 (0.54 - 0.68)</w:t>
            </w:r>
          </w:p>
        </w:tc>
        <w:tc>
          <w:tcPr>
            <w:tcW w:w="1918" w:type="dxa"/>
            <w:vAlign w:val="center"/>
          </w:tcPr>
          <w:p w14:paraId="4C7E96A8" w14:textId="77777777" w:rsidR="00422D74" w:rsidRPr="00394256" w:rsidRDefault="00422D74" w:rsidP="00422D74">
            <w:pPr>
              <w:suppressAutoHyphens w:val="0"/>
              <w:spacing w:line="240" w:lineRule="auto"/>
              <w:jc w:val="center"/>
              <w:rPr>
                <w:rFonts w:cs="Arial"/>
              </w:rPr>
            </w:pPr>
            <w:r>
              <w:rPr>
                <w:rFonts w:cs="Arial"/>
                <w:color w:val="000000"/>
              </w:rPr>
              <w:t>0.67</w:t>
            </w:r>
            <w:r w:rsidRPr="00394256">
              <w:rPr>
                <w:rFonts w:cs="Arial"/>
                <w:color w:val="000000"/>
              </w:rPr>
              <w:t xml:space="preserve"> (0.5</w:t>
            </w:r>
            <w:r>
              <w:rPr>
                <w:rFonts w:cs="Arial"/>
                <w:color w:val="000000"/>
              </w:rPr>
              <w:t>7</w:t>
            </w:r>
            <w:r w:rsidRPr="00394256">
              <w:rPr>
                <w:rFonts w:cs="Arial"/>
                <w:color w:val="000000"/>
              </w:rPr>
              <w:t xml:space="preserve"> - 0.7</w:t>
            </w:r>
            <w:r>
              <w:rPr>
                <w:rFonts w:cs="Arial"/>
                <w:color w:val="000000"/>
              </w:rPr>
              <w:t>9</w:t>
            </w:r>
            <w:r w:rsidRPr="00394256">
              <w:rPr>
                <w:rFonts w:cs="Arial"/>
                <w:color w:val="000000"/>
              </w:rPr>
              <w:t>)</w:t>
            </w:r>
          </w:p>
        </w:tc>
        <w:tc>
          <w:tcPr>
            <w:tcW w:w="1919" w:type="dxa"/>
            <w:vAlign w:val="center"/>
          </w:tcPr>
          <w:p w14:paraId="2F667DD4" w14:textId="77777777" w:rsidR="00422D74" w:rsidRPr="00394256" w:rsidRDefault="00422D74" w:rsidP="00422D74">
            <w:pPr>
              <w:suppressAutoHyphens w:val="0"/>
              <w:spacing w:line="240" w:lineRule="auto"/>
              <w:jc w:val="center"/>
              <w:rPr>
                <w:rFonts w:cs="Arial"/>
              </w:rPr>
            </w:pPr>
            <w:r w:rsidRPr="00394256">
              <w:rPr>
                <w:rFonts w:cs="Arial"/>
                <w:color w:val="000000"/>
              </w:rPr>
              <w:t>0.39 (0.25 - 0.61)</w:t>
            </w:r>
          </w:p>
        </w:tc>
      </w:tr>
      <w:tr w:rsidR="00422D74" w14:paraId="2307A382" w14:textId="77777777" w:rsidTr="00422D74">
        <w:trPr>
          <w:trHeight w:val="432"/>
        </w:trPr>
        <w:tc>
          <w:tcPr>
            <w:tcW w:w="3595" w:type="dxa"/>
            <w:vAlign w:val="center"/>
          </w:tcPr>
          <w:p w14:paraId="3CF1A13E" w14:textId="77777777" w:rsidR="00422D74" w:rsidRDefault="00422D74" w:rsidP="00422D74">
            <w:pPr>
              <w:suppressAutoHyphens w:val="0"/>
              <w:spacing w:line="240" w:lineRule="auto"/>
            </w:pPr>
            <w:r>
              <w:t>High Intensity + Non-adherent</w:t>
            </w:r>
          </w:p>
        </w:tc>
        <w:tc>
          <w:tcPr>
            <w:tcW w:w="1918" w:type="dxa"/>
            <w:vAlign w:val="center"/>
          </w:tcPr>
          <w:p w14:paraId="1CC398E6" w14:textId="77777777" w:rsidR="00422D74" w:rsidRPr="00394256" w:rsidRDefault="00422D74" w:rsidP="00422D74">
            <w:pPr>
              <w:suppressAutoHyphens w:val="0"/>
              <w:spacing w:line="240" w:lineRule="auto"/>
              <w:jc w:val="center"/>
              <w:rPr>
                <w:rFonts w:cs="Arial"/>
                <w:color w:val="000000"/>
              </w:rPr>
            </w:pPr>
            <w:r w:rsidRPr="00394256">
              <w:rPr>
                <w:rFonts w:cs="Arial"/>
                <w:color w:val="000000"/>
              </w:rPr>
              <w:t>0.90 (0.86 - 0.95)</w:t>
            </w:r>
          </w:p>
        </w:tc>
        <w:tc>
          <w:tcPr>
            <w:tcW w:w="1918" w:type="dxa"/>
            <w:vAlign w:val="center"/>
          </w:tcPr>
          <w:p w14:paraId="16CD6D13" w14:textId="77777777" w:rsidR="00422D74" w:rsidRPr="00394256" w:rsidRDefault="00422D74" w:rsidP="00422D74">
            <w:pPr>
              <w:suppressAutoHyphens w:val="0"/>
              <w:spacing w:line="240" w:lineRule="auto"/>
              <w:jc w:val="center"/>
              <w:rPr>
                <w:rFonts w:cs="Arial"/>
                <w:color w:val="000000"/>
              </w:rPr>
            </w:pPr>
            <w:r w:rsidRPr="00394256">
              <w:rPr>
                <w:rFonts w:cs="Arial"/>
                <w:color w:val="000000"/>
              </w:rPr>
              <w:t>0.92 (0.87 - 0.9</w:t>
            </w:r>
            <w:r>
              <w:rPr>
                <w:rFonts w:cs="Arial"/>
                <w:color w:val="000000"/>
              </w:rPr>
              <w:t>8</w:t>
            </w:r>
            <w:r w:rsidRPr="00394256">
              <w:rPr>
                <w:rFonts w:cs="Arial"/>
                <w:color w:val="000000"/>
              </w:rPr>
              <w:t>)</w:t>
            </w:r>
          </w:p>
        </w:tc>
        <w:tc>
          <w:tcPr>
            <w:tcW w:w="1919" w:type="dxa"/>
            <w:vAlign w:val="center"/>
          </w:tcPr>
          <w:p w14:paraId="61DE2A3F" w14:textId="77777777" w:rsidR="00422D74" w:rsidRPr="00394256" w:rsidRDefault="00422D74" w:rsidP="00422D74">
            <w:pPr>
              <w:suppressAutoHyphens w:val="0"/>
              <w:spacing w:line="240" w:lineRule="auto"/>
              <w:jc w:val="center"/>
              <w:rPr>
                <w:rFonts w:cs="Arial"/>
                <w:color w:val="000000"/>
              </w:rPr>
            </w:pPr>
            <w:r w:rsidRPr="00394256">
              <w:rPr>
                <w:rFonts w:cs="Arial"/>
                <w:color w:val="000000"/>
              </w:rPr>
              <w:t>0.82 (0.73 - 0.92)</w:t>
            </w:r>
          </w:p>
        </w:tc>
      </w:tr>
      <w:tr w:rsidR="00422D74" w14:paraId="1ED69286" w14:textId="77777777" w:rsidTr="00422D74">
        <w:trPr>
          <w:trHeight w:val="432"/>
        </w:trPr>
        <w:tc>
          <w:tcPr>
            <w:tcW w:w="3595" w:type="dxa"/>
            <w:vAlign w:val="center"/>
          </w:tcPr>
          <w:p w14:paraId="771865ED" w14:textId="77777777" w:rsidR="00422D74" w:rsidRDefault="00422D74" w:rsidP="00422D74">
            <w:pPr>
              <w:suppressAutoHyphens w:val="0"/>
              <w:spacing w:line="240" w:lineRule="auto"/>
            </w:pPr>
            <w:r>
              <w:t>Moderate Intensity + Adherent</w:t>
            </w:r>
          </w:p>
        </w:tc>
        <w:tc>
          <w:tcPr>
            <w:tcW w:w="1918" w:type="dxa"/>
            <w:vAlign w:val="center"/>
          </w:tcPr>
          <w:p w14:paraId="7E0B1BAC" w14:textId="77777777" w:rsidR="00422D74" w:rsidRPr="00394256" w:rsidRDefault="00422D74" w:rsidP="00422D74">
            <w:pPr>
              <w:suppressAutoHyphens w:val="0"/>
              <w:spacing w:line="240" w:lineRule="auto"/>
              <w:jc w:val="center"/>
              <w:rPr>
                <w:rFonts w:cs="Arial"/>
              </w:rPr>
            </w:pPr>
            <w:r w:rsidRPr="00394256">
              <w:rPr>
                <w:rFonts w:cs="Arial"/>
                <w:color w:val="000000"/>
              </w:rPr>
              <w:t>0.70 (0.66 - 0.74)</w:t>
            </w:r>
          </w:p>
        </w:tc>
        <w:tc>
          <w:tcPr>
            <w:tcW w:w="1918" w:type="dxa"/>
            <w:vAlign w:val="center"/>
          </w:tcPr>
          <w:p w14:paraId="0B3188F4" w14:textId="77777777" w:rsidR="00422D74" w:rsidRPr="00394256" w:rsidRDefault="00422D74" w:rsidP="00422D74">
            <w:pPr>
              <w:suppressAutoHyphens w:val="0"/>
              <w:spacing w:line="240" w:lineRule="auto"/>
              <w:jc w:val="center"/>
              <w:rPr>
                <w:rFonts w:cs="Arial"/>
              </w:rPr>
            </w:pPr>
            <w:r>
              <w:rPr>
                <w:rFonts w:cs="Arial"/>
                <w:color w:val="000000"/>
              </w:rPr>
              <w:t>0.75 (0.69 - 0.82</w:t>
            </w:r>
            <w:r w:rsidRPr="00394256">
              <w:rPr>
                <w:rFonts w:cs="Arial"/>
                <w:color w:val="000000"/>
              </w:rPr>
              <w:t>)</w:t>
            </w:r>
          </w:p>
        </w:tc>
        <w:tc>
          <w:tcPr>
            <w:tcW w:w="1919" w:type="dxa"/>
            <w:vAlign w:val="center"/>
          </w:tcPr>
          <w:p w14:paraId="065FA8AC" w14:textId="77777777" w:rsidR="00422D74" w:rsidRPr="00394256" w:rsidRDefault="00422D74" w:rsidP="00422D74">
            <w:pPr>
              <w:suppressAutoHyphens w:val="0"/>
              <w:spacing w:line="240" w:lineRule="auto"/>
              <w:jc w:val="center"/>
              <w:rPr>
                <w:rFonts w:cs="Arial"/>
              </w:rPr>
            </w:pPr>
            <w:r w:rsidRPr="00394256">
              <w:rPr>
                <w:rFonts w:cs="Arial"/>
                <w:color w:val="000000"/>
              </w:rPr>
              <w:t>0.50 (0.38 - 0.65)</w:t>
            </w:r>
          </w:p>
        </w:tc>
      </w:tr>
      <w:tr w:rsidR="00422D74" w14:paraId="3CDEB012" w14:textId="77777777" w:rsidTr="00422D74">
        <w:trPr>
          <w:trHeight w:val="432"/>
        </w:trPr>
        <w:tc>
          <w:tcPr>
            <w:tcW w:w="3595" w:type="dxa"/>
            <w:vAlign w:val="center"/>
          </w:tcPr>
          <w:p w14:paraId="28BFCF76" w14:textId="77777777" w:rsidR="00422D74" w:rsidRDefault="00422D74" w:rsidP="00422D74">
            <w:pPr>
              <w:suppressAutoHyphens w:val="0"/>
              <w:spacing w:line="240" w:lineRule="auto"/>
            </w:pPr>
            <w:r>
              <w:t>Moderate Intensity + Non-adherent</w:t>
            </w:r>
          </w:p>
        </w:tc>
        <w:tc>
          <w:tcPr>
            <w:tcW w:w="1918" w:type="dxa"/>
            <w:vAlign w:val="center"/>
          </w:tcPr>
          <w:p w14:paraId="61869EDB" w14:textId="77777777" w:rsidR="00422D74" w:rsidRPr="00394256" w:rsidRDefault="00422D74" w:rsidP="00422D74">
            <w:pPr>
              <w:suppressAutoHyphens w:val="0"/>
              <w:spacing w:line="240" w:lineRule="auto"/>
              <w:jc w:val="center"/>
              <w:rPr>
                <w:rFonts w:cs="Arial"/>
                <w:color w:val="000000"/>
              </w:rPr>
            </w:pPr>
            <w:r w:rsidRPr="00394256">
              <w:rPr>
                <w:rFonts w:cs="Arial"/>
                <w:color w:val="000000"/>
              </w:rPr>
              <w:t>0.93 (0.87 - 0.99)</w:t>
            </w:r>
          </w:p>
        </w:tc>
        <w:tc>
          <w:tcPr>
            <w:tcW w:w="1918" w:type="dxa"/>
            <w:vAlign w:val="center"/>
          </w:tcPr>
          <w:p w14:paraId="04893238" w14:textId="77777777" w:rsidR="00422D74" w:rsidRPr="00394256" w:rsidRDefault="00422D74" w:rsidP="00422D74">
            <w:pPr>
              <w:suppressAutoHyphens w:val="0"/>
              <w:spacing w:line="240" w:lineRule="auto"/>
              <w:jc w:val="center"/>
              <w:rPr>
                <w:rFonts w:cs="Arial"/>
                <w:color w:val="000000"/>
              </w:rPr>
            </w:pPr>
            <w:r>
              <w:rPr>
                <w:rFonts w:cs="Arial"/>
                <w:color w:val="000000"/>
              </w:rPr>
              <w:t>0.94 (0.88 - 1.02</w:t>
            </w:r>
            <w:r w:rsidRPr="00394256">
              <w:rPr>
                <w:rFonts w:cs="Arial"/>
                <w:color w:val="000000"/>
              </w:rPr>
              <w:t>)</w:t>
            </w:r>
          </w:p>
        </w:tc>
        <w:tc>
          <w:tcPr>
            <w:tcW w:w="1919" w:type="dxa"/>
            <w:vAlign w:val="center"/>
          </w:tcPr>
          <w:p w14:paraId="1E584F16" w14:textId="77777777" w:rsidR="00422D74" w:rsidRPr="00394256" w:rsidRDefault="00422D74" w:rsidP="00422D74">
            <w:pPr>
              <w:suppressAutoHyphens w:val="0"/>
              <w:spacing w:line="240" w:lineRule="auto"/>
              <w:jc w:val="center"/>
              <w:rPr>
                <w:rFonts w:cs="Arial"/>
                <w:color w:val="000000"/>
              </w:rPr>
            </w:pPr>
            <w:r w:rsidRPr="00394256">
              <w:rPr>
                <w:rFonts w:cs="Arial"/>
                <w:color w:val="000000"/>
              </w:rPr>
              <w:t>0.87 (0.74 - 1.02)</w:t>
            </w:r>
          </w:p>
        </w:tc>
      </w:tr>
      <w:tr w:rsidR="00422D74" w14:paraId="7B5EF117" w14:textId="77777777" w:rsidTr="00422D74">
        <w:trPr>
          <w:trHeight w:val="432"/>
        </w:trPr>
        <w:tc>
          <w:tcPr>
            <w:tcW w:w="3595" w:type="dxa"/>
            <w:vAlign w:val="center"/>
          </w:tcPr>
          <w:p w14:paraId="46157B67" w14:textId="77777777" w:rsidR="00422D74" w:rsidRDefault="00422D74" w:rsidP="00422D74">
            <w:pPr>
              <w:suppressAutoHyphens w:val="0"/>
              <w:spacing w:line="240" w:lineRule="auto"/>
            </w:pPr>
            <w:r>
              <w:t>Low Intensity + Adherent</w:t>
            </w:r>
          </w:p>
        </w:tc>
        <w:tc>
          <w:tcPr>
            <w:tcW w:w="1918" w:type="dxa"/>
            <w:vAlign w:val="center"/>
          </w:tcPr>
          <w:p w14:paraId="412C0897" w14:textId="77777777" w:rsidR="00422D74" w:rsidRPr="00394256" w:rsidRDefault="00422D74" w:rsidP="00422D74">
            <w:pPr>
              <w:suppressAutoHyphens w:val="0"/>
              <w:spacing w:line="240" w:lineRule="auto"/>
              <w:jc w:val="center"/>
              <w:rPr>
                <w:rFonts w:cs="Arial"/>
              </w:rPr>
            </w:pPr>
            <w:r w:rsidRPr="00394256">
              <w:rPr>
                <w:rFonts w:cs="Arial"/>
                <w:color w:val="000000"/>
              </w:rPr>
              <w:t>0.78 (0.78 - 0.79)</w:t>
            </w:r>
          </w:p>
        </w:tc>
        <w:tc>
          <w:tcPr>
            <w:tcW w:w="1918" w:type="dxa"/>
            <w:vAlign w:val="center"/>
          </w:tcPr>
          <w:p w14:paraId="51527174" w14:textId="77777777" w:rsidR="00422D74" w:rsidRPr="00394256" w:rsidRDefault="00422D74" w:rsidP="00422D74">
            <w:pPr>
              <w:suppressAutoHyphens w:val="0"/>
              <w:spacing w:line="240" w:lineRule="auto"/>
              <w:jc w:val="center"/>
              <w:rPr>
                <w:rFonts w:cs="Arial"/>
              </w:rPr>
            </w:pPr>
            <w:r w:rsidRPr="00394256">
              <w:rPr>
                <w:rFonts w:cs="Arial"/>
                <w:color w:val="000000"/>
              </w:rPr>
              <w:t>0.82 (0.8</w:t>
            </w:r>
            <w:r>
              <w:rPr>
                <w:rFonts w:cs="Arial"/>
                <w:color w:val="000000"/>
              </w:rPr>
              <w:t>1</w:t>
            </w:r>
            <w:r w:rsidRPr="00394256">
              <w:rPr>
                <w:rFonts w:cs="Arial"/>
                <w:color w:val="000000"/>
              </w:rPr>
              <w:t xml:space="preserve"> - 0.84)</w:t>
            </w:r>
          </w:p>
        </w:tc>
        <w:tc>
          <w:tcPr>
            <w:tcW w:w="1919" w:type="dxa"/>
            <w:vAlign w:val="center"/>
          </w:tcPr>
          <w:p w14:paraId="62D75EDB" w14:textId="77777777" w:rsidR="00422D74" w:rsidRPr="00394256" w:rsidRDefault="00422D74" w:rsidP="00422D74">
            <w:pPr>
              <w:suppressAutoHyphens w:val="0"/>
              <w:spacing w:line="240" w:lineRule="auto"/>
              <w:jc w:val="center"/>
              <w:rPr>
                <w:rFonts w:cs="Arial"/>
              </w:rPr>
            </w:pPr>
            <w:r w:rsidRPr="00394256">
              <w:rPr>
                <w:rFonts w:cs="Arial"/>
                <w:color w:val="000000"/>
              </w:rPr>
              <w:t>0.62 (0.57 - 0.68)</w:t>
            </w:r>
          </w:p>
        </w:tc>
      </w:tr>
      <w:tr w:rsidR="00422D74" w14:paraId="13839611" w14:textId="77777777" w:rsidTr="00422D74">
        <w:trPr>
          <w:trHeight w:val="432"/>
        </w:trPr>
        <w:tc>
          <w:tcPr>
            <w:tcW w:w="3595" w:type="dxa"/>
            <w:vAlign w:val="center"/>
          </w:tcPr>
          <w:p w14:paraId="0453F107" w14:textId="77777777" w:rsidR="00422D74" w:rsidRDefault="00422D74" w:rsidP="00422D74">
            <w:pPr>
              <w:suppressAutoHyphens w:val="0"/>
              <w:spacing w:line="240" w:lineRule="auto"/>
            </w:pPr>
            <w:r>
              <w:t>Low Intensity + Non-adherent</w:t>
            </w:r>
          </w:p>
        </w:tc>
        <w:tc>
          <w:tcPr>
            <w:tcW w:w="1918" w:type="dxa"/>
            <w:vAlign w:val="center"/>
          </w:tcPr>
          <w:p w14:paraId="23523BCA" w14:textId="77777777" w:rsidR="00422D74" w:rsidRPr="00394256" w:rsidRDefault="00422D74" w:rsidP="00422D74">
            <w:pPr>
              <w:suppressAutoHyphens w:val="0"/>
              <w:spacing w:line="240" w:lineRule="auto"/>
              <w:jc w:val="center"/>
              <w:rPr>
                <w:rFonts w:cs="Arial"/>
                <w:color w:val="000000"/>
              </w:rPr>
            </w:pPr>
            <w:r w:rsidRPr="00394256">
              <w:rPr>
                <w:rFonts w:cs="Arial"/>
                <w:color w:val="000000"/>
              </w:rPr>
              <w:t>0.95 (0.89 - 1.02)</w:t>
            </w:r>
          </w:p>
        </w:tc>
        <w:tc>
          <w:tcPr>
            <w:tcW w:w="1918" w:type="dxa"/>
            <w:vAlign w:val="center"/>
          </w:tcPr>
          <w:p w14:paraId="24CC683C" w14:textId="77777777" w:rsidR="00422D74" w:rsidRPr="00394256" w:rsidRDefault="00422D74" w:rsidP="00422D74">
            <w:pPr>
              <w:suppressAutoHyphens w:val="0"/>
              <w:spacing w:line="240" w:lineRule="auto"/>
              <w:jc w:val="center"/>
              <w:rPr>
                <w:rFonts w:cs="Arial"/>
                <w:color w:val="000000"/>
              </w:rPr>
            </w:pPr>
            <w:r w:rsidRPr="00394256">
              <w:rPr>
                <w:rFonts w:cs="Arial"/>
                <w:color w:val="000000"/>
              </w:rPr>
              <w:t>0.96 (0.88 - 1.05)</w:t>
            </w:r>
          </w:p>
        </w:tc>
        <w:tc>
          <w:tcPr>
            <w:tcW w:w="1919" w:type="dxa"/>
            <w:vAlign w:val="center"/>
          </w:tcPr>
          <w:p w14:paraId="50C793F2" w14:textId="77777777" w:rsidR="00422D74" w:rsidRPr="00394256" w:rsidRDefault="00422D74" w:rsidP="00422D74">
            <w:pPr>
              <w:suppressAutoHyphens w:val="0"/>
              <w:spacing w:line="240" w:lineRule="auto"/>
              <w:jc w:val="center"/>
              <w:rPr>
                <w:rFonts w:cs="Arial"/>
                <w:color w:val="000000"/>
              </w:rPr>
            </w:pPr>
            <w:r w:rsidRPr="00394256">
              <w:rPr>
                <w:rFonts w:cs="Arial"/>
                <w:color w:val="000000"/>
              </w:rPr>
              <w:t>0.91 (0.75 - 1.11)</w:t>
            </w:r>
          </w:p>
        </w:tc>
      </w:tr>
    </w:tbl>
    <w:p w14:paraId="5257DB2C" w14:textId="4F372527" w:rsidR="00422D74" w:rsidRDefault="00412E1C" w:rsidP="00EE31CA">
      <w:pPr>
        <w:pStyle w:val="Text"/>
        <w:rPr>
          <w:b/>
        </w:rPr>
      </w:pPr>
      <w:r>
        <w:t xml:space="preserve">Note:  </w:t>
      </w:r>
      <w:r w:rsidR="00D825BA">
        <w:t xml:space="preserve">HR = hazard ratio.  </w:t>
      </w:r>
      <w:r>
        <w:t>The a</w:t>
      </w:r>
      <w:r w:rsidR="00422D74">
        <w:t xml:space="preserve">dherent </w:t>
      </w:r>
      <w:r>
        <w:t xml:space="preserve">patient profile </w:t>
      </w:r>
      <w:r w:rsidR="00422D74">
        <w:t xml:space="preserve">is defined as </w:t>
      </w:r>
      <w:r>
        <w:t>patients with a</w:t>
      </w:r>
      <w:r w:rsidR="00422D74">
        <w:t xml:space="preserve"> </w:t>
      </w:r>
      <w:r>
        <w:t>proportion of days covered</w:t>
      </w:r>
      <w:r w:rsidR="00422D74">
        <w:t xml:space="preserve"> ≥80%.  Models adjusted for sex, smoking status, hypertension status, anti-thrombotic medication use, </w:t>
      </w:r>
      <w:r>
        <w:t xml:space="preserve">chronic kidney </w:t>
      </w:r>
      <w:proofErr w:type="spellStart"/>
      <w:r>
        <w:t>disese</w:t>
      </w:r>
      <w:proofErr w:type="spellEnd"/>
      <w:r>
        <w:t xml:space="preserve"> (</w:t>
      </w:r>
      <w:r w:rsidR="00422D74">
        <w:t>CKD</w:t>
      </w:r>
      <w:r>
        <w:t>)</w:t>
      </w:r>
      <w:r w:rsidR="00422D74">
        <w:t xml:space="preserve"> status (except CKD cohort), history of chronic </w:t>
      </w:r>
      <w:r>
        <w:t xml:space="preserve">cardiovascular disease (CVD; </w:t>
      </w:r>
      <w:r w:rsidR="00422D74">
        <w:t>CVD cohort only), diabetes status (except diabetes cohort), duration of diabetes (diabetes cohort only), atrial fibrillation status, year of follow-up, and Charlson comorbidity score. * sensitivity analysis excluding heart failure from the composite endpoint.</w:t>
      </w:r>
      <w:r w:rsidR="00422D74">
        <w:br w:type="page"/>
      </w:r>
    </w:p>
    <w:p w14:paraId="62228C7F" w14:textId="5A282D1F" w:rsidR="006B5653" w:rsidRPr="0004071B" w:rsidRDefault="006B5653" w:rsidP="00E4324D">
      <w:pPr>
        <w:pStyle w:val="Heading1"/>
      </w:pPr>
      <w:r w:rsidRPr="0004071B">
        <w:lastRenderedPageBreak/>
        <w:t>References</w:t>
      </w:r>
    </w:p>
    <w:p w14:paraId="27DB977E" w14:textId="1C129DA6" w:rsidR="004301EE" w:rsidRPr="004301EE" w:rsidRDefault="00F008B5" w:rsidP="004301EE">
      <w:pPr>
        <w:widowControl w:val="0"/>
        <w:autoSpaceDE w:val="0"/>
        <w:autoSpaceDN w:val="0"/>
        <w:adjustRightInd w:val="0"/>
        <w:spacing w:after="200" w:line="240" w:lineRule="atLeast"/>
        <w:ind w:left="640" w:hanging="640"/>
        <w:rPr>
          <w:rFonts w:cs="Arial"/>
          <w:noProof/>
        </w:rPr>
      </w:pPr>
      <w:r w:rsidRPr="0004071B">
        <w:fldChar w:fldCharType="begin" w:fldLock="1"/>
      </w:r>
      <w:r w:rsidRPr="0004071B">
        <w:instrText xml:space="preserve">ADDIN Mendeley Bibliography CSL_BIBLIOGRAPHY </w:instrText>
      </w:r>
      <w:r w:rsidRPr="0004071B">
        <w:fldChar w:fldCharType="separate"/>
      </w:r>
      <w:r w:rsidR="004301EE" w:rsidRPr="004301EE">
        <w:rPr>
          <w:rFonts w:cs="Arial"/>
          <w:noProof/>
        </w:rPr>
        <w:t xml:space="preserve">1. </w:t>
      </w:r>
      <w:r w:rsidR="004301EE" w:rsidRPr="004301EE">
        <w:rPr>
          <w:rFonts w:cs="Arial"/>
          <w:noProof/>
        </w:rPr>
        <w:tab/>
        <w:t xml:space="preserve">Catapano AL, Graham I, De Backer G, et al. 2016 ESC/EAS Guidelines for the Management of Dyslipidaemias. </w:t>
      </w:r>
      <w:r w:rsidR="004301EE" w:rsidRPr="004301EE">
        <w:rPr>
          <w:rFonts w:cs="Arial"/>
          <w:i/>
          <w:iCs/>
          <w:noProof/>
        </w:rPr>
        <w:t>Eur Heart J</w:t>
      </w:r>
      <w:r w:rsidR="004301EE" w:rsidRPr="004301EE">
        <w:rPr>
          <w:rFonts w:cs="Arial"/>
          <w:noProof/>
        </w:rPr>
        <w:t>. 2016;37(39):2999-3058. doi:10.1093/eurheartj/ehw272.</w:t>
      </w:r>
    </w:p>
    <w:p w14:paraId="2E4F90EB"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2. </w:t>
      </w:r>
      <w:r w:rsidRPr="004301EE">
        <w:rPr>
          <w:rFonts w:cs="Arial"/>
          <w:noProof/>
        </w:rPr>
        <w:tab/>
        <w:t xml:space="preserve">JBS3 Board. Joint British Societies’ consensus recommendations for the prevention of cardiovascular disease ( JBS3). </w:t>
      </w:r>
      <w:r w:rsidRPr="004301EE">
        <w:rPr>
          <w:rFonts w:cs="Arial"/>
          <w:i/>
          <w:iCs/>
          <w:noProof/>
        </w:rPr>
        <w:t>Heart</w:t>
      </w:r>
      <w:r w:rsidRPr="004301EE">
        <w:rPr>
          <w:rFonts w:cs="Arial"/>
          <w:noProof/>
        </w:rPr>
        <w:t>. 2014;100(Suppl 2):ii1-ii67. doi:10.1136/heartjnl-2014-305693.</w:t>
      </w:r>
    </w:p>
    <w:p w14:paraId="3D776089"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3. </w:t>
      </w:r>
      <w:r w:rsidRPr="004301EE">
        <w:rPr>
          <w:rFonts w:cs="Arial"/>
          <w:noProof/>
        </w:rPr>
        <w:tab/>
        <w:t xml:space="preserve">NICE. Lipid modification: NICE guideline (CG181). </w:t>
      </w:r>
      <w:r w:rsidRPr="004301EE">
        <w:rPr>
          <w:rFonts w:cs="Arial"/>
          <w:i/>
          <w:iCs/>
          <w:noProof/>
        </w:rPr>
        <w:t>Natl Inst Heal Clin Excell</w:t>
      </w:r>
      <w:r w:rsidRPr="004301EE">
        <w:rPr>
          <w:rFonts w:cs="Arial"/>
          <w:noProof/>
        </w:rPr>
        <w:t>. 2014;12(July):231-254.</w:t>
      </w:r>
    </w:p>
    <w:p w14:paraId="27BF4774"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4. </w:t>
      </w:r>
      <w:r w:rsidRPr="004301EE">
        <w:rPr>
          <w:rFonts w:cs="Arial"/>
          <w:noProof/>
        </w:rPr>
        <w:tab/>
        <w:t xml:space="preserve">Piepoli MF, Hoes AW, Agewall S, et al. 2016 European Guidelines on cardiovascular disease prevention in clinical practice. </w:t>
      </w:r>
      <w:r w:rsidRPr="004301EE">
        <w:rPr>
          <w:rFonts w:cs="Arial"/>
          <w:i/>
          <w:iCs/>
          <w:noProof/>
        </w:rPr>
        <w:t>Eur Heart J</w:t>
      </w:r>
      <w:r w:rsidRPr="004301EE">
        <w:rPr>
          <w:rFonts w:cs="Arial"/>
          <w:noProof/>
        </w:rPr>
        <w:t>. 2016;37(29):2315-2381. doi:10.1093/eurheartj/ehw106.</w:t>
      </w:r>
    </w:p>
    <w:p w14:paraId="70250541"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5. </w:t>
      </w:r>
      <w:r w:rsidRPr="004301EE">
        <w:rPr>
          <w:rFonts w:cs="Arial"/>
          <w:noProof/>
        </w:rPr>
        <w:tab/>
        <w:t xml:space="preserve">Stone NJ, Robinson JG, Lichtenstein AH, et al. 2013 ACC/AHA guideline on the treatment of blood cholesterol to reduce atherosclerotic cardiovascular risk in adults: a report of the American College of Cardiology/American Heart Association Task Force on Practice Guidelines. </w:t>
      </w:r>
      <w:r w:rsidRPr="004301EE">
        <w:rPr>
          <w:rFonts w:cs="Arial"/>
          <w:i/>
          <w:iCs/>
          <w:noProof/>
        </w:rPr>
        <w:t>Circulation</w:t>
      </w:r>
      <w:r w:rsidRPr="004301EE">
        <w:rPr>
          <w:rFonts w:cs="Arial"/>
          <w:noProof/>
        </w:rPr>
        <w:t>. 2014;129(25 Suppl 2):S1-45. doi:10.1161/01.cir.0000437738.63853.7a.</w:t>
      </w:r>
    </w:p>
    <w:p w14:paraId="57477FD4"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6. </w:t>
      </w:r>
      <w:r w:rsidRPr="004301EE">
        <w:rPr>
          <w:rFonts w:cs="Arial"/>
          <w:noProof/>
        </w:rPr>
        <w:tab/>
        <w:t xml:space="preserve">Jansen J, McKinn S, Bonner C, et al. General practitioners’ decision making about primary prevention of cardiovascular disease in older adults: A qualitative study. </w:t>
      </w:r>
      <w:r w:rsidRPr="004301EE">
        <w:rPr>
          <w:rFonts w:cs="Arial"/>
          <w:i/>
          <w:iCs/>
          <w:noProof/>
        </w:rPr>
        <w:t>PLoS One</w:t>
      </w:r>
      <w:r w:rsidRPr="004301EE">
        <w:rPr>
          <w:rFonts w:cs="Arial"/>
          <w:noProof/>
        </w:rPr>
        <w:t>. 2017;12(1):1-13. doi:10.1371/journal.pone.0170228.</w:t>
      </w:r>
    </w:p>
    <w:p w14:paraId="6CFFD389"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7. </w:t>
      </w:r>
      <w:r w:rsidRPr="004301EE">
        <w:rPr>
          <w:rFonts w:cs="Arial"/>
          <w:noProof/>
        </w:rPr>
        <w:tab/>
        <w:t xml:space="preserve">Reiner Z, Sonicki Z, Tedeschi-Reiner E. Physicians’ perception, knowledge and awareness of cardiovascular risk factors and adherence to prevention guidelines: the PERCRO-DOC survey. </w:t>
      </w:r>
      <w:r w:rsidRPr="004301EE">
        <w:rPr>
          <w:rFonts w:cs="Arial"/>
          <w:i/>
          <w:iCs/>
          <w:noProof/>
        </w:rPr>
        <w:t>Atherosclerosis</w:t>
      </w:r>
      <w:r w:rsidRPr="004301EE">
        <w:rPr>
          <w:rFonts w:cs="Arial"/>
          <w:noProof/>
        </w:rPr>
        <w:t>. 2010;213(2):598-603. doi:10.1016/j.atherosclerosis.2010.09.014.</w:t>
      </w:r>
    </w:p>
    <w:p w14:paraId="2D6321B6"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8. </w:t>
      </w:r>
      <w:r w:rsidRPr="004301EE">
        <w:rPr>
          <w:rFonts w:cs="Arial"/>
          <w:noProof/>
        </w:rPr>
        <w:tab/>
        <w:t xml:space="preserve">Mosca L, Linfante AH, Benjamin EJ, et al. National study of physician awareness and adherence to cardiovascular disease prevention guidelines. </w:t>
      </w:r>
      <w:r w:rsidRPr="004301EE">
        <w:rPr>
          <w:rFonts w:cs="Arial"/>
          <w:i/>
          <w:iCs/>
          <w:noProof/>
        </w:rPr>
        <w:t>Circulation</w:t>
      </w:r>
      <w:r w:rsidRPr="004301EE">
        <w:rPr>
          <w:rFonts w:cs="Arial"/>
          <w:noProof/>
        </w:rPr>
        <w:t>. 2005;111(4):499-510. doi:10.1161/01.CIR.0000154568.43333.82.</w:t>
      </w:r>
    </w:p>
    <w:p w14:paraId="4F110F2B"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9. </w:t>
      </w:r>
      <w:r w:rsidRPr="004301EE">
        <w:rPr>
          <w:rFonts w:cs="Arial"/>
          <w:noProof/>
        </w:rPr>
        <w:tab/>
        <w:t xml:space="preserve">Ramkumar S, Raghunath A, Raghunath S. Statin therapy: Review of safety and potential side effects. </w:t>
      </w:r>
      <w:r w:rsidRPr="004301EE">
        <w:rPr>
          <w:rFonts w:cs="Arial"/>
          <w:i/>
          <w:iCs/>
          <w:noProof/>
        </w:rPr>
        <w:t>Acta Cardiol Sin</w:t>
      </w:r>
      <w:r w:rsidRPr="004301EE">
        <w:rPr>
          <w:rFonts w:cs="Arial"/>
          <w:noProof/>
        </w:rPr>
        <w:t>. 2016;32(6):631-639. doi:10.6515/ACS20160611A.</w:t>
      </w:r>
    </w:p>
    <w:p w14:paraId="5C7FCC78"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10. </w:t>
      </w:r>
      <w:r w:rsidRPr="004301EE">
        <w:rPr>
          <w:rFonts w:cs="Arial"/>
          <w:noProof/>
        </w:rPr>
        <w:tab/>
        <w:t xml:space="preserve">Setia S, Fung SS-W, Waters DD. Doctors’ knowledge, attitudes, and compliance with 2013 ACC/AHA guidelines for prevention of atherosclerotic cardiovascular disease in Singapore. </w:t>
      </w:r>
      <w:r w:rsidRPr="004301EE">
        <w:rPr>
          <w:rFonts w:cs="Arial"/>
          <w:i/>
          <w:iCs/>
          <w:noProof/>
        </w:rPr>
        <w:t>Vasc Health Risk Manag</w:t>
      </w:r>
      <w:r w:rsidRPr="004301EE">
        <w:rPr>
          <w:rFonts w:cs="Arial"/>
          <w:noProof/>
        </w:rPr>
        <w:t>. 2015;11:303-310. doi:10.2147/VHRM.S82710.</w:t>
      </w:r>
    </w:p>
    <w:p w14:paraId="2DD40E5B"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11. </w:t>
      </w:r>
      <w:r w:rsidRPr="004301EE">
        <w:rPr>
          <w:rFonts w:cs="Arial"/>
          <w:noProof/>
        </w:rPr>
        <w:tab/>
        <w:t xml:space="preserve">Laufs U, Karmann B, Pittrow D. Atorvastatin treatment and LDL cholesterol target attainment in patients at very high cardiovascular risk. </w:t>
      </w:r>
      <w:r w:rsidRPr="004301EE">
        <w:rPr>
          <w:rFonts w:cs="Arial"/>
          <w:i/>
          <w:iCs/>
          <w:noProof/>
        </w:rPr>
        <w:t>Clin Res Cardiol</w:t>
      </w:r>
      <w:r w:rsidRPr="004301EE">
        <w:rPr>
          <w:rFonts w:cs="Arial"/>
          <w:noProof/>
        </w:rPr>
        <w:t>. 2016;105(9):783-790. doi:10.1007/s00392-016-0991-z.</w:t>
      </w:r>
    </w:p>
    <w:p w14:paraId="3B378F14"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12. </w:t>
      </w:r>
      <w:r w:rsidRPr="004301EE">
        <w:rPr>
          <w:rFonts w:cs="Arial"/>
          <w:noProof/>
        </w:rPr>
        <w:tab/>
        <w:t xml:space="preserve">Boggon R, Eaton S, Adam T, et al. Current prescribing of statins and persistence to statins following ACS in the UK: a MINAP/GPRD study. </w:t>
      </w:r>
      <w:r w:rsidRPr="004301EE">
        <w:rPr>
          <w:rFonts w:cs="Arial"/>
          <w:i/>
          <w:iCs/>
          <w:noProof/>
        </w:rPr>
        <w:t>Br J Cardiol</w:t>
      </w:r>
      <w:r w:rsidRPr="004301EE">
        <w:rPr>
          <w:rFonts w:cs="Arial"/>
          <w:noProof/>
        </w:rPr>
        <w:t>. 2012;19(24). doi:10.5837/bjc.2012.003.</w:t>
      </w:r>
    </w:p>
    <w:p w14:paraId="5D78B9D2"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13. </w:t>
      </w:r>
      <w:r w:rsidRPr="004301EE">
        <w:rPr>
          <w:rFonts w:cs="Arial"/>
          <w:noProof/>
        </w:rPr>
        <w:tab/>
        <w:t xml:space="preserve">Kotseva K, Wood D, De Bacquer D, et al. EUROASPIRE IV: A European Society of Cardiology survey on the lifestyle, risk factor and therapeutic management of coronary patients from 24 European countries. </w:t>
      </w:r>
      <w:r w:rsidRPr="004301EE">
        <w:rPr>
          <w:rFonts w:cs="Arial"/>
          <w:i/>
          <w:iCs/>
          <w:noProof/>
        </w:rPr>
        <w:t>Eur J Prev Cardiol</w:t>
      </w:r>
      <w:r w:rsidRPr="004301EE">
        <w:rPr>
          <w:rFonts w:cs="Arial"/>
          <w:noProof/>
        </w:rPr>
        <w:t xml:space="preserve">. 2016;23(6):636-648. </w:t>
      </w:r>
      <w:r w:rsidRPr="004301EE">
        <w:rPr>
          <w:rFonts w:cs="Arial"/>
          <w:noProof/>
        </w:rPr>
        <w:lastRenderedPageBreak/>
        <w:t>doi:10.1177/2047487315569401.</w:t>
      </w:r>
    </w:p>
    <w:p w14:paraId="7B7D9908"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14. </w:t>
      </w:r>
      <w:r w:rsidRPr="004301EE">
        <w:rPr>
          <w:rFonts w:cs="Arial"/>
          <w:noProof/>
        </w:rPr>
        <w:tab/>
        <w:t xml:space="preserve">Lindgren P, Eriksson J, Buxton M, et al. The economic consequences of non-adherence to lipid-lowering therapy: Results from the Anglo-Scandinavian-Cardiac Outcomes Trial. </w:t>
      </w:r>
      <w:r w:rsidRPr="004301EE">
        <w:rPr>
          <w:rFonts w:cs="Arial"/>
          <w:i/>
          <w:iCs/>
          <w:noProof/>
        </w:rPr>
        <w:t>Int J Clin Pract</w:t>
      </w:r>
      <w:r w:rsidRPr="004301EE">
        <w:rPr>
          <w:rFonts w:cs="Arial"/>
          <w:noProof/>
        </w:rPr>
        <w:t>. 2010;64(9):1228-1234. doi:10.1111/j.1742-1241.2010.02445.x.</w:t>
      </w:r>
    </w:p>
    <w:p w14:paraId="1C64CFC1"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15. </w:t>
      </w:r>
      <w:r w:rsidRPr="004301EE">
        <w:rPr>
          <w:rFonts w:cs="Arial"/>
          <w:noProof/>
        </w:rPr>
        <w:tab/>
        <w:t xml:space="preserve">Rasmussen JN, Chong A, Alter D a. Relationship between adherence to evidence-based pharmacotherapy and long-term mortality after acute myocardial infarction. </w:t>
      </w:r>
      <w:r w:rsidRPr="004301EE">
        <w:rPr>
          <w:rFonts w:cs="Arial"/>
          <w:i/>
          <w:iCs/>
          <w:noProof/>
        </w:rPr>
        <w:t>Jama</w:t>
      </w:r>
      <w:r w:rsidRPr="004301EE">
        <w:rPr>
          <w:rFonts w:cs="Arial"/>
          <w:noProof/>
        </w:rPr>
        <w:t>. 2007;297(2):177-186. doi:10.1001/jama.297.2.177.</w:t>
      </w:r>
    </w:p>
    <w:p w14:paraId="6282DEBA"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16. </w:t>
      </w:r>
      <w:r w:rsidRPr="004301EE">
        <w:rPr>
          <w:rFonts w:cs="Arial"/>
          <w:noProof/>
        </w:rPr>
        <w:tab/>
        <w:t xml:space="preserve">De Vera MA, Bhole V, Burns LC, Lacaille D. Impact of statin adherence on cardiovascular disease and mortality outcomes: a systematic review. </w:t>
      </w:r>
      <w:r w:rsidRPr="004301EE">
        <w:rPr>
          <w:rFonts w:cs="Arial"/>
          <w:i/>
          <w:iCs/>
          <w:noProof/>
        </w:rPr>
        <w:t>Br J Clin Pharmacol</w:t>
      </w:r>
      <w:r w:rsidRPr="004301EE">
        <w:rPr>
          <w:rFonts w:cs="Arial"/>
          <w:noProof/>
        </w:rPr>
        <w:t>. 2014;78(4):684-698. doi:10.1111/bcp.12339.</w:t>
      </w:r>
    </w:p>
    <w:p w14:paraId="51A76793"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17. </w:t>
      </w:r>
      <w:r w:rsidRPr="004301EE">
        <w:rPr>
          <w:rFonts w:cs="Arial"/>
          <w:noProof/>
        </w:rPr>
        <w:tab/>
        <w:t xml:space="preserve">Treatment C, Ctt T. Efficacy and safety of more intensive lowering of LDL cholesterol: A meta-analysis of data from 170 000 participants in 26 randomised trials. </w:t>
      </w:r>
      <w:r w:rsidRPr="004301EE">
        <w:rPr>
          <w:rFonts w:cs="Arial"/>
          <w:i/>
          <w:iCs/>
          <w:noProof/>
        </w:rPr>
        <w:t>Lancet</w:t>
      </w:r>
      <w:r w:rsidRPr="004301EE">
        <w:rPr>
          <w:rFonts w:cs="Arial"/>
          <w:noProof/>
        </w:rPr>
        <w:t>. 2010;376(9753):1670-1681. doi:10.1016/S0140-6736(10)61350-5.</w:t>
      </w:r>
    </w:p>
    <w:p w14:paraId="1E3D62B9"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18. </w:t>
      </w:r>
      <w:r w:rsidRPr="004301EE">
        <w:rPr>
          <w:rFonts w:cs="Arial"/>
          <w:noProof/>
        </w:rPr>
        <w:tab/>
        <w:t xml:space="preserve">Deshpande S, Quek RGW, Forbes CA, et al. A systematic review to assess adherence and persistence with statins. </w:t>
      </w:r>
      <w:r w:rsidRPr="004301EE">
        <w:rPr>
          <w:rFonts w:cs="Arial"/>
          <w:i/>
          <w:iCs/>
          <w:noProof/>
        </w:rPr>
        <w:t>Curr Med Res Opin</w:t>
      </w:r>
      <w:r w:rsidRPr="004301EE">
        <w:rPr>
          <w:rFonts w:cs="Arial"/>
          <w:noProof/>
        </w:rPr>
        <w:t>. 2017;33(4):769-778. doi:10.1080/03007995.2017.1281109.</w:t>
      </w:r>
    </w:p>
    <w:p w14:paraId="34011166"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19. </w:t>
      </w:r>
      <w:r w:rsidRPr="004301EE">
        <w:rPr>
          <w:rFonts w:cs="Arial"/>
          <w:noProof/>
        </w:rPr>
        <w:tab/>
        <w:t xml:space="preserve">Stone MA, Camosso-Stefinovic J, Wilkinson J, De Lusignan S, Hattersley AT, Khunti K. Incorrect and incomplete coding and classification of diabetes: A systematic review. </w:t>
      </w:r>
      <w:r w:rsidRPr="004301EE">
        <w:rPr>
          <w:rFonts w:cs="Arial"/>
          <w:i/>
          <w:iCs/>
          <w:noProof/>
        </w:rPr>
        <w:t>Diabet Med</w:t>
      </w:r>
      <w:r w:rsidRPr="004301EE">
        <w:rPr>
          <w:rFonts w:cs="Arial"/>
          <w:noProof/>
        </w:rPr>
        <w:t>. 2010;27(5):491-497. doi:10.1111/j.1464-5491.2009.02920.x.</w:t>
      </w:r>
    </w:p>
    <w:p w14:paraId="280546C1"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20. </w:t>
      </w:r>
      <w:r w:rsidRPr="004301EE">
        <w:rPr>
          <w:rFonts w:cs="Arial"/>
          <w:noProof/>
        </w:rPr>
        <w:tab/>
        <w:t xml:space="preserve">Nau DP. Proportion of days covered (PDC) as a preferred method of measuring medication adherence. </w:t>
      </w:r>
      <w:r w:rsidRPr="004301EE">
        <w:rPr>
          <w:rFonts w:cs="Arial"/>
          <w:i/>
          <w:iCs/>
          <w:noProof/>
        </w:rPr>
        <w:t>Pharm Qual Alliance</w:t>
      </w:r>
      <w:r w:rsidRPr="004301EE">
        <w:rPr>
          <w:rFonts w:cs="Arial"/>
          <w:noProof/>
        </w:rPr>
        <w:t>. 2006;2012:1-3.</w:t>
      </w:r>
    </w:p>
    <w:p w14:paraId="6D7825A3"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21. </w:t>
      </w:r>
      <w:r w:rsidRPr="004301EE">
        <w:rPr>
          <w:rFonts w:cs="Arial"/>
          <w:noProof/>
        </w:rPr>
        <w:tab/>
        <w:t xml:space="preserve">Andrade SE, Kahler KH, Frech F, Chan KA. Methods for evaluation of medication adherence and persistence using automated databases. </w:t>
      </w:r>
      <w:r w:rsidRPr="004301EE">
        <w:rPr>
          <w:rFonts w:cs="Arial"/>
          <w:i/>
          <w:iCs/>
          <w:noProof/>
        </w:rPr>
        <w:t>Pharmacoepidemiol Drug Saf</w:t>
      </w:r>
      <w:r w:rsidRPr="004301EE">
        <w:rPr>
          <w:rFonts w:cs="Arial"/>
          <w:noProof/>
        </w:rPr>
        <w:t>. 2006;15(8):565-74; discussion 575-7. doi:10.1002/pds.1230.</w:t>
      </w:r>
    </w:p>
    <w:p w14:paraId="3548E204"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22. </w:t>
      </w:r>
      <w:r w:rsidRPr="004301EE">
        <w:rPr>
          <w:rFonts w:cs="Arial"/>
          <w:noProof/>
        </w:rPr>
        <w:tab/>
        <w:t xml:space="preserve">Reiner, De Backer G, Fras Z, et al. Lipid lowering drug therapy in patients with coronary heart disease from 24 European countries - Findings from the EUROASPIRE IV survey. </w:t>
      </w:r>
      <w:r w:rsidRPr="004301EE">
        <w:rPr>
          <w:rFonts w:cs="Arial"/>
          <w:i/>
          <w:iCs/>
          <w:noProof/>
        </w:rPr>
        <w:t>Atherosclerosis</w:t>
      </w:r>
      <w:r w:rsidRPr="004301EE">
        <w:rPr>
          <w:rFonts w:cs="Arial"/>
          <w:noProof/>
        </w:rPr>
        <w:t>. 2016;246:243-250. doi:10.1016/j.atherosclerosis.2016.01.018.</w:t>
      </w:r>
    </w:p>
    <w:p w14:paraId="48137A69"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23. </w:t>
      </w:r>
      <w:r w:rsidRPr="004301EE">
        <w:rPr>
          <w:rFonts w:cs="Arial"/>
          <w:noProof/>
        </w:rPr>
        <w:tab/>
        <w:t xml:space="preserve">Cannon CP, Blazing M a., Giugliano RP, et al. Ezetimibe Added to Statin Therapy after Acute Coronary Syndromes. </w:t>
      </w:r>
      <w:r w:rsidRPr="004301EE">
        <w:rPr>
          <w:rFonts w:cs="Arial"/>
          <w:i/>
          <w:iCs/>
          <w:noProof/>
        </w:rPr>
        <w:t>N Engl J Med</w:t>
      </w:r>
      <w:r w:rsidRPr="004301EE">
        <w:rPr>
          <w:rFonts w:cs="Arial"/>
          <w:noProof/>
        </w:rPr>
        <w:t>. 2015;372(25):2387-2397. doi:10.1056/NEJMoa1410489.</w:t>
      </w:r>
    </w:p>
    <w:p w14:paraId="2E4BE882"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24. </w:t>
      </w:r>
      <w:r w:rsidRPr="004301EE">
        <w:rPr>
          <w:rFonts w:cs="Arial"/>
          <w:noProof/>
        </w:rPr>
        <w:tab/>
        <w:t xml:space="preserve">Holme I, Szarek M, Cater NB, et al. Adherence-adjusted efficacy with intensive versus standard statin therapy in patients with acute myocardial infarction in the IDEAL study. </w:t>
      </w:r>
      <w:r w:rsidRPr="004301EE">
        <w:rPr>
          <w:rFonts w:cs="Arial"/>
          <w:i/>
          <w:iCs/>
          <w:noProof/>
        </w:rPr>
        <w:t>Eur J Cardiovasc Prev Rehabil</w:t>
      </w:r>
      <w:r w:rsidRPr="004301EE">
        <w:rPr>
          <w:rFonts w:cs="Arial"/>
          <w:noProof/>
        </w:rPr>
        <w:t>. 2009;16(3):315-320. doi:10.1097/HJR.0b013e32832130f5.</w:t>
      </w:r>
    </w:p>
    <w:p w14:paraId="31239F51"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25. </w:t>
      </w:r>
      <w:r w:rsidRPr="004301EE">
        <w:rPr>
          <w:rFonts w:cs="Arial"/>
          <w:noProof/>
        </w:rPr>
        <w:tab/>
        <w:t xml:space="preserve">Griffin BA, Anderson GL, Shih R a, et al. Use of Alternative Time Scales in Cox Proportional Hazard Models : Implications for Time-Varying Environmental Exposures. </w:t>
      </w:r>
      <w:r w:rsidRPr="004301EE">
        <w:rPr>
          <w:rFonts w:cs="Arial"/>
          <w:i/>
          <w:iCs/>
          <w:noProof/>
        </w:rPr>
        <w:t>Stat Med</w:t>
      </w:r>
      <w:r w:rsidRPr="004301EE">
        <w:rPr>
          <w:rFonts w:cs="Arial"/>
          <w:noProof/>
        </w:rPr>
        <w:t>. 2013;31(27):3320-3327. doi:10.1002/sim.5347.Use.</w:t>
      </w:r>
    </w:p>
    <w:p w14:paraId="3EA3A2F8"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26. </w:t>
      </w:r>
      <w:r w:rsidRPr="004301EE">
        <w:rPr>
          <w:rFonts w:cs="Arial"/>
          <w:noProof/>
        </w:rPr>
        <w:tab/>
        <w:t xml:space="preserve">Lin I, Sung J, Sanchez RJ, et al. Patterns of Statin Use in a Real-World Population of Patients at High Cardiovascular Risk. </w:t>
      </w:r>
      <w:r w:rsidRPr="004301EE">
        <w:rPr>
          <w:rFonts w:cs="Arial"/>
          <w:i/>
          <w:iCs/>
          <w:noProof/>
        </w:rPr>
        <w:t>J Manag Care Spec Pharm</w:t>
      </w:r>
      <w:r w:rsidRPr="004301EE">
        <w:rPr>
          <w:rFonts w:cs="Arial"/>
          <w:noProof/>
        </w:rPr>
        <w:t>. 2016;22(6):685-698. doi:10.18553/jmcp.2016.22.6.685.</w:t>
      </w:r>
    </w:p>
    <w:p w14:paraId="26AFD4F1"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lastRenderedPageBreak/>
        <w:t xml:space="preserve">27. </w:t>
      </w:r>
      <w:r w:rsidRPr="004301EE">
        <w:rPr>
          <w:rFonts w:cs="Arial"/>
          <w:noProof/>
        </w:rPr>
        <w:tab/>
        <w:t xml:space="preserve">Ference BA, Ginsberg HN, Graham I, et al. Low-density lipoproteins cause atherosclerotic cardiovascular disease. 1. Evidence from genetic, epidemiologic, and clinical studies. A consensus statement from the European Atherosclerosis Society Consensus Panel. </w:t>
      </w:r>
      <w:r w:rsidRPr="004301EE">
        <w:rPr>
          <w:rFonts w:cs="Arial"/>
          <w:i/>
          <w:iCs/>
          <w:noProof/>
        </w:rPr>
        <w:t>Eur Heart J</w:t>
      </w:r>
      <w:r w:rsidRPr="004301EE">
        <w:rPr>
          <w:rFonts w:cs="Arial"/>
          <w:noProof/>
        </w:rPr>
        <w:t>. 2017;38(32):2459-2472. doi:10.1093/eurheartj/ehx144.</w:t>
      </w:r>
    </w:p>
    <w:p w14:paraId="4288FB04" w14:textId="77777777" w:rsidR="004301EE" w:rsidRPr="004301EE" w:rsidRDefault="004301EE" w:rsidP="004301EE">
      <w:pPr>
        <w:widowControl w:val="0"/>
        <w:autoSpaceDE w:val="0"/>
        <w:autoSpaceDN w:val="0"/>
        <w:adjustRightInd w:val="0"/>
        <w:spacing w:after="200" w:line="240" w:lineRule="atLeast"/>
        <w:ind w:left="640" w:hanging="640"/>
        <w:rPr>
          <w:rFonts w:cs="Arial"/>
          <w:noProof/>
        </w:rPr>
      </w:pPr>
      <w:r w:rsidRPr="004301EE">
        <w:rPr>
          <w:rFonts w:cs="Arial"/>
          <w:noProof/>
        </w:rPr>
        <w:t xml:space="preserve">28. </w:t>
      </w:r>
      <w:r w:rsidRPr="004301EE">
        <w:rPr>
          <w:rFonts w:cs="Arial"/>
          <w:noProof/>
        </w:rPr>
        <w:tab/>
        <w:t xml:space="preserve">Bangalore S, Breazna A, DeMicco DA, Wun C-C, Messerli FH, TNT Steering Committee and Investigators. Visit-to-visit low-density lipoprotein cholesterol variability and risk of cardiovascular outcomes: insights from the TNT trial. </w:t>
      </w:r>
      <w:r w:rsidRPr="004301EE">
        <w:rPr>
          <w:rFonts w:cs="Arial"/>
          <w:i/>
          <w:iCs/>
          <w:noProof/>
        </w:rPr>
        <w:t>J Am Coll Cardiol</w:t>
      </w:r>
      <w:r w:rsidRPr="004301EE">
        <w:rPr>
          <w:rFonts w:cs="Arial"/>
          <w:noProof/>
        </w:rPr>
        <w:t>. 2015;65(15):1539-1548. doi:10.1016/j.jacc.2015.02.017.</w:t>
      </w:r>
    </w:p>
    <w:p w14:paraId="442A7429" w14:textId="17055EA4" w:rsidR="00E1422A" w:rsidRDefault="00F008B5" w:rsidP="004301EE">
      <w:pPr>
        <w:widowControl w:val="0"/>
        <w:autoSpaceDE w:val="0"/>
        <w:autoSpaceDN w:val="0"/>
        <w:adjustRightInd w:val="0"/>
        <w:spacing w:after="200" w:line="240" w:lineRule="atLeast"/>
        <w:ind w:left="640" w:hanging="640"/>
      </w:pPr>
      <w:r w:rsidRPr="0004071B">
        <w:fldChar w:fldCharType="end"/>
      </w:r>
    </w:p>
    <w:p w14:paraId="55403F9B" w14:textId="23BF3559" w:rsidR="00A628F1" w:rsidRDefault="00A628F1" w:rsidP="00E4324D">
      <w:pPr>
        <w:pStyle w:val="Heading1"/>
        <w:sectPr w:rsidR="00A628F1" w:rsidSect="005E2011">
          <w:headerReference w:type="default" r:id="rId15"/>
          <w:footerReference w:type="default" r:id="rId16"/>
          <w:endnotePr>
            <w:numFmt w:val="decimal"/>
          </w:endnotePr>
          <w:pgSz w:w="12240" w:h="15840" w:code="1"/>
          <w:pgMar w:top="1440" w:right="1440" w:bottom="1440" w:left="1440" w:header="720" w:footer="720" w:gutter="0"/>
          <w:cols w:space="720"/>
          <w:docGrid w:linePitch="360"/>
        </w:sectPr>
      </w:pPr>
    </w:p>
    <w:p w14:paraId="600A4A9C" w14:textId="03EA7968" w:rsidR="00C57E32" w:rsidRDefault="00C57E32" w:rsidP="00E4324D">
      <w:pPr>
        <w:pStyle w:val="Heading1"/>
      </w:pPr>
      <w:r>
        <w:lastRenderedPageBreak/>
        <w:t>Additional Study Information</w:t>
      </w:r>
    </w:p>
    <w:p w14:paraId="05DD341E" w14:textId="77777777" w:rsidR="00C57E32" w:rsidRDefault="00C57E32" w:rsidP="00192B18">
      <w:pPr>
        <w:pStyle w:val="Heading2"/>
      </w:pPr>
      <w:proofErr w:type="spellStart"/>
      <w:r>
        <w:t>Contributorship</w:t>
      </w:r>
      <w:proofErr w:type="spellEnd"/>
      <w:r>
        <w:t>:</w:t>
      </w:r>
    </w:p>
    <w:p w14:paraId="12251687" w14:textId="77777777" w:rsidR="00C57E32" w:rsidRDefault="00C57E32" w:rsidP="00C57E32">
      <w:pPr>
        <w:pStyle w:val="Text"/>
      </w:pPr>
      <w:r>
        <w:t>Design:  All authors</w:t>
      </w:r>
    </w:p>
    <w:p w14:paraId="33DDF24A" w14:textId="79FD5054" w:rsidR="00C57E32" w:rsidRDefault="00C57E32" w:rsidP="00C57E32">
      <w:pPr>
        <w:pStyle w:val="Text"/>
      </w:pPr>
      <w:r>
        <w:t>Analyses:  MDD, MG</w:t>
      </w:r>
    </w:p>
    <w:p w14:paraId="64A4D207" w14:textId="77777777" w:rsidR="00C57E32" w:rsidRDefault="00C57E32" w:rsidP="00C57E32">
      <w:pPr>
        <w:pStyle w:val="Text"/>
      </w:pPr>
      <w:r>
        <w:t>Initial draft:  MDD, MG</w:t>
      </w:r>
    </w:p>
    <w:p w14:paraId="221A4BE2" w14:textId="77777777" w:rsidR="00C57E32" w:rsidRDefault="00C57E32" w:rsidP="00C57E32">
      <w:pPr>
        <w:pStyle w:val="Text"/>
      </w:pPr>
      <w:r>
        <w:t>Revisions:  All authors</w:t>
      </w:r>
    </w:p>
    <w:p w14:paraId="65DDE1CF" w14:textId="77777777" w:rsidR="00C57E32" w:rsidRDefault="00C57E32" w:rsidP="00C57E32">
      <w:pPr>
        <w:pStyle w:val="Text"/>
      </w:pPr>
      <w:r>
        <w:t>Final approval:  All authors</w:t>
      </w:r>
    </w:p>
    <w:p w14:paraId="0C2CB1B2" w14:textId="4E01F2F1" w:rsidR="00C57E32" w:rsidRDefault="00C57E32" w:rsidP="00C57E32">
      <w:pPr>
        <w:pStyle w:val="Text"/>
      </w:pPr>
      <w:r>
        <w:t>Agreement to be accountable:  All authors</w:t>
      </w:r>
    </w:p>
    <w:p w14:paraId="3BD1ED14" w14:textId="591AF821" w:rsidR="00373F80" w:rsidRPr="00EE0399" w:rsidRDefault="00373F80" w:rsidP="00C57E32">
      <w:pPr>
        <w:pStyle w:val="Text"/>
      </w:pPr>
      <w:r>
        <w:t>MDD and KK contributed equally to this manuscript</w:t>
      </w:r>
    </w:p>
    <w:p w14:paraId="29A9B7EE" w14:textId="77777777" w:rsidR="00C57E32" w:rsidRDefault="00C57E32" w:rsidP="00192B18">
      <w:pPr>
        <w:pStyle w:val="Heading2"/>
      </w:pPr>
      <w:r>
        <w:t xml:space="preserve">Funding:  </w:t>
      </w:r>
    </w:p>
    <w:p w14:paraId="6F01FD20" w14:textId="43B745A3" w:rsidR="00C57E32" w:rsidRDefault="00C57E32" w:rsidP="00C57E32">
      <w:pPr>
        <w:pStyle w:val="Text"/>
      </w:pPr>
      <w:r>
        <w:t xml:space="preserve">This study was funded by Amgen, </w:t>
      </w:r>
      <w:r w:rsidR="004301EE">
        <w:t>Europe GmbH.</w:t>
      </w:r>
      <w:r>
        <w:t xml:space="preserve">  </w:t>
      </w:r>
    </w:p>
    <w:p w14:paraId="76F1FB55" w14:textId="4B9EB7A6" w:rsidR="00192B18" w:rsidRDefault="00192B18" w:rsidP="00192B18">
      <w:pPr>
        <w:pStyle w:val="Heading2"/>
      </w:pPr>
      <w:r>
        <w:t xml:space="preserve">Role of the </w:t>
      </w:r>
      <w:r w:rsidR="00A628F1">
        <w:t>f</w:t>
      </w:r>
      <w:r>
        <w:t>under:</w:t>
      </w:r>
    </w:p>
    <w:p w14:paraId="3C41D275" w14:textId="36C9EE78" w:rsidR="00192B18" w:rsidRPr="00192B18" w:rsidRDefault="00A628F1" w:rsidP="00DB4091">
      <w:pPr>
        <w:pStyle w:val="Text"/>
      </w:pPr>
      <w:r>
        <w:t>Amgen</w:t>
      </w:r>
      <w:r w:rsidRPr="00BB0D6B">
        <w:t xml:space="preserve"> </w:t>
      </w:r>
      <w:r>
        <w:t>reviewed and approved</w:t>
      </w:r>
      <w:r w:rsidRPr="00BB0D6B">
        <w:t xml:space="preserve"> the design of the </w:t>
      </w:r>
      <w:proofErr w:type="gramStart"/>
      <w:r w:rsidRPr="00BB0D6B">
        <w:t>study</w:t>
      </w:r>
      <w:r>
        <w:t xml:space="preserve">, </w:t>
      </w:r>
      <w:r w:rsidR="004301EE">
        <w:t>and</w:t>
      </w:r>
      <w:proofErr w:type="gramEnd"/>
      <w:r w:rsidR="004301EE">
        <w:t xml:space="preserve"> reviewed and approved the manuscript for publication.  Amgen </w:t>
      </w:r>
      <w:r>
        <w:t xml:space="preserve">did not participate in </w:t>
      </w:r>
      <w:r w:rsidR="009D31A1">
        <w:t>any of the following:</w:t>
      </w:r>
      <w:r w:rsidR="00F655AB">
        <w:t xml:space="preserve">  </w:t>
      </w:r>
      <w:r>
        <w:t>conduct of the study</w:t>
      </w:r>
      <w:r w:rsidR="009D31A1">
        <w:t xml:space="preserve">; </w:t>
      </w:r>
      <w:r w:rsidRPr="00BB0D6B">
        <w:t>collection, management, analysis</w:t>
      </w:r>
      <w:r w:rsidR="009D31A1">
        <w:t xml:space="preserve">, and </w:t>
      </w:r>
      <w:r w:rsidR="00A64D88">
        <w:t>interpretation</w:t>
      </w:r>
      <w:r w:rsidRPr="00BB0D6B">
        <w:t xml:space="preserve"> of the data</w:t>
      </w:r>
      <w:r w:rsidR="009D31A1">
        <w:t>; preparation of the manuscript; or</w:t>
      </w:r>
      <w:r>
        <w:t xml:space="preserve"> the decision to submit the manuscript for publication</w:t>
      </w:r>
      <w:r w:rsidRPr="00BB0D6B">
        <w:t>.</w:t>
      </w:r>
    </w:p>
    <w:p w14:paraId="3A58A265" w14:textId="394DC100" w:rsidR="00C57E32" w:rsidRDefault="00C57E32">
      <w:pPr>
        <w:pStyle w:val="Heading2"/>
      </w:pPr>
      <w:r>
        <w:t>Competing interests:</w:t>
      </w:r>
    </w:p>
    <w:p w14:paraId="755ADA93" w14:textId="7B3DDA72" w:rsidR="00C57E32" w:rsidRDefault="00C57E32" w:rsidP="00D404C0">
      <w:pPr>
        <w:pStyle w:val="Text"/>
      </w:pPr>
      <w:r>
        <w:t xml:space="preserve">Mark Danese and Michelle Gleeson work with Outcomes Insights, Inc., which was funded to conduct this study.  Lucie </w:t>
      </w:r>
      <w:proofErr w:type="spellStart"/>
      <w:r>
        <w:t>Kutikova</w:t>
      </w:r>
      <w:proofErr w:type="spellEnd"/>
      <w:r>
        <w:t xml:space="preserve">, </w:t>
      </w:r>
      <w:r w:rsidRPr="00295783">
        <w:rPr>
          <w:bCs/>
        </w:rPr>
        <w:t xml:space="preserve">Francisco </w:t>
      </w:r>
      <w:proofErr w:type="spellStart"/>
      <w:r w:rsidRPr="00295783">
        <w:rPr>
          <w:bCs/>
        </w:rPr>
        <w:t>Sorio</w:t>
      </w:r>
      <w:proofErr w:type="spellEnd"/>
      <w:r w:rsidRPr="00295783">
        <w:rPr>
          <w:bCs/>
        </w:rPr>
        <w:t xml:space="preserve"> </w:t>
      </w:r>
      <w:proofErr w:type="spellStart"/>
      <w:r w:rsidRPr="00295783">
        <w:rPr>
          <w:bCs/>
        </w:rPr>
        <w:t>Vilela</w:t>
      </w:r>
      <w:proofErr w:type="spellEnd"/>
      <w:r>
        <w:t xml:space="preserve">, and David Catterick are employees of Amgen, Inc and owners of Amgen stock.  Kamlesh </w:t>
      </w:r>
      <w:proofErr w:type="spellStart"/>
      <w:r>
        <w:t>Khunti</w:t>
      </w:r>
      <w:proofErr w:type="spellEnd"/>
      <w:r>
        <w:t xml:space="preserve"> </w:t>
      </w:r>
      <w:r w:rsidRPr="00594BD6">
        <w:t xml:space="preserve">has acted as a consultant </w:t>
      </w:r>
      <w:r w:rsidR="00D404C0">
        <w:t xml:space="preserve">for </w:t>
      </w:r>
      <w:r w:rsidR="00D404C0" w:rsidRPr="00D404C0">
        <w:t xml:space="preserve">Novartis, Novo Nordisk, Sanofi-Aventis, Lilly, AstraZeneca, </w:t>
      </w:r>
      <w:proofErr w:type="spellStart"/>
      <w:r w:rsidR="00D404C0" w:rsidRPr="00D404C0">
        <w:t>Servier</w:t>
      </w:r>
      <w:proofErr w:type="spellEnd"/>
      <w:r w:rsidR="00D404C0" w:rsidRPr="00D404C0">
        <w:t xml:space="preserve"> and Merck Sharp &amp; Dohme, Boehringer Ingelheim, Amgen, </w:t>
      </w:r>
      <w:r w:rsidR="00500B0B">
        <w:t xml:space="preserve">Bayer, </w:t>
      </w:r>
      <w:r w:rsidR="0081153A">
        <w:t xml:space="preserve">and </w:t>
      </w:r>
      <w:r w:rsidR="00D404C0" w:rsidRPr="00D404C0">
        <w:t>Abbot</w:t>
      </w:r>
      <w:r w:rsidR="0081153A">
        <w:t>;</w:t>
      </w:r>
      <w:r w:rsidR="00547376">
        <w:t xml:space="preserve"> and as a speaker </w:t>
      </w:r>
      <w:r w:rsidR="009A0074">
        <w:t xml:space="preserve">for </w:t>
      </w:r>
      <w:r w:rsidR="00FD2E43" w:rsidRPr="00FD2E43">
        <w:t xml:space="preserve">Novartis, Novo Nordisk, Sanofi-Aventis, Lilly, AstraZeneca Merck Sharp &amp; Dohme, </w:t>
      </w:r>
      <w:r w:rsidR="009A0074">
        <w:t xml:space="preserve">and </w:t>
      </w:r>
      <w:r w:rsidR="00FD2E43" w:rsidRPr="00FD2E43">
        <w:t>Boehringer Ingelheim</w:t>
      </w:r>
      <w:r w:rsidRPr="00594BD6">
        <w:t xml:space="preserve">. He has received </w:t>
      </w:r>
      <w:r w:rsidR="005669DA">
        <w:t xml:space="preserve">research </w:t>
      </w:r>
      <w:r w:rsidRPr="00594BD6">
        <w:t xml:space="preserve">grants from Novartis, Novo </w:t>
      </w:r>
      <w:r w:rsidR="005669DA">
        <w:t>Nordisk, Sanofi-Aventis, Lilly</w:t>
      </w:r>
      <w:r w:rsidRPr="00594BD6">
        <w:t xml:space="preserve">, </w:t>
      </w:r>
      <w:r w:rsidR="005669DA">
        <w:t xml:space="preserve">Pfizer, </w:t>
      </w:r>
      <w:r w:rsidRPr="00594BD6">
        <w:t>Boehringer Ingelheim, Merck Sharp</w:t>
      </w:r>
      <w:r w:rsidR="005669DA">
        <w:t xml:space="preserve"> &amp; Dohme, and Roche</w:t>
      </w:r>
      <w:r>
        <w:t xml:space="preserve">.  </w:t>
      </w:r>
      <w:r w:rsidRPr="00283CE2">
        <w:t xml:space="preserve">SR </w:t>
      </w:r>
      <w:proofErr w:type="spellStart"/>
      <w:r w:rsidRPr="00283CE2">
        <w:t>Kondapally</w:t>
      </w:r>
      <w:proofErr w:type="spellEnd"/>
      <w:r>
        <w:t xml:space="preserve"> </w:t>
      </w:r>
      <w:proofErr w:type="spellStart"/>
      <w:r w:rsidRPr="00283CE2">
        <w:t>Seshasai</w:t>
      </w:r>
      <w:proofErr w:type="spellEnd"/>
      <w:r w:rsidRPr="00283CE2">
        <w:t xml:space="preserve"> </w:t>
      </w:r>
      <w:r>
        <w:t xml:space="preserve">has provided consulting to Amgen and received grants from Kowa and Sanofi.  Jack Brownrigg has </w:t>
      </w:r>
      <w:r w:rsidR="00D5105A">
        <w:t xml:space="preserve">received consulting fees from Amgen and </w:t>
      </w:r>
      <w:r w:rsidR="00F457FB">
        <w:t>employment from</w:t>
      </w:r>
      <w:r w:rsidR="00D5105A">
        <w:t xml:space="preserve"> Pfizer</w:t>
      </w:r>
      <w:r>
        <w:t xml:space="preserve">.  </w:t>
      </w:r>
      <w:r w:rsidRPr="00836B6D">
        <w:t>Kausik K. Ray</w:t>
      </w:r>
      <w:r>
        <w:t xml:space="preserve"> has acted as a consultant </w:t>
      </w:r>
      <w:r w:rsidR="00D404C0">
        <w:t xml:space="preserve">for Amgen, Sanofi, Regeneron, </w:t>
      </w:r>
      <w:proofErr w:type="spellStart"/>
      <w:r w:rsidR="00D404C0">
        <w:t>MedCo</w:t>
      </w:r>
      <w:proofErr w:type="spellEnd"/>
      <w:r w:rsidR="00D404C0">
        <w:t xml:space="preserve">, </w:t>
      </w:r>
      <w:proofErr w:type="spellStart"/>
      <w:r w:rsidR="00D404C0">
        <w:t>Cerenis</w:t>
      </w:r>
      <w:proofErr w:type="spellEnd"/>
      <w:r w:rsidR="00D404C0">
        <w:t>, Lilly, Ionis Pharma,</w:t>
      </w:r>
      <w:r w:rsidR="00500B0B">
        <w:t xml:space="preserve"> Esperion, </w:t>
      </w:r>
      <w:r w:rsidR="0081153A">
        <w:t xml:space="preserve">and </w:t>
      </w:r>
      <w:proofErr w:type="spellStart"/>
      <w:r w:rsidR="00D404C0">
        <w:t>Abbvie</w:t>
      </w:r>
      <w:proofErr w:type="spellEnd"/>
      <w:r w:rsidR="0081153A">
        <w:t>;</w:t>
      </w:r>
      <w:r w:rsidR="00D404C0">
        <w:t xml:space="preserve"> </w:t>
      </w:r>
      <w:r>
        <w:t xml:space="preserve">and </w:t>
      </w:r>
      <w:r w:rsidR="0081153A">
        <w:t xml:space="preserve">as a </w:t>
      </w:r>
      <w:r>
        <w:t xml:space="preserve">speaker for </w:t>
      </w:r>
      <w:r w:rsidR="00D404C0">
        <w:t>Kowa,</w:t>
      </w:r>
      <w:r w:rsidR="00CA7283">
        <w:t xml:space="preserve"> </w:t>
      </w:r>
      <w:r w:rsidR="00D404C0">
        <w:t xml:space="preserve">AstraZeneca, Pfizer, Takeda, Boehringer Ingelheim, </w:t>
      </w:r>
      <w:r w:rsidR="00D404C0">
        <w:lastRenderedPageBreak/>
        <w:t>Algorithm, Cipla</w:t>
      </w:r>
      <w:r w:rsidR="0081153A">
        <w:t>.  H</w:t>
      </w:r>
      <w:r w:rsidR="005669DA">
        <w:t xml:space="preserve">e has </w:t>
      </w:r>
      <w:r>
        <w:t xml:space="preserve">received </w:t>
      </w:r>
      <w:r w:rsidR="0081153A">
        <w:t xml:space="preserve">research </w:t>
      </w:r>
      <w:r>
        <w:t xml:space="preserve">grants from </w:t>
      </w:r>
      <w:r w:rsidRPr="00025003">
        <w:t>S</w:t>
      </w:r>
      <w:r>
        <w:t xml:space="preserve">anofi, Regeneron, Amgen, </w:t>
      </w:r>
      <w:r w:rsidR="00500B0B">
        <w:t xml:space="preserve">Merck Sharpe &amp; Dohme, </w:t>
      </w:r>
      <w:r>
        <w:t>and Pfizer through his institution.</w:t>
      </w:r>
    </w:p>
    <w:p w14:paraId="39802A18" w14:textId="77777777" w:rsidR="00C57E32" w:rsidRDefault="00C57E32" w:rsidP="00192B18">
      <w:pPr>
        <w:pStyle w:val="Heading2"/>
      </w:pPr>
      <w:r>
        <w:t>Acknowledgments:</w:t>
      </w:r>
    </w:p>
    <w:p w14:paraId="04DBBBC1" w14:textId="710A3217" w:rsidR="00C57E32" w:rsidRDefault="00C57E32" w:rsidP="00C57E32">
      <w:pPr>
        <w:pStyle w:val="Text"/>
      </w:pPr>
      <w:r w:rsidRPr="00EF5CDA">
        <w:t xml:space="preserve">Dr. </w:t>
      </w:r>
      <w:proofErr w:type="spellStart"/>
      <w:r w:rsidRPr="00EF5CDA">
        <w:t>Khunti’s</w:t>
      </w:r>
      <w:proofErr w:type="spellEnd"/>
      <w:r w:rsidRPr="00EF5CDA">
        <w:t xml:space="preserve"> participation was supported by the National Institute for Health Research (NIHR) Collaboration for Leadership in Applied Health Research and Care in East Midlands (CLAHRC EM)</w:t>
      </w:r>
      <w:r w:rsidR="00500B0B" w:rsidRPr="00EF5CDA">
        <w:t xml:space="preserve"> and the </w:t>
      </w:r>
      <w:r w:rsidR="00C16967" w:rsidRPr="009D028F">
        <w:t>Leicester</w:t>
      </w:r>
      <w:r w:rsidR="00500B0B" w:rsidRPr="00EF5CDA">
        <w:t xml:space="preserve"> Biomedical Research Centre</w:t>
      </w:r>
      <w:r w:rsidRPr="00EF5CDA">
        <w:t>.</w:t>
      </w:r>
      <w:r w:rsidRPr="00EF5CDA">
        <w:rPr>
          <w:iCs/>
        </w:rPr>
        <w:t xml:space="preserve">  </w:t>
      </w:r>
      <w:r w:rsidRPr="00EF5CDA">
        <w:t>The views expressed are those of the authors and not necessarily those of the NHS, the NIHR or the Department of Health.</w:t>
      </w:r>
      <w:r w:rsidR="00427AC4">
        <w:br/>
        <w:t xml:space="preserve">Dr. Danese </w:t>
      </w:r>
      <w:r w:rsidR="00427AC4" w:rsidRPr="00DB4BD6">
        <w:t>had full access to all the data in the study and takes responsibility for the integrity of the data and the accuracy of the data analysis</w:t>
      </w:r>
      <w:r w:rsidR="00DA481E">
        <w:t>.</w:t>
      </w:r>
    </w:p>
    <w:p w14:paraId="7CBE9734" w14:textId="6D79BE55" w:rsidR="00C57E32" w:rsidRDefault="00C57E32" w:rsidP="00192B18">
      <w:pPr>
        <w:pStyle w:val="Heading2"/>
      </w:pPr>
      <w:r>
        <w:t>Data sharing:</w:t>
      </w:r>
    </w:p>
    <w:p w14:paraId="36BB99A8" w14:textId="77777777" w:rsidR="00C57E32" w:rsidRPr="008866B5" w:rsidRDefault="00C57E32" w:rsidP="00B2709F">
      <w:pPr>
        <w:pStyle w:val="Text"/>
      </w:pPr>
      <w:r w:rsidRPr="00B2709F">
        <w:t>T</w:t>
      </w:r>
      <w:r w:rsidRPr="008866B5">
        <w:t>o ensure patient privacy and confidentiality, the CPRD data cannot be shared.</w:t>
      </w:r>
    </w:p>
    <w:p w14:paraId="63AF0776" w14:textId="77777777" w:rsidR="008866B5" w:rsidRPr="00DB4091" w:rsidRDefault="008866B5" w:rsidP="00DB4091">
      <w:pPr>
        <w:pStyle w:val="Text"/>
        <w:rPr>
          <w:b/>
        </w:rPr>
      </w:pPr>
      <w:r w:rsidRPr="00DB4091">
        <w:rPr>
          <w:b/>
        </w:rPr>
        <w:t xml:space="preserve">Authors: </w:t>
      </w:r>
    </w:p>
    <w:p w14:paraId="4CBE12E2" w14:textId="77777777" w:rsidR="008866B5" w:rsidRPr="008866B5" w:rsidRDefault="008866B5" w:rsidP="00DB4091">
      <w:pPr>
        <w:pStyle w:val="Text"/>
      </w:pPr>
      <w:r w:rsidRPr="008866B5">
        <w:t xml:space="preserve">Kamlesh </w:t>
      </w:r>
      <w:proofErr w:type="spellStart"/>
      <w:r w:rsidRPr="008866B5">
        <w:t>Khunti</w:t>
      </w:r>
      <w:proofErr w:type="spellEnd"/>
      <w:r w:rsidRPr="008866B5">
        <w:t xml:space="preserve">, MD, </w:t>
      </w:r>
      <w:proofErr w:type="spellStart"/>
      <w:r w:rsidRPr="008866B5">
        <w:t>FMedSci</w:t>
      </w:r>
      <w:proofErr w:type="spellEnd"/>
      <w:r w:rsidRPr="008866B5">
        <w:t xml:space="preserve"> </w:t>
      </w:r>
      <w:r w:rsidRPr="008866B5">
        <w:rPr>
          <w:bCs/>
        </w:rPr>
        <w:t xml:space="preserve">(1); </w:t>
      </w:r>
      <w:r w:rsidRPr="008866B5">
        <w:t xml:space="preserve">Mark D. Danese, MHS, PhD </w:t>
      </w:r>
      <w:r w:rsidRPr="008866B5">
        <w:rPr>
          <w:bCs/>
        </w:rPr>
        <w:t xml:space="preserve">(2); Lucie </w:t>
      </w:r>
      <w:proofErr w:type="spellStart"/>
      <w:r w:rsidRPr="008866B5">
        <w:rPr>
          <w:bCs/>
        </w:rPr>
        <w:t>Kutikova</w:t>
      </w:r>
      <w:proofErr w:type="spellEnd"/>
      <w:r w:rsidRPr="008866B5">
        <w:rPr>
          <w:bCs/>
        </w:rPr>
        <w:t xml:space="preserve">, PhD (3); David Catterick, </w:t>
      </w:r>
      <w:r w:rsidRPr="008866B5">
        <w:t>MSc, PhD</w:t>
      </w:r>
      <w:r w:rsidRPr="008866B5">
        <w:rPr>
          <w:bCs/>
        </w:rPr>
        <w:t xml:space="preserve"> (4); Francisco </w:t>
      </w:r>
      <w:proofErr w:type="spellStart"/>
      <w:r w:rsidRPr="008866B5">
        <w:rPr>
          <w:bCs/>
        </w:rPr>
        <w:t>Sorio</w:t>
      </w:r>
      <w:proofErr w:type="spellEnd"/>
      <w:r w:rsidRPr="008866B5">
        <w:rPr>
          <w:bCs/>
        </w:rPr>
        <w:t xml:space="preserve"> </w:t>
      </w:r>
      <w:proofErr w:type="spellStart"/>
      <w:r w:rsidRPr="008866B5">
        <w:rPr>
          <w:bCs/>
        </w:rPr>
        <w:t>Vilela</w:t>
      </w:r>
      <w:proofErr w:type="spellEnd"/>
      <w:r w:rsidRPr="008866B5">
        <w:rPr>
          <w:bCs/>
        </w:rPr>
        <w:t xml:space="preserve"> (3); </w:t>
      </w:r>
      <w:r w:rsidRPr="008866B5">
        <w:t xml:space="preserve">Michelle Gleeson, PhD </w:t>
      </w:r>
      <w:r w:rsidRPr="008866B5">
        <w:rPr>
          <w:bCs/>
        </w:rPr>
        <w:t xml:space="preserve">(3); </w:t>
      </w:r>
      <w:proofErr w:type="spellStart"/>
      <w:r w:rsidRPr="008866B5">
        <w:t>Sreenivasa</w:t>
      </w:r>
      <w:proofErr w:type="spellEnd"/>
      <w:r w:rsidRPr="008866B5">
        <w:t xml:space="preserve"> Rao </w:t>
      </w:r>
      <w:proofErr w:type="spellStart"/>
      <w:r w:rsidRPr="008866B5">
        <w:t>Kondapally</w:t>
      </w:r>
      <w:proofErr w:type="spellEnd"/>
      <w:r w:rsidRPr="008866B5">
        <w:t xml:space="preserve"> </w:t>
      </w:r>
      <w:proofErr w:type="spellStart"/>
      <w:r w:rsidRPr="008866B5">
        <w:t>Seshasai</w:t>
      </w:r>
      <w:proofErr w:type="spellEnd"/>
      <w:r w:rsidRPr="008866B5">
        <w:t xml:space="preserve">, MBBS, MD, MRCP, MPhil, PhD </w:t>
      </w:r>
      <w:r w:rsidRPr="008866B5">
        <w:rPr>
          <w:bCs/>
        </w:rPr>
        <w:t xml:space="preserve">(5); Jack Brownrigg, </w:t>
      </w:r>
      <w:r w:rsidRPr="008866B5">
        <w:t>MBChB, BSc, MRCS, PhD</w:t>
      </w:r>
      <w:r w:rsidRPr="008866B5">
        <w:rPr>
          <w:bCs/>
        </w:rPr>
        <w:t xml:space="preserve"> (6); </w:t>
      </w:r>
      <w:r w:rsidRPr="008866B5">
        <w:t xml:space="preserve">Kausik K. Ray, MD, FAHA </w:t>
      </w:r>
      <w:r w:rsidRPr="008866B5">
        <w:rPr>
          <w:bCs/>
        </w:rPr>
        <w:t>(7)</w:t>
      </w:r>
      <w:r w:rsidRPr="008866B5" w:rsidDel="00DF6ABF">
        <w:t xml:space="preserve"> </w:t>
      </w:r>
    </w:p>
    <w:p w14:paraId="32E739D9" w14:textId="77777777" w:rsidR="008866B5" w:rsidRPr="00DB4091" w:rsidRDefault="008866B5" w:rsidP="00DB4091">
      <w:pPr>
        <w:pStyle w:val="Text"/>
        <w:rPr>
          <w:b/>
        </w:rPr>
      </w:pPr>
      <w:r w:rsidRPr="00DB4091">
        <w:rPr>
          <w:b/>
        </w:rPr>
        <w:t xml:space="preserve">Affiliations: </w:t>
      </w:r>
    </w:p>
    <w:p w14:paraId="2BB5F90E" w14:textId="26B8B754" w:rsidR="008866B5" w:rsidRDefault="008866B5" w:rsidP="00DB4091">
      <w:pPr>
        <w:pStyle w:val="Text"/>
      </w:pPr>
      <w:r w:rsidRPr="008866B5">
        <w:t>(1) Diabetes Research Centre, University of Leicester, Leicester, UK; (2) Outcomes Insights, Inc., Outcomes Research, Westlake Village, CA; (3) Amgen (Europe) GmbH, Health Economics, Zug, Switzerland; (4) Amgen Limited, Uxbridge, UK; (5) St George’s, University of London, London, UK; (6) St George’s Vascular Institute, London, UK; (7) Imperial Centre for Cardiovascular Disease Prevention, School of Public Health,  Imperial College London, London, UK</w:t>
      </w:r>
    </w:p>
    <w:sectPr w:rsidR="008866B5" w:rsidSect="00DB4091">
      <w:endnotePr>
        <w:numFmt w:val="decimal"/>
      </w:endnotePr>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2FA10" w14:textId="77777777" w:rsidR="00FC460D" w:rsidRDefault="00FC460D">
      <w:r>
        <w:separator/>
      </w:r>
    </w:p>
  </w:endnote>
  <w:endnote w:type="continuationSeparator" w:id="0">
    <w:p w14:paraId="76BB0C86" w14:textId="77777777" w:rsidR="00FC460D" w:rsidRDefault="00FC4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DD9C8E" w14:textId="4E9C5084" w:rsidR="008E6769" w:rsidRDefault="008E6769" w:rsidP="004E5E47">
    <w:pPr>
      <w:pStyle w:val="Footer"/>
      <w:jc w:val="right"/>
    </w:pPr>
    <w:r>
      <w:t xml:space="preserve">Version date:  </w:t>
    </w:r>
    <w:r>
      <w:fldChar w:fldCharType="begin"/>
    </w:r>
    <w:r>
      <w:instrText xml:space="preserve"> SAVEDATE \@ "MMMM d, yyyy" \* MERGEFORMAT </w:instrText>
    </w:r>
    <w:r>
      <w:fldChar w:fldCharType="separate"/>
    </w:r>
    <w:r w:rsidR="004D3DDF">
      <w:rPr>
        <w:noProof/>
      </w:rPr>
      <w:t>October 15, 2018</w:t>
    </w:r>
    <w:r>
      <w:fldChar w:fldCharType="end"/>
    </w:r>
    <w:r>
      <w:tab/>
    </w:r>
    <w:r>
      <w:tab/>
      <w:t xml:space="preserve">Page </w:t>
    </w:r>
    <w:r>
      <w:fldChar w:fldCharType="begin"/>
    </w:r>
    <w:r>
      <w:instrText xml:space="preserve"> PAGE </w:instrText>
    </w:r>
    <w:r>
      <w:fldChar w:fldCharType="separate"/>
    </w:r>
    <w:r>
      <w:rPr>
        <w:noProof/>
      </w:rPr>
      <w:t>31</w:t>
    </w:r>
    <w:r>
      <w:rPr>
        <w:noProof/>
      </w:rPr>
      <w:fldChar w:fldCharType="end"/>
    </w:r>
    <w:r>
      <w:t xml:space="preserve"> of </w:t>
    </w:r>
    <w:r>
      <w:rPr>
        <w:noProof/>
      </w:rPr>
      <w:fldChar w:fldCharType="begin"/>
    </w:r>
    <w:r>
      <w:rPr>
        <w:noProof/>
      </w:rPr>
      <w:instrText xml:space="preserve"> NUMPAGES </w:instrText>
    </w:r>
    <w:r>
      <w:rPr>
        <w:noProof/>
      </w:rPr>
      <w:fldChar w:fldCharType="separate"/>
    </w:r>
    <w:r>
      <w:rPr>
        <w:noProof/>
      </w:rPr>
      <w:t>37</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BCAB2" w14:textId="2C10157F" w:rsidR="008E6769" w:rsidRDefault="008E6769" w:rsidP="004E5E47">
    <w:pPr>
      <w:pStyle w:val="Footer"/>
      <w:jc w:val="right"/>
    </w:pPr>
    <w:r>
      <w:t xml:space="preserve">Version date:  </w:t>
    </w:r>
    <w:r>
      <w:fldChar w:fldCharType="begin"/>
    </w:r>
    <w:r>
      <w:instrText xml:space="preserve"> SAVEDATE \@ "MMMM d, yyyy" \* MERGEFORMAT </w:instrText>
    </w:r>
    <w:r>
      <w:fldChar w:fldCharType="separate"/>
    </w:r>
    <w:r w:rsidR="004D3DDF">
      <w:rPr>
        <w:noProof/>
      </w:rPr>
      <w:t>October 15, 2018</w:t>
    </w:r>
    <w:r>
      <w:fldChar w:fldCharType="end"/>
    </w:r>
    <w:r>
      <w:tab/>
    </w:r>
    <w:r>
      <w:tab/>
      <w:t xml:space="preserve">Page </w:t>
    </w:r>
    <w:r>
      <w:fldChar w:fldCharType="begin"/>
    </w:r>
    <w:r>
      <w:instrText xml:space="preserve"> PAGE </w:instrText>
    </w:r>
    <w:r>
      <w:fldChar w:fldCharType="separate"/>
    </w:r>
    <w:r>
      <w:rPr>
        <w:noProof/>
      </w:rPr>
      <w:t>36</w:t>
    </w:r>
    <w:r>
      <w:rPr>
        <w:noProof/>
      </w:rPr>
      <w:fldChar w:fldCharType="end"/>
    </w:r>
    <w:r>
      <w:t xml:space="preserve"> of </w:t>
    </w:r>
    <w:r>
      <w:rPr>
        <w:noProof/>
      </w:rPr>
      <w:fldChar w:fldCharType="begin"/>
    </w:r>
    <w:r>
      <w:rPr>
        <w:noProof/>
      </w:rPr>
      <w:instrText xml:space="preserve"> NUMPAGES </w:instrText>
    </w:r>
    <w:r>
      <w:rPr>
        <w:noProof/>
      </w:rPr>
      <w:fldChar w:fldCharType="separate"/>
    </w:r>
    <w:r>
      <w:rPr>
        <w:noProof/>
      </w:rPr>
      <w:t>37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445535" w14:textId="77777777" w:rsidR="00FC460D" w:rsidRDefault="00FC460D">
      <w:r>
        <w:separator/>
      </w:r>
    </w:p>
  </w:footnote>
  <w:footnote w:type="continuationSeparator" w:id="0">
    <w:p w14:paraId="6BF22265" w14:textId="77777777" w:rsidR="00FC460D" w:rsidRDefault="00FC4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76D72F" w14:textId="45665A67" w:rsidR="008E6769" w:rsidRDefault="008E6769" w:rsidP="004E5E47">
    <w:pPr>
      <w:pStyle w:val="Header"/>
      <w:jc w:val="right"/>
    </w:pPr>
    <w:r>
      <w:t xml:space="preserve">Lipid-Lowering Therapy Adherence and Intensity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632F8" w14:textId="3C0C61A1" w:rsidR="008E6769" w:rsidRDefault="008E6769" w:rsidP="004E5E47">
    <w:pPr>
      <w:pStyle w:val="Header"/>
      <w:jc w:val="right"/>
    </w:pPr>
    <w:r>
      <w:t xml:space="preserve">Adherence and Intensity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4101A"/>
    <w:multiLevelType w:val="singleLevel"/>
    <w:tmpl w:val="962C9540"/>
    <w:lvl w:ilvl="0">
      <w:start w:val="1"/>
      <w:numFmt w:val="bullet"/>
      <w:pStyle w:val="TextDash"/>
      <w:lvlText w:val=""/>
      <w:lvlJc w:val="left"/>
      <w:pPr>
        <w:tabs>
          <w:tab w:val="num" w:pos="720"/>
        </w:tabs>
        <w:ind w:left="720" w:hanging="360"/>
      </w:pPr>
      <w:rPr>
        <w:rFonts w:ascii="Symbol" w:hAnsi="Symbol" w:hint="default"/>
      </w:rPr>
    </w:lvl>
  </w:abstractNum>
  <w:abstractNum w:abstractNumId="1" w15:restartNumberingAfterBreak="0">
    <w:nsid w:val="121C73AC"/>
    <w:multiLevelType w:val="multilevel"/>
    <w:tmpl w:val="24206A62"/>
    <w:lvl w:ilvl="0">
      <w:start w:val="1"/>
      <w:numFmt w:val="decimal"/>
      <w:suff w:val="space"/>
      <w:lvlText w:val="%1."/>
      <w:lvlJc w:val="center"/>
      <w:pPr>
        <w:ind w:left="0" w:firstLine="0"/>
      </w:pPr>
      <w:rPr>
        <w:rFonts w:hint="default"/>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 w15:restartNumberingAfterBreak="0">
    <w:nsid w:val="1A0C6FE7"/>
    <w:multiLevelType w:val="multilevel"/>
    <w:tmpl w:val="94609224"/>
    <w:lvl w:ilvl="0">
      <w:start w:val="1"/>
      <w:numFmt w:val="decimal"/>
      <w:pStyle w:val="NumberRestart"/>
      <w:lvlText w:val=""/>
      <w:lvlJc w:val="left"/>
      <w:pPr>
        <w:tabs>
          <w:tab w:val="num" w:pos="1440"/>
        </w:tabs>
        <w:ind w:left="1440" w:hanging="1440"/>
      </w:pPr>
    </w:lvl>
    <w:lvl w:ilvl="1">
      <w:start w:val="1"/>
      <w:numFmt w:val="decimal"/>
      <w:lvlText w:val="Part %1."/>
      <w:lvlJc w:val="left"/>
      <w:pPr>
        <w:tabs>
          <w:tab w:val="num" w:pos="1440"/>
        </w:tabs>
        <w:ind w:left="1440" w:hanging="1440"/>
      </w:pPr>
    </w:lvl>
    <w:lvl w:ilvl="2">
      <w:start w:val="1"/>
      <w:numFmt w:val="decimal"/>
      <w:lvlText w:val="Part %1.%2"/>
      <w:lvlJc w:val="left"/>
      <w:pPr>
        <w:tabs>
          <w:tab w:val="num" w:pos="1440"/>
        </w:tabs>
        <w:ind w:left="1440" w:hanging="1440"/>
      </w:pPr>
    </w:lvl>
    <w:lvl w:ilvl="3">
      <w:start w:val="1"/>
      <w:numFmt w:val="decimal"/>
      <w:lvlText w:val="%1.%2.%3"/>
      <w:lvlJc w:val="left"/>
      <w:pPr>
        <w:tabs>
          <w:tab w:val="num" w:pos="1440"/>
        </w:tabs>
        <w:ind w:left="1440" w:hanging="1440"/>
      </w:pPr>
    </w:lvl>
    <w:lvl w:ilvl="4">
      <w:start w:val="1"/>
      <w:numFmt w:val="decimal"/>
      <w:lvlText w:val="%1.%2.%3.%4"/>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lowerLetter"/>
      <w:lvlText w:val="%8."/>
      <w:lvlJc w:val="left"/>
      <w:pPr>
        <w:tabs>
          <w:tab w:val="num" w:pos="2880"/>
        </w:tabs>
        <w:ind w:left="2880" w:hanging="360"/>
      </w:pPr>
    </w:lvl>
    <w:lvl w:ilvl="8">
      <w:start w:val="1"/>
      <w:numFmt w:val="decimal"/>
      <w:lvlText w:val="%1.%2.%3.%4.%5.%6.%7.%8"/>
      <w:lvlJc w:val="left"/>
      <w:pPr>
        <w:tabs>
          <w:tab w:val="num" w:pos="1440"/>
        </w:tabs>
        <w:ind w:left="1440" w:hanging="1440"/>
      </w:pPr>
    </w:lvl>
  </w:abstractNum>
  <w:abstractNum w:abstractNumId="3" w15:restartNumberingAfterBreak="0">
    <w:nsid w:val="214E72BA"/>
    <w:multiLevelType w:val="hybridMultilevel"/>
    <w:tmpl w:val="BF384C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C23335"/>
    <w:multiLevelType w:val="multilevel"/>
    <w:tmpl w:val="24206A62"/>
    <w:lvl w:ilvl="0">
      <w:start w:val="1"/>
      <w:numFmt w:val="decimal"/>
      <w:suff w:val="space"/>
      <w:lvlText w:val="%1."/>
      <w:lvlJc w:val="center"/>
      <w:pPr>
        <w:ind w:left="0" w:firstLine="0"/>
      </w:pPr>
      <w:rPr>
        <w:rFonts w:hint="default"/>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5" w15:restartNumberingAfterBreak="0">
    <w:nsid w:val="28521463"/>
    <w:multiLevelType w:val="singleLevel"/>
    <w:tmpl w:val="06A07324"/>
    <w:lvl w:ilvl="0">
      <w:start w:val="1"/>
      <w:numFmt w:val="bullet"/>
      <w:pStyle w:val="TextBullet"/>
      <w:lvlText w:val=""/>
      <w:lvlJc w:val="left"/>
      <w:pPr>
        <w:tabs>
          <w:tab w:val="num" w:pos="360"/>
        </w:tabs>
        <w:ind w:left="360" w:hanging="360"/>
      </w:pPr>
      <w:rPr>
        <w:rFonts w:ascii="Symbol" w:hAnsi="Symbol" w:hint="default"/>
      </w:rPr>
    </w:lvl>
  </w:abstractNum>
  <w:abstractNum w:abstractNumId="6" w15:restartNumberingAfterBreak="0">
    <w:nsid w:val="5927074F"/>
    <w:multiLevelType w:val="multilevel"/>
    <w:tmpl w:val="907EA256"/>
    <w:lvl w:ilvl="0">
      <w:start w:val="1"/>
      <w:numFmt w:val="decimal"/>
      <w:suff w:val="space"/>
      <w:lvlText w:val="%1."/>
      <w:lvlJc w:val="center"/>
      <w:pPr>
        <w:ind w:left="0" w:firstLine="0"/>
      </w:pPr>
      <w:rPr>
        <w:rFonts w:hint="default"/>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2"/>
  </w:num>
  <w:num w:numId="11">
    <w:abstractNumId w:val="5"/>
  </w:num>
  <w:num w:numId="12">
    <w:abstractNumId w:val="0"/>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1"/>
  </w:num>
  <w:num w:numId="24">
    <w:abstractNumId w:val="3"/>
  </w:num>
  <w:num w:numId="25">
    <w:abstractNumId w:val="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FMGR.InstantFormat" w:val="&lt;InstantFormat&gt;&lt;Enabled&gt;1&lt;/Enabled&gt;&lt;ScanUnformatted&gt;1&lt;/ScanUnformatted&gt;&lt;ScanChanges&gt;1&lt;/ScanChanges&gt;&lt;/InstantFormat&gt;"/>
    <w:docVar w:name="REFMGR.Layout" w:val="&lt;Layout&gt;&lt;StartingRefnum&gt;JAMA&lt;/StartingRefnum&gt;&lt;FontName&gt;Arial&lt;/FontName&gt;&lt;FontSize&gt;11&lt;/FontSize&gt;&lt;ReflistTitle&gt;Reference List&lt;/ReflistTitle&gt;&lt;SpaceAfter&gt;1&lt;/SpaceAfter&gt;&lt;ReflistOrder&gt;0&lt;/ReflistOrder&gt;&lt;CitationOrder&gt;0&lt;/CitationOrder&gt;&lt;NumberReferences&gt;1&lt;/NumberReferences&gt;&lt;FirstLineIndent&gt;0&lt;/FirstLineIndent&gt;&lt;HangingIndent&gt;0&lt;/HangingIndent&gt;&lt;LineSpacing&gt;2&lt;/LineSpacing&gt;&lt;ShowReprint&gt;3&lt;/ShowReprint&gt;&lt;ShowNotes&gt;0&lt;/ShowNotes&gt;&lt;ShowKeywords&gt;0&lt;/ShowKeywords&gt;&lt;ShortFormFields&gt;0&lt;/ShortFormFields&gt;&lt;ShowRecordID&gt;0&lt;/ShowRecordID&gt;&lt;ShowAbstract&gt;0&lt;/ShowAbstract&gt;&lt;/Layout&gt;"/>
    <w:docVar w:name="REFMGR.Libraries" w:val="&lt;Databases&gt;&lt;Libraries&gt;&lt;item&gt;Target and Mortaility&lt;/item&gt;&lt;/Libraries&gt;&lt;/Databases&gt;"/>
  </w:docVars>
  <w:rsids>
    <w:rsidRoot w:val="0031581D"/>
    <w:rsid w:val="00000755"/>
    <w:rsid w:val="00000B58"/>
    <w:rsid w:val="00000DDA"/>
    <w:rsid w:val="00001222"/>
    <w:rsid w:val="00001D2D"/>
    <w:rsid w:val="00001E98"/>
    <w:rsid w:val="00002556"/>
    <w:rsid w:val="0000256B"/>
    <w:rsid w:val="00002618"/>
    <w:rsid w:val="00002782"/>
    <w:rsid w:val="00003441"/>
    <w:rsid w:val="00003D32"/>
    <w:rsid w:val="000050A8"/>
    <w:rsid w:val="00006592"/>
    <w:rsid w:val="0000726D"/>
    <w:rsid w:val="000078D1"/>
    <w:rsid w:val="00010199"/>
    <w:rsid w:val="000101A8"/>
    <w:rsid w:val="00011AE7"/>
    <w:rsid w:val="00011E52"/>
    <w:rsid w:val="000124D6"/>
    <w:rsid w:val="0001442D"/>
    <w:rsid w:val="000144B4"/>
    <w:rsid w:val="00014884"/>
    <w:rsid w:val="00014C31"/>
    <w:rsid w:val="00014E60"/>
    <w:rsid w:val="00015E3D"/>
    <w:rsid w:val="0001661C"/>
    <w:rsid w:val="00016826"/>
    <w:rsid w:val="00017650"/>
    <w:rsid w:val="000177A2"/>
    <w:rsid w:val="00017C65"/>
    <w:rsid w:val="0002020B"/>
    <w:rsid w:val="000205B7"/>
    <w:rsid w:val="00021A52"/>
    <w:rsid w:val="000230C1"/>
    <w:rsid w:val="00023643"/>
    <w:rsid w:val="000237B2"/>
    <w:rsid w:val="000244BB"/>
    <w:rsid w:val="000253C9"/>
    <w:rsid w:val="00026266"/>
    <w:rsid w:val="000264CF"/>
    <w:rsid w:val="0002756A"/>
    <w:rsid w:val="00027A9B"/>
    <w:rsid w:val="0003017D"/>
    <w:rsid w:val="00031731"/>
    <w:rsid w:val="000321E9"/>
    <w:rsid w:val="000323E3"/>
    <w:rsid w:val="00032D22"/>
    <w:rsid w:val="00033BC9"/>
    <w:rsid w:val="000341DF"/>
    <w:rsid w:val="00034232"/>
    <w:rsid w:val="0003513C"/>
    <w:rsid w:val="000355FD"/>
    <w:rsid w:val="00035E7A"/>
    <w:rsid w:val="000368F4"/>
    <w:rsid w:val="000370C2"/>
    <w:rsid w:val="0003712E"/>
    <w:rsid w:val="00037B55"/>
    <w:rsid w:val="0004071B"/>
    <w:rsid w:val="000431D3"/>
    <w:rsid w:val="00043762"/>
    <w:rsid w:val="00046013"/>
    <w:rsid w:val="00046031"/>
    <w:rsid w:val="0004638E"/>
    <w:rsid w:val="000467DE"/>
    <w:rsid w:val="0005017B"/>
    <w:rsid w:val="000507E9"/>
    <w:rsid w:val="00050E22"/>
    <w:rsid w:val="000511D3"/>
    <w:rsid w:val="00051E7A"/>
    <w:rsid w:val="0005323E"/>
    <w:rsid w:val="000537B6"/>
    <w:rsid w:val="000541B3"/>
    <w:rsid w:val="00054AA0"/>
    <w:rsid w:val="000550B8"/>
    <w:rsid w:val="00055EBF"/>
    <w:rsid w:val="00055F75"/>
    <w:rsid w:val="000569A1"/>
    <w:rsid w:val="00057B2F"/>
    <w:rsid w:val="00057C26"/>
    <w:rsid w:val="00057E40"/>
    <w:rsid w:val="000605A9"/>
    <w:rsid w:val="000623DD"/>
    <w:rsid w:val="00062DF6"/>
    <w:rsid w:val="00062FD7"/>
    <w:rsid w:val="00065E1B"/>
    <w:rsid w:val="00070A7F"/>
    <w:rsid w:val="00071EF0"/>
    <w:rsid w:val="0007318B"/>
    <w:rsid w:val="00073FBC"/>
    <w:rsid w:val="00074EC8"/>
    <w:rsid w:val="00075D3F"/>
    <w:rsid w:val="00077162"/>
    <w:rsid w:val="00077CB9"/>
    <w:rsid w:val="0008108B"/>
    <w:rsid w:val="000810CA"/>
    <w:rsid w:val="00081DC7"/>
    <w:rsid w:val="00082618"/>
    <w:rsid w:val="00084E53"/>
    <w:rsid w:val="000859E8"/>
    <w:rsid w:val="00085B6F"/>
    <w:rsid w:val="00086012"/>
    <w:rsid w:val="000872B0"/>
    <w:rsid w:val="0009445D"/>
    <w:rsid w:val="00095355"/>
    <w:rsid w:val="0009709C"/>
    <w:rsid w:val="00097371"/>
    <w:rsid w:val="000A0165"/>
    <w:rsid w:val="000A0688"/>
    <w:rsid w:val="000A0894"/>
    <w:rsid w:val="000A095B"/>
    <w:rsid w:val="000A2965"/>
    <w:rsid w:val="000A2EF0"/>
    <w:rsid w:val="000A3617"/>
    <w:rsid w:val="000A4164"/>
    <w:rsid w:val="000A47C1"/>
    <w:rsid w:val="000A58C2"/>
    <w:rsid w:val="000A5AD4"/>
    <w:rsid w:val="000A5F26"/>
    <w:rsid w:val="000A600C"/>
    <w:rsid w:val="000A6416"/>
    <w:rsid w:val="000A6CEB"/>
    <w:rsid w:val="000A6E2E"/>
    <w:rsid w:val="000A779C"/>
    <w:rsid w:val="000B00F8"/>
    <w:rsid w:val="000B06EE"/>
    <w:rsid w:val="000B1E7E"/>
    <w:rsid w:val="000B204C"/>
    <w:rsid w:val="000B27BD"/>
    <w:rsid w:val="000B2D21"/>
    <w:rsid w:val="000B5910"/>
    <w:rsid w:val="000B5992"/>
    <w:rsid w:val="000B62BF"/>
    <w:rsid w:val="000B6C74"/>
    <w:rsid w:val="000B743C"/>
    <w:rsid w:val="000C02AC"/>
    <w:rsid w:val="000C060E"/>
    <w:rsid w:val="000C0637"/>
    <w:rsid w:val="000C62ED"/>
    <w:rsid w:val="000C6F6D"/>
    <w:rsid w:val="000D1979"/>
    <w:rsid w:val="000D2CE6"/>
    <w:rsid w:val="000D328E"/>
    <w:rsid w:val="000D3907"/>
    <w:rsid w:val="000D3C17"/>
    <w:rsid w:val="000D3EB6"/>
    <w:rsid w:val="000D41BA"/>
    <w:rsid w:val="000D43DC"/>
    <w:rsid w:val="000D551B"/>
    <w:rsid w:val="000D766A"/>
    <w:rsid w:val="000E049E"/>
    <w:rsid w:val="000E1ACC"/>
    <w:rsid w:val="000E3DD6"/>
    <w:rsid w:val="000E42CF"/>
    <w:rsid w:val="000E4A4C"/>
    <w:rsid w:val="000E6FB8"/>
    <w:rsid w:val="000E74DD"/>
    <w:rsid w:val="000F07DD"/>
    <w:rsid w:val="000F2BB1"/>
    <w:rsid w:val="000F3078"/>
    <w:rsid w:val="000F4A52"/>
    <w:rsid w:val="000F58F6"/>
    <w:rsid w:val="000F5A1D"/>
    <w:rsid w:val="000F660C"/>
    <w:rsid w:val="00100A50"/>
    <w:rsid w:val="00101297"/>
    <w:rsid w:val="00101A57"/>
    <w:rsid w:val="0010249B"/>
    <w:rsid w:val="001025A0"/>
    <w:rsid w:val="0010384E"/>
    <w:rsid w:val="001038E5"/>
    <w:rsid w:val="00104792"/>
    <w:rsid w:val="00105EC5"/>
    <w:rsid w:val="00106150"/>
    <w:rsid w:val="00110791"/>
    <w:rsid w:val="001117B8"/>
    <w:rsid w:val="00111F88"/>
    <w:rsid w:val="001133EB"/>
    <w:rsid w:val="00116EE6"/>
    <w:rsid w:val="00117159"/>
    <w:rsid w:val="001177AE"/>
    <w:rsid w:val="001203AB"/>
    <w:rsid w:val="0012100C"/>
    <w:rsid w:val="001218F3"/>
    <w:rsid w:val="00121BEF"/>
    <w:rsid w:val="0012216E"/>
    <w:rsid w:val="00123A85"/>
    <w:rsid w:val="00123B5F"/>
    <w:rsid w:val="00124724"/>
    <w:rsid w:val="00125116"/>
    <w:rsid w:val="00125437"/>
    <w:rsid w:val="00125564"/>
    <w:rsid w:val="00130226"/>
    <w:rsid w:val="001335D8"/>
    <w:rsid w:val="001357D8"/>
    <w:rsid w:val="0013586E"/>
    <w:rsid w:val="001370F9"/>
    <w:rsid w:val="00137D68"/>
    <w:rsid w:val="001413FC"/>
    <w:rsid w:val="00141646"/>
    <w:rsid w:val="0014381F"/>
    <w:rsid w:val="0014425C"/>
    <w:rsid w:val="00144BA6"/>
    <w:rsid w:val="00144C96"/>
    <w:rsid w:val="00146E0E"/>
    <w:rsid w:val="001473BD"/>
    <w:rsid w:val="0014750F"/>
    <w:rsid w:val="00147DB8"/>
    <w:rsid w:val="00150877"/>
    <w:rsid w:val="00153310"/>
    <w:rsid w:val="00153FA5"/>
    <w:rsid w:val="00154D4A"/>
    <w:rsid w:val="00155627"/>
    <w:rsid w:val="00156DAD"/>
    <w:rsid w:val="00157E78"/>
    <w:rsid w:val="00160046"/>
    <w:rsid w:val="001603CF"/>
    <w:rsid w:val="00161849"/>
    <w:rsid w:val="001618B3"/>
    <w:rsid w:val="00163079"/>
    <w:rsid w:val="00164016"/>
    <w:rsid w:val="0016515E"/>
    <w:rsid w:val="00165501"/>
    <w:rsid w:val="0016570A"/>
    <w:rsid w:val="001663A1"/>
    <w:rsid w:val="00167B2A"/>
    <w:rsid w:val="00170B9C"/>
    <w:rsid w:val="00171B87"/>
    <w:rsid w:val="0017410A"/>
    <w:rsid w:val="001745E3"/>
    <w:rsid w:val="00176B78"/>
    <w:rsid w:val="0017749C"/>
    <w:rsid w:val="00177DBB"/>
    <w:rsid w:val="00177EAA"/>
    <w:rsid w:val="001808DB"/>
    <w:rsid w:val="001810BC"/>
    <w:rsid w:val="001812D5"/>
    <w:rsid w:val="00182EC7"/>
    <w:rsid w:val="00183D8A"/>
    <w:rsid w:val="00185148"/>
    <w:rsid w:val="001907A5"/>
    <w:rsid w:val="00191B33"/>
    <w:rsid w:val="00191D22"/>
    <w:rsid w:val="00191D42"/>
    <w:rsid w:val="00192B18"/>
    <w:rsid w:val="00192B92"/>
    <w:rsid w:val="001933BF"/>
    <w:rsid w:val="00193D44"/>
    <w:rsid w:val="001950BF"/>
    <w:rsid w:val="0019546E"/>
    <w:rsid w:val="00196DAE"/>
    <w:rsid w:val="001976E0"/>
    <w:rsid w:val="001A2AA4"/>
    <w:rsid w:val="001A3162"/>
    <w:rsid w:val="001A4889"/>
    <w:rsid w:val="001A4F02"/>
    <w:rsid w:val="001A5D21"/>
    <w:rsid w:val="001A5E83"/>
    <w:rsid w:val="001A6576"/>
    <w:rsid w:val="001A6FBF"/>
    <w:rsid w:val="001A756D"/>
    <w:rsid w:val="001B0920"/>
    <w:rsid w:val="001B1B4F"/>
    <w:rsid w:val="001B4C8A"/>
    <w:rsid w:val="001B5C74"/>
    <w:rsid w:val="001B6605"/>
    <w:rsid w:val="001B6DEF"/>
    <w:rsid w:val="001B7137"/>
    <w:rsid w:val="001C0EE7"/>
    <w:rsid w:val="001C10E0"/>
    <w:rsid w:val="001C1831"/>
    <w:rsid w:val="001C1A6F"/>
    <w:rsid w:val="001C3E88"/>
    <w:rsid w:val="001C409A"/>
    <w:rsid w:val="001C60D3"/>
    <w:rsid w:val="001D0A4D"/>
    <w:rsid w:val="001D0FFA"/>
    <w:rsid w:val="001D2349"/>
    <w:rsid w:val="001D357A"/>
    <w:rsid w:val="001D3AD4"/>
    <w:rsid w:val="001D3C33"/>
    <w:rsid w:val="001D3DB7"/>
    <w:rsid w:val="001D3DFA"/>
    <w:rsid w:val="001D4B98"/>
    <w:rsid w:val="001D7592"/>
    <w:rsid w:val="001D7773"/>
    <w:rsid w:val="001D7B25"/>
    <w:rsid w:val="001E07D9"/>
    <w:rsid w:val="001E183D"/>
    <w:rsid w:val="001E19DD"/>
    <w:rsid w:val="001E2D0A"/>
    <w:rsid w:val="001E2F1C"/>
    <w:rsid w:val="001E4BF6"/>
    <w:rsid w:val="001E50C3"/>
    <w:rsid w:val="001E6935"/>
    <w:rsid w:val="001E7C10"/>
    <w:rsid w:val="001E7F42"/>
    <w:rsid w:val="001F0220"/>
    <w:rsid w:val="001F04C3"/>
    <w:rsid w:val="001F11A8"/>
    <w:rsid w:val="001F22D4"/>
    <w:rsid w:val="001F2C86"/>
    <w:rsid w:val="001F438A"/>
    <w:rsid w:val="001F5D7C"/>
    <w:rsid w:val="001F7B0D"/>
    <w:rsid w:val="00200D24"/>
    <w:rsid w:val="0020112C"/>
    <w:rsid w:val="00202555"/>
    <w:rsid w:val="002035EC"/>
    <w:rsid w:val="002036AA"/>
    <w:rsid w:val="00205557"/>
    <w:rsid w:val="00205591"/>
    <w:rsid w:val="00205799"/>
    <w:rsid w:val="0020587B"/>
    <w:rsid w:val="0020756E"/>
    <w:rsid w:val="002101F0"/>
    <w:rsid w:val="00211C71"/>
    <w:rsid w:val="00212DA8"/>
    <w:rsid w:val="0021338B"/>
    <w:rsid w:val="0021479B"/>
    <w:rsid w:val="00214B93"/>
    <w:rsid w:val="00214C8B"/>
    <w:rsid w:val="002153F9"/>
    <w:rsid w:val="00215AAB"/>
    <w:rsid w:val="00215AF6"/>
    <w:rsid w:val="0021674C"/>
    <w:rsid w:val="00216906"/>
    <w:rsid w:val="00220FA4"/>
    <w:rsid w:val="00221322"/>
    <w:rsid w:val="0022179A"/>
    <w:rsid w:val="00222870"/>
    <w:rsid w:val="0022317A"/>
    <w:rsid w:val="0022374C"/>
    <w:rsid w:val="00224030"/>
    <w:rsid w:val="00224F22"/>
    <w:rsid w:val="002252FB"/>
    <w:rsid w:val="00225CE1"/>
    <w:rsid w:val="002267CA"/>
    <w:rsid w:val="00227A88"/>
    <w:rsid w:val="002322C7"/>
    <w:rsid w:val="00232C2F"/>
    <w:rsid w:val="00233E94"/>
    <w:rsid w:val="00233F94"/>
    <w:rsid w:val="002344C2"/>
    <w:rsid w:val="002349BB"/>
    <w:rsid w:val="00236222"/>
    <w:rsid w:val="002367EB"/>
    <w:rsid w:val="00236B98"/>
    <w:rsid w:val="00237029"/>
    <w:rsid w:val="00237332"/>
    <w:rsid w:val="0023737D"/>
    <w:rsid w:val="00237CBE"/>
    <w:rsid w:val="002423EF"/>
    <w:rsid w:val="002425D0"/>
    <w:rsid w:val="00242A6A"/>
    <w:rsid w:val="00243AD3"/>
    <w:rsid w:val="0024511D"/>
    <w:rsid w:val="002459E7"/>
    <w:rsid w:val="00246332"/>
    <w:rsid w:val="0024650C"/>
    <w:rsid w:val="0024679D"/>
    <w:rsid w:val="002503AF"/>
    <w:rsid w:val="002514C3"/>
    <w:rsid w:val="00252316"/>
    <w:rsid w:val="002537D3"/>
    <w:rsid w:val="002553F0"/>
    <w:rsid w:val="00255444"/>
    <w:rsid w:val="00256172"/>
    <w:rsid w:val="00257A53"/>
    <w:rsid w:val="002617AD"/>
    <w:rsid w:val="002621ED"/>
    <w:rsid w:val="00262791"/>
    <w:rsid w:val="00264E45"/>
    <w:rsid w:val="00266600"/>
    <w:rsid w:val="00266E56"/>
    <w:rsid w:val="00267DE3"/>
    <w:rsid w:val="00270ED0"/>
    <w:rsid w:val="00271952"/>
    <w:rsid w:val="00271A33"/>
    <w:rsid w:val="00271DE3"/>
    <w:rsid w:val="00271E77"/>
    <w:rsid w:val="00272DCC"/>
    <w:rsid w:val="00273146"/>
    <w:rsid w:val="002733D2"/>
    <w:rsid w:val="00274E9F"/>
    <w:rsid w:val="002760AE"/>
    <w:rsid w:val="0027611E"/>
    <w:rsid w:val="002778BF"/>
    <w:rsid w:val="00280A75"/>
    <w:rsid w:val="00281115"/>
    <w:rsid w:val="002830C3"/>
    <w:rsid w:val="00283AAD"/>
    <w:rsid w:val="00283BEF"/>
    <w:rsid w:val="002842FB"/>
    <w:rsid w:val="00284E92"/>
    <w:rsid w:val="00285426"/>
    <w:rsid w:val="00285445"/>
    <w:rsid w:val="002854A1"/>
    <w:rsid w:val="002858CB"/>
    <w:rsid w:val="00285A0D"/>
    <w:rsid w:val="00285E90"/>
    <w:rsid w:val="00286126"/>
    <w:rsid w:val="00286A52"/>
    <w:rsid w:val="00287BF8"/>
    <w:rsid w:val="0029041C"/>
    <w:rsid w:val="00290B90"/>
    <w:rsid w:val="00291D7D"/>
    <w:rsid w:val="0029216C"/>
    <w:rsid w:val="00292ED5"/>
    <w:rsid w:val="0029303D"/>
    <w:rsid w:val="00295500"/>
    <w:rsid w:val="00295700"/>
    <w:rsid w:val="00295783"/>
    <w:rsid w:val="00295DF0"/>
    <w:rsid w:val="00296687"/>
    <w:rsid w:val="0029774D"/>
    <w:rsid w:val="002A0349"/>
    <w:rsid w:val="002A10C5"/>
    <w:rsid w:val="002A2156"/>
    <w:rsid w:val="002A2E9B"/>
    <w:rsid w:val="002A3E4F"/>
    <w:rsid w:val="002A42EF"/>
    <w:rsid w:val="002A494D"/>
    <w:rsid w:val="002A5713"/>
    <w:rsid w:val="002B0FA4"/>
    <w:rsid w:val="002B1B9F"/>
    <w:rsid w:val="002B2A77"/>
    <w:rsid w:val="002B555F"/>
    <w:rsid w:val="002B669F"/>
    <w:rsid w:val="002B68D3"/>
    <w:rsid w:val="002B7B77"/>
    <w:rsid w:val="002B7E2A"/>
    <w:rsid w:val="002C0D87"/>
    <w:rsid w:val="002C2090"/>
    <w:rsid w:val="002C233C"/>
    <w:rsid w:val="002C2861"/>
    <w:rsid w:val="002C2CA1"/>
    <w:rsid w:val="002C38D9"/>
    <w:rsid w:val="002C3F6D"/>
    <w:rsid w:val="002C5001"/>
    <w:rsid w:val="002C57DE"/>
    <w:rsid w:val="002C5BF3"/>
    <w:rsid w:val="002C62DD"/>
    <w:rsid w:val="002C6530"/>
    <w:rsid w:val="002C6D22"/>
    <w:rsid w:val="002D05D3"/>
    <w:rsid w:val="002D0A72"/>
    <w:rsid w:val="002D0CE7"/>
    <w:rsid w:val="002D12F9"/>
    <w:rsid w:val="002D178F"/>
    <w:rsid w:val="002D432D"/>
    <w:rsid w:val="002E0C98"/>
    <w:rsid w:val="002E0DF9"/>
    <w:rsid w:val="002E1260"/>
    <w:rsid w:val="002E146A"/>
    <w:rsid w:val="002E1F42"/>
    <w:rsid w:val="002E21CF"/>
    <w:rsid w:val="002E2F4A"/>
    <w:rsid w:val="002E58D1"/>
    <w:rsid w:val="002E61A2"/>
    <w:rsid w:val="002E6470"/>
    <w:rsid w:val="002E6947"/>
    <w:rsid w:val="002E772E"/>
    <w:rsid w:val="002E7FE7"/>
    <w:rsid w:val="002F0C52"/>
    <w:rsid w:val="002F3643"/>
    <w:rsid w:val="002F4430"/>
    <w:rsid w:val="002F482D"/>
    <w:rsid w:val="002F4A9B"/>
    <w:rsid w:val="002F5B1C"/>
    <w:rsid w:val="002F6089"/>
    <w:rsid w:val="00300FA7"/>
    <w:rsid w:val="003013CA"/>
    <w:rsid w:val="00304502"/>
    <w:rsid w:val="00304B6D"/>
    <w:rsid w:val="0030582B"/>
    <w:rsid w:val="0030630D"/>
    <w:rsid w:val="00306A41"/>
    <w:rsid w:val="00307562"/>
    <w:rsid w:val="003076A3"/>
    <w:rsid w:val="00310346"/>
    <w:rsid w:val="00311890"/>
    <w:rsid w:val="0031192C"/>
    <w:rsid w:val="003128EF"/>
    <w:rsid w:val="0031429A"/>
    <w:rsid w:val="0031505F"/>
    <w:rsid w:val="00315207"/>
    <w:rsid w:val="003155E1"/>
    <w:rsid w:val="0031581D"/>
    <w:rsid w:val="00315F5C"/>
    <w:rsid w:val="00320B2D"/>
    <w:rsid w:val="00320DDE"/>
    <w:rsid w:val="0032114C"/>
    <w:rsid w:val="00321632"/>
    <w:rsid w:val="0032424D"/>
    <w:rsid w:val="003242D7"/>
    <w:rsid w:val="0032455A"/>
    <w:rsid w:val="003255A4"/>
    <w:rsid w:val="00326D04"/>
    <w:rsid w:val="003338BD"/>
    <w:rsid w:val="00335A2E"/>
    <w:rsid w:val="003364EE"/>
    <w:rsid w:val="00336844"/>
    <w:rsid w:val="00336944"/>
    <w:rsid w:val="00336AB8"/>
    <w:rsid w:val="00336CA2"/>
    <w:rsid w:val="00337348"/>
    <w:rsid w:val="003376C9"/>
    <w:rsid w:val="00337EFE"/>
    <w:rsid w:val="00340727"/>
    <w:rsid w:val="00340E8B"/>
    <w:rsid w:val="00341338"/>
    <w:rsid w:val="00343CD3"/>
    <w:rsid w:val="00344BF1"/>
    <w:rsid w:val="00344F96"/>
    <w:rsid w:val="0034614F"/>
    <w:rsid w:val="003474E7"/>
    <w:rsid w:val="00350301"/>
    <w:rsid w:val="00351187"/>
    <w:rsid w:val="00351C3B"/>
    <w:rsid w:val="00352198"/>
    <w:rsid w:val="00353813"/>
    <w:rsid w:val="00354CFB"/>
    <w:rsid w:val="00355189"/>
    <w:rsid w:val="003552F4"/>
    <w:rsid w:val="003555A4"/>
    <w:rsid w:val="0035577E"/>
    <w:rsid w:val="00355DF2"/>
    <w:rsid w:val="00357E6D"/>
    <w:rsid w:val="003602B8"/>
    <w:rsid w:val="00362461"/>
    <w:rsid w:val="003639FF"/>
    <w:rsid w:val="00364C60"/>
    <w:rsid w:val="00365648"/>
    <w:rsid w:val="00366BDB"/>
    <w:rsid w:val="0036794A"/>
    <w:rsid w:val="00367E80"/>
    <w:rsid w:val="003719D4"/>
    <w:rsid w:val="00372C89"/>
    <w:rsid w:val="00373B34"/>
    <w:rsid w:val="00373F80"/>
    <w:rsid w:val="00375624"/>
    <w:rsid w:val="003756A1"/>
    <w:rsid w:val="00375F37"/>
    <w:rsid w:val="00376135"/>
    <w:rsid w:val="003761D8"/>
    <w:rsid w:val="00376755"/>
    <w:rsid w:val="00376851"/>
    <w:rsid w:val="003779B2"/>
    <w:rsid w:val="00377EC4"/>
    <w:rsid w:val="0038132A"/>
    <w:rsid w:val="003830C3"/>
    <w:rsid w:val="00383893"/>
    <w:rsid w:val="00383C55"/>
    <w:rsid w:val="003842D4"/>
    <w:rsid w:val="0038436B"/>
    <w:rsid w:val="003869C4"/>
    <w:rsid w:val="00387191"/>
    <w:rsid w:val="00387286"/>
    <w:rsid w:val="0038729E"/>
    <w:rsid w:val="00391C93"/>
    <w:rsid w:val="00392AF3"/>
    <w:rsid w:val="00393A0A"/>
    <w:rsid w:val="00394256"/>
    <w:rsid w:val="003943B3"/>
    <w:rsid w:val="00394919"/>
    <w:rsid w:val="00395848"/>
    <w:rsid w:val="00395B4C"/>
    <w:rsid w:val="003968C3"/>
    <w:rsid w:val="00397C0D"/>
    <w:rsid w:val="003A1259"/>
    <w:rsid w:val="003A3569"/>
    <w:rsid w:val="003A45B9"/>
    <w:rsid w:val="003A4A5C"/>
    <w:rsid w:val="003A4E98"/>
    <w:rsid w:val="003A74DD"/>
    <w:rsid w:val="003A7FEE"/>
    <w:rsid w:val="003B227F"/>
    <w:rsid w:val="003B4322"/>
    <w:rsid w:val="003B5050"/>
    <w:rsid w:val="003B66CE"/>
    <w:rsid w:val="003B749D"/>
    <w:rsid w:val="003B7B0B"/>
    <w:rsid w:val="003C09EB"/>
    <w:rsid w:val="003C11B7"/>
    <w:rsid w:val="003C20DA"/>
    <w:rsid w:val="003C49AD"/>
    <w:rsid w:val="003C540F"/>
    <w:rsid w:val="003C5903"/>
    <w:rsid w:val="003C5AD7"/>
    <w:rsid w:val="003C6466"/>
    <w:rsid w:val="003C64B7"/>
    <w:rsid w:val="003C666A"/>
    <w:rsid w:val="003C6DC5"/>
    <w:rsid w:val="003C7A88"/>
    <w:rsid w:val="003D182E"/>
    <w:rsid w:val="003D1844"/>
    <w:rsid w:val="003D2F16"/>
    <w:rsid w:val="003D3146"/>
    <w:rsid w:val="003D33A2"/>
    <w:rsid w:val="003D3D18"/>
    <w:rsid w:val="003D4B3E"/>
    <w:rsid w:val="003D53B2"/>
    <w:rsid w:val="003D5D55"/>
    <w:rsid w:val="003D5F69"/>
    <w:rsid w:val="003D71A1"/>
    <w:rsid w:val="003E3326"/>
    <w:rsid w:val="003E472A"/>
    <w:rsid w:val="003E5812"/>
    <w:rsid w:val="003E5C0B"/>
    <w:rsid w:val="003E644D"/>
    <w:rsid w:val="003E682C"/>
    <w:rsid w:val="003F2521"/>
    <w:rsid w:val="003F2E0F"/>
    <w:rsid w:val="003F38A9"/>
    <w:rsid w:val="003F52EC"/>
    <w:rsid w:val="003F569F"/>
    <w:rsid w:val="003F62EF"/>
    <w:rsid w:val="004005BC"/>
    <w:rsid w:val="004010CA"/>
    <w:rsid w:val="00401116"/>
    <w:rsid w:val="00401CEE"/>
    <w:rsid w:val="00401E13"/>
    <w:rsid w:val="004048AD"/>
    <w:rsid w:val="00404D33"/>
    <w:rsid w:val="00405F9E"/>
    <w:rsid w:val="00406BEB"/>
    <w:rsid w:val="004101AF"/>
    <w:rsid w:val="00410405"/>
    <w:rsid w:val="00412B9F"/>
    <w:rsid w:val="00412E1C"/>
    <w:rsid w:val="0041427C"/>
    <w:rsid w:val="00414560"/>
    <w:rsid w:val="00414DAE"/>
    <w:rsid w:val="004152E0"/>
    <w:rsid w:val="004167D6"/>
    <w:rsid w:val="004204E4"/>
    <w:rsid w:val="004206AD"/>
    <w:rsid w:val="004209AE"/>
    <w:rsid w:val="004216AB"/>
    <w:rsid w:val="004227AB"/>
    <w:rsid w:val="00422D74"/>
    <w:rsid w:val="00423117"/>
    <w:rsid w:val="00424309"/>
    <w:rsid w:val="004264DF"/>
    <w:rsid w:val="00426D2B"/>
    <w:rsid w:val="00426D61"/>
    <w:rsid w:val="00427AC4"/>
    <w:rsid w:val="004301EE"/>
    <w:rsid w:val="00430C72"/>
    <w:rsid w:val="004316C9"/>
    <w:rsid w:val="00431C99"/>
    <w:rsid w:val="00432862"/>
    <w:rsid w:val="0043376B"/>
    <w:rsid w:val="0043387B"/>
    <w:rsid w:val="00434867"/>
    <w:rsid w:val="00434DEE"/>
    <w:rsid w:val="004352C1"/>
    <w:rsid w:val="00435929"/>
    <w:rsid w:val="00436DA3"/>
    <w:rsid w:val="00436FA7"/>
    <w:rsid w:val="00437943"/>
    <w:rsid w:val="00440A15"/>
    <w:rsid w:val="00441255"/>
    <w:rsid w:val="00444F8B"/>
    <w:rsid w:val="004454D5"/>
    <w:rsid w:val="0044642F"/>
    <w:rsid w:val="004520CB"/>
    <w:rsid w:val="00453A4E"/>
    <w:rsid w:val="00453B5E"/>
    <w:rsid w:val="00453D20"/>
    <w:rsid w:val="00454160"/>
    <w:rsid w:val="00454746"/>
    <w:rsid w:val="004629F0"/>
    <w:rsid w:val="0046322D"/>
    <w:rsid w:val="00464023"/>
    <w:rsid w:val="0046455E"/>
    <w:rsid w:val="00464B24"/>
    <w:rsid w:val="004660C3"/>
    <w:rsid w:val="00467976"/>
    <w:rsid w:val="00467B6B"/>
    <w:rsid w:val="00467BD4"/>
    <w:rsid w:val="00467CD3"/>
    <w:rsid w:val="00467D3A"/>
    <w:rsid w:val="00472F80"/>
    <w:rsid w:val="00476C25"/>
    <w:rsid w:val="00477238"/>
    <w:rsid w:val="004776A0"/>
    <w:rsid w:val="004814ED"/>
    <w:rsid w:val="00483A97"/>
    <w:rsid w:val="0048491C"/>
    <w:rsid w:val="00485C54"/>
    <w:rsid w:val="0048641B"/>
    <w:rsid w:val="00486C72"/>
    <w:rsid w:val="004905A3"/>
    <w:rsid w:val="00490BB9"/>
    <w:rsid w:val="00490DF0"/>
    <w:rsid w:val="00490FEC"/>
    <w:rsid w:val="00491C3B"/>
    <w:rsid w:val="00492DA9"/>
    <w:rsid w:val="00493428"/>
    <w:rsid w:val="00494C34"/>
    <w:rsid w:val="004958BE"/>
    <w:rsid w:val="00495D80"/>
    <w:rsid w:val="00497398"/>
    <w:rsid w:val="00497A70"/>
    <w:rsid w:val="00497C9E"/>
    <w:rsid w:val="004A0BA1"/>
    <w:rsid w:val="004A1A8C"/>
    <w:rsid w:val="004A2807"/>
    <w:rsid w:val="004A285D"/>
    <w:rsid w:val="004A2E65"/>
    <w:rsid w:val="004A30AD"/>
    <w:rsid w:val="004A52F9"/>
    <w:rsid w:val="004A6272"/>
    <w:rsid w:val="004A6BFB"/>
    <w:rsid w:val="004A715B"/>
    <w:rsid w:val="004A720E"/>
    <w:rsid w:val="004A7E67"/>
    <w:rsid w:val="004B04F1"/>
    <w:rsid w:val="004B149F"/>
    <w:rsid w:val="004B1921"/>
    <w:rsid w:val="004B2254"/>
    <w:rsid w:val="004B2618"/>
    <w:rsid w:val="004B32E1"/>
    <w:rsid w:val="004B3DAA"/>
    <w:rsid w:val="004B4C09"/>
    <w:rsid w:val="004B68E9"/>
    <w:rsid w:val="004B6CDA"/>
    <w:rsid w:val="004B733A"/>
    <w:rsid w:val="004B79C8"/>
    <w:rsid w:val="004C13AA"/>
    <w:rsid w:val="004C1A29"/>
    <w:rsid w:val="004C1A70"/>
    <w:rsid w:val="004C1AAF"/>
    <w:rsid w:val="004C2A59"/>
    <w:rsid w:val="004C30FD"/>
    <w:rsid w:val="004C5384"/>
    <w:rsid w:val="004C5E84"/>
    <w:rsid w:val="004C753C"/>
    <w:rsid w:val="004C7E3A"/>
    <w:rsid w:val="004D02D3"/>
    <w:rsid w:val="004D0AE3"/>
    <w:rsid w:val="004D0D03"/>
    <w:rsid w:val="004D114F"/>
    <w:rsid w:val="004D1B60"/>
    <w:rsid w:val="004D1ED7"/>
    <w:rsid w:val="004D30B7"/>
    <w:rsid w:val="004D328D"/>
    <w:rsid w:val="004D3607"/>
    <w:rsid w:val="004D3B5A"/>
    <w:rsid w:val="004D3DDF"/>
    <w:rsid w:val="004D4132"/>
    <w:rsid w:val="004D6AEA"/>
    <w:rsid w:val="004D75D6"/>
    <w:rsid w:val="004D7830"/>
    <w:rsid w:val="004D7D29"/>
    <w:rsid w:val="004E0BC4"/>
    <w:rsid w:val="004E0BEA"/>
    <w:rsid w:val="004E269A"/>
    <w:rsid w:val="004E28C0"/>
    <w:rsid w:val="004E2F5A"/>
    <w:rsid w:val="004E5042"/>
    <w:rsid w:val="004E5882"/>
    <w:rsid w:val="004E5E47"/>
    <w:rsid w:val="004E6D4E"/>
    <w:rsid w:val="004E7837"/>
    <w:rsid w:val="004F0059"/>
    <w:rsid w:val="004F00CD"/>
    <w:rsid w:val="004F10EB"/>
    <w:rsid w:val="004F2D98"/>
    <w:rsid w:val="004F389B"/>
    <w:rsid w:val="004F38E3"/>
    <w:rsid w:val="004F3A2B"/>
    <w:rsid w:val="004F40F4"/>
    <w:rsid w:val="004F4C03"/>
    <w:rsid w:val="004F6E0E"/>
    <w:rsid w:val="004F72CD"/>
    <w:rsid w:val="005004B9"/>
    <w:rsid w:val="00500B0B"/>
    <w:rsid w:val="00501018"/>
    <w:rsid w:val="005015C1"/>
    <w:rsid w:val="00501FBC"/>
    <w:rsid w:val="005029C8"/>
    <w:rsid w:val="00502E31"/>
    <w:rsid w:val="005034DA"/>
    <w:rsid w:val="00503B00"/>
    <w:rsid w:val="005045B4"/>
    <w:rsid w:val="00507A89"/>
    <w:rsid w:val="00507D98"/>
    <w:rsid w:val="00510E99"/>
    <w:rsid w:val="00513198"/>
    <w:rsid w:val="00514CBB"/>
    <w:rsid w:val="005156E6"/>
    <w:rsid w:val="00517EFE"/>
    <w:rsid w:val="005244CD"/>
    <w:rsid w:val="00526823"/>
    <w:rsid w:val="0052684A"/>
    <w:rsid w:val="00526E9A"/>
    <w:rsid w:val="00526F89"/>
    <w:rsid w:val="00530330"/>
    <w:rsid w:val="00530FAD"/>
    <w:rsid w:val="00531526"/>
    <w:rsid w:val="005350B3"/>
    <w:rsid w:val="00535580"/>
    <w:rsid w:val="00535AE0"/>
    <w:rsid w:val="0053617E"/>
    <w:rsid w:val="00536454"/>
    <w:rsid w:val="005366AD"/>
    <w:rsid w:val="00536868"/>
    <w:rsid w:val="0053784F"/>
    <w:rsid w:val="005442F7"/>
    <w:rsid w:val="00544357"/>
    <w:rsid w:val="00544B10"/>
    <w:rsid w:val="00545159"/>
    <w:rsid w:val="005456C5"/>
    <w:rsid w:val="00545F6A"/>
    <w:rsid w:val="0054674D"/>
    <w:rsid w:val="00546CA2"/>
    <w:rsid w:val="00547376"/>
    <w:rsid w:val="005506B0"/>
    <w:rsid w:val="00550D10"/>
    <w:rsid w:val="0055143D"/>
    <w:rsid w:val="005524C4"/>
    <w:rsid w:val="00555654"/>
    <w:rsid w:val="00557ED3"/>
    <w:rsid w:val="005627C4"/>
    <w:rsid w:val="0056340D"/>
    <w:rsid w:val="0056382E"/>
    <w:rsid w:val="00565859"/>
    <w:rsid w:val="005669DA"/>
    <w:rsid w:val="00566F79"/>
    <w:rsid w:val="00570600"/>
    <w:rsid w:val="005708DA"/>
    <w:rsid w:val="0057191F"/>
    <w:rsid w:val="00571B76"/>
    <w:rsid w:val="00572ABA"/>
    <w:rsid w:val="00572EB6"/>
    <w:rsid w:val="0057344E"/>
    <w:rsid w:val="00576BAC"/>
    <w:rsid w:val="005770C2"/>
    <w:rsid w:val="0058053E"/>
    <w:rsid w:val="00583C7C"/>
    <w:rsid w:val="00583F7D"/>
    <w:rsid w:val="0058467F"/>
    <w:rsid w:val="00591110"/>
    <w:rsid w:val="005927D8"/>
    <w:rsid w:val="00596235"/>
    <w:rsid w:val="005972F9"/>
    <w:rsid w:val="005A0F75"/>
    <w:rsid w:val="005A1EA1"/>
    <w:rsid w:val="005A223D"/>
    <w:rsid w:val="005A31FD"/>
    <w:rsid w:val="005A3C4A"/>
    <w:rsid w:val="005A3E85"/>
    <w:rsid w:val="005A459F"/>
    <w:rsid w:val="005A4E6D"/>
    <w:rsid w:val="005A5A07"/>
    <w:rsid w:val="005B152A"/>
    <w:rsid w:val="005B2B65"/>
    <w:rsid w:val="005B425D"/>
    <w:rsid w:val="005B652B"/>
    <w:rsid w:val="005B7D81"/>
    <w:rsid w:val="005C09EB"/>
    <w:rsid w:val="005C0D15"/>
    <w:rsid w:val="005C109B"/>
    <w:rsid w:val="005C1A12"/>
    <w:rsid w:val="005C1A1A"/>
    <w:rsid w:val="005C1BF8"/>
    <w:rsid w:val="005C1EE2"/>
    <w:rsid w:val="005C2087"/>
    <w:rsid w:val="005C3676"/>
    <w:rsid w:val="005C423E"/>
    <w:rsid w:val="005C538F"/>
    <w:rsid w:val="005C54C7"/>
    <w:rsid w:val="005C64C5"/>
    <w:rsid w:val="005C691D"/>
    <w:rsid w:val="005D135D"/>
    <w:rsid w:val="005D14B3"/>
    <w:rsid w:val="005D267E"/>
    <w:rsid w:val="005D2ED6"/>
    <w:rsid w:val="005D3A24"/>
    <w:rsid w:val="005D3E4C"/>
    <w:rsid w:val="005D5BD9"/>
    <w:rsid w:val="005E036A"/>
    <w:rsid w:val="005E14CE"/>
    <w:rsid w:val="005E1C46"/>
    <w:rsid w:val="005E2011"/>
    <w:rsid w:val="005E2574"/>
    <w:rsid w:val="005E2A86"/>
    <w:rsid w:val="005E31EB"/>
    <w:rsid w:val="005E3C4D"/>
    <w:rsid w:val="005E3DF7"/>
    <w:rsid w:val="005E4BBB"/>
    <w:rsid w:val="005E52B3"/>
    <w:rsid w:val="005E769B"/>
    <w:rsid w:val="005E79B3"/>
    <w:rsid w:val="005F0326"/>
    <w:rsid w:val="005F0880"/>
    <w:rsid w:val="005F1CD0"/>
    <w:rsid w:val="005F32C9"/>
    <w:rsid w:val="005F4A07"/>
    <w:rsid w:val="005F51CB"/>
    <w:rsid w:val="005F5EFC"/>
    <w:rsid w:val="005F62AE"/>
    <w:rsid w:val="005F7C84"/>
    <w:rsid w:val="00600ADE"/>
    <w:rsid w:val="00603E55"/>
    <w:rsid w:val="00604985"/>
    <w:rsid w:val="00605D6A"/>
    <w:rsid w:val="006068A3"/>
    <w:rsid w:val="00606D6C"/>
    <w:rsid w:val="00607865"/>
    <w:rsid w:val="006110C2"/>
    <w:rsid w:val="00614387"/>
    <w:rsid w:val="00614814"/>
    <w:rsid w:val="0062067D"/>
    <w:rsid w:val="006207D9"/>
    <w:rsid w:val="00622A87"/>
    <w:rsid w:val="006243BE"/>
    <w:rsid w:val="006273CF"/>
    <w:rsid w:val="00627CDA"/>
    <w:rsid w:val="00630917"/>
    <w:rsid w:val="00630A18"/>
    <w:rsid w:val="00630CF3"/>
    <w:rsid w:val="00631004"/>
    <w:rsid w:val="0063238A"/>
    <w:rsid w:val="00634672"/>
    <w:rsid w:val="006354F6"/>
    <w:rsid w:val="006364EB"/>
    <w:rsid w:val="006401F8"/>
    <w:rsid w:val="006404DC"/>
    <w:rsid w:val="00641F68"/>
    <w:rsid w:val="00645807"/>
    <w:rsid w:val="006476B3"/>
    <w:rsid w:val="0064790D"/>
    <w:rsid w:val="00647FFB"/>
    <w:rsid w:val="006540F8"/>
    <w:rsid w:val="00654348"/>
    <w:rsid w:val="00654F36"/>
    <w:rsid w:val="00654F77"/>
    <w:rsid w:val="006556BC"/>
    <w:rsid w:val="00656F10"/>
    <w:rsid w:val="00656F3D"/>
    <w:rsid w:val="00657C61"/>
    <w:rsid w:val="00660686"/>
    <w:rsid w:val="00661652"/>
    <w:rsid w:val="00663455"/>
    <w:rsid w:val="006637E2"/>
    <w:rsid w:val="00663EF0"/>
    <w:rsid w:val="00665A21"/>
    <w:rsid w:val="00665A86"/>
    <w:rsid w:val="00666205"/>
    <w:rsid w:val="00667B6B"/>
    <w:rsid w:val="006702FC"/>
    <w:rsid w:val="006703E6"/>
    <w:rsid w:val="006710B1"/>
    <w:rsid w:val="006715E6"/>
    <w:rsid w:val="00671710"/>
    <w:rsid w:val="0067242A"/>
    <w:rsid w:val="0067249C"/>
    <w:rsid w:val="00672771"/>
    <w:rsid w:val="00673D77"/>
    <w:rsid w:val="00676573"/>
    <w:rsid w:val="0067753D"/>
    <w:rsid w:val="00677D60"/>
    <w:rsid w:val="00680145"/>
    <w:rsid w:val="00681FF6"/>
    <w:rsid w:val="0068458F"/>
    <w:rsid w:val="00685630"/>
    <w:rsid w:val="0068575E"/>
    <w:rsid w:val="00687B89"/>
    <w:rsid w:val="00690531"/>
    <w:rsid w:val="00690944"/>
    <w:rsid w:val="006916EA"/>
    <w:rsid w:val="00691CDF"/>
    <w:rsid w:val="006920D0"/>
    <w:rsid w:val="006934AB"/>
    <w:rsid w:val="00694EEE"/>
    <w:rsid w:val="0069504C"/>
    <w:rsid w:val="00696B03"/>
    <w:rsid w:val="006A19D8"/>
    <w:rsid w:val="006A2212"/>
    <w:rsid w:val="006A27F8"/>
    <w:rsid w:val="006A2B1D"/>
    <w:rsid w:val="006A3784"/>
    <w:rsid w:val="006A386F"/>
    <w:rsid w:val="006A4F91"/>
    <w:rsid w:val="006A5180"/>
    <w:rsid w:val="006A5825"/>
    <w:rsid w:val="006A68D2"/>
    <w:rsid w:val="006B002D"/>
    <w:rsid w:val="006B0B7F"/>
    <w:rsid w:val="006B1662"/>
    <w:rsid w:val="006B3742"/>
    <w:rsid w:val="006B39F6"/>
    <w:rsid w:val="006B41FD"/>
    <w:rsid w:val="006B51BE"/>
    <w:rsid w:val="006B5653"/>
    <w:rsid w:val="006C021A"/>
    <w:rsid w:val="006C0311"/>
    <w:rsid w:val="006C1982"/>
    <w:rsid w:val="006C2090"/>
    <w:rsid w:val="006C5903"/>
    <w:rsid w:val="006C5CEA"/>
    <w:rsid w:val="006C67C8"/>
    <w:rsid w:val="006C711B"/>
    <w:rsid w:val="006C7D42"/>
    <w:rsid w:val="006D1E72"/>
    <w:rsid w:val="006D2273"/>
    <w:rsid w:val="006D3F9F"/>
    <w:rsid w:val="006D4768"/>
    <w:rsid w:val="006D6681"/>
    <w:rsid w:val="006D6DD9"/>
    <w:rsid w:val="006E1415"/>
    <w:rsid w:val="006E2581"/>
    <w:rsid w:val="006E4741"/>
    <w:rsid w:val="006E4C42"/>
    <w:rsid w:val="006E4C80"/>
    <w:rsid w:val="006E53E8"/>
    <w:rsid w:val="006E6576"/>
    <w:rsid w:val="006E6E4E"/>
    <w:rsid w:val="006E7409"/>
    <w:rsid w:val="006E77EB"/>
    <w:rsid w:val="006E7B51"/>
    <w:rsid w:val="006F1C91"/>
    <w:rsid w:val="006F1CE0"/>
    <w:rsid w:val="006F26D4"/>
    <w:rsid w:val="006F306E"/>
    <w:rsid w:val="006F47BB"/>
    <w:rsid w:val="006F4AB7"/>
    <w:rsid w:val="006F6370"/>
    <w:rsid w:val="006F63B3"/>
    <w:rsid w:val="006F7A7D"/>
    <w:rsid w:val="00700508"/>
    <w:rsid w:val="007005DF"/>
    <w:rsid w:val="007029FF"/>
    <w:rsid w:val="00702ED6"/>
    <w:rsid w:val="00702FBF"/>
    <w:rsid w:val="00704336"/>
    <w:rsid w:val="00711C25"/>
    <w:rsid w:val="00712067"/>
    <w:rsid w:val="00713716"/>
    <w:rsid w:val="00713DC1"/>
    <w:rsid w:val="007155D7"/>
    <w:rsid w:val="00716CFB"/>
    <w:rsid w:val="007176AD"/>
    <w:rsid w:val="00717DA6"/>
    <w:rsid w:val="007206E6"/>
    <w:rsid w:val="00720BA8"/>
    <w:rsid w:val="00721D8D"/>
    <w:rsid w:val="0072262C"/>
    <w:rsid w:val="0072311F"/>
    <w:rsid w:val="007234BD"/>
    <w:rsid w:val="00723BA4"/>
    <w:rsid w:val="00724A68"/>
    <w:rsid w:val="00724B42"/>
    <w:rsid w:val="00725020"/>
    <w:rsid w:val="0072538B"/>
    <w:rsid w:val="00726C9D"/>
    <w:rsid w:val="00727878"/>
    <w:rsid w:val="007301A6"/>
    <w:rsid w:val="00732AED"/>
    <w:rsid w:val="007332E6"/>
    <w:rsid w:val="007357DA"/>
    <w:rsid w:val="00736859"/>
    <w:rsid w:val="0074086E"/>
    <w:rsid w:val="00741036"/>
    <w:rsid w:val="00741634"/>
    <w:rsid w:val="0074210D"/>
    <w:rsid w:val="00742312"/>
    <w:rsid w:val="007428E7"/>
    <w:rsid w:val="007441ED"/>
    <w:rsid w:val="00745077"/>
    <w:rsid w:val="00745339"/>
    <w:rsid w:val="007460D2"/>
    <w:rsid w:val="0074636B"/>
    <w:rsid w:val="00746489"/>
    <w:rsid w:val="007466CB"/>
    <w:rsid w:val="007466EA"/>
    <w:rsid w:val="00747638"/>
    <w:rsid w:val="00750BE4"/>
    <w:rsid w:val="00750C08"/>
    <w:rsid w:val="0075193E"/>
    <w:rsid w:val="00753150"/>
    <w:rsid w:val="0075377F"/>
    <w:rsid w:val="00753AF8"/>
    <w:rsid w:val="00754C4B"/>
    <w:rsid w:val="007558FA"/>
    <w:rsid w:val="00755C22"/>
    <w:rsid w:val="0075772A"/>
    <w:rsid w:val="00757757"/>
    <w:rsid w:val="00762C09"/>
    <w:rsid w:val="00763F80"/>
    <w:rsid w:val="00766DBE"/>
    <w:rsid w:val="007716C1"/>
    <w:rsid w:val="00771D00"/>
    <w:rsid w:val="00772058"/>
    <w:rsid w:val="007720BF"/>
    <w:rsid w:val="00773495"/>
    <w:rsid w:val="00773FED"/>
    <w:rsid w:val="00775B33"/>
    <w:rsid w:val="00776619"/>
    <w:rsid w:val="0077705F"/>
    <w:rsid w:val="00777B71"/>
    <w:rsid w:val="00777C86"/>
    <w:rsid w:val="00780D9E"/>
    <w:rsid w:val="00781481"/>
    <w:rsid w:val="00783801"/>
    <w:rsid w:val="00784342"/>
    <w:rsid w:val="00784A47"/>
    <w:rsid w:val="00784B2A"/>
    <w:rsid w:val="00785A68"/>
    <w:rsid w:val="007860B0"/>
    <w:rsid w:val="00786758"/>
    <w:rsid w:val="00787BD0"/>
    <w:rsid w:val="00787F9D"/>
    <w:rsid w:val="007902F2"/>
    <w:rsid w:val="00790F77"/>
    <w:rsid w:val="00791128"/>
    <w:rsid w:val="007917F0"/>
    <w:rsid w:val="00791E4F"/>
    <w:rsid w:val="00792193"/>
    <w:rsid w:val="007925BB"/>
    <w:rsid w:val="0079277F"/>
    <w:rsid w:val="00793162"/>
    <w:rsid w:val="007954C0"/>
    <w:rsid w:val="007967D7"/>
    <w:rsid w:val="00796904"/>
    <w:rsid w:val="007974AE"/>
    <w:rsid w:val="00797BA5"/>
    <w:rsid w:val="007A2C82"/>
    <w:rsid w:val="007A3017"/>
    <w:rsid w:val="007A60AC"/>
    <w:rsid w:val="007B001C"/>
    <w:rsid w:val="007B0CFE"/>
    <w:rsid w:val="007B107F"/>
    <w:rsid w:val="007B1893"/>
    <w:rsid w:val="007B18C2"/>
    <w:rsid w:val="007B2E1D"/>
    <w:rsid w:val="007B35CE"/>
    <w:rsid w:val="007B5638"/>
    <w:rsid w:val="007C0309"/>
    <w:rsid w:val="007C071A"/>
    <w:rsid w:val="007C0E4E"/>
    <w:rsid w:val="007C191B"/>
    <w:rsid w:val="007C1953"/>
    <w:rsid w:val="007C1BDD"/>
    <w:rsid w:val="007C2F1B"/>
    <w:rsid w:val="007C4460"/>
    <w:rsid w:val="007C4615"/>
    <w:rsid w:val="007C5813"/>
    <w:rsid w:val="007C6E44"/>
    <w:rsid w:val="007D0E50"/>
    <w:rsid w:val="007D1BD6"/>
    <w:rsid w:val="007D2208"/>
    <w:rsid w:val="007D227C"/>
    <w:rsid w:val="007D3E6B"/>
    <w:rsid w:val="007D548C"/>
    <w:rsid w:val="007E191E"/>
    <w:rsid w:val="007E1CDD"/>
    <w:rsid w:val="007E240D"/>
    <w:rsid w:val="007E2613"/>
    <w:rsid w:val="007E271E"/>
    <w:rsid w:val="007E2744"/>
    <w:rsid w:val="007E2DED"/>
    <w:rsid w:val="007E5A27"/>
    <w:rsid w:val="007E6B34"/>
    <w:rsid w:val="007E7CB3"/>
    <w:rsid w:val="007F01C0"/>
    <w:rsid w:val="007F03ED"/>
    <w:rsid w:val="007F18D6"/>
    <w:rsid w:val="007F382E"/>
    <w:rsid w:val="007F3B20"/>
    <w:rsid w:val="007F46B7"/>
    <w:rsid w:val="007F470A"/>
    <w:rsid w:val="007F5F7D"/>
    <w:rsid w:val="007F66AF"/>
    <w:rsid w:val="00800E44"/>
    <w:rsid w:val="00801C56"/>
    <w:rsid w:val="00803A6B"/>
    <w:rsid w:val="00804890"/>
    <w:rsid w:val="00804A7A"/>
    <w:rsid w:val="0081153A"/>
    <w:rsid w:val="00813B04"/>
    <w:rsid w:val="00814A43"/>
    <w:rsid w:val="00814CC6"/>
    <w:rsid w:val="008150B7"/>
    <w:rsid w:val="008153A4"/>
    <w:rsid w:val="00815B6D"/>
    <w:rsid w:val="00815F32"/>
    <w:rsid w:val="00816B89"/>
    <w:rsid w:val="00816F80"/>
    <w:rsid w:val="008200D4"/>
    <w:rsid w:val="0082095E"/>
    <w:rsid w:val="00822E09"/>
    <w:rsid w:val="008230C3"/>
    <w:rsid w:val="00823C71"/>
    <w:rsid w:val="00824988"/>
    <w:rsid w:val="008250DC"/>
    <w:rsid w:val="008258F0"/>
    <w:rsid w:val="00825F0B"/>
    <w:rsid w:val="008266B5"/>
    <w:rsid w:val="0082693D"/>
    <w:rsid w:val="008271F5"/>
    <w:rsid w:val="00827EF1"/>
    <w:rsid w:val="0083038A"/>
    <w:rsid w:val="00830CEE"/>
    <w:rsid w:val="00831C7C"/>
    <w:rsid w:val="00833B6F"/>
    <w:rsid w:val="00834A10"/>
    <w:rsid w:val="00837182"/>
    <w:rsid w:val="0083729A"/>
    <w:rsid w:val="00841577"/>
    <w:rsid w:val="0084157A"/>
    <w:rsid w:val="00841D56"/>
    <w:rsid w:val="008425BC"/>
    <w:rsid w:val="00842A03"/>
    <w:rsid w:val="00842A45"/>
    <w:rsid w:val="00843AA0"/>
    <w:rsid w:val="0084410D"/>
    <w:rsid w:val="00844323"/>
    <w:rsid w:val="0084469D"/>
    <w:rsid w:val="008458D3"/>
    <w:rsid w:val="00846835"/>
    <w:rsid w:val="00846B6E"/>
    <w:rsid w:val="00846E95"/>
    <w:rsid w:val="00847DA5"/>
    <w:rsid w:val="00852589"/>
    <w:rsid w:val="00852842"/>
    <w:rsid w:val="00852F87"/>
    <w:rsid w:val="00853FB6"/>
    <w:rsid w:val="00854334"/>
    <w:rsid w:val="008551C3"/>
    <w:rsid w:val="00855613"/>
    <w:rsid w:val="00855F15"/>
    <w:rsid w:val="00856D06"/>
    <w:rsid w:val="00860BCE"/>
    <w:rsid w:val="00861237"/>
    <w:rsid w:val="00862845"/>
    <w:rsid w:val="0086383D"/>
    <w:rsid w:val="008662F6"/>
    <w:rsid w:val="008665B8"/>
    <w:rsid w:val="00867382"/>
    <w:rsid w:val="0087087B"/>
    <w:rsid w:val="00871BD5"/>
    <w:rsid w:val="0087327F"/>
    <w:rsid w:val="00873A39"/>
    <w:rsid w:val="0087412E"/>
    <w:rsid w:val="00874B07"/>
    <w:rsid w:val="00875F58"/>
    <w:rsid w:val="00875FF7"/>
    <w:rsid w:val="008760E6"/>
    <w:rsid w:val="00876DE7"/>
    <w:rsid w:val="0087794E"/>
    <w:rsid w:val="00880DC4"/>
    <w:rsid w:val="00881181"/>
    <w:rsid w:val="008841D3"/>
    <w:rsid w:val="008844E4"/>
    <w:rsid w:val="00885659"/>
    <w:rsid w:val="008866B5"/>
    <w:rsid w:val="00886FF2"/>
    <w:rsid w:val="00887940"/>
    <w:rsid w:val="00887A00"/>
    <w:rsid w:val="0089059A"/>
    <w:rsid w:val="00890BAB"/>
    <w:rsid w:val="00890E78"/>
    <w:rsid w:val="008919F4"/>
    <w:rsid w:val="00891EDD"/>
    <w:rsid w:val="00892757"/>
    <w:rsid w:val="0089289A"/>
    <w:rsid w:val="0089292C"/>
    <w:rsid w:val="0089593F"/>
    <w:rsid w:val="00896273"/>
    <w:rsid w:val="008A0D82"/>
    <w:rsid w:val="008A0F67"/>
    <w:rsid w:val="008A23DB"/>
    <w:rsid w:val="008A2D42"/>
    <w:rsid w:val="008A34BD"/>
    <w:rsid w:val="008A4D61"/>
    <w:rsid w:val="008A517B"/>
    <w:rsid w:val="008A521A"/>
    <w:rsid w:val="008A5ADB"/>
    <w:rsid w:val="008A6C75"/>
    <w:rsid w:val="008A73CE"/>
    <w:rsid w:val="008A7511"/>
    <w:rsid w:val="008A7DC3"/>
    <w:rsid w:val="008B1217"/>
    <w:rsid w:val="008B13D6"/>
    <w:rsid w:val="008B2FA2"/>
    <w:rsid w:val="008B3744"/>
    <w:rsid w:val="008B5CEB"/>
    <w:rsid w:val="008C0642"/>
    <w:rsid w:val="008C0714"/>
    <w:rsid w:val="008C1554"/>
    <w:rsid w:val="008C1BC0"/>
    <w:rsid w:val="008C2929"/>
    <w:rsid w:val="008C2EAD"/>
    <w:rsid w:val="008C41AF"/>
    <w:rsid w:val="008C4AD6"/>
    <w:rsid w:val="008C4D1D"/>
    <w:rsid w:val="008C52A9"/>
    <w:rsid w:val="008C5B4A"/>
    <w:rsid w:val="008C6C93"/>
    <w:rsid w:val="008D00AE"/>
    <w:rsid w:val="008D01AB"/>
    <w:rsid w:val="008D08B9"/>
    <w:rsid w:val="008D18E9"/>
    <w:rsid w:val="008D266E"/>
    <w:rsid w:val="008D4EDC"/>
    <w:rsid w:val="008D5166"/>
    <w:rsid w:val="008D5DF5"/>
    <w:rsid w:val="008D7549"/>
    <w:rsid w:val="008E1AF3"/>
    <w:rsid w:val="008E1D90"/>
    <w:rsid w:val="008E328F"/>
    <w:rsid w:val="008E369E"/>
    <w:rsid w:val="008E494D"/>
    <w:rsid w:val="008E4C65"/>
    <w:rsid w:val="008E5692"/>
    <w:rsid w:val="008E6769"/>
    <w:rsid w:val="008E6ACF"/>
    <w:rsid w:val="008E726B"/>
    <w:rsid w:val="008F2B78"/>
    <w:rsid w:val="008F35DA"/>
    <w:rsid w:val="008F37B4"/>
    <w:rsid w:val="008F700E"/>
    <w:rsid w:val="008F72AA"/>
    <w:rsid w:val="0090057A"/>
    <w:rsid w:val="00900A56"/>
    <w:rsid w:val="00901879"/>
    <w:rsid w:val="0090402B"/>
    <w:rsid w:val="00905395"/>
    <w:rsid w:val="00905CCB"/>
    <w:rsid w:val="00905E14"/>
    <w:rsid w:val="009103B1"/>
    <w:rsid w:val="009114A0"/>
    <w:rsid w:val="00912BBB"/>
    <w:rsid w:val="00913945"/>
    <w:rsid w:val="00914437"/>
    <w:rsid w:val="00914C8D"/>
    <w:rsid w:val="00915C08"/>
    <w:rsid w:val="00916CF7"/>
    <w:rsid w:val="009170A1"/>
    <w:rsid w:val="009178A9"/>
    <w:rsid w:val="0092153B"/>
    <w:rsid w:val="0092177F"/>
    <w:rsid w:val="00921E9D"/>
    <w:rsid w:val="0092326F"/>
    <w:rsid w:val="009252C0"/>
    <w:rsid w:val="00926845"/>
    <w:rsid w:val="0092701D"/>
    <w:rsid w:val="009315BE"/>
    <w:rsid w:val="00931A39"/>
    <w:rsid w:val="009353FB"/>
    <w:rsid w:val="0093612F"/>
    <w:rsid w:val="009366AC"/>
    <w:rsid w:val="00936727"/>
    <w:rsid w:val="00936E71"/>
    <w:rsid w:val="009404E6"/>
    <w:rsid w:val="00943B94"/>
    <w:rsid w:val="00946485"/>
    <w:rsid w:val="00946D18"/>
    <w:rsid w:val="009470EB"/>
    <w:rsid w:val="009502A7"/>
    <w:rsid w:val="0095287D"/>
    <w:rsid w:val="0095378E"/>
    <w:rsid w:val="00955559"/>
    <w:rsid w:val="009564D7"/>
    <w:rsid w:val="009571B5"/>
    <w:rsid w:val="00957884"/>
    <w:rsid w:val="00957BFA"/>
    <w:rsid w:val="00957C04"/>
    <w:rsid w:val="00960BCA"/>
    <w:rsid w:val="00960E9F"/>
    <w:rsid w:val="009620F5"/>
    <w:rsid w:val="0096353C"/>
    <w:rsid w:val="00963A64"/>
    <w:rsid w:val="00965FDB"/>
    <w:rsid w:val="009661B7"/>
    <w:rsid w:val="00967D62"/>
    <w:rsid w:val="0097015B"/>
    <w:rsid w:val="009719CF"/>
    <w:rsid w:val="00971B38"/>
    <w:rsid w:val="009725F0"/>
    <w:rsid w:val="0097299E"/>
    <w:rsid w:val="00972E69"/>
    <w:rsid w:val="009759A0"/>
    <w:rsid w:val="00980A67"/>
    <w:rsid w:val="00981996"/>
    <w:rsid w:val="00983EE9"/>
    <w:rsid w:val="009852EE"/>
    <w:rsid w:val="00985804"/>
    <w:rsid w:val="00990B9C"/>
    <w:rsid w:val="00991B69"/>
    <w:rsid w:val="00992FAC"/>
    <w:rsid w:val="009944DD"/>
    <w:rsid w:val="00994675"/>
    <w:rsid w:val="0099476B"/>
    <w:rsid w:val="009962EE"/>
    <w:rsid w:val="009963F8"/>
    <w:rsid w:val="00996499"/>
    <w:rsid w:val="00996E90"/>
    <w:rsid w:val="00997414"/>
    <w:rsid w:val="00997B84"/>
    <w:rsid w:val="009A0074"/>
    <w:rsid w:val="009A01C3"/>
    <w:rsid w:val="009A1C78"/>
    <w:rsid w:val="009A275B"/>
    <w:rsid w:val="009A383E"/>
    <w:rsid w:val="009A450C"/>
    <w:rsid w:val="009A5AE5"/>
    <w:rsid w:val="009A6DEF"/>
    <w:rsid w:val="009B0F13"/>
    <w:rsid w:val="009B1522"/>
    <w:rsid w:val="009B2184"/>
    <w:rsid w:val="009B237F"/>
    <w:rsid w:val="009B2C0D"/>
    <w:rsid w:val="009B3F80"/>
    <w:rsid w:val="009B45FA"/>
    <w:rsid w:val="009B4BF0"/>
    <w:rsid w:val="009B4FAD"/>
    <w:rsid w:val="009B56D5"/>
    <w:rsid w:val="009B5F5C"/>
    <w:rsid w:val="009B614A"/>
    <w:rsid w:val="009B6FA8"/>
    <w:rsid w:val="009B6FEC"/>
    <w:rsid w:val="009B7B54"/>
    <w:rsid w:val="009C1758"/>
    <w:rsid w:val="009C17F1"/>
    <w:rsid w:val="009C1C93"/>
    <w:rsid w:val="009C1FE8"/>
    <w:rsid w:val="009C20CD"/>
    <w:rsid w:val="009C3909"/>
    <w:rsid w:val="009C3E50"/>
    <w:rsid w:val="009C4D44"/>
    <w:rsid w:val="009C6F07"/>
    <w:rsid w:val="009C77DE"/>
    <w:rsid w:val="009D028F"/>
    <w:rsid w:val="009D25B4"/>
    <w:rsid w:val="009D2BD4"/>
    <w:rsid w:val="009D2E0A"/>
    <w:rsid w:val="009D31A1"/>
    <w:rsid w:val="009D3447"/>
    <w:rsid w:val="009D3A5A"/>
    <w:rsid w:val="009D5088"/>
    <w:rsid w:val="009D5C77"/>
    <w:rsid w:val="009D6D97"/>
    <w:rsid w:val="009D6DD2"/>
    <w:rsid w:val="009D6E1E"/>
    <w:rsid w:val="009D7BE2"/>
    <w:rsid w:val="009E0479"/>
    <w:rsid w:val="009E18B7"/>
    <w:rsid w:val="009E2B57"/>
    <w:rsid w:val="009E3538"/>
    <w:rsid w:val="009E44B1"/>
    <w:rsid w:val="009E4613"/>
    <w:rsid w:val="009E51FC"/>
    <w:rsid w:val="009E5778"/>
    <w:rsid w:val="009E5916"/>
    <w:rsid w:val="009E6A2D"/>
    <w:rsid w:val="009E6E5F"/>
    <w:rsid w:val="009F1DCF"/>
    <w:rsid w:val="009F36E3"/>
    <w:rsid w:val="009F37C2"/>
    <w:rsid w:val="009F4703"/>
    <w:rsid w:val="009F4868"/>
    <w:rsid w:val="009F5805"/>
    <w:rsid w:val="00A01095"/>
    <w:rsid w:val="00A01537"/>
    <w:rsid w:val="00A01721"/>
    <w:rsid w:val="00A03915"/>
    <w:rsid w:val="00A03BCE"/>
    <w:rsid w:val="00A04F11"/>
    <w:rsid w:val="00A05840"/>
    <w:rsid w:val="00A07E0F"/>
    <w:rsid w:val="00A107A2"/>
    <w:rsid w:val="00A1097D"/>
    <w:rsid w:val="00A1143A"/>
    <w:rsid w:val="00A11DD6"/>
    <w:rsid w:val="00A12250"/>
    <w:rsid w:val="00A12794"/>
    <w:rsid w:val="00A133BF"/>
    <w:rsid w:val="00A1350B"/>
    <w:rsid w:val="00A16AEE"/>
    <w:rsid w:val="00A16B8A"/>
    <w:rsid w:val="00A17A72"/>
    <w:rsid w:val="00A17DB9"/>
    <w:rsid w:val="00A17FBD"/>
    <w:rsid w:val="00A2048C"/>
    <w:rsid w:val="00A2144B"/>
    <w:rsid w:val="00A21521"/>
    <w:rsid w:val="00A21959"/>
    <w:rsid w:val="00A223F7"/>
    <w:rsid w:val="00A22FD6"/>
    <w:rsid w:val="00A23AFE"/>
    <w:rsid w:val="00A23B67"/>
    <w:rsid w:val="00A24498"/>
    <w:rsid w:val="00A247F1"/>
    <w:rsid w:val="00A24814"/>
    <w:rsid w:val="00A2566B"/>
    <w:rsid w:val="00A26C86"/>
    <w:rsid w:val="00A30046"/>
    <w:rsid w:val="00A3038A"/>
    <w:rsid w:val="00A31959"/>
    <w:rsid w:val="00A322AB"/>
    <w:rsid w:val="00A32D80"/>
    <w:rsid w:val="00A337EB"/>
    <w:rsid w:val="00A3439B"/>
    <w:rsid w:val="00A343C7"/>
    <w:rsid w:val="00A34A3A"/>
    <w:rsid w:val="00A34E7A"/>
    <w:rsid w:val="00A35699"/>
    <w:rsid w:val="00A36BB3"/>
    <w:rsid w:val="00A40591"/>
    <w:rsid w:val="00A41613"/>
    <w:rsid w:val="00A41AE8"/>
    <w:rsid w:val="00A43648"/>
    <w:rsid w:val="00A45E2A"/>
    <w:rsid w:val="00A4627C"/>
    <w:rsid w:val="00A473A8"/>
    <w:rsid w:val="00A51CA1"/>
    <w:rsid w:val="00A51FA6"/>
    <w:rsid w:val="00A54B59"/>
    <w:rsid w:val="00A570B4"/>
    <w:rsid w:val="00A57499"/>
    <w:rsid w:val="00A576FA"/>
    <w:rsid w:val="00A628F1"/>
    <w:rsid w:val="00A64637"/>
    <w:rsid w:val="00A64D88"/>
    <w:rsid w:val="00A64E4B"/>
    <w:rsid w:val="00A64F71"/>
    <w:rsid w:val="00A6564F"/>
    <w:rsid w:val="00A6660A"/>
    <w:rsid w:val="00A66682"/>
    <w:rsid w:val="00A66940"/>
    <w:rsid w:val="00A66CD5"/>
    <w:rsid w:val="00A70002"/>
    <w:rsid w:val="00A7094F"/>
    <w:rsid w:val="00A712F3"/>
    <w:rsid w:val="00A73E2D"/>
    <w:rsid w:val="00A74624"/>
    <w:rsid w:val="00A7571A"/>
    <w:rsid w:val="00A77947"/>
    <w:rsid w:val="00A77958"/>
    <w:rsid w:val="00A77F5C"/>
    <w:rsid w:val="00A80A4A"/>
    <w:rsid w:val="00A81AA5"/>
    <w:rsid w:val="00A83CB9"/>
    <w:rsid w:val="00A86C32"/>
    <w:rsid w:val="00A871D3"/>
    <w:rsid w:val="00A90872"/>
    <w:rsid w:val="00A91A3F"/>
    <w:rsid w:val="00A95ED4"/>
    <w:rsid w:val="00AA399E"/>
    <w:rsid w:val="00AA4F16"/>
    <w:rsid w:val="00AA5371"/>
    <w:rsid w:val="00AA5D9F"/>
    <w:rsid w:val="00AA72F9"/>
    <w:rsid w:val="00AA7D44"/>
    <w:rsid w:val="00AA7F74"/>
    <w:rsid w:val="00AB13D3"/>
    <w:rsid w:val="00AB182D"/>
    <w:rsid w:val="00AB254F"/>
    <w:rsid w:val="00AB31CC"/>
    <w:rsid w:val="00AB3213"/>
    <w:rsid w:val="00AB3424"/>
    <w:rsid w:val="00AB34A4"/>
    <w:rsid w:val="00AB4E5A"/>
    <w:rsid w:val="00AB51F6"/>
    <w:rsid w:val="00AB72D1"/>
    <w:rsid w:val="00AC0285"/>
    <w:rsid w:val="00AC0E81"/>
    <w:rsid w:val="00AC7795"/>
    <w:rsid w:val="00AD011E"/>
    <w:rsid w:val="00AD1658"/>
    <w:rsid w:val="00AD1D2A"/>
    <w:rsid w:val="00AD2BF2"/>
    <w:rsid w:val="00AD5544"/>
    <w:rsid w:val="00AD5D17"/>
    <w:rsid w:val="00AD5DE6"/>
    <w:rsid w:val="00AD61B1"/>
    <w:rsid w:val="00AD6CD1"/>
    <w:rsid w:val="00AE0852"/>
    <w:rsid w:val="00AE0E10"/>
    <w:rsid w:val="00AE105C"/>
    <w:rsid w:val="00AE12B3"/>
    <w:rsid w:val="00AE13ED"/>
    <w:rsid w:val="00AE1F79"/>
    <w:rsid w:val="00AE3894"/>
    <w:rsid w:val="00AE38E4"/>
    <w:rsid w:val="00AE48C1"/>
    <w:rsid w:val="00AE6384"/>
    <w:rsid w:val="00AE720B"/>
    <w:rsid w:val="00AE7B0D"/>
    <w:rsid w:val="00AF201C"/>
    <w:rsid w:val="00AF2606"/>
    <w:rsid w:val="00AF3587"/>
    <w:rsid w:val="00AF3A9B"/>
    <w:rsid w:val="00AF3DFD"/>
    <w:rsid w:val="00AF49E3"/>
    <w:rsid w:val="00AF4C0C"/>
    <w:rsid w:val="00AF590F"/>
    <w:rsid w:val="00AF6D79"/>
    <w:rsid w:val="00B0056B"/>
    <w:rsid w:val="00B01401"/>
    <w:rsid w:val="00B018BD"/>
    <w:rsid w:val="00B022D3"/>
    <w:rsid w:val="00B02922"/>
    <w:rsid w:val="00B05B7C"/>
    <w:rsid w:val="00B067B7"/>
    <w:rsid w:val="00B06C31"/>
    <w:rsid w:val="00B06FD7"/>
    <w:rsid w:val="00B074FC"/>
    <w:rsid w:val="00B110F9"/>
    <w:rsid w:val="00B11511"/>
    <w:rsid w:val="00B11B48"/>
    <w:rsid w:val="00B12671"/>
    <w:rsid w:val="00B1361A"/>
    <w:rsid w:val="00B14656"/>
    <w:rsid w:val="00B149C7"/>
    <w:rsid w:val="00B15E0D"/>
    <w:rsid w:val="00B15F31"/>
    <w:rsid w:val="00B16BBF"/>
    <w:rsid w:val="00B16E0E"/>
    <w:rsid w:val="00B1710E"/>
    <w:rsid w:val="00B1740A"/>
    <w:rsid w:val="00B17FD0"/>
    <w:rsid w:val="00B20293"/>
    <w:rsid w:val="00B209D6"/>
    <w:rsid w:val="00B24527"/>
    <w:rsid w:val="00B24ED3"/>
    <w:rsid w:val="00B24F9A"/>
    <w:rsid w:val="00B26F87"/>
    <w:rsid w:val="00B2709F"/>
    <w:rsid w:val="00B30648"/>
    <w:rsid w:val="00B31A7F"/>
    <w:rsid w:val="00B3359D"/>
    <w:rsid w:val="00B3512E"/>
    <w:rsid w:val="00B361A3"/>
    <w:rsid w:val="00B36E67"/>
    <w:rsid w:val="00B3755A"/>
    <w:rsid w:val="00B41590"/>
    <w:rsid w:val="00B429C6"/>
    <w:rsid w:val="00B42B40"/>
    <w:rsid w:val="00B43447"/>
    <w:rsid w:val="00B43D4F"/>
    <w:rsid w:val="00B446BD"/>
    <w:rsid w:val="00B44A4C"/>
    <w:rsid w:val="00B454CC"/>
    <w:rsid w:val="00B45574"/>
    <w:rsid w:val="00B45868"/>
    <w:rsid w:val="00B465B7"/>
    <w:rsid w:val="00B47C3C"/>
    <w:rsid w:val="00B506A9"/>
    <w:rsid w:val="00B50753"/>
    <w:rsid w:val="00B50F85"/>
    <w:rsid w:val="00B51374"/>
    <w:rsid w:val="00B5176A"/>
    <w:rsid w:val="00B51AAF"/>
    <w:rsid w:val="00B51EC0"/>
    <w:rsid w:val="00B51EF3"/>
    <w:rsid w:val="00B52091"/>
    <w:rsid w:val="00B523ED"/>
    <w:rsid w:val="00B52872"/>
    <w:rsid w:val="00B532C0"/>
    <w:rsid w:val="00B53EC1"/>
    <w:rsid w:val="00B544E0"/>
    <w:rsid w:val="00B5480D"/>
    <w:rsid w:val="00B54E1A"/>
    <w:rsid w:val="00B555A8"/>
    <w:rsid w:val="00B55BD7"/>
    <w:rsid w:val="00B566EB"/>
    <w:rsid w:val="00B567B8"/>
    <w:rsid w:val="00B5747D"/>
    <w:rsid w:val="00B61111"/>
    <w:rsid w:val="00B64A93"/>
    <w:rsid w:val="00B65015"/>
    <w:rsid w:val="00B653B8"/>
    <w:rsid w:val="00B6644C"/>
    <w:rsid w:val="00B70827"/>
    <w:rsid w:val="00B719E5"/>
    <w:rsid w:val="00B721CD"/>
    <w:rsid w:val="00B73625"/>
    <w:rsid w:val="00B73F2E"/>
    <w:rsid w:val="00B751AD"/>
    <w:rsid w:val="00B7520A"/>
    <w:rsid w:val="00B775AC"/>
    <w:rsid w:val="00B77E61"/>
    <w:rsid w:val="00B77FF2"/>
    <w:rsid w:val="00B80392"/>
    <w:rsid w:val="00B815D9"/>
    <w:rsid w:val="00B8231E"/>
    <w:rsid w:val="00B83494"/>
    <w:rsid w:val="00B84468"/>
    <w:rsid w:val="00B8468F"/>
    <w:rsid w:val="00B86092"/>
    <w:rsid w:val="00B901E4"/>
    <w:rsid w:val="00B92948"/>
    <w:rsid w:val="00B92B9D"/>
    <w:rsid w:val="00B93153"/>
    <w:rsid w:val="00B93690"/>
    <w:rsid w:val="00B96299"/>
    <w:rsid w:val="00B96ADC"/>
    <w:rsid w:val="00B96ECD"/>
    <w:rsid w:val="00BA0ABB"/>
    <w:rsid w:val="00BA1A76"/>
    <w:rsid w:val="00BA2921"/>
    <w:rsid w:val="00BA29F9"/>
    <w:rsid w:val="00BA40E6"/>
    <w:rsid w:val="00BA6121"/>
    <w:rsid w:val="00BA6F60"/>
    <w:rsid w:val="00BA7594"/>
    <w:rsid w:val="00BA7A3E"/>
    <w:rsid w:val="00BB0445"/>
    <w:rsid w:val="00BB0663"/>
    <w:rsid w:val="00BB0C88"/>
    <w:rsid w:val="00BB1B66"/>
    <w:rsid w:val="00BB55A3"/>
    <w:rsid w:val="00BB737E"/>
    <w:rsid w:val="00BC0B3B"/>
    <w:rsid w:val="00BC0C3C"/>
    <w:rsid w:val="00BC2041"/>
    <w:rsid w:val="00BC33D6"/>
    <w:rsid w:val="00BC4D28"/>
    <w:rsid w:val="00BC63C3"/>
    <w:rsid w:val="00BC6FD9"/>
    <w:rsid w:val="00BC7384"/>
    <w:rsid w:val="00BD0E7F"/>
    <w:rsid w:val="00BD3156"/>
    <w:rsid w:val="00BD5417"/>
    <w:rsid w:val="00BD5AEC"/>
    <w:rsid w:val="00BD6459"/>
    <w:rsid w:val="00BD64E7"/>
    <w:rsid w:val="00BD786A"/>
    <w:rsid w:val="00BD7F94"/>
    <w:rsid w:val="00BE1450"/>
    <w:rsid w:val="00BE19A9"/>
    <w:rsid w:val="00BE1AD5"/>
    <w:rsid w:val="00BE2B9D"/>
    <w:rsid w:val="00BE2FF1"/>
    <w:rsid w:val="00BE4267"/>
    <w:rsid w:val="00BE4E20"/>
    <w:rsid w:val="00BE6B22"/>
    <w:rsid w:val="00BF12FE"/>
    <w:rsid w:val="00BF1D00"/>
    <w:rsid w:val="00BF23AB"/>
    <w:rsid w:val="00BF27ED"/>
    <w:rsid w:val="00BF2FFE"/>
    <w:rsid w:val="00BF3119"/>
    <w:rsid w:val="00BF407E"/>
    <w:rsid w:val="00BF58D3"/>
    <w:rsid w:val="00BF6DEC"/>
    <w:rsid w:val="00BF7AF3"/>
    <w:rsid w:val="00C001E4"/>
    <w:rsid w:val="00C0166B"/>
    <w:rsid w:val="00C01A60"/>
    <w:rsid w:val="00C021CF"/>
    <w:rsid w:val="00C03973"/>
    <w:rsid w:val="00C05904"/>
    <w:rsid w:val="00C063C2"/>
    <w:rsid w:val="00C06611"/>
    <w:rsid w:val="00C068C3"/>
    <w:rsid w:val="00C06909"/>
    <w:rsid w:val="00C11DB5"/>
    <w:rsid w:val="00C11EB2"/>
    <w:rsid w:val="00C125E2"/>
    <w:rsid w:val="00C13822"/>
    <w:rsid w:val="00C14CAA"/>
    <w:rsid w:val="00C159FA"/>
    <w:rsid w:val="00C15BEE"/>
    <w:rsid w:val="00C160FF"/>
    <w:rsid w:val="00C16967"/>
    <w:rsid w:val="00C17B16"/>
    <w:rsid w:val="00C17E64"/>
    <w:rsid w:val="00C20C2C"/>
    <w:rsid w:val="00C20E90"/>
    <w:rsid w:val="00C21C0F"/>
    <w:rsid w:val="00C23E82"/>
    <w:rsid w:val="00C248DA"/>
    <w:rsid w:val="00C279E1"/>
    <w:rsid w:val="00C27AF4"/>
    <w:rsid w:val="00C300FA"/>
    <w:rsid w:val="00C30D26"/>
    <w:rsid w:val="00C3117A"/>
    <w:rsid w:val="00C32242"/>
    <w:rsid w:val="00C34062"/>
    <w:rsid w:val="00C3426C"/>
    <w:rsid w:val="00C3493B"/>
    <w:rsid w:val="00C35974"/>
    <w:rsid w:val="00C35F26"/>
    <w:rsid w:val="00C36573"/>
    <w:rsid w:val="00C36908"/>
    <w:rsid w:val="00C36938"/>
    <w:rsid w:val="00C36FD5"/>
    <w:rsid w:val="00C377F7"/>
    <w:rsid w:val="00C3784E"/>
    <w:rsid w:val="00C42587"/>
    <w:rsid w:val="00C42C09"/>
    <w:rsid w:val="00C42C1C"/>
    <w:rsid w:val="00C4482F"/>
    <w:rsid w:val="00C44960"/>
    <w:rsid w:val="00C45351"/>
    <w:rsid w:val="00C47DD5"/>
    <w:rsid w:val="00C521DE"/>
    <w:rsid w:val="00C52A3A"/>
    <w:rsid w:val="00C53E96"/>
    <w:rsid w:val="00C562D8"/>
    <w:rsid w:val="00C56B09"/>
    <w:rsid w:val="00C57E32"/>
    <w:rsid w:val="00C6020B"/>
    <w:rsid w:val="00C604E1"/>
    <w:rsid w:val="00C63411"/>
    <w:rsid w:val="00C64441"/>
    <w:rsid w:val="00C65E14"/>
    <w:rsid w:val="00C668B1"/>
    <w:rsid w:val="00C669D2"/>
    <w:rsid w:val="00C66CD3"/>
    <w:rsid w:val="00C66F63"/>
    <w:rsid w:val="00C679AE"/>
    <w:rsid w:val="00C70467"/>
    <w:rsid w:val="00C70753"/>
    <w:rsid w:val="00C70C8D"/>
    <w:rsid w:val="00C70F07"/>
    <w:rsid w:val="00C72213"/>
    <w:rsid w:val="00C736D9"/>
    <w:rsid w:val="00C748CA"/>
    <w:rsid w:val="00C75916"/>
    <w:rsid w:val="00C77277"/>
    <w:rsid w:val="00C80293"/>
    <w:rsid w:val="00C810B0"/>
    <w:rsid w:val="00C82FA9"/>
    <w:rsid w:val="00C83178"/>
    <w:rsid w:val="00C852BD"/>
    <w:rsid w:val="00C8659A"/>
    <w:rsid w:val="00C867FF"/>
    <w:rsid w:val="00C868BC"/>
    <w:rsid w:val="00C86E42"/>
    <w:rsid w:val="00C86E49"/>
    <w:rsid w:val="00C90217"/>
    <w:rsid w:val="00C904A0"/>
    <w:rsid w:val="00C90E2D"/>
    <w:rsid w:val="00C910DB"/>
    <w:rsid w:val="00C91C11"/>
    <w:rsid w:val="00C932DF"/>
    <w:rsid w:val="00C93DA9"/>
    <w:rsid w:val="00C95444"/>
    <w:rsid w:val="00C95DDA"/>
    <w:rsid w:val="00C95E7A"/>
    <w:rsid w:val="00C96153"/>
    <w:rsid w:val="00C96567"/>
    <w:rsid w:val="00C96665"/>
    <w:rsid w:val="00CA12D8"/>
    <w:rsid w:val="00CA1A4A"/>
    <w:rsid w:val="00CA2087"/>
    <w:rsid w:val="00CA2294"/>
    <w:rsid w:val="00CA2BC0"/>
    <w:rsid w:val="00CA2F69"/>
    <w:rsid w:val="00CA30EA"/>
    <w:rsid w:val="00CA4618"/>
    <w:rsid w:val="00CA5153"/>
    <w:rsid w:val="00CA57D7"/>
    <w:rsid w:val="00CA5F7D"/>
    <w:rsid w:val="00CA7283"/>
    <w:rsid w:val="00CA7BAA"/>
    <w:rsid w:val="00CB048D"/>
    <w:rsid w:val="00CB0F9B"/>
    <w:rsid w:val="00CB1055"/>
    <w:rsid w:val="00CB210E"/>
    <w:rsid w:val="00CB4783"/>
    <w:rsid w:val="00CB6E96"/>
    <w:rsid w:val="00CB7BE0"/>
    <w:rsid w:val="00CC015D"/>
    <w:rsid w:val="00CC0FCB"/>
    <w:rsid w:val="00CC0FDC"/>
    <w:rsid w:val="00CC1EBB"/>
    <w:rsid w:val="00CC1FAA"/>
    <w:rsid w:val="00CC2482"/>
    <w:rsid w:val="00CC36BB"/>
    <w:rsid w:val="00CC37E0"/>
    <w:rsid w:val="00CC3B3A"/>
    <w:rsid w:val="00CC4361"/>
    <w:rsid w:val="00CC44BB"/>
    <w:rsid w:val="00CC59F3"/>
    <w:rsid w:val="00CC645B"/>
    <w:rsid w:val="00CC6627"/>
    <w:rsid w:val="00CC7CB8"/>
    <w:rsid w:val="00CD01ED"/>
    <w:rsid w:val="00CD18D6"/>
    <w:rsid w:val="00CD2158"/>
    <w:rsid w:val="00CD2612"/>
    <w:rsid w:val="00CD5613"/>
    <w:rsid w:val="00CD7ED2"/>
    <w:rsid w:val="00CE00EA"/>
    <w:rsid w:val="00CE0115"/>
    <w:rsid w:val="00CE2AA3"/>
    <w:rsid w:val="00CE3018"/>
    <w:rsid w:val="00CE43E8"/>
    <w:rsid w:val="00CE6A9F"/>
    <w:rsid w:val="00CE721C"/>
    <w:rsid w:val="00CE7674"/>
    <w:rsid w:val="00CF0769"/>
    <w:rsid w:val="00CF0D3D"/>
    <w:rsid w:val="00CF13F4"/>
    <w:rsid w:val="00CF2180"/>
    <w:rsid w:val="00CF2AE1"/>
    <w:rsid w:val="00CF3E46"/>
    <w:rsid w:val="00CF3EDD"/>
    <w:rsid w:val="00CF4275"/>
    <w:rsid w:val="00CF6BFE"/>
    <w:rsid w:val="00D00121"/>
    <w:rsid w:val="00D019F4"/>
    <w:rsid w:val="00D025CA"/>
    <w:rsid w:val="00D02C79"/>
    <w:rsid w:val="00D04432"/>
    <w:rsid w:val="00D04C1B"/>
    <w:rsid w:val="00D0644D"/>
    <w:rsid w:val="00D0692D"/>
    <w:rsid w:val="00D07484"/>
    <w:rsid w:val="00D109B8"/>
    <w:rsid w:val="00D1292D"/>
    <w:rsid w:val="00D132B6"/>
    <w:rsid w:val="00D141E1"/>
    <w:rsid w:val="00D225AF"/>
    <w:rsid w:val="00D22A8C"/>
    <w:rsid w:val="00D230F0"/>
    <w:rsid w:val="00D23B62"/>
    <w:rsid w:val="00D23F7D"/>
    <w:rsid w:val="00D24623"/>
    <w:rsid w:val="00D24879"/>
    <w:rsid w:val="00D26DAA"/>
    <w:rsid w:val="00D311D0"/>
    <w:rsid w:val="00D321DD"/>
    <w:rsid w:val="00D32889"/>
    <w:rsid w:val="00D33F94"/>
    <w:rsid w:val="00D348DE"/>
    <w:rsid w:val="00D34A57"/>
    <w:rsid w:val="00D34A7D"/>
    <w:rsid w:val="00D34AFD"/>
    <w:rsid w:val="00D352C9"/>
    <w:rsid w:val="00D378AE"/>
    <w:rsid w:val="00D4040D"/>
    <w:rsid w:val="00D404C0"/>
    <w:rsid w:val="00D41A9F"/>
    <w:rsid w:val="00D42DCF"/>
    <w:rsid w:val="00D430F2"/>
    <w:rsid w:val="00D4321B"/>
    <w:rsid w:val="00D4450F"/>
    <w:rsid w:val="00D4564A"/>
    <w:rsid w:val="00D47296"/>
    <w:rsid w:val="00D5027A"/>
    <w:rsid w:val="00D50E07"/>
    <w:rsid w:val="00D5105A"/>
    <w:rsid w:val="00D51949"/>
    <w:rsid w:val="00D535EE"/>
    <w:rsid w:val="00D539EC"/>
    <w:rsid w:val="00D53BBD"/>
    <w:rsid w:val="00D54768"/>
    <w:rsid w:val="00D54C08"/>
    <w:rsid w:val="00D555B7"/>
    <w:rsid w:val="00D55D53"/>
    <w:rsid w:val="00D55DB7"/>
    <w:rsid w:val="00D56813"/>
    <w:rsid w:val="00D56D03"/>
    <w:rsid w:val="00D57784"/>
    <w:rsid w:val="00D60FE6"/>
    <w:rsid w:val="00D619F9"/>
    <w:rsid w:val="00D624A5"/>
    <w:rsid w:val="00D63D77"/>
    <w:rsid w:val="00D65274"/>
    <w:rsid w:val="00D655E1"/>
    <w:rsid w:val="00D660C9"/>
    <w:rsid w:val="00D67209"/>
    <w:rsid w:val="00D70FBC"/>
    <w:rsid w:val="00D717C9"/>
    <w:rsid w:val="00D7273F"/>
    <w:rsid w:val="00D73091"/>
    <w:rsid w:val="00D73EDC"/>
    <w:rsid w:val="00D745B7"/>
    <w:rsid w:val="00D7467C"/>
    <w:rsid w:val="00D74EE9"/>
    <w:rsid w:val="00D774CE"/>
    <w:rsid w:val="00D77711"/>
    <w:rsid w:val="00D779BA"/>
    <w:rsid w:val="00D77E4E"/>
    <w:rsid w:val="00D80044"/>
    <w:rsid w:val="00D81896"/>
    <w:rsid w:val="00D81D4A"/>
    <w:rsid w:val="00D825BA"/>
    <w:rsid w:val="00D834D6"/>
    <w:rsid w:val="00D83879"/>
    <w:rsid w:val="00D90AC9"/>
    <w:rsid w:val="00D91554"/>
    <w:rsid w:val="00D91A9A"/>
    <w:rsid w:val="00D92F50"/>
    <w:rsid w:val="00D93259"/>
    <w:rsid w:val="00D95F67"/>
    <w:rsid w:val="00D96F84"/>
    <w:rsid w:val="00DA1277"/>
    <w:rsid w:val="00DA16E5"/>
    <w:rsid w:val="00DA2E98"/>
    <w:rsid w:val="00DA32B4"/>
    <w:rsid w:val="00DA3C4E"/>
    <w:rsid w:val="00DA4393"/>
    <w:rsid w:val="00DA481E"/>
    <w:rsid w:val="00DA6B03"/>
    <w:rsid w:val="00DA6CE7"/>
    <w:rsid w:val="00DA704D"/>
    <w:rsid w:val="00DA725B"/>
    <w:rsid w:val="00DA7DAE"/>
    <w:rsid w:val="00DB0985"/>
    <w:rsid w:val="00DB14BA"/>
    <w:rsid w:val="00DB1D3C"/>
    <w:rsid w:val="00DB1E5E"/>
    <w:rsid w:val="00DB2418"/>
    <w:rsid w:val="00DB288E"/>
    <w:rsid w:val="00DB3257"/>
    <w:rsid w:val="00DB3827"/>
    <w:rsid w:val="00DB4091"/>
    <w:rsid w:val="00DB4343"/>
    <w:rsid w:val="00DB4797"/>
    <w:rsid w:val="00DB53A0"/>
    <w:rsid w:val="00DB55D4"/>
    <w:rsid w:val="00DB720D"/>
    <w:rsid w:val="00DC028F"/>
    <w:rsid w:val="00DC2A0E"/>
    <w:rsid w:val="00DC39D4"/>
    <w:rsid w:val="00DC42FE"/>
    <w:rsid w:val="00DC4B42"/>
    <w:rsid w:val="00DC4DC0"/>
    <w:rsid w:val="00DC6B2B"/>
    <w:rsid w:val="00DC6F7F"/>
    <w:rsid w:val="00DC78A4"/>
    <w:rsid w:val="00DD02FE"/>
    <w:rsid w:val="00DD09AE"/>
    <w:rsid w:val="00DD3A05"/>
    <w:rsid w:val="00DD60D3"/>
    <w:rsid w:val="00DD62C7"/>
    <w:rsid w:val="00DD6AFD"/>
    <w:rsid w:val="00DE4AA6"/>
    <w:rsid w:val="00DE5461"/>
    <w:rsid w:val="00DE55F8"/>
    <w:rsid w:val="00DF068A"/>
    <w:rsid w:val="00DF1B1E"/>
    <w:rsid w:val="00DF1F01"/>
    <w:rsid w:val="00DF23D2"/>
    <w:rsid w:val="00DF3C66"/>
    <w:rsid w:val="00DF4563"/>
    <w:rsid w:val="00DF475E"/>
    <w:rsid w:val="00DF5521"/>
    <w:rsid w:val="00DF57C0"/>
    <w:rsid w:val="00DF6ABF"/>
    <w:rsid w:val="00DF6E5F"/>
    <w:rsid w:val="00E00AE9"/>
    <w:rsid w:val="00E01C8C"/>
    <w:rsid w:val="00E02834"/>
    <w:rsid w:val="00E02D91"/>
    <w:rsid w:val="00E0358C"/>
    <w:rsid w:val="00E03AA5"/>
    <w:rsid w:val="00E03F03"/>
    <w:rsid w:val="00E04AE5"/>
    <w:rsid w:val="00E05CB0"/>
    <w:rsid w:val="00E05DC0"/>
    <w:rsid w:val="00E061A7"/>
    <w:rsid w:val="00E0699A"/>
    <w:rsid w:val="00E076D0"/>
    <w:rsid w:val="00E10C75"/>
    <w:rsid w:val="00E1209A"/>
    <w:rsid w:val="00E13C2E"/>
    <w:rsid w:val="00E1422A"/>
    <w:rsid w:val="00E14505"/>
    <w:rsid w:val="00E14915"/>
    <w:rsid w:val="00E155EE"/>
    <w:rsid w:val="00E155F0"/>
    <w:rsid w:val="00E15BC4"/>
    <w:rsid w:val="00E1615E"/>
    <w:rsid w:val="00E163E5"/>
    <w:rsid w:val="00E17B1B"/>
    <w:rsid w:val="00E21031"/>
    <w:rsid w:val="00E21548"/>
    <w:rsid w:val="00E21A7A"/>
    <w:rsid w:val="00E21AD7"/>
    <w:rsid w:val="00E22113"/>
    <w:rsid w:val="00E23249"/>
    <w:rsid w:val="00E236F6"/>
    <w:rsid w:val="00E23981"/>
    <w:rsid w:val="00E23A55"/>
    <w:rsid w:val="00E24382"/>
    <w:rsid w:val="00E24623"/>
    <w:rsid w:val="00E25139"/>
    <w:rsid w:val="00E27DD7"/>
    <w:rsid w:val="00E31FD7"/>
    <w:rsid w:val="00E3295C"/>
    <w:rsid w:val="00E32AC3"/>
    <w:rsid w:val="00E3319A"/>
    <w:rsid w:val="00E3346F"/>
    <w:rsid w:val="00E3409B"/>
    <w:rsid w:val="00E34E6C"/>
    <w:rsid w:val="00E40E58"/>
    <w:rsid w:val="00E40FCA"/>
    <w:rsid w:val="00E41D8F"/>
    <w:rsid w:val="00E41EA1"/>
    <w:rsid w:val="00E42118"/>
    <w:rsid w:val="00E42C3A"/>
    <w:rsid w:val="00E4324D"/>
    <w:rsid w:val="00E434DA"/>
    <w:rsid w:val="00E44290"/>
    <w:rsid w:val="00E44760"/>
    <w:rsid w:val="00E450E2"/>
    <w:rsid w:val="00E45A40"/>
    <w:rsid w:val="00E45D4A"/>
    <w:rsid w:val="00E462B6"/>
    <w:rsid w:val="00E466EF"/>
    <w:rsid w:val="00E5015D"/>
    <w:rsid w:val="00E51AAB"/>
    <w:rsid w:val="00E521D5"/>
    <w:rsid w:val="00E52A7C"/>
    <w:rsid w:val="00E52B92"/>
    <w:rsid w:val="00E531BE"/>
    <w:rsid w:val="00E53FF8"/>
    <w:rsid w:val="00E56291"/>
    <w:rsid w:val="00E56AD3"/>
    <w:rsid w:val="00E56D8B"/>
    <w:rsid w:val="00E56EBC"/>
    <w:rsid w:val="00E6274F"/>
    <w:rsid w:val="00E64529"/>
    <w:rsid w:val="00E65ED5"/>
    <w:rsid w:val="00E67D4F"/>
    <w:rsid w:val="00E72852"/>
    <w:rsid w:val="00E728A5"/>
    <w:rsid w:val="00E7309E"/>
    <w:rsid w:val="00E73FBE"/>
    <w:rsid w:val="00E74AE0"/>
    <w:rsid w:val="00E75000"/>
    <w:rsid w:val="00E7557D"/>
    <w:rsid w:val="00E75B53"/>
    <w:rsid w:val="00E76194"/>
    <w:rsid w:val="00E77218"/>
    <w:rsid w:val="00E77D8B"/>
    <w:rsid w:val="00E80674"/>
    <w:rsid w:val="00E8280B"/>
    <w:rsid w:val="00E828FD"/>
    <w:rsid w:val="00E8351E"/>
    <w:rsid w:val="00E83EF8"/>
    <w:rsid w:val="00E84265"/>
    <w:rsid w:val="00E86C80"/>
    <w:rsid w:val="00E873A7"/>
    <w:rsid w:val="00E87832"/>
    <w:rsid w:val="00E90325"/>
    <w:rsid w:val="00E917A8"/>
    <w:rsid w:val="00E9247C"/>
    <w:rsid w:val="00E9402A"/>
    <w:rsid w:val="00E94423"/>
    <w:rsid w:val="00E945A1"/>
    <w:rsid w:val="00E962C1"/>
    <w:rsid w:val="00E97FB7"/>
    <w:rsid w:val="00EA18B8"/>
    <w:rsid w:val="00EA1B6E"/>
    <w:rsid w:val="00EA1D40"/>
    <w:rsid w:val="00EA1E6B"/>
    <w:rsid w:val="00EA24B3"/>
    <w:rsid w:val="00EA3FAE"/>
    <w:rsid w:val="00EA4978"/>
    <w:rsid w:val="00EA5004"/>
    <w:rsid w:val="00EA5413"/>
    <w:rsid w:val="00EA625F"/>
    <w:rsid w:val="00EA7FC6"/>
    <w:rsid w:val="00EB2032"/>
    <w:rsid w:val="00EC1373"/>
    <w:rsid w:val="00EC17D2"/>
    <w:rsid w:val="00EC29C2"/>
    <w:rsid w:val="00EC446C"/>
    <w:rsid w:val="00EC5FE0"/>
    <w:rsid w:val="00EC651B"/>
    <w:rsid w:val="00EC65DB"/>
    <w:rsid w:val="00EC6B25"/>
    <w:rsid w:val="00EC7E1A"/>
    <w:rsid w:val="00ED0F9C"/>
    <w:rsid w:val="00ED3DBC"/>
    <w:rsid w:val="00ED51E8"/>
    <w:rsid w:val="00ED57EA"/>
    <w:rsid w:val="00ED7C3D"/>
    <w:rsid w:val="00ED7CF8"/>
    <w:rsid w:val="00EE02E7"/>
    <w:rsid w:val="00EE0929"/>
    <w:rsid w:val="00EE2696"/>
    <w:rsid w:val="00EE2FA8"/>
    <w:rsid w:val="00EE2FC3"/>
    <w:rsid w:val="00EE31CA"/>
    <w:rsid w:val="00EE399A"/>
    <w:rsid w:val="00EE3AB7"/>
    <w:rsid w:val="00EE5064"/>
    <w:rsid w:val="00EE5547"/>
    <w:rsid w:val="00EE5F8E"/>
    <w:rsid w:val="00EF095D"/>
    <w:rsid w:val="00EF0D21"/>
    <w:rsid w:val="00EF2AA3"/>
    <w:rsid w:val="00EF33FF"/>
    <w:rsid w:val="00EF3AA7"/>
    <w:rsid w:val="00EF42B7"/>
    <w:rsid w:val="00EF5BBA"/>
    <w:rsid w:val="00EF5CDA"/>
    <w:rsid w:val="00EF6A0A"/>
    <w:rsid w:val="00F00685"/>
    <w:rsid w:val="00F008B5"/>
    <w:rsid w:val="00F00930"/>
    <w:rsid w:val="00F00949"/>
    <w:rsid w:val="00F00E26"/>
    <w:rsid w:val="00F01C6F"/>
    <w:rsid w:val="00F025F6"/>
    <w:rsid w:val="00F0297D"/>
    <w:rsid w:val="00F041A3"/>
    <w:rsid w:val="00F04EA2"/>
    <w:rsid w:val="00F05643"/>
    <w:rsid w:val="00F06511"/>
    <w:rsid w:val="00F0691F"/>
    <w:rsid w:val="00F06968"/>
    <w:rsid w:val="00F06C7C"/>
    <w:rsid w:val="00F070AD"/>
    <w:rsid w:val="00F107A0"/>
    <w:rsid w:val="00F108B1"/>
    <w:rsid w:val="00F10FC6"/>
    <w:rsid w:val="00F10FC9"/>
    <w:rsid w:val="00F11D89"/>
    <w:rsid w:val="00F13B69"/>
    <w:rsid w:val="00F147A1"/>
    <w:rsid w:val="00F169DD"/>
    <w:rsid w:val="00F16CE1"/>
    <w:rsid w:val="00F20457"/>
    <w:rsid w:val="00F22789"/>
    <w:rsid w:val="00F2282E"/>
    <w:rsid w:val="00F229CF"/>
    <w:rsid w:val="00F22AEF"/>
    <w:rsid w:val="00F23070"/>
    <w:rsid w:val="00F2403C"/>
    <w:rsid w:val="00F24D51"/>
    <w:rsid w:val="00F24EA4"/>
    <w:rsid w:val="00F257CF"/>
    <w:rsid w:val="00F26424"/>
    <w:rsid w:val="00F27902"/>
    <w:rsid w:val="00F27FC4"/>
    <w:rsid w:val="00F30A88"/>
    <w:rsid w:val="00F30D42"/>
    <w:rsid w:val="00F313BB"/>
    <w:rsid w:val="00F32473"/>
    <w:rsid w:val="00F33D0D"/>
    <w:rsid w:val="00F35B6B"/>
    <w:rsid w:val="00F360F7"/>
    <w:rsid w:val="00F37007"/>
    <w:rsid w:val="00F37181"/>
    <w:rsid w:val="00F371B2"/>
    <w:rsid w:val="00F4020B"/>
    <w:rsid w:val="00F40587"/>
    <w:rsid w:val="00F40F08"/>
    <w:rsid w:val="00F428F0"/>
    <w:rsid w:val="00F457FB"/>
    <w:rsid w:val="00F46230"/>
    <w:rsid w:val="00F46796"/>
    <w:rsid w:val="00F4696C"/>
    <w:rsid w:val="00F46AFB"/>
    <w:rsid w:val="00F47975"/>
    <w:rsid w:val="00F509E6"/>
    <w:rsid w:val="00F52BD8"/>
    <w:rsid w:val="00F54410"/>
    <w:rsid w:val="00F546B5"/>
    <w:rsid w:val="00F54B1B"/>
    <w:rsid w:val="00F55117"/>
    <w:rsid w:val="00F558C4"/>
    <w:rsid w:val="00F5630A"/>
    <w:rsid w:val="00F56C9D"/>
    <w:rsid w:val="00F5751C"/>
    <w:rsid w:val="00F605D9"/>
    <w:rsid w:val="00F6063E"/>
    <w:rsid w:val="00F62C48"/>
    <w:rsid w:val="00F63096"/>
    <w:rsid w:val="00F63BF7"/>
    <w:rsid w:val="00F64048"/>
    <w:rsid w:val="00F643BC"/>
    <w:rsid w:val="00F653EE"/>
    <w:rsid w:val="00F655AB"/>
    <w:rsid w:val="00F66E9D"/>
    <w:rsid w:val="00F67C11"/>
    <w:rsid w:val="00F70223"/>
    <w:rsid w:val="00F71A7B"/>
    <w:rsid w:val="00F726A5"/>
    <w:rsid w:val="00F7340D"/>
    <w:rsid w:val="00F73B54"/>
    <w:rsid w:val="00F74DA5"/>
    <w:rsid w:val="00F74DE3"/>
    <w:rsid w:val="00F75CEB"/>
    <w:rsid w:val="00F75EC0"/>
    <w:rsid w:val="00F76335"/>
    <w:rsid w:val="00F77748"/>
    <w:rsid w:val="00F81CF6"/>
    <w:rsid w:val="00F84E34"/>
    <w:rsid w:val="00F8558E"/>
    <w:rsid w:val="00F86A1E"/>
    <w:rsid w:val="00F876C0"/>
    <w:rsid w:val="00F876DE"/>
    <w:rsid w:val="00F91902"/>
    <w:rsid w:val="00F941E1"/>
    <w:rsid w:val="00F95217"/>
    <w:rsid w:val="00F95F61"/>
    <w:rsid w:val="00F96F89"/>
    <w:rsid w:val="00FA0824"/>
    <w:rsid w:val="00FA0D3D"/>
    <w:rsid w:val="00FA1541"/>
    <w:rsid w:val="00FA1994"/>
    <w:rsid w:val="00FA3D6E"/>
    <w:rsid w:val="00FA527A"/>
    <w:rsid w:val="00FA6758"/>
    <w:rsid w:val="00FA75CC"/>
    <w:rsid w:val="00FA7797"/>
    <w:rsid w:val="00FA7F30"/>
    <w:rsid w:val="00FB1BE9"/>
    <w:rsid w:val="00FB5399"/>
    <w:rsid w:val="00FB75C8"/>
    <w:rsid w:val="00FB7AC5"/>
    <w:rsid w:val="00FC0DBC"/>
    <w:rsid w:val="00FC0DE6"/>
    <w:rsid w:val="00FC1753"/>
    <w:rsid w:val="00FC1FD1"/>
    <w:rsid w:val="00FC26DA"/>
    <w:rsid w:val="00FC306D"/>
    <w:rsid w:val="00FC4273"/>
    <w:rsid w:val="00FC440F"/>
    <w:rsid w:val="00FC460D"/>
    <w:rsid w:val="00FC4688"/>
    <w:rsid w:val="00FC4CC3"/>
    <w:rsid w:val="00FC7963"/>
    <w:rsid w:val="00FD0B09"/>
    <w:rsid w:val="00FD0D30"/>
    <w:rsid w:val="00FD0ED5"/>
    <w:rsid w:val="00FD198B"/>
    <w:rsid w:val="00FD2E43"/>
    <w:rsid w:val="00FD44AD"/>
    <w:rsid w:val="00FD4569"/>
    <w:rsid w:val="00FD6498"/>
    <w:rsid w:val="00FD66C1"/>
    <w:rsid w:val="00FD671A"/>
    <w:rsid w:val="00FD741B"/>
    <w:rsid w:val="00FD7EAF"/>
    <w:rsid w:val="00FE141A"/>
    <w:rsid w:val="00FE2D21"/>
    <w:rsid w:val="00FE2D30"/>
    <w:rsid w:val="00FE312A"/>
    <w:rsid w:val="00FE3667"/>
    <w:rsid w:val="00FE4F4A"/>
    <w:rsid w:val="00FE514B"/>
    <w:rsid w:val="00FE5151"/>
    <w:rsid w:val="00FE67F1"/>
    <w:rsid w:val="00FF1A17"/>
    <w:rsid w:val="00FF1B99"/>
    <w:rsid w:val="00FF1F46"/>
    <w:rsid w:val="00FF2823"/>
    <w:rsid w:val="00FF2FBD"/>
    <w:rsid w:val="00FF3859"/>
    <w:rsid w:val="00FF3E53"/>
    <w:rsid w:val="00FF4460"/>
    <w:rsid w:val="00FF5042"/>
    <w:rsid w:val="00FF5BE2"/>
    <w:rsid w:val="00FF7810"/>
    <w:rsid w:val="00FF796A"/>
    <w:rsid w:val="00FF7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9723462"/>
  <w15:docId w15:val="{0787AFC7-D121-F447-B932-E008E6727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71BD5"/>
    <w:pPr>
      <w:suppressAutoHyphens/>
      <w:spacing w:line="380" w:lineRule="atLeast"/>
    </w:pPr>
    <w:rPr>
      <w:rFonts w:ascii="Arial" w:hAnsi="Arial"/>
      <w:sz w:val="22"/>
    </w:rPr>
  </w:style>
  <w:style w:type="paragraph" w:styleId="Heading1">
    <w:name w:val="heading 1"/>
    <w:basedOn w:val="Normal"/>
    <w:next w:val="Text"/>
    <w:link w:val="Heading1Char"/>
    <w:autoRedefine/>
    <w:qFormat/>
    <w:rsid w:val="00E4324D"/>
    <w:pPr>
      <w:keepNext/>
      <w:spacing w:after="100" w:line="300" w:lineRule="atLeast"/>
      <w:outlineLvl w:val="0"/>
    </w:pPr>
    <w:rPr>
      <w:b/>
    </w:rPr>
  </w:style>
  <w:style w:type="paragraph" w:styleId="Heading2">
    <w:name w:val="heading 2"/>
    <w:basedOn w:val="Heading1"/>
    <w:next w:val="Text"/>
    <w:autoRedefine/>
    <w:qFormat/>
    <w:rsid w:val="00192B18"/>
    <w:pPr>
      <w:tabs>
        <w:tab w:val="left" w:pos="1152"/>
      </w:tabs>
      <w:spacing w:before="120" w:after="120"/>
      <w:outlineLvl w:val="1"/>
    </w:pPr>
  </w:style>
  <w:style w:type="paragraph" w:styleId="Heading3">
    <w:name w:val="heading 3"/>
    <w:basedOn w:val="Heading2"/>
    <w:next w:val="Text"/>
    <w:autoRedefine/>
    <w:qFormat/>
    <w:rsid w:val="00A1350B"/>
    <w:pPr>
      <w:numPr>
        <w:ilvl w:val="2"/>
      </w:numPr>
      <w:outlineLvl w:val="2"/>
    </w:pPr>
    <w:rPr>
      <w:i/>
    </w:rPr>
  </w:style>
  <w:style w:type="paragraph" w:styleId="Heading4">
    <w:name w:val="heading 4"/>
    <w:basedOn w:val="Heading2"/>
    <w:next w:val="Text"/>
    <w:qFormat/>
    <w:rsid w:val="00A1350B"/>
    <w:pPr>
      <w:numPr>
        <w:ilvl w:val="3"/>
      </w:numPr>
      <w:outlineLvl w:val="3"/>
    </w:pPr>
  </w:style>
  <w:style w:type="paragraph" w:styleId="Heading5">
    <w:name w:val="heading 5"/>
    <w:basedOn w:val="Heading2"/>
    <w:next w:val="Text"/>
    <w:qFormat/>
    <w:rsid w:val="00A1350B"/>
    <w:pPr>
      <w:numPr>
        <w:ilvl w:val="4"/>
      </w:numPr>
      <w:outlineLvl w:val="4"/>
    </w:pPr>
  </w:style>
  <w:style w:type="paragraph" w:styleId="Heading6">
    <w:name w:val="heading 6"/>
    <w:basedOn w:val="Heading2"/>
    <w:next w:val="Text"/>
    <w:qFormat/>
    <w:rsid w:val="00A1350B"/>
    <w:pPr>
      <w:numPr>
        <w:ilvl w:val="5"/>
      </w:numPr>
      <w:outlineLvl w:val="5"/>
    </w:pPr>
  </w:style>
  <w:style w:type="paragraph" w:styleId="Heading7">
    <w:name w:val="heading 7"/>
    <w:basedOn w:val="Heading2"/>
    <w:next w:val="Text"/>
    <w:qFormat/>
    <w:rsid w:val="00A1350B"/>
    <w:pPr>
      <w:numPr>
        <w:ilvl w:val="6"/>
      </w:numPr>
      <w:outlineLvl w:val="6"/>
    </w:pPr>
  </w:style>
  <w:style w:type="paragraph" w:styleId="Heading8">
    <w:name w:val="heading 8"/>
    <w:basedOn w:val="Heading2"/>
    <w:next w:val="Text"/>
    <w:qFormat/>
    <w:rsid w:val="00A1350B"/>
    <w:pPr>
      <w:numPr>
        <w:ilvl w:val="7"/>
      </w:numPr>
      <w:outlineLvl w:val="7"/>
    </w:pPr>
  </w:style>
  <w:style w:type="paragraph" w:styleId="Heading9">
    <w:name w:val="heading 9"/>
    <w:basedOn w:val="Heading2"/>
    <w:next w:val="Text"/>
    <w:qFormat/>
    <w:rsid w:val="00A1350B"/>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autoRedefine/>
    <w:rsid w:val="00B1361A"/>
    <w:pPr>
      <w:spacing w:line="360" w:lineRule="auto"/>
    </w:pPr>
  </w:style>
  <w:style w:type="paragraph" w:customStyle="1" w:styleId="Style2">
    <w:name w:val="Style2"/>
    <w:basedOn w:val="Heading1"/>
    <w:autoRedefine/>
    <w:rsid w:val="00B1361A"/>
    <w:rPr>
      <w:rFonts w:ascii="Times New Roman" w:hAnsi="Times New Roman"/>
      <w:b w:val="0"/>
      <w:sz w:val="28"/>
    </w:rPr>
  </w:style>
  <w:style w:type="paragraph" w:customStyle="1" w:styleId="Style3">
    <w:name w:val="Style3"/>
    <w:basedOn w:val="Heading1"/>
    <w:autoRedefine/>
    <w:rsid w:val="00B1361A"/>
    <w:pPr>
      <w:spacing w:before="120"/>
    </w:pPr>
  </w:style>
  <w:style w:type="paragraph" w:styleId="BodyText2">
    <w:name w:val="Body Text 2"/>
    <w:basedOn w:val="Normal"/>
    <w:rsid w:val="00871BD5"/>
    <w:pPr>
      <w:spacing w:after="120" w:line="480" w:lineRule="auto"/>
    </w:pPr>
  </w:style>
  <w:style w:type="character" w:customStyle="1" w:styleId="Heading1Char">
    <w:name w:val="Heading 1 Char"/>
    <w:basedOn w:val="DefaultParagraphFont"/>
    <w:link w:val="Heading1"/>
    <w:rsid w:val="00E4324D"/>
    <w:rPr>
      <w:rFonts w:ascii="Arial" w:hAnsi="Arial"/>
      <w:b/>
      <w:sz w:val="22"/>
    </w:rPr>
  </w:style>
  <w:style w:type="character" w:customStyle="1" w:styleId="FootnoteTextChar1">
    <w:name w:val="FootnoteText Char1"/>
    <w:basedOn w:val="DefaultParagraphFont"/>
    <w:rsid w:val="00011AE7"/>
    <w:rPr>
      <w:rFonts w:ascii="Arial" w:hAnsi="Arial"/>
      <w:sz w:val="22"/>
      <w:lang w:val="en-US" w:eastAsia="en-US" w:bidi="ar-SA"/>
    </w:rPr>
  </w:style>
  <w:style w:type="paragraph" w:styleId="BlockText">
    <w:name w:val="Block Text"/>
    <w:basedOn w:val="Normal"/>
    <w:rsid w:val="00871BD5"/>
    <w:pPr>
      <w:suppressAutoHyphens w:val="0"/>
      <w:spacing w:after="120" w:line="240" w:lineRule="auto"/>
      <w:ind w:left="1440" w:right="1440"/>
    </w:pPr>
    <w:rPr>
      <w:rFonts w:ascii="Times New Roman" w:hAnsi="Times New Roman"/>
      <w:sz w:val="20"/>
    </w:rPr>
  </w:style>
  <w:style w:type="paragraph" w:styleId="BodyText">
    <w:name w:val="Body Text"/>
    <w:basedOn w:val="Normal"/>
    <w:rsid w:val="00871BD5"/>
    <w:pPr>
      <w:keepNext/>
      <w:keepLines/>
      <w:suppressAutoHyphens w:val="0"/>
      <w:spacing w:before="240" w:line="240" w:lineRule="auto"/>
      <w:jc w:val="center"/>
    </w:pPr>
    <w:rPr>
      <w:sz w:val="18"/>
    </w:rPr>
  </w:style>
  <w:style w:type="paragraph" w:styleId="BodyText3">
    <w:name w:val="Body Text 3"/>
    <w:basedOn w:val="Normal"/>
    <w:rsid w:val="00871BD5"/>
    <w:pPr>
      <w:suppressAutoHyphens w:val="0"/>
      <w:spacing w:line="240" w:lineRule="auto"/>
      <w:jc w:val="both"/>
    </w:pPr>
  </w:style>
  <w:style w:type="paragraph" w:styleId="BodyTextIndent">
    <w:name w:val="Body Text Indent"/>
    <w:basedOn w:val="Normal"/>
    <w:rsid w:val="00871BD5"/>
    <w:pPr>
      <w:suppressAutoHyphens w:val="0"/>
      <w:spacing w:line="240" w:lineRule="auto"/>
      <w:ind w:left="1620" w:hanging="720"/>
    </w:pPr>
    <w:rPr>
      <w:rFonts w:ascii="Times New Roman" w:hAnsi="Times New Roman"/>
      <w:sz w:val="24"/>
    </w:rPr>
  </w:style>
  <w:style w:type="paragraph" w:styleId="BodyTextIndent3">
    <w:name w:val="Body Text Indent 3"/>
    <w:basedOn w:val="Normal"/>
    <w:rsid w:val="00871BD5"/>
    <w:pPr>
      <w:suppressAutoHyphens w:val="0"/>
      <w:autoSpaceDE w:val="0"/>
      <w:autoSpaceDN w:val="0"/>
      <w:adjustRightInd w:val="0"/>
      <w:spacing w:line="240" w:lineRule="auto"/>
      <w:ind w:firstLine="360"/>
    </w:pPr>
    <w:rPr>
      <w:rFonts w:ascii="Times New Roman" w:hAnsi="Times New Roman"/>
      <w:sz w:val="24"/>
    </w:rPr>
  </w:style>
  <w:style w:type="paragraph" w:customStyle="1" w:styleId="Bull">
    <w:name w:val="Bull"/>
    <w:basedOn w:val="Normal"/>
    <w:next w:val="BlockText"/>
    <w:rsid w:val="00871BD5"/>
    <w:pPr>
      <w:suppressAutoHyphens w:val="0"/>
      <w:spacing w:line="240" w:lineRule="auto"/>
    </w:pPr>
  </w:style>
  <w:style w:type="paragraph" w:customStyle="1" w:styleId="bull0">
    <w:name w:val="bull"/>
    <w:basedOn w:val="Normal"/>
    <w:autoRedefine/>
    <w:rsid w:val="00871BD5"/>
    <w:pPr>
      <w:keepNext/>
      <w:suppressAutoHyphens w:val="0"/>
      <w:spacing w:line="240" w:lineRule="auto"/>
    </w:pPr>
    <w:rPr>
      <w:b/>
    </w:rPr>
  </w:style>
  <w:style w:type="paragraph" w:styleId="Caption">
    <w:name w:val="caption"/>
    <w:basedOn w:val="Normal"/>
    <w:next w:val="Normal"/>
    <w:qFormat/>
    <w:rsid w:val="00871BD5"/>
    <w:pPr>
      <w:keepNext/>
      <w:spacing w:before="300" w:after="100" w:line="300" w:lineRule="atLeast"/>
      <w:jc w:val="center"/>
    </w:pPr>
    <w:rPr>
      <w:b/>
    </w:rPr>
  </w:style>
  <w:style w:type="paragraph" w:customStyle="1" w:styleId="CenterBold">
    <w:name w:val="CenterBold"/>
    <w:basedOn w:val="Normal"/>
    <w:next w:val="Normal"/>
    <w:rsid w:val="00871BD5"/>
    <w:pPr>
      <w:keepLines/>
      <w:spacing w:before="300" w:after="300" w:line="300" w:lineRule="atLeast"/>
      <w:jc w:val="center"/>
    </w:pPr>
    <w:rPr>
      <w:b/>
    </w:rPr>
  </w:style>
  <w:style w:type="character" w:styleId="CommentReference">
    <w:name w:val="annotation reference"/>
    <w:basedOn w:val="DefaultParagraphFont"/>
    <w:uiPriority w:val="99"/>
    <w:semiHidden/>
    <w:rsid w:val="00871BD5"/>
    <w:rPr>
      <w:sz w:val="16"/>
      <w:szCs w:val="16"/>
    </w:rPr>
  </w:style>
  <w:style w:type="paragraph" w:styleId="CommentText">
    <w:name w:val="annotation text"/>
    <w:basedOn w:val="Normal"/>
    <w:link w:val="CommentTextChar"/>
    <w:uiPriority w:val="99"/>
    <w:semiHidden/>
    <w:rsid w:val="00871BD5"/>
    <w:rPr>
      <w:sz w:val="20"/>
    </w:rPr>
  </w:style>
  <w:style w:type="paragraph" w:styleId="CommentSubject">
    <w:name w:val="annotation subject"/>
    <w:basedOn w:val="CommentText"/>
    <w:next w:val="CommentText"/>
    <w:semiHidden/>
    <w:rsid w:val="00871BD5"/>
    <w:rPr>
      <w:b/>
      <w:bCs/>
    </w:rPr>
  </w:style>
  <w:style w:type="paragraph" w:customStyle="1" w:styleId="Confidential">
    <w:name w:val="Confidential"/>
    <w:basedOn w:val="Normal"/>
    <w:rsid w:val="00871BD5"/>
    <w:pPr>
      <w:keepLines/>
      <w:framePr w:w="5760" w:hSpace="187" w:vSpace="144" w:wrap="notBeside" w:vAnchor="page" w:hAnchor="text" w:xAlign="center" w:yAlign="center"/>
      <w:pBdr>
        <w:top w:val="single" w:sz="6" w:space="3" w:color="auto"/>
        <w:left w:val="single" w:sz="6" w:space="3" w:color="auto"/>
        <w:bottom w:val="single" w:sz="6" w:space="3" w:color="auto"/>
        <w:right w:val="single" w:sz="6" w:space="3" w:color="auto"/>
      </w:pBdr>
      <w:spacing w:after="200" w:line="300" w:lineRule="atLeast"/>
      <w:jc w:val="center"/>
    </w:pPr>
  </w:style>
  <w:style w:type="paragraph" w:customStyle="1" w:styleId="CoverPage">
    <w:name w:val="CoverPage"/>
    <w:basedOn w:val="CenterBold"/>
    <w:rsid w:val="00871BD5"/>
    <w:pPr>
      <w:spacing w:before="400" w:after="400"/>
    </w:pPr>
    <w:rPr>
      <w:sz w:val="24"/>
    </w:rPr>
  </w:style>
  <w:style w:type="paragraph" w:customStyle="1" w:styleId="DocumentLabel">
    <w:name w:val="Document Label"/>
    <w:next w:val="Normal"/>
    <w:rsid w:val="00871BD5"/>
    <w:pPr>
      <w:pBdr>
        <w:top w:val="single" w:sz="6" w:space="6" w:color="808080"/>
        <w:bottom w:val="single" w:sz="6" w:space="6" w:color="808080"/>
      </w:pBdr>
      <w:spacing w:line="240" w:lineRule="atLeast"/>
      <w:jc w:val="center"/>
    </w:pPr>
    <w:rPr>
      <w:rFonts w:ascii="Garamond" w:hAnsi="Garamond"/>
      <w:b/>
      <w:caps/>
      <w:spacing w:val="40"/>
      <w:sz w:val="18"/>
    </w:rPr>
  </w:style>
  <w:style w:type="character" w:styleId="EndnoteReference">
    <w:name w:val="endnote reference"/>
    <w:semiHidden/>
    <w:rsid w:val="00871BD5"/>
    <w:rPr>
      <w:vertAlign w:val="superscript"/>
    </w:rPr>
  </w:style>
  <w:style w:type="paragraph" w:styleId="EndnoteText">
    <w:name w:val="endnote text"/>
    <w:basedOn w:val="Normal"/>
    <w:semiHidden/>
    <w:rsid w:val="00871BD5"/>
    <w:pPr>
      <w:keepLines/>
      <w:spacing w:after="240" w:line="200" w:lineRule="atLeast"/>
      <w:jc w:val="both"/>
    </w:pPr>
    <w:rPr>
      <w:rFonts w:ascii="Garamond" w:hAnsi="Garamond"/>
      <w:sz w:val="18"/>
    </w:rPr>
  </w:style>
  <w:style w:type="paragraph" w:customStyle="1" w:styleId="Text">
    <w:name w:val="Text"/>
    <w:aliases w:val="本文,JP Body Text"/>
    <w:basedOn w:val="Normal"/>
    <w:link w:val="TextChar"/>
    <w:qFormat/>
    <w:rsid w:val="00C3426C"/>
    <w:pPr>
      <w:spacing w:before="120" w:after="120"/>
    </w:pPr>
  </w:style>
  <w:style w:type="paragraph" w:customStyle="1" w:styleId="FigureLegend">
    <w:name w:val="FigureLegend"/>
    <w:basedOn w:val="Text"/>
    <w:next w:val="Text"/>
    <w:link w:val="FigureLegendChar"/>
    <w:autoRedefine/>
    <w:rsid w:val="00375624"/>
    <w:pPr>
      <w:keepLines/>
      <w:spacing w:after="240" w:line="240" w:lineRule="auto"/>
    </w:pPr>
    <w:rPr>
      <w:szCs w:val="22"/>
    </w:rPr>
  </w:style>
  <w:style w:type="paragraph" w:customStyle="1" w:styleId="Heading6Bold">
    <w:name w:val="Heading 6Bold"/>
    <w:basedOn w:val="Normal"/>
    <w:next w:val="Text"/>
    <w:rsid w:val="00871BD5"/>
    <w:pPr>
      <w:spacing w:after="100" w:line="300" w:lineRule="atLeast"/>
    </w:pPr>
    <w:rPr>
      <w:b/>
    </w:rPr>
  </w:style>
  <w:style w:type="paragraph" w:customStyle="1" w:styleId="FlushLeftBold">
    <w:name w:val="FlushLeftBold"/>
    <w:basedOn w:val="Heading6Bold"/>
    <w:next w:val="Text"/>
    <w:rsid w:val="00871BD5"/>
    <w:pPr>
      <w:keepNext/>
      <w:keepLines/>
    </w:pPr>
  </w:style>
  <w:style w:type="paragraph" w:customStyle="1" w:styleId="FlushLeftbold0">
    <w:name w:val="FlushLeftbold"/>
    <w:basedOn w:val="Heading6Bold"/>
    <w:next w:val="Text"/>
    <w:rsid w:val="00871BD5"/>
    <w:pPr>
      <w:keepNext/>
      <w:keepLines/>
      <w:ind w:left="1440" w:hanging="1440"/>
    </w:pPr>
  </w:style>
  <w:style w:type="character" w:styleId="FollowedHyperlink">
    <w:name w:val="FollowedHyperlink"/>
    <w:basedOn w:val="DefaultParagraphFont"/>
    <w:rsid w:val="00871BD5"/>
    <w:rPr>
      <w:color w:val="800080"/>
      <w:u w:val="single"/>
    </w:rPr>
  </w:style>
  <w:style w:type="paragraph" w:styleId="Footer">
    <w:name w:val="footer"/>
    <w:basedOn w:val="Normal"/>
    <w:rsid w:val="00871BD5"/>
    <w:pPr>
      <w:keepLines/>
      <w:pBdr>
        <w:top w:val="single" w:sz="12" w:space="6" w:color="auto"/>
      </w:pBdr>
      <w:tabs>
        <w:tab w:val="center" w:pos="4320"/>
        <w:tab w:val="right" w:pos="8640"/>
      </w:tabs>
      <w:spacing w:line="200" w:lineRule="atLeast"/>
    </w:pPr>
    <w:rPr>
      <w:b/>
      <w:sz w:val="20"/>
    </w:rPr>
  </w:style>
  <w:style w:type="character" w:styleId="FootnoteReference">
    <w:name w:val="footnote reference"/>
    <w:basedOn w:val="DefaultParagraphFont"/>
    <w:semiHidden/>
    <w:rsid w:val="00871BD5"/>
    <w:rPr>
      <w:vertAlign w:val="superscript"/>
    </w:rPr>
  </w:style>
  <w:style w:type="paragraph" w:styleId="FootnoteText">
    <w:name w:val="footnote text"/>
    <w:basedOn w:val="Normal"/>
    <w:semiHidden/>
    <w:rsid w:val="00871BD5"/>
    <w:rPr>
      <w:snapToGrid w:val="0"/>
      <w:sz w:val="20"/>
    </w:rPr>
  </w:style>
  <w:style w:type="paragraph" w:customStyle="1" w:styleId="FootnoteLine">
    <w:name w:val="FootnoteLine"/>
    <w:basedOn w:val="Normal"/>
    <w:next w:val="Normal"/>
    <w:rsid w:val="00871BD5"/>
    <w:pPr>
      <w:pBdr>
        <w:bottom w:val="single" w:sz="6" w:space="6" w:color="auto"/>
      </w:pBdr>
      <w:spacing w:line="160" w:lineRule="atLeast"/>
    </w:pPr>
    <w:rPr>
      <w:sz w:val="16"/>
    </w:rPr>
  </w:style>
  <w:style w:type="paragraph" w:customStyle="1" w:styleId="TableLeftAlign">
    <w:name w:val="TableLeftAlign"/>
    <w:basedOn w:val="Normal"/>
    <w:link w:val="TableLeftAlignChar"/>
    <w:rsid w:val="00871BD5"/>
    <w:pPr>
      <w:spacing w:before="60" w:after="60" w:line="240" w:lineRule="exact"/>
    </w:pPr>
  </w:style>
  <w:style w:type="paragraph" w:customStyle="1" w:styleId="FootnoteText0">
    <w:name w:val="FootnoteText"/>
    <w:basedOn w:val="TableLeftAlign"/>
    <w:next w:val="Text"/>
    <w:link w:val="FootnoteTextChar"/>
    <w:rsid w:val="00871BD5"/>
    <w:pPr>
      <w:ind w:left="360" w:hanging="360"/>
    </w:pPr>
  </w:style>
  <w:style w:type="character" w:customStyle="1" w:styleId="TableLeftAlignChar">
    <w:name w:val="TableLeftAlign Char"/>
    <w:basedOn w:val="DefaultParagraphFont"/>
    <w:link w:val="TableLeftAlign"/>
    <w:rsid w:val="00871BD5"/>
    <w:rPr>
      <w:rFonts w:ascii="Arial" w:hAnsi="Arial"/>
      <w:sz w:val="22"/>
      <w:lang w:val="en-US" w:eastAsia="en-US" w:bidi="ar-SA"/>
    </w:rPr>
  </w:style>
  <w:style w:type="character" w:customStyle="1" w:styleId="FootnoteTextChar">
    <w:name w:val="FootnoteText Char"/>
    <w:basedOn w:val="TableLeftAlignChar"/>
    <w:link w:val="FootnoteText0"/>
    <w:rsid w:val="00871BD5"/>
    <w:rPr>
      <w:rFonts w:ascii="Arial" w:hAnsi="Arial"/>
      <w:sz w:val="22"/>
      <w:lang w:val="en-US" w:eastAsia="en-US" w:bidi="ar-SA"/>
    </w:rPr>
  </w:style>
  <w:style w:type="paragraph" w:styleId="Header">
    <w:name w:val="header"/>
    <w:basedOn w:val="Normal"/>
    <w:rsid w:val="00871BD5"/>
    <w:pPr>
      <w:keepLines/>
      <w:pBdr>
        <w:bottom w:val="single" w:sz="12" w:space="6" w:color="auto"/>
      </w:pBdr>
      <w:tabs>
        <w:tab w:val="right" w:pos="8640"/>
      </w:tabs>
      <w:spacing w:line="200" w:lineRule="atLeast"/>
    </w:pPr>
    <w:rPr>
      <w:b/>
      <w:sz w:val="20"/>
    </w:rPr>
  </w:style>
  <w:style w:type="paragraph" w:customStyle="1" w:styleId="Heading0">
    <w:name w:val="Heading 0"/>
    <w:basedOn w:val="Heading6Bold"/>
    <w:next w:val="Text"/>
    <w:autoRedefine/>
    <w:rsid w:val="00871BD5"/>
    <w:pPr>
      <w:pageBreakBefore/>
      <w:spacing w:after="240"/>
      <w:jc w:val="center"/>
    </w:pPr>
    <w:rPr>
      <w:spacing w:val="80"/>
      <w:sz w:val="24"/>
    </w:rPr>
  </w:style>
  <w:style w:type="paragraph" w:customStyle="1" w:styleId="Heading7BoldItalic">
    <w:name w:val="Heading 7BoldItalic"/>
    <w:basedOn w:val="Normal"/>
    <w:next w:val="Text"/>
    <w:rsid w:val="00871BD5"/>
    <w:pPr>
      <w:spacing w:after="100" w:line="300" w:lineRule="atLeast"/>
    </w:pPr>
    <w:rPr>
      <w:b/>
      <w:i/>
    </w:rPr>
  </w:style>
  <w:style w:type="paragraph" w:customStyle="1" w:styleId="Heading8Italic">
    <w:name w:val="Heading 8Italic"/>
    <w:basedOn w:val="Normal"/>
    <w:next w:val="Text"/>
    <w:rsid w:val="00871BD5"/>
    <w:pPr>
      <w:spacing w:after="100" w:line="300" w:lineRule="atLeast"/>
    </w:pPr>
    <w:rPr>
      <w:i/>
    </w:rPr>
  </w:style>
  <w:style w:type="character" w:styleId="Hyperlink">
    <w:name w:val="Hyperlink"/>
    <w:basedOn w:val="DefaultParagraphFont"/>
    <w:rsid w:val="00871BD5"/>
    <w:rPr>
      <w:color w:val="0000FF"/>
      <w:u w:val="single"/>
    </w:rPr>
  </w:style>
  <w:style w:type="paragraph" w:styleId="Index6">
    <w:name w:val="index 6"/>
    <w:basedOn w:val="Normal"/>
    <w:next w:val="Normal"/>
    <w:autoRedefine/>
    <w:semiHidden/>
    <w:rsid w:val="00871BD5"/>
    <w:pPr>
      <w:ind w:left="1200" w:hanging="200"/>
    </w:pPr>
    <w:rPr>
      <w:snapToGrid w:val="0"/>
      <w:sz w:val="20"/>
    </w:rPr>
  </w:style>
  <w:style w:type="paragraph" w:customStyle="1" w:styleId="Insert">
    <w:name w:val="Insert"/>
    <w:basedOn w:val="Normal"/>
    <w:next w:val="Text"/>
    <w:rsid w:val="00871BD5"/>
    <w:pPr>
      <w:spacing w:before="100" w:after="100"/>
      <w:jc w:val="center"/>
    </w:pPr>
  </w:style>
  <w:style w:type="paragraph" w:styleId="NormalIndent">
    <w:name w:val="Normal Indent"/>
    <w:basedOn w:val="Normal"/>
    <w:rsid w:val="00871BD5"/>
    <w:pPr>
      <w:ind w:left="720"/>
    </w:pPr>
    <w:rPr>
      <w:rFonts w:ascii="Garamond" w:hAnsi="Garamond"/>
    </w:rPr>
  </w:style>
  <w:style w:type="paragraph" w:customStyle="1" w:styleId="NumberRestart">
    <w:name w:val="NumberRestart"/>
    <w:basedOn w:val="Text"/>
    <w:rsid w:val="00871BD5"/>
    <w:pPr>
      <w:numPr>
        <w:numId w:val="10"/>
      </w:numPr>
      <w:outlineLvl w:val="0"/>
    </w:pPr>
  </w:style>
  <w:style w:type="character" w:styleId="PageNumber">
    <w:name w:val="page number"/>
    <w:basedOn w:val="DefaultParagraphFont"/>
    <w:rsid w:val="00871BD5"/>
  </w:style>
  <w:style w:type="paragraph" w:customStyle="1" w:styleId="Protocol">
    <w:name w:val="Protocol#"/>
    <w:basedOn w:val="Text"/>
    <w:rsid w:val="00871BD5"/>
  </w:style>
  <w:style w:type="paragraph" w:customStyle="1" w:styleId="TextList">
    <w:name w:val="TextList"/>
    <w:basedOn w:val="Text"/>
    <w:rsid w:val="00871BD5"/>
    <w:pPr>
      <w:spacing w:after="100" w:line="280" w:lineRule="atLeast"/>
      <w:ind w:left="360" w:hanging="360"/>
    </w:pPr>
  </w:style>
  <w:style w:type="paragraph" w:customStyle="1" w:styleId="RefList">
    <w:name w:val="RefList#"/>
    <w:basedOn w:val="TextList"/>
    <w:rsid w:val="00871BD5"/>
    <w:pPr>
      <w:keepLines/>
      <w:spacing w:before="100" w:after="0" w:line="240" w:lineRule="auto"/>
    </w:pPr>
  </w:style>
  <w:style w:type="paragraph" w:customStyle="1" w:styleId="RefListAlpha">
    <w:name w:val="RefListAlpha"/>
    <w:basedOn w:val="RefList"/>
    <w:rsid w:val="00871BD5"/>
    <w:pPr>
      <w:ind w:left="720" w:hanging="720"/>
    </w:pPr>
  </w:style>
  <w:style w:type="paragraph" w:customStyle="1" w:styleId="RightTabBold">
    <w:name w:val="RightTabBold"/>
    <w:basedOn w:val="Normal"/>
    <w:rsid w:val="00871BD5"/>
    <w:pPr>
      <w:tabs>
        <w:tab w:val="right" w:pos="8640"/>
      </w:tabs>
      <w:spacing w:before="100" w:after="100"/>
    </w:pPr>
    <w:rPr>
      <w:b/>
    </w:rPr>
  </w:style>
  <w:style w:type="paragraph" w:customStyle="1" w:styleId="SectionBreak">
    <w:name w:val="SectionBreak"/>
    <w:basedOn w:val="Normal"/>
    <w:next w:val="Text"/>
    <w:rsid w:val="00871BD5"/>
  </w:style>
  <w:style w:type="paragraph" w:styleId="Subtitle">
    <w:name w:val="Subtitle"/>
    <w:basedOn w:val="Normal"/>
    <w:qFormat/>
    <w:rsid w:val="00871BD5"/>
    <w:rPr>
      <w:b/>
      <w:bCs/>
      <w:u w:val="single"/>
    </w:rPr>
  </w:style>
  <w:style w:type="paragraph" w:customStyle="1" w:styleId="SubtitleCover">
    <w:name w:val="Subtitle Cover"/>
    <w:basedOn w:val="Normal"/>
    <w:next w:val="BodyText"/>
    <w:rsid w:val="00871BD5"/>
    <w:pPr>
      <w:keepNext/>
      <w:keepLines/>
      <w:pBdr>
        <w:top w:val="single" w:sz="6" w:space="12" w:color="808080"/>
      </w:pBdr>
      <w:spacing w:line="440" w:lineRule="atLeast"/>
      <w:jc w:val="center"/>
    </w:pPr>
    <w:rPr>
      <w:rFonts w:ascii="Garamond" w:hAnsi="Garamond"/>
      <w:caps/>
      <w:spacing w:val="30"/>
      <w:kern w:val="20"/>
      <w:sz w:val="36"/>
    </w:rPr>
  </w:style>
  <w:style w:type="table" w:styleId="TableGrid">
    <w:name w:val="Table Grid"/>
    <w:basedOn w:val="TableNormal"/>
    <w:rsid w:val="00871BD5"/>
    <w:pPr>
      <w:suppressAutoHyphens/>
      <w:spacing w:line="3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Text"/>
    <w:uiPriority w:val="99"/>
    <w:rsid w:val="00871BD5"/>
    <w:pPr>
      <w:tabs>
        <w:tab w:val="right" w:leader="dot" w:pos="8496"/>
      </w:tabs>
      <w:spacing w:line="300" w:lineRule="atLeast"/>
      <w:ind w:left="1440" w:right="1440" w:hanging="1440"/>
    </w:pPr>
    <w:rPr>
      <w:sz w:val="20"/>
    </w:rPr>
  </w:style>
  <w:style w:type="paragraph" w:customStyle="1" w:styleId="TableCenterAlign">
    <w:name w:val="TableCenterAlign"/>
    <w:basedOn w:val="Normal"/>
    <w:rsid w:val="00871BD5"/>
    <w:pPr>
      <w:spacing w:before="60" w:after="60" w:line="240" w:lineRule="exact"/>
      <w:jc w:val="center"/>
    </w:pPr>
  </w:style>
  <w:style w:type="paragraph" w:customStyle="1" w:styleId="TextBullet">
    <w:name w:val="TextBullet"/>
    <w:basedOn w:val="Normal"/>
    <w:rsid w:val="00871BD5"/>
    <w:pPr>
      <w:numPr>
        <w:numId w:val="11"/>
      </w:numPr>
      <w:spacing w:after="100" w:line="240" w:lineRule="auto"/>
    </w:pPr>
  </w:style>
  <w:style w:type="paragraph" w:customStyle="1" w:styleId="TextDash">
    <w:name w:val="TextDash"/>
    <w:basedOn w:val="TextBullet"/>
    <w:rsid w:val="00871BD5"/>
    <w:pPr>
      <w:numPr>
        <w:numId w:val="12"/>
      </w:numPr>
    </w:pPr>
  </w:style>
  <w:style w:type="paragraph" w:customStyle="1" w:styleId="TextIndent">
    <w:name w:val="TextIndent"/>
    <w:basedOn w:val="Text"/>
    <w:rsid w:val="00871BD5"/>
    <w:pPr>
      <w:spacing w:line="280" w:lineRule="atLeast"/>
      <w:ind w:left="360"/>
    </w:pPr>
  </w:style>
  <w:style w:type="paragraph" w:customStyle="1" w:styleId="TextSingleSpace">
    <w:name w:val="TextSingleSpace"/>
    <w:basedOn w:val="Text"/>
    <w:rsid w:val="00871BD5"/>
    <w:pPr>
      <w:spacing w:line="240" w:lineRule="auto"/>
    </w:pPr>
  </w:style>
  <w:style w:type="paragraph" w:styleId="Title">
    <w:name w:val="Title"/>
    <w:basedOn w:val="Normal"/>
    <w:qFormat/>
    <w:rsid w:val="00871BD5"/>
    <w:pPr>
      <w:suppressAutoHyphens w:val="0"/>
      <w:spacing w:before="240" w:after="60" w:line="240" w:lineRule="auto"/>
      <w:jc w:val="center"/>
      <w:outlineLvl w:val="0"/>
    </w:pPr>
    <w:rPr>
      <w:b/>
      <w:kern w:val="28"/>
      <w:sz w:val="32"/>
    </w:rPr>
  </w:style>
  <w:style w:type="paragraph" w:styleId="TOC1">
    <w:name w:val="toc 1"/>
    <w:basedOn w:val="Text"/>
    <w:next w:val="Text"/>
    <w:autoRedefine/>
    <w:semiHidden/>
    <w:rsid w:val="00871BD5"/>
    <w:pPr>
      <w:keepLines/>
      <w:tabs>
        <w:tab w:val="right" w:leader="dot" w:pos="8640"/>
      </w:tabs>
      <w:spacing w:before="300" w:after="160" w:line="300" w:lineRule="atLeast"/>
      <w:ind w:left="1440" w:right="1440" w:hanging="1440"/>
    </w:pPr>
    <w:rPr>
      <w:b/>
      <w:sz w:val="20"/>
    </w:rPr>
  </w:style>
  <w:style w:type="paragraph" w:styleId="TOC2">
    <w:name w:val="toc 2"/>
    <w:basedOn w:val="TOC1"/>
    <w:next w:val="Text"/>
    <w:autoRedefine/>
    <w:semiHidden/>
    <w:rsid w:val="00871BD5"/>
    <w:pPr>
      <w:spacing w:before="120" w:after="120"/>
    </w:pPr>
    <w:rPr>
      <w:b w:val="0"/>
    </w:rPr>
  </w:style>
  <w:style w:type="paragraph" w:styleId="TOC3">
    <w:name w:val="toc 3"/>
    <w:basedOn w:val="TOC2"/>
    <w:next w:val="Text"/>
    <w:autoRedefine/>
    <w:semiHidden/>
    <w:rsid w:val="00871BD5"/>
  </w:style>
  <w:style w:type="paragraph" w:styleId="TOC4">
    <w:name w:val="toc 4"/>
    <w:basedOn w:val="TOC2"/>
    <w:next w:val="Text"/>
    <w:autoRedefine/>
    <w:semiHidden/>
    <w:rsid w:val="00871BD5"/>
  </w:style>
  <w:style w:type="paragraph" w:styleId="TOC5">
    <w:name w:val="toc 5"/>
    <w:basedOn w:val="TOC2"/>
    <w:next w:val="Text"/>
    <w:autoRedefine/>
    <w:semiHidden/>
    <w:rsid w:val="00871BD5"/>
  </w:style>
  <w:style w:type="paragraph" w:styleId="TOC6">
    <w:name w:val="toc 6"/>
    <w:basedOn w:val="Normal"/>
    <w:next w:val="Normal"/>
    <w:autoRedefine/>
    <w:semiHidden/>
    <w:rsid w:val="00871BD5"/>
    <w:pPr>
      <w:tabs>
        <w:tab w:val="right" w:leader="dot" w:pos="8640"/>
      </w:tabs>
      <w:ind w:left="1100"/>
    </w:pPr>
  </w:style>
  <w:style w:type="paragraph" w:styleId="TOC7">
    <w:name w:val="toc 7"/>
    <w:basedOn w:val="Normal"/>
    <w:next w:val="Normal"/>
    <w:autoRedefine/>
    <w:semiHidden/>
    <w:rsid w:val="00871BD5"/>
    <w:pPr>
      <w:tabs>
        <w:tab w:val="right" w:leader="dot" w:pos="8640"/>
      </w:tabs>
      <w:ind w:left="1320"/>
    </w:pPr>
  </w:style>
  <w:style w:type="paragraph" w:styleId="TOC8">
    <w:name w:val="toc 8"/>
    <w:basedOn w:val="Normal"/>
    <w:next w:val="Normal"/>
    <w:autoRedefine/>
    <w:semiHidden/>
    <w:rsid w:val="00871BD5"/>
    <w:pPr>
      <w:tabs>
        <w:tab w:val="right" w:leader="dot" w:pos="8640"/>
      </w:tabs>
      <w:ind w:left="1540"/>
    </w:pPr>
  </w:style>
  <w:style w:type="paragraph" w:styleId="TOC9">
    <w:name w:val="toc 9"/>
    <w:basedOn w:val="Normal"/>
    <w:next w:val="Normal"/>
    <w:autoRedefine/>
    <w:semiHidden/>
    <w:rsid w:val="00871BD5"/>
    <w:pPr>
      <w:tabs>
        <w:tab w:val="right" w:leader="dot" w:pos="8640"/>
      </w:tabs>
      <w:ind w:left="1760"/>
    </w:pPr>
  </w:style>
  <w:style w:type="character" w:customStyle="1" w:styleId="TableLeftAlignChar1">
    <w:name w:val="TableLeftAlign Char1"/>
    <w:basedOn w:val="DefaultParagraphFont"/>
    <w:rsid w:val="00842A03"/>
    <w:rPr>
      <w:rFonts w:ascii="Arial" w:hAnsi="Arial"/>
      <w:sz w:val="22"/>
      <w:lang w:val="en-US" w:eastAsia="en-US" w:bidi="ar-SA"/>
    </w:rPr>
  </w:style>
  <w:style w:type="character" w:customStyle="1" w:styleId="TextChar">
    <w:name w:val="Text Char"/>
    <w:basedOn w:val="DefaultParagraphFont"/>
    <w:link w:val="Text"/>
    <w:locked/>
    <w:rsid w:val="00C3426C"/>
    <w:rPr>
      <w:rFonts w:ascii="Arial" w:hAnsi="Arial"/>
      <w:sz w:val="22"/>
    </w:rPr>
  </w:style>
  <w:style w:type="paragraph" w:styleId="BalloonText">
    <w:name w:val="Balloon Text"/>
    <w:basedOn w:val="Normal"/>
    <w:semiHidden/>
    <w:rsid w:val="00B429C6"/>
    <w:rPr>
      <w:rFonts w:ascii="Tahoma" w:hAnsi="Tahoma" w:cs="Tahoma"/>
      <w:sz w:val="16"/>
      <w:szCs w:val="16"/>
    </w:rPr>
  </w:style>
  <w:style w:type="character" w:customStyle="1" w:styleId="FigureLegendChar">
    <w:name w:val="FigureLegend Char"/>
    <w:basedOn w:val="TextChar"/>
    <w:link w:val="FigureLegend"/>
    <w:rsid w:val="00375624"/>
    <w:rPr>
      <w:rFonts w:ascii="Arial" w:hAnsi="Arial"/>
      <w:sz w:val="22"/>
      <w:szCs w:val="22"/>
    </w:rPr>
  </w:style>
  <w:style w:type="paragraph" w:styleId="Revision">
    <w:name w:val="Revision"/>
    <w:hidden/>
    <w:uiPriority w:val="99"/>
    <w:semiHidden/>
    <w:rsid w:val="00E873A7"/>
    <w:rPr>
      <w:rFonts w:ascii="Arial" w:hAnsi="Arial"/>
      <w:sz w:val="22"/>
    </w:rPr>
  </w:style>
  <w:style w:type="character" w:customStyle="1" w:styleId="CommentTextChar">
    <w:name w:val="Comment Text Char"/>
    <w:basedOn w:val="DefaultParagraphFont"/>
    <w:link w:val="CommentText"/>
    <w:uiPriority w:val="99"/>
    <w:semiHidden/>
    <w:rsid w:val="000177A2"/>
    <w:rPr>
      <w:rFonts w:ascii="Arial" w:hAnsi="Arial"/>
    </w:rPr>
  </w:style>
  <w:style w:type="character" w:styleId="LineNumber">
    <w:name w:val="line number"/>
    <w:basedOn w:val="DefaultParagraphFont"/>
    <w:semiHidden/>
    <w:unhideWhenUsed/>
    <w:rsid w:val="004F3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548849">
      <w:bodyDiv w:val="1"/>
      <w:marLeft w:val="0"/>
      <w:marRight w:val="0"/>
      <w:marTop w:val="0"/>
      <w:marBottom w:val="0"/>
      <w:divBdr>
        <w:top w:val="none" w:sz="0" w:space="0" w:color="auto"/>
        <w:left w:val="none" w:sz="0" w:space="0" w:color="auto"/>
        <w:bottom w:val="none" w:sz="0" w:space="0" w:color="auto"/>
        <w:right w:val="none" w:sz="0" w:space="0" w:color="auto"/>
      </w:divBdr>
    </w:div>
    <w:div w:id="455023195">
      <w:bodyDiv w:val="1"/>
      <w:marLeft w:val="0"/>
      <w:marRight w:val="0"/>
      <w:marTop w:val="0"/>
      <w:marBottom w:val="0"/>
      <w:divBdr>
        <w:top w:val="none" w:sz="0" w:space="0" w:color="auto"/>
        <w:left w:val="none" w:sz="0" w:space="0" w:color="auto"/>
        <w:bottom w:val="none" w:sz="0" w:space="0" w:color="auto"/>
        <w:right w:val="none" w:sz="0" w:space="0" w:color="auto"/>
      </w:divBdr>
    </w:div>
    <w:div w:id="792477099">
      <w:bodyDiv w:val="1"/>
      <w:marLeft w:val="0"/>
      <w:marRight w:val="0"/>
      <w:marTop w:val="0"/>
      <w:marBottom w:val="0"/>
      <w:divBdr>
        <w:top w:val="none" w:sz="0" w:space="0" w:color="auto"/>
        <w:left w:val="none" w:sz="0" w:space="0" w:color="auto"/>
        <w:bottom w:val="none" w:sz="0" w:space="0" w:color="auto"/>
        <w:right w:val="none" w:sz="0" w:space="0" w:color="auto"/>
      </w:divBdr>
    </w:div>
    <w:div w:id="1022511579">
      <w:bodyDiv w:val="1"/>
      <w:marLeft w:val="0"/>
      <w:marRight w:val="0"/>
      <w:marTop w:val="0"/>
      <w:marBottom w:val="0"/>
      <w:divBdr>
        <w:top w:val="none" w:sz="0" w:space="0" w:color="auto"/>
        <w:left w:val="none" w:sz="0" w:space="0" w:color="auto"/>
        <w:bottom w:val="none" w:sz="0" w:space="0" w:color="auto"/>
        <w:right w:val="none" w:sz="0" w:space="0" w:color="auto"/>
      </w:divBdr>
    </w:div>
    <w:div w:id="1183476656">
      <w:bodyDiv w:val="1"/>
      <w:marLeft w:val="0"/>
      <w:marRight w:val="0"/>
      <w:marTop w:val="0"/>
      <w:marBottom w:val="0"/>
      <w:divBdr>
        <w:top w:val="none" w:sz="0" w:space="0" w:color="auto"/>
        <w:left w:val="none" w:sz="0" w:space="0" w:color="auto"/>
        <w:bottom w:val="none" w:sz="0" w:space="0" w:color="auto"/>
        <w:right w:val="none" w:sz="0" w:space="0" w:color="auto"/>
      </w:divBdr>
    </w:div>
    <w:div w:id="1378043376">
      <w:bodyDiv w:val="1"/>
      <w:marLeft w:val="0"/>
      <w:marRight w:val="0"/>
      <w:marTop w:val="0"/>
      <w:marBottom w:val="0"/>
      <w:divBdr>
        <w:top w:val="none" w:sz="0" w:space="0" w:color="auto"/>
        <w:left w:val="none" w:sz="0" w:space="0" w:color="auto"/>
        <w:bottom w:val="none" w:sz="0" w:space="0" w:color="auto"/>
        <w:right w:val="none" w:sz="0" w:space="0" w:color="auto"/>
      </w:divBdr>
    </w:div>
    <w:div w:id="1384717254">
      <w:bodyDiv w:val="1"/>
      <w:marLeft w:val="0"/>
      <w:marRight w:val="0"/>
      <w:marTop w:val="0"/>
      <w:marBottom w:val="0"/>
      <w:divBdr>
        <w:top w:val="none" w:sz="0" w:space="0" w:color="auto"/>
        <w:left w:val="none" w:sz="0" w:space="0" w:color="auto"/>
        <w:bottom w:val="none" w:sz="0" w:space="0" w:color="auto"/>
        <w:right w:val="none" w:sz="0" w:space="0" w:color="auto"/>
      </w:divBdr>
    </w:div>
    <w:div w:id="1445340757">
      <w:bodyDiv w:val="1"/>
      <w:marLeft w:val="0"/>
      <w:marRight w:val="0"/>
      <w:marTop w:val="0"/>
      <w:marBottom w:val="0"/>
      <w:divBdr>
        <w:top w:val="none" w:sz="0" w:space="0" w:color="auto"/>
        <w:left w:val="none" w:sz="0" w:space="0" w:color="auto"/>
        <w:bottom w:val="none" w:sz="0" w:space="0" w:color="auto"/>
        <w:right w:val="none" w:sz="0" w:space="0" w:color="auto"/>
      </w:divBdr>
    </w:div>
    <w:div w:id="202231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82ad3a63-90ad-4a46-a3cb-757f4658e205" origin="userSelected">
  <element uid="8490d18d-1e1f-4ae2-adbe-3f6683173bee" value=""/>
  <element uid="03e9b10b-a1f9-4a88-9630-476473f62285" value=""/>
  <element uid="7349a702-6462-4442-88eb-c64cd513835c"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A7811-86DD-4C7C-AF4A-8A6DFEDD9E20}">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EAC5A8AC-2219-4C6B-B5D1-4D5F365DC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6561</Words>
  <Characters>271312</Characters>
  <Application>Microsoft Office Word</Application>
  <DocSecurity>4</DocSecurity>
  <Lines>2260</Lines>
  <Paragraphs>554</Paragraphs>
  <ScaleCrop>false</ScaleCrop>
  <HeadingPairs>
    <vt:vector size="2" baseType="variant">
      <vt:variant>
        <vt:lpstr>Title</vt:lpstr>
      </vt:variant>
      <vt:variant>
        <vt:i4>1</vt:i4>
      </vt:variant>
    </vt:vector>
  </HeadingPairs>
  <TitlesOfParts>
    <vt:vector size="1" baseType="lpstr">
      <vt:lpstr>Default template</vt:lpstr>
    </vt:vector>
  </TitlesOfParts>
  <Company>Outcomes Insights, Inc</Company>
  <LinksUpToDate>false</LinksUpToDate>
  <CharactersWithSpaces>277319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Default template</dc:title>
  <dc:creator>Outcomes Insights, Inc.</dc:creator>
  <cp:keywords>*$%PUB-*$%GenBus</cp:keywords>
  <cp:lastModifiedBy>Landmann, Jennifer E</cp:lastModifiedBy>
  <cp:revision>2</cp:revision>
  <cp:lastPrinted>2006-11-08T21:48:00Z</cp:lastPrinted>
  <dcterms:created xsi:type="dcterms:W3CDTF">2019-02-21T09:52:00Z</dcterms:created>
  <dcterms:modified xsi:type="dcterms:W3CDTF">2019-02-21T09:52:00Z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447f1607-2589-3eae-a297-d0e61e7bba48</vt:lpwstr>
  </property>
  <property fmtid="{D5CDD505-2E9C-101B-9397-08002B2CF9AE}" pid="4" name="Mendeley Citation Style_1">
    <vt:lpwstr>http://www.zotero.org/styles/jama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http://www.zotero.org/styles/biomed-central</vt:lpwstr>
  </property>
  <property fmtid="{D5CDD505-2E9C-101B-9397-08002B2CF9AE}" pid="12" name="Mendeley Recent Style Name 3_1">
    <vt:lpwstr>BioMed Central</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http://www.zotero.org/styles/jama</vt:lpwstr>
  </property>
  <property fmtid="{D5CDD505-2E9C-101B-9397-08002B2CF9AE}" pid="18" name="Mendeley Recent Style Name 6_1">
    <vt:lpwstr>JAMA (The Journal of the American Medical Association)</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docIndexRef">
    <vt:lpwstr>360c5895-0752-409f-a12d-541e2e42287e</vt:lpwstr>
  </property>
  <property fmtid="{D5CDD505-2E9C-101B-9397-08002B2CF9AE}" pid="26" name="bjSaver">
    <vt:lpwstr>MJMQ0oBnF7C9obikY+pIImMtF10ajmeL</vt:lpwstr>
  </property>
  <property fmtid="{D5CDD505-2E9C-101B-9397-08002B2CF9AE}" pid="27" name="bjDocumentLabelXML">
    <vt:lpwstr>&lt;?xml version="1.0" encoding="us-ascii"?&gt;&lt;sisl xmlns:xsi="http://www.w3.org/2001/XMLSchema-instance" xmlns:xsd="http://www.w3.org/2001/XMLSchema" sislVersion="0" policy="82ad3a63-90ad-4a46-a3cb-757f4658e205" origin="userSelected" xmlns="http://www.boldonj</vt:lpwstr>
  </property>
  <property fmtid="{D5CDD505-2E9C-101B-9397-08002B2CF9AE}" pid="28" name="bjDocumentLabelXML-0">
    <vt:lpwstr>ames.com/2008/01/sie/internal/label"&gt;&lt;element uid="8490d18d-1e1f-4ae2-adbe-3f6683173bee" value="" /&gt;&lt;element uid="03e9b10b-a1f9-4a88-9630-476473f62285" value="" /&gt;&lt;element uid="7349a702-6462-4442-88eb-c64cd513835c" value="" /&gt;&lt;/sisl&gt;</vt:lpwstr>
  </property>
  <property fmtid="{D5CDD505-2E9C-101B-9397-08002B2CF9AE}" pid="29" name="bjDocumentSecurityLabel">
    <vt:lpwstr>Public - General Business</vt:lpwstr>
  </property>
</Properties>
</file>