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C93E6" w14:textId="5E0D4588" w:rsidR="00AD1EC4" w:rsidRPr="002F7212" w:rsidRDefault="003D6412" w:rsidP="002F7212">
      <w:pPr>
        <w:spacing w:line="480" w:lineRule="auto"/>
        <w:ind w:left="567"/>
        <w:jc w:val="both"/>
        <w:rPr>
          <w:b/>
        </w:rPr>
      </w:pPr>
      <w:r>
        <w:rPr>
          <w:b/>
        </w:rPr>
        <w:t>High p</w:t>
      </w:r>
      <w:r w:rsidR="00620736" w:rsidRPr="002F7212">
        <w:rPr>
          <w:b/>
        </w:rPr>
        <w:t xml:space="preserve">revalence </w:t>
      </w:r>
      <w:r w:rsidR="00AD1EC4" w:rsidRPr="002F7212">
        <w:rPr>
          <w:b/>
        </w:rPr>
        <w:t>of triazole resistance in</w:t>
      </w:r>
      <w:r w:rsidR="00296529">
        <w:rPr>
          <w:b/>
        </w:rPr>
        <w:t xml:space="preserve"> clinical</w:t>
      </w:r>
      <w:r w:rsidR="00AD1EC4" w:rsidRPr="002F7212">
        <w:rPr>
          <w:b/>
        </w:rPr>
        <w:t xml:space="preserve"> </w:t>
      </w:r>
      <w:r w:rsidR="00AD1EC4" w:rsidRPr="002F7212">
        <w:rPr>
          <w:b/>
          <w:i/>
        </w:rPr>
        <w:t>Aspergillus fumigatus</w:t>
      </w:r>
      <w:r w:rsidR="00AD1EC4" w:rsidRPr="002F7212">
        <w:rPr>
          <w:b/>
        </w:rPr>
        <w:t xml:space="preserve"> </w:t>
      </w:r>
      <w:r w:rsidR="004D1D27" w:rsidRPr="002F7212">
        <w:rPr>
          <w:b/>
        </w:rPr>
        <w:t xml:space="preserve">isolates </w:t>
      </w:r>
      <w:r w:rsidR="00296529">
        <w:rPr>
          <w:b/>
        </w:rPr>
        <w:t>in a specialist</w:t>
      </w:r>
      <w:r w:rsidR="00AD1EC4" w:rsidRPr="002F7212">
        <w:rPr>
          <w:b/>
        </w:rPr>
        <w:t xml:space="preserve"> cardio-thoracic centre</w:t>
      </w:r>
    </w:p>
    <w:p w14:paraId="0B028E96" w14:textId="4FA07FBB" w:rsidR="00AD1EC4" w:rsidRPr="002F7212" w:rsidRDefault="00AD1EC4" w:rsidP="002F7212">
      <w:pPr>
        <w:spacing w:line="480" w:lineRule="auto"/>
        <w:ind w:left="567"/>
        <w:jc w:val="both"/>
      </w:pPr>
      <w:r w:rsidRPr="002F7212">
        <w:t>Alireza Abdolrasouli</w:t>
      </w:r>
      <w:r w:rsidR="007659D3" w:rsidRPr="002F7212">
        <w:rPr>
          <w:vertAlign w:val="superscript"/>
        </w:rPr>
        <w:t>1</w:t>
      </w:r>
      <w:r w:rsidR="003D6412">
        <w:rPr>
          <w:vertAlign w:val="superscript"/>
        </w:rPr>
        <w:t>,</w:t>
      </w:r>
      <w:r w:rsidR="007659D3" w:rsidRPr="002F7212">
        <w:rPr>
          <w:vertAlign w:val="superscript"/>
        </w:rPr>
        <w:t>2</w:t>
      </w:r>
      <w:r w:rsidRPr="002F7212">
        <w:t>, Andrew Scourfield</w:t>
      </w:r>
      <w:r w:rsidR="007659D3" w:rsidRPr="002F7212">
        <w:rPr>
          <w:vertAlign w:val="superscript"/>
        </w:rPr>
        <w:t>2</w:t>
      </w:r>
      <w:r w:rsidR="003D6412">
        <w:rPr>
          <w:vertAlign w:val="superscript"/>
        </w:rPr>
        <w:t>,</w:t>
      </w:r>
      <w:r w:rsidR="007659D3" w:rsidRPr="002F7212">
        <w:rPr>
          <w:vertAlign w:val="superscript"/>
        </w:rPr>
        <w:t>3</w:t>
      </w:r>
      <w:r w:rsidRPr="002F7212">
        <w:t>, Johanna L. Rhodes</w:t>
      </w:r>
      <w:r w:rsidR="007659D3" w:rsidRPr="002F7212">
        <w:rPr>
          <w:vertAlign w:val="superscript"/>
        </w:rPr>
        <w:t>4</w:t>
      </w:r>
      <w:r w:rsidRPr="002F7212">
        <w:t>, Anand Shah</w:t>
      </w:r>
      <w:r w:rsidR="007659D3" w:rsidRPr="002F7212">
        <w:rPr>
          <w:vertAlign w:val="superscript"/>
        </w:rPr>
        <w:t>5</w:t>
      </w:r>
      <w:r w:rsidRPr="002F7212">
        <w:t>, J. Stuart Elborn</w:t>
      </w:r>
      <w:r w:rsidR="007659D3" w:rsidRPr="002F7212">
        <w:rPr>
          <w:vertAlign w:val="superscript"/>
        </w:rPr>
        <w:t>5</w:t>
      </w:r>
      <w:r w:rsidRPr="002F7212">
        <w:t>, Matthew C. Fisher</w:t>
      </w:r>
      <w:r w:rsidR="007659D3" w:rsidRPr="002F7212">
        <w:rPr>
          <w:vertAlign w:val="superscript"/>
        </w:rPr>
        <w:t>4</w:t>
      </w:r>
      <w:r w:rsidRPr="002F7212">
        <w:t>, Silke Schelenz</w:t>
      </w:r>
      <w:r w:rsidR="00620736" w:rsidRPr="002F7212">
        <w:rPr>
          <w:vertAlign w:val="superscript"/>
        </w:rPr>
        <w:t>6</w:t>
      </w:r>
      <w:r w:rsidRPr="002F7212">
        <w:t>, Darius Armstrong-James</w:t>
      </w:r>
      <w:r w:rsidR="007659D3" w:rsidRPr="002F7212">
        <w:rPr>
          <w:vertAlign w:val="superscript"/>
        </w:rPr>
        <w:t>2</w:t>
      </w:r>
    </w:p>
    <w:p w14:paraId="17D78420" w14:textId="1CFAB8F9" w:rsidR="007659D3" w:rsidRPr="002F7212" w:rsidRDefault="0073340A" w:rsidP="007F28BA">
      <w:pPr>
        <w:spacing w:line="240" w:lineRule="auto"/>
        <w:ind w:left="567"/>
        <w:jc w:val="both"/>
        <w:rPr>
          <w:b/>
        </w:rPr>
      </w:pPr>
      <w:r w:rsidRPr="002F7212">
        <w:rPr>
          <w:b/>
        </w:rPr>
        <w:t>Affiliations</w:t>
      </w:r>
    </w:p>
    <w:p w14:paraId="09E7D7AE" w14:textId="7FA2F46E" w:rsidR="007659D3" w:rsidRPr="002F7212" w:rsidRDefault="007659D3" w:rsidP="007F28BA">
      <w:pPr>
        <w:spacing w:after="0" w:line="240" w:lineRule="auto"/>
        <w:ind w:left="567"/>
        <w:jc w:val="both"/>
      </w:pPr>
      <w:r w:rsidRPr="002F7212">
        <w:rPr>
          <w:vertAlign w:val="superscript"/>
        </w:rPr>
        <w:t xml:space="preserve">1 </w:t>
      </w:r>
      <w:r w:rsidRPr="002F7212">
        <w:t>Diagnostic Mycology Service, Department of Medical Microbiology, North West London Pathology, Imperial College Healthcare National Health Service Trust, London, UK</w:t>
      </w:r>
    </w:p>
    <w:p w14:paraId="1E49D2B4" w14:textId="58241550" w:rsidR="007659D3" w:rsidRPr="002F7212" w:rsidRDefault="007659D3" w:rsidP="007F28BA">
      <w:pPr>
        <w:spacing w:after="0" w:line="240" w:lineRule="auto"/>
        <w:ind w:left="567"/>
        <w:jc w:val="both"/>
      </w:pPr>
      <w:r w:rsidRPr="002F7212">
        <w:rPr>
          <w:vertAlign w:val="superscript"/>
        </w:rPr>
        <w:t>2</w:t>
      </w:r>
      <w:r w:rsidRPr="002F7212">
        <w:t xml:space="preserve"> Fungal Pathogens Laboratory, National Heart and Lung Institute, Imperial College London, UK </w:t>
      </w:r>
    </w:p>
    <w:p w14:paraId="0C13BD68" w14:textId="7512BDB5" w:rsidR="007659D3" w:rsidRPr="002F7212" w:rsidRDefault="007659D3" w:rsidP="007F28BA">
      <w:pPr>
        <w:spacing w:after="0" w:line="240" w:lineRule="auto"/>
        <w:ind w:left="567"/>
        <w:jc w:val="both"/>
      </w:pPr>
      <w:r w:rsidRPr="002F7212">
        <w:rPr>
          <w:vertAlign w:val="superscript"/>
        </w:rPr>
        <w:t>3</w:t>
      </w:r>
      <w:r w:rsidRPr="002F7212">
        <w:t>Department of Clinical Pharmacology, Guys and St Thomas’ Foundation NHS Trust</w:t>
      </w:r>
      <w:r w:rsidR="00620736" w:rsidRPr="002F7212">
        <w:t>, London, UK</w:t>
      </w:r>
    </w:p>
    <w:p w14:paraId="54C2F5EE" w14:textId="3E31498C" w:rsidR="007659D3" w:rsidRPr="002F7212" w:rsidRDefault="007659D3" w:rsidP="007F28BA">
      <w:pPr>
        <w:spacing w:after="0" w:line="240" w:lineRule="auto"/>
        <w:ind w:left="567"/>
        <w:jc w:val="both"/>
      </w:pPr>
      <w:r w:rsidRPr="002F7212">
        <w:rPr>
          <w:vertAlign w:val="superscript"/>
        </w:rPr>
        <w:t>4</w:t>
      </w:r>
      <w:r w:rsidR="004824B0">
        <w:t>MRC Centre for Global Infectious Disease Analysis</w:t>
      </w:r>
      <w:r w:rsidRPr="002F7212">
        <w:t>, Imperial College London, UK</w:t>
      </w:r>
    </w:p>
    <w:p w14:paraId="6D26ECA1" w14:textId="3256287A" w:rsidR="007659D3" w:rsidRPr="002F7212" w:rsidRDefault="007659D3" w:rsidP="007F28BA">
      <w:pPr>
        <w:spacing w:after="0" w:line="240" w:lineRule="auto"/>
        <w:ind w:left="567"/>
        <w:jc w:val="both"/>
      </w:pPr>
      <w:r w:rsidRPr="002F7212">
        <w:rPr>
          <w:vertAlign w:val="superscript"/>
        </w:rPr>
        <w:t>5</w:t>
      </w:r>
      <w:r w:rsidRPr="002F7212">
        <w:t>Department of Respiratory Medici</w:t>
      </w:r>
      <w:r w:rsidR="007F28BA">
        <w:t>ne, Royal Brompton and Harefield NHS Foundation Trust</w:t>
      </w:r>
      <w:r w:rsidRPr="002F7212">
        <w:t>, London, UK</w:t>
      </w:r>
    </w:p>
    <w:p w14:paraId="3A07E15B" w14:textId="2E5B8F30" w:rsidR="00620736" w:rsidRPr="002F7212" w:rsidRDefault="00620736" w:rsidP="007F28BA">
      <w:pPr>
        <w:spacing w:after="0" w:line="240" w:lineRule="auto"/>
        <w:ind w:left="567"/>
        <w:jc w:val="both"/>
      </w:pPr>
      <w:r w:rsidRPr="002F7212">
        <w:rPr>
          <w:vertAlign w:val="superscript"/>
        </w:rPr>
        <w:t>6</w:t>
      </w:r>
      <w:r w:rsidRPr="002F7212">
        <w:t>De</w:t>
      </w:r>
      <w:r w:rsidR="007F28BA">
        <w:t>partment of Medical Microbiology, Royal Brompton and Harefield NHS Foundation Trust</w:t>
      </w:r>
      <w:r w:rsidRPr="002F7212">
        <w:t>, London, UK</w:t>
      </w:r>
    </w:p>
    <w:p w14:paraId="06E1974C" w14:textId="77777777" w:rsidR="007F28BA" w:rsidRDefault="007F28BA" w:rsidP="002F7212">
      <w:pPr>
        <w:spacing w:line="480" w:lineRule="auto"/>
        <w:ind w:left="567"/>
        <w:jc w:val="both"/>
        <w:rPr>
          <w:b/>
        </w:rPr>
      </w:pPr>
    </w:p>
    <w:p w14:paraId="2BFA1630" w14:textId="4650614C" w:rsidR="00AD1EC4" w:rsidRPr="002F7212" w:rsidRDefault="0073340A" w:rsidP="002F7212">
      <w:pPr>
        <w:spacing w:line="480" w:lineRule="auto"/>
        <w:ind w:left="567"/>
        <w:jc w:val="both"/>
        <w:rPr>
          <w:b/>
        </w:rPr>
      </w:pPr>
      <w:r w:rsidRPr="002F7212">
        <w:rPr>
          <w:b/>
        </w:rPr>
        <w:t>Article Word Count</w:t>
      </w:r>
      <w:r w:rsidR="00202977">
        <w:rPr>
          <w:b/>
        </w:rPr>
        <w:t>: 2,057</w:t>
      </w:r>
      <w:r w:rsidRPr="002F7212">
        <w:rPr>
          <w:b/>
        </w:rPr>
        <w:t xml:space="preserve"> </w:t>
      </w:r>
    </w:p>
    <w:p w14:paraId="3431EC81" w14:textId="04EAFF4A" w:rsidR="0073340A" w:rsidRPr="002F7212" w:rsidRDefault="0073340A" w:rsidP="002F7212">
      <w:pPr>
        <w:spacing w:line="480" w:lineRule="auto"/>
        <w:ind w:left="567"/>
        <w:jc w:val="both"/>
        <w:rPr>
          <w:b/>
        </w:rPr>
      </w:pPr>
      <w:r w:rsidRPr="002F7212">
        <w:rPr>
          <w:b/>
        </w:rPr>
        <w:t>Abstract Word Count</w:t>
      </w:r>
      <w:r w:rsidR="00202977">
        <w:rPr>
          <w:b/>
        </w:rPr>
        <w:t>: 266</w:t>
      </w:r>
    </w:p>
    <w:p w14:paraId="7A4AEC1F" w14:textId="5B50F895" w:rsidR="0073340A" w:rsidRPr="002F7212" w:rsidRDefault="0073340A" w:rsidP="002F7212">
      <w:pPr>
        <w:spacing w:line="480" w:lineRule="auto"/>
        <w:ind w:left="567"/>
        <w:jc w:val="both"/>
      </w:pPr>
      <w:r w:rsidRPr="002F7212">
        <w:rPr>
          <w:b/>
        </w:rPr>
        <w:t>Key words</w:t>
      </w:r>
      <w:r w:rsidR="003D6412">
        <w:rPr>
          <w:b/>
        </w:rPr>
        <w:t>:</w:t>
      </w:r>
      <w:r w:rsidRPr="002F7212">
        <w:rPr>
          <w:b/>
        </w:rPr>
        <w:t xml:space="preserve"> </w:t>
      </w:r>
      <w:r w:rsidRPr="003D6412">
        <w:rPr>
          <w:i/>
        </w:rPr>
        <w:t>Aspergillus</w:t>
      </w:r>
      <w:r w:rsidR="00620736" w:rsidRPr="003D6412">
        <w:rPr>
          <w:i/>
        </w:rPr>
        <w:t xml:space="preserve"> fumigatus</w:t>
      </w:r>
      <w:r w:rsidR="00620736" w:rsidRPr="002F7212">
        <w:t xml:space="preserve">, azole resistance, </w:t>
      </w:r>
      <w:r w:rsidR="00620736" w:rsidRPr="002F7212">
        <w:rPr>
          <w:i/>
        </w:rPr>
        <w:t>cyp51A</w:t>
      </w:r>
      <w:r w:rsidR="00620736" w:rsidRPr="002F7212">
        <w:t xml:space="preserve">, antifungal </w:t>
      </w:r>
      <w:r w:rsidR="00567363" w:rsidRPr="002F7212">
        <w:t>drugs</w:t>
      </w:r>
    </w:p>
    <w:p w14:paraId="07701533" w14:textId="529A4F8F" w:rsidR="00620736" w:rsidRPr="002F7212" w:rsidRDefault="00202977" w:rsidP="002F7212">
      <w:pPr>
        <w:spacing w:line="480" w:lineRule="auto"/>
        <w:ind w:left="567"/>
        <w:jc w:val="both"/>
      </w:pPr>
      <w:r>
        <w:rPr>
          <w:b/>
        </w:rPr>
        <w:t>Corresponding author:</w:t>
      </w:r>
      <w:r w:rsidR="00620736" w:rsidRPr="002F7212">
        <w:t xml:space="preserve"> Alireza Abdolrasouli</w:t>
      </w:r>
    </w:p>
    <w:p w14:paraId="71E9FB66" w14:textId="77777777" w:rsidR="00620736" w:rsidRPr="002F7212" w:rsidRDefault="00620736" w:rsidP="002F7212">
      <w:pPr>
        <w:spacing w:line="480" w:lineRule="auto"/>
        <w:ind w:left="567"/>
        <w:jc w:val="both"/>
      </w:pPr>
      <w:r w:rsidRPr="002F7212">
        <w:t>Diagnostic Mycology Service, Department of Medical Microbiology, North West London Pathology, Imperial College Healthcare National Health Service Trust, 4</w:t>
      </w:r>
      <w:r w:rsidRPr="002F7212">
        <w:rPr>
          <w:vertAlign w:val="superscript"/>
        </w:rPr>
        <w:t>th</w:t>
      </w:r>
      <w:r w:rsidRPr="002F7212">
        <w:t xml:space="preserve"> Floor East Wing Charing Cross Hospital, Fulham Palace Road, London W6 8RF, United Kingdom</w:t>
      </w:r>
    </w:p>
    <w:p w14:paraId="385E68E6" w14:textId="779F2AF7" w:rsidR="00620736" w:rsidRPr="002F7212" w:rsidRDefault="00620736" w:rsidP="002F7212">
      <w:pPr>
        <w:spacing w:line="480" w:lineRule="auto"/>
        <w:ind w:left="567"/>
        <w:jc w:val="both"/>
      </w:pPr>
      <w:r w:rsidRPr="002F7212">
        <w:t xml:space="preserve">E-mail: </w:t>
      </w:r>
      <w:hyperlink r:id="rId6" w:history="1">
        <w:r w:rsidRPr="002F7212">
          <w:rPr>
            <w:rStyle w:val="Hyperlink"/>
          </w:rPr>
          <w:t>a.abdolrasouli@imperial.ac.uk</w:t>
        </w:r>
      </w:hyperlink>
      <w:r w:rsidRPr="002F7212">
        <w:tab/>
        <w:t>Tel: +44 (0)20 3311 7830</w:t>
      </w:r>
    </w:p>
    <w:p w14:paraId="3B3B5C20" w14:textId="77777777" w:rsidR="00620736" w:rsidRPr="002F7212" w:rsidRDefault="00620736" w:rsidP="002F7212">
      <w:pPr>
        <w:spacing w:line="480" w:lineRule="auto"/>
        <w:ind w:left="567"/>
        <w:jc w:val="both"/>
      </w:pPr>
    </w:p>
    <w:p w14:paraId="1775F3A9" w14:textId="77777777" w:rsidR="007F28BA" w:rsidRDefault="007F28BA" w:rsidP="002F7212">
      <w:pPr>
        <w:spacing w:line="480" w:lineRule="auto"/>
        <w:ind w:left="567"/>
        <w:jc w:val="both"/>
        <w:rPr>
          <w:b/>
        </w:rPr>
      </w:pPr>
    </w:p>
    <w:p w14:paraId="231164F3" w14:textId="77777777" w:rsidR="007F28BA" w:rsidRDefault="007F28BA" w:rsidP="002F7212">
      <w:pPr>
        <w:spacing w:line="480" w:lineRule="auto"/>
        <w:ind w:left="567"/>
        <w:jc w:val="both"/>
        <w:rPr>
          <w:b/>
        </w:rPr>
      </w:pPr>
    </w:p>
    <w:p w14:paraId="6D5A8DD9" w14:textId="77777777" w:rsidR="007F28BA" w:rsidRDefault="007F28BA" w:rsidP="002F7212">
      <w:pPr>
        <w:spacing w:line="480" w:lineRule="auto"/>
        <w:ind w:left="567"/>
        <w:jc w:val="both"/>
        <w:rPr>
          <w:b/>
        </w:rPr>
      </w:pPr>
    </w:p>
    <w:p w14:paraId="460609C5" w14:textId="77777777" w:rsidR="00AD1EC4" w:rsidRPr="002F7212" w:rsidRDefault="00AD1EC4" w:rsidP="002F7212">
      <w:pPr>
        <w:spacing w:line="480" w:lineRule="auto"/>
        <w:ind w:left="567"/>
        <w:jc w:val="both"/>
        <w:rPr>
          <w:b/>
        </w:rPr>
      </w:pPr>
      <w:r w:rsidRPr="002F7212">
        <w:rPr>
          <w:b/>
        </w:rPr>
        <w:lastRenderedPageBreak/>
        <w:t>ABSTRACT</w:t>
      </w:r>
    </w:p>
    <w:p w14:paraId="70B1A06E" w14:textId="486E66B2" w:rsidR="00AD1EC4" w:rsidRPr="002F7212" w:rsidRDefault="00AD1EC4" w:rsidP="002F7212">
      <w:pPr>
        <w:spacing w:line="480" w:lineRule="auto"/>
        <w:ind w:left="567"/>
        <w:jc w:val="both"/>
        <w:rPr>
          <w:b/>
        </w:rPr>
      </w:pPr>
      <w:r w:rsidRPr="002F7212">
        <w:rPr>
          <w:b/>
        </w:rPr>
        <w:t>Objectives:</w:t>
      </w:r>
      <w:r w:rsidRPr="002F7212">
        <w:t xml:space="preserve">  To evaluate the</w:t>
      </w:r>
      <w:r w:rsidR="0013030B">
        <w:t xml:space="preserve"> </w:t>
      </w:r>
      <w:r w:rsidRPr="002F7212">
        <w:t xml:space="preserve">prevalence of </w:t>
      </w:r>
      <w:r w:rsidR="00567363" w:rsidRPr="002F7212">
        <w:t>triazole</w:t>
      </w:r>
      <w:r w:rsidR="00930BE2">
        <w:t>-</w:t>
      </w:r>
      <w:r w:rsidRPr="002F7212">
        <w:t xml:space="preserve">resistant </w:t>
      </w:r>
      <w:r w:rsidRPr="002F7212">
        <w:rPr>
          <w:i/>
        </w:rPr>
        <w:t>Aspergillus fumigatus</w:t>
      </w:r>
      <w:r w:rsidRPr="002F7212">
        <w:t xml:space="preserve"> </w:t>
      </w:r>
      <w:r w:rsidR="00C0062F" w:rsidRPr="002F7212">
        <w:t xml:space="preserve">and </w:t>
      </w:r>
      <w:r w:rsidR="00E55A43" w:rsidRPr="002F7212">
        <w:t xml:space="preserve">common </w:t>
      </w:r>
      <w:r w:rsidR="00C0062F" w:rsidRPr="002F7212">
        <w:t xml:space="preserve">molecular </w:t>
      </w:r>
      <w:r w:rsidR="00E062F8" w:rsidRPr="00E062F8">
        <w:rPr>
          <w:i/>
        </w:rPr>
        <w:t>cyp51A</w:t>
      </w:r>
      <w:r w:rsidR="00E062F8">
        <w:t xml:space="preserve"> </w:t>
      </w:r>
      <w:r w:rsidR="004824B0">
        <w:t>polymorphisms</w:t>
      </w:r>
      <w:r w:rsidR="004824B0" w:rsidRPr="002F7212">
        <w:t xml:space="preserve"> </w:t>
      </w:r>
      <w:r w:rsidR="00C0062F" w:rsidRPr="002F7212">
        <w:t xml:space="preserve">amongst clinical isolates </w:t>
      </w:r>
      <w:r w:rsidRPr="002F7212">
        <w:t xml:space="preserve">in </w:t>
      </w:r>
      <w:r w:rsidR="00C0062F" w:rsidRPr="002F7212">
        <w:t xml:space="preserve">a specialised cardio-thoracic centre in London, United Kingdom. </w:t>
      </w:r>
    </w:p>
    <w:p w14:paraId="6964A24E" w14:textId="52CE8E57" w:rsidR="00AD1EC4" w:rsidRPr="002F7212" w:rsidRDefault="00AD1EC4" w:rsidP="002F7212">
      <w:pPr>
        <w:spacing w:line="480" w:lineRule="auto"/>
        <w:ind w:left="567"/>
        <w:jc w:val="both"/>
      </w:pPr>
      <w:r w:rsidRPr="002F7212">
        <w:rPr>
          <w:b/>
        </w:rPr>
        <w:t>Methods:</w:t>
      </w:r>
      <w:r w:rsidRPr="002F7212">
        <w:t xml:space="preserve"> </w:t>
      </w:r>
      <w:r w:rsidR="0029044D" w:rsidRPr="002F7212">
        <w:t xml:space="preserve">All </w:t>
      </w:r>
      <w:r w:rsidRPr="002F7212">
        <w:rPr>
          <w:i/>
        </w:rPr>
        <w:t>A. fumigatus</w:t>
      </w:r>
      <w:r w:rsidRPr="002F7212">
        <w:t xml:space="preserve"> </w:t>
      </w:r>
      <w:r w:rsidR="007F28BA">
        <w:t xml:space="preserve">isolates </w:t>
      </w:r>
      <w:r w:rsidR="00A239AA" w:rsidRPr="002F7212">
        <w:t xml:space="preserve">independent of clinical significance </w:t>
      </w:r>
      <w:r w:rsidRPr="002F7212">
        <w:t xml:space="preserve">were prospectively </w:t>
      </w:r>
      <w:r w:rsidR="00A239AA" w:rsidRPr="002F7212">
        <w:t xml:space="preserve">analysed </w:t>
      </w:r>
      <w:r w:rsidRPr="002F7212">
        <w:t>from April 2014 to M</w:t>
      </w:r>
      <w:r w:rsidR="0029044D" w:rsidRPr="002F7212">
        <w:t>arch 2016</w:t>
      </w:r>
      <w:r w:rsidR="00C0062F" w:rsidRPr="002F7212">
        <w:t>.</w:t>
      </w:r>
      <w:r w:rsidR="00A539A3" w:rsidRPr="002F7212">
        <w:t xml:space="preserve"> Isolates were screened with a </w:t>
      </w:r>
      <w:r w:rsidRPr="002F7212">
        <w:t>4-well VIP</w:t>
      </w:r>
      <w:r w:rsidR="00C0062F" w:rsidRPr="002F7212">
        <w:t>check</w:t>
      </w:r>
      <w:r w:rsidR="00C0062F" w:rsidRPr="002F7212">
        <w:rPr>
          <w:rFonts w:cs="Lucida Grande"/>
          <w:color w:val="000000"/>
        </w:rPr>
        <w:t>™</w:t>
      </w:r>
      <w:r w:rsidR="00C0062F" w:rsidRPr="002F7212">
        <w:t xml:space="preserve"> </w:t>
      </w:r>
      <w:r w:rsidR="00A539A3" w:rsidRPr="002F7212">
        <w:t xml:space="preserve">plate to assess </w:t>
      </w:r>
      <w:r w:rsidR="00FD41B8" w:rsidRPr="002F7212">
        <w:t>tria</w:t>
      </w:r>
      <w:r w:rsidRPr="002F7212">
        <w:t>zole susceptibility</w:t>
      </w:r>
      <w:r w:rsidR="007F28BA">
        <w:t>.</w:t>
      </w:r>
      <w:r w:rsidR="00FD41B8" w:rsidRPr="002F7212">
        <w:t xml:space="preserve"> </w:t>
      </w:r>
      <w:r w:rsidR="007F28BA">
        <w:t>R</w:t>
      </w:r>
      <w:r w:rsidRPr="002F7212">
        <w:t>esistan</w:t>
      </w:r>
      <w:r w:rsidR="00C62D84">
        <w:t>c</w:t>
      </w:r>
      <w:r w:rsidR="0013030B">
        <w:t>e was</w:t>
      </w:r>
      <w:r w:rsidRPr="002F7212">
        <w:t xml:space="preserve"> </w:t>
      </w:r>
      <w:r w:rsidR="00E55A43" w:rsidRPr="002F7212">
        <w:t xml:space="preserve">confirmed </w:t>
      </w:r>
      <w:r w:rsidRPr="002F7212">
        <w:t xml:space="preserve">with </w:t>
      </w:r>
      <w:r w:rsidR="00E55A43" w:rsidRPr="002F7212">
        <w:t>s</w:t>
      </w:r>
      <w:r w:rsidRPr="002F7212">
        <w:t>tandard microbroth dil</w:t>
      </w:r>
      <w:r w:rsidR="007F28BA">
        <w:t>ution method</w:t>
      </w:r>
      <w:r w:rsidR="00A239AA" w:rsidRPr="002F7212">
        <w:t xml:space="preserve"> according to</w:t>
      </w:r>
      <w:r w:rsidRPr="002F7212">
        <w:t xml:space="preserve"> EUCAST reference guideline</w:t>
      </w:r>
      <w:r w:rsidR="00C0062F" w:rsidRPr="002F7212">
        <w:t>s</w:t>
      </w:r>
      <w:r w:rsidRPr="002F7212">
        <w:t xml:space="preserve">.  </w:t>
      </w:r>
      <w:r w:rsidR="00FD41B8" w:rsidRPr="002F7212">
        <w:t>T</w:t>
      </w:r>
      <w:r w:rsidRPr="002F7212">
        <w:t>riazole</w:t>
      </w:r>
      <w:r w:rsidR="007F28BA">
        <w:t>-</w:t>
      </w:r>
      <w:r w:rsidRPr="002F7212">
        <w:t xml:space="preserve">resistant </w:t>
      </w:r>
      <w:r w:rsidRPr="002F7212">
        <w:rPr>
          <w:i/>
        </w:rPr>
        <w:t>A. fumigatus</w:t>
      </w:r>
      <w:r w:rsidRPr="002F7212">
        <w:t xml:space="preserve"> isolates were subjected to a mixed-format </w:t>
      </w:r>
      <w:r w:rsidR="00C0062F" w:rsidRPr="002F7212">
        <w:t>RT-PCR assay (AsperGenius</w:t>
      </w:r>
      <w:r w:rsidR="00A239AA" w:rsidRPr="002F7212">
        <w:rPr>
          <w:rFonts w:cs="Lucida Grande"/>
          <w:b/>
          <w:color w:val="000000"/>
          <w:vertAlign w:val="superscript"/>
        </w:rPr>
        <w:t>®</w:t>
      </w:r>
      <w:r w:rsidR="00C0062F" w:rsidRPr="002F7212">
        <w:t>) to detect</w:t>
      </w:r>
      <w:r w:rsidRPr="002F7212">
        <w:t xml:space="preserve"> </w:t>
      </w:r>
      <w:r w:rsidR="007F28BA">
        <w:t xml:space="preserve">common </w:t>
      </w:r>
      <w:r w:rsidR="007F28BA" w:rsidRPr="007F28BA">
        <w:rPr>
          <w:i/>
        </w:rPr>
        <w:t>cyp51A</w:t>
      </w:r>
      <w:r w:rsidR="007F28BA">
        <w:t xml:space="preserve"> alterations</w:t>
      </w:r>
      <w:r w:rsidR="002B37B9" w:rsidRPr="002F7212">
        <w:t>.</w:t>
      </w:r>
    </w:p>
    <w:p w14:paraId="0504F6C2" w14:textId="756AD974" w:rsidR="00AD1EC4" w:rsidRPr="002F7212" w:rsidRDefault="00AD1EC4" w:rsidP="002F7212">
      <w:pPr>
        <w:spacing w:line="480" w:lineRule="auto"/>
        <w:ind w:left="567"/>
        <w:jc w:val="both"/>
      </w:pPr>
      <w:r w:rsidRPr="002F7212">
        <w:rPr>
          <w:b/>
        </w:rPr>
        <w:t>Results:</w:t>
      </w:r>
      <w:r w:rsidRPr="002F7212">
        <w:t xml:space="preserve"> </w:t>
      </w:r>
      <w:r w:rsidR="00E55A43" w:rsidRPr="002F7212">
        <w:t xml:space="preserve">We identified </w:t>
      </w:r>
      <w:r w:rsidR="0029044D" w:rsidRPr="002F7212">
        <w:t xml:space="preserve">167 unique clinical </w:t>
      </w:r>
      <w:r w:rsidR="0029044D" w:rsidRPr="002F7212">
        <w:rPr>
          <w:i/>
        </w:rPr>
        <w:t>A. fumigatus</w:t>
      </w:r>
      <w:r w:rsidR="0029044D" w:rsidRPr="002F7212">
        <w:t xml:space="preserve"> isolates from 135 patients. </w:t>
      </w:r>
      <w:r w:rsidRPr="002F7212">
        <w:t xml:space="preserve">Resistance to </w:t>
      </w:r>
      <w:r w:rsidR="00A239AA" w:rsidRPr="002F7212">
        <w:t xml:space="preserve">at </w:t>
      </w:r>
      <w:r w:rsidRPr="002F7212">
        <w:t>least one azole antifungal dr</w:t>
      </w:r>
      <w:r w:rsidR="00CE76CB" w:rsidRPr="002F7212">
        <w:t>ug was confirmed in 22/167 (13.2</w:t>
      </w:r>
      <w:r w:rsidRPr="002F7212">
        <w:t>%) of isolates from 18/135 (13.3%) patients</w:t>
      </w:r>
      <w:r w:rsidR="001C2AAA" w:rsidRPr="002F7212">
        <w:t>, including 12/74 (16.2%) patients with cystic fibrosis (CF)</w:t>
      </w:r>
      <w:r w:rsidRPr="002F7212">
        <w:t>. Sputum was the most common clinical sample</w:t>
      </w:r>
      <w:r w:rsidR="0013030B">
        <w:t xml:space="preserve"> from which</w:t>
      </w:r>
      <w:r w:rsidR="00FD41B8" w:rsidRPr="002F7212">
        <w:t xml:space="preserve"> </w:t>
      </w:r>
      <w:r w:rsidRPr="002F7212">
        <w:t xml:space="preserve">azole-resistant </w:t>
      </w:r>
      <w:r w:rsidRPr="002F7212">
        <w:rPr>
          <w:i/>
        </w:rPr>
        <w:t>A. fumigatus</w:t>
      </w:r>
      <w:r w:rsidR="00DA1E4F">
        <w:rPr>
          <w:i/>
        </w:rPr>
        <w:t xml:space="preserve"> </w:t>
      </w:r>
      <w:r w:rsidR="00DA1E4F" w:rsidRPr="00DA1E4F">
        <w:t>was isolated</w:t>
      </w:r>
      <w:r w:rsidRPr="002F7212">
        <w:rPr>
          <w:i/>
        </w:rPr>
        <w:t>.</w:t>
      </w:r>
      <w:r w:rsidRPr="002F7212">
        <w:t xml:space="preserve"> The highest </w:t>
      </w:r>
      <w:r w:rsidR="00F07495" w:rsidRPr="002F7212">
        <w:t xml:space="preserve">detection </w:t>
      </w:r>
      <w:r w:rsidRPr="002F7212">
        <w:t xml:space="preserve">rate of </w:t>
      </w:r>
      <w:r w:rsidR="00F07495" w:rsidRPr="002F7212">
        <w:t xml:space="preserve">azole </w:t>
      </w:r>
      <w:r w:rsidRPr="002F7212">
        <w:t xml:space="preserve">resistant </w:t>
      </w:r>
      <w:r w:rsidRPr="002F7212">
        <w:rPr>
          <w:i/>
        </w:rPr>
        <w:t>A. fumigatus</w:t>
      </w:r>
      <w:r w:rsidR="00C6546D" w:rsidRPr="002F7212">
        <w:t xml:space="preserve"> was among </w:t>
      </w:r>
      <w:r w:rsidR="00A239AA" w:rsidRPr="002F7212">
        <w:t>the 11-20 year age group</w:t>
      </w:r>
      <w:r w:rsidR="00ED6A1B" w:rsidRPr="002F7212">
        <w:t xml:space="preserve">. </w:t>
      </w:r>
      <w:r w:rsidRPr="002F7212">
        <w:t xml:space="preserve">All triazole-resistant isolates </w:t>
      </w:r>
      <w:r w:rsidR="00C0062F" w:rsidRPr="002F7212">
        <w:t>(</w:t>
      </w:r>
      <w:r w:rsidR="00C0062F" w:rsidRPr="002F7212">
        <w:rPr>
          <w:i/>
        </w:rPr>
        <w:t xml:space="preserve">n </w:t>
      </w:r>
      <w:r w:rsidR="00C0062F" w:rsidRPr="002F7212">
        <w:t xml:space="preserve">= 22) </w:t>
      </w:r>
      <w:r w:rsidRPr="002F7212">
        <w:t>were resistant to itraconazole, 15 showed cross-resistan</w:t>
      </w:r>
      <w:r w:rsidR="00C0062F" w:rsidRPr="002F7212">
        <w:t>ce</w:t>
      </w:r>
      <w:r w:rsidRPr="002F7212">
        <w:t xml:space="preserve"> to posaconazole and 10 demonstrated resistance to voriconazole. No pan-azole resistant </w:t>
      </w:r>
      <w:r w:rsidRPr="002F7212">
        <w:rPr>
          <w:i/>
        </w:rPr>
        <w:t>A. fumigatus</w:t>
      </w:r>
      <w:r w:rsidR="00C0062F" w:rsidRPr="002F7212">
        <w:t xml:space="preserve"> was identified.</w:t>
      </w:r>
      <w:r w:rsidRPr="002F7212">
        <w:t xml:space="preserve"> TR</w:t>
      </w:r>
      <w:r w:rsidRPr="002F7212">
        <w:rPr>
          <w:vertAlign w:val="subscript"/>
        </w:rPr>
        <w:t>34</w:t>
      </w:r>
      <w:r w:rsidRPr="002F7212">
        <w:t>/L98H wa</w:t>
      </w:r>
      <w:r w:rsidR="00C0062F" w:rsidRPr="002F7212">
        <w:t xml:space="preserve">s </w:t>
      </w:r>
      <w:r w:rsidR="00872747" w:rsidRPr="002F7212">
        <w:t xml:space="preserve">identified </w:t>
      </w:r>
      <w:r w:rsidR="00A239AA" w:rsidRPr="002F7212">
        <w:t xml:space="preserve">in 6/22 (27.3%) of </w:t>
      </w:r>
      <w:r w:rsidR="00F07495" w:rsidRPr="002F7212">
        <w:t xml:space="preserve">azole </w:t>
      </w:r>
      <w:r w:rsidRPr="002F7212">
        <w:t>resistant isolates</w:t>
      </w:r>
      <w:r w:rsidR="001F400B" w:rsidRPr="002F7212">
        <w:t xml:space="preserve"> and </w:t>
      </w:r>
      <w:r w:rsidR="00872747" w:rsidRPr="002F7212">
        <w:t xml:space="preserve">detectable in </w:t>
      </w:r>
      <w:r w:rsidR="001F400B" w:rsidRPr="002F7212">
        <w:t>5/12 (42%)</w:t>
      </w:r>
      <w:r w:rsidR="0013030B">
        <w:t xml:space="preserve"> of</w:t>
      </w:r>
      <w:r w:rsidR="001F400B" w:rsidRPr="002F7212">
        <w:t xml:space="preserve"> patients with CF. </w:t>
      </w:r>
    </w:p>
    <w:p w14:paraId="3060FA94" w14:textId="4AD808B8" w:rsidR="00872747" w:rsidRPr="002F7212" w:rsidRDefault="00AD1EC4" w:rsidP="002F7212">
      <w:pPr>
        <w:spacing w:line="480" w:lineRule="auto"/>
        <w:ind w:left="567"/>
        <w:jc w:val="both"/>
      </w:pPr>
      <w:r w:rsidRPr="002F7212">
        <w:rPr>
          <w:b/>
        </w:rPr>
        <w:t xml:space="preserve">Conclusion:  </w:t>
      </w:r>
      <w:r w:rsidR="00ED6A1B" w:rsidRPr="002F7212">
        <w:t xml:space="preserve">In our specialised cardio-thoracic centre </w:t>
      </w:r>
      <w:r w:rsidR="00E55A43" w:rsidRPr="002F7212">
        <w:t xml:space="preserve">the prevalence of </w:t>
      </w:r>
      <w:r w:rsidR="00E062F8">
        <w:t xml:space="preserve">triazole resistant </w:t>
      </w:r>
      <w:r w:rsidR="00E55A43" w:rsidRPr="002F7212">
        <w:rPr>
          <w:i/>
        </w:rPr>
        <w:t>A. fumigatus</w:t>
      </w:r>
      <w:r w:rsidR="00E55A43" w:rsidRPr="002F7212">
        <w:t xml:space="preserve"> </w:t>
      </w:r>
      <w:r w:rsidR="00FF2AAA" w:rsidRPr="002F7212">
        <w:t>i</w:t>
      </w:r>
      <w:r w:rsidR="002A5332" w:rsidRPr="002F7212">
        <w:t xml:space="preserve">n </w:t>
      </w:r>
      <w:r w:rsidR="003D485A">
        <w:t xml:space="preserve">respiratory </w:t>
      </w:r>
      <w:r w:rsidR="002A5332" w:rsidRPr="002F7212">
        <w:t xml:space="preserve">samples is </w:t>
      </w:r>
      <w:r w:rsidR="003D485A">
        <w:t xml:space="preserve">alarmingly high (13.2%). </w:t>
      </w:r>
      <w:r w:rsidR="002B37B9" w:rsidRPr="002F7212">
        <w:t>The majority of azole resistant isol</w:t>
      </w:r>
      <w:r w:rsidR="00B56ECF" w:rsidRPr="002F7212">
        <w:t>a</w:t>
      </w:r>
      <w:r w:rsidR="002B37B9" w:rsidRPr="002F7212">
        <w:t xml:space="preserve">tes were from patients with </w:t>
      </w:r>
      <w:r w:rsidR="001C2AAA" w:rsidRPr="002F7212">
        <w:t>CF</w:t>
      </w:r>
      <w:r w:rsidR="00120BD9" w:rsidRPr="002F7212">
        <w:t xml:space="preserve">. We found a higher </w:t>
      </w:r>
      <w:r w:rsidR="00872747" w:rsidRPr="002F7212">
        <w:t>prevalence of the environmentally drive</w:t>
      </w:r>
      <w:r w:rsidR="00120BD9" w:rsidRPr="002F7212">
        <w:t>n</w:t>
      </w:r>
      <w:r w:rsidR="00872747" w:rsidRPr="002F7212">
        <w:t xml:space="preserve"> mutation </w:t>
      </w:r>
      <w:r w:rsidR="004D5DCB" w:rsidRPr="002F7212">
        <w:t>TR</w:t>
      </w:r>
      <w:r w:rsidR="004D5DCB" w:rsidRPr="002F7212">
        <w:rPr>
          <w:vertAlign w:val="subscript"/>
        </w:rPr>
        <w:t>34</w:t>
      </w:r>
      <w:r w:rsidR="004D5DCB" w:rsidRPr="002F7212">
        <w:t>/L98H</w:t>
      </w:r>
      <w:r w:rsidR="00872747" w:rsidRPr="002F7212">
        <w:t xml:space="preserve"> </w:t>
      </w:r>
      <w:r w:rsidR="003D485A">
        <w:t>in our</w:t>
      </w:r>
      <w:r w:rsidR="00E062F8">
        <w:t xml:space="preserve"> </w:t>
      </w:r>
      <w:r w:rsidR="00E062F8" w:rsidRPr="00E062F8">
        <w:rPr>
          <w:i/>
        </w:rPr>
        <w:t>A. fumigatus</w:t>
      </w:r>
      <w:r w:rsidR="00E062F8">
        <w:t xml:space="preserve"> </w:t>
      </w:r>
      <w:r w:rsidR="003D485A">
        <w:t xml:space="preserve">isolates </w:t>
      </w:r>
      <w:r w:rsidR="00E062F8">
        <w:t>t</w:t>
      </w:r>
      <w:r w:rsidR="00872747" w:rsidRPr="002F7212">
        <w:t xml:space="preserve">han published UK data from </w:t>
      </w:r>
      <w:r w:rsidR="003D485A">
        <w:t>other specialist respiratory c</w:t>
      </w:r>
      <w:r w:rsidR="00872747" w:rsidRPr="002F7212">
        <w:t>entre</w:t>
      </w:r>
      <w:r w:rsidR="003D485A">
        <w:t>s</w:t>
      </w:r>
      <w:r w:rsidR="00872747" w:rsidRPr="002F7212">
        <w:t xml:space="preserve"> </w:t>
      </w:r>
      <w:r w:rsidR="00120BD9" w:rsidRPr="002F7212">
        <w:t xml:space="preserve">which </w:t>
      </w:r>
      <w:r w:rsidR="00E062F8">
        <w:t xml:space="preserve">may </w:t>
      </w:r>
      <w:r w:rsidR="00872747" w:rsidRPr="002F7212">
        <w:t>reflect differing patient populations managed at these institutions.</w:t>
      </w:r>
    </w:p>
    <w:p w14:paraId="41EEDFE4" w14:textId="77777777" w:rsidR="00872747" w:rsidRDefault="00872747" w:rsidP="002F7212">
      <w:pPr>
        <w:spacing w:line="480" w:lineRule="auto"/>
        <w:ind w:left="567"/>
        <w:jc w:val="both"/>
        <w:rPr>
          <w:b/>
        </w:rPr>
      </w:pPr>
    </w:p>
    <w:p w14:paraId="671F12CC" w14:textId="77777777" w:rsidR="00E062F8" w:rsidRPr="002F7212" w:rsidRDefault="00E062F8" w:rsidP="002F7212">
      <w:pPr>
        <w:spacing w:line="480" w:lineRule="auto"/>
        <w:ind w:left="567"/>
        <w:jc w:val="both"/>
        <w:rPr>
          <w:b/>
        </w:rPr>
      </w:pPr>
    </w:p>
    <w:p w14:paraId="5D50CFE6" w14:textId="11D294F5" w:rsidR="000253EC" w:rsidRPr="002F7212" w:rsidRDefault="000253EC" w:rsidP="002F7212">
      <w:pPr>
        <w:spacing w:line="480" w:lineRule="auto"/>
        <w:ind w:left="567"/>
        <w:jc w:val="both"/>
        <w:rPr>
          <w:b/>
        </w:rPr>
      </w:pPr>
      <w:r w:rsidRPr="002F7212">
        <w:rPr>
          <w:b/>
        </w:rPr>
        <w:lastRenderedPageBreak/>
        <w:t>INTRODUCTION</w:t>
      </w:r>
    </w:p>
    <w:p w14:paraId="76F0EDFA" w14:textId="284AFBFE" w:rsidR="00A00953" w:rsidRPr="002F7212" w:rsidRDefault="00B17CF8" w:rsidP="002F7212">
      <w:pPr>
        <w:spacing w:line="480" w:lineRule="auto"/>
        <w:ind w:left="567"/>
        <w:jc w:val="both"/>
      </w:pPr>
      <w:r w:rsidRPr="002F7212">
        <w:rPr>
          <w:i/>
        </w:rPr>
        <w:t>Aspergillus fumigatus</w:t>
      </w:r>
      <w:r w:rsidRPr="002F7212">
        <w:t xml:space="preserve"> is a</w:t>
      </w:r>
      <w:r w:rsidR="00C94793" w:rsidRPr="002F7212">
        <w:t xml:space="preserve"> ubiquitous ascomycete mo</w:t>
      </w:r>
      <w:r w:rsidR="00D74FBA" w:rsidRPr="002F7212">
        <w:t>u</w:t>
      </w:r>
      <w:r w:rsidR="00C94793" w:rsidRPr="002F7212">
        <w:t>ld</w:t>
      </w:r>
      <w:r w:rsidR="00E8216E" w:rsidRPr="002F7212">
        <w:t xml:space="preserve"> that can cause a </w:t>
      </w:r>
      <w:r w:rsidR="003F52CE" w:rsidRPr="002F7212">
        <w:t xml:space="preserve">wide spectrum </w:t>
      </w:r>
      <w:r w:rsidR="00E8216E" w:rsidRPr="002F7212">
        <w:t xml:space="preserve">of clinical syndromes. The pathological effects of </w:t>
      </w:r>
      <w:r w:rsidR="00E8216E" w:rsidRPr="002F7212">
        <w:rPr>
          <w:i/>
        </w:rPr>
        <w:t>A. fumigatus</w:t>
      </w:r>
      <w:r w:rsidR="00E8216E" w:rsidRPr="002F7212">
        <w:t xml:space="preserve"> depend largely on the interplay between the pathogen and host immune response ranging </w:t>
      </w:r>
      <w:r w:rsidR="001E705C" w:rsidRPr="002F7212">
        <w:t xml:space="preserve">from asymptomatic </w:t>
      </w:r>
      <w:r w:rsidR="00C94793" w:rsidRPr="002F7212">
        <w:t>coloni</w:t>
      </w:r>
      <w:r w:rsidR="00E062F8">
        <w:t>s</w:t>
      </w:r>
      <w:r w:rsidR="00C94793" w:rsidRPr="002F7212">
        <w:t>ation</w:t>
      </w:r>
      <w:r w:rsidR="001E705C" w:rsidRPr="002F7212">
        <w:t xml:space="preserve"> </w:t>
      </w:r>
      <w:r w:rsidR="00F15919" w:rsidRPr="002F7212">
        <w:t>to life-threatening infection.</w:t>
      </w:r>
      <w:r w:rsidR="00E8216E" w:rsidRPr="002F7212">
        <w:t xml:space="preserve"> Invasive aspergillosis (IA)</w:t>
      </w:r>
      <w:r w:rsidR="00F93FA7">
        <w:t>,</w:t>
      </w:r>
      <w:r w:rsidR="00E8216E" w:rsidRPr="002F7212">
        <w:t xml:space="preserve"> t</w:t>
      </w:r>
      <w:r w:rsidR="00F15919" w:rsidRPr="002F7212">
        <w:t xml:space="preserve">he most severe form of </w:t>
      </w:r>
      <w:r w:rsidR="00F15919" w:rsidRPr="002F7212">
        <w:rPr>
          <w:i/>
        </w:rPr>
        <w:t>A. fumigatus</w:t>
      </w:r>
      <w:r w:rsidR="00F15919" w:rsidRPr="002F7212">
        <w:t xml:space="preserve"> infection, predominantly affects </w:t>
      </w:r>
      <w:r w:rsidR="00F93FA7">
        <w:t xml:space="preserve">immunocompromised patients </w:t>
      </w:r>
      <w:r w:rsidR="00F15919" w:rsidRPr="002F7212">
        <w:t xml:space="preserve">while immune hyperactivity </w:t>
      </w:r>
      <w:r w:rsidR="001E705C" w:rsidRPr="002F7212">
        <w:t xml:space="preserve">can lead </w:t>
      </w:r>
      <w:r w:rsidR="00C94793" w:rsidRPr="002F7212">
        <w:t xml:space="preserve">to </w:t>
      </w:r>
      <w:r w:rsidRPr="002F7212">
        <w:t>allergic bronchopulmonary aspergillosis</w:t>
      </w:r>
      <w:r w:rsidR="007764F8" w:rsidRPr="002F7212">
        <w:t xml:space="preserve"> (ABPA) </w:t>
      </w:r>
      <w:r w:rsidR="00C94793" w:rsidRPr="002F7212">
        <w:t>and fungal sensitization</w:t>
      </w:r>
      <w:r w:rsidR="00F15919" w:rsidRPr="002F7212">
        <w:t xml:space="preserve"> in severe asthma</w:t>
      </w:r>
      <w:r w:rsidR="00F93FA7">
        <w:t xml:space="preserve"> (SAFS)</w:t>
      </w:r>
      <w:r w:rsidR="00F15919" w:rsidRPr="002F7212">
        <w:t>. In t</w:t>
      </w:r>
      <w:r w:rsidR="00D94BF0" w:rsidRPr="002F7212">
        <w:t xml:space="preserve">hose </w:t>
      </w:r>
      <w:r w:rsidR="001E705C" w:rsidRPr="002F7212">
        <w:t xml:space="preserve">with structural lung disease </w:t>
      </w:r>
      <w:r w:rsidR="001E705C" w:rsidRPr="003010FF">
        <w:rPr>
          <w:i/>
        </w:rPr>
        <w:t>A</w:t>
      </w:r>
      <w:r w:rsidR="001E705C" w:rsidRPr="00323D31">
        <w:rPr>
          <w:i/>
        </w:rPr>
        <w:t xml:space="preserve">. </w:t>
      </w:r>
      <w:r w:rsidR="001E705C" w:rsidRPr="002F7212">
        <w:rPr>
          <w:i/>
        </w:rPr>
        <w:t>fumigatus</w:t>
      </w:r>
      <w:r w:rsidR="001E705C" w:rsidRPr="002F7212">
        <w:t xml:space="preserve"> can cause chronic pulmonary aspergillosis </w:t>
      </w:r>
      <w:r w:rsidR="00086D9D" w:rsidRPr="002F7212">
        <w:t xml:space="preserve">(CPA) </w:t>
      </w:r>
      <w:r w:rsidR="001E705C" w:rsidRPr="002F7212">
        <w:t>and aspergilloma</w:t>
      </w:r>
      <w:r w:rsidR="00F15919" w:rsidRPr="002F7212">
        <w:t xml:space="preserve">. </w:t>
      </w:r>
      <w:r w:rsidR="00A00953" w:rsidRPr="002F7212">
        <w:t>More recently</w:t>
      </w:r>
      <w:r w:rsidR="00E8216E" w:rsidRPr="002F7212">
        <w:t>,</w:t>
      </w:r>
      <w:r w:rsidR="00A00953" w:rsidRPr="002F7212">
        <w:t xml:space="preserve"> </w:t>
      </w:r>
      <w:r w:rsidR="00A00953" w:rsidRPr="002F7212">
        <w:rPr>
          <w:i/>
        </w:rPr>
        <w:t>Aspergillus</w:t>
      </w:r>
      <w:r w:rsidR="00A00953" w:rsidRPr="002F7212">
        <w:t xml:space="preserve"> bronchitis has been descr</w:t>
      </w:r>
      <w:r w:rsidR="00D94BF0" w:rsidRPr="002F7212">
        <w:t>ibed predominantly affecting</w:t>
      </w:r>
      <w:r w:rsidR="00A00953" w:rsidRPr="002F7212">
        <w:t xml:space="preserve"> people with </w:t>
      </w:r>
      <w:r w:rsidR="00D94BF0" w:rsidRPr="002F7212">
        <w:t xml:space="preserve">cystic fibrosis (CF), </w:t>
      </w:r>
      <w:r w:rsidR="00A00953" w:rsidRPr="002F7212">
        <w:t>bronchiectasis, lung transplant recipients and those receiving mechanical ventilation in intensive care units</w:t>
      </w:r>
      <w:r w:rsidR="001C07F2" w:rsidRPr="002F7212">
        <w:t xml:space="preserve"> [1]</w:t>
      </w:r>
      <w:r w:rsidR="00A00953" w:rsidRPr="002F7212">
        <w:t xml:space="preserve">. </w:t>
      </w:r>
    </w:p>
    <w:p w14:paraId="4D9F64B5" w14:textId="6F30FA83" w:rsidR="00B17CF8" w:rsidRPr="002F7212" w:rsidRDefault="00F4154D" w:rsidP="002F7212">
      <w:pPr>
        <w:spacing w:line="480" w:lineRule="auto"/>
        <w:ind w:left="567"/>
        <w:jc w:val="both"/>
      </w:pPr>
      <w:r w:rsidRPr="002F7212">
        <w:t xml:space="preserve">Triazoles are the most widely used antifungal agents in prophylaxis and treatment of </w:t>
      </w:r>
      <w:r w:rsidRPr="002F7212">
        <w:rPr>
          <w:i/>
        </w:rPr>
        <w:t>Aspergillus</w:t>
      </w:r>
      <w:r w:rsidR="00BB7A36" w:rsidRPr="002F7212">
        <w:t>-related infections</w:t>
      </w:r>
      <w:r w:rsidR="00EA06DA" w:rsidRPr="002F7212">
        <w:t xml:space="preserve"> </w:t>
      </w:r>
      <w:r w:rsidR="001C07F2" w:rsidRPr="002F7212">
        <w:t xml:space="preserve">[2] </w:t>
      </w:r>
      <w:r w:rsidR="00EA06DA" w:rsidRPr="002F7212">
        <w:t>but in those with allergic disease c</w:t>
      </w:r>
      <w:r w:rsidR="00E90EC1" w:rsidRPr="002F7212">
        <w:t xml:space="preserve">orticosteroids </w:t>
      </w:r>
      <w:r w:rsidR="00EA06DA" w:rsidRPr="002F7212">
        <w:t xml:space="preserve">are often </w:t>
      </w:r>
      <w:r w:rsidR="00E90EC1" w:rsidRPr="002F7212">
        <w:t>preferred</w:t>
      </w:r>
      <w:r w:rsidR="00A238DE" w:rsidRPr="002F7212">
        <w:t xml:space="preserve"> [3]</w:t>
      </w:r>
      <w:r w:rsidRPr="002F7212">
        <w:t xml:space="preserve">. </w:t>
      </w:r>
      <w:r w:rsidR="00B17CF8" w:rsidRPr="002F7212">
        <w:t>The Infectious Diseases Society of America (IDSA) guideli</w:t>
      </w:r>
      <w:r w:rsidRPr="002F7212">
        <w:t>ne recommend</w:t>
      </w:r>
      <w:r w:rsidR="0017433B">
        <w:t>s</w:t>
      </w:r>
      <w:r w:rsidRPr="002F7212">
        <w:t xml:space="preserve"> voriconazole </w:t>
      </w:r>
      <w:r w:rsidR="00B17CF8" w:rsidRPr="002F7212">
        <w:t>the potent, broad-spectrum, triazole antifungal as the first line agent for the prima</w:t>
      </w:r>
      <w:r w:rsidR="00BB7A36" w:rsidRPr="002F7212">
        <w:t>ry treatment of IA</w:t>
      </w:r>
      <w:r w:rsidR="001C07F2" w:rsidRPr="002F7212">
        <w:t xml:space="preserve"> [2]</w:t>
      </w:r>
      <w:r w:rsidR="00B17CF8" w:rsidRPr="002F7212">
        <w:t xml:space="preserve">. </w:t>
      </w:r>
      <w:r w:rsidR="00E8216E" w:rsidRPr="002F7212">
        <w:t xml:space="preserve">Over </w:t>
      </w:r>
      <w:r w:rsidR="00023C4B" w:rsidRPr="002F7212">
        <w:t xml:space="preserve">the last decade there has been increasing reports of </w:t>
      </w:r>
      <w:r w:rsidR="00B17CF8" w:rsidRPr="002F7212">
        <w:rPr>
          <w:i/>
        </w:rPr>
        <w:t>A. fumigatus</w:t>
      </w:r>
      <w:r w:rsidR="00023C4B" w:rsidRPr="002F7212">
        <w:rPr>
          <w:i/>
        </w:rPr>
        <w:t xml:space="preserve"> </w:t>
      </w:r>
      <w:r w:rsidR="00023C4B" w:rsidRPr="002F7212">
        <w:t xml:space="preserve">resistant to </w:t>
      </w:r>
      <w:r w:rsidR="00EA06DA" w:rsidRPr="002F7212">
        <w:t>tri</w:t>
      </w:r>
      <w:r w:rsidR="00023C4B" w:rsidRPr="002F7212">
        <w:t>azoles</w:t>
      </w:r>
      <w:r w:rsidR="00B17CF8" w:rsidRPr="002F7212">
        <w:t xml:space="preserve"> with subsequent treatment failure in some patients</w:t>
      </w:r>
      <w:r w:rsidR="00EA06DA" w:rsidRPr="002F7212">
        <w:t xml:space="preserve"> causing a major clinical concern</w:t>
      </w:r>
      <w:r w:rsidR="0017433B">
        <w:t xml:space="preserve"> [4, </w:t>
      </w:r>
      <w:r w:rsidR="00A238DE" w:rsidRPr="002F7212">
        <w:t>5]</w:t>
      </w:r>
      <w:r w:rsidR="00023C4B" w:rsidRPr="002F7212">
        <w:t>. The e</w:t>
      </w:r>
      <w:r w:rsidR="00B17CF8" w:rsidRPr="002F7212">
        <w:t xml:space="preserve">mergence and </w:t>
      </w:r>
      <w:r w:rsidR="00323D31">
        <w:t>worldwide occurrence</w:t>
      </w:r>
      <w:r w:rsidR="00B17CF8" w:rsidRPr="002F7212">
        <w:t xml:space="preserve"> of azole-resistant </w:t>
      </w:r>
      <w:r w:rsidR="00023C4B" w:rsidRPr="002F7212">
        <w:rPr>
          <w:i/>
        </w:rPr>
        <w:t>A. fumigatus</w:t>
      </w:r>
      <w:r w:rsidR="00F15A80" w:rsidRPr="002F7212">
        <w:rPr>
          <w:i/>
        </w:rPr>
        <w:t xml:space="preserve"> </w:t>
      </w:r>
      <w:r w:rsidR="00F15A80" w:rsidRPr="002F7212">
        <w:t>(ARAf)</w:t>
      </w:r>
      <w:r w:rsidR="00023C4B" w:rsidRPr="002F7212">
        <w:rPr>
          <w:i/>
        </w:rPr>
        <w:t xml:space="preserve"> </w:t>
      </w:r>
      <w:r w:rsidR="00B17CF8" w:rsidRPr="002F7212">
        <w:t xml:space="preserve">isolates </w:t>
      </w:r>
      <w:r w:rsidR="00023C4B" w:rsidRPr="002F7212">
        <w:t xml:space="preserve">has raised the </w:t>
      </w:r>
      <w:r w:rsidR="00D74FBA" w:rsidRPr="002F7212">
        <w:t xml:space="preserve">realistic </w:t>
      </w:r>
      <w:r w:rsidR="00023C4B" w:rsidRPr="002F7212">
        <w:t>possibility</w:t>
      </w:r>
      <w:r w:rsidR="00323D31">
        <w:t xml:space="preserve"> that,</w:t>
      </w:r>
      <w:r w:rsidR="00023C4B" w:rsidRPr="002F7212">
        <w:t xml:space="preserve"> </w:t>
      </w:r>
      <w:r w:rsidR="00D74FBA" w:rsidRPr="002F7212">
        <w:t>in future</w:t>
      </w:r>
      <w:r w:rsidR="00323D31">
        <w:t>,</w:t>
      </w:r>
      <w:r w:rsidR="00D74FBA" w:rsidRPr="002F7212">
        <w:t xml:space="preserve"> </w:t>
      </w:r>
      <w:r w:rsidR="00023C4B" w:rsidRPr="002F7212">
        <w:t>mould-active azole</w:t>
      </w:r>
      <w:r w:rsidR="0017433B">
        <w:t>s</w:t>
      </w:r>
      <w:r w:rsidR="00023C4B" w:rsidRPr="002F7212">
        <w:t xml:space="preserve"> may cease to be </w:t>
      </w:r>
      <w:r w:rsidR="00BB7A36" w:rsidRPr="002F7212">
        <w:t>effective</w:t>
      </w:r>
      <w:r w:rsidR="00B17CF8" w:rsidRPr="002F7212">
        <w:t>.</w:t>
      </w:r>
    </w:p>
    <w:p w14:paraId="76E75B4D" w14:textId="7A2E851F" w:rsidR="00B17CF8" w:rsidRPr="002F7212" w:rsidRDefault="00FE46DF" w:rsidP="002F7212">
      <w:pPr>
        <w:spacing w:line="480" w:lineRule="auto"/>
        <w:ind w:left="567"/>
        <w:jc w:val="both"/>
      </w:pPr>
      <w:r w:rsidRPr="002F7212">
        <w:t xml:space="preserve">In </w:t>
      </w:r>
      <w:r w:rsidRPr="002F7212">
        <w:rPr>
          <w:i/>
        </w:rPr>
        <w:t>A. fumigatus</w:t>
      </w:r>
      <w:r w:rsidRPr="002F7212">
        <w:t xml:space="preserve"> the </w:t>
      </w:r>
      <w:r w:rsidRPr="002F7212">
        <w:rPr>
          <w:i/>
        </w:rPr>
        <w:t>cyp51A</w:t>
      </w:r>
      <w:r w:rsidRPr="002F7212">
        <w:t xml:space="preserve"> gene encodes l</w:t>
      </w:r>
      <w:r w:rsidR="00470AC0" w:rsidRPr="002F7212">
        <w:t xml:space="preserve">anosterol </w:t>
      </w:r>
      <w:r w:rsidR="00D74FBA" w:rsidRPr="002F7212">
        <w:t>14</w:t>
      </w:r>
      <w:r w:rsidR="00470AC0" w:rsidRPr="002F7212">
        <w:t>-</w:t>
      </w:r>
      <w:r w:rsidR="00D74FBA" w:rsidRPr="002F7212">
        <w:rPr>
          <w:rFonts w:cs="Lucida Grande"/>
          <w:color w:val="000000"/>
        </w:rPr>
        <w:t>α</w:t>
      </w:r>
      <w:r w:rsidR="00D74FBA" w:rsidRPr="002F7212">
        <w:rPr>
          <w:rFonts w:cs="Lucida Grande"/>
          <w:b/>
          <w:color w:val="000000"/>
        </w:rPr>
        <w:t xml:space="preserve"> </w:t>
      </w:r>
      <w:r w:rsidR="00D74FBA" w:rsidRPr="002F7212">
        <w:t>demethylase</w:t>
      </w:r>
      <w:r w:rsidRPr="002F7212">
        <w:t xml:space="preserve">, </w:t>
      </w:r>
      <w:r w:rsidR="00470AC0" w:rsidRPr="002F7212">
        <w:t xml:space="preserve">a cytochrome P450 enzyme </w:t>
      </w:r>
      <w:r w:rsidRPr="002F7212">
        <w:t xml:space="preserve">required for the biosynthesis of ergosterol an essential component of </w:t>
      </w:r>
      <w:r w:rsidR="0017433B">
        <w:t>the fungal cell membrane</w:t>
      </w:r>
      <w:r w:rsidR="00547293" w:rsidRPr="002F7212">
        <w:t>.</w:t>
      </w:r>
      <w:r w:rsidR="00470AC0" w:rsidRPr="002F7212">
        <w:t xml:space="preserve">  This enzyme is the target of triazole drugs</w:t>
      </w:r>
      <w:r w:rsidR="0077170D" w:rsidRPr="002F7212">
        <w:t xml:space="preserve"> and a </w:t>
      </w:r>
      <w:r w:rsidR="00C00B5D" w:rsidRPr="002F7212">
        <w:t xml:space="preserve">key site </w:t>
      </w:r>
      <w:r w:rsidR="0077170D" w:rsidRPr="002F7212">
        <w:t>of d</w:t>
      </w:r>
      <w:r w:rsidR="00A7195C" w:rsidRPr="002F7212">
        <w:t>evelopment of azole resistance</w:t>
      </w:r>
      <w:r w:rsidR="00A238DE" w:rsidRPr="002F7212">
        <w:t xml:space="preserve"> [6]</w:t>
      </w:r>
      <w:r w:rsidR="0077170D" w:rsidRPr="002F7212">
        <w:t xml:space="preserve">. </w:t>
      </w:r>
      <w:r w:rsidR="00B17CF8" w:rsidRPr="002F7212">
        <w:t xml:space="preserve">The </w:t>
      </w:r>
      <w:r w:rsidR="00C00B5D" w:rsidRPr="002F7212">
        <w:t>environmentally-</w:t>
      </w:r>
      <w:r w:rsidR="00323D31">
        <w:t>occurring</w:t>
      </w:r>
      <w:r w:rsidR="00323D31" w:rsidRPr="002F7212">
        <w:t xml:space="preserve"> </w:t>
      </w:r>
      <w:r w:rsidR="00C00B5D" w:rsidRPr="002F7212">
        <w:t>TR</w:t>
      </w:r>
      <w:r w:rsidR="00C00B5D" w:rsidRPr="002F7212">
        <w:rPr>
          <w:vertAlign w:val="subscript"/>
        </w:rPr>
        <w:t>34</w:t>
      </w:r>
      <w:r w:rsidR="00547293" w:rsidRPr="002F7212">
        <w:t xml:space="preserve">/L98H </w:t>
      </w:r>
      <w:r w:rsidR="00323D31">
        <w:t xml:space="preserve">allele </w:t>
      </w:r>
      <w:r w:rsidR="002B7675" w:rsidRPr="002F7212">
        <w:t xml:space="preserve">is a </w:t>
      </w:r>
      <w:r w:rsidR="00323D31">
        <w:t>prevalent</w:t>
      </w:r>
      <w:r w:rsidR="00323D31" w:rsidRPr="002F7212">
        <w:t xml:space="preserve"> </w:t>
      </w:r>
      <w:r w:rsidR="002B7675" w:rsidRPr="002F7212">
        <w:t xml:space="preserve">molecular mechanism of resistance to triazoles in </w:t>
      </w:r>
      <w:r w:rsidR="002B7675" w:rsidRPr="002F7212">
        <w:rPr>
          <w:i/>
        </w:rPr>
        <w:t>A. fumigatus</w:t>
      </w:r>
      <w:r w:rsidR="002B7675" w:rsidRPr="002F7212">
        <w:t xml:space="preserve"> </w:t>
      </w:r>
      <w:r w:rsidR="007533D6" w:rsidRPr="002F7212">
        <w:t>consist</w:t>
      </w:r>
      <w:r w:rsidR="002B7675" w:rsidRPr="002F7212">
        <w:t>ing o</w:t>
      </w:r>
      <w:r w:rsidR="007533D6" w:rsidRPr="002F7212">
        <w:t xml:space="preserve">f a tandem repeat (TR) of 34 bases in the promoter region of the </w:t>
      </w:r>
      <w:r w:rsidR="007533D6" w:rsidRPr="002F7212">
        <w:rPr>
          <w:i/>
        </w:rPr>
        <w:t>cyp51A</w:t>
      </w:r>
      <w:r w:rsidR="007533D6" w:rsidRPr="002F7212">
        <w:t xml:space="preserve"> gene and substitution of leucine-to-histidine at codon 98</w:t>
      </w:r>
      <w:r w:rsidR="00A238DE" w:rsidRPr="002F7212">
        <w:t xml:space="preserve"> [7]</w:t>
      </w:r>
      <w:r w:rsidR="002B7675" w:rsidRPr="002F7212">
        <w:t xml:space="preserve">. </w:t>
      </w:r>
      <w:r w:rsidR="007533D6" w:rsidRPr="002F7212">
        <w:t>T</w:t>
      </w:r>
      <w:r w:rsidRPr="002F7212">
        <w:t xml:space="preserve">his </w:t>
      </w:r>
      <w:r w:rsidR="00547293" w:rsidRPr="002F7212">
        <w:t xml:space="preserve">mutation </w:t>
      </w:r>
      <w:r w:rsidR="00323D31">
        <w:t>is found worldwide</w:t>
      </w:r>
      <w:r w:rsidR="00B17CF8" w:rsidRPr="002F7212">
        <w:t xml:space="preserve"> in </w:t>
      </w:r>
      <w:r w:rsidR="0077170D" w:rsidRPr="002F7212">
        <w:t xml:space="preserve">the </w:t>
      </w:r>
      <w:r w:rsidR="004F262B">
        <w:t>environment</w:t>
      </w:r>
      <w:r w:rsidR="00B17CF8" w:rsidRPr="002F7212">
        <w:t xml:space="preserve"> </w:t>
      </w:r>
      <w:r w:rsidR="0077170D" w:rsidRPr="002F7212">
        <w:t xml:space="preserve">but also </w:t>
      </w:r>
      <w:r w:rsidR="00547293" w:rsidRPr="002F7212">
        <w:t xml:space="preserve">in </w:t>
      </w:r>
      <w:r w:rsidR="0077170D" w:rsidRPr="002F7212">
        <w:t>c</w:t>
      </w:r>
      <w:r w:rsidR="00B17CF8" w:rsidRPr="002F7212">
        <w:t xml:space="preserve">linical isolates of </w:t>
      </w:r>
      <w:r w:rsidR="00A7195C" w:rsidRPr="002F7212">
        <w:rPr>
          <w:i/>
        </w:rPr>
        <w:t>A. fumigatus</w:t>
      </w:r>
      <w:r w:rsidR="00A238DE" w:rsidRPr="002F7212">
        <w:rPr>
          <w:i/>
        </w:rPr>
        <w:t xml:space="preserve"> </w:t>
      </w:r>
      <w:r w:rsidR="00BC1E09">
        <w:t xml:space="preserve">[8, </w:t>
      </w:r>
      <w:r w:rsidR="00A238DE" w:rsidRPr="002F7212">
        <w:t>9]</w:t>
      </w:r>
      <w:r w:rsidR="00A7195C" w:rsidRPr="002F7212">
        <w:rPr>
          <w:i/>
        </w:rPr>
        <w:t>.</w:t>
      </w:r>
      <w:r w:rsidR="00B17CF8" w:rsidRPr="002F7212">
        <w:t xml:space="preserve"> Another </w:t>
      </w:r>
      <w:r w:rsidR="00B17CF8" w:rsidRPr="002F7212">
        <w:rPr>
          <w:i/>
        </w:rPr>
        <w:t>cyp51A</w:t>
      </w:r>
      <w:r w:rsidR="00B17CF8" w:rsidRPr="002F7212">
        <w:t>-</w:t>
      </w:r>
      <w:r w:rsidR="00B17CF8" w:rsidRPr="002F7212">
        <w:lastRenderedPageBreak/>
        <w:t>mediat</w:t>
      </w:r>
      <w:r w:rsidR="0077170D" w:rsidRPr="002F7212">
        <w:t>e</w:t>
      </w:r>
      <w:r w:rsidR="00BC1E09">
        <w:t>d resistance alteration</w:t>
      </w:r>
      <w:r w:rsidR="0077170D" w:rsidRPr="002F7212">
        <w:t xml:space="preserve"> TR</w:t>
      </w:r>
      <w:r w:rsidR="0077170D" w:rsidRPr="002F7212">
        <w:rPr>
          <w:vertAlign w:val="subscript"/>
        </w:rPr>
        <w:t>46</w:t>
      </w:r>
      <w:r w:rsidR="0077170D" w:rsidRPr="002F7212">
        <w:t xml:space="preserve">/Y121F/T289A has </w:t>
      </w:r>
      <w:r w:rsidR="00323D31">
        <w:t xml:space="preserve">more recentlly </w:t>
      </w:r>
      <w:r w:rsidR="0077170D" w:rsidRPr="002F7212">
        <w:t xml:space="preserve">been described in </w:t>
      </w:r>
      <w:r w:rsidR="0077170D" w:rsidRPr="002F7212">
        <w:rPr>
          <w:i/>
        </w:rPr>
        <w:t>A. fumigatus</w:t>
      </w:r>
      <w:r w:rsidR="0077170D" w:rsidRPr="002F7212">
        <w:t xml:space="preserve"> </w:t>
      </w:r>
      <w:r w:rsidR="00EA06DA" w:rsidRPr="002F7212">
        <w:t xml:space="preserve">and </w:t>
      </w:r>
      <w:r w:rsidR="0077170D" w:rsidRPr="002F7212">
        <w:t>lead</w:t>
      </w:r>
      <w:r w:rsidR="00EA06DA" w:rsidRPr="002F7212">
        <w:t xml:space="preserve">s </w:t>
      </w:r>
      <w:r w:rsidR="00B17CF8" w:rsidRPr="002F7212">
        <w:t>to hig</w:t>
      </w:r>
      <w:r w:rsidR="0077170D" w:rsidRPr="002F7212">
        <w:t>h-level voriconazole resistance</w:t>
      </w:r>
      <w:r w:rsidR="006D2258" w:rsidRPr="002F7212">
        <w:t xml:space="preserve"> [10]</w:t>
      </w:r>
      <w:r w:rsidR="00B17CF8" w:rsidRPr="002F7212">
        <w:t xml:space="preserve">. </w:t>
      </w:r>
      <w:r w:rsidR="00BC1E09">
        <w:t>Furthermore, n</w:t>
      </w:r>
      <w:r w:rsidR="00B17CF8" w:rsidRPr="002F7212">
        <w:t xml:space="preserve">umerous mutations in </w:t>
      </w:r>
      <w:r w:rsidR="00B17CF8" w:rsidRPr="002F7212">
        <w:rPr>
          <w:i/>
        </w:rPr>
        <w:t>cyp51A</w:t>
      </w:r>
      <w:r w:rsidR="00B17CF8" w:rsidRPr="002F7212">
        <w:t xml:space="preserve"> </w:t>
      </w:r>
      <w:r w:rsidR="00BC1E09">
        <w:t xml:space="preserve">hot spots </w:t>
      </w:r>
      <w:r w:rsidR="00B17CF8" w:rsidRPr="002F7212">
        <w:t xml:space="preserve">have been reported that confer resistance to triazoles </w:t>
      </w:r>
      <w:r w:rsidR="00B17CF8" w:rsidRPr="002F7212">
        <w:rPr>
          <w:i/>
        </w:rPr>
        <w:t>in vitro</w:t>
      </w:r>
      <w:r w:rsidR="00EA06DA" w:rsidRPr="002F7212">
        <w:rPr>
          <w:i/>
        </w:rPr>
        <w:t xml:space="preserve"> </w:t>
      </w:r>
      <w:r w:rsidR="00BC1E09">
        <w:t>and</w:t>
      </w:r>
      <w:r w:rsidR="00B17CF8" w:rsidRPr="002F7212">
        <w:t xml:space="preserve"> evolve during prolonged azole treatment in patients with chronic forms of aspergillosis</w:t>
      </w:r>
      <w:r w:rsidR="006D2258" w:rsidRPr="002F7212">
        <w:t xml:space="preserve"> [6]</w:t>
      </w:r>
      <w:r w:rsidR="00B17CF8" w:rsidRPr="002F7212">
        <w:t xml:space="preserve">. </w:t>
      </w:r>
    </w:p>
    <w:p w14:paraId="36BBD2B3" w14:textId="09ED128D" w:rsidR="00340F1C" w:rsidRPr="002F7212" w:rsidRDefault="00B17CF8" w:rsidP="002F7212">
      <w:pPr>
        <w:spacing w:line="480" w:lineRule="auto"/>
        <w:ind w:left="567"/>
        <w:jc w:val="both"/>
      </w:pPr>
      <w:r w:rsidRPr="002F7212">
        <w:t xml:space="preserve">The true prevalence of </w:t>
      </w:r>
      <w:r w:rsidR="00F15A80" w:rsidRPr="002F7212">
        <w:t>ARAf i</w:t>
      </w:r>
      <w:r w:rsidRPr="002F7212">
        <w:t xml:space="preserve">s largely unknown </w:t>
      </w:r>
      <w:r w:rsidR="00EA06DA" w:rsidRPr="002F7212">
        <w:t xml:space="preserve">due to </w:t>
      </w:r>
      <w:r w:rsidR="00EB609C" w:rsidRPr="002F7212">
        <w:t xml:space="preserve">limited </w:t>
      </w:r>
      <w:r w:rsidR="00EA06DA" w:rsidRPr="002F7212">
        <w:t>sampl</w:t>
      </w:r>
      <w:r w:rsidR="004F262B">
        <w:t xml:space="preserve">ing across </w:t>
      </w:r>
      <w:r w:rsidR="00EA06DA" w:rsidRPr="002F7212">
        <w:t>populations</w:t>
      </w:r>
      <w:r w:rsidR="00BD4244">
        <w:t xml:space="preserve"> and</w:t>
      </w:r>
      <w:r w:rsidR="00EB609C" w:rsidRPr="002F7212">
        <w:t xml:space="preserve"> geographical distribution</w:t>
      </w:r>
      <w:r w:rsidR="00BD4244">
        <w:t xml:space="preserve">, and is complicated by the use of </w:t>
      </w:r>
      <w:r w:rsidR="00EB609C" w:rsidRPr="002F7212">
        <w:t xml:space="preserve">differing </w:t>
      </w:r>
      <w:r w:rsidR="00EA06DA" w:rsidRPr="002F7212">
        <w:t>detection methods</w:t>
      </w:r>
      <w:r w:rsidR="00B16321" w:rsidRPr="002F7212">
        <w:t xml:space="preserve">. Based on </w:t>
      </w:r>
      <w:r w:rsidR="00110451" w:rsidRPr="002F7212">
        <w:t xml:space="preserve">prevalence surveys across the world </w:t>
      </w:r>
      <w:r w:rsidRPr="002F7212">
        <w:t>rates</w:t>
      </w:r>
      <w:r w:rsidR="00BD4244">
        <w:t xml:space="preserve"> of azole resistance in the clinic</w:t>
      </w:r>
      <w:r w:rsidRPr="002F7212">
        <w:t xml:space="preserve"> </w:t>
      </w:r>
      <w:r w:rsidR="00BD4244">
        <w:t xml:space="preserve">range </w:t>
      </w:r>
      <w:r w:rsidR="00EB609C" w:rsidRPr="002F7212">
        <w:t xml:space="preserve">from </w:t>
      </w:r>
      <w:r w:rsidRPr="002F7212">
        <w:t>0</w:t>
      </w:r>
      <w:r w:rsidR="007533D6" w:rsidRPr="002F7212">
        <w:t>.6</w:t>
      </w:r>
      <w:r w:rsidRPr="002F7212">
        <w:t xml:space="preserve"> to 27% </w:t>
      </w:r>
      <w:r w:rsidR="006D2258" w:rsidRPr="002F7212">
        <w:t>[11]</w:t>
      </w:r>
      <w:r w:rsidRPr="002F7212">
        <w:t>.</w:t>
      </w:r>
      <w:r w:rsidR="002A3D42" w:rsidRPr="002F7212">
        <w:t xml:space="preserve"> In the UK</w:t>
      </w:r>
      <w:r w:rsidR="001A115A" w:rsidRPr="002F7212">
        <w:t>, Public Health England have</w:t>
      </w:r>
      <w:r w:rsidR="002A3D42" w:rsidRPr="002F7212">
        <w:t xml:space="preserve"> </w:t>
      </w:r>
      <w:r w:rsidR="001A115A" w:rsidRPr="002F7212">
        <w:t xml:space="preserve">published data from the </w:t>
      </w:r>
      <w:r w:rsidR="00AD1C6E">
        <w:t xml:space="preserve">National </w:t>
      </w:r>
      <w:r w:rsidR="002B7675" w:rsidRPr="002F7212">
        <w:t>Mycology</w:t>
      </w:r>
      <w:r w:rsidR="002A3D42" w:rsidRPr="002F7212">
        <w:t xml:space="preserve"> R</w:t>
      </w:r>
      <w:r w:rsidR="002B7675" w:rsidRPr="002F7212">
        <w:t xml:space="preserve">eference </w:t>
      </w:r>
      <w:r w:rsidR="002A3D42" w:rsidRPr="002F7212">
        <w:t>L</w:t>
      </w:r>
      <w:r w:rsidR="002B7675" w:rsidRPr="002F7212">
        <w:t xml:space="preserve">aboratory </w:t>
      </w:r>
      <w:r w:rsidR="00AD1C6E">
        <w:t xml:space="preserve">(MRL) </w:t>
      </w:r>
      <w:r w:rsidR="001A115A" w:rsidRPr="002F7212">
        <w:t xml:space="preserve">showing a recent </w:t>
      </w:r>
      <w:r w:rsidR="002A3D42" w:rsidRPr="002F7212">
        <w:t xml:space="preserve">increase </w:t>
      </w:r>
      <w:r w:rsidR="001A115A" w:rsidRPr="002F7212">
        <w:t xml:space="preserve">in the number of </w:t>
      </w:r>
      <w:r w:rsidR="001A115A" w:rsidRPr="002F7212">
        <w:rPr>
          <w:i/>
        </w:rPr>
        <w:t xml:space="preserve">A. fumigatus </w:t>
      </w:r>
      <w:r w:rsidR="002A3D42" w:rsidRPr="002F7212">
        <w:t>isolates with reduced susceptibility to itraconazole from 1.4%</w:t>
      </w:r>
      <w:r w:rsidR="001A115A" w:rsidRPr="002F7212">
        <w:t xml:space="preserve"> in </w:t>
      </w:r>
      <w:r w:rsidR="002A3D42" w:rsidRPr="002F7212">
        <w:t xml:space="preserve">2012 to 8.5% </w:t>
      </w:r>
      <w:r w:rsidR="001A115A" w:rsidRPr="002F7212">
        <w:t xml:space="preserve">in </w:t>
      </w:r>
      <w:r w:rsidR="002A3D42" w:rsidRPr="002F7212">
        <w:t>2016</w:t>
      </w:r>
      <w:r w:rsidR="00340F1C" w:rsidRPr="002F7212">
        <w:t xml:space="preserve"> </w:t>
      </w:r>
      <w:r w:rsidR="004F262B">
        <w:t xml:space="preserve">when </w:t>
      </w:r>
      <w:r w:rsidR="001A115A" w:rsidRPr="002F7212">
        <w:t xml:space="preserve">using </w:t>
      </w:r>
      <w:r w:rsidR="00BD4244">
        <w:t xml:space="preserve">the </w:t>
      </w:r>
      <w:r w:rsidR="001A115A" w:rsidRPr="002F7212">
        <w:t>clinical and laboratory standa</w:t>
      </w:r>
      <w:r w:rsidR="008738F7" w:rsidRPr="002F7212">
        <w:t>rds institute (CLSI) method</w:t>
      </w:r>
      <w:r w:rsidR="006D2258" w:rsidRPr="002F7212">
        <w:t xml:space="preserve"> [12]</w:t>
      </w:r>
      <w:r w:rsidR="002A3D42" w:rsidRPr="002F7212">
        <w:t>.</w:t>
      </w:r>
      <w:r w:rsidR="00340F1C" w:rsidRPr="002F7212">
        <w:t xml:space="preserve"> </w:t>
      </w:r>
      <w:r w:rsidR="00275FDB">
        <w:t>Similarly, voriconazole and posaconaozle</w:t>
      </w:r>
      <w:r w:rsidR="004F262B">
        <w:t xml:space="preserve"> </w:t>
      </w:r>
      <w:r w:rsidR="00A2068A">
        <w:t>demonstrated</w:t>
      </w:r>
      <w:r w:rsidR="00340F1C" w:rsidRPr="002F7212">
        <w:t xml:space="preserve"> reduced susceptibility of 4.7% and 6.9% respectively. </w:t>
      </w:r>
      <w:r w:rsidR="00AD1C6E">
        <w:t xml:space="preserve">In </w:t>
      </w:r>
      <w:r w:rsidR="00340F1C" w:rsidRPr="002F7212">
        <w:t>2</w:t>
      </w:r>
      <w:r w:rsidR="001A115A" w:rsidRPr="002F7212">
        <w:t>015</w:t>
      </w:r>
      <w:r w:rsidR="00AD1C6E">
        <w:t>,</w:t>
      </w:r>
      <w:r w:rsidR="001A115A" w:rsidRPr="002F7212">
        <w:t xml:space="preserve"> </w:t>
      </w:r>
      <w:r w:rsidR="00D02C42" w:rsidRPr="002F7212">
        <w:t xml:space="preserve">6.5% of </w:t>
      </w:r>
      <w:r w:rsidR="00D02C42" w:rsidRPr="002F7212">
        <w:rPr>
          <w:i/>
        </w:rPr>
        <w:t>A</w:t>
      </w:r>
      <w:r w:rsidR="001A115A" w:rsidRPr="002F7212">
        <w:rPr>
          <w:i/>
        </w:rPr>
        <w:t>.</w:t>
      </w:r>
      <w:r w:rsidR="00D02C42" w:rsidRPr="002F7212">
        <w:rPr>
          <w:i/>
        </w:rPr>
        <w:t xml:space="preserve"> fumigatus</w:t>
      </w:r>
      <w:r w:rsidR="00D02C42" w:rsidRPr="002F7212">
        <w:t xml:space="preserve"> isolates </w:t>
      </w:r>
      <w:r w:rsidR="00AD1C6E">
        <w:t>referred to MRL showed</w:t>
      </w:r>
      <w:r w:rsidR="00D02C42" w:rsidRPr="002F7212">
        <w:t xml:space="preserve"> reduced susceptibility to </w:t>
      </w:r>
      <w:r w:rsidR="002A3D42" w:rsidRPr="002F7212">
        <w:t xml:space="preserve">itraconazole </w:t>
      </w:r>
      <w:r w:rsidR="001A115A" w:rsidRPr="002F7212">
        <w:t>in contrast to 1</w:t>
      </w:r>
      <w:r w:rsidR="00D02C42" w:rsidRPr="002F7212">
        <w:t xml:space="preserve">5% </w:t>
      </w:r>
      <w:r w:rsidR="001A115A" w:rsidRPr="002F7212">
        <w:t xml:space="preserve">reported </w:t>
      </w:r>
      <w:r w:rsidR="00D02C42" w:rsidRPr="002F7212">
        <w:t xml:space="preserve">from </w:t>
      </w:r>
      <w:r w:rsidR="00BD4244">
        <w:t xml:space="preserve">the </w:t>
      </w:r>
      <w:r w:rsidR="002A3D42" w:rsidRPr="002F7212">
        <w:t>M</w:t>
      </w:r>
      <w:r w:rsidR="002B7675" w:rsidRPr="002F7212">
        <w:t xml:space="preserve">ycology </w:t>
      </w:r>
      <w:r w:rsidR="002A3D42" w:rsidRPr="002F7212">
        <w:t>R</w:t>
      </w:r>
      <w:r w:rsidR="002B7675" w:rsidRPr="002F7212">
        <w:t xml:space="preserve">eference </w:t>
      </w:r>
      <w:r w:rsidR="002A3D42" w:rsidRPr="002F7212">
        <w:t>C</w:t>
      </w:r>
      <w:r w:rsidR="002B7675" w:rsidRPr="002F7212">
        <w:t xml:space="preserve">entre </w:t>
      </w:r>
      <w:r w:rsidR="00AD1C6E">
        <w:t xml:space="preserve">in </w:t>
      </w:r>
      <w:r w:rsidR="002A3D42" w:rsidRPr="002F7212">
        <w:t>Manchester</w:t>
      </w:r>
      <w:r w:rsidR="00D02C42" w:rsidRPr="002F7212">
        <w:t xml:space="preserve"> </w:t>
      </w:r>
      <w:r w:rsidR="001A115A" w:rsidRPr="002F7212">
        <w:t>using European Committee on Antimicrobial Susceptibility Testing (EUCAST</w:t>
      </w:r>
      <w:r w:rsidR="004F262B">
        <w:t xml:space="preserve">) </w:t>
      </w:r>
      <w:r w:rsidR="00AD1C6E">
        <w:t xml:space="preserve">method </w:t>
      </w:r>
      <w:r w:rsidR="006D2258" w:rsidRPr="002F7212">
        <w:t>[12]</w:t>
      </w:r>
      <w:r w:rsidR="001A115A" w:rsidRPr="002F7212">
        <w:t xml:space="preserve">. This </w:t>
      </w:r>
      <w:r w:rsidR="00D02C42" w:rsidRPr="002F7212">
        <w:t xml:space="preserve">regional variation </w:t>
      </w:r>
      <w:r w:rsidR="00C07A68">
        <w:t>in prevalence</w:t>
      </w:r>
      <w:r w:rsidR="001A115A" w:rsidRPr="002F7212">
        <w:t xml:space="preserve"> of azole resistance </w:t>
      </w:r>
      <w:r w:rsidR="00C07A68">
        <w:t>in</w:t>
      </w:r>
      <w:r w:rsidR="0096514E">
        <w:t xml:space="preserve"> clinical A</w:t>
      </w:r>
      <w:r w:rsidR="00C07A68" w:rsidRPr="0096514E">
        <w:rPr>
          <w:i/>
        </w:rPr>
        <w:t>. fumigatus</w:t>
      </w:r>
      <w:r w:rsidR="00C07A68">
        <w:t xml:space="preserve"> </w:t>
      </w:r>
      <w:r w:rsidR="0096514E">
        <w:t xml:space="preserve">isolates is </w:t>
      </w:r>
      <w:r w:rsidR="001A115A" w:rsidRPr="002F7212">
        <w:t xml:space="preserve">likely </w:t>
      </w:r>
      <w:r w:rsidR="0096514E" w:rsidRPr="002F7212">
        <w:t>related</w:t>
      </w:r>
      <w:r w:rsidR="001A115A" w:rsidRPr="002F7212">
        <w:t xml:space="preserve"> to </w:t>
      </w:r>
      <w:r w:rsidR="00BD4244">
        <w:t>different</w:t>
      </w:r>
      <w:r w:rsidR="00BD4244" w:rsidRPr="002F7212">
        <w:t xml:space="preserve"> </w:t>
      </w:r>
      <w:r w:rsidR="001A115A" w:rsidRPr="002F7212">
        <w:t>patient populations</w:t>
      </w:r>
      <w:r w:rsidR="0096514E">
        <w:t xml:space="preserve"> treated in different centres</w:t>
      </w:r>
      <w:r w:rsidR="00D02C42" w:rsidRPr="002F7212">
        <w:t>.</w:t>
      </w:r>
      <w:r w:rsidR="00340F1C" w:rsidRPr="002F7212">
        <w:t xml:space="preserve"> </w:t>
      </w:r>
      <w:r w:rsidR="0096514E">
        <w:t>U</w:t>
      </w:r>
      <w:r w:rsidR="00340F1C" w:rsidRPr="002F7212">
        <w:t xml:space="preserve">npublished data from a recent </w:t>
      </w:r>
      <w:r w:rsidR="00AD1C6E">
        <w:t>survey</w:t>
      </w:r>
      <w:r w:rsidR="0096514E">
        <w:t xml:space="preserve"> in</w:t>
      </w:r>
      <w:r w:rsidR="00340F1C" w:rsidRPr="002F7212">
        <w:t xml:space="preserve"> a centralised mycology </w:t>
      </w:r>
      <w:r w:rsidR="0096514E">
        <w:t>laboratory in West London revealed low prevalence of</w:t>
      </w:r>
      <w:r w:rsidR="00340F1C" w:rsidRPr="002F7212">
        <w:t xml:space="preserve"> azole resistance </w:t>
      </w:r>
      <w:r w:rsidR="0096514E">
        <w:t>(</w:t>
      </w:r>
      <w:r w:rsidR="00340F1C" w:rsidRPr="002F7212">
        <w:t>2.2%</w:t>
      </w:r>
      <w:r w:rsidR="0096514E">
        <w:t>)</w:t>
      </w:r>
      <w:r w:rsidR="00340F1C" w:rsidRPr="002F7212">
        <w:t xml:space="preserve"> in 356 isolates over a 2-year period (2015-2017) </w:t>
      </w:r>
      <w:r w:rsidR="00BC1E09">
        <w:t>(</w:t>
      </w:r>
      <w:r w:rsidR="00340F1C" w:rsidRPr="002F7212">
        <w:t xml:space="preserve">A Abdolrasouli, Diagnostic Mycology Service, North West London Pathology). </w:t>
      </w:r>
    </w:p>
    <w:p w14:paraId="0C7A418B" w14:textId="39A1DE5C" w:rsidR="00C3698B" w:rsidRPr="002F7212" w:rsidRDefault="00267E53" w:rsidP="002F7212">
      <w:pPr>
        <w:spacing w:line="480" w:lineRule="auto"/>
        <w:ind w:left="567"/>
        <w:jc w:val="both"/>
      </w:pPr>
      <w:r w:rsidRPr="002F7212">
        <w:t xml:space="preserve">A review of studies across Europe investigating ARAf in CF </w:t>
      </w:r>
      <w:r w:rsidR="004D4B5E">
        <w:t xml:space="preserve">have shown </w:t>
      </w:r>
      <w:r w:rsidRPr="002F7212">
        <w:t>an average prevalence of 4.2% from</w:t>
      </w:r>
      <w:r w:rsidR="004D4B5E">
        <w:t xml:space="preserve"> a sample of</w:t>
      </w:r>
      <w:r w:rsidRPr="002F7212">
        <w:t xml:space="preserve"> 664 patients. In this </w:t>
      </w:r>
      <w:r w:rsidR="00330E2C">
        <w:t xml:space="preserve">series </w:t>
      </w:r>
      <w:r w:rsidRPr="002F7212">
        <w:t>TR</w:t>
      </w:r>
      <w:r w:rsidRPr="002F7212">
        <w:rPr>
          <w:vertAlign w:val="subscript"/>
        </w:rPr>
        <w:t>34</w:t>
      </w:r>
      <w:r w:rsidRPr="002F7212">
        <w:t>/L98H was found to be the most common resistance mechanism in 60.7% of 17 ARAf isolates</w:t>
      </w:r>
      <w:r w:rsidR="00330E2C">
        <w:t xml:space="preserve"> [13]</w:t>
      </w:r>
      <w:r w:rsidRPr="002F7212">
        <w:t>. In the UK</w:t>
      </w:r>
      <w:r w:rsidR="002B1CA1">
        <w:t>,</w:t>
      </w:r>
      <w:r w:rsidRPr="002F7212">
        <w:t xml:space="preserve"> TR</w:t>
      </w:r>
      <w:r w:rsidRPr="002F7212">
        <w:rPr>
          <w:vertAlign w:val="subscript"/>
        </w:rPr>
        <w:t>34</w:t>
      </w:r>
      <w:r w:rsidRPr="002F7212">
        <w:t xml:space="preserve">/L98H was detected in 6% </w:t>
      </w:r>
      <w:r w:rsidR="00330E2C">
        <w:t xml:space="preserve">(2/34) </w:t>
      </w:r>
      <w:r w:rsidR="002B4D0C">
        <w:t xml:space="preserve">ARAf </w:t>
      </w:r>
      <w:r w:rsidR="00330E2C">
        <w:t>culture positive isolates</w:t>
      </w:r>
      <w:r w:rsidR="002B1CA1" w:rsidRPr="002B1CA1">
        <w:t xml:space="preserve"> </w:t>
      </w:r>
      <w:r w:rsidR="004D4B5E">
        <w:t xml:space="preserve">from patients attending </w:t>
      </w:r>
      <w:r w:rsidR="002B1CA1">
        <w:t xml:space="preserve">the </w:t>
      </w:r>
      <w:r w:rsidR="002B1CA1" w:rsidRPr="002B1CA1">
        <w:t>National Aspergillosis Centre in Manchester</w:t>
      </w:r>
      <w:r w:rsidR="002B4D0C">
        <w:t xml:space="preserve"> </w:t>
      </w:r>
      <w:r w:rsidR="006D2258" w:rsidRPr="002F7212">
        <w:t>[</w:t>
      </w:r>
      <w:r w:rsidR="00330E2C">
        <w:t>14</w:t>
      </w:r>
      <w:r w:rsidR="006D2258" w:rsidRPr="002F7212">
        <w:t>]</w:t>
      </w:r>
      <w:r w:rsidRPr="002F7212">
        <w:t xml:space="preserve">. </w:t>
      </w:r>
    </w:p>
    <w:p w14:paraId="0A80E8AA" w14:textId="1D13BDE4" w:rsidR="00B56ECF" w:rsidRDefault="004D4B5E" w:rsidP="002F7212">
      <w:pPr>
        <w:spacing w:line="480" w:lineRule="auto"/>
        <w:ind w:left="567"/>
        <w:jc w:val="both"/>
        <w:rPr>
          <w:lang w:val="en"/>
        </w:rPr>
      </w:pPr>
      <w:r>
        <w:t>In this study we aim to define</w:t>
      </w:r>
      <w:r w:rsidR="00B17CF8" w:rsidRPr="002F7212">
        <w:t xml:space="preserve"> </w:t>
      </w:r>
      <w:r>
        <w:t xml:space="preserve">the </w:t>
      </w:r>
      <w:r w:rsidR="00B17CF8" w:rsidRPr="002F7212">
        <w:t xml:space="preserve">prevalence of azole-resistant </w:t>
      </w:r>
      <w:r w:rsidR="00B17CF8" w:rsidRPr="002F7212">
        <w:rPr>
          <w:i/>
        </w:rPr>
        <w:t>A. fumigatus</w:t>
      </w:r>
      <w:r w:rsidR="00B17CF8" w:rsidRPr="002F7212">
        <w:t xml:space="preserve"> </w:t>
      </w:r>
      <w:r w:rsidR="007533D6" w:rsidRPr="002F7212">
        <w:t xml:space="preserve">in unselected isolates </w:t>
      </w:r>
      <w:r>
        <w:t xml:space="preserve">of </w:t>
      </w:r>
      <w:r>
        <w:rPr>
          <w:i/>
        </w:rPr>
        <w:t xml:space="preserve">A. fumigatus </w:t>
      </w:r>
      <w:r>
        <w:t xml:space="preserve"> that are </w:t>
      </w:r>
      <w:r w:rsidR="002B1CA1">
        <w:t>obtained</w:t>
      </w:r>
      <w:r w:rsidR="00B17CF8" w:rsidRPr="002F7212">
        <w:t xml:space="preserve"> </w:t>
      </w:r>
      <w:r w:rsidR="00F06E64" w:rsidRPr="002F7212">
        <w:t>from</w:t>
      </w:r>
      <w:r w:rsidR="002B1CA1">
        <w:t xml:space="preserve"> patients at</w:t>
      </w:r>
      <w:r w:rsidR="003234D2">
        <w:t xml:space="preserve"> Royal Brompton and Harefield NHS Trust</w:t>
      </w:r>
      <w:r w:rsidR="002B4D0C">
        <w:t xml:space="preserve"> (RBHT) </w:t>
      </w:r>
      <w:r>
        <w:lastRenderedPageBreak/>
        <w:t>that are isolated using routine diagnostic workflows.</w:t>
      </w:r>
      <w:r w:rsidR="003234D2">
        <w:t xml:space="preserve"> Currently, </w:t>
      </w:r>
      <w:r w:rsidR="00F06E64" w:rsidRPr="002F7212">
        <w:t xml:space="preserve">approximately </w:t>
      </w:r>
      <w:r w:rsidR="00B56ECF" w:rsidRPr="002F7212">
        <w:rPr>
          <w:lang w:val="en"/>
        </w:rPr>
        <w:t xml:space="preserve">600 adult and 340 paediatric patients </w:t>
      </w:r>
      <w:r w:rsidR="003234D2">
        <w:rPr>
          <w:lang w:val="en"/>
        </w:rPr>
        <w:t xml:space="preserve">are </w:t>
      </w:r>
      <w:r w:rsidR="00F06E64" w:rsidRPr="002F7212">
        <w:rPr>
          <w:lang w:val="en"/>
        </w:rPr>
        <w:t>a</w:t>
      </w:r>
      <w:r w:rsidR="00B56ECF" w:rsidRPr="002F7212">
        <w:rPr>
          <w:lang w:val="en"/>
        </w:rPr>
        <w:t xml:space="preserve">ctively followed </w:t>
      </w:r>
      <w:r w:rsidR="00F06E64" w:rsidRPr="002F7212">
        <w:rPr>
          <w:lang w:val="en"/>
        </w:rPr>
        <w:t>with CF</w:t>
      </w:r>
      <w:r w:rsidR="002B1CA1">
        <w:rPr>
          <w:lang w:val="en"/>
        </w:rPr>
        <w:t xml:space="preserve"> in this centre</w:t>
      </w:r>
      <w:r w:rsidR="00F06E64" w:rsidRPr="002F7212">
        <w:rPr>
          <w:lang w:val="en"/>
        </w:rPr>
        <w:t>.</w:t>
      </w:r>
    </w:p>
    <w:p w14:paraId="59EF6132" w14:textId="77777777" w:rsidR="002F7212" w:rsidRPr="002F7212" w:rsidRDefault="002F7212" w:rsidP="002F7212">
      <w:pPr>
        <w:spacing w:line="480" w:lineRule="auto"/>
        <w:ind w:left="567"/>
        <w:jc w:val="both"/>
      </w:pPr>
    </w:p>
    <w:p w14:paraId="10EBE96C" w14:textId="7E44265A" w:rsidR="00AB36D0" w:rsidRPr="002F7212" w:rsidRDefault="00F15A80" w:rsidP="002F7212">
      <w:pPr>
        <w:spacing w:line="480" w:lineRule="auto"/>
        <w:ind w:left="567"/>
        <w:jc w:val="both"/>
        <w:rPr>
          <w:b/>
        </w:rPr>
      </w:pPr>
      <w:r w:rsidRPr="002F7212">
        <w:rPr>
          <w:b/>
        </w:rPr>
        <w:t>M</w:t>
      </w:r>
      <w:r w:rsidR="00A21CB3" w:rsidRPr="002F7212">
        <w:rPr>
          <w:b/>
        </w:rPr>
        <w:t>AT</w:t>
      </w:r>
      <w:r w:rsidR="00AB36D0" w:rsidRPr="002F7212">
        <w:rPr>
          <w:b/>
        </w:rPr>
        <w:t>ERIALS AND METHODS</w:t>
      </w:r>
    </w:p>
    <w:p w14:paraId="4566926D" w14:textId="1968905F" w:rsidR="00AB36D0" w:rsidRPr="002F7212" w:rsidRDefault="00AB36D0" w:rsidP="002F7212">
      <w:pPr>
        <w:spacing w:line="480" w:lineRule="auto"/>
        <w:ind w:left="567"/>
        <w:jc w:val="both"/>
      </w:pPr>
      <w:r w:rsidRPr="002F7212">
        <w:rPr>
          <w:b/>
        </w:rPr>
        <w:t>Fungal isolates:</w:t>
      </w:r>
      <w:r w:rsidRPr="002F7212">
        <w:t xml:space="preserve"> </w:t>
      </w:r>
      <w:r w:rsidRPr="002F7212">
        <w:rPr>
          <w:i/>
        </w:rPr>
        <w:t>A.</w:t>
      </w:r>
      <w:r w:rsidRPr="002F7212">
        <w:t xml:space="preserve"> </w:t>
      </w:r>
      <w:r w:rsidRPr="002F7212">
        <w:rPr>
          <w:i/>
        </w:rPr>
        <w:t xml:space="preserve">fumigatus </w:t>
      </w:r>
      <w:r w:rsidRPr="002F7212">
        <w:t>isolates were prospectively collected from April 2014 to March 2016 independent of clinical significance. All isolates were cultured from routine clinical samples submitted to the diagnostic microbiology laboratory at the RBH</w:t>
      </w:r>
      <w:r w:rsidR="00DB6851" w:rsidRPr="002F7212">
        <w:t>T</w:t>
      </w:r>
      <w:r w:rsidRPr="002F7212">
        <w:t>.</w:t>
      </w:r>
      <w:r w:rsidR="00C84CA2">
        <w:t xml:space="preserve"> </w:t>
      </w:r>
      <w:r w:rsidRPr="002F7212">
        <w:t xml:space="preserve">Local standard operative procedures were followed to culture clinical samples and to identify fungal isolates. Identification of isolates was based on their colonial characteristics and microscopic features. All fungal isolates identified as </w:t>
      </w:r>
      <w:r w:rsidRPr="002F7212">
        <w:rPr>
          <w:i/>
        </w:rPr>
        <w:t>A. fumigatus</w:t>
      </w:r>
      <w:r w:rsidRPr="002F7212">
        <w:t xml:space="preserve"> during the study period were sub-cultured and saved on Sabouraud-dextrose agar slopes </w:t>
      </w:r>
      <w:r w:rsidR="00FB75AB">
        <w:t>(Oxoid, Basingstoke, UK)</w:t>
      </w:r>
      <w:r w:rsidRPr="002F7212">
        <w:t>. These isolates were later transferred to the Fungal Pathogens Laboratory, based at the National</w:t>
      </w:r>
      <w:r w:rsidR="002B4D0C">
        <w:t xml:space="preserve"> Heart and Lung Institute</w:t>
      </w:r>
      <w:r w:rsidRPr="002F7212">
        <w:t xml:space="preserve">, Imperial College London for further investigation.  </w:t>
      </w:r>
    </w:p>
    <w:p w14:paraId="2AB0DE27" w14:textId="5B775D5C" w:rsidR="0095330D" w:rsidRPr="002F7212" w:rsidRDefault="00AB36D0" w:rsidP="002F7212">
      <w:pPr>
        <w:spacing w:line="480" w:lineRule="auto"/>
        <w:ind w:left="567"/>
        <w:jc w:val="both"/>
      </w:pPr>
      <w:r w:rsidRPr="002F7212">
        <w:rPr>
          <w:b/>
        </w:rPr>
        <w:t>Azole resistance screen and confirmation:</w:t>
      </w:r>
      <w:r w:rsidRPr="002F7212">
        <w:t xml:space="preserve"> </w:t>
      </w:r>
      <w:r w:rsidR="00FB75AB">
        <w:t xml:space="preserve">All </w:t>
      </w:r>
      <w:r w:rsidR="00FB75AB" w:rsidRPr="00FB75AB">
        <w:rPr>
          <w:i/>
        </w:rPr>
        <w:t>A. fumigatus</w:t>
      </w:r>
      <w:r w:rsidR="00FB75AB">
        <w:t xml:space="preserve"> </w:t>
      </w:r>
      <w:r w:rsidR="00D956D5">
        <w:t>i</w:t>
      </w:r>
      <w:r w:rsidR="00A90CC1">
        <w:t>solates were screened for azole</w:t>
      </w:r>
      <w:r w:rsidR="00A90CC1" w:rsidRPr="00A90CC1">
        <w:t xml:space="preserve"> </w:t>
      </w:r>
      <w:r w:rsidR="00A90CC1" w:rsidRPr="002F7212">
        <w:t xml:space="preserve">susceptibility </w:t>
      </w:r>
      <w:r w:rsidR="00A90CC1">
        <w:t>using a</w:t>
      </w:r>
      <w:r w:rsidRPr="002F7212">
        <w:t xml:space="preserve"> 4-well VIPcheck</w:t>
      </w:r>
      <w:r w:rsidRPr="002F7212">
        <w:rPr>
          <w:rFonts w:cs="Lucida Grande"/>
          <w:color w:val="000000"/>
        </w:rPr>
        <w:t>™</w:t>
      </w:r>
      <w:r w:rsidRPr="002F7212">
        <w:t xml:space="preserve"> plate (Balis </w:t>
      </w:r>
      <w:r w:rsidR="00F64495" w:rsidRPr="002F7212">
        <w:t>Laboratorium, Boven-Leeuwen,</w:t>
      </w:r>
      <w:r w:rsidRPr="002F7212">
        <w:t xml:space="preserve"> Netherlands) as previously described</w:t>
      </w:r>
      <w:r w:rsidR="00F64495" w:rsidRPr="002F7212">
        <w:t xml:space="preserve"> [</w:t>
      </w:r>
      <w:r w:rsidR="00330E2C">
        <w:t>15</w:t>
      </w:r>
      <w:r w:rsidR="00FB75AB">
        <w:t xml:space="preserve">, </w:t>
      </w:r>
      <w:r w:rsidR="00F64495" w:rsidRPr="002F7212">
        <w:t>1</w:t>
      </w:r>
      <w:r w:rsidR="00330E2C">
        <w:t>6</w:t>
      </w:r>
      <w:r w:rsidR="00F64495" w:rsidRPr="002F7212">
        <w:t>]</w:t>
      </w:r>
      <w:r w:rsidRPr="002F7212">
        <w:t>. In addition, any azole</w:t>
      </w:r>
      <w:r w:rsidR="00F15A80" w:rsidRPr="002F7212">
        <w:t xml:space="preserve"> </w:t>
      </w:r>
      <w:r w:rsidRPr="002F7212">
        <w:t>resistan</w:t>
      </w:r>
      <w:r w:rsidR="0093539D" w:rsidRPr="002F7212">
        <w:t>t</w:t>
      </w:r>
      <w:r w:rsidRPr="002F7212">
        <w:t xml:space="preserve"> isolate was confirmed with a standa</w:t>
      </w:r>
      <w:r w:rsidR="00FB75AB">
        <w:t xml:space="preserve">rd microbroth dilution method according to </w:t>
      </w:r>
      <w:r w:rsidRPr="002F7212">
        <w:t>EUCAST</w:t>
      </w:r>
      <w:r w:rsidR="008738F7" w:rsidRPr="002F7212">
        <w:t xml:space="preserve"> reference guideline</w:t>
      </w:r>
      <w:r w:rsidRPr="002F7212">
        <w:t xml:space="preserve"> </w:t>
      </w:r>
      <w:r w:rsidR="00F4689A" w:rsidRPr="002F7212">
        <w:t>[</w:t>
      </w:r>
      <w:r w:rsidR="00330E2C">
        <w:t>17</w:t>
      </w:r>
      <w:r w:rsidR="00F4689A" w:rsidRPr="002F7212">
        <w:t xml:space="preserve">] </w:t>
      </w:r>
      <w:r w:rsidRPr="002F7212">
        <w:t xml:space="preserve">for seven antifungal agents and </w:t>
      </w:r>
      <w:r w:rsidR="00D956D5">
        <w:t xml:space="preserve">also an </w:t>
      </w:r>
      <w:r w:rsidRPr="002F7212">
        <w:t>itraconazole E-test.</w:t>
      </w:r>
      <w:r w:rsidR="00A73A9E" w:rsidRPr="002F7212">
        <w:t xml:space="preserve"> Identification of</w:t>
      </w:r>
      <w:r w:rsidRPr="002F7212">
        <w:t xml:space="preserve"> isolates</w:t>
      </w:r>
      <w:r w:rsidR="00A90CC1">
        <w:t xml:space="preserve"> with azole resistant phenotype</w:t>
      </w:r>
      <w:r w:rsidRPr="002F7212">
        <w:t xml:space="preserve"> (i.e. growth on azole-containing wells in VIPcheck</w:t>
      </w:r>
      <w:r w:rsidRPr="002F7212">
        <w:rPr>
          <w:rFonts w:cs="Lucida Grande"/>
          <w:color w:val="000000"/>
        </w:rPr>
        <w:t>™</w:t>
      </w:r>
      <w:r w:rsidR="00FC2899" w:rsidRPr="002F7212">
        <w:t xml:space="preserve"> plate,</w:t>
      </w:r>
      <w:r w:rsidRPr="002F7212">
        <w:t xml:space="preserve"> raised </w:t>
      </w:r>
      <w:r w:rsidR="00FC2899" w:rsidRPr="002F7212">
        <w:t>minimum inhibitory concentration (</w:t>
      </w:r>
      <w:r w:rsidRPr="002F7212">
        <w:t>MIC</w:t>
      </w:r>
      <w:r w:rsidR="00FC2899" w:rsidRPr="002F7212">
        <w:t>)</w:t>
      </w:r>
      <w:r w:rsidRPr="002F7212">
        <w:t xml:space="preserve"> to any triazole agents on microbroth dilution testing</w:t>
      </w:r>
      <w:r w:rsidR="00FC2899" w:rsidRPr="002F7212">
        <w:t xml:space="preserve"> and raised MIC to itraconazole using</w:t>
      </w:r>
      <w:r w:rsidR="00D956D5">
        <w:t xml:space="preserve"> an</w:t>
      </w:r>
      <w:r w:rsidR="00FC2899" w:rsidRPr="002F7212">
        <w:t xml:space="preserve"> E-test</w:t>
      </w:r>
      <w:r w:rsidRPr="002F7212">
        <w:t>) was confirmed by growth at 45</w:t>
      </w:r>
      <w:r w:rsidRPr="002F7212">
        <w:rPr>
          <w:rFonts w:cs="Lucida Grande"/>
          <w:b/>
          <w:color w:val="000000"/>
        </w:rPr>
        <w:t>°</w:t>
      </w:r>
      <w:r w:rsidRPr="002F7212">
        <w:t>C to exclude</w:t>
      </w:r>
      <w:r w:rsidRPr="002F7212">
        <w:rPr>
          <w:rFonts w:eastAsia="Times New Roman" w:cs="Arial"/>
          <w:sz w:val="16"/>
          <w:szCs w:val="16"/>
          <w:lang w:eastAsia="en-GB"/>
        </w:rPr>
        <w:t xml:space="preserve"> </w:t>
      </w:r>
      <w:r w:rsidRPr="002F7212">
        <w:t>most cryptic species</w:t>
      </w:r>
      <w:r w:rsidR="00FB75AB">
        <w:t xml:space="preserve"> that may exhibit</w:t>
      </w:r>
      <w:r w:rsidR="00A90CC1">
        <w:t xml:space="preserve"> </w:t>
      </w:r>
      <w:r w:rsidRPr="002F7212">
        <w:t xml:space="preserve">intrinsic resistance to triazole antifungal agents. </w:t>
      </w:r>
    </w:p>
    <w:p w14:paraId="29E34FBA" w14:textId="50AFF45F" w:rsidR="00B17CF8" w:rsidRPr="002F7212" w:rsidRDefault="00AB36D0" w:rsidP="002F7212">
      <w:pPr>
        <w:spacing w:line="480" w:lineRule="auto"/>
        <w:ind w:left="567"/>
        <w:jc w:val="both"/>
      </w:pPr>
      <w:r w:rsidRPr="002F7212">
        <w:rPr>
          <w:b/>
        </w:rPr>
        <w:t>Mechanism of resistance:</w:t>
      </w:r>
      <w:r w:rsidRPr="002F7212">
        <w:t xml:space="preserve"> In order to investigate the common </w:t>
      </w:r>
      <w:r w:rsidRPr="002F7212">
        <w:rPr>
          <w:i/>
        </w:rPr>
        <w:t>cyp51A</w:t>
      </w:r>
      <w:r w:rsidRPr="002F7212">
        <w:t>-depe</w:t>
      </w:r>
      <w:r w:rsidR="00FC2899" w:rsidRPr="002F7212">
        <w:t xml:space="preserve">ndant mechanisms of resistance all </w:t>
      </w:r>
      <w:r w:rsidR="00FC2899" w:rsidRPr="002F7212">
        <w:rPr>
          <w:i/>
        </w:rPr>
        <w:t>A</w:t>
      </w:r>
      <w:r w:rsidR="0095330D" w:rsidRPr="002F7212">
        <w:rPr>
          <w:i/>
        </w:rPr>
        <w:t>.</w:t>
      </w:r>
      <w:r w:rsidRPr="002F7212">
        <w:rPr>
          <w:i/>
        </w:rPr>
        <w:t xml:space="preserve"> fumigatus</w:t>
      </w:r>
      <w:r w:rsidRPr="002F7212">
        <w:t xml:space="preserve"> isolates with azole-resistant phenotype were characterised for resistance mechanisms using AsperGenius</w:t>
      </w:r>
      <w:r w:rsidR="00FD41B8" w:rsidRPr="002F7212">
        <w:rPr>
          <w:rFonts w:cs="Lucida Grande"/>
          <w:b/>
          <w:color w:val="000000"/>
          <w:vertAlign w:val="superscript"/>
        </w:rPr>
        <w:t>®</w:t>
      </w:r>
      <w:r w:rsidRPr="002F7212">
        <w:t xml:space="preserve"> </w:t>
      </w:r>
      <w:r w:rsidR="0095330D" w:rsidRPr="002F7212">
        <w:t>RT-PCR assay</w:t>
      </w:r>
      <w:r w:rsidR="00DB6851" w:rsidRPr="002F7212">
        <w:t xml:space="preserve"> (PathoNostics</w:t>
      </w:r>
      <w:r w:rsidR="00FB75AB">
        <w:t>, Maastricht, Netherlands</w:t>
      </w:r>
      <w:r w:rsidR="00DB6851" w:rsidRPr="002F7212">
        <w:t>)</w:t>
      </w:r>
      <w:r w:rsidR="0095330D" w:rsidRPr="002F7212">
        <w:t>.</w:t>
      </w:r>
      <w:r w:rsidRPr="002F7212">
        <w:t xml:space="preserve"> Th</w:t>
      </w:r>
      <w:r w:rsidR="00D956D5">
        <w:t>is</w:t>
      </w:r>
      <w:r w:rsidRPr="002F7212">
        <w:t xml:space="preserve"> </w:t>
      </w:r>
      <w:r w:rsidR="00D956D5">
        <w:lastRenderedPageBreak/>
        <w:t xml:space="preserve">quantitative </w:t>
      </w:r>
      <w:r w:rsidRPr="002F7212">
        <w:t xml:space="preserve">PCR </w:t>
      </w:r>
      <w:r w:rsidR="00D956D5">
        <w:t xml:space="preserve">reaction </w:t>
      </w:r>
      <w:r w:rsidRPr="002F7212">
        <w:t xml:space="preserve">targets the single copy </w:t>
      </w:r>
      <w:r w:rsidRPr="002F7212">
        <w:rPr>
          <w:i/>
        </w:rPr>
        <w:t>cyp51A</w:t>
      </w:r>
      <w:r w:rsidRPr="002F7212">
        <w:t xml:space="preserve"> gene of </w:t>
      </w:r>
      <w:r w:rsidR="0095330D" w:rsidRPr="002F7212">
        <w:rPr>
          <w:i/>
        </w:rPr>
        <w:t>A.</w:t>
      </w:r>
      <w:r w:rsidRPr="002F7212">
        <w:rPr>
          <w:i/>
        </w:rPr>
        <w:t xml:space="preserve"> fumigatus</w:t>
      </w:r>
      <w:r w:rsidRPr="002F7212">
        <w:t xml:space="preserve"> </w:t>
      </w:r>
      <w:r w:rsidR="0095330D" w:rsidRPr="002F7212">
        <w:t>and</w:t>
      </w:r>
      <w:r w:rsidRPr="002F7212">
        <w:t xml:space="preserve"> detects the TR</w:t>
      </w:r>
      <w:r w:rsidRPr="002F7212">
        <w:rPr>
          <w:vertAlign w:val="subscript"/>
        </w:rPr>
        <w:t>34</w:t>
      </w:r>
      <w:r w:rsidRPr="002F7212">
        <w:t xml:space="preserve">, L98H, Y121F and T289A mutations </w:t>
      </w:r>
      <w:r w:rsidR="005563A7">
        <w:t xml:space="preserve">in order </w:t>
      </w:r>
      <w:r w:rsidRPr="002F7212">
        <w:t xml:space="preserve">to </w:t>
      </w:r>
      <w:r w:rsidRPr="00A90CC1">
        <w:t xml:space="preserve">differentiate </w:t>
      </w:r>
      <w:r w:rsidR="0095330D" w:rsidRPr="00A90CC1">
        <w:t>wild-type (</w:t>
      </w:r>
      <w:r w:rsidRPr="00A90CC1">
        <w:t>WT</w:t>
      </w:r>
      <w:r w:rsidR="0095330D" w:rsidRPr="00A90CC1">
        <w:t>)</w:t>
      </w:r>
      <w:r w:rsidRPr="00A90CC1">
        <w:t xml:space="preserve"> from mutant </w:t>
      </w:r>
      <w:r w:rsidRPr="00A90CC1">
        <w:rPr>
          <w:i/>
        </w:rPr>
        <w:t>A. fumigatus</w:t>
      </w:r>
      <w:r w:rsidRPr="00A90CC1">
        <w:t xml:space="preserve"> stra</w:t>
      </w:r>
      <w:r w:rsidR="0095330D" w:rsidRPr="00A90CC1">
        <w:t xml:space="preserve">ins </w:t>
      </w:r>
      <w:r w:rsidR="0095330D" w:rsidRPr="003010FF">
        <w:rPr>
          <w:i/>
        </w:rPr>
        <w:t>via</w:t>
      </w:r>
      <w:r w:rsidR="0095330D" w:rsidRPr="00A90CC1">
        <w:t xml:space="preserve"> melting curve analysis.</w:t>
      </w:r>
      <w:r w:rsidRPr="00A90CC1">
        <w:t xml:space="preserve"> </w:t>
      </w:r>
      <w:r w:rsidR="00FB75AB">
        <w:t>Fungal g</w:t>
      </w:r>
      <w:r w:rsidRPr="00A90CC1">
        <w:t>enomic DNA samples were prepared as described previously</w:t>
      </w:r>
      <w:r w:rsidR="00F4689A" w:rsidRPr="00A90CC1">
        <w:t xml:space="preserve"> [1</w:t>
      </w:r>
      <w:r w:rsidR="00A90CC1">
        <w:t>8</w:t>
      </w:r>
      <w:r w:rsidR="00F4689A" w:rsidRPr="00A90CC1">
        <w:t>]</w:t>
      </w:r>
      <w:r w:rsidR="0095330D" w:rsidRPr="00A90CC1">
        <w:t xml:space="preserve">. </w:t>
      </w:r>
      <w:r w:rsidRPr="00A90CC1">
        <w:t>For the</w:t>
      </w:r>
      <w:r w:rsidRPr="002F7212">
        <w:t xml:space="preserve"> </w:t>
      </w:r>
      <w:r w:rsidR="005563A7">
        <w:t>this</w:t>
      </w:r>
      <w:r w:rsidR="005563A7" w:rsidRPr="002F7212">
        <w:t xml:space="preserve"> </w:t>
      </w:r>
      <w:r w:rsidRPr="002F7212">
        <w:t xml:space="preserve">PCR, the positive control from the assay was used as a standard for the melting peaks and was tested simultaneously to determine </w:t>
      </w:r>
      <w:r w:rsidR="005563A7">
        <w:t>whether</w:t>
      </w:r>
      <w:r w:rsidRPr="002F7212">
        <w:t xml:space="preserve"> the melting peak </w:t>
      </w:r>
      <w:r w:rsidR="005563A7">
        <w:t xml:space="preserve">of  the amplicon </w:t>
      </w:r>
      <w:r w:rsidRPr="002F7212">
        <w:t>represent</w:t>
      </w:r>
      <w:r w:rsidR="005563A7">
        <w:t>ed</w:t>
      </w:r>
      <w:r w:rsidRPr="002F7212">
        <w:t xml:space="preserve"> WT or </w:t>
      </w:r>
      <w:r w:rsidRPr="002F7212">
        <w:rPr>
          <w:i/>
        </w:rPr>
        <w:t>cyp51A</w:t>
      </w:r>
      <w:r w:rsidRPr="002F7212">
        <w:t xml:space="preserve"> mutations.</w:t>
      </w:r>
    </w:p>
    <w:p w14:paraId="61F7302B" w14:textId="77777777" w:rsidR="00480728" w:rsidRPr="002F7212" w:rsidRDefault="00480728" w:rsidP="002F7212">
      <w:pPr>
        <w:spacing w:line="480" w:lineRule="auto"/>
        <w:ind w:left="567"/>
        <w:jc w:val="both"/>
      </w:pPr>
    </w:p>
    <w:p w14:paraId="55939379" w14:textId="77777777" w:rsidR="00AB36D0" w:rsidRPr="002F7212" w:rsidRDefault="00AB36D0" w:rsidP="002F7212">
      <w:pPr>
        <w:spacing w:line="480" w:lineRule="auto"/>
        <w:ind w:left="567"/>
        <w:jc w:val="both"/>
        <w:rPr>
          <w:b/>
        </w:rPr>
      </w:pPr>
      <w:r w:rsidRPr="002F7212">
        <w:rPr>
          <w:b/>
        </w:rPr>
        <w:t>RESULTS</w:t>
      </w:r>
    </w:p>
    <w:p w14:paraId="4A2A3046" w14:textId="5C32ABE9" w:rsidR="00771664" w:rsidRPr="002F7212" w:rsidRDefault="00E7717F" w:rsidP="002F7212">
      <w:pPr>
        <w:spacing w:line="480" w:lineRule="auto"/>
        <w:ind w:left="567"/>
        <w:jc w:val="both"/>
      </w:pPr>
      <w:r w:rsidRPr="002F7212">
        <w:t>From April 2016 to March 2016</w:t>
      </w:r>
      <w:r w:rsidR="00886403" w:rsidRPr="002F7212">
        <w:t>,</w:t>
      </w:r>
      <w:r w:rsidR="00AB36D0" w:rsidRPr="002F7212">
        <w:t xml:space="preserve"> 167 </w:t>
      </w:r>
      <w:r w:rsidR="00190816" w:rsidRPr="002F7212">
        <w:t xml:space="preserve">unselected </w:t>
      </w:r>
      <w:r w:rsidR="00AB36D0" w:rsidRPr="002F7212">
        <w:t xml:space="preserve">clinical isolates of </w:t>
      </w:r>
      <w:r w:rsidR="00AB36D0" w:rsidRPr="002F7212">
        <w:rPr>
          <w:i/>
        </w:rPr>
        <w:t>A. fumigatus</w:t>
      </w:r>
      <w:r w:rsidR="00AB36D0" w:rsidRPr="002F7212">
        <w:t xml:space="preserve"> </w:t>
      </w:r>
      <w:r w:rsidR="00886403" w:rsidRPr="002F7212">
        <w:t>were prospectively</w:t>
      </w:r>
      <w:r w:rsidR="00190816" w:rsidRPr="002F7212">
        <w:t xml:space="preserve"> analysed</w:t>
      </w:r>
      <w:r w:rsidR="00886403" w:rsidRPr="002F7212">
        <w:t xml:space="preserve"> </w:t>
      </w:r>
      <w:r w:rsidR="00AB36D0" w:rsidRPr="002F7212">
        <w:t>from 135 patients</w:t>
      </w:r>
      <w:r w:rsidR="00446D08" w:rsidRPr="002F7212">
        <w:t>, median age 37 years (IQR 24 to 52 years).</w:t>
      </w:r>
      <w:r w:rsidR="00AB36D0" w:rsidRPr="002F7212">
        <w:t xml:space="preserve"> Resistance to triazoles was confirmed in 22/167 (13.1%) </w:t>
      </w:r>
      <w:r w:rsidR="00886403" w:rsidRPr="002F7212">
        <w:t>i</w:t>
      </w:r>
      <w:r w:rsidR="00AB36D0" w:rsidRPr="002F7212">
        <w:t xml:space="preserve">solates of </w:t>
      </w:r>
      <w:r w:rsidR="00AB36D0" w:rsidRPr="002F7212">
        <w:rPr>
          <w:i/>
        </w:rPr>
        <w:t>A. fumigatus</w:t>
      </w:r>
      <w:r w:rsidR="00886403" w:rsidRPr="002F7212">
        <w:t xml:space="preserve"> from 18/135 (13.3%) patients</w:t>
      </w:r>
      <w:r w:rsidR="00A73A9E" w:rsidRPr="002F7212">
        <w:t xml:space="preserve">, </w:t>
      </w:r>
      <w:r w:rsidR="00DB6851" w:rsidRPr="002F7212">
        <w:t>12 female</w:t>
      </w:r>
      <w:r w:rsidR="00886403" w:rsidRPr="002F7212">
        <w:t xml:space="preserve"> and 6</w:t>
      </w:r>
      <w:r w:rsidR="00453751" w:rsidRPr="002F7212">
        <w:t xml:space="preserve"> </w:t>
      </w:r>
      <w:r w:rsidR="00DB6851" w:rsidRPr="002F7212">
        <w:t>male</w:t>
      </w:r>
      <w:r w:rsidR="00886403" w:rsidRPr="002F7212">
        <w:t xml:space="preserve">, </w:t>
      </w:r>
      <w:r w:rsidR="00446D08" w:rsidRPr="002F7212">
        <w:t>median age 30 year (IQR 21 to 46 years)</w:t>
      </w:r>
      <w:r w:rsidR="00886403" w:rsidRPr="002F7212">
        <w:t xml:space="preserve">. </w:t>
      </w:r>
      <w:r w:rsidR="00771664" w:rsidRPr="002F7212">
        <w:t>A</w:t>
      </w:r>
      <w:r w:rsidR="00A73A9E" w:rsidRPr="002F7212">
        <w:t xml:space="preserve"> summary of </w:t>
      </w:r>
      <w:r w:rsidR="00771664" w:rsidRPr="002F7212">
        <w:t xml:space="preserve">methodology and </w:t>
      </w:r>
      <w:r w:rsidR="00A73A9E" w:rsidRPr="002F7212">
        <w:t xml:space="preserve">results </w:t>
      </w:r>
      <w:r w:rsidR="00771664" w:rsidRPr="002F7212">
        <w:t xml:space="preserve">is depicted in Figure 1. </w:t>
      </w:r>
    </w:p>
    <w:p w14:paraId="198965EA" w14:textId="17BC4E72" w:rsidR="00ED6A1B" w:rsidRPr="002F7212" w:rsidRDefault="008B4B17" w:rsidP="002F7212">
      <w:pPr>
        <w:spacing w:line="480" w:lineRule="auto"/>
        <w:ind w:left="567"/>
        <w:jc w:val="both"/>
      </w:pPr>
      <w:r w:rsidRPr="002F7212">
        <w:t xml:space="preserve">Sputum was the most common clinical sample for </w:t>
      </w:r>
      <w:r w:rsidR="002B756E" w:rsidRPr="002F7212">
        <w:t xml:space="preserve">ARAf </w:t>
      </w:r>
      <w:r w:rsidR="00A05B2B">
        <w:t>to be detected</w:t>
      </w:r>
      <w:r w:rsidRPr="002F7212">
        <w:t xml:space="preserve"> in 19/22</w:t>
      </w:r>
      <w:r w:rsidR="003017F7" w:rsidRPr="002F7212">
        <w:t xml:space="preserve"> isolates</w:t>
      </w:r>
      <w:r w:rsidRPr="002F7212">
        <w:t xml:space="preserve">, with one case each for lung cavity tissue, sternal wound and tracheal aspirate. </w:t>
      </w:r>
      <w:r w:rsidR="00886403" w:rsidRPr="002F7212">
        <w:t xml:space="preserve">The vast majority of </w:t>
      </w:r>
      <w:r w:rsidR="00886403" w:rsidRPr="002F7212">
        <w:rPr>
          <w:i/>
        </w:rPr>
        <w:t>A. fumigatus</w:t>
      </w:r>
      <w:r w:rsidR="00886403" w:rsidRPr="002F7212">
        <w:t xml:space="preserve"> </w:t>
      </w:r>
      <w:r w:rsidR="00AB36D0" w:rsidRPr="002F7212">
        <w:t xml:space="preserve">isolates </w:t>
      </w:r>
      <w:r w:rsidR="00886403" w:rsidRPr="002F7212">
        <w:t xml:space="preserve">originated from patients with respiratory diseases </w:t>
      </w:r>
      <w:r w:rsidR="00AB36D0" w:rsidRPr="002F7212">
        <w:t xml:space="preserve">(150/167, 89.8%) </w:t>
      </w:r>
      <w:r w:rsidR="00DC7EE5" w:rsidRPr="002F7212">
        <w:t xml:space="preserve">(Figure </w:t>
      </w:r>
      <w:r w:rsidR="00A73A9E" w:rsidRPr="002F7212">
        <w:t>2</w:t>
      </w:r>
      <w:r w:rsidR="004D5DCB" w:rsidRPr="002F7212">
        <w:t>a</w:t>
      </w:r>
      <w:r w:rsidR="00AB36D0" w:rsidRPr="002F7212">
        <w:t xml:space="preserve">). </w:t>
      </w:r>
      <w:r w:rsidR="005563A7">
        <w:t>We also sampled</w:t>
      </w:r>
      <w:r w:rsidR="00654A5A" w:rsidRPr="002F7212">
        <w:t xml:space="preserve"> </w:t>
      </w:r>
      <w:r w:rsidR="00654A5A" w:rsidRPr="002F7212">
        <w:rPr>
          <w:i/>
        </w:rPr>
        <w:t>A. fumigatus</w:t>
      </w:r>
      <w:r w:rsidR="00654A5A" w:rsidRPr="002F7212">
        <w:t xml:space="preserve"> isolates from </w:t>
      </w:r>
      <w:r w:rsidR="005563A7">
        <w:t xml:space="preserve">eight </w:t>
      </w:r>
      <w:r w:rsidR="00654A5A" w:rsidRPr="002F7212">
        <w:t>lung transplant recipients,</w:t>
      </w:r>
      <w:r w:rsidR="005563A7">
        <w:t xml:space="preserve"> however</w:t>
      </w:r>
      <w:r w:rsidR="00654A5A" w:rsidRPr="002F7212">
        <w:t xml:space="preserve"> no azole resistance was seen in this group.  </w:t>
      </w:r>
      <w:r w:rsidR="0070468D" w:rsidRPr="002F7212">
        <w:t xml:space="preserve">Cystic fibrosis was </w:t>
      </w:r>
      <w:r w:rsidR="005563A7">
        <w:t xml:space="preserve">the </w:t>
      </w:r>
      <w:r w:rsidR="0070468D" w:rsidRPr="002F7212">
        <w:t>commonest diagnosis</w:t>
      </w:r>
      <w:r w:rsidR="005563A7">
        <w:t xml:space="preserve"> that was</w:t>
      </w:r>
      <w:r w:rsidR="0070468D" w:rsidRPr="002F7212">
        <w:t xml:space="preserve"> associated</w:t>
      </w:r>
      <w:r w:rsidR="005563A7">
        <w:t xml:space="preserve"> with</w:t>
      </w:r>
      <w:r w:rsidR="0070468D" w:rsidRPr="002F7212">
        <w:t xml:space="preserve"> </w:t>
      </w:r>
      <w:r w:rsidR="002B756E" w:rsidRPr="002F7212">
        <w:t xml:space="preserve">ARAf </w:t>
      </w:r>
      <w:r w:rsidR="0070468D" w:rsidRPr="002F7212">
        <w:t>accounting for 16/22 (73%)</w:t>
      </w:r>
      <w:r w:rsidR="005563A7">
        <w:t xml:space="preserve"> of</w:t>
      </w:r>
      <w:r w:rsidR="0070468D" w:rsidRPr="002F7212">
        <w:t xml:space="preserve"> isolates </w:t>
      </w:r>
      <w:r w:rsidR="00ED6A1B" w:rsidRPr="002F7212">
        <w:t xml:space="preserve">from 12 </w:t>
      </w:r>
      <w:r w:rsidRPr="002F7212">
        <w:t>patients</w:t>
      </w:r>
      <w:r w:rsidR="002B756E" w:rsidRPr="002F7212">
        <w:t xml:space="preserve"> g</w:t>
      </w:r>
      <w:r w:rsidR="0093539D" w:rsidRPr="002F7212">
        <w:t xml:space="preserve">iving a prevalence of </w:t>
      </w:r>
      <w:r w:rsidR="002B756E" w:rsidRPr="002F7212">
        <w:t xml:space="preserve">ARAf </w:t>
      </w:r>
      <w:r w:rsidR="009B47B6" w:rsidRPr="002F7212">
        <w:t xml:space="preserve">among unselected CF isolates </w:t>
      </w:r>
      <w:r w:rsidR="000E6CC7" w:rsidRPr="002F7212">
        <w:t xml:space="preserve">of </w:t>
      </w:r>
      <w:r w:rsidR="0093539D" w:rsidRPr="002F7212">
        <w:t>16.2% (12/74)</w:t>
      </w:r>
      <w:r w:rsidR="0070468D" w:rsidRPr="002F7212">
        <w:t xml:space="preserve">. </w:t>
      </w:r>
      <w:r w:rsidR="00654E64" w:rsidRPr="002F7212">
        <w:t>There were</w:t>
      </w:r>
      <w:r w:rsidR="005E4679" w:rsidRPr="002F7212">
        <w:t xml:space="preserve"> </w:t>
      </w:r>
      <w:r w:rsidR="005563A7">
        <w:t>four</w:t>
      </w:r>
      <w:r w:rsidR="00654E64" w:rsidRPr="002F7212">
        <w:t xml:space="preserve"> </w:t>
      </w:r>
      <w:r w:rsidR="002B756E" w:rsidRPr="002F7212">
        <w:t xml:space="preserve">ARAf isolated </w:t>
      </w:r>
      <w:r w:rsidR="00654E64" w:rsidRPr="002F7212">
        <w:t>from non-CF respiratory patients (interstitial lung disease</w:t>
      </w:r>
      <w:r w:rsidR="005E4679" w:rsidRPr="002F7212">
        <w:t xml:space="preserve">, ABPA and two with </w:t>
      </w:r>
      <w:r w:rsidR="00654E64" w:rsidRPr="002F7212">
        <w:t>bronchiectasis</w:t>
      </w:r>
      <w:r w:rsidR="005E4679" w:rsidRPr="002F7212">
        <w:t xml:space="preserve">, one of whom had an </w:t>
      </w:r>
      <w:r w:rsidR="00654E64" w:rsidRPr="002F7212">
        <w:t>aspergilloma</w:t>
      </w:r>
      <w:r w:rsidR="005E4679" w:rsidRPr="002F7212">
        <w:t xml:space="preserve">) and </w:t>
      </w:r>
      <w:r w:rsidR="005563A7">
        <w:t>two</w:t>
      </w:r>
      <w:r w:rsidR="005E4679" w:rsidRPr="002F7212">
        <w:t xml:space="preserve"> from cardiac patients; </w:t>
      </w:r>
      <w:r w:rsidR="00AB36D0" w:rsidRPr="002F7212">
        <w:t>one isolate recovered from a sternal wound sample collected post aortic valve replacement and second cultured from a tracheal aspirate of</w:t>
      </w:r>
      <w:r w:rsidR="005E4679" w:rsidRPr="002F7212">
        <w:t xml:space="preserve"> a </w:t>
      </w:r>
      <w:r w:rsidR="009B47B6" w:rsidRPr="002F7212">
        <w:t xml:space="preserve">mechanically ventilated </w:t>
      </w:r>
      <w:r w:rsidR="005E4679" w:rsidRPr="002F7212">
        <w:t xml:space="preserve">patient on intensive care </w:t>
      </w:r>
      <w:r w:rsidR="00AB36D0" w:rsidRPr="002F7212">
        <w:t xml:space="preserve">with </w:t>
      </w:r>
      <w:r w:rsidR="005E4679" w:rsidRPr="002F7212">
        <w:t xml:space="preserve">a </w:t>
      </w:r>
      <w:r w:rsidR="00AB36D0" w:rsidRPr="002F7212">
        <w:t xml:space="preserve">left ventricular assist </w:t>
      </w:r>
      <w:r w:rsidR="00CC406E" w:rsidRPr="002F7212">
        <w:t>device</w:t>
      </w:r>
      <w:r w:rsidR="00DC7EE5" w:rsidRPr="002F7212">
        <w:t xml:space="preserve">. </w:t>
      </w:r>
      <w:r w:rsidR="00AB36D0" w:rsidRPr="002F7212">
        <w:t>The</w:t>
      </w:r>
      <w:r w:rsidR="005E4679" w:rsidRPr="002F7212">
        <w:t xml:space="preserve"> largest numbers of </w:t>
      </w:r>
      <w:r w:rsidR="005E4679" w:rsidRPr="002F7212">
        <w:rPr>
          <w:i/>
        </w:rPr>
        <w:t xml:space="preserve">A. fumigatus </w:t>
      </w:r>
      <w:r w:rsidR="005E4679" w:rsidRPr="002F7212">
        <w:t xml:space="preserve">isolates were from patients in the age group 21-50 years although the </w:t>
      </w:r>
      <w:r w:rsidR="00AB36D0" w:rsidRPr="002F7212">
        <w:t xml:space="preserve">highest rate of </w:t>
      </w:r>
      <w:r w:rsidR="002B756E" w:rsidRPr="002F7212">
        <w:t xml:space="preserve">ARAf </w:t>
      </w:r>
      <w:r w:rsidR="00AB36D0" w:rsidRPr="002F7212">
        <w:t xml:space="preserve">was amongst </w:t>
      </w:r>
      <w:r w:rsidR="00ED6A1B" w:rsidRPr="002F7212">
        <w:t xml:space="preserve">the </w:t>
      </w:r>
      <w:r w:rsidR="00AB36D0" w:rsidRPr="002F7212">
        <w:t xml:space="preserve">11 </w:t>
      </w:r>
      <w:r w:rsidR="00ED6A1B" w:rsidRPr="002F7212">
        <w:t xml:space="preserve">to </w:t>
      </w:r>
      <w:r w:rsidR="00AB36D0" w:rsidRPr="002F7212">
        <w:t>20 year</w:t>
      </w:r>
      <w:r w:rsidR="005E4679" w:rsidRPr="002F7212">
        <w:t xml:space="preserve"> </w:t>
      </w:r>
      <w:r w:rsidR="00ED6A1B" w:rsidRPr="002F7212">
        <w:t>age group</w:t>
      </w:r>
      <w:r w:rsidR="00AB36D0" w:rsidRPr="002F7212">
        <w:t xml:space="preserve"> (Figure </w:t>
      </w:r>
      <w:r w:rsidR="004D5DCB" w:rsidRPr="002F7212">
        <w:t>2b</w:t>
      </w:r>
      <w:r w:rsidRPr="002F7212">
        <w:t xml:space="preserve">). </w:t>
      </w:r>
    </w:p>
    <w:p w14:paraId="637AF698" w14:textId="5941C4B6" w:rsidR="00AB36D0" w:rsidRPr="002F7212" w:rsidRDefault="00DC7EE5" w:rsidP="002F7212">
      <w:pPr>
        <w:spacing w:line="480" w:lineRule="auto"/>
        <w:ind w:left="567"/>
        <w:jc w:val="both"/>
      </w:pPr>
      <w:r w:rsidRPr="002F7212">
        <w:lastRenderedPageBreak/>
        <w:t>All</w:t>
      </w:r>
      <w:r w:rsidR="0059586B" w:rsidRPr="002F7212">
        <w:t xml:space="preserve"> </w:t>
      </w:r>
      <w:r w:rsidR="002B756E" w:rsidRPr="002F7212">
        <w:t xml:space="preserve">ARAf </w:t>
      </w:r>
      <w:r w:rsidR="0059586B" w:rsidRPr="002F7212">
        <w:t>i</w:t>
      </w:r>
      <w:r w:rsidR="00AB36D0" w:rsidRPr="002F7212">
        <w:t xml:space="preserve">solates </w:t>
      </w:r>
      <w:r w:rsidRPr="002F7212">
        <w:t>(</w:t>
      </w:r>
      <w:r w:rsidRPr="00A05B2B">
        <w:rPr>
          <w:i/>
        </w:rPr>
        <w:t>n</w:t>
      </w:r>
      <w:r w:rsidRPr="002F7212">
        <w:t xml:space="preserve"> = 22) </w:t>
      </w:r>
      <w:r w:rsidR="00AB36D0" w:rsidRPr="002F7212">
        <w:t>were</w:t>
      </w:r>
      <w:r w:rsidR="00347552" w:rsidRPr="002F7212">
        <w:t xml:space="preserve"> resistant to itraconazole (</w:t>
      </w:r>
      <w:r w:rsidR="001F400B" w:rsidRPr="002F7212">
        <w:t>MIC</w:t>
      </w:r>
      <w:r w:rsidR="00A05B2B">
        <w:t xml:space="preserve"> </w:t>
      </w:r>
      <w:r w:rsidR="001F400B" w:rsidRPr="002F7212">
        <w:t>&gt;2</w:t>
      </w:r>
      <w:r w:rsidR="00347552" w:rsidRPr="002F7212">
        <w:t xml:space="preserve">mg/L) </w:t>
      </w:r>
      <w:r w:rsidR="00AB36D0" w:rsidRPr="002F7212">
        <w:t>from which 15 isolates showed cross-resistan</w:t>
      </w:r>
      <w:r w:rsidRPr="002F7212">
        <w:t>ce</w:t>
      </w:r>
      <w:r w:rsidR="00AB36D0" w:rsidRPr="002F7212">
        <w:t xml:space="preserve"> to posaconazole (MIC</w:t>
      </w:r>
      <w:r w:rsidR="00A05B2B">
        <w:t xml:space="preserve"> </w:t>
      </w:r>
      <w:r w:rsidR="00AB36D0" w:rsidRPr="002F7212">
        <w:t>&gt;0.5 mg/L) and 10 isolates demonstrated reduced susceptibility to voriconazole (MIC</w:t>
      </w:r>
      <w:r w:rsidR="00A05B2B">
        <w:t xml:space="preserve"> &gt;2</w:t>
      </w:r>
      <w:r w:rsidR="00AB36D0" w:rsidRPr="002F7212">
        <w:t xml:space="preserve">mg/L) (Figure </w:t>
      </w:r>
      <w:r w:rsidR="00453F6F">
        <w:t>2c</w:t>
      </w:r>
      <w:r w:rsidR="00AB36D0" w:rsidRPr="002F7212">
        <w:t xml:space="preserve">).  </w:t>
      </w:r>
      <w:r w:rsidRPr="002F7212">
        <w:t>There were n</w:t>
      </w:r>
      <w:r w:rsidR="00AB36D0" w:rsidRPr="002F7212">
        <w:t xml:space="preserve">o pan-azole resistant </w:t>
      </w:r>
      <w:r w:rsidR="00FC2899" w:rsidRPr="002F7212">
        <w:rPr>
          <w:i/>
        </w:rPr>
        <w:t xml:space="preserve">A. </w:t>
      </w:r>
      <w:r w:rsidR="00AB36D0" w:rsidRPr="002F7212">
        <w:rPr>
          <w:i/>
        </w:rPr>
        <w:t>fumigatus</w:t>
      </w:r>
      <w:r w:rsidR="00AB36D0" w:rsidRPr="002F7212">
        <w:t xml:space="preserve"> </w:t>
      </w:r>
      <w:r w:rsidRPr="002F7212">
        <w:t>identified</w:t>
      </w:r>
      <w:r w:rsidR="00AB36D0" w:rsidRPr="002F7212">
        <w:t xml:space="preserve">.  All of the resistant isolates showed wild-type (WT) MICs for amphotericin B and echinocandin agents.  </w:t>
      </w:r>
    </w:p>
    <w:p w14:paraId="40CA100C" w14:textId="715A7A2C" w:rsidR="00A21CB3" w:rsidRPr="002F7212" w:rsidRDefault="00B26A77" w:rsidP="002F7212">
      <w:pPr>
        <w:spacing w:line="480" w:lineRule="auto"/>
        <w:ind w:left="567"/>
        <w:jc w:val="both"/>
      </w:pPr>
      <w:r w:rsidRPr="002F7212">
        <w:t>TR</w:t>
      </w:r>
      <w:r w:rsidRPr="002F7212">
        <w:rPr>
          <w:vertAlign w:val="subscript"/>
        </w:rPr>
        <w:t>34</w:t>
      </w:r>
      <w:r w:rsidRPr="002F7212">
        <w:t>/L98H was found in 6/22 (27</w:t>
      </w:r>
      <w:r w:rsidR="00FC2899" w:rsidRPr="002F7212">
        <w:t>%) of</w:t>
      </w:r>
      <w:r w:rsidR="00AB36D0" w:rsidRPr="002F7212">
        <w:t xml:space="preserve"> </w:t>
      </w:r>
      <w:r w:rsidR="002B756E" w:rsidRPr="002F7212">
        <w:t xml:space="preserve">ARAf </w:t>
      </w:r>
      <w:r w:rsidR="00FC2899" w:rsidRPr="002F7212">
        <w:t>isolates from</w:t>
      </w:r>
      <w:r w:rsidR="00AB36D0" w:rsidRPr="002F7212">
        <w:t xml:space="preserve"> RBHT</w:t>
      </w:r>
      <w:r w:rsidR="001F400B" w:rsidRPr="002F7212">
        <w:t xml:space="preserve"> </w:t>
      </w:r>
      <w:r w:rsidR="006259E7">
        <w:t>(Table 1</w:t>
      </w:r>
      <w:r w:rsidR="00FC2899" w:rsidRPr="002F7212">
        <w:t>).</w:t>
      </w:r>
      <w:r w:rsidR="001F400B" w:rsidRPr="002F7212">
        <w:t xml:space="preserve"> In CF patients with </w:t>
      </w:r>
      <w:r w:rsidR="002B756E" w:rsidRPr="002F7212">
        <w:t>ARAf</w:t>
      </w:r>
      <w:r w:rsidR="001F400B" w:rsidRPr="002F7212">
        <w:t>, the TR</w:t>
      </w:r>
      <w:r w:rsidR="001F400B" w:rsidRPr="002F7212">
        <w:rPr>
          <w:vertAlign w:val="subscript"/>
        </w:rPr>
        <w:t>34</w:t>
      </w:r>
      <w:r w:rsidR="001F400B" w:rsidRPr="002F7212">
        <w:t xml:space="preserve">/L98H mutation was the </w:t>
      </w:r>
      <w:r w:rsidR="005563A7">
        <w:t xml:space="preserve">most commonly occurring </w:t>
      </w:r>
      <w:r w:rsidR="001F400B" w:rsidRPr="002F7212">
        <w:t>mechanism of resistance in 42% (5/12)</w:t>
      </w:r>
      <w:r w:rsidR="00A05B2B">
        <w:t xml:space="preserve"> of tested isolates</w:t>
      </w:r>
      <w:r w:rsidR="001F400B" w:rsidRPr="002F7212">
        <w:t>.</w:t>
      </w:r>
      <w:r w:rsidR="00AB36D0" w:rsidRPr="002F7212">
        <w:t xml:space="preserve"> </w:t>
      </w:r>
      <w:r w:rsidR="009B47B6" w:rsidRPr="002F7212">
        <w:t xml:space="preserve">The </w:t>
      </w:r>
      <w:r w:rsidR="00013EE7" w:rsidRPr="002F7212">
        <w:t xml:space="preserve">additional </w:t>
      </w:r>
      <w:r w:rsidR="00A05B2B">
        <w:t>isolate</w:t>
      </w:r>
      <w:r w:rsidR="009B47B6" w:rsidRPr="002F7212">
        <w:t xml:space="preserve"> with TR</w:t>
      </w:r>
      <w:r w:rsidR="009B47B6" w:rsidRPr="002F7212">
        <w:rPr>
          <w:vertAlign w:val="subscript"/>
        </w:rPr>
        <w:t>34</w:t>
      </w:r>
      <w:r w:rsidR="009B47B6" w:rsidRPr="002F7212">
        <w:t xml:space="preserve">/L98H was </w:t>
      </w:r>
      <w:r w:rsidR="00547644">
        <w:t>from</w:t>
      </w:r>
      <w:r w:rsidR="009B47B6" w:rsidRPr="002F7212">
        <w:t xml:space="preserve"> </w:t>
      </w:r>
      <w:r w:rsidR="00A05B2B">
        <w:t>a</w:t>
      </w:r>
      <w:r w:rsidR="009B47B6" w:rsidRPr="002F7212">
        <w:t xml:space="preserve"> patient </w:t>
      </w:r>
      <w:r w:rsidR="00547644">
        <w:t xml:space="preserve">in the </w:t>
      </w:r>
      <w:r w:rsidR="00AB36D0" w:rsidRPr="002F7212">
        <w:t xml:space="preserve">intensive </w:t>
      </w:r>
      <w:r w:rsidR="00FC2899" w:rsidRPr="002F7212">
        <w:t>care unit</w:t>
      </w:r>
      <w:r w:rsidR="00547644">
        <w:t xml:space="preserve">. </w:t>
      </w:r>
      <w:r w:rsidR="00A05B2B">
        <w:t>N</w:t>
      </w:r>
      <w:r w:rsidR="00567363" w:rsidRPr="002F7212">
        <w:t xml:space="preserve">o </w:t>
      </w:r>
      <w:r w:rsidR="00FC2899" w:rsidRPr="002F7212">
        <w:t>TR</w:t>
      </w:r>
      <w:r w:rsidR="00FC2899" w:rsidRPr="002F7212">
        <w:rPr>
          <w:vertAlign w:val="subscript"/>
        </w:rPr>
        <w:t>46</w:t>
      </w:r>
      <w:r w:rsidR="00FC2899" w:rsidRPr="002F7212">
        <w:t xml:space="preserve">/Y121F/T289A </w:t>
      </w:r>
      <w:r w:rsidR="00A05B2B">
        <w:t xml:space="preserve">was </w:t>
      </w:r>
      <w:r w:rsidR="00567363" w:rsidRPr="002F7212">
        <w:t>detected</w:t>
      </w:r>
      <w:r w:rsidR="00A05B2B">
        <w:t xml:space="preserve"> among azole-resistant isolates</w:t>
      </w:r>
      <w:r w:rsidRPr="002F7212">
        <w:t xml:space="preserve">. </w:t>
      </w:r>
      <w:r w:rsidR="00A21CB3" w:rsidRPr="002F7212">
        <w:t>1</w:t>
      </w:r>
      <w:r w:rsidR="00AB36D0" w:rsidRPr="002F7212">
        <w:t>6/22</w:t>
      </w:r>
      <w:r w:rsidR="00A21CB3" w:rsidRPr="002F7212">
        <w:t xml:space="preserve"> (73%</w:t>
      </w:r>
      <w:r w:rsidR="00AB36D0" w:rsidRPr="002F7212">
        <w:t xml:space="preserve">) of </w:t>
      </w:r>
      <w:r w:rsidR="00A05B2B">
        <w:t xml:space="preserve">azole-resistant </w:t>
      </w:r>
      <w:r w:rsidR="00A21CB3" w:rsidRPr="002F7212">
        <w:rPr>
          <w:i/>
        </w:rPr>
        <w:t>A. fumigatus</w:t>
      </w:r>
      <w:r w:rsidR="00A05B2B">
        <w:t xml:space="preserve"> isolate</w:t>
      </w:r>
      <w:r w:rsidR="00654A5A" w:rsidRPr="002F7212">
        <w:t xml:space="preserve"> tested with AsperGenius</w:t>
      </w:r>
      <w:r w:rsidR="00654A5A" w:rsidRPr="002F7212">
        <w:rPr>
          <w:rFonts w:cs="Lucida Grande"/>
          <w:b/>
          <w:color w:val="000000"/>
          <w:vertAlign w:val="superscript"/>
        </w:rPr>
        <w:t>®</w:t>
      </w:r>
      <w:r w:rsidR="00A05B2B">
        <w:t xml:space="preserve"> showed WT </w:t>
      </w:r>
      <w:r w:rsidR="00A05B2B" w:rsidRPr="00A05B2B">
        <w:rPr>
          <w:i/>
        </w:rPr>
        <w:t>cyp51A</w:t>
      </w:r>
      <w:r w:rsidR="00A05B2B">
        <w:t xml:space="preserve"> genotype.</w:t>
      </w:r>
    </w:p>
    <w:p w14:paraId="7C02A608" w14:textId="77777777" w:rsidR="00C3698B" w:rsidRPr="002F7212" w:rsidRDefault="00C3698B" w:rsidP="002F7212">
      <w:pPr>
        <w:spacing w:line="480" w:lineRule="auto"/>
        <w:ind w:left="567"/>
        <w:jc w:val="both"/>
      </w:pPr>
    </w:p>
    <w:p w14:paraId="096DA73E" w14:textId="77777777" w:rsidR="0095330D" w:rsidRPr="002F7212" w:rsidRDefault="0095330D" w:rsidP="002F7212">
      <w:pPr>
        <w:spacing w:line="480" w:lineRule="auto"/>
        <w:ind w:left="567"/>
        <w:jc w:val="both"/>
        <w:rPr>
          <w:b/>
        </w:rPr>
      </w:pPr>
      <w:r w:rsidRPr="002F7212">
        <w:rPr>
          <w:b/>
        </w:rPr>
        <w:t>DISCUSSION</w:t>
      </w:r>
    </w:p>
    <w:p w14:paraId="2FF224CA" w14:textId="500A1F40" w:rsidR="00013EE7" w:rsidRPr="002F7212" w:rsidRDefault="00A61A00" w:rsidP="002F7212">
      <w:pPr>
        <w:spacing w:line="480" w:lineRule="auto"/>
        <w:ind w:left="567"/>
        <w:jc w:val="both"/>
      </w:pPr>
      <w:r w:rsidRPr="002F7212">
        <w:t xml:space="preserve">This </w:t>
      </w:r>
      <w:r w:rsidR="0095330D" w:rsidRPr="002F7212">
        <w:t>prospective culture-based</w:t>
      </w:r>
      <w:r w:rsidR="00CC406E" w:rsidRPr="002F7212">
        <w:t xml:space="preserve"> surveillance of unselected </w:t>
      </w:r>
      <w:r w:rsidR="00724228">
        <w:t xml:space="preserve">clinical isolates of </w:t>
      </w:r>
      <w:r w:rsidR="00CC406E" w:rsidRPr="002F7212">
        <w:rPr>
          <w:i/>
        </w:rPr>
        <w:t xml:space="preserve">A. </w:t>
      </w:r>
      <w:r w:rsidR="0095330D" w:rsidRPr="002F7212">
        <w:rPr>
          <w:i/>
        </w:rPr>
        <w:t>fumigatus</w:t>
      </w:r>
      <w:r w:rsidR="0095330D" w:rsidRPr="002F7212">
        <w:t xml:space="preserve"> </w:t>
      </w:r>
      <w:r w:rsidR="00FC5D10" w:rsidRPr="002F7212">
        <w:t xml:space="preserve">from our </w:t>
      </w:r>
      <w:r w:rsidR="00450C7A">
        <w:t xml:space="preserve">specialist </w:t>
      </w:r>
      <w:r w:rsidR="00FC5D10" w:rsidRPr="002F7212">
        <w:t xml:space="preserve">cardio-thoracic centre </w:t>
      </w:r>
      <w:r w:rsidR="00450C7A">
        <w:t xml:space="preserve">in North West London </w:t>
      </w:r>
      <w:r w:rsidR="00FC5D10" w:rsidRPr="002F7212">
        <w:t xml:space="preserve">revealed </w:t>
      </w:r>
      <w:r w:rsidR="00013EE7" w:rsidRPr="002F7212">
        <w:t>a</w:t>
      </w:r>
      <w:r w:rsidR="005563A7">
        <w:t xml:space="preserve"> prevalence of</w:t>
      </w:r>
      <w:r w:rsidR="00013EE7" w:rsidRPr="002F7212">
        <w:t xml:space="preserve"> </w:t>
      </w:r>
      <w:r w:rsidR="00F42826" w:rsidRPr="002F7212">
        <w:t>13.</w:t>
      </w:r>
      <w:r w:rsidR="002401C0" w:rsidRPr="002F7212">
        <w:t>1</w:t>
      </w:r>
      <w:r w:rsidR="00F42826" w:rsidRPr="002F7212">
        <w:t xml:space="preserve"> %</w:t>
      </w:r>
      <w:r w:rsidR="00013EE7" w:rsidRPr="002F7212">
        <w:t xml:space="preserve"> </w:t>
      </w:r>
      <w:r w:rsidR="005563A7">
        <w:t>ARAf</w:t>
      </w:r>
      <w:r w:rsidR="00013EE7" w:rsidRPr="002F7212">
        <w:t xml:space="preserve"> </w:t>
      </w:r>
      <w:r w:rsidR="00FC5D10" w:rsidRPr="002F7212">
        <w:t xml:space="preserve">after </w:t>
      </w:r>
      <w:r w:rsidR="0095330D" w:rsidRPr="002F7212">
        <w:t>screening with VIPcheck</w:t>
      </w:r>
      <w:r w:rsidRPr="002F7212">
        <w:rPr>
          <w:rFonts w:cs="Lucida Grande"/>
          <w:color w:val="000000"/>
        </w:rPr>
        <w:t>™</w:t>
      </w:r>
      <w:r w:rsidR="0095330D" w:rsidRPr="002F7212">
        <w:t xml:space="preserve"> </w:t>
      </w:r>
      <w:r w:rsidR="00FC5D10" w:rsidRPr="002F7212">
        <w:t>and confirm</w:t>
      </w:r>
      <w:r w:rsidR="001D1975" w:rsidRPr="002F7212">
        <w:t>at</w:t>
      </w:r>
      <w:r w:rsidR="00F42826" w:rsidRPr="002F7212">
        <w:t xml:space="preserve">ory </w:t>
      </w:r>
      <w:r w:rsidR="00FC5D10" w:rsidRPr="002F7212">
        <w:t xml:space="preserve">MIC testing. </w:t>
      </w:r>
      <w:r w:rsidR="00013EE7" w:rsidRPr="002F7212">
        <w:t>Th</w:t>
      </w:r>
      <w:r w:rsidR="001D1975" w:rsidRPr="002F7212">
        <w:t xml:space="preserve">e prevalence of </w:t>
      </w:r>
      <w:r w:rsidR="000D10AD" w:rsidRPr="002F7212">
        <w:t>ARAf</w:t>
      </w:r>
      <w:r w:rsidR="001D1975" w:rsidRPr="002F7212">
        <w:rPr>
          <w:i/>
        </w:rPr>
        <w:t xml:space="preserve"> </w:t>
      </w:r>
      <w:r w:rsidR="001D1975" w:rsidRPr="002F7212">
        <w:t xml:space="preserve">in </w:t>
      </w:r>
      <w:r w:rsidR="005012AF" w:rsidRPr="002F7212">
        <w:t xml:space="preserve">unselected isolates from </w:t>
      </w:r>
      <w:r w:rsidR="00013EE7" w:rsidRPr="002F7212">
        <w:t>CF</w:t>
      </w:r>
      <w:r w:rsidR="001D1975" w:rsidRPr="002F7212">
        <w:t xml:space="preserve"> p</w:t>
      </w:r>
      <w:r w:rsidR="005012AF" w:rsidRPr="002F7212">
        <w:t xml:space="preserve">atients </w:t>
      </w:r>
      <w:r w:rsidR="001D1975" w:rsidRPr="002F7212">
        <w:t xml:space="preserve">at RBHT was </w:t>
      </w:r>
      <w:r w:rsidR="00013EE7" w:rsidRPr="002F7212">
        <w:t>16.2%</w:t>
      </w:r>
      <w:r w:rsidR="005563A7">
        <w:t xml:space="preserve">; this is </w:t>
      </w:r>
      <w:r w:rsidR="001D1975" w:rsidRPr="002F7212">
        <w:t xml:space="preserve">markedly higher than </w:t>
      </w:r>
      <w:r w:rsidR="005563A7">
        <w:t>the</w:t>
      </w:r>
      <w:r w:rsidR="001D1975" w:rsidRPr="002F7212">
        <w:t xml:space="preserve"> prevalence of 4.2% reported </w:t>
      </w:r>
      <w:r w:rsidR="00C3698B" w:rsidRPr="002F7212">
        <w:t xml:space="preserve">in a review of studies </w:t>
      </w:r>
      <w:r w:rsidR="00F15A80" w:rsidRPr="002F7212">
        <w:t xml:space="preserve">from </w:t>
      </w:r>
      <w:r w:rsidR="001D1975" w:rsidRPr="002F7212">
        <w:t>Portugal, Germany, Denmark</w:t>
      </w:r>
      <w:r w:rsidR="000D10AD" w:rsidRPr="002F7212">
        <w:t xml:space="preserve">, </w:t>
      </w:r>
      <w:r w:rsidR="001D1975" w:rsidRPr="002F7212">
        <w:t xml:space="preserve">Italy </w:t>
      </w:r>
      <w:r w:rsidR="000D10AD" w:rsidRPr="002F7212">
        <w:t xml:space="preserve">and two </w:t>
      </w:r>
      <w:r w:rsidR="002466A2" w:rsidRPr="002F7212">
        <w:t xml:space="preserve">from </w:t>
      </w:r>
      <w:r w:rsidR="008738F7" w:rsidRPr="002F7212">
        <w:t>France</w:t>
      </w:r>
      <w:r w:rsidR="00F4689A" w:rsidRPr="002F7212">
        <w:t xml:space="preserve"> [1</w:t>
      </w:r>
      <w:r w:rsidR="00547644">
        <w:t>3</w:t>
      </w:r>
      <w:r w:rsidR="00F4689A" w:rsidRPr="002F7212">
        <w:t>]</w:t>
      </w:r>
      <w:r w:rsidR="00C3698B" w:rsidRPr="002F7212">
        <w:t xml:space="preserve">. </w:t>
      </w:r>
      <w:r w:rsidR="00F15A80" w:rsidRPr="002F7212">
        <w:t xml:space="preserve">Higher prevalence of </w:t>
      </w:r>
      <w:r w:rsidR="000D10AD" w:rsidRPr="002F7212">
        <w:t xml:space="preserve">ARAf </w:t>
      </w:r>
      <w:r w:rsidR="00C3698B" w:rsidRPr="002F7212">
        <w:t xml:space="preserve">has </w:t>
      </w:r>
      <w:r w:rsidR="00F15A80" w:rsidRPr="002F7212">
        <w:t xml:space="preserve">been reported </w:t>
      </w:r>
      <w:r w:rsidR="00C3698B" w:rsidRPr="002F7212">
        <w:t xml:space="preserve">in CF </w:t>
      </w:r>
      <w:r w:rsidR="00013EE7" w:rsidRPr="002F7212">
        <w:t xml:space="preserve">depending on the patient </w:t>
      </w:r>
      <w:r w:rsidR="00370E56" w:rsidRPr="002F7212">
        <w:t>group and location</w:t>
      </w:r>
      <w:r w:rsidR="00C3698B" w:rsidRPr="002F7212">
        <w:t>. T</w:t>
      </w:r>
      <w:r w:rsidR="00013EE7" w:rsidRPr="002F7212">
        <w:t xml:space="preserve">wo </w:t>
      </w:r>
      <w:r w:rsidR="00C3698B" w:rsidRPr="002F7212">
        <w:t xml:space="preserve">subsequent </w:t>
      </w:r>
      <w:r w:rsidR="00013EE7" w:rsidRPr="002F7212">
        <w:t>separate French studies report</w:t>
      </w:r>
      <w:r w:rsidR="00C3698B" w:rsidRPr="002F7212">
        <w:t xml:space="preserve">ed </w:t>
      </w:r>
      <w:r w:rsidR="00013EE7" w:rsidRPr="002F7212">
        <w:t>high</w:t>
      </w:r>
      <w:r w:rsidR="000D10AD" w:rsidRPr="002F7212">
        <w:t>er</w:t>
      </w:r>
      <w:r w:rsidR="00013EE7" w:rsidRPr="002F7212">
        <w:t xml:space="preserve"> prevalence of </w:t>
      </w:r>
      <w:r w:rsidR="00013EE7" w:rsidRPr="002F7212">
        <w:rPr>
          <w:i/>
        </w:rPr>
        <w:t>A. fumigatus</w:t>
      </w:r>
      <w:r w:rsidR="00013EE7" w:rsidRPr="002F7212">
        <w:t xml:space="preserve"> with reduced susceptibili</w:t>
      </w:r>
      <w:r w:rsidR="007976CD">
        <w:t>ty to itraconazole in CF cohorts</w:t>
      </w:r>
      <w:r w:rsidR="00013EE7" w:rsidRPr="002F7212">
        <w:t>;</w:t>
      </w:r>
      <w:r w:rsidR="008738F7" w:rsidRPr="002F7212">
        <w:t xml:space="preserve"> Morio </w:t>
      </w:r>
      <w:r w:rsidR="008738F7" w:rsidRPr="007976CD">
        <w:rPr>
          <w:i/>
        </w:rPr>
        <w:t>et al.</w:t>
      </w:r>
      <w:r w:rsidR="00013EE7" w:rsidRPr="002F7212">
        <w:t xml:space="preserve"> reported an 8% prevalen</w:t>
      </w:r>
      <w:r w:rsidR="007976CD">
        <w:t>ce of itraconazole resistance among isolates obtained from</w:t>
      </w:r>
      <w:r w:rsidR="00013EE7" w:rsidRPr="002F7212">
        <w:t xml:space="preserve"> CF patients admitted to the Nantes University Hospital</w:t>
      </w:r>
      <w:r w:rsidR="00F4689A" w:rsidRPr="002F7212">
        <w:t xml:space="preserve"> [</w:t>
      </w:r>
      <w:r w:rsidR="00547644">
        <w:t>19</w:t>
      </w:r>
      <w:r w:rsidR="00F4689A" w:rsidRPr="002F7212">
        <w:t>]</w:t>
      </w:r>
      <w:r w:rsidR="00013EE7" w:rsidRPr="002F7212">
        <w:t xml:space="preserve">, and in a more recent study, Guegan and colleagues found </w:t>
      </w:r>
      <w:r w:rsidR="00292423">
        <w:t xml:space="preserve">a prevalence of </w:t>
      </w:r>
      <w:r w:rsidR="00013EE7" w:rsidRPr="002F7212">
        <w:t xml:space="preserve">12.2% </w:t>
      </w:r>
      <w:r w:rsidR="00292423">
        <w:t xml:space="preserve">ARAf </w:t>
      </w:r>
      <w:r w:rsidR="00013EE7" w:rsidRPr="002F7212">
        <w:t>among</w:t>
      </w:r>
      <w:r w:rsidR="00292423" w:rsidRPr="003010FF">
        <w:t xml:space="preserve">st </w:t>
      </w:r>
      <w:r w:rsidR="00013EE7" w:rsidRPr="002F7212">
        <w:t>isolates from CF patients followed up at Rennes University Hospital</w:t>
      </w:r>
      <w:r w:rsidR="00F4689A" w:rsidRPr="002F7212">
        <w:t xml:space="preserve"> [2</w:t>
      </w:r>
      <w:r w:rsidR="00547644">
        <w:t>0</w:t>
      </w:r>
      <w:r w:rsidR="00F4689A" w:rsidRPr="002F7212">
        <w:t>]</w:t>
      </w:r>
      <w:r w:rsidR="00013EE7" w:rsidRPr="002F7212">
        <w:t>.  Similarly, a recent study conducted in a Belgian University Hospital found 16% azole resistance among CF patients using a combination of culture-based method</w:t>
      </w:r>
      <w:r w:rsidR="008738F7" w:rsidRPr="002F7212">
        <w:t>s and molecular tools</w:t>
      </w:r>
      <w:r w:rsidR="00116A8F" w:rsidRPr="002F7212">
        <w:t xml:space="preserve"> [2</w:t>
      </w:r>
      <w:r w:rsidR="00547644">
        <w:t>1</w:t>
      </w:r>
      <w:r w:rsidR="00116A8F" w:rsidRPr="002F7212">
        <w:t>]</w:t>
      </w:r>
      <w:r w:rsidR="00013EE7" w:rsidRPr="002F7212">
        <w:t>.</w:t>
      </w:r>
    </w:p>
    <w:p w14:paraId="5AB6849F" w14:textId="356773B5" w:rsidR="006B7E9F" w:rsidRPr="002F7212" w:rsidRDefault="000D10AD" w:rsidP="002F7212">
      <w:pPr>
        <w:spacing w:line="480" w:lineRule="auto"/>
        <w:ind w:left="567"/>
        <w:jc w:val="both"/>
      </w:pPr>
      <w:r w:rsidRPr="002F7212">
        <w:lastRenderedPageBreak/>
        <w:t>The environmental resistance mutation TR</w:t>
      </w:r>
      <w:r w:rsidRPr="002F7212">
        <w:rPr>
          <w:vertAlign w:val="subscript"/>
        </w:rPr>
        <w:t>34</w:t>
      </w:r>
      <w:r w:rsidRPr="002F7212">
        <w:t>/L98H was identified in 42% (5/12) patients with CF and ARAf</w:t>
      </w:r>
      <w:r w:rsidR="007976CD">
        <w:t xml:space="preserve"> in our centre</w:t>
      </w:r>
      <w:r w:rsidRPr="002F7212">
        <w:t>.</w:t>
      </w:r>
      <w:r w:rsidR="009251D1" w:rsidRPr="002F7212">
        <w:t xml:space="preserve"> </w:t>
      </w:r>
      <w:r w:rsidR="004F0671" w:rsidRPr="002F7212">
        <w:t>This mutation had been identified in more than 90% ARA</w:t>
      </w:r>
      <w:r w:rsidR="007976CD">
        <w:t>f isolates</w:t>
      </w:r>
      <w:r w:rsidR="008738F7" w:rsidRPr="002F7212">
        <w:t xml:space="preserve"> from Netherlands </w:t>
      </w:r>
      <w:r w:rsidR="00E40925" w:rsidRPr="002F7212">
        <w:t>[</w:t>
      </w:r>
      <w:r w:rsidR="00A90CC1">
        <w:t>2</w:t>
      </w:r>
      <w:r w:rsidR="00547644">
        <w:t>2</w:t>
      </w:r>
      <w:r w:rsidR="007976CD">
        <w:t xml:space="preserve">, </w:t>
      </w:r>
      <w:r w:rsidR="00E40925" w:rsidRPr="002F7212">
        <w:t>2</w:t>
      </w:r>
      <w:r w:rsidR="00547644">
        <w:t>3</w:t>
      </w:r>
      <w:r w:rsidR="00E40925" w:rsidRPr="002F7212">
        <w:t xml:space="preserve">] </w:t>
      </w:r>
      <w:r w:rsidR="004F0671" w:rsidRPr="002F7212">
        <w:t>and</w:t>
      </w:r>
      <w:r w:rsidR="00292423">
        <w:t xml:space="preserve"> is</w:t>
      </w:r>
      <w:r w:rsidR="004F0671" w:rsidRPr="002F7212">
        <w:t xml:space="preserve"> also </w:t>
      </w:r>
      <w:r w:rsidR="00292423">
        <w:t>found</w:t>
      </w:r>
      <w:r w:rsidR="004F0671" w:rsidRPr="002F7212">
        <w:t xml:space="preserve"> in</w:t>
      </w:r>
      <w:r w:rsidR="00292423">
        <w:t xml:space="preserve"> a</w:t>
      </w:r>
      <w:r w:rsidR="004F0671" w:rsidRPr="002F7212">
        <w:t xml:space="preserve"> high proportion of </w:t>
      </w:r>
      <w:r w:rsidR="0011586C" w:rsidRPr="002F7212">
        <w:t>patients with CF</w:t>
      </w:r>
      <w:r w:rsidR="00E40925" w:rsidRPr="002F7212">
        <w:t xml:space="preserve"> [24-26]</w:t>
      </w:r>
      <w:r w:rsidR="004F0671" w:rsidRPr="002F7212">
        <w:t>.</w:t>
      </w:r>
      <w:r w:rsidR="003249C0" w:rsidRPr="002F7212">
        <w:t xml:space="preserve"> However, in these studies prior azole exposure </w:t>
      </w:r>
      <w:r w:rsidR="00B25408">
        <w:t>had occured</w:t>
      </w:r>
      <w:r w:rsidR="003249C0" w:rsidRPr="002F7212">
        <w:t xml:space="preserve"> </w:t>
      </w:r>
      <w:r w:rsidR="0011586C" w:rsidRPr="002F7212">
        <w:t>in most patients (83-100%)</w:t>
      </w:r>
      <w:r w:rsidR="003249C0" w:rsidRPr="002F7212">
        <w:t xml:space="preserve"> suggesting other mechanism</w:t>
      </w:r>
      <w:r w:rsidR="002466A2" w:rsidRPr="002F7212">
        <w:t>s</w:t>
      </w:r>
      <w:r w:rsidR="003249C0" w:rsidRPr="002F7212">
        <w:t xml:space="preserve"> of resistance </w:t>
      </w:r>
      <w:r w:rsidR="00086D9D" w:rsidRPr="002F7212">
        <w:t>may contribute</w:t>
      </w:r>
      <w:r w:rsidR="00E40925" w:rsidRPr="002F7212">
        <w:t xml:space="preserve"> [2</w:t>
      </w:r>
      <w:r w:rsidR="00A90CC1">
        <w:t>5</w:t>
      </w:r>
      <w:r w:rsidR="00E40925" w:rsidRPr="002F7212">
        <w:t>-2</w:t>
      </w:r>
      <w:r w:rsidR="00A90CC1">
        <w:t>7</w:t>
      </w:r>
      <w:r w:rsidR="00E40925" w:rsidRPr="002F7212">
        <w:t>]</w:t>
      </w:r>
      <w:r w:rsidR="00086D9D" w:rsidRPr="002F7212">
        <w:t>. In the National Aspergillosis Centre, UK</w:t>
      </w:r>
      <w:r w:rsidR="00724228">
        <w:t>,</w:t>
      </w:r>
      <w:r w:rsidR="00086D9D" w:rsidRPr="002F7212">
        <w:t xml:space="preserve"> TR</w:t>
      </w:r>
      <w:r w:rsidR="00086D9D" w:rsidRPr="002F7212">
        <w:rPr>
          <w:vertAlign w:val="subscript"/>
        </w:rPr>
        <w:t>34</w:t>
      </w:r>
      <w:r w:rsidR="00086D9D" w:rsidRPr="002F7212">
        <w:t>/L</w:t>
      </w:r>
      <w:r w:rsidR="007976CD">
        <w:t>98H did not appear to be a predominant</w:t>
      </w:r>
      <w:r w:rsidR="00086D9D" w:rsidRPr="002F7212">
        <w:t xml:space="preserve"> mechanism </w:t>
      </w:r>
      <w:r w:rsidR="006B7E9F" w:rsidRPr="002F7212">
        <w:t>of resistance</w:t>
      </w:r>
      <w:r w:rsidR="00724228">
        <w:t xml:space="preserve"> being identified </w:t>
      </w:r>
      <w:r w:rsidR="007976CD">
        <w:t xml:space="preserve">only </w:t>
      </w:r>
      <w:r w:rsidR="00724228">
        <w:t>in 6%</w:t>
      </w:r>
      <w:r w:rsidR="006B7E9F" w:rsidRPr="002F7212">
        <w:t xml:space="preserve"> </w:t>
      </w:r>
      <w:r w:rsidR="00724228">
        <w:t>of culture</w:t>
      </w:r>
      <w:r w:rsidR="007976CD">
        <w:t>-</w:t>
      </w:r>
      <w:r w:rsidR="00724228">
        <w:t xml:space="preserve">positive </w:t>
      </w:r>
      <w:r w:rsidR="00086D9D" w:rsidRPr="002F7212">
        <w:t>ARAf isolates</w:t>
      </w:r>
      <w:r w:rsidR="00724228">
        <w:t xml:space="preserve"> [14]</w:t>
      </w:r>
      <w:r w:rsidR="00D05C6F">
        <w:t>. Notably,</w:t>
      </w:r>
      <w:r w:rsidR="006B7E9F" w:rsidRPr="002F7212">
        <w:t xml:space="preserve"> a study of ABPA and CPA patients from this centre where </w:t>
      </w:r>
      <w:r w:rsidR="006B7E9F" w:rsidRPr="002F7212">
        <w:rPr>
          <w:i/>
        </w:rPr>
        <w:t>Aspergillus</w:t>
      </w:r>
      <w:r w:rsidR="006B7E9F" w:rsidRPr="002F7212">
        <w:t xml:space="preserve"> DNA was detected using </w:t>
      </w:r>
      <w:r w:rsidR="00D05C6F">
        <w:t>PCR in</w:t>
      </w:r>
      <w:r w:rsidR="006B7E9F" w:rsidRPr="002F7212">
        <w:t xml:space="preserve"> culture</w:t>
      </w:r>
      <w:r w:rsidR="00D05C6F">
        <w:t>-</w:t>
      </w:r>
      <w:r w:rsidR="006B7E9F" w:rsidRPr="002F7212">
        <w:t>negative sputum</w:t>
      </w:r>
      <w:r w:rsidR="00724228">
        <w:t xml:space="preserve"> </w:t>
      </w:r>
      <w:r w:rsidR="006B7E9F" w:rsidRPr="002F7212">
        <w:t>showed 55.2% prevalence of TR</w:t>
      </w:r>
      <w:r w:rsidR="006B7E9F" w:rsidRPr="002F7212">
        <w:rPr>
          <w:vertAlign w:val="subscript"/>
        </w:rPr>
        <w:t>34</w:t>
      </w:r>
      <w:r w:rsidR="006B7E9F" w:rsidRPr="002F7212">
        <w:t>/L98H</w:t>
      </w:r>
      <w:r w:rsidR="00E40925" w:rsidRPr="002F7212">
        <w:t xml:space="preserve"> [2</w:t>
      </w:r>
      <w:r w:rsidR="00A90CC1">
        <w:t>8</w:t>
      </w:r>
      <w:r w:rsidR="00E40925" w:rsidRPr="002F7212">
        <w:t>]</w:t>
      </w:r>
      <w:r w:rsidR="007976CD">
        <w:t xml:space="preserve">, though this alarmingly high prevalence </w:t>
      </w:r>
      <w:r w:rsidR="00B25408">
        <w:t xml:space="preserve">has </w:t>
      </w:r>
      <w:r w:rsidR="007976CD">
        <w:t>not</w:t>
      </w:r>
      <w:r w:rsidR="00B25408">
        <w:t xml:space="preserve"> been</w:t>
      </w:r>
      <w:r w:rsidR="007976CD">
        <w:t xml:space="preserve"> </w:t>
      </w:r>
      <w:r w:rsidR="00D05C6F">
        <w:t>reproduced in any other study so far.</w:t>
      </w:r>
      <w:r w:rsidR="007976CD">
        <w:t xml:space="preserve"> </w:t>
      </w:r>
    </w:p>
    <w:p w14:paraId="0476DBB6" w14:textId="17E4EBFE" w:rsidR="00013EE7" w:rsidRPr="002F7212" w:rsidRDefault="00013EE7" w:rsidP="002F7212">
      <w:pPr>
        <w:spacing w:line="480" w:lineRule="auto"/>
        <w:ind w:left="567"/>
        <w:jc w:val="both"/>
      </w:pPr>
      <w:r w:rsidRPr="002F7212">
        <w:t>The absence of TR</w:t>
      </w:r>
      <w:r w:rsidRPr="002F7212">
        <w:rPr>
          <w:vertAlign w:val="subscript"/>
        </w:rPr>
        <w:t>46</w:t>
      </w:r>
      <w:r w:rsidRPr="002F7212">
        <w:t xml:space="preserve">/Y121F/T289A mutation among our </w:t>
      </w:r>
      <w:r w:rsidR="008E61FF">
        <w:t>triazole-</w:t>
      </w:r>
      <w:r w:rsidRPr="002F7212">
        <w:t>resistant isolates is consistent with ou</w:t>
      </w:r>
      <w:r w:rsidR="008E61FF">
        <w:t xml:space="preserve">r MIC data as </w:t>
      </w:r>
      <w:r w:rsidR="00A91767">
        <w:t>this allele is</w:t>
      </w:r>
      <w:r w:rsidR="008E61FF">
        <w:t xml:space="preserve"> associated with</w:t>
      </w:r>
      <w:r w:rsidRPr="002F7212">
        <w:t xml:space="preserve"> high-level of voriconazole resistance </w:t>
      </w:r>
      <w:r w:rsidR="0072015D" w:rsidRPr="002F7212">
        <w:t>which was n</w:t>
      </w:r>
      <w:r w:rsidRPr="002F7212">
        <w:t xml:space="preserve">ot seen in our </w:t>
      </w:r>
      <w:r w:rsidR="006259E7">
        <w:t>cohort (Table 1</w:t>
      </w:r>
      <w:r w:rsidRPr="002F7212">
        <w:t>).</w:t>
      </w:r>
      <w:r w:rsidR="00B970B5">
        <w:t xml:space="preserve"> Furthermore, </w:t>
      </w:r>
      <w:r w:rsidR="00B970B5" w:rsidRPr="00B970B5">
        <w:t xml:space="preserve">16/22 (73%) of azole-resistant </w:t>
      </w:r>
      <w:r w:rsidR="00B970B5" w:rsidRPr="00B970B5">
        <w:rPr>
          <w:i/>
        </w:rPr>
        <w:t>A. fumigatus</w:t>
      </w:r>
      <w:r w:rsidR="00B970B5" w:rsidRPr="00B970B5">
        <w:t xml:space="preserve"> isolate </w:t>
      </w:r>
      <w:r w:rsidR="00B970B5">
        <w:t xml:space="preserve">in this study </w:t>
      </w:r>
      <w:r w:rsidR="00B970B5" w:rsidRPr="00B970B5">
        <w:t>tested with AsperGenius</w:t>
      </w:r>
      <w:r w:rsidR="00B970B5" w:rsidRPr="00B970B5">
        <w:rPr>
          <w:b/>
          <w:vertAlign w:val="superscript"/>
        </w:rPr>
        <w:t>®</w:t>
      </w:r>
      <w:r w:rsidR="00B970B5" w:rsidRPr="00B970B5">
        <w:t xml:space="preserve"> showed WT </w:t>
      </w:r>
      <w:r w:rsidR="00B970B5" w:rsidRPr="00B970B5">
        <w:rPr>
          <w:i/>
        </w:rPr>
        <w:t>cyp51A</w:t>
      </w:r>
      <w:r w:rsidR="00B970B5" w:rsidRPr="00B970B5">
        <w:t xml:space="preserve"> genotype.</w:t>
      </w:r>
      <w:r w:rsidR="00B970B5">
        <w:t xml:space="preserve"> Although the molecular mechanism of azole resistance</w:t>
      </w:r>
      <w:r w:rsidR="008E61FF">
        <w:t xml:space="preserve"> among these </w:t>
      </w:r>
      <w:r w:rsidR="00A91767">
        <w:t xml:space="preserve">six </w:t>
      </w:r>
      <w:r w:rsidR="008E61FF">
        <w:t>isolates remain</w:t>
      </w:r>
      <w:r w:rsidR="00A91767">
        <w:t>s</w:t>
      </w:r>
      <w:r w:rsidR="00B970B5">
        <w:t xml:space="preserve"> unknown, point mutations in </w:t>
      </w:r>
      <w:r w:rsidR="00B970B5" w:rsidRPr="00B970B5">
        <w:rPr>
          <w:i/>
        </w:rPr>
        <w:t>cyp51A</w:t>
      </w:r>
      <w:r w:rsidR="00B970B5">
        <w:t xml:space="preserve"> gene might be responsible for raised MICs to tr</w:t>
      </w:r>
      <w:r w:rsidR="00A91767">
        <w:t>ia</w:t>
      </w:r>
      <w:r w:rsidR="00B970B5">
        <w:t xml:space="preserve">zole </w:t>
      </w:r>
      <w:r w:rsidR="008E61FF">
        <w:t>antimycotic agent</w:t>
      </w:r>
      <w:r w:rsidR="00B970B5">
        <w:t xml:space="preserve">s in a proportion of these isolates.  </w:t>
      </w:r>
      <w:r w:rsidR="008E61FF">
        <w:t>Non-</w:t>
      </w:r>
      <w:r w:rsidR="008E61FF" w:rsidRPr="008E61FF">
        <w:rPr>
          <w:i/>
        </w:rPr>
        <w:t>cyp51A</w:t>
      </w:r>
      <w:r w:rsidR="008E61FF">
        <w:t xml:space="preserve"> mediated mechanisms like efflux pumps might also play a role and requires further investigation</w:t>
      </w:r>
      <w:r w:rsidR="00A91767">
        <w:t xml:space="preserve"> using genomics tools.</w:t>
      </w:r>
    </w:p>
    <w:p w14:paraId="5E59DA6E" w14:textId="756826C6" w:rsidR="009251D1" w:rsidRPr="002F7212" w:rsidRDefault="00F42826" w:rsidP="002F7212">
      <w:pPr>
        <w:spacing w:line="480" w:lineRule="auto"/>
        <w:ind w:left="567"/>
        <w:jc w:val="both"/>
      </w:pPr>
      <w:r w:rsidRPr="002F7212">
        <w:t>P</w:t>
      </w:r>
      <w:r w:rsidR="009251D1" w:rsidRPr="002F7212">
        <w:t xml:space="preserve">revious studies have identified </w:t>
      </w:r>
      <w:r w:rsidRPr="002F7212">
        <w:t xml:space="preserve">an </w:t>
      </w:r>
      <w:r w:rsidR="009251D1" w:rsidRPr="002F7212">
        <w:t xml:space="preserve">association between </w:t>
      </w:r>
      <w:r w:rsidR="00EF72D9" w:rsidRPr="002F7212">
        <w:t xml:space="preserve">ARAf </w:t>
      </w:r>
      <w:r w:rsidR="009251D1" w:rsidRPr="002F7212">
        <w:t xml:space="preserve">infection </w:t>
      </w:r>
      <w:r w:rsidR="00EF72D9" w:rsidRPr="002F7212">
        <w:t>and adverse ou</w:t>
      </w:r>
      <w:r w:rsidR="009251D1" w:rsidRPr="002F7212">
        <w:t>tcome</w:t>
      </w:r>
      <w:r w:rsidRPr="002F7212">
        <w:t>s</w:t>
      </w:r>
      <w:r w:rsidR="0060578A">
        <w:t xml:space="preserve"> (ref). However,</w:t>
      </w:r>
      <w:r w:rsidR="009251D1" w:rsidRPr="002F7212">
        <w:t xml:space="preserve"> these studies</w:t>
      </w:r>
      <w:r w:rsidR="0060578A">
        <w:t xml:space="preserve"> </w:t>
      </w:r>
      <w:r w:rsidR="009251D1" w:rsidRPr="002F7212">
        <w:t>predominantly described more invasive forms of aspergillo</w:t>
      </w:r>
      <w:r w:rsidR="0011586C" w:rsidRPr="002F7212">
        <w:t>sis in haemato-oncological</w:t>
      </w:r>
      <w:r w:rsidR="009251D1" w:rsidRPr="002F7212">
        <w:t xml:space="preserve"> or intensive care settings</w:t>
      </w:r>
      <w:r w:rsidR="002F7212" w:rsidRPr="002F7212">
        <w:t xml:space="preserve"> [2</w:t>
      </w:r>
      <w:r w:rsidR="00A90CC1">
        <w:t>9</w:t>
      </w:r>
      <w:r w:rsidR="002F7212" w:rsidRPr="002F7212">
        <w:t>]</w:t>
      </w:r>
      <w:r w:rsidR="009251D1" w:rsidRPr="002F7212">
        <w:t xml:space="preserve">. In contrast, CF patients can be transiently or chronically colonised with </w:t>
      </w:r>
      <w:r w:rsidR="009251D1" w:rsidRPr="002F7212">
        <w:rPr>
          <w:i/>
        </w:rPr>
        <w:t>A. fumigatus</w:t>
      </w:r>
      <w:r w:rsidR="002F7212" w:rsidRPr="002F7212">
        <w:rPr>
          <w:i/>
        </w:rPr>
        <w:t xml:space="preserve"> </w:t>
      </w:r>
      <w:r w:rsidR="002F7212" w:rsidRPr="002F7212">
        <w:t>[18</w:t>
      </w:r>
      <w:bookmarkStart w:id="0" w:name="_GoBack"/>
      <w:bookmarkEnd w:id="0"/>
      <w:r w:rsidR="002F7212" w:rsidRPr="002F7212">
        <w:t>]</w:t>
      </w:r>
      <w:r w:rsidR="00EF72D9" w:rsidRPr="002F7212">
        <w:t xml:space="preserve">, </w:t>
      </w:r>
      <w:r w:rsidR="009251D1" w:rsidRPr="002F7212">
        <w:t>some of the</w:t>
      </w:r>
      <w:r w:rsidR="00EF72D9" w:rsidRPr="002F7212">
        <w:t xml:space="preserve">se developing </w:t>
      </w:r>
      <w:r w:rsidR="009251D1" w:rsidRPr="00D05C6F">
        <w:rPr>
          <w:i/>
        </w:rPr>
        <w:t>Aspergillus</w:t>
      </w:r>
      <w:r w:rsidR="009251D1" w:rsidRPr="002F7212">
        <w:t xml:space="preserve"> sensitisation or ABPA which are associated with </w:t>
      </w:r>
      <w:r w:rsidR="00EF72D9" w:rsidRPr="002F7212">
        <w:t xml:space="preserve">a decline in </w:t>
      </w:r>
      <w:r w:rsidR="009251D1" w:rsidRPr="002F7212">
        <w:t>lung function and incre</w:t>
      </w:r>
      <w:r w:rsidR="0011586C" w:rsidRPr="002F7212">
        <w:t>ased airflow obstruction</w:t>
      </w:r>
      <w:r w:rsidR="002F7212" w:rsidRPr="002F7212">
        <w:t xml:space="preserve"> [</w:t>
      </w:r>
      <w:r w:rsidR="00A90CC1">
        <w:t>30</w:t>
      </w:r>
      <w:r w:rsidR="002F7212" w:rsidRPr="002F7212">
        <w:t>]</w:t>
      </w:r>
      <w:r w:rsidR="009251D1" w:rsidRPr="002F7212">
        <w:t>. Although the treatment</w:t>
      </w:r>
      <w:r w:rsidR="00185799">
        <w:t xml:space="preserve"> using antifungals</w:t>
      </w:r>
      <w:r w:rsidR="009251D1" w:rsidRPr="002F7212">
        <w:t xml:space="preserve"> of CF patients with isolation of </w:t>
      </w:r>
      <w:r w:rsidR="009251D1" w:rsidRPr="00D05C6F">
        <w:rPr>
          <w:i/>
        </w:rPr>
        <w:t>Aspergillus</w:t>
      </w:r>
      <w:r w:rsidR="009251D1" w:rsidRPr="002F7212">
        <w:t xml:space="preserve"> species from respiratory specimens remain controversial, a systematic review by Moreira </w:t>
      </w:r>
      <w:r w:rsidR="009251D1" w:rsidRPr="00D05C6F">
        <w:rPr>
          <w:i/>
        </w:rPr>
        <w:t>et al.</w:t>
      </w:r>
      <w:r w:rsidR="009251D1" w:rsidRPr="002F7212">
        <w:t xml:space="preserve"> showed that antifungal treatment for ABPA in CF patients demonstrated potential benefits in terms of clinical outcomes</w:t>
      </w:r>
      <w:r w:rsidR="002F7212" w:rsidRPr="002F7212">
        <w:t xml:space="preserve"> </w:t>
      </w:r>
      <w:r w:rsidR="002F7212" w:rsidRPr="002F7212">
        <w:lastRenderedPageBreak/>
        <w:t>[</w:t>
      </w:r>
      <w:r w:rsidR="00A90CC1">
        <w:t>31</w:t>
      </w:r>
      <w:r w:rsidR="002F7212" w:rsidRPr="002F7212">
        <w:t>]</w:t>
      </w:r>
      <w:r w:rsidR="009251D1" w:rsidRPr="002F7212">
        <w:t>. In most of the included studies, antifungal therapy was</w:t>
      </w:r>
      <w:r w:rsidR="00EF72D9" w:rsidRPr="002F7212">
        <w:t xml:space="preserve"> oral triazole-</w:t>
      </w:r>
      <w:r w:rsidR="009251D1" w:rsidRPr="002F7212">
        <w:t xml:space="preserve">based. </w:t>
      </w:r>
      <w:r w:rsidR="00EF72D9" w:rsidRPr="002F7212">
        <w:t>Th</w:t>
      </w:r>
      <w:r w:rsidR="00185799">
        <w:t>erfore</w:t>
      </w:r>
      <w:r w:rsidR="00EF72D9" w:rsidRPr="002F7212">
        <w:t xml:space="preserve">, </w:t>
      </w:r>
      <w:r w:rsidR="00185799">
        <w:t xml:space="preserve">if </w:t>
      </w:r>
      <w:r w:rsidR="00EF72D9" w:rsidRPr="002F7212">
        <w:t xml:space="preserve">high </w:t>
      </w:r>
      <w:r w:rsidR="00185799">
        <w:t>prevalence of</w:t>
      </w:r>
      <w:r w:rsidR="00185799" w:rsidRPr="002F7212">
        <w:t xml:space="preserve"> </w:t>
      </w:r>
      <w:r w:rsidR="009251D1" w:rsidRPr="002F7212">
        <w:t>resistance to triazole agents</w:t>
      </w:r>
      <w:r w:rsidR="00185799">
        <w:t xml:space="preserve"> occurs</w:t>
      </w:r>
      <w:r w:rsidR="009251D1" w:rsidRPr="002F7212">
        <w:t xml:space="preserve">, </w:t>
      </w:r>
      <w:r w:rsidR="00185799">
        <w:t xml:space="preserve">then this </w:t>
      </w:r>
      <w:r w:rsidR="009251D1" w:rsidRPr="002F7212">
        <w:t>may pose a clinical challenge in management of these patients.</w:t>
      </w:r>
    </w:p>
    <w:p w14:paraId="17769D55" w14:textId="2061FC51" w:rsidR="000961D4" w:rsidRDefault="000D10AD">
      <w:pPr>
        <w:spacing w:line="480" w:lineRule="auto"/>
        <w:ind w:left="567"/>
        <w:jc w:val="both"/>
        <w:rPr>
          <w:b/>
        </w:rPr>
      </w:pPr>
      <w:r w:rsidRPr="002F7212">
        <w:t>Further c</w:t>
      </w:r>
      <w:r w:rsidR="0095330D" w:rsidRPr="002F7212">
        <w:t>linical characterisation of CF patients in our cohort with</w:t>
      </w:r>
      <w:r w:rsidRPr="002F7212">
        <w:t xml:space="preserve"> ARAf</w:t>
      </w:r>
      <w:r w:rsidR="00E7717F" w:rsidRPr="002F7212">
        <w:t xml:space="preserve"> </w:t>
      </w:r>
      <w:r w:rsidR="00EF72D9" w:rsidRPr="002F7212">
        <w:t xml:space="preserve">is warranted to investigate </w:t>
      </w:r>
      <w:r w:rsidR="00E7717F" w:rsidRPr="002F7212">
        <w:t xml:space="preserve">potential </w:t>
      </w:r>
      <w:r w:rsidR="00EF72D9" w:rsidRPr="002F7212">
        <w:t xml:space="preserve">contributory </w:t>
      </w:r>
      <w:r w:rsidR="00E7717F" w:rsidRPr="002F7212">
        <w:t>factors</w:t>
      </w:r>
      <w:r w:rsidR="00FC5D10" w:rsidRPr="002F7212">
        <w:t xml:space="preserve"> such as </w:t>
      </w:r>
      <w:r w:rsidR="00E7717F" w:rsidRPr="002F7212">
        <w:t>previous azole exposure</w:t>
      </w:r>
      <w:r w:rsidR="00FC5D10" w:rsidRPr="002F7212">
        <w:t>, therapeutic levels</w:t>
      </w:r>
      <w:r w:rsidRPr="002F7212">
        <w:t xml:space="preserve"> of triazole drugs and adverse effects on morbidity and mortality. </w:t>
      </w:r>
      <w:r w:rsidR="009251D1" w:rsidRPr="002F7212">
        <w:t>A</w:t>
      </w:r>
      <w:r w:rsidR="0095330D" w:rsidRPr="002F7212">
        <w:t xml:space="preserve"> longitudinal enhanced surveillance programme is urgently needed to examine larger number of isolates including sequential isolates from individual patients over</w:t>
      </w:r>
      <w:r w:rsidR="00D05C6F">
        <w:t xml:space="preserve"> time</w:t>
      </w:r>
      <w:r w:rsidR="00185799">
        <w:t>, and from cohorts of patients with different underlying clinical disorders</w:t>
      </w:r>
      <w:r w:rsidR="00D05C6F">
        <w:t>. Molecular typing of</w:t>
      </w:r>
      <w:r w:rsidR="0095330D" w:rsidRPr="002F7212">
        <w:t xml:space="preserve"> serial isolates using </w:t>
      </w:r>
      <w:r w:rsidR="009251D1" w:rsidRPr="002F7212">
        <w:t xml:space="preserve">whole genome sequencing </w:t>
      </w:r>
      <w:r w:rsidR="0095330D" w:rsidRPr="002F7212">
        <w:t xml:space="preserve">will provide information on common genotypes of </w:t>
      </w:r>
      <w:r w:rsidR="0095330D" w:rsidRPr="002F7212">
        <w:rPr>
          <w:i/>
        </w:rPr>
        <w:t>A. fumigatus</w:t>
      </w:r>
      <w:r w:rsidR="0095330D" w:rsidRPr="002F7212">
        <w:t xml:space="preserve"> present in CF airways </w:t>
      </w:r>
      <w:r w:rsidR="00872747" w:rsidRPr="002F7212">
        <w:t xml:space="preserve">and </w:t>
      </w:r>
      <w:r w:rsidR="00185799">
        <w:t xml:space="preserve">will </w:t>
      </w:r>
      <w:r w:rsidR="00872747" w:rsidRPr="002F7212">
        <w:t>aid in</w:t>
      </w:r>
      <w:r w:rsidR="00185799">
        <w:t xml:space="preserve"> our </w:t>
      </w:r>
      <w:r w:rsidR="00872747" w:rsidRPr="002F7212">
        <w:t xml:space="preserve">understanding of </w:t>
      </w:r>
      <w:r w:rsidR="00185799">
        <w:t xml:space="preserve">the molecular </w:t>
      </w:r>
      <w:r w:rsidR="00872747" w:rsidRPr="002F7212">
        <w:t>mechanism</w:t>
      </w:r>
      <w:r w:rsidR="00185799">
        <w:t>s</w:t>
      </w:r>
      <w:r w:rsidR="00872747" w:rsidRPr="002F7212">
        <w:t xml:space="preserve"> </w:t>
      </w:r>
      <w:r w:rsidR="00185799">
        <w:t>and epidemiological</w:t>
      </w:r>
      <w:r w:rsidR="00185799" w:rsidRPr="002F7212">
        <w:t xml:space="preserve"> </w:t>
      </w:r>
      <w:r w:rsidR="00185799">
        <w:t xml:space="preserve">sources </w:t>
      </w:r>
      <w:r w:rsidR="00872747" w:rsidRPr="002F7212">
        <w:t xml:space="preserve">of </w:t>
      </w:r>
      <w:r w:rsidR="00185799">
        <w:t xml:space="preserve">antifungal </w:t>
      </w:r>
      <w:r w:rsidR="00872747" w:rsidRPr="002F7212">
        <w:t>resistan</w:t>
      </w:r>
      <w:r w:rsidR="00185799">
        <w:t xml:space="preserve">t </w:t>
      </w:r>
      <w:r w:rsidR="00185799">
        <w:rPr>
          <w:i/>
        </w:rPr>
        <w:t>A. fumigatus</w:t>
      </w:r>
      <w:r w:rsidR="00872747" w:rsidRPr="002F7212">
        <w:t xml:space="preserve">. </w:t>
      </w:r>
    </w:p>
    <w:p w14:paraId="0F388BED" w14:textId="5785128F" w:rsidR="0095330D" w:rsidRDefault="00D05C6F" w:rsidP="002F7212">
      <w:pPr>
        <w:spacing w:line="480" w:lineRule="auto"/>
        <w:ind w:left="567"/>
        <w:jc w:val="both"/>
        <w:rPr>
          <w:b/>
        </w:rPr>
      </w:pPr>
      <w:r w:rsidRPr="00D05C6F">
        <w:rPr>
          <w:b/>
        </w:rPr>
        <w:t>Acknowledgments</w:t>
      </w:r>
    </w:p>
    <w:p w14:paraId="7A981F91" w14:textId="2178ED3F" w:rsidR="00B06E40" w:rsidRPr="00B06E40" w:rsidRDefault="00B06E40" w:rsidP="00B06E40">
      <w:pPr>
        <w:spacing w:line="480" w:lineRule="auto"/>
        <w:ind w:left="567"/>
        <w:jc w:val="both"/>
      </w:pPr>
      <w:r w:rsidRPr="00B06E40">
        <w:t xml:space="preserve">The authors would like to thank the microbiology staff at the Royal Brompton and Harefield </w:t>
      </w:r>
      <w:r>
        <w:t>NHS</w:t>
      </w:r>
      <w:r w:rsidRPr="00B06E40">
        <w:t xml:space="preserve"> Foundation Trust for assistance in fungal isolate collection.</w:t>
      </w:r>
    </w:p>
    <w:p w14:paraId="38FFE7C6" w14:textId="1191F2C5" w:rsidR="00B06E40" w:rsidRPr="00B06E40" w:rsidRDefault="00B06E40" w:rsidP="00B06E40">
      <w:pPr>
        <w:spacing w:line="480" w:lineRule="auto"/>
        <w:ind w:left="567"/>
        <w:jc w:val="both"/>
        <w:rPr>
          <w:b/>
        </w:rPr>
      </w:pPr>
      <w:r w:rsidRPr="00B06E40">
        <w:rPr>
          <w:b/>
        </w:rPr>
        <w:t>Funding</w:t>
      </w:r>
    </w:p>
    <w:p w14:paraId="4C6B7890" w14:textId="6A9AB92B" w:rsidR="00B06E40" w:rsidRPr="00B06E40" w:rsidRDefault="00B06E40" w:rsidP="00B06E40">
      <w:pPr>
        <w:spacing w:line="480" w:lineRule="auto"/>
        <w:ind w:left="567"/>
        <w:jc w:val="both"/>
      </w:pPr>
      <w:r w:rsidRPr="00B06E40">
        <w:t>No specific funding has been received for this study.</w:t>
      </w:r>
    </w:p>
    <w:p w14:paraId="51FCF9CA" w14:textId="6BA12404" w:rsidR="00B06E40" w:rsidRPr="00B06E40" w:rsidRDefault="00B06E40" w:rsidP="00B06E40">
      <w:pPr>
        <w:spacing w:line="480" w:lineRule="auto"/>
        <w:ind w:left="567"/>
        <w:jc w:val="both"/>
        <w:rPr>
          <w:b/>
        </w:rPr>
      </w:pPr>
      <w:r w:rsidRPr="00B06E40">
        <w:rPr>
          <w:b/>
        </w:rPr>
        <w:t>Transparency declaration</w:t>
      </w:r>
    </w:p>
    <w:p w14:paraId="181535A8" w14:textId="14B168EB" w:rsidR="00B06E40" w:rsidRPr="00B06E40" w:rsidRDefault="00B06E40" w:rsidP="00B06E40">
      <w:pPr>
        <w:spacing w:line="480" w:lineRule="auto"/>
        <w:ind w:left="567"/>
        <w:jc w:val="both"/>
      </w:pPr>
      <w:r w:rsidRPr="00B06E40">
        <w:t>A. A. has been paid for talks and received travel support from Gilead. The authors of this manuscript have no conflicts of interest to disclose.</w:t>
      </w:r>
      <w:r w:rsidR="00202977">
        <w:t xml:space="preserve"> </w:t>
      </w:r>
    </w:p>
    <w:p w14:paraId="00B82B8D" w14:textId="79B3BD9E" w:rsidR="00B06E40" w:rsidRPr="00B06E40" w:rsidRDefault="00B06E40" w:rsidP="00B06E40">
      <w:pPr>
        <w:spacing w:line="480" w:lineRule="auto"/>
        <w:ind w:left="567"/>
        <w:jc w:val="both"/>
        <w:rPr>
          <w:b/>
        </w:rPr>
      </w:pPr>
      <w:r w:rsidRPr="00B06E40">
        <w:rPr>
          <w:b/>
        </w:rPr>
        <w:t>Author contributions</w:t>
      </w:r>
    </w:p>
    <w:p w14:paraId="4258A05C" w14:textId="29999D5B" w:rsidR="00B06E40" w:rsidRPr="00B06E40" w:rsidRDefault="00B06E40" w:rsidP="000961D4">
      <w:pPr>
        <w:spacing w:line="480" w:lineRule="auto"/>
        <w:ind w:left="567"/>
        <w:jc w:val="both"/>
      </w:pPr>
      <w:r w:rsidRPr="00B06E40">
        <w:t xml:space="preserve">AA, </w:t>
      </w:r>
      <w:r w:rsidR="000961D4">
        <w:t>JLR</w:t>
      </w:r>
      <w:r w:rsidRPr="00B06E40">
        <w:t xml:space="preserve">, </w:t>
      </w:r>
      <w:r w:rsidR="000961D4">
        <w:t xml:space="preserve">MCF </w:t>
      </w:r>
      <w:r w:rsidRPr="00B06E40">
        <w:t>and DAJ contributed to the conception and design of</w:t>
      </w:r>
      <w:r w:rsidR="000961D4">
        <w:t xml:space="preserve"> the research. AA</w:t>
      </w:r>
      <w:r w:rsidRPr="00B06E40">
        <w:t xml:space="preserve"> performed </w:t>
      </w:r>
      <w:r w:rsidR="000961D4">
        <w:t xml:space="preserve">all </w:t>
      </w:r>
      <w:r w:rsidRPr="00B06E40">
        <w:t>experiments. All authors contributed to the analysis and interpretation of data and the drafting and revising of this manuscript.</w:t>
      </w:r>
    </w:p>
    <w:p w14:paraId="0536841A" w14:textId="67112C1C" w:rsidR="000961D4" w:rsidRDefault="000961D4" w:rsidP="00887B4F">
      <w:pPr>
        <w:spacing w:line="480" w:lineRule="auto"/>
        <w:ind w:left="567"/>
        <w:jc w:val="both"/>
      </w:pPr>
    </w:p>
    <w:p w14:paraId="37567060" w14:textId="62DFC5AC" w:rsidR="005012AF" w:rsidRPr="002F7212" w:rsidRDefault="00BF6818" w:rsidP="002F7212">
      <w:pPr>
        <w:spacing w:line="480" w:lineRule="auto"/>
        <w:ind w:left="567"/>
        <w:jc w:val="both"/>
        <w:rPr>
          <w:b/>
        </w:rPr>
      </w:pPr>
      <w:r w:rsidRPr="002F7212">
        <w:rPr>
          <w:b/>
        </w:rPr>
        <w:t>F</w:t>
      </w:r>
      <w:r w:rsidR="002F7212">
        <w:rPr>
          <w:b/>
        </w:rPr>
        <w:t>IGURE 1</w:t>
      </w:r>
      <w:r w:rsidRPr="002F7212">
        <w:rPr>
          <w:b/>
        </w:rPr>
        <w:t xml:space="preserve"> </w:t>
      </w:r>
    </w:p>
    <w:p w14:paraId="4190AF88" w14:textId="3437FC88" w:rsidR="00BF6818" w:rsidRPr="002F7212" w:rsidRDefault="00D05C6F" w:rsidP="00321811">
      <w:pPr>
        <w:spacing w:line="480" w:lineRule="auto"/>
        <w:ind w:left="567"/>
        <w:jc w:val="both"/>
      </w:pPr>
      <w:r>
        <w:t>(</w:t>
      </w:r>
      <w:r w:rsidR="00BF6818" w:rsidRPr="002F7212">
        <w:t xml:space="preserve">a) </w:t>
      </w:r>
      <w:r w:rsidR="005012AF" w:rsidRPr="002F7212">
        <w:t>S</w:t>
      </w:r>
      <w:r w:rsidR="00BF6818" w:rsidRPr="002F7212">
        <w:t xml:space="preserve">ummary of </w:t>
      </w:r>
      <w:r>
        <w:t xml:space="preserve">screening approach and confirmatory </w:t>
      </w:r>
      <w:r w:rsidR="00B06E40">
        <w:t xml:space="preserve">testing for detection of azole resistance in clinical </w:t>
      </w:r>
      <w:r w:rsidR="00B06E40" w:rsidRPr="00B06E40">
        <w:rPr>
          <w:i/>
        </w:rPr>
        <w:t>A. fumigatus</w:t>
      </w:r>
      <w:r w:rsidR="00B06E40">
        <w:t xml:space="preserve"> isolates</w:t>
      </w:r>
      <w:r>
        <w:t>,</w:t>
      </w:r>
      <w:r w:rsidR="00BF6818" w:rsidRPr="002F7212">
        <w:t xml:space="preserve"> </w:t>
      </w:r>
      <w:r>
        <w:t>(</w:t>
      </w:r>
      <w:r w:rsidR="00BF6818" w:rsidRPr="002F7212">
        <w:t xml:space="preserve">b) </w:t>
      </w:r>
      <w:r w:rsidR="00F029F7">
        <w:t>t</w:t>
      </w:r>
      <w:r w:rsidR="00F029F7" w:rsidRPr="00F029F7">
        <w:t xml:space="preserve">he VIPcheck™ consists of a 4-wells plate, which contains </w:t>
      </w:r>
      <w:r w:rsidR="00F029F7">
        <w:t xml:space="preserve">RPMI </w:t>
      </w:r>
      <w:r w:rsidR="00F029F7" w:rsidRPr="00F029F7">
        <w:t xml:space="preserve">agar supplemented with </w:t>
      </w:r>
      <w:r w:rsidR="00F029F7">
        <w:t>three medical azoles i</w:t>
      </w:r>
      <w:r w:rsidR="00F029F7" w:rsidRPr="00F029F7">
        <w:t>traconazole</w:t>
      </w:r>
      <w:r w:rsidR="00F029F7">
        <w:t xml:space="preserve"> (4 mg/L),</w:t>
      </w:r>
      <w:r w:rsidR="00F029F7" w:rsidRPr="00F029F7">
        <w:t xml:space="preserve"> </w:t>
      </w:r>
      <w:r w:rsidR="00F029F7">
        <w:t>voriconazole (1 mg/L) and posaconazole (0.5 mg/L), in wells 1 to 3 respectively</w:t>
      </w:r>
      <w:r w:rsidR="00F029F7" w:rsidRPr="00F029F7">
        <w:t xml:space="preserve"> and a </w:t>
      </w:r>
      <w:r w:rsidR="00F029F7">
        <w:t xml:space="preserve">azole-free </w:t>
      </w:r>
      <w:r w:rsidR="00F029F7" w:rsidRPr="00F029F7">
        <w:t>growth control</w:t>
      </w:r>
      <w:r w:rsidR="00F029F7">
        <w:t xml:space="preserve"> (well No. 4)</w:t>
      </w:r>
      <w:r w:rsidR="00F029F7" w:rsidRPr="00F029F7">
        <w:t>.</w:t>
      </w:r>
      <w:r w:rsidR="00F029F7">
        <w:t xml:space="preserve"> After 48 hours incubation at 37°C, an azole-resistant </w:t>
      </w:r>
      <w:r w:rsidR="00F029F7" w:rsidRPr="00F029F7">
        <w:rPr>
          <w:i/>
        </w:rPr>
        <w:t>A. fumigatus</w:t>
      </w:r>
      <w:r w:rsidR="00F029F7">
        <w:t xml:space="preserve"> showed growth in wells 1 and 4 (left panel) while a</w:t>
      </w:r>
      <w:r w:rsidR="00321811">
        <w:t xml:space="preserve">n azole-susceptible isolate only grew in well No.4 (right panel), (c) </w:t>
      </w:r>
      <w:r w:rsidR="00BF6818" w:rsidRPr="002F7212">
        <w:t xml:space="preserve">itraconazole E-test </w:t>
      </w:r>
      <w:r w:rsidR="00321811">
        <w:t>on RPMI agar</w:t>
      </w:r>
      <w:r w:rsidR="00BF6818" w:rsidRPr="002F7212">
        <w:t xml:space="preserve"> </w:t>
      </w:r>
      <w:r w:rsidR="00321811">
        <w:t xml:space="preserve">confirmed raised MIC in an azole-resistant strain (left). In contrast, azole-susceptible isolate (right panel) exhibited wile-type (i. e. sensitive) MIC.  </w:t>
      </w:r>
    </w:p>
    <w:p w14:paraId="66AAD057" w14:textId="68A1AC73" w:rsidR="00BF6818" w:rsidRPr="002F7212" w:rsidRDefault="00735ED5" w:rsidP="002F7212">
      <w:pPr>
        <w:spacing w:line="480" w:lineRule="auto"/>
        <w:ind w:left="567"/>
        <w:jc w:val="both"/>
      </w:pPr>
      <w:r>
        <w:rPr>
          <w:noProof/>
          <w:lang w:eastAsia="en-GB"/>
        </w:rPr>
        <w:drawing>
          <wp:inline distT="0" distB="0" distL="0" distR="0" wp14:anchorId="1D61A5C6" wp14:editId="0742CA3C">
            <wp:extent cx="6375400" cy="3676015"/>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7">
                      <a:extLst>
                        <a:ext uri="{28A0092B-C50C-407E-A947-70E740481C1C}">
                          <a14:useLocalDpi xmlns:a14="http://schemas.microsoft.com/office/drawing/2010/main" val="0"/>
                        </a:ext>
                      </a:extLst>
                    </a:blip>
                    <a:stretch>
                      <a:fillRect/>
                    </a:stretch>
                  </pic:blipFill>
                  <pic:spPr>
                    <a:xfrm>
                      <a:off x="0" y="0"/>
                      <a:ext cx="6375400" cy="3676015"/>
                    </a:xfrm>
                    <a:prstGeom prst="rect">
                      <a:avLst/>
                    </a:prstGeom>
                  </pic:spPr>
                </pic:pic>
              </a:graphicData>
            </a:graphic>
          </wp:inline>
        </w:drawing>
      </w:r>
    </w:p>
    <w:p w14:paraId="32181D02" w14:textId="77777777" w:rsidR="002F7212" w:rsidRDefault="002F7212" w:rsidP="002F7212">
      <w:pPr>
        <w:spacing w:line="480" w:lineRule="auto"/>
        <w:ind w:left="567"/>
        <w:jc w:val="both"/>
        <w:rPr>
          <w:b/>
        </w:rPr>
      </w:pPr>
    </w:p>
    <w:p w14:paraId="621D9A5C" w14:textId="77777777" w:rsidR="002F7212" w:rsidRDefault="002F7212" w:rsidP="002F7212">
      <w:pPr>
        <w:spacing w:line="480" w:lineRule="auto"/>
        <w:ind w:left="567"/>
        <w:jc w:val="both"/>
        <w:rPr>
          <w:b/>
        </w:rPr>
      </w:pPr>
    </w:p>
    <w:p w14:paraId="24B7A3F3" w14:textId="77777777" w:rsidR="002F7212" w:rsidRDefault="002F7212" w:rsidP="002F7212">
      <w:pPr>
        <w:spacing w:line="480" w:lineRule="auto"/>
        <w:ind w:left="567"/>
        <w:jc w:val="both"/>
        <w:rPr>
          <w:b/>
        </w:rPr>
      </w:pPr>
    </w:p>
    <w:p w14:paraId="1C4803B9" w14:textId="77777777" w:rsidR="002F7212" w:rsidRDefault="002F7212" w:rsidP="00321811">
      <w:pPr>
        <w:spacing w:line="480" w:lineRule="auto"/>
        <w:jc w:val="both"/>
        <w:rPr>
          <w:b/>
        </w:rPr>
      </w:pPr>
    </w:p>
    <w:p w14:paraId="0E849BA2" w14:textId="04DBD0A4" w:rsidR="005012AF" w:rsidRPr="002F7212" w:rsidRDefault="00321811" w:rsidP="002F7212">
      <w:pPr>
        <w:spacing w:line="480" w:lineRule="auto"/>
        <w:ind w:left="567"/>
        <w:jc w:val="both"/>
        <w:rPr>
          <w:b/>
        </w:rPr>
      </w:pPr>
      <w:r>
        <w:rPr>
          <w:b/>
        </w:rPr>
        <w:t>FIGURE 2</w:t>
      </w:r>
    </w:p>
    <w:p w14:paraId="66BA5574" w14:textId="6DD94F0C" w:rsidR="00886403" w:rsidRPr="002F7212" w:rsidRDefault="00321811" w:rsidP="00453F6F">
      <w:pPr>
        <w:spacing w:line="360" w:lineRule="auto"/>
        <w:ind w:left="567"/>
        <w:jc w:val="both"/>
      </w:pPr>
      <w:r>
        <w:t>(</w:t>
      </w:r>
      <w:r w:rsidR="004D5DCB" w:rsidRPr="002F7212">
        <w:t>a)</w:t>
      </w:r>
      <w:r w:rsidR="007554DD" w:rsidRPr="002F7212">
        <w:t xml:space="preserve"> Breakdown of </w:t>
      </w:r>
      <w:r w:rsidR="00886403" w:rsidRPr="002F7212">
        <w:rPr>
          <w:i/>
        </w:rPr>
        <w:t>A. fumigatus</w:t>
      </w:r>
      <w:r w:rsidR="00886403" w:rsidRPr="002F7212">
        <w:t xml:space="preserve"> isolates by clinical c</w:t>
      </w:r>
      <w:r w:rsidR="00FC5D10" w:rsidRPr="002F7212">
        <w:t>lassification</w:t>
      </w:r>
      <w:r w:rsidR="004D5DCB" w:rsidRPr="002F7212">
        <w:t xml:space="preserve"> </w:t>
      </w:r>
      <w:r w:rsidR="008B17A7">
        <w:t xml:space="preserve">of patients, </w:t>
      </w:r>
      <w:r>
        <w:t>(</w:t>
      </w:r>
      <w:r w:rsidR="004D5DCB" w:rsidRPr="002F7212">
        <w:t xml:space="preserve">b) Age range of patients </w:t>
      </w:r>
      <w:r w:rsidR="008B17A7">
        <w:t xml:space="preserve">harbouring azole-resistant </w:t>
      </w:r>
      <w:r w:rsidR="004D5DCB" w:rsidRPr="002F7212">
        <w:t xml:space="preserve"> </w:t>
      </w:r>
      <w:r w:rsidR="004D5DCB" w:rsidRPr="002F7212">
        <w:rPr>
          <w:i/>
        </w:rPr>
        <w:t>A. fumigatus</w:t>
      </w:r>
      <w:r w:rsidR="008B17A7">
        <w:t xml:space="preserve"> compared to azole-susceptible, (c) </w:t>
      </w:r>
      <w:r w:rsidR="00FD5C1F">
        <w:t xml:space="preserve">distribution of the itraconazole (black bars), voriconazole (grey bars) and posaconazoe (white bars) MICs using EUCAST standard microbroth dilution method for  22 clinical azole-resistant isolates of </w:t>
      </w:r>
      <w:r w:rsidR="00FD5C1F" w:rsidRPr="00FD5C1F">
        <w:rPr>
          <w:i/>
        </w:rPr>
        <w:t>A. fumigatus</w:t>
      </w:r>
      <w:r w:rsidR="00FD5C1F">
        <w:rPr>
          <w:i/>
        </w:rPr>
        <w:t>.</w:t>
      </w:r>
      <w:r w:rsidR="00453F6F">
        <w:t xml:space="preserve"> HSTC; </w:t>
      </w:r>
      <w:r w:rsidR="00886403" w:rsidRPr="002F7212">
        <w:t>hematopoietic st</w:t>
      </w:r>
      <w:r w:rsidR="00453F6F">
        <w:t xml:space="preserve">em cell transplantation, GVHD; </w:t>
      </w:r>
      <w:r w:rsidR="00886403" w:rsidRPr="002F7212">
        <w:t>g</w:t>
      </w:r>
      <w:r w:rsidR="00453F6F">
        <w:t>raft versus host disease, ECMO;</w:t>
      </w:r>
      <w:r w:rsidR="00886403" w:rsidRPr="002F7212">
        <w:t xml:space="preserve"> extracorpo</w:t>
      </w:r>
      <w:r w:rsidR="00453F6F">
        <w:t>real membrane oxygenation, ITU; intensive care unit, ILD;</w:t>
      </w:r>
      <w:r w:rsidR="00886403" w:rsidRPr="002F7212">
        <w:t xml:space="preserve"> interstitial lung di</w:t>
      </w:r>
      <w:r w:rsidR="00453F6F">
        <w:t>sease, COPD;</w:t>
      </w:r>
      <w:r w:rsidR="00886403" w:rsidRPr="002F7212">
        <w:t xml:space="preserve"> chronic obstr</w:t>
      </w:r>
      <w:r w:rsidR="00453F6F">
        <w:t>uctive pulmonary disease, ABPA;</w:t>
      </w:r>
      <w:r w:rsidR="00886403" w:rsidRPr="002F7212">
        <w:t xml:space="preserve"> allergic bronch</w:t>
      </w:r>
      <w:r w:rsidR="00453F6F">
        <w:t>opulmonary aspergillosis, LRTI;</w:t>
      </w:r>
      <w:r w:rsidR="00886403" w:rsidRPr="002F7212">
        <w:t xml:space="preserve"> lower re</w:t>
      </w:r>
      <w:r w:rsidR="00453F6F">
        <w:t>spiratory tract infection, LTR;</w:t>
      </w:r>
      <w:r w:rsidR="00886403" w:rsidRPr="002F7212">
        <w:t xml:space="preserve"> lung transplant</w:t>
      </w:r>
      <w:r w:rsidR="00453F6F">
        <w:t xml:space="preserve"> recipient, CF; cystic fibrosis.</w:t>
      </w:r>
    </w:p>
    <w:p w14:paraId="156D4272" w14:textId="390E78F6" w:rsidR="00886403" w:rsidRPr="002F7212" w:rsidRDefault="004D5DCB" w:rsidP="002F7212">
      <w:pPr>
        <w:spacing w:line="480" w:lineRule="auto"/>
        <w:ind w:left="567"/>
        <w:jc w:val="both"/>
      </w:pPr>
      <w:r w:rsidRPr="002F7212">
        <w:rPr>
          <w:noProof/>
          <w:lang w:eastAsia="en-GB"/>
        </w:rPr>
        <w:t xml:space="preserve"> </w:t>
      </w:r>
      <w:r w:rsidR="00FD5C1F">
        <w:rPr>
          <w:noProof/>
          <w:lang w:eastAsia="en-GB"/>
        </w:rPr>
        <w:drawing>
          <wp:inline distT="0" distB="0" distL="0" distR="0" wp14:anchorId="7B43428A" wp14:editId="6BB01D3C">
            <wp:extent cx="6375400" cy="223266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ayout 2.jpg"/>
                    <pic:cNvPicPr/>
                  </pic:nvPicPr>
                  <pic:blipFill>
                    <a:blip r:embed="rId8">
                      <a:extLst>
                        <a:ext uri="{28A0092B-C50C-407E-A947-70E740481C1C}">
                          <a14:useLocalDpi xmlns:a14="http://schemas.microsoft.com/office/drawing/2010/main" val="0"/>
                        </a:ext>
                      </a:extLst>
                    </a:blip>
                    <a:stretch>
                      <a:fillRect/>
                    </a:stretch>
                  </pic:blipFill>
                  <pic:spPr>
                    <a:xfrm>
                      <a:off x="0" y="0"/>
                      <a:ext cx="6375400" cy="2232660"/>
                    </a:xfrm>
                    <a:prstGeom prst="rect">
                      <a:avLst/>
                    </a:prstGeom>
                  </pic:spPr>
                </pic:pic>
              </a:graphicData>
            </a:graphic>
          </wp:inline>
        </w:drawing>
      </w:r>
    </w:p>
    <w:p w14:paraId="1B9ADA32" w14:textId="77777777" w:rsidR="00886403" w:rsidRPr="002F7212" w:rsidRDefault="00886403" w:rsidP="002F7212">
      <w:pPr>
        <w:spacing w:line="480" w:lineRule="auto"/>
        <w:ind w:left="567"/>
        <w:jc w:val="both"/>
      </w:pPr>
    </w:p>
    <w:p w14:paraId="7FBE6DD6" w14:textId="77777777" w:rsidR="00BC4361" w:rsidRPr="002F7212" w:rsidRDefault="00BC4361" w:rsidP="002F7212">
      <w:pPr>
        <w:spacing w:line="480" w:lineRule="auto"/>
        <w:ind w:left="567"/>
        <w:jc w:val="both"/>
      </w:pPr>
    </w:p>
    <w:p w14:paraId="61F519FC" w14:textId="77777777" w:rsidR="00886403" w:rsidRPr="002F7212" w:rsidRDefault="00886403" w:rsidP="002F7212">
      <w:pPr>
        <w:spacing w:line="480" w:lineRule="auto"/>
        <w:ind w:left="567"/>
        <w:jc w:val="both"/>
      </w:pPr>
    </w:p>
    <w:p w14:paraId="333CC28C" w14:textId="150533BE" w:rsidR="00CC406E" w:rsidRPr="002F7212" w:rsidRDefault="00CC406E" w:rsidP="002F7212">
      <w:pPr>
        <w:spacing w:line="480" w:lineRule="auto"/>
        <w:ind w:left="567"/>
        <w:jc w:val="both"/>
      </w:pPr>
    </w:p>
    <w:p w14:paraId="6CA114E6" w14:textId="77777777" w:rsidR="00DC7EE5" w:rsidRPr="002F7212" w:rsidRDefault="00DC7EE5" w:rsidP="002F7212">
      <w:pPr>
        <w:spacing w:line="240" w:lineRule="auto"/>
        <w:ind w:left="567"/>
        <w:jc w:val="both"/>
      </w:pPr>
    </w:p>
    <w:p w14:paraId="7AABA7F9" w14:textId="77777777" w:rsidR="00DC7EE5" w:rsidRPr="002F7212" w:rsidRDefault="00DC7EE5" w:rsidP="002F7212">
      <w:pPr>
        <w:spacing w:line="240" w:lineRule="auto"/>
        <w:ind w:left="567"/>
        <w:jc w:val="both"/>
      </w:pPr>
    </w:p>
    <w:p w14:paraId="2657F55E" w14:textId="77777777" w:rsidR="00DC7EE5" w:rsidRPr="002F7212" w:rsidRDefault="00DC7EE5" w:rsidP="002F7212">
      <w:pPr>
        <w:spacing w:line="240" w:lineRule="auto"/>
        <w:ind w:left="567"/>
        <w:jc w:val="both"/>
      </w:pPr>
    </w:p>
    <w:p w14:paraId="2F0B94A0" w14:textId="77777777" w:rsidR="005012AF" w:rsidRPr="002F7212" w:rsidRDefault="005012AF" w:rsidP="002F7212">
      <w:pPr>
        <w:spacing w:line="240" w:lineRule="auto"/>
        <w:ind w:left="567"/>
        <w:jc w:val="both"/>
      </w:pPr>
    </w:p>
    <w:p w14:paraId="176CDF02" w14:textId="77777777" w:rsidR="00DC7EE5" w:rsidRPr="002F7212" w:rsidRDefault="00DC7EE5" w:rsidP="00453F6F">
      <w:pPr>
        <w:spacing w:line="240" w:lineRule="auto"/>
        <w:jc w:val="both"/>
      </w:pPr>
    </w:p>
    <w:p w14:paraId="44BA7C6A" w14:textId="77777777" w:rsidR="00453F6F" w:rsidRDefault="00453F6F" w:rsidP="008B17A7">
      <w:pPr>
        <w:spacing w:line="360" w:lineRule="auto"/>
        <w:ind w:firstLine="567"/>
        <w:jc w:val="both"/>
        <w:rPr>
          <w:b/>
        </w:rPr>
      </w:pPr>
    </w:p>
    <w:p w14:paraId="0EEE7967" w14:textId="4497EA28" w:rsidR="005012AF" w:rsidRPr="00B508FC" w:rsidRDefault="006259E7" w:rsidP="008B17A7">
      <w:pPr>
        <w:spacing w:line="360" w:lineRule="auto"/>
        <w:ind w:firstLine="567"/>
        <w:jc w:val="both"/>
        <w:rPr>
          <w:b/>
        </w:rPr>
      </w:pPr>
      <w:r>
        <w:rPr>
          <w:b/>
        </w:rPr>
        <w:t>Table 1</w:t>
      </w:r>
      <w:r w:rsidR="00AF77B4" w:rsidRPr="00B508FC">
        <w:rPr>
          <w:b/>
        </w:rPr>
        <w:t xml:space="preserve"> </w:t>
      </w:r>
    </w:p>
    <w:p w14:paraId="5BDFE53E" w14:textId="0797ACA0" w:rsidR="0095330D" w:rsidRPr="002F7212" w:rsidRDefault="00AF77B4" w:rsidP="00453F6F">
      <w:pPr>
        <w:spacing w:line="360" w:lineRule="auto"/>
        <w:ind w:left="567"/>
        <w:jc w:val="both"/>
      </w:pPr>
      <w:r w:rsidRPr="002F7212">
        <w:t>C</w:t>
      </w:r>
      <w:r w:rsidR="0095330D" w:rsidRPr="002F7212">
        <w:t>haracteristics of triazole</w:t>
      </w:r>
      <w:r w:rsidR="006259E7">
        <w:t>-</w:t>
      </w:r>
      <w:r w:rsidR="0095330D" w:rsidRPr="002F7212">
        <w:t xml:space="preserve">resistant </w:t>
      </w:r>
      <w:r w:rsidRPr="002F7212">
        <w:rPr>
          <w:i/>
        </w:rPr>
        <w:t>A.</w:t>
      </w:r>
      <w:r w:rsidR="006259E7">
        <w:rPr>
          <w:i/>
        </w:rPr>
        <w:t xml:space="preserve"> f</w:t>
      </w:r>
      <w:r w:rsidR="0095330D" w:rsidRPr="002F7212">
        <w:rPr>
          <w:i/>
        </w:rPr>
        <w:t>umigatus</w:t>
      </w:r>
      <w:r w:rsidR="006259E7">
        <w:t xml:space="preserve"> isolates</w:t>
      </w:r>
      <w:r w:rsidR="008B17A7">
        <w:t xml:space="preserve"> </w:t>
      </w:r>
      <w:r w:rsidR="00FD5C1F">
        <w:t>(</w:t>
      </w:r>
      <w:r w:rsidR="00FD5C1F" w:rsidRPr="00FD5C1F">
        <w:rPr>
          <w:i/>
        </w:rPr>
        <w:t>n</w:t>
      </w:r>
      <w:r w:rsidR="00FD5C1F">
        <w:t xml:space="preserve"> = 22) </w:t>
      </w:r>
      <w:r w:rsidR="008B17A7">
        <w:t>in this study</w:t>
      </w:r>
      <w:r w:rsidR="00453F6F">
        <w:t xml:space="preserve">.  </w:t>
      </w:r>
      <w:r w:rsidR="008B17A7">
        <w:t>TA</w:t>
      </w:r>
      <w:r w:rsidR="00453F6F">
        <w:t>;</w:t>
      </w:r>
      <w:r w:rsidR="008B17A7">
        <w:t xml:space="preserve"> </w:t>
      </w:r>
      <w:r w:rsidR="00453F6F">
        <w:t>tracheal aspirate, ILD; interstitial lung disease, CF; cystic fibrosis, ABPA;</w:t>
      </w:r>
      <w:r w:rsidR="0095330D" w:rsidRPr="002F7212">
        <w:t xml:space="preserve"> allergic bronchop</w:t>
      </w:r>
      <w:r w:rsidR="00453F6F">
        <w:t>ulmonary aspergillosis, MIC;</w:t>
      </w:r>
      <w:r w:rsidR="0095330D" w:rsidRPr="002F7212">
        <w:t xml:space="preserve"> minimu</w:t>
      </w:r>
      <w:r w:rsidR="00453F6F">
        <w:t>m inhibitory concentration, MEC;</w:t>
      </w:r>
      <w:r w:rsidR="0095330D" w:rsidRPr="002F7212">
        <w:t xml:space="preserve"> minim</w:t>
      </w:r>
      <w:r w:rsidR="00453F6F">
        <w:t>um effective concentration, ITC; itraconazole, VRC; voriconazole, PCZ; posaconazole, AMB; amphotericin B, MIF; micafungin, ANF; anidulafungin, CAS; caspofungin, WT; wild-type.</w:t>
      </w:r>
    </w:p>
    <w:tbl>
      <w:tblPr>
        <w:tblW w:w="10206" w:type="dxa"/>
        <w:tblInd w:w="675" w:type="dxa"/>
        <w:tblLook w:val="04A0" w:firstRow="1" w:lastRow="0" w:firstColumn="1" w:lastColumn="0" w:noHBand="0" w:noVBand="1"/>
      </w:tblPr>
      <w:tblGrid>
        <w:gridCol w:w="851"/>
        <w:gridCol w:w="879"/>
        <w:gridCol w:w="2523"/>
        <w:gridCol w:w="709"/>
        <w:gridCol w:w="652"/>
        <w:gridCol w:w="652"/>
        <w:gridCol w:w="680"/>
        <w:gridCol w:w="752"/>
        <w:gridCol w:w="752"/>
        <w:gridCol w:w="652"/>
        <w:gridCol w:w="1104"/>
      </w:tblGrid>
      <w:tr w:rsidR="0095330D" w:rsidRPr="002F7212" w14:paraId="184C814D" w14:textId="77777777" w:rsidTr="00A01886">
        <w:trPr>
          <w:trHeight w:val="315"/>
        </w:trPr>
        <w:tc>
          <w:tcPr>
            <w:tcW w:w="85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76A713D"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 xml:space="preserve">Patient </w:t>
            </w:r>
            <w:r w:rsidRPr="002F7212">
              <w:rPr>
                <w:rFonts w:eastAsia="Times New Roman" w:cs="Arial"/>
                <w:b/>
                <w:bCs/>
                <w:color w:val="000000"/>
                <w:sz w:val="18"/>
                <w:szCs w:val="24"/>
                <w:lang w:eastAsia="en-GB"/>
              </w:rPr>
              <w:br/>
              <w:t>No</w:t>
            </w:r>
          </w:p>
        </w:tc>
        <w:tc>
          <w:tcPr>
            <w:tcW w:w="879"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86F25A"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Sample type</w:t>
            </w:r>
          </w:p>
        </w:tc>
        <w:tc>
          <w:tcPr>
            <w:tcW w:w="2523"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0C1B39"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Patient category</w:t>
            </w:r>
          </w:p>
        </w:tc>
        <w:tc>
          <w:tcPr>
            <w:tcW w:w="4849" w:type="dxa"/>
            <w:gridSpan w:val="7"/>
            <w:tcBorders>
              <w:top w:val="single" w:sz="4" w:space="0" w:color="auto"/>
              <w:left w:val="nil"/>
              <w:bottom w:val="single" w:sz="4" w:space="0" w:color="auto"/>
              <w:right w:val="single" w:sz="4" w:space="0" w:color="auto"/>
            </w:tcBorders>
            <w:shd w:val="clear" w:color="000000" w:fill="D9D9D9"/>
            <w:noWrap/>
            <w:vAlign w:val="bottom"/>
            <w:hideMark/>
          </w:tcPr>
          <w:p w14:paraId="007D19DA"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MIC or MEC (mg/L)</w:t>
            </w:r>
          </w:p>
        </w:tc>
        <w:tc>
          <w:tcPr>
            <w:tcW w:w="110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A555FE4"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i/>
                <w:iCs/>
                <w:color w:val="000000"/>
                <w:sz w:val="18"/>
                <w:szCs w:val="24"/>
                <w:lang w:eastAsia="en-GB"/>
              </w:rPr>
              <w:t xml:space="preserve">cyp51A </w:t>
            </w:r>
            <w:r w:rsidRPr="002F7212">
              <w:rPr>
                <w:rFonts w:eastAsia="Times New Roman" w:cs="Arial"/>
                <w:b/>
                <w:bCs/>
                <w:color w:val="000000"/>
                <w:sz w:val="18"/>
                <w:szCs w:val="24"/>
                <w:lang w:eastAsia="en-GB"/>
              </w:rPr>
              <w:br/>
              <w:t>alteration</w:t>
            </w:r>
          </w:p>
        </w:tc>
      </w:tr>
      <w:tr w:rsidR="0095330D" w:rsidRPr="002F7212" w14:paraId="7318B6C4" w14:textId="77777777" w:rsidTr="00A01886">
        <w:trPr>
          <w:trHeight w:val="315"/>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A093340" w14:textId="77777777" w:rsidR="0095330D" w:rsidRPr="002F7212" w:rsidRDefault="0095330D" w:rsidP="002F7212">
            <w:pPr>
              <w:spacing w:after="0" w:line="240" w:lineRule="auto"/>
              <w:jc w:val="both"/>
              <w:rPr>
                <w:rFonts w:eastAsia="Times New Roman" w:cs="Arial"/>
                <w:b/>
                <w:bCs/>
                <w:color w:val="000000"/>
                <w:sz w:val="18"/>
                <w:szCs w:val="24"/>
                <w:lang w:eastAsia="en-GB"/>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5DFFF4A4" w14:textId="77777777" w:rsidR="0095330D" w:rsidRPr="002F7212" w:rsidRDefault="0095330D" w:rsidP="002F7212">
            <w:pPr>
              <w:spacing w:after="0" w:line="240" w:lineRule="auto"/>
              <w:jc w:val="both"/>
              <w:rPr>
                <w:rFonts w:eastAsia="Times New Roman" w:cs="Arial"/>
                <w:b/>
                <w:bCs/>
                <w:color w:val="000000"/>
                <w:sz w:val="18"/>
                <w:szCs w:val="24"/>
                <w:lang w:eastAsia="en-GB"/>
              </w:rPr>
            </w:pPr>
          </w:p>
        </w:tc>
        <w:tc>
          <w:tcPr>
            <w:tcW w:w="2523" w:type="dxa"/>
            <w:vMerge/>
            <w:tcBorders>
              <w:top w:val="single" w:sz="4" w:space="0" w:color="auto"/>
              <w:left w:val="single" w:sz="4" w:space="0" w:color="auto"/>
              <w:bottom w:val="single" w:sz="4" w:space="0" w:color="auto"/>
              <w:right w:val="single" w:sz="4" w:space="0" w:color="auto"/>
            </w:tcBorders>
            <w:vAlign w:val="center"/>
            <w:hideMark/>
          </w:tcPr>
          <w:p w14:paraId="3F5921FA" w14:textId="77777777" w:rsidR="0095330D" w:rsidRPr="002F7212" w:rsidRDefault="0095330D" w:rsidP="002F7212">
            <w:pPr>
              <w:spacing w:after="0" w:line="240" w:lineRule="auto"/>
              <w:jc w:val="both"/>
              <w:rPr>
                <w:rFonts w:eastAsia="Times New Roman" w:cs="Arial"/>
                <w:b/>
                <w:bCs/>
                <w:color w:val="000000"/>
                <w:sz w:val="18"/>
                <w:szCs w:val="24"/>
                <w:lang w:eastAsia="en-GB"/>
              </w:rPr>
            </w:pPr>
          </w:p>
        </w:tc>
        <w:tc>
          <w:tcPr>
            <w:tcW w:w="709" w:type="dxa"/>
            <w:tcBorders>
              <w:top w:val="nil"/>
              <w:left w:val="nil"/>
              <w:bottom w:val="single" w:sz="4" w:space="0" w:color="auto"/>
              <w:right w:val="single" w:sz="4" w:space="0" w:color="auto"/>
            </w:tcBorders>
            <w:shd w:val="clear" w:color="000000" w:fill="D9D9D9"/>
            <w:noWrap/>
            <w:vAlign w:val="bottom"/>
            <w:hideMark/>
          </w:tcPr>
          <w:p w14:paraId="59794AF6"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ITC</w:t>
            </w:r>
          </w:p>
        </w:tc>
        <w:tc>
          <w:tcPr>
            <w:tcW w:w="652" w:type="dxa"/>
            <w:tcBorders>
              <w:top w:val="nil"/>
              <w:left w:val="nil"/>
              <w:bottom w:val="single" w:sz="4" w:space="0" w:color="auto"/>
              <w:right w:val="single" w:sz="4" w:space="0" w:color="auto"/>
            </w:tcBorders>
            <w:shd w:val="clear" w:color="000000" w:fill="D9D9D9"/>
            <w:noWrap/>
            <w:vAlign w:val="bottom"/>
            <w:hideMark/>
          </w:tcPr>
          <w:p w14:paraId="1D3DA2B9"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VRC</w:t>
            </w:r>
          </w:p>
        </w:tc>
        <w:tc>
          <w:tcPr>
            <w:tcW w:w="652" w:type="dxa"/>
            <w:tcBorders>
              <w:top w:val="nil"/>
              <w:left w:val="nil"/>
              <w:bottom w:val="single" w:sz="4" w:space="0" w:color="auto"/>
              <w:right w:val="single" w:sz="4" w:space="0" w:color="auto"/>
            </w:tcBorders>
            <w:shd w:val="clear" w:color="000000" w:fill="D9D9D9"/>
            <w:noWrap/>
            <w:vAlign w:val="bottom"/>
            <w:hideMark/>
          </w:tcPr>
          <w:p w14:paraId="60986780"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PCZ</w:t>
            </w:r>
          </w:p>
        </w:tc>
        <w:tc>
          <w:tcPr>
            <w:tcW w:w="680" w:type="dxa"/>
            <w:tcBorders>
              <w:top w:val="nil"/>
              <w:left w:val="nil"/>
              <w:bottom w:val="single" w:sz="4" w:space="0" w:color="auto"/>
              <w:right w:val="single" w:sz="4" w:space="0" w:color="auto"/>
            </w:tcBorders>
            <w:shd w:val="clear" w:color="000000" w:fill="D9D9D9"/>
            <w:noWrap/>
            <w:vAlign w:val="bottom"/>
            <w:hideMark/>
          </w:tcPr>
          <w:p w14:paraId="51C7809A"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AMB</w:t>
            </w:r>
          </w:p>
        </w:tc>
        <w:tc>
          <w:tcPr>
            <w:tcW w:w="752" w:type="dxa"/>
            <w:tcBorders>
              <w:top w:val="nil"/>
              <w:left w:val="nil"/>
              <w:bottom w:val="single" w:sz="4" w:space="0" w:color="auto"/>
              <w:right w:val="single" w:sz="4" w:space="0" w:color="auto"/>
            </w:tcBorders>
            <w:shd w:val="clear" w:color="000000" w:fill="D9D9D9"/>
            <w:noWrap/>
            <w:vAlign w:val="bottom"/>
            <w:hideMark/>
          </w:tcPr>
          <w:p w14:paraId="6D9D6B62"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MIF</w:t>
            </w:r>
          </w:p>
        </w:tc>
        <w:tc>
          <w:tcPr>
            <w:tcW w:w="752" w:type="dxa"/>
            <w:tcBorders>
              <w:top w:val="nil"/>
              <w:left w:val="nil"/>
              <w:bottom w:val="single" w:sz="4" w:space="0" w:color="auto"/>
              <w:right w:val="single" w:sz="4" w:space="0" w:color="auto"/>
            </w:tcBorders>
            <w:shd w:val="clear" w:color="000000" w:fill="D9D9D9"/>
            <w:noWrap/>
            <w:vAlign w:val="bottom"/>
            <w:hideMark/>
          </w:tcPr>
          <w:p w14:paraId="4B2D8DD4"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ANF</w:t>
            </w:r>
          </w:p>
        </w:tc>
        <w:tc>
          <w:tcPr>
            <w:tcW w:w="652" w:type="dxa"/>
            <w:tcBorders>
              <w:top w:val="nil"/>
              <w:left w:val="nil"/>
              <w:bottom w:val="single" w:sz="4" w:space="0" w:color="auto"/>
              <w:right w:val="single" w:sz="4" w:space="0" w:color="auto"/>
            </w:tcBorders>
            <w:shd w:val="clear" w:color="000000" w:fill="D9D9D9"/>
            <w:noWrap/>
            <w:vAlign w:val="bottom"/>
            <w:hideMark/>
          </w:tcPr>
          <w:p w14:paraId="2DA6E857" w14:textId="77777777" w:rsidR="0095330D" w:rsidRPr="002F7212" w:rsidRDefault="0095330D" w:rsidP="002F7212">
            <w:pPr>
              <w:spacing w:after="0" w:line="240" w:lineRule="auto"/>
              <w:jc w:val="both"/>
              <w:rPr>
                <w:rFonts w:eastAsia="Times New Roman" w:cs="Arial"/>
                <w:b/>
                <w:bCs/>
                <w:color w:val="000000"/>
                <w:sz w:val="18"/>
                <w:szCs w:val="24"/>
                <w:lang w:eastAsia="en-GB"/>
              </w:rPr>
            </w:pPr>
            <w:r w:rsidRPr="002F7212">
              <w:rPr>
                <w:rFonts w:eastAsia="Times New Roman" w:cs="Arial"/>
                <w:b/>
                <w:bCs/>
                <w:color w:val="000000"/>
                <w:sz w:val="18"/>
                <w:szCs w:val="24"/>
                <w:lang w:eastAsia="en-GB"/>
              </w:rPr>
              <w:t>CAS</w:t>
            </w:r>
          </w:p>
        </w:tc>
        <w:tc>
          <w:tcPr>
            <w:tcW w:w="1104" w:type="dxa"/>
            <w:vMerge/>
            <w:tcBorders>
              <w:top w:val="single" w:sz="4" w:space="0" w:color="auto"/>
              <w:left w:val="single" w:sz="4" w:space="0" w:color="auto"/>
              <w:bottom w:val="single" w:sz="4" w:space="0" w:color="auto"/>
              <w:right w:val="single" w:sz="4" w:space="0" w:color="auto"/>
            </w:tcBorders>
            <w:vAlign w:val="center"/>
            <w:hideMark/>
          </w:tcPr>
          <w:p w14:paraId="772C21C7" w14:textId="77777777" w:rsidR="0095330D" w:rsidRPr="002F7212" w:rsidRDefault="0095330D" w:rsidP="002F7212">
            <w:pPr>
              <w:spacing w:after="0" w:line="240" w:lineRule="auto"/>
              <w:jc w:val="both"/>
              <w:rPr>
                <w:rFonts w:eastAsia="Times New Roman" w:cs="Arial"/>
                <w:b/>
                <w:bCs/>
                <w:color w:val="000000"/>
                <w:sz w:val="18"/>
                <w:szCs w:val="24"/>
                <w:lang w:eastAsia="en-GB"/>
              </w:rPr>
            </w:pPr>
          </w:p>
        </w:tc>
      </w:tr>
      <w:tr w:rsidR="0095330D" w:rsidRPr="002F7212" w14:paraId="2ACE3DA5"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1628779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p>
        </w:tc>
        <w:tc>
          <w:tcPr>
            <w:tcW w:w="879" w:type="dxa"/>
            <w:tcBorders>
              <w:top w:val="nil"/>
              <w:left w:val="nil"/>
              <w:bottom w:val="single" w:sz="4" w:space="0" w:color="auto"/>
              <w:right w:val="single" w:sz="4" w:space="0" w:color="auto"/>
            </w:tcBorders>
            <w:shd w:val="clear" w:color="auto" w:fill="auto"/>
            <w:noWrap/>
            <w:vAlign w:val="bottom"/>
            <w:hideMark/>
          </w:tcPr>
          <w:p w14:paraId="297F9A9E"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1F5B67EE"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ILD, aspergillosis</w:t>
            </w:r>
          </w:p>
        </w:tc>
        <w:tc>
          <w:tcPr>
            <w:tcW w:w="709" w:type="dxa"/>
            <w:tcBorders>
              <w:top w:val="nil"/>
              <w:left w:val="nil"/>
              <w:bottom w:val="single" w:sz="4" w:space="0" w:color="auto"/>
              <w:right w:val="single" w:sz="4" w:space="0" w:color="auto"/>
            </w:tcBorders>
            <w:shd w:val="clear" w:color="auto" w:fill="auto"/>
            <w:noWrap/>
            <w:vAlign w:val="bottom"/>
            <w:hideMark/>
          </w:tcPr>
          <w:p w14:paraId="10AEE8B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21223A0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3918E2F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4</w:t>
            </w:r>
          </w:p>
        </w:tc>
        <w:tc>
          <w:tcPr>
            <w:tcW w:w="680" w:type="dxa"/>
            <w:tcBorders>
              <w:top w:val="nil"/>
              <w:left w:val="nil"/>
              <w:bottom w:val="single" w:sz="4" w:space="0" w:color="auto"/>
              <w:right w:val="single" w:sz="4" w:space="0" w:color="auto"/>
            </w:tcBorders>
            <w:shd w:val="clear" w:color="auto" w:fill="auto"/>
            <w:noWrap/>
            <w:vAlign w:val="bottom"/>
            <w:hideMark/>
          </w:tcPr>
          <w:p w14:paraId="0AC77E44"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0.125</w:t>
            </w:r>
          </w:p>
        </w:tc>
        <w:tc>
          <w:tcPr>
            <w:tcW w:w="752" w:type="dxa"/>
            <w:tcBorders>
              <w:top w:val="nil"/>
              <w:left w:val="nil"/>
              <w:bottom w:val="single" w:sz="4" w:space="0" w:color="auto"/>
              <w:right w:val="single" w:sz="4" w:space="0" w:color="auto"/>
            </w:tcBorders>
            <w:shd w:val="clear" w:color="auto" w:fill="auto"/>
            <w:noWrap/>
            <w:vAlign w:val="bottom"/>
            <w:hideMark/>
          </w:tcPr>
          <w:p w14:paraId="22439F17"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&lt;0.015</w:t>
            </w:r>
          </w:p>
        </w:tc>
        <w:tc>
          <w:tcPr>
            <w:tcW w:w="752" w:type="dxa"/>
            <w:tcBorders>
              <w:top w:val="nil"/>
              <w:left w:val="nil"/>
              <w:bottom w:val="single" w:sz="4" w:space="0" w:color="auto"/>
              <w:right w:val="single" w:sz="4" w:space="0" w:color="auto"/>
            </w:tcBorders>
            <w:shd w:val="clear" w:color="auto" w:fill="auto"/>
            <w:noWrap/>
            <w:vAlign w:val="bottom"/>
            <w:hideMark/>
          </w:tcPr>
          <w:p w14:paraId="173B0B87"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&lt;0.015</w:t>
            </w:r>
          </w:p>
        </w:tc>
        <w:tc>
          <w:tcPr>
            <w:tcW w:w="652" w:type="dxa"/>
            <w:tcBorders>
              <w:top w:val="nil"/>
              <w:left w:val="nil"/>
              <w:bottom w:val="single" w:sz="4" w:space="0" w:color="auto"/>
              <w:right w:val="single" w:sz="4" w:space="0" w:color="auto"/>
            </w:tcBorders>
            <w:shd w:val="clear" w:color="auto" w:fill="auto"/>
            <w:noWrap/>
            <w:vAlign w:val="bottom"/>
            <w:hideMark/>
          </w:tcPr>
          <w:p w14:paraId="4F35E92C"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623F207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WT</w:t>
            </w:r>
          </w:p>
        </w:tc>
      </w:tr>
      <w:tr w:rsidR="0095330D" w:rsidRPr="002F7212" w14:paraId="6231DA12"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51F9B7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RBH-2</w:t>
            </w:r>
          </w:p>
        </w:tc>
        <w:tc>
          <w:tcPr>
            <w:tcW w:w="879" w:type="dxa"/>
            <w:tcBorders>
              <w:top w:val="nil"/>
              <w:left w:val="nil"/>
              <w:bottom w:val="single" w:sz="4" w:space="0" w:color="auto"/>
              <w:right w:val="single" w:sz="4" w:space="0" w:color="auto"/>
            </w:tcBorders>
            <w:shd w:val="clear" w:color="auto" w:fill="auto"/>
            <w:noWrap/>
            <w:vAlign w:val="bottom"/>
            <w:hideMark/>
          </w:tcPr>
          <w:p w14:paraId="689AEFE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1AF15C9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3878C14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0B9B86C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688E4CC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80" w:type="dxa"/>
            <w:tcBorders>
              <w:top w:val="nil"/>
              <w:left w:val="nil"/>
              <w:bottom w:val="single" w:sz="4" w:space="0" w:color="auto"/>
              <w:right w:val="single" w:sz="4" w:space="0" w:color="auto"/>
            </w:tcBorders>
            <w:shd w:val="clear" w:color="auto" w:fill="auto"/>
            <w:noWrap/>
            <w:vAlign w:val="bottom"/>
            <w:hideMark/>
          </w:tcPr>
          <w:p w14:paraId="3624F30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428CCB0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2E55CA2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2C39D2C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4157D923"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TR</w:t>
            </w:r>
            <w:r w:rsidRPr="002F7212">
              <w:rPr>
                <w:rFonts w:eastAsia="Times New Roman" w:cs="Arial"/>
                <w:sz w:val="18"/>
                <w:vertAlign w:val="subscript"/>
                <w:lang w:eastAsia="en-GB"/>
              </w:rPr>
              <w:t>34</w:t>
            </w:r>
            <w:r w:rsidRPr="002F7212">
              <w:rPr>
                <w:rFonts w:eastAsia="Times New Roman" w:cs="Arial"/>
                <w:sz w:val="18"/>
                <w:lang w:eastAsia="en-GB"/>
              </w:rPr>
              <w:t>/L98H</w:t>
            </w:r>
          </w:p>
        </w:tc>
      </w:tr>
      <w:tr w:rsidR="0095330D" w:rsidRPr="002F7212" w14:paraId="0BBC27A5"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D87D3E2"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RBH-3</w:t>
            </w:r>
          </w:p>
        </w:tc>
        <w:tc>
          <w:tcPr>
            <w:tcW w:w="879" w:type="dxa"/>
            <w:tcBorders>
              <w:top w:val="nil"/>
              <w:left w:val="nil"/>
              <w:bottom w:val="single" w:sz="4" w:space="0" w:color="auto"/>
              <w:right w:val="single" w:sz="4" w:space="0" w:color="auto"/>
            </w:tcBorders>
            <w:shd w:val="clear" w:color="auto" w:fill="auto"/>
            <w:noWrap/>
            <w:vAlign w:val="bottom"/>
            <w:hideMark/>
          </w:tcPr>
          <w:p w14:paraId="4ED85BC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Sternum</w:t>
            </w:r>
          </w:p>
        </w:tc>
        <w:tc>
          <w:tcPr>
            <w:tcW w:w="2523" w:type="dxa"/>
            <w:tcBorders>
              <w:top w:val="nil"/>
              <w:left w:val="nil"/>
              <w:bottom w:val="single" w:sz="4" w:space="0" w:color="auto"/>
              <w:right w:val="single" w:sz="4" w:space="0" w:color="auto"/>
            </w:tcBorders>
            <w:shd w:val="clear" w:color="auto" w:fill="auto"/>
            <w:noWrap/>
            <w:vAlign w:val="bottom"/>
            <w:hideMark/>
          </w:tcPr>
          <w:p w14:paraId="5D465AA7"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Heart valve replacement</w:t>
            </w:r>
          </w:p>
        </w:tc>
        <w:tc>
          <w:tcPr>
            <w:tcW w:w="709" w:type="dxa"/>
            <w:tcBorders>
              <w:top w:val="nil"/>
              <w:left w:val="nil"/>
              <w:bottom w:val="single" w:sz="4" w:space="0" w:color="auto"/>
              <w:right w:val="single" w:sz="4" w:space="0" w:color="auto"/>
            </w:tcBorders>
            <w:shd w:val="clear" w:color="auto" w:fill="auto"/>
            <w:noWrap/>
            <w:vAlign w:val="bottom"/>
            <w:hideMark/>
          </w:tcPr>
          <w:p w14:paraId="6F10A5B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6CB135C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0.03</w:t>
            </w:r>
          </w:p>
        </w:tc>
        <w:tc>
          <w:tcPr>
            <w:tcW w:w="652" w:type="dxa"/>
            <w:tcBorders>
              <w:top w:val="nil"/>
              <w:left w:val="nil"/>
              <w:bottom w:val="single" w:sz="4" w:space="0" w:color="auto"/>
              <w:right w:val="single" w:sz="4" w:space="0" w:color="auto"/>
            </w:tcBorders>
            <w:shd w:val="clear" w:color="auto" w:fill="auto"/>
            <w:noWrap/>
            <w:vAlign w:val="bottom"/>
            <w:hideMark/>
          </w:tcPr>
          <w:p w14:paraId="6569731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80" w:type="dxa"/>
            <w:tcBorders>
              <w:top w:val="nil"/>
              <w:left w:val="nil"/>
              <w:bottom w:val="single" w:sz="4" w:space="0" w:color="auto"/>
              <w:right w:val="single" w:sz="4" w:space="0" w:color="auto"/>
            </w:tcBorders>
            <w:shd w:val="clear" w:color="auto" w:fill="auto"/>
            <w:noWrap/>
            <w:vAlign w:val="bottom"/>
            <w:hideMark/>
          </w:tcPr>
          <w:p w14:paraId="19719BDE"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36754AF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752" w:type="dxa"/>
            <w:tcBorders>
              <w:top w:val="nil"/>
              <w:left w:val="nil"/>
              <w:bottom w:val="single" w:sz="4" w:space="0" w:color="auto"/>
              <w:right w:val="single" w:sz="4" w:space="0" w:color="auto"/>
            </w:tcBorders>
            <w:shd w:val="clear" w:color="auto" w:fill="auto"/>
            <w:noWrap/>
            <w:vAlign w:val="bottom"/>
            <w:hideMark/>
          </w:tcPr>
          <w:p w14:paraId="4CC901B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652" w:type="dxa"/>
            <w:tcBorders>
              <w:top w:val="nil"/>
              <w:left w:val="nil"/>
              <w:bottom w:val="single" w:sz="4" w:space="0" w:color="auto"/>
              <w:right w:val="single" w:sz="4" w:space="0" w:color="auto"/>
            </w:tcBorders>
            <w:shd w:val="clear" w:color="auto" w:fill="auto"/>
            <w:noWrap/>
            <w:vAlign w:val="bottom"/>
            <w:hideMark/>
          </w:tcPr>
          <w:p w14:paraId="56531D6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0.06</w:t>
            </w:r>
          </w:p>
        </w:tc>
        <w:tc>
          <w:tcPr>
            <w:tcW w:w="1104" w:type="dxa"/>
            <w:tcBorders>
              <w:top w:val="nil"/>
              <w:left w:val="nil"/>
              <w:bottom w:val="single" w:sz="4" w:space="0" w:color="auto"/>
              <w:right w:val="single" w:sz="4" w:space="0" w:color="auto"/>
            </w:tcBorders>
            <w:shd w:val="clear" w:color="auto" w:fill="auto"/>
            <w:noWrap/>
            <w:vAlign w:val="bottom"/>
            <w:hideMark/>
          </w:tcPr>
          <w:p w14:paraId="4D9C9991"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3E4D891B"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C49A1DC"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RBH-4</w:t>
            </w:r>
          </w:p>
        </w:tc>
        <w:tc>
          <w:tcPr>
            <w:tcW w:w="879" w:type="dxa"/>
            <w:tcBorders>
              <w:top w:val="nil"/>
              <w:left w:val="nil"/>
              <w:bottom w:val="single" w:sz="4" w:space="0" w:color="auto"/>
              <w:right w:val="single" w:sz="4" w:space="0" w:color="auto"/>
            </w:tcBorders>
            <w:shd w:val="clear" w:color="auto" w:fill="auto"/>
            <w:noWrap/>
            <w:vAlign w:val="bottom"/>
            <w:hideMark/>
          </w:tcPr>
          <w:p w14:paraId="3FD3424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26A1561C"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1671473E"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12C6CB8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652" w:type="dxa"/>
            <w:tcBorders>
              <w:top w:val="nil"/>
              <w:left w:val="nil"/>
              <w:bottom w:val="single" w:sz="4" w:space="0" w:color="auto"/>
              <w:right w:val="single" w:sz="4" w:space="0" w:color="auto"/>
            </w:tcBorders>
            <w:shd w:val="clear" w:color="auto" w:fill="auto"/>
            <w:noWrap/>
            <w:vAlign w:val="bottom"/>
            <w:hideMark/>
          </w:tcPr>
          <w:p w14:paraId="6F7B924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80" w:type="dxa"/>
            <w:tcBorders>
              <w:top w:val="nil"/>
              <w:left w:val="nil"/>
              <w:bottom w:val="single" w:sz="4" w:space="0" w:color="auto"/>
              <w:right w:val="single" w:sz="4" w:space="0" w:color="auto"/>
            </w:tcBorders>
            <w:shd w:val="clear" w:color="auto" w:fill="auto"/>
            <w:noWrap/>
            <w:vAlign w:val="bottom"/>
            <w:hideMark/>
          </w:tcPr>
          <w:p w14:paraId="72A76E2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1C39CF9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752" w:type="dxa"/>
            <w:tcBorders>
              <w:top w:val="nil"/>
              <w:left w:val="nil"/>
              <w:bottom w:val="single" w:sz="4" w:space="0" w:color="auto"/>
              <w:right w:val="single" w:sz="4" w:space="0" w:color="auto"/>
            </w:tcBorders>
            <w:shd w:val="clear" w:color="auto" w:fill="auto"/>
            <w:noWrap/>
            <w:vAlign w:val="bottom"/>
            <w:hideMark/>
          </w:tcPr>
          <w:p w14:paraId="70DCE23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652" w:type="dxa"/>
            <w:tcBorders>
              <w:top w:val="nil"/>
              <w:left w:val="nil"/>
              <w:bottom w:val="single" w:sz="4" w:space="0" w:color="auto"/>
              <w:right w:val="single" w:sz="4" w:space="0" w:color="auto"/>
            </w:tcBorders>
            <w:shd w:val="clear" w:color="auto" w:fill="auto"/>
            <w:noWrap/>
            <w:vAlign w:val="bottom"/>
            <w:hideMark/>
          </w:tcPr>
          <w:p w14:paraId="64DE369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0.06</w:t>
            </w:r>
          </w:p>
        </w:tc>
        <w:tc>
          <w:tcPr>
            <w:tcW w:w="1104" w:type="dxa"/>
            <w:tcBorders>
              <w:top w:val="nil"/>
              <w:left w:val="nil"/>
              <w:bottom w:val="single" w:sz="4" w:space="0" w:color="auto"/>
              <w:right w:val="single" w:sz="4" w:space="0" w:color="auto"/>
            </w:tcBorders>
            <w:shd w:val="clear" w:color="auto" w:fill="auto"/>
            <w:noWrap/>
            <w:vAlign w:val="bottom"/>
            <w:hideMark/>
          </w:tcPr>
          <w:p w14:paraId="3BE0E8BE"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1A9E1612"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F91A09C"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RBH-5</w:t>
            </w:r>
          </w:p>
        </w:tc>
        <w:tc>
          <w:tcPr>
            <w:tcW w:w="879" w:type="dxa"/>
            <w:tcBorders>
              <w:top w:val="nil"/>
              <w:left w:val="nil"/>
              <w:bottom w:val="single" w:sz="4" w:space="0" w:color="auto"/>
              <w:right w:val="single" w:sz="4" w:space="0" w:color="auto"/>
            </w:tcBorders>
            <w:shd w:val="clear" w:color="auto" w:fill="auto"/>
            <w:noWrap/>
            <w:vAlign w:val="bottom"/>
            <w:hideMark/>
          </w:tcPr>
          <w:p w14:paraId="50CB454E"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212EA9DD"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163745A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6178AEC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6DD5D33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w:t>
            </w:r>
          </w:p>
        </w:tc>
        <w:tc>
          <w:tcPr>
            <w:tcW w:w="680" w:type="dxa"/>
            <w:tcBorders>
              <w:top w:val="nil"/>
              <w:left w:val="nil"/>
              <w:bottom w:val="single" w:sz="4" w:space="0" w:color="auto"/>
              <w:right w:val="single" w:sz="4" w:space="0" w:color="auto"/>
            </w:tcBorders>
            <w:shd w:val="clear" w:color="auto" w:fill="auto"/>
            <w:noWrap/>
            <w:vAlign w:val="bottom"/>
            <w:hideMark/>
          </w:tcPr>
          <w:p w14:paraId="3F14FDC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2357E36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752" w:type="dxa"/>
            <w:tcBorders>
              <w:top w:val="nil"/>
              <w:left w:val="nil"/>
              <w:bottom w:val="single" w:sz="4" w:space="0" w:color="auto"/>
              <w:right w:val="single" w:sz="4" w:space="0" w:color="auto"/>
            </w:tcBorders>
            <w:shd w:val="clear" w:color="auto" w:fill="auto"/>
            <w:noWrap/>
            <w:vAlign w:val="bottom"/>
            <w:hideMark/>
          </w:tcPr>
          <w:p w14:paraId="7DBBBDC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652" w:type="dxa"/>
            <w:tcBorders>
              <w:top w:val="nil"/>
              <w:left w:val="nil"/>
              <w:bottom w:val="single" w:sz="4" w:space="0" w:color="auto"/>
              <w:right w:val="single" w:sz="4" w:space="0" w:color="auto"/>
            </w:tcBorders>
            <w:shd w:val="clear" w:color="auto" w:fill="auto"/>
            <w:noWrap/>
            <w:vAlign w:val="bottom"/>
            <w:hideMark/>
          </w:tcPr>
          <w:p w14:paraId="266C99E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1104" w:type="dxa"/>
            <w:tcBorders>
              <w:top w:val="nil"/>
              <w:left w:val="nil"/>
              <w:bottom w:val="single" w:sz="4" w:space="0" w:color="auto"/>
              <w:right w:val="single" w:sz="4" w:space="0" w:color="auto"/>
            </w:tcBorders>
            <w:shd w:val="clear" w:color="auto" w:fill="auto"/>
            <w:noWrap/>
            <w:vAlign w:val="bottom"/>
            <w:hideMark/>
          </w:tcPr>
          <w:p w14:paraId="2F599461"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592F8A08"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DC1794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RBH-6</w:t>
            </w:r>
          </w:p>
        </w:tc>
        <w:tc>
          <w:tcPr>
            <w:tcW w:w="879" w:type="dxa"/>
            <w:tcBorders>
              <w:top w:val="nil"/>
              <w:left w:val="nil"/>
              <w:bottom w:val="single" w:sz="4" w:space="0" w:color="auto"/>
              <w:right w:val="single" w:sz="4" w:space="0" w:color="auto"/>
            </w:tcBorders>
            <w:shd w:val="clear" w:color="auto" w:fill="auto"/>
            <w:noWrap/>
            <w:vAlign w:val="bottom"/>
            <w:hideMark/>
          </w:tcPr>
          <w:p w14:paraId="42571A66"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229C80F7"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690C494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8</w:t>
            </w:r>
          </w:p>
        </w:tc>
        <w:tc>
          <w:tcPr>
            <w:tcW w:w="652" w:type="dxa"/>
            <w:tcBorders>
              <w:top w:val="nil"/>
              <w:left w:val="nil"/>
              <w:bottom w:val="single" w:sz="4" w:space="0" w:color="auto"/>
              <w:right w:val="single" w:sz="4" w:space="0" w:color="auto"/>
            </w:tcBorders>
            <w:shd w:val="clear" w:color="auto" w:fill="auto"/>
            <w:noWrap/>
            <w:vAlign w:val="bottom"/>
            <w:hideMark/>
          </w:tcPr>
          <w:p w14:paraId="17637EC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5F02B62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680" w:type="dxa"/>
            <w:tcBorders>
              <w:top w:val="nil"/>
              <w:left w:val="nil"/>
              <w:bottom w:val="single" w:sz="4" w:space="0" w:color="auto"/>
              <w:right w:val="single" w:sz="4" w:space="0" w:color="auto"/>
            </w:tcBorders>
            <w:shd w:val="clear" w:color="auto" w:fill="auto"/>
            <w:noWrap/>
            <w:vAlign w:val="bottom"/>
            <w:hideMark/>
          </w:tcPr>
          <w:p w14:paraId="0612388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040E73E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3980F98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23F161A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0.06</w:t>
            </w:r>
          </w:p>
        </w:tc>
        <w:tc>
          <w:tcPr>
            <w:tcW w:w="1104" w:type="dxa"/>
            <w:tcBorders>
              <w:top w:val="nil"/>
              <w:left w:val="nil"/>
              <w:bottom w:val="single" w:sz="4" w:space="0" w:color="auto"/>
              <w:right w:val="single" w:sz="4" w:space="0" w:color="auto"/>
            </w:tcBorders>
            <w:shd w:val="clear" w:color="auto" w:fill="auto"/>
            <w:noWrap/>
            <w:vAlign w:val="bottom"/>
            <w:hideMark/>
          </w:tcPr>
          <w:p w14:paraId="7E3BDA38"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76CF2AE2"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FCF4022"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RBH-7</w:t>
            </w:r>
          </w:p>
        </w:tc>
        <w:tc>
          <w:tcPr>
            <w:tcW w:w="879" w:type="dxa"/>
            <w:tcBorders>
              <w:top w:val="nil"/>
              <w:left w:val="nil"/>
              <w:bottom w:val="single" w:sz="4" w:space="0" w:color="auto"/>
              <w:right w:val="single" w:sz="4" w:space="0" w:color="auto"/>
            </w:tcBorders>
            <w:shd w:val="clear" w:color="auto" w:fill="auto"/>
            <w:noWrap/>
            <w:vAlign w:val="bottom"/>
            <w:hideMark/>
          </w:tcPr>
          <w:p w14:paraId="1CDC090F"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40543A79"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7A540C5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056B7F3E"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07FD223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8</w:t>
            </w:r>
          </w:p>
        </w:tc>
        <w:tc>
          <w:tcPr>
            <w:tcW w:w="680" w:type="dxa"/>
            <w:tcBorders>
              <w:top w:val="nil"/>
              <w:left w:val="nil"/>
              <w:bottom w:val="single" w:sz="4" w:space="0" w:color="auto"/>
              <w:right w:val="single" w:sz="4" w:space="0" w:color="auto"/>
            </w:tcBorders>
            <w:shd w:val="clear" w:color="auto" w:fill="auto"/>
            <w:noWrap/>
            <w:vAlign w:val="bottom"/>
            <w:hideMark/>
          </w:tcPr>
          <w:p w14:paraId="1515CC9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00571421"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27ABE3D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0850B59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1B53BEE5"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1991319E"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4AD1C30" w14:textId="40F19E50"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w:t>
            </w:r>
            <w:r w:rsidR="00D9504B" w:rsidRPr="002F7212">
              <w:rPr>
                <w:rFonts w:eastAsia="Times New Roman" w:cs="Arial"/>
                <w:color w:val="000000"/>
                <w:sz w:val="18"/>
                <w:szCs w:val="24"/>
                <w:lang w:eastAsia="en-GB"/>
              </w:rPr>
              <w:t>7</w:t>
            </w:r>
          </w:p>
        </w:tc>
        <w:tc>
          <w:tcPr>
            <w:tcW w:w="879" w:type="dxa"/>
            <w:tcBorders>
              <w:top w:val="nil"/>
              <w:left w:val="nil"/>
              <w:bottom w:val="single" w:sz="4" w:space="0" w:color="auto"/>
              <w:right w:val="single" w:sz="4" w:space="0" w:color="auto"/>
            </w:tcBorders>
            <w:shd w:val="clear" w:color="auto" w:fill="auto"/>
            <w:noWrap/>
            <w:vAlign w:val="bottom"/>
            <w:hideMark/>
          </w:tcPr>
          <w:p w14:paraId="001F092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41ADC021"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41B091F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2DDCD97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0C8FAC8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16</w:t>
            </w:r>
          </w:p>
        </w:tc>
        <w:tc>
          <w:tcPr>
            <w:tcW w:w="680" w:type="dxa"/>
            <w:tcBorders>
              <w:top w:val="nil"/>
              <w:left w:val="nil"/>
              <w:bottom w:val="single" w:sz="4" w:space="0" w:color="auto"/>
              <w:right w:val="single" w:sz="4" w:space="0" w:color="auto"/>
            </w:tcBorders>
            <w:shd w:val="clear" w:color="auto" w:fill="auto"/>
            <w:noWrap/>
            <w:vAlign w:val="bottom"/>
            <w:hideMark/>
          </w:tcPr>
          <w:p w14:paraId="7EDAB25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26F9E5F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5BF80D8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562B8A8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5F6DFD09"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779A4E0B"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2292AB9" w14:textId="654E5056"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w:t>
            </w:r>
            <w:r w:rsidR="00D9504B" w:rsidRPr="002F7212">
              <w:rPr>
                <w:rFonts w:eastAsia="Times New Roman" w:cs="Arial"/>
                <w:color w:val="000000"/>
                <w:sz w:val="18"/>
                <w:szCs w:val="24"/>
                <w:lang w:eastAsia="en-GB"/>
              </w:rPr>
              <w:t>7</w:t>
            </w:r>
          </w:p>
        </w:tc>
        <w:tc>
          <w:tcPr>
            <w:tcW w:w="879" w:type="dxa"/>
            <w:tcBorders>
              <w:top w:val="nil"/>
              <w:left w:val="nil"/>
              <w:bottom w:val="single" w:sz="4" w:space="0" w:color="auto"/>
              <w:right w:val="single" w:sz="4" w:space="0" w:color="auto"/>
            </w:tcBorders>
            <w:shd w:val="clear" w:color="auto" w:fill="auto"/>
            <w:noWrap/>
            <w:vAlign w:val="bottom"/>
            <w:hideMark/>
          </w:tcPr>
          <w:p w14:paraId="3059017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619A9257"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01ECF87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7B048D1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78A4F34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8</w:t>
            </w:r>
          </w:p>
        </w:tc>
        <w:tc>
          <w:tcPr>
            <w:tcW w:w="680" w:type="dxa"/>
            <w:tcBorders>
              <w:top w:val="nil"/>
              <w:left w:val="nil"/>
              <w:bottom w:val="single" w:sz="4" w:space="0" w:color="auto"/>
              <w:right w:val="single" w:sz="4" w:space="0" w:color="auto"/>
            </w:tcBorders>
            <w:shd w:val="clear" w:color="auto" w:fill="auto"/>
            <w:noWrap/>
            <w:vAlign w:val="bottom"/>
            <w:hideMark/>
          </w:tcPr>
          <w:p w14:paraId="6B1713B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6F5C0A4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3902311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2420F76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1104" w:type="dxa"/>
            <w:tcBorders>
              <w:top w:val="nil"/>
              <w:left w:val="nil"/>
              <w:bottom w:val="single" w:sz="4" w:space="0" w:color="auto"/>
              <w:right w:val="single" w:sz="4" w:space="0" w:color="auto"/>
            </w:tcBorders>
            <w:shd w:val="clear" w:color="auto" w:fill="auto"/>
            <w:noWrap/>
            <w:vAlign w:val="bottom"/>
            <w:hideMark/>
          </w:tcPr>
          <w:p w14:paraId="1FBED912"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E7717F" w:rsidRPr="002F7212" w14:paraId="7B2A475C"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319CEA6" w14:textId="77777777" w:rsidR="00E7717F"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RBH-7</w:t>
            </w:r>
          </w:p>
        </w:tc>
        <w:tc>
          <w:tcPr>
            <w:tcW w:w="879" w:type="dxa"/>
            <w:tcBorders>
              <w:top w:val="nil"/>
              <w:left w:val="nil"/>
              <w:bottom w:val="single" w:sz="4" w:space="0" w:color="auto"/>
              <w:right w:val="single" w:sz="4" w:space="0" w:color="auto"/>
            </w:tcBorders>
            <w:shd w:val="clear" w:color="auto" w:fill="auto"/>
            <w:noWrap/>
            <w:vAlign w:val="bottom"/>
            <w:hideMark/>
          </w:tcPr>
          <w:p w14:paraId="10195780" w14:textId="77777777" w:rsidR="00E7717F"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373E8EE3" w14:textId="77777777" w:rsidR="00E7717F"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75FC6C95"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6FDE9353"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48C6D974"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16</w:t>
            </w:r>
          </w:p>
        </w:tc>
        <w:tc>
          <w:tcPr>
            <w:tcW w:w="680" w:type="dxa"/>
            <w:tcBorders>
              <w:top w:val="nil"/>
              <w:left w:val="nil"/>
              <w:bottom w:val="single" w:sz="4" w:space="0" w:color="auto"/>
              <w:right w:val="single" w:sz="4" w:space="0" w:color="auto"/>
            </w:tcBorders>
            <w:shd w:val="clear" w:color="auto" w:fill="auto"/>
            <w:noWrap/>
            <w:vAlign w:val="bottom"/>
            <w:hideMark/>
          </w:tcPr>
          <w:p w14:paraId="0F910C30"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4A8D4722"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28EEB7F3"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69139B86" w14:textId="77777777" w:rsidR="00E7717F" w:rsidRPr="002F7212" w:rsidRDefault="00E7717F"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30425100" w14:textId="77777777" w:rsidR="00E7717F" w:rsidRPr="002F7212" w:rsidRDefault="00E7717F"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409488D3"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5B0F946" w14:textId="00180709" w:rsidR="0095330D"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RBH-8</w:t>
            </w:r>
          </w:p>
        </w:tc>
        <w:tc>
          <w:tcPr>
            <w:tcW w:w="879" w:type="dxa"/>
            <w:tcBorders>
              <w:top w:val="nil"/>
              <w:left w:val="nil"/>
              <w:bottom w:val="single" w:sz="4" w:space="0" w:color="auto"/>
              <w:right w:val="single" w:sz="4" w:space="0" w:color="auto"/>
            </w:tcBorders>
            <w:shd w:val="clear" w:color="auto" w:fill="auto"/>
            <w:noWrap/>
            <w:vAlign w:val="bottom"/>
            <w:hideMark/>
          </w:tcPr>
          <w:p w14:paraId="2157E73F"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TA</w:t>
            </w:r>
          </w:p>
        </w:tc>
        <w:tc>
          <w:tcPr>
            <w:tcW w:w="2523" w:type="dxa"/>
            <w:tcBorders>
              <w:top w:val="nil"/>
              <w:left w:val="nil"/>
              <w:bottom w:val="single" w:sz="4" w:space="0" w:color="auto"/>
              <w:right w:val="single" w:sz="4" w:space="0" w:color="auto"/>
            </w:tcBorders>
            <w:shd w:val="clear" w:color="auto" w:fill="auto"/>
            <w:noWrap/>
            <w:vAlign w:val="bottom"/>
            <w:hideMark/>
          </w:tcPr>
          <w:p w14:paraId="444F1642"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Left ventricular assist device</w:t>
            </w:r>
          </w:p>
        </w:tc>
        <w:tc>
          <w:tcPr>
            <w:tcW w:w="709" w:type="dxa"/>
            <w:tcBorders>
              <w:top w:val="nil"/>
              <w:left w:val="nil"/>
              <w:bottom w:val="single" w:sz="4" w:space="0" w:color="auto"/>
              <w:right w:val="single" w:sz="4" w:space="0" w:color="auto"/>
            </w:tcBorders>
            <w:shd w:val="clear" w:color="auto" w:fill="auto"/>
            <w:noWrap/>
            <w:vAlign w:val="bottom"/>
            <w:hideMark/>
          </w:tcPr>
          <w:p w14:paraId="2915A89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3EF053D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24CD031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80" w:type="dxa"/>
            <w:tcBorders>
              <w:top w:val="nil"/>
              <w:left w:val="nil"/>
              <w:bottom w:val="single" w:sz="4" w:space="0" w:color="auto"/>
              <w:right w:val="single" w:sz="4" w:space="0" w:color="auto"/>
            </w:tcBorders>
            <w:shd w:val="clear" w:color="auto" w:fill="auto"/>
            <w:noWrap/>
            <w:vAlign w:val="bottom"/>
            <w:hideMark/>
          </w:tcPr>
          <w:p w14:paraId="67FBAA9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3CCB857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66CD268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674C47F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74717B4F"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TR</w:t>
            </w:r>
            <w:r w:rsidRPr="002F7212">
              <w:rPr>
                <w:rFonts w:eastAsia="Times New Roman" w:cs="Arial"/>
                <w:sz w:val="18"/>
                <w:vertAlign w:val="subscript"/>
                <w:lang w:eastAsia="en-GB"/>
              </w:rPr>
              <w:t>34</w:t>
            </w:r>
            <w:r w:rsidRPr="002F7212">
              <w:rPr>
                <w:rFonts w:eastAsia="Times New Roman" w:cs="Arial"/>
                <w:sz w:val="18"/>
                <w:lang w:eastAsia="en-GB"/>
              </w:rPr>
              <w:t>/L98H</w:t>
            </w:r>
          </w:p>
        </w:tc>
      </w:tr>
      <w:tr w:rsidR="0095330D" w:rsidRPr="002F7212" w14:paraId="09A46E52"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1D51DBB3" w14:textId="3B788843" w:rsidR="0095330D"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RBH-9</w:t>
            </w:r>
          </w:p>
        </w:tc>
        <w:tc>
          <w:tcPr>
            <w:tcW w:w="879" w:type="dxa"/>
            <w:tcBorders>
              <w:top w:val="nil"/>
              <w:left w:val="nil"/>
              <w:bottom w:val="single" w:sz="4" w:space="0" w:color="auto"/>
              <w:right w:val="single" w:sz="4" w:space="0" w:color="auto"/>
            </w:tcBorders>
            <w:shd w:val="clear" w:color="auto" w:fill="auto"/>
            <w:noWrap/>
            <w:vAlign w:val="bottom"/>
            <w:hideMark/>
          </w:tcPr>
          <w:p w14:paraId="68661BB8"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30425CCD"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7CEF011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16</w:t>
            </w:r>
          </w:p>
        </w:tc>
        <w:tc>
          <w:tcPr>
            <w:tcW w:w="652" w:type="dxa"/>
            <w:tcBorders>
              <w:top w:val="nil"/>
              <w:left w:val="nil"/>
              <w:bottom w:val="single" w:sz="4" w:space="0" w:color="auto"/>
              <w:right w:val="single" w:sz="4" w:space="0" w:color="auto"/>
            </w:tcBorders>
            <w:shd w:val="clear" w:color="auto" w:fill="auto"/>
            <w:noWrap/>
            <w:vAlign w:val="bottom"/>
            <w:hideMark/>
          </w:tcPr>
          <w:p w14:paraId="78096FF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1D1897B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w:t>
            </w:r>
          </w:p>
        </w:tc>
        <w:tc>
          <w:tcPr>
            <w:tcW w:w="680" w:type="dxa"/>
            <w:tcBorders>
              <w:top w:val="nil"/>
              <w:left w:val="nil"/>
              <w:bottom w:val="single" w:sz="4" w:space="0" w:color="auto"/>
              <w:right w:val="single" w:sz="4" w:space="0" w:color="auto"/>
            </w:tcBorders>
            <w:shd w:val="clear" w:color="auto" w:fill="auto"/>
            <w:noWrap/>
            <w:vAlign w:val="bottom"/>
            <w:hideMark/>
          </w:tcPr>
          <w:p w14:paraId="53812A9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1D4C886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1C1A8AB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4147CB5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1104" w:type="dxa"/>
            <w:tcBorders>
              <w:top w:val="nil"/>
              <w:left w:val="nil"/>
              <w:bottom w:val="single" w:sz="4" w:space="0" w:color="auto"/>
              <w:right w:val="single" w:sz="4" w:space="0" w:color="auto"/>
            </w:tcBorders>
            <w:shd w:val="clear" w:color="auto" w:fill="auto"/>
            <w:noWrap/>
            <w:vAlign w:val="bottom"/>
            <w:hideMark/>
          </w:tcPr>
          <w:p w14:paraId="7A50D265"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TR</w:t>
            </w:r>
            <w:r w:rsidRPr="002F7212">
              <w:rPr>
                <w:rFonts w:eastAsia="Times New Roman" w:cs="Arial"/>
                <w:sz w:val="18"/>
                <w:vertAlign w:val="subscript"/>
                <w:lang w:eastAsia="en-GB"/>
              </w:rPr>
              <w:t>34</w:t>
            </w:r>
            <w:r w:rsidRPr="002F7212">
              <w:rPr>
                <w:rFonts w:eastAsia="Times New Roman" w:cs="Arial"/>
                <w:sz w:val="18"/>
                <w:lang w:eastAsia="en-GB"/>
              </w:rPr>
              <w:t>/L98H</w:t>
            </w:r>
          </w:p>
        </w:tc>
      </w:tr>
      <w:tr w:rsidR="0095330D" w:rsidRPr="002F7212" w14:paraId="08F5B8FB"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12AAF88" w14:textId="7E6CB0B3"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0</w:t>
            </w:r>
          </w:p>
        </w:tc>
        <w:tc>
          <w:tcPr>
            <w:tcW w:w="879" w:type="dxa"/>
            <w:tcBorders>
              <w:top w:val="nil"/>
              <w:left w:val="nil"/>
              <w:bottom w:val="single" w:sz="4" w:space="0" w:color="auto"/>
              <w:right w:val="single" w:sz="4" w:space="0" w:color="auto"/>
            </w:tcBorders>
            <w:shd w:val="clear" w:color="auto" w:fill="auto"/>
            <w:noWrap/>
            <w:vAlign w:val="bottom"/>
            <w:hideMark/>
          </w:tcPr>
          <w:p w14:paraId="4D9CD1E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142DF239"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41B243F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6EE6D4C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287D423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80" w:type="dxa"/>
            <w:tcBorders>
              <w:top w:val="nil"/>
              <w:left w:val="nil"/>
              <w:bottom w:val="single" w:sz="4" w:space="0" w:color="auto"/>
              <w:right w:val="single" w:sz="4" w:space="0" w:color="auto"/>
            </w:tcBorders>
            <w:shd w:val="clear" w:color="auto" w:fill="auto"/>
            <w:noWrap/>
            <w:vAlign w:val="bottom"/>
            <w:hideMark/>
          </w:tcPr>
          <w:p w14:paraId="6861F7BE"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116A23F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752" w:type="dxa"/>
            <w:tcBorders>
              <w:top w:val="nil"/>
              <w:left w:val="nil"/>
              <w:bottom w:val="single" w:sz="4" w:space="0" w:color="auto"/>
              <w:right w:val="single" w:sz="4" w:space="0" w:color="auto"/>
            </w:tcBorders>
            <w:shd w:val="clear" w:color="auto" w:fill="auto"/>
            <w:noWrap/>
            <w:vAlign w:val="bottom"/>
            <w:hideMark/>
          </w:tcPr>
          <w:p w14:paraId="2FF2A2C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652" w:type="dxa"/>
            <w:tcBorders>
              <w:top w:val="nil"/>
              <w:left w:val="nil"/>
              <w:bottom w:val="single" w:sz="4" w:space="0" w:color="auto"/>
              <w:right w:val="single" w:sz="4" w:space="0" w:color="auto"/>
            </w:tcBorders>
            <w:shd w:val="clear" w:color="auto" w:fill="auto"/>
            <w:noWrap/>
            <w:vAlign w:val="bottom"/>
            <w:hideMark/>
          </w:tcPr>
          <w:p w14:paraId="0A5C9E2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1104" w:type="dxa"/>
            <w:tcBorders>
              <w:top w:val="nil"/>
              <w:left w:val="nil"/>
              <w:bottom w:val="single" w:sz="4" w:space="0" w:color="auto"/>
              <w:right w:val="single" w:sz="4" w:space="0" w:color="auto"/>
            </w:tcBorders>
            <w:shd w:val="clear" w:color="auto" w:fill="auto"/>
            <w:noWrap/>
            <w:vAlign w:val="bottom"/>
            <w:hideMark/>
          </w:tcPr>
          <w:p w14:paraId="1E2B94BC"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668AB003"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5C63000" w14:textId="2FC857FB"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0</w:t>
            </w:r>
          </w:p>
        </w:tc>
        <w:tc>
          <w:tcPr>
            <w:tcW w:w="879" w:type="dxa"/>
            <w:tcBorders>
              <w:top w:val="nil"/>
              <w:left w:val="nil"/>
              <w:bottom w:val="single" w:sz="4" w:space="0" w:color="auto"/>
              <w:right w:val="single" w:sz="4" w:space="0" w:color="auto"/>
            </w:tcBorders>
            <w:shd w:val="clear" w:color="auto" w:fill="auto"/>
            <w:noWrap/>
            <w:vAlign w:val="bottom"/>
            <w:hideMark/>
          </w:tcPr>
          <w:p w14:paraId="2F2C6065"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547AC7D9"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0551C2C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2CA9F1D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0EAF524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80" w:type="dxa"/>
            <w:tcBorders>
              <w:top w:val="nil"/>
              <w:left w:val="nil"/>
              <w:bottom w:val="single" w:sz="4" w:space="0" w:color="auto"/>
              <w:right w:val="single" w:sz="4" w:space="0" w:color="auto"/>
            </w:tcBorders>
            <w:shd w:val="clear" w:color="auto" w:fill="auto"/>
            <w:noWrap/>
            <w:vAlign w:val="bottom"/>
            <w:hideMark/>
          </w:tcPr>
          <w:p w14:paraId="76F4DFE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2B3DDCB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752" w:type="dxa"/>
            <w:tcBorders>
              <w:top w:val="nil"/>
              <w:left w:val="nil"/>
              <w:bottom w:val="single" w:sz="4" w:space="0" w:color="auto"/>
              <w:right w:val="single" w:sz="4" w:space="0" w:color="auto"/>
            </w:tcBorders>
            <w:shd w:val="clear" w:color="auto" w:fill="auto"/>
            <w:noWrap/>
            <w:vAlign w:val="bottom"/>
            <w:hideMark/>
          </w:tcPr>
          <w:p w14:paraId="7F49E70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&lt;0.015</w:t>
            </w:r>
          </w:p>
        </w:tc>
        <w:tc>
          <w:tcPr>
            <w:tcW w:w="652" w:type="dxa"/>
            <w:tcBorders>
              <w:top w:val="nil"/>
              <w:left w:val="nil"/>
              <w:bottom w:val="single" w:sz="4" w:space="0" w:color="auto"/>
              <w:right w:val="single" w:sz="4" w:space="0" w:color="auto"/>
            </w:tcBorders>
            <w:shd w:val="clear" w:color="auto" w:fill="auto"/>
            <w:noWrap/>
            <w:vAlign w:val="bottom"/>
            <w:hideMark/>
          </w:tcPr>
          <w:p w14:paraId="51318D8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1104" w:type="dxa"/>
            <w:tcBorders>
              <w:top w:val="nil"/>
              <w:left w:val="nil"/>
              <w:bottom w:val="single" w:sz="4" w:space="0" w:color="auto"/>
              <w:right w:val="single" w:sz="4" w:space="0" w:color="auto"/>
            </w:tcBorders>
            <w:shd w:val="clear" w:color="auto" w:fill="auto"/>
            <w:noWrap/>
            <w:vAlign w:val="bottom"/>
            <w:hideMark/>
          </w:tcPr>
          <w:p w14:paraId="750F49AF"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39C6AC91"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18F6397" w14:textId="4B5B727A"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1</w:t>
            </w:r>
          </w:p>
        </w:tc>
        <w:tc>
          <w:tcPr>
            <w:tcW w:w="879" w:type="dxa"/>
            <w:tcBorders>
              <w:top w:val="nil"/>
              <w:left w:val="nil"/>
              <w:bottom w:val="single" w:sz="4" w:space="0" w:color="auto"/>
              <w:right w:val="single" w:sz="4" w:space="0" w:color="auto"/>
            </w:tcBorders>
            <w:shd w:val="clear" w:color="auto" w:fill="auto"/>
            <w:noWrap/>
            <w:vAlign w:val="bottom"/>
            <w:hideMark/>
          </w:tcPr>
          <w:p w14:paraId="24EC8567"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20C6897A"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ABPA</w:t>
            </w:r>
          </w:p>
        </w:tc>
        <w:tc>
          <w:tcPr>
            <w:tcW w:w="709" w:type="dxa"/>
            <w:tcBorders>
              <w:top w:val="nil"/>
              <w:left w:val="nil"/>
              <w:bottom w:val="single" w:sz="4" w:space="0" w:color="auto"/>
              <w:right w:val="single" w:sz="4" w:space="0" w:color="auto"/>
            </w:tcBorders>
            <w:shd w:val="clear" w:color="auto" w:fill="auto"/>
            <w:noWrap/>
            <w:vAlign w:val="bottom"/>
            <w:hideMark/>
          </w:tcPr>
          <w:p w14:paraId="7B94C49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1547BD3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652" w:type="dxa"/>
            <w:tcBorders>
              <w:top w:val="nil"/>
              <w:left w:val="nil"/>
              <w:bottom w:val="single" w:sz="4" w:space="0" w:color="auto"/>
              <w:right w:val="single" w:sz="4" w:space="0" w:color="auto"/>
            </w:tcBorders>
            <w:shd w:val="clear" w:color="auto" w:fill="auto"/>
            <w:noWrap/>
            <w:vAlign w:val="bottom"/>
            <w:hideMark/>
          </w:tcPr>
          <w:p w14:paraId="7C31A18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80" w:type="dxa"/>
            <w:tcBorders>
              <w:top w:val="nil"/>
              <w:left w:val="nil"/>
              <w:bottom w:val="single" w:sz="4" w:space="0" w:color="auto"/>
              <w:right w:val="single" w:sz="4" w:space="0" w:color="auto"/>
            </w:tcBorders>
            <w:shd w:val="clear" w:color="auto" w:fill="auto"/>
            <w:noWrap/>
            <w:vAlign w:val="bottom"/>
            <w:hideMark/>
          </w:tcPr>
          <w:p w14:paraId="170F39C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3E291AF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49FBE64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5FBEBB6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1104" w:type="dxa"/>
            <w:tcBorders>
              <w:top w:val="nil"/>
              <w:left w:val="nil"/>
              <w:bottom w:val="single" w:sz="4" w:space="0" w:color="auto"/>
              <w:right w:val="single" w:sz="4" w:space="0" w:color="auto"/>
            </w:tcBorders>
            <w:shd w:val="clear" w:color="auto" w:fill="auto"/>
            <w:noWrap/>
            <w:vAlign w:val="bottom"/>
            <w:hideMark/>
          </w:tcPr>
          <w:p w14:paraId="3328A820"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1BC3443F"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15D70175" w14:textId="5292797A"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2</w:t>
            </w:r>
          </w:p>
        </w:tc>
        <w:tc>
          <w:tcPr>
            <w:tcW w:w="879" w:type="dxa"/>
            <w:tcBorders>
              <w:top w:val="nil"/>
              <w:left w:val="nil"/>
              <w:bottom w:val="single" w:sz="4" w:space="0" w:color="auto"/>
              <w:right w:val="single" w:sz="4" w:space="0" w:color="auto"/>
            </w:tcBorders>
            <w:shd w:val="clear" w:color="auto" w:fill="auto"/>
            <w:noWrap/>
            <w:vAlign w:val="bottom"/>
            <w:hideMark/>
          </w:tcPr>
          <w:p w14:paraId="745FA39E"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1414D47F"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7E28B56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7AC4CD4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6B04A72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w:t>
            </w:r>
          </w:p>
        </w:tc>
        <w:tc>
          <w:tcPr>
            <w:tcW w:w="680" w:type="dxa"/>
            <w:tcBorders>
              <w:top w:val="nil"/>
              <w:left w:val="nil"/>
              <w:bottom w:val="single" w:sz="4" w:space="0" w:color="auto"/>
              <w:right w:val="single" w:sz="4" w:space="0" w:color="auto"/>
            </w:tcBorders>
            <w:shd w:val="clear" w:color="auto" w:fill="auto"/>
            <w:noWrap/>
            <w:vAlign w:val="bottom"/>
            <w:hideMark/>
          </w:tcPr>
          <w:p w14:paraId="2C8DC5E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55EE326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2E11043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5DDCA26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0.06</w:t>
            </w:r>
          </w:p>
        </w:tc>
        <w:tc>
          <w:tcPr>
            <w:tcW w:w="1104" w:type="dxa"/>
            <w:tcBorders>
              <w:top w:val="nil"/>
              <w:left w:val="nil"/>
              <w:bottom w:val="single" w:sz="4" w:space="0" w:color="auto"/>
              <w:right w:val="single" w:sz="4" w:space="0" w:color="auto"/>
            </w:tcBorders>
            <w:shd w:val="clear" w:color="auto" w:fill="auto"/>
            <w:noWrap/>
            <w:vAlign w:val="bottom"/>
            <w:hideMark/>
          </w:tcPr>
          <w:p w14:paraId="744F2820"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68D15ADB"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D1DD8AA" w14:textId="549EC7BD"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3</w:t>
            </w:r>
          </w:p>
        </w:tc>
        <w:tc>
          <w:tcPr>
            <w:tcW w:w="879" w:type="dxa"/>
            <w:tcBorders>
              <w:top w:val="nil"/>
              <w:left w:val="nil"/>
              <w:bottom w:val="single" w:sz="4" w:space="0" w:color="auto"/>
              <w:right w:val="single" w:sz="4" w:space="0" w:color="auto"/>
            </w:tcBorders>
            <w:shd w:val="clear" w:color="auto" w:fill="auto"/>
            <w:noWrap/>
            <w:vAlign w:val="bottom"/>
            <w:hideMark/>
          </w:tcPr>
          <w:p w14:paraId="6D0DB8F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427CBE75"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Bronchiectasis</w:t>
            </w:r>
          </w:p>
        </w:tc>
        <w:tc>
          <w:tcPr>
            <w:tcW w:w="709" w:type="dxa"/>
            <w:tcBorders>
              <w:top w:val="nil"/>
              <w:left w:val="nil"/>
              <w:bottom w:val="single" w:sz="4" w:space="0" w:color="auto"/>
              <w:right w:val="single" w:sz="4" w:space="0" w:color="auto"/>
            </w:tcBorders>
            <w:shd w:val="clear" w:color="auto" w:fill="auto"/>
            <w:noWrap/>
            <w:vAlign w:val="bottom"/>
            <w:hideMark/>
          </w:tcPr>
          <w:p w14:paraId="46A35E4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04659AF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48F7049E"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16</w:t>
            </w:r>
          </w:p>
        </w:tc>
        <w:tc>
          <w:tcPr>
            <w:tcW w:w="680" w:type="dxa"/>
            <w:tcBorders>
              <w:top w:val="nil"/>
              <w:left w:val="nil"/>
              <w:bottom w:val="single" w:sz="4" w:space="0" w:color="auto"/>
              <w:right w:val="single" w:sz="4" w:space="0" w:color="auto"/>
            </w:tcBorders>
            <w:shd w:val="clear" w:color="auto" w:fill="auto"/>
            <w:noWrap/>
            <w:vAlign w:val="bottom"/>
            <w:hideMark/>
          </w:tcPr>
          <w:p w14:paraId="47790A2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09872B1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752" w:type="dxa"/>
            <w:tcBorders>
              <w:top w:val="nil"/>
              <w:left w:val="nil"/>
              <w:bottom w:val="single" w:sz="4" w:space="0" w:color="auto"/>
              <w:right w:val="single" w:sz="4" w:space="0" w:color="auto"/>
            </w:tcBorders>
            <w:shd w:val="clear" w:color="auto" w:fill="auto"/>
            <w:noWrap/>
            <w:vAlign w:val="bottom"/>
            <w:hideMark/>
          </w:tcPr>
          <w:p w14:paraId="218D290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0.015</w:t>
            </w:r>
          </w:p>
        </w:tc>
        <w:tc>
          <w:tcPr>
            <w:tcW w:w="652" w:type="dxa"/>
            <w:tcBorders>
              <w:top w:val="nil"/>
              <w:left w:val="nil"/>
              <w:bottom w:val="single" w:sz="4" w:space="0" w:color="auto"/>
              <w:right w:val="single" w:sz="4" w:space="0" w:color="auto"/>
            </w:tcBorders>
            <w:shd w:val="clear" w:color="auto" w:fill="auto"/>
            <w:noWrap/>
            <w:vAlign w:val="bottom"/>
            <w:hideMark/>
          </w:tcPr>
          <w:p w14:paraId="3F6B242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1104" w:type="dxa"/>
            <w:tcBorders>
              <w:top w:val="nil"/>
              <w:left w:val="nil"/>
              <w:bottom w:val="single" w:sz="4" w:space="0" w:color="auto"/>
              <w:right w:val="single" w:sz="4" w:space="0" w:color="auto"/>
            </w:tcBorders>
            <w:shd w:val="clear" w:color="auto" w:fill="auto"/>
            <w:noWrap/>
            <w:vAlign w:val="bottom"/>
            <w:hideMark/>
          </w:tcPr>
          <w:p w14:paraId="0C5660EF"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429FE317"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42977FF1" w14:textId="372F86D0"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4</w:t>
            </w:r>
          </w:p>
        </w:tc>
        <w:tc>
          <w:tcPr>
            <w:tcW w:w="879" w:type="dxa"/>
            <w:tcBorders>
              <w:top w:val="nil"/>
              <w:left w:val="nil"/>
              <w:bottom w:val="single" w:sz="4" w:space="0" w:color="auto"/>
              <w:right w:val="single" w:sz="4" w:space="0" w:color="auto"/>
            </w:tcBorders>
            <w:shd w:val="clear" w:color="auto" w:fill="auto"/>
            <w:noWrap/>
            <w:vAlign w:val="bottom"/>
            <w:hideMark/>
          </w:tcPr>
          <w:p w14:paraId="4914081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2087DF8F"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17982C12"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16</w:t>
            </w:r>
          </w:p>
        </w:tc>
        <w:tc>
          <w:tcPr>
            <w:tcW w:w="652" w:type="dxa"/>
            <w:tcBorders>
              <w:top w:val="nil"/>
              <w:left w:val="nil"/>
              <w:bottom w:val="single" w:sz="4" w:space="0" w:color="auto"/>
              <w:right w:val="single" w:sz="4" w:space="0" w:color="auto"/>
            </w:tcBorders>
            <w:shd w:val="clear" w:color="auto" w:fill="auto"/>
            <w:noWrap/>
            <w:vAlign w:val="bottom"/>
            <w:hideMark/>
          </w:tcPr>
          <w:p w14:paraId="43DF6E1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w:t>
            </w:r>
          </w:p>
        </w:tc>
        <w:tc>
          <w:tcPr>
            <w:tcW w:w="652" w:type="dxa"/>
            <w:tcBorders>
              <w:top w:val="nil"/>
              <w:left w:val="nil"/>
              <w:bottom w:val="single" w:sz="4" w:space="0" w:color="auto"/>
              <w:right w:val="single" w:sz="4" w:space="0" w:color="auto"/>
            </w:tcBorders>
            <w:shd w:val="clear" w:color="auto" w:fill="auto"/>
            <w:noWrap/>
            <w:vAlign w:val="bottom"/>
            <w:hideMark/>
          </w:tcPr>
          <w:p w14:paraId="6D8ED04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680" w:type="dxa"/>
            <w:tcBorders>
              <w:top w:val="nil"/>
              <w:left w:val="nil"/>
              <w:bottom w:val="single" w:sz="4" w:space="0" w:color="auto"/>
              <w:right w:val="single" w:sz="4" w:space="0" w:color="auto"/>
            </w:tcBorders>
            <w:shd w:val="clear" w:color="auto" w:fill="auto"/>
            <w:noWrap/>
            <w:vAlign w:val="bottom"/>
            <w:hideMark/>
          </w:tcPr>
          <w:p w14:paraId="1ADA0E6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3A67B67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752" w:type="dxa"/>
            <w:tcBorders>
              <w:top w:val="nil"/>
              <w:left w:val="nil"/>
              <w:bottom w:val="single" w:sz="4" w:space="0" w:color="auto"/>
              <w:right w:val="single" w:sz="4" w:space="0" w:color="auto"/>
            </w:tcBorders>
            <w:shd w:val="clear" w:color="auto" w:fill="auto"/>
            <w:noWrap/>
            <w:vAlign w:val="bottom"/>
            <w:hideMark/>
          </w:tcPr>
          <w:p w14:paraId="37D0221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652" w:type="dxa"/>
            <w:tcBorders>
              <w:top w:val="nil"/>
              <w:left w:val="nil"/>
              <w:bottom w:val="single" w:sz="4" w:space="0" w:color="auto"/>
              <w:right w:val="single" w:sz="4" w:space="0" w:color="auto"/>
            </w:tcBorders>
            <w:shd w:val="clear" w:color="auto" w:fill="auto"/>
            <w:noWrap/>
            <w:vAlign w:val="bottom"/>
            <w:hideMark/>
          </w:tcPr>
          <w:p w14:paraId="46B98A6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0.03</w:t>
            </w:r>
          </w:p>
        </w:tc>
        <w:tc>
          <w:tcPr>
            <w:tcW w:w="1104" w:type="dxa"/>
            <w:tcBorders>
              <w:top w:val="nil"/>
              <w:left w:val="nil"/>
              <w:bottom w:val="single" w:sz="4" w:space="0" w:color="auto"/>
              <w:right w:val="single" w:sz="4" w:space="0" w:color="auto"/>
            </w:tcBorders>
            <w:shd w:val="clear" w:color="auto" w:fill="auto"/>
            <w:noWrap/>
            <w:vAlign w:val="bottom"/>
            <w:hideMark/>
          </w:tcPr>
          <w:p w14:paraId="570053E9"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TR</w:t>
            </w:r>
            <w:r w:rsidRPr="002F7212">
              <w:rPr>
                <w:rFonts w:eastAsia="Times New Roman" w:cs="Arial"/>
                <w:sz w:val="18"/>
                <w:vertAlign w:val="subscript"/>
                <w:lang w:eastAsia="en-GB"/>
              </w:rPr>
              <w:t>34</w:t>
            </w:r>
            <w:r w:rsidRPr="002F7212">
              <w:rPr>
                <w:rFonts w:eastAsia="Times New Roman" w:cs="Arial"/>
                <w:sz w:val="18"/>
                <w:lang w:eastAsia="en-GB"/>
              </w:rPr>
              <w:t>/L98H</w:t>
            </w:r>
          </w:p>
        </w:tc>
      </w:tr>
      <w:tr w:rsidR="0095330D" w:rsidRPr="002F7212" w14:paraId="06C234B2"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AD7D435" w14:textId="651C5ED9"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w:t>
            </w:r>
            <w:r w:rsidR="00E7717F" w:rsidRPr="002F7212">
              <w:rPr>
                <w:rFonts w:eastAsia="Times New Roman" w:cs="Arial"/>
                <w:color w:val="000000"/>
                <w:sz w:val="18"/>
                <w:szCs w:val="24"/>
                <w:lang w:eastAsia="en-GB"/>
              </w:rPr>
              <w:t>5</w:t>
            </w:r>
          </w:p>
        </w:tc>
        <w:tc>
          <w:tcPr>
            <w:tcW w:w="879" w:type="dxa"/>
            <w:tcBorders>
              <w:top w:val="nil"/>
              <w:left w:val="nil"/>
              <w:bottom w:val="single" w:sz="4" w:space="0" w:color="auto"/>
              <w:right w:val="single" w:sz="4" w:space="0" w:color="auto"/>
            </w:tcBorders>
            <w:shd w:val="clear" w:color="auto" w:fill="auto"/>
            <w:noWrap/>
            <w:vAlign w:val="bottom"/>
            <w:hideMark/>
          </w:tcPr>
          <w:p w14:paraId="14F4A97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Lung</w:t>
            </w:r>
          </w:p>
        </w:tc>
        <w:tc>
          <w:tcPr>
            <w:tcW w:w="2523" w:type="dxa"/>
            <w:tcBorders>
              <w:top w:val="nil"/>
              <w:left w:val="nil"/>
              <w:bottom w:val="single" w:sz="4" w:space="0" w:color="auto"/>
              <w:right w:val="single" w:sz="4" w:space="0" w:color="auto"/>
            </w:tcBorders>
            <w:shd w:val="clear" w:color="auto" w:fill="auto"/>
            <w:noWrap/>
            <w:vAlign w:val="bottom"/>
            <w:hideMark/>
          </w:tcPr>
          <w:p w14:paraId="09169E51"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Bronchiectasis, aspergilloma</w:t>
            </w:r>
          </w:p>
        </w:tc>
        <w:tc>
          <w:tcPr>
            <w:tcW w:w="709" w:type="dxa"/>
            <w:tcBorders>
              <w:top w:val="nil"/>
              <w:left w:val="nil"/>
              <w:bottom w:val="single" w:sz="4" w:space="0" w:color="auto"/>
              <w:right w:val="single" w:sz="4" w:space="0" w:color="auto"/>
            </w:tcBorders>
            <w:shd w:val="clear" w:color="auto" w:fill="auto"/>
            <w:noWrap/>
            <w:vAlign w:val="bottom"/>
            <w:hideMark/>
          </w:tcPr>
          <w:p w14:paraId="43C4399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59E2C147"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0.06</w:t>
            </w:r>
          </w:p>
        </w:tc>
        <w:tc>
          <w:tcPr>
            <w:tcW w:w="652" w:type="dxa"/>
            <w:tcBorders>
              <w:top w:val="nil"/>
              <w:left w:val="nil"/>
              <w:bottom w:val="single" w:sz="4" w:space="0" w:color="auto"/>
              <w:right w:val="single" w:sz="4" w:space="0" w:color="auto"/>
            </w:tcBorders>
            <w:shd w:val="clear" w:color="auto" w:fill="auto"/>
            <w:noWrap/>
            <w:vAlign w:val="bottom"/>
            <w:hideMark/>
          </w:tcPr>
          <w:p w14:paraId="6B1DB60E"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680" w:type="dxa"/>
            <w:tcBorders>
              <w:top w:val="nil"/>
              <w:left w:val="nil"/>
              <w:bottom w:val="single" w:sz="4" w:space="0" w:color="auto"/>
              <w:right w:val="single" w:sz="4" w:space="0" w:color="auto"/>
            </w:tcBorders>
            <w:shd w:val="clear" w:color="auto" w:fill="auto"/>
            <w:noWrap/>
            <w:vAlign w:val="bottom"/>
            <w:hideMark/>
          </w:tcPr>
          <w:p w14:paraId="6DDE1B3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752" w:type="dxa"/>
            <w:tcBorders>
              <w:top w:val="nil"/>
              <w:left w:val="nil"/>
              <w:bottom w:val="single" w:sz="4" w:space="0" w:color="auto"/>
              <w:right w:val="single" w:sz="4" w:space="0" w:color="auto"/>
            </w:tcBorders>
            <w:shd w:val="clear" w:color="auto" w:fill="auto"/>
            <w:noWrap/>
            <w:vAlign w:val="bottom"/>
            <w:hideMark/>
          </w:tcPr>
          <w:p w14:paraId="7CC5F40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752" w:type="dxa"/>
            <w:tcBorders>
              <w:top w:val="nil"/>
              <w:left w:val="nil"/>
              <w:bottom w:val="single" w:sz="4" w:space="0" w:color="auto"/>
              <w:right w:val="single" w:sz="4" w:space="0" w:color="auto"/>
            </w:tcBorders>
            <w:shd w:val="clear" w:color="auto" w:fill="auto"/>
            <w:noWrap/>
            <w:vAlign w:val="bottom"/>
            <w:hideMark/>
          </w:tcPr>
          <w:p w14:paraId="51307B0D"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652" w:type="dxa"/>
            <w:tcBorders>
              <w:top w:val="nil"/>
              <w:left w:val="nil"/>
              <w:bottom w:val="single" w:sz="4" w:space="0" w:color="auto"/>
              <w:right w:val="single" w:sz="4" w:space="0" w:color="auto"/>
            </w:tcBorders>
            <w:shd w:val="clear" w:color="auto" w:fill="auto"/>
            <w:noWrap/>
            <w:vAlign w:val="bottom"/>
            <w:hideMark/>
          </w:tcPr>
          <w:p w14:paraId="4BED83F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0.03</w:t>
            </w:r>
          </w:p>
        </w:tc>
        <w:tc>
          <w:tcPr>
            <w:tcW w:w="1104" w:type="dxa"/>
            <w:tcBorders>
              <w:top w:val="nil"/>
              <w:left w:val="nil"/>
              <w:bottom w:val="single" w:sz="4" w:space="0" w:color="auto"/>
              <w:right w:val="single" w:sz="4" w:space="0" w:color="auto"/>
            </w:tcBorders>
            <w:shd w:val="clear" w:color="auto" w:fill="auto"/>
            <w:noWrap/>
            <w:vAlign w:val="bottom"/>
            <w:hideMark/>
          </w:tcPr>
          <w:p w14:paraId="71EC067F"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r w:rsidR="0095330D" w:rsidRPr="002F7212" w14:paraId="6ECF8D54"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36C3C32" w14:textId="326610ED" w:rsidR="0095330D"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RBH-16</w:t>
            </w:r>
          </w:p>
        </w:tc>
        <w:tc>
          <w:tcPr>
            <w:tcW w:w="879" w:type="dxa"/>
            <w:tcBorders>
              <w:top w:val="nil"/>
              <w:left w:val="nil"/>
              <w:bottom w:val="single" w:sz="4" w:space="0" w:color="auto"/>
              <w:right w:val="single" w:sz="4" w:space="0" w:color="auto"/>
            </w:tcBorders>
            <w:shd w:val="clear" w:color="auto" w:fill="auto"/>
            <w:noWrap/>
            <w:vAlign w:val="bottom"/>
            <w:hideMark/>
          </w:tcPr>
          <w:p w14:paraId="4A4E3875"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35D8C8BB"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58997ACF"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16</w:t>
            </w:r>
          </w:p>
        </w:tc>
        <w:tc>
          <w:tcPr>
            <w:tcW w:w="652" w:type="dxa"/>
            <w:tcBorders>
              <w:top w:val="nil"/>
              <w:left w:val="nil"/>
              <w:bottom w:val="single" w:sz="4" w:space="0" w:color="auto"/>
              <w:right w:val="single" w:sz="4" w:space="0" w:color="auto"/>
            </w:tcBorders>
            <w:shd w:val="clear" w:color="auto" w:fill="auto"/>
            <w:noWrap/>
            <w:vAlign w:val="bottom"/>
            <w:hideMark/>
          </w:tcPr>
          <w:p w14:paraId="13093EF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64C1C640"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680" w:type="dxa"/>
            <w:tcBorders>
              <w:top w:val="nil"/>
              <w:left w:val="nil"/>
              <w:bottom w:val="single" w:sz="4" w:space="0" w:color="auto"/>
              <w:right w:val="single" w:sz="4" w:space="0" w:color="auto"/>
            </w:tcBorders>
            <w:shd w:val="clear" w:color="auto" w:fill="auto"/>
            <w:noWrap/>
            <w:vAlign w:val="bottom"/>
            <w:hideMark/>
          </w:tcPr>
          <w:p w14:paraId="78DF5F6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2C5B468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752" w:type="dxa"/>
            <w:tcBorders>
              <w:top w:val="nil"/>
              <w:left w:val="nil"/>
              <w:bottom w:val="single" w:sz="4" w:space="0" w:color="auto"/>
              <w:right w:val="single" w:sz="4" w:space="0" w:color="auto"/>
            </w:tcBorders>
            <w:shd w:val="clear" w:color="auto" w:fill="auto"/>
            <w:noWrap/>
            <w:vAlign w:val="bottom"/>
            <w:hideMark/>
          </w:tcPr>
          <w:p w14:paraId="44ACD8A5"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652" w:type="dxa"/>
            <w:tcBorders>
              <w:top w:val="nil"/>
              <w:left w:val="nil"/>
              <w:bottom w:val="single" w:sz="4" w:space="0" w:color="auto"/>
              <w:right w:val="single" w:sz="4" w:space="0" w:color="auto"/>
            </w:tcBorders>
            <w:shd w:val="clear" w:color="auto" w:fill="auto"/>
            <w:noWrap/>
            <w:vAlign w:val="bottom"/>
            <w:hideMark/>
          </w:tcPr>
          <w:p w14:paraId="36000F9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0.03</w:t>
            </w:r>
          </w:p>
        </w:tc>
        <w:tc>
          <w:tcPr>
            <w:tcW w:w="1104" w:type="dxa"/>
            <w:tcBorders>
              <w:top w:val="nil"/>
              <w:left w:val="nil"/>
              <w:bottom w:val="single" w:sz="4" w:space="0" w:color="auto"/>
              <w:right w:val="single" w:sz="4" w:space="0" w:color="auto"/>
            </w:tcBorders>
            <w:shd w:val="clear" w:color="auto" w:fill="auto"/>
            <w:noWrap/>
            <w:vAlign w:val="bottom"/>
            <w:hideMark/>
          </w:tcPr>
          <w:p w14:paraId="3B6362BC"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TR</w:t>
            </w:r>
            <w:r w:rsidRPr="002F7212">
              <w:rPr>
                <w:rFonts w:eastAsia="Times New Roman" w:cs="Arial"/>
                <w:sz w:val="18"/>
                <w:vertAlign w:val="subscript"/>
                <w:lang w:eastAsia="en-GB"/>
              </w:rPr>
              <w:t>34</w:t>
            </w:r>
            <w:r w:rsidRPr="002F7212">
              <w:rPr>
                <w:rFonts w:eastAsia="Times New Roman" w:cs="Arial"/>
                <w:sz w:val="18"/>
                <w:lang w:eastAsia="en-GB"/>
              </w:rPr>
              <w:t>/L98H</w:t>
            </w:r>
          </w:p>
        </w:tc>
      </w:tr>
      <w:tr w:rsidR="0095330D" w:rsidRPr="002F7212" w14:paraId="00595B1C"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2B6DB0D9" w14:textId="044CAFD5" w:rsidR="0095330D"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RBH-17</w:t>
            </w:r>
          </w:p>
        </w:tc>
        <w:tc>
          <w:tcPr>
            <w:tcW w:w="879" w:type="dxa"/>
            <w:tcBorders>
              <w:top w:val="nil"/>
              <w:left w:val="nil"/>
              <w:bottom w:val="single" w:sz="4" w:space="0" w:color="auto"/>
              <w:right w:val="single" w:sz="4" w:space="0" w:color="auto"/>
            </w:tcBorders>
            <w:shd w:val="clear" w:color="auto" w:fill="auto"/>
            <w:noWrap/>
            <w:vAlign w:val="bottom"/>
            <w:hideMark/>
          </w:tcPr>
          <w:p w14:paraId="2A264CE0"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1A5FF143"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6DB7608B"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2EFFA01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2</w:t>
            </w:r>
          </w:p>
        </w:tc>
        <w:tc>
          <w:tcPr>
            <w:tcW w:w="652" w:type="dxa"/>
            <w:tcBorders>
              <w:top w:val="nil"/>
              <w:left w:val="nil"/>
              <w:bottom w:val="single" w:sz="4" w:space="0" w:color="auto"/>
              <w:right w:val="single" w:sz="4" w:space="0" w:color="auto"/>
            </w:tcBorders>
            <w:shd w:val="clear" w:color="auto" w:fill="auto"/>
            <w:noWrap/>
            <w:vAlign w:val="bottom"/>
            <w:hideMark/>
          </w:tcPr>
          <w:p w14:paraId="1FAD8C4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680" w:type="dxa"/>
            <w:tcBorders>
              <w:top w:val="nil"/>
              <w:left w:val="nil"/>
              <w:bottom w:val="single" w:sz="4" w:space="0" w:color="auto"/>
              <w:right w:val="single" w:sz="4" w:space="0" w:color="auto"/>
            </w:tcBorders>
            <w:shd w:val="clear" w:color="auto" w:fill="auto"/>
            <w:noWrap/>
            <w:vAlign w:val="bottom"/>
            <w:hideMark/>
          </w:tcPr>
          <w:p w14:paraId="5FEAD47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0.25</w:t>
            </w:r>
          </w:p>
        </w:tc>
        <w:tc>
          <w:tcPr>
            <w:tcW w:w="752" w:type="dxa"/>
            <w:tcBorders>
              <w:top w:val="nil"/>
              <w:left w:val="nil"/>
              <w:bottom w:val="single" w:sz="4" w:space="0" w:color="auto"/>
              <w:right w:val="single" w:sz="4" w:space="0" w:color="auto"/>
            </w:tcBorders>
            <w:shd w:val="clear" w:color="auto" w:fill="auto"/>
            <w:noWrap/>
            <w:vAlign w:val="bottom"/>
            <w:hideMark/>
          </w:tcPr>
          <w:p w14:paraId="4EE6735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752" w:type="dxa"/>
            <w:tcBorders>
              <w:top w:val="nil"/>
              <w:left w:val="nil"/>
              <w:bottom w:val="single" w:sz="4" w:space="0" w:color="auto"/>
              <w:right w:val="single" w:sz="4" w:space="0" w:color="auto"/>
            </w:tcBorders>
            <w:shd w:val="clear" w:color="auto" w:fill="auto"/>
            <w:noWrap/>
            <w:vAlign w:val="bottom"/>
            <w:hideMark/>
          </w:tcPr>
          <w:p w14:paraId="79E37F5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652" w:type="dxa"/>
            <w:tcBorders>
              <w:top w:val="nil"/>
              <w:left w:val="nil"/>
              <w:bottom w:val="single" w:sz="4" w:space="0" w:color="auto"/>
              <w:right w:val="single" w:sz="4" w:space="0" w:color="auto"/>
            </w:tcBorders>
            <w:shd w:val="clear" w:color="auto" w:fill="auto"/>
            <w:noWrap/>
            <w:vAlign w:val="bottom"/>
            <w:hideMark/>
          </w:tcPr>
          <w:p w14:paraId="2799D373"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0.03</w:t>
            </w:r>
          </w:p>
        </w:tc>
        <w:tc>
          <w:tcPr>
            <w:tcW w:w="1104" w:type="dxa"/>
            <w:tcBorders>
              <w:top w:val="nil"/>
              <w:left w:val="nil"/>
              <w:bottom w:val="single" w:sz="4" w:space="0" w:color="auto"/>
              <w:right w:val="single" w:sz="4" w:space="0" w:color="auto"/>
            </w:tcBorders>
            <w:shd w:val="clear" w:color="auto" w:fill="auto"/>
            <w:noWrap/>
            <w:vAlign w:val="bottom"/>
            <w:hideMark/>
          </w:tcPr>
          <w:p w14:paraId="5351B353"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TR</w:t>
            </w:r>
            <w:r w:rsidRPr="002F7212">
              <w:rPr>
                <w:rFonts w:eastAsia="Times New Roman" w:cs="Arial"/>
                <w:sz w:val="18"/>
                <w:vertAlign w:val="subscript"/>
                <w:lang w:eastAsia="en-GB"/>
              </w:rPr>
              <w:t>34</w:t>
            </w:r>
            <w:r w:rsidRPr="002F7212">
              <w:rPr>
                <w:rFonts w:eastAsia="Times New Roman" w:cs="Arial"/>
                <w:sz w:val="18"/>
                <w:lang w:eastAsia="en-GB"/>
              </w:rPr>
              <w:t>/L98H</w:t>
            </w:r>
          </w:p>
        </w:tc>
      </w:tr>
      <w:tr w:rsidR="0095330D" w:rsidRPr="002F7212" w14:paraId="6BA92CBF" w14:textId="77777777" w:rsidTr="00A01886">
        <w:trPr>
          <w:trHeight w:val="328"/>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F09007C" w14:textId="25E3CB64" w:rsidR="0095330D" w:rsidRPr="002F7212" w:rsidRDefault="00E7717F"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RBH-18</w:t>
            </w:r>
          </w:p>
        </w:tc>
        <w:tc>
          <w:tcPr>
            <w:tcW w:w="879" w:type="dxa"/>
            <w:tcBorders>
              <w:top w:val="nil"/>
              <w:left w:val="nil"/>
              <w:bottom w:val="single" w:sz="4" w:space="0" w:color="auto"/>
              <w:right w:val="single" w:sz="4" w:space="0" w:color="auto"/>
            </w:tcBorders>
            <w:shd w:val="clear" w:color="auto" w:fill="auto"/>
            <w:noWrap/>
            <w:vAlign w:val="bottom"/>
            <w:hideMark/>
          </w:tcPr>
          <w:p w14:paraId="1764818C"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Sputum</w:t>
            </w:r>
          </w:p>
        </w:tc>
        <w:tc>
          <w:tcPr>
            <w:tcW w:w="2523" w:type="dxa"/>
            <w:tcBorders>
              <w:top w:val="nil"/>
              <w:left w:val="nil"/>
              <w:bottom w:val="single" w:sz="4" w:space="0" w:color="auto"/>
              <w:right w:val="single" w:sz="4" w:space="0" w:color="auto"/>
            </w:tcBorders>
            <w:shd w:val="clear" w:color="auto" w:fill="auto"/>
            <w:noWrap/>
            <w:vAlign w:val="bottom"/>
            <w:hideMark/>
          </w:tcPr>
          <w:p w14:paraId="05CA9A53" w14:textId="77777777" w:rsidR="0095330D" w:rsidRPr="002F7212" w:rsidRDefault="0095330D" w:rsidP="002F7212">
            <w:pPr>
              <w:spacing w:after="0" w:line="240" w:lineRule="auto"/>
              <w:jc w:val="both"/>
              <w:rPr>
                <w:rFonts w:eastAsia="Times New Roman" w:cs="Arial"/>
                <w:color w:val="000000"/>
                <w:sz w:val="18"/>
                <w:szCs w:val="24"/>
                <w:lang w:eastAsia="en-GB"/>
              </w:rPr>
            </w:pPr>
            <w:r w:rsidRPr="002F7212">
              <w:rPr>
                <w:rFonts w:eastAsia="Times New Roman" w:cs="Arial"/>
                <w:color w:val="000000"/>
                <w:sz w:val="18"/>
                <w:szCs w:val="24"/>
                <w:lang w:eastAsia="en-GB"/>
              </w:rPr>
              <w:t>CF</w:t>
            </w:r>
          </w:p>
        </w:tc>
        <w:tc>
          <w:tcPr>
            <w:tcW w:w="709" w:type="dxa"/>
            <w:tcBorders>
              <w:top w:val="nil"/>
              <w:left w:val="nil"/>
              <w:bottom w:val="single" w:sz="4" w:space="0" w:color="auto"/>
              <w:right w:val="single" w:sz="4" w:space="0" w:color="auto"/>
            </w:tcBorders>
            <w:shd w:val="clear" w:color="auto" w:fill="auto"/>
            <w:noWrap/>
            <w:vAlign w:val="bottom"/>
            <w:hideMark/>
          </w:tcPr>
          <w:p w14:paraId="488F1A0C"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&gt;32</w:t>
            </w:r>
          </w:p>
        </w:tc>
        <w:tc>
          <w:tcPr>
            <w:tcW w:w="652" w:type="dxa"/>
            <w:tcBorders>
              <w:top w:val="nil"/>
              <w:left w:val="nil"/>
              <w:bottom w:val="single" w:sz="4" w:space="0" w:color="auto"/>
              <w:right w:val="single" w:sz="4" w:space="0" w:color="auto"/>
            </w:tcBorders>
            <w:shd w:val="clear" w:color="auto" w:fill="auto"/>
            <w:noWrap/>
            <w:vAlign w:val="bottom"/>
            <w:hideMark/>
          </w:tcPr>
          <w:p w14:paraId="34E72B88"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0.125</w:t>
            </w:r>
          </w:p>
        </w:tc>
        <w:tc>
          <w:tcPr>
            <w:tcW w:w="652" w:type="dxa"/>
            <w:tcBorders>
              <w:top w:val="nil"/>
              <w:left w:val="nil"/>
              <w:bottom w:val="single" w:sz="4" w:space="0" w:color="auto"/>
              <w:right w:val="single" w:sz="4" w:space="0" w:color="auto"/>
            </w:tcBorders>
            <w:shd w:val="clear" w:color="auto" w:fill="auto"/>
            <w:noWrap/>
            <w:vAlign w:val="bottom"/>
            <w:hideMark/>
          </w:tcPr>
          <w:p w14:paraId="237DCCD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680" w:type="dxa"/>
            <w:tcBorders>
              <w:top w:val="nil"/>
              <w:left w:val="nil"/>
              <w:bottom w:val="single" w:sz="4" w:space="0" w:color="auto"/>
              <w:right w:val="single" w:sz="4" w:space="0" w:color="auto"/>
            </w:tcBorders>
            <w:shd w:val="clear" w:color="auto" w:fill="auto"/>
            <w:noWrap/>
            <w:vAlign w:val="bottom"/>
            <w:hideMark/>
          </w:tcPr>
          <w:p w14:paraId="2C27EBB6"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0.5</w:t>
            </w:r>
          </w:p>
        </w:tc>
        <w:tc>
          <w:tcPr>
            <w:tcW w:w="752" w:type="dxa"/>
            <w:tcBorders>
              <w:top w:val="nil"/>
              <w:left w:val="nil"/>
              <w:bottom w:val="single" w:sz="4" w:space="0" w:color="auto"/>
              <w:right w:val="single" w:sz="4" w:space="0" w:color="auto"/>
            </w:tcBorders>
            <w:shd w:val="clear" w:color="auto" w:fill="auto"/>
            <w:noWrap/>
            <w:vAlign w:val="bottom"/>
            <w:hideMark/>
          </w:tcPr>
          <w:p w14:paraId="128A60EA"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752" w:type="dxa"/>
            <w:tcBorders>
              <w:top w:val="nil"/>
              <w:left w:val="nil"/>
              <w:bottom w:val="single" w:sz="4" w:space="0" w:color="auto"/>
              <w:right w:val="single" w:sz="4" w:space="0" w:color="auto"/>
            </w:tcBorders>
            <w:shd w:val="clear" w:color="auto" w:fill="auto"/>
            <w:noWrap/>
            <w:vAlign w:val="bottom"/>
            <w:hideMark/>
          </w:tcPr>
          <w:p w14:paraId="61B4A289"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0.002</w:t>
            </w:r>
          </w:p>
        </w:tc>
        <w:tc>
          <w:tcPr>
            <w:tcW w:w="652" w:type="dxa"/>
            <w:tcBorders>
              <w:top w:val="nil"/>
              <w:left w:val="nil"/>
              <w:bottom w:val="single" w:sz="4" w:space="0" w:color="auto"/>
              <w:right w:val="single" w:sz="4" w:space="0" w:color="auto"/>
            </w:tcBorders>
            <w:shd w:val="clear" w:color="auto" w:fill="auto"/>
            <w:noWrap/>
            <w:vAlign w:val="bottom"/>
            <w:hideMark/>
          </w:tcPr>
          <w:p w14:paraId="69CC3E14" w14:textId="77777777" w:rsidR="0095330D" w:rsidRPr="002F7212" w:rsidRDefault="0095330D" w:rsidP="002F7212">
            <w:pPr>
              <w:spacing w:after="0" w:line="240" w:lineRule="auto"/>
              <w:jc w:val="both"/>
              <w:rPr>
                <w:rFonts w:eastAsia="Times New Roman" w:cs="Arial"/>
                <w:color w:val="000000"/>
                <w:sz w:val="18"/>
                <w:lang w:eastAsia="en-GB"/>
              </w:rPr>
            </w:pPr>
            <w:r w:rsidRPr="002F7212">
              <w:rPr>
                <w:rFonts w:eastAsia="Times New Roman" w:cs="Arial"/>
                <w:color w:val="000000"/>
                <w:sz w:val="18"/>
                <w:lang w:eastAsia="en-GB"/>
              </w:rPr>
              <w:t>0.03</w:t>
            </w:r>
          </w:p>
        </w:tc>
        <w:tc>
          <w:tcPr>
            <w:tcW w:w="1104" w:type="dxa"/>
            <w:tcBorders>
              <w:top w:val="nil"/>
              <w:left w:val="nil"/>
              <w:bottom w:val="single" w:sz="4" w:space="0" w:color="auto"/>
              <w:right w:val="single" w:sz="4" w:space="0" w:color="auto"/>
            </w:tcBorders>
            <w:shd w:val="clear" w:color="auto" w:fill="auto"/>
            <w:noWrap/>
            <w:vAlign w:val="bottom"/>
            <w:hideMark/>
          </w:tcPr>
          <w:p w14:paraId="5B767D13" w14:textId="77777777" w:rsidR="0095330D" w:rsidRPr="002F7212" w:rsidRDefault="0095330D" w:rsidP="002F7212">
            <w:pPr>
              <w:spacing w:after="0" w:line="240" w:lineRule="auto"/>
              <w:jc w:val="both"/>
              <w:rPr>
                <w:rFonts w:eastAsia="Times New Roman" w:cs="Arial"/>
                <w:sz w:val="18"/>
                <w:lang w:eastAsia="en-GB"/>
              </w:rPr>
            </w:pPr>
            <w:r w:rsidRPr="002F7212">
              <w:rPr>
                <w:rFonts w:eastAsia="Times New Roman" w:cs="Arial"/>
                <w:sz w:val="18"/>
                <w:lang w:eastAsia="en-GB"/>
              </w:rPr>
              <w:t>WT</w:t>
            </w:r>
          </w:p>
        </w:tc>
      </w:tr>
    </w:tbl>
    <w:p w14:paraId="54269C56" w14:textId="77777777" w:rsidR="0095330D" w:rsidRPr="002F7212" w:rsidRDefault="0095330D" w:rsidP="002F7212">
      <w:pPr>
        <w:jc w:val="both"/>
      </w:pPr>
    </w:p>
    <w:p w14:paraId="47889969" w14:textId="77777777" w:rsidR="00BC4361" w:rsidRPr="002F7212" w:rsidRDefault="00BC4361" w:rsidP="002F7212">
      <w:pPr>
        <w:jc w:val="both"/>
      </w:pPr>
    </w:p>
    <w:p w14:paraId="5E7235EC" w14:textId="77777777" w:rsidR="00BC4361" w:rsidRPr="002F7212" w:rsidRDefault="00BC4361" w:rsidP="002F7212">
      <w:pPr>
        <w:jc w:val="both"/>
      </w:pPr>
    </w:p>
    <w:p w14:paraId="5E8B8456" w14:textId="77777777" w:rsidR="00BC4361" w:rsidRPr="002F7212" w:rsidRDefault="00BC4361" w:rsidP="002F7212">
      <w:pPr>
        <w:jc w:val="both"/>
      </w:pPr>
    </w:p>
    <w:p w14:paraId="093C22A3" w14:textId="77777777" w:rsidR="00AF77B4" w:rsidRPr="002F7212" w:rsidRDefault="00AF77B4" w:rsidP="002F7212">
      <w:pPr>
        <w:jc w:val="both"/>
      </w:pPr>
    </w:p>
    <w:p w14:paraId="630977C4" w14:textId="77777777" w:rsidR="00AF77B4" w:rsidRPr="002F7212" w:rsidRDefault="00AF77B4" w:rsidP="002F7212">
      <w:pPr>
        <w:jc w:val="both"/>
      </w:pPr>
    </w:p>
    <w:p w14:paraId="11941774" w14:textId="4DA6FE27" w:rsidR="00B17CF8" w:rsidRPr="002F7212" w:rsidRDefault="00480728" w:rsidP="002F7212">
      <w:pPr>
        <w:spacing w:line="480" w:lineRule="auto"/>
        <w:ind w:left="567"/>
        <w:jc w:val="both"/>
        <w:rPr>
          <w:b/>
        </w:rPr>
      </w:pPr>
      <w:r w:rsidRPr="002F7212">
        <w:rPr>
          <w:b/>
        </w:rPr>
        <w:t>R</w:t>
      </w:r>
      <w:r w:rsidR="00B17CF8" w:rsidRPr="002F7212">
        <w:rPr>
          <w:b/>
        </w:rPr>
        <w:t>EF</w:t>
      </w:r>
      <w:r w:rsidR="001C07F2" w:rsidRPr="002F7212">
        <w:rPr>
          <w:b/>
        </w:rPr>
        <w:t>E</w:t>
      </w:r>
      <w:r w:rsidR="00B17CF8" w:rsidRPr="002F7212">
        <w:rPr>
          <w:b/>
        </w:rPr>
        <w:t>RENCES</w:t>
      </w:r>
    </w:p>
    <w:p w14:paraId="0BB4C613" w14:textId="77777777" w:rsidR="001C07F2" w:rsidRPr="002F7212" w:rsidRDefault="001C07F2" w:rsidP="002F7212">
      <w:pPr>
        <w:spacing w:line="480" w:lineRule="auto"/>
        <w:ind w:left="567"/>
        <w:jc w:val="both"/>
      </w:pPr>
      <w:r w:rsidRPr="002F7212">
        <w:t xml:space="preserve">[1] </w:t>
      </w:r>
      <w:r w:rsidRPr="002F7212">
        <w:rPr>
          <w:bCs/>
        </w:rPr>
        <w:t>Kosmidis C</w:t>
      </w:r>
      <w:r w:rsidRPr="002F7212">
        <w:t xml:space="preserve">, </w:t>
      </w:r>
      <w:r w:rsidRPr="002F7212">
        <w:rPr>
          <w:bCs/>
        </w:rPr>
        <w:t>Denning DW</w:t>
      </w:r>
      <w:r w:rsidRPr="002F7212">
        <w:t xml:space="preserve">. 2015. The clinical spectrum of pulmonary aspergillosis. Thorax </w:t>
      </w:r>
      <w:r w:rsidRPr="002F7212">
        <w:rPr>
          <w:bCs/>
        </w:rPr>
        <w:t>70</w:t>
      </w:r>
      <w:r w:rsidRPr="002F7212">
        <w:t>:270–277.</w:t>
      </w:r>
    </w:p>
    <w:p w14:paraId="4105AB8B" w14:textId="77777777" w:rsidR="001C07F2" w:rsidRPr="002F7212" w:rsidRDefault="001C07F2" w:rsidP="002F7212">
      <w:pPr>
        <w:spacing w:line="480" w:lineRule="auto"/>
        <w:ind w:left="567"/>
        <w:jc w:val="both"/>
      </w:pPr>
      <w:r w:rsidRPr="002F7212">
        <w:t xml:space="preserve">[2] </w:t>
      </w:r>
      <w:r w:rsidRPr="002F7212">
        <w:rPr>
          <w:bCs/>
        </w:rPr>
        <w:t>Patterson TF</w:t>
      </w:r>
      <w:r w:rsidRPr="002F7212">
        <w:t xml:space="preserve">, </w:t>
      </w:r>
      <w:r w:rsidRPr="002F7212">
        <w:rPr>
          <w:bCs/>
        </w:rPr>
        <w:t>Thompson GR</w:t>
      </w:r>
      <w:r w:rsidRPr="002F7212">
        <w:t xml:space="preserve">, </w:t>
      </w:r>
      <w:r w:rsidRPr="002F7212">
        <w:rPr>
          <w:bCs/>
        </w:rPr>
        <w:t>Denning DW</w:t>
      </w:r>
      <w:r w:rsidRPr="002F7212">
        <w:t xml:space="preserve">, </w:t>
      </w:r>
      <w:r w:rsidRPr="002F7212">
        <w:rPr>
          <w:bCs/>
        </w:rPr>
        <w:t>Fishman JA</w:t>
      </w:r>
      <w:r w:rsidRPr="002F7212">
        <w:t xml:space="preserve">, </w:t>
      </w:r>
      <w:r w:rsidRPr="002F7212">
        <w:rPr>
          <w:bCs/>
        </w:rPr>
        <w:t>Hadley S</w:t>
      </w:r>
      <w:r w:rsidRPr="002F7212">
        <w:t xml:space="preserve">, </w:t>
      </w:r>
      <w:r w:rsidRPr="002F7212">
        <w:rPr>
          <w:bCs/>
        </w:rPr>
        <w:t>Herbrecht R</w:t>
      </w:r>
      <w:r w:rsidRPr="002F7212">
        <w:t xml:space="preserve">, </w:t>
      </w:r>
      <w:r w:rsidRPr="002F7212">
        <w:rPr>
          <w:bCs/>
        </w:rPr>
        <w:t>Kontoyiannis DP</w:t>
      </w:r>
      <w:r w:rsidRPr="002F7212">
        <w:t xml:space="preserve">, </w:t>
      </w:r>
      <w:r w:rsidRPr="002F7212">
        <w:rPr>
          <w:bCs/>
        </w:rPr>
        <w:t>Marr KA</w:t>
      </w:r>
      <w:r w:rsidRPr="002F7212">
        <w:t xml:space="preserve">, </w:t>
      </w:r>
      <w:r w:rsidRPr="002F7212">
        <w:rPr>
          <w:bCs/>
        </w:rPr>
        <w:t>Morrison VA</w:t>
      </w:r>
      <w:r w:rsidRPr="002F7212">
        <w:t xml:space="preserve">, </w:t>
      </w:r>
      <w:r w:rsidRPr="002F7212">
        <w:rPr>
          <w:bCs/>
        </w:rPr>
        <w:t>Nguyen MH</w:t>
      </w:r>
      <w:r w:rsidRPr="002F7212">
        <w:t xml:space="preserve">, </w:t>
      </w:r>
      <w:r w:rsidRPr="002F7212">
        <w:rPr>
          <w:bCs/>
        </w:rPr>
        <w:t>Segal BH</w:t>
      </w:r>
      <w:r w:rsidRPr="002F7212">
        <w:t xml:space="preserve">, </w:t>
      </w:r>
      <w:r w:rsidRPr="002F7212">
        <w:rPr>
          <w:bCs/>
        </w:rPr>
        <w:t>Steinbach WJ</w:t>
      </w:r>
      <w:r w:rsidRPr="002F7212">
        <w:t xml:space="preserve">, </w:t>
      </w:r>
      <w:r w:rsidRPr="002F7212">
        <w:rPr>
          <w:bCs/>
        </w:rPr>
        <w:t>Stevens DA</w:t>
      </w:r>
      <w:r w:rsidRPr="002F7212">
        <w:t xml:space="preserve">, </w:t>
      </w:r>
      <w:r w:rsidRPr="002F7212">
        <w:rPr>
          <w:bCs/>
        </w:rPr>
        <w:t>Walsh TJ</w:t>
      </w:r>
      <w:r w:rsidRPr="002F7212">
        <w:t xml:space="preserve">, </w:t>
      </w:r>
      <w:r w:rsidRPr="002F7212">
        <w:rPr>
          <w:bCs/>
        </w:rPr>
        <w:t>Wingard JR</w:t>
      </w:r>
      <w:r w:rsidRPr="002F7212">
        <w:t xml:space="preserve">, </w:t>
      </w:r>
      <w:r w:rsidRPr="002F7212">
        <w:rPr>
          <w:bCs/>
        </w:rPr>
        <w:t>Young JAH</w:t>
      </w:r>
      <w:r w:rsidRPr="002F7212">
        <w:t xml:space="preserve">, </w:t>
      </w:r>
      <w:r w:rsidRPr="002F7212">
        <w:rPr>
          <w:bCs/>
        </w:rPr>
        <w:t>Bennett JE</w:t>
      </w:r>
      <w:r w:rsidRPr="002F7212">
        <w:t xml:space="preserve">. 2016. Practice guidelines for the diagnosis and management of aspergillosis: 2016 update by the infectious diseases society of America. Clin. Infect. Dis. </w:t>
      </w:r>
      <w:r w:rsidRPr="002F7212">
        <w:rPr>
          <w:bCs/>
        </w:rPr>
        <w:t>63</w:t>
      </w:r>
      <w:r w:rsidRPr="002F7212">
        <w:t>:e1–e60.</w:t>
      </w:r>
    </w:p>
    <w:p w14:paraId="6F3E4A5D" w14:textId="43A5A4A4" w:rsidR="00A238DE" w:rsidRPr="002F7212" w:rsidRDefault="00A238DE" w:rsidP="002F7212">
      <w:pPr>
        <w:spacing w:line="480" w:lineRule="auto"/>
        <w:ind w:left="567"/>
        <w:jc w:val="both"/>
      </w:pPr>
      <w:r w:rsidRPr="002F7212">
        <w:t>[3] Greenberger PA, Bush RK, Demain JG, Luong A, Slavin RG, Knutsen AP. Allergic bronchopulmonary aspergillosis. J Allergy Clin Immunol Pract. 2014 Nov-Dec;2(6):703-8. doi: 10.1016/j.jaip.2014.08.007. Epub 2014 Nov 6. Review.</w:t>
      </w:r>
    </w:p>
    <w:p w14:paraId="214FFC0B" w14:textId="77777777" w:rsidR="00A238DE" w:rsidRPr="002F7212" w:rsidRDefault="00A238DE" w:rsidP="002F7212">
      <w:pPr>
        <w:spacing w:line="480" w:lineRule="auto"/>
        <w:ind w:left="567"/>
        <w:jc w:val="both"/>
      </w:pPr>
      <w:r w:rsidRPr="002F7212">
        <w:t xml:space="preserve">[4] </w:t>
      </w:r>
      <w:r w:rsidRPr="002F7212">
        <w:rPr>
          <w:bCs/>
        </w:rPr>
        <w:t>Verweij PE</w:t>
      </w:r>
      <w:r w:rsidRPr="002F7212">
        <w:t xml:space="preserve">, </w:t>
      </w:r>
      <w:r w:rsidRPr="002F7212">
        <w:rPr>
          <w:bCs/>
        </w:rPr>
        <w:t>Mellado E</w:t>
      </w:r>
      <w:r w:rsidRPr="002F7212">
        <w:t xml:space="preserve">, </w:t>
      </w:r>
      <w:r w:rsidRPr="002F7212">
        <w:rPr>
          <w:bCs/>
        </w:rPr>
        <w:t>Melchers WJG</w:t>
      </w:r>
      <w:r w:rsidRPr="002F7212">
        <w:t xml:space="preserve">. 2007. Multiple-Triazole – Resistant Aspergillosis. N. Engl. J. Med. </w:t>
      </w:r>
      <w:r w:rsidRPr="002F7212">
        <w:rPr>
          <w:bCs/>
        </w:rPr>
        <w:t>356</w:t>
      </w:r>
      <w:r w:rsidRPr="002F7212">
        <w:t>:1481–1483.</w:t>
      </w:r>
    </w:p>
    <w:p w14:paraId="61BB4348" w14:textId="0DFF597E" w:rsidR="00A238DE" w:rsidRPr="002F7212" w:rsidRDefault="00A238DE" w:rsidP="002F7212">
      <w:pPr>
        <w:spacing w:line="480" w:lineRule="auto"/>
        <w:ind w:left="567"/>
        <w:jc w:val="both"/>
      </w:pPr>
      <w:r w:rsidRPr="002F7212">
        <w:rPr>
          <w:bCs/>
        </w:rPr>
        <w:t>[5] Chowdhary A</w:t>
      </w:r>
      <w:r w:rsidRPr="002F7212">
        <w:t xml:space="preserve">, </w:t>
      </w:r>
      <w:r w:rsidRPr="002F7212">
        <w:rPr>
          <w:bCs/>
        </w:rPr>
        <w:t>Kathuria S</w:t>
      </w:r>
      <w:r w:rsidRPr="002F7212">
        <w:t xml:space="preserve">, </w:t>
      </w:r>
      <w:r w:rsidRPr="002F7212">
        <w:rPr>
          <w:bCs/>
        </w:rPr>
        <w:t>Xu J</w:t>
      </w:r>
      <w:r w:rsidRPr="002F7212">
        <w:t xml:space="preserve">, </w:t>
      </w:r>
      <w:r w:rsidRPr="002F7212">
        <w:rPr>
          <w:bCs/>
        </w:rPr>
        <w:t>Meis JF</w:t>
      </w:r>
      <w:r w:rsidRPr="002F7212">
        <w:t xml:space="preserve">. 2013. Emergence of azole-resistant Aspergillus fumigatus strains due to agricultural azole use creates an increasing threat to human health. PLoS Pathog. </w:t>
      </w:r>
      <w:r w:rsidRPr="002F7212">
        <w:rPr>
          <w:bCs/>
        </w:rPr>
        <w:t>9</w:t>
      </w:r>
      <w:r w:rsidRPr="002F7212">
        <w:t>:e1003633.</w:t>
      </w:r>
    </w:p>
    <w:p w14:paraId="6FC77463" w14:textId="740BF934" w:rsidR="00A238DE" w:rsidRPr="002F7212" w:rsidRDefault="00A238DE" w:rsidP="002F7212">
      <w:pPr>
        <w:spacing w:line="480" w:lineRule="auto"/>
        <w:ind w:left="567"/>
        <w:jc w:val="both"/>
      </w:pPr>
      <w:r w:rsidRPr="002F7212">
        <w:t xml:space="preserve">[6] </w:t>
      </w:r>
      <w:r w:rsidRPr="002F7212">
        <w:rPr>
          <w:bCs/>
        </w:rPr>
        <w:t>Hagiwara</w:t>
      </w:r>
      <w:r w:rsidRPr="002F7212">
        <w:t xml:space="preserve"> D, Watanabe A, </w:t>
      </w:r>
      <w:r w:rsidRPr="002F7212">
        <w:rPr>
          <w:bCs/>
        </w:rPr>
        <w:t>Kamei</w:t>
      </w:r>
      <w:r w:rsidRPr="002F7212">
        <w:t xml:space="preserve"> K, Goldman GH. Epidemiological and Genomic Landscape of Azole Resistance Mechanisms in </w:t>
      </w:r>
      <w:r w:rsidRPr="002F7212">
        <w:rPr>
          <w:i/>
          <w:iCs/>
        </w:rPr>
        <w:t>Aspergillus</w:t>
      </w:r>
      <w:r w:rsidRPr="002F7212">
        <w:t xml:space="preserve"> Fungi. Front Microbiol. 2016 Sep 21;7:1382. eCollection 2016. Review.</w:t>
      </w:r>
    </w:p>
    <w:p w14:paraId="77C79364" w14:textId="6E153829" w:rsidR="00A238DE" w:rsidRPr="002F7212" w:rsidRDefault="00A238DE" w:rsidP="002F7212">
      <w:pPr>
        <w:spacing w:line="480" w:lineRule="auto"/>
        <w:ind w:left="567"/>
        <w:jc w:val="both"/>
      </w:pPr>
      <w:r w:rsidRPr="002F7212">
        <w:t xml:space="preserve">[7] </w:t>
      </w:r>
      <w:r w:rsidRPr="002F7212">
        <w:rPr>
          <w:bCs/>
        </w:rPr>
        <w:t>Mellado E</w:t>
      </w:r>
      <w:r w:rsidRPr="002F7212">
        <w:t xml:space="preserve">, </w:t>
      </w:r>
      <w:r w:rsidRPr="002F7212">
        <w:rPr>
          <w:bCs/>
        </w:rPr>
        <w:t>Garcia-Effron G</w:t>
      </w:r>
      <w:r w:rsidRPr="002F7212">
        <w:t xml:space="preserve">, </w:t>
      </w:r>
      <w:r w:rsidRPr="002F7212">
        <w:rPr>
          <w:bCs/>
        </w:rPr>
        <w:t>Alcázar-Fuoli L</w:t>
      </w:r>
      <w:r w:rsidRPr="002F7212">
        <w:t xml:space="preserve">, </w:t>
      </w:r>
      <w:r w:rsidRPr="002F7212">
        <w:rPr>
          <w:bCs/>
        </w:rPr>
        <w:t>Melchers WJG</w:t>
      </w:r>
      <w:r w:rsidRPr="002F7212">
        <w:t xml:space="preserve">, </w:t>
      </w:r>
      <w:r w:rsidRPr="002F7212">
        <w:rPr>
          <w:bCs/>
        </w:rPr>
        <w:t>Verweij PE</w:t>
      </w:r>
      <w:r w:rsidRPr="002F7212">
        <w:t xml:space="preserve">, </w:t>
      </w:r>
      <w:r w:rsidRPr="002F7212">
        <w:rPr>
          <w:bCs/>
        </w:rPr>
        <w:t>Cuenca-Estrella M</w:t>
      </w:r>
      <w:r w:rsidRPr="002F7212">
        <w:t xml:space="preserve">, </w:t>
      </w:r>
      <w:r w:rsidRPr="002F7212">
        <w:rPr>
          <w:bCs/>
        </w:rPr>
        <w:t>Rodríguez-Tudela JL</w:t>
      </w:r>
      <w:r w:rsidRPr="002F7212">
        <w:t xml:space="preserve">. 2007. A new Aspergillus fumigatus resistance mechanism conferring in vitro cross-resistance to azole antifungals involves a combination of cyp51A alterations. Antimicrob. Agents Chemother. </w:t>
      </w:r>
      <w:r w:rsidRPr="002F7212">
        <w:rPr>
          <w:bCs/>
        </w:rPr>
        <w:t>51</w:t>
      </w:r>
      <w:r w:rsidRPr="002F7212">
        <w:t>:1897–904.</w:t>
      </w:r>
    </w:p>
    <w:p w14:paraId="4A4426EA" w14:textId="77777777" w:rsidR="00A238DE" w:rsidRPr="002F7212" w:rsidRDefault="00A238DE" w:rsidP="002F7212">
      <w:pPr>
        <w:spacing w:line="480" w:lineRule="auto"/>
        <w:ind w:left="567"/>
        <w:jc w:val="both"/>
      </w:pPr>
      <w:r w:rsidRPr="002F7212">
        <w:lastRenderedPageBreak/>
        <w:t xml:space="preserve">[8] </w:t>
      </w:r>
      <w:r w:rsidRPr="002F7212">
        <w:rPr>
          <w:bCs/>
        </w:rPr>
        <w:t>Chowdhary A</w:t>
      </w:r>
      <w:r w:rsidRPr="002F7212">
        <w:t xml:space="preserve">, </w:t>
      </w:r>
      <w:r w:rsidRPr="002F7212">
        <w:rPr>
          <w:bCs/>
        </w:rPr>
        <w:t>Sharma C</w:t>
      </w:r>
      <w:r w:rsidRPr="002F7212">
        <w:t xml:space="preserve">, </w:t>
      </w:r>
      <w:r w:rsidRPr="002F7212">
        <w:rPr>
          <w:bCs/>
        </w:rPr>
        <w:t>Meis JF</w:t>
      </w:r>
      <w:r w:rsidRPr="002F7212">
        <w:t xml:space="preserve">. 2017. Azole-Resistant Aspergillosis: Epidemiology, Molecular Mechanisms, and Treatment. J. Infect. Dis. </w:t>
      </w:r>
      <w:r w:rsidRPr="002F7212">
        <w:rPr>
          <w:bCs/>
        </w:rPr>
        <w:t>216</w:t>
      </w:r>
      <w:r w:rsidRPr="002F7212">
        <w:t>:S436–S444.</w:t>
      </w:r>
    </w:p>
    <w:p w14:paraId="3395B421" w14:textId="2B0C1B89" w:rsidR="00A238DE" w:rsidRPr="002F7212" w:rsidRDefault="00A238DE" w:rsidP="002F7212">
      <w:pPr>
        <w:spacing w:line="480" w:lineRule="auto"/>
        <w:ind w:left="567"/>
        <w:jc w:val="both"/>
      </w:pPr>
      <w:r w:rsidRPr="002F7212">
        <w:t xml:space="preserve">[9] </w:t>
      </w:r>
      <w:r w:rsidRPr="002F7212">
        <w:rPr>
          <w:bCs/>
        </w:rPr>
        <w:t>Chowdhary A</w:t>
      </w:r>
      <w:r w:rsidRPr="002F7212">
        <w:t xml:space="preserve">, </w:t>
      </w:r>
      <w:r w:rsidRPr="002F7212">
        <w:rPr>
          <w:bCs/>
        </w:rPr>
        <w:t>Sharma C</w:t>
      </w:r>
      <w:r w:rsidRPr="002F7212">
        <w:t xml:space="preserve">, </w:t>
      </w:r>
      <w:r w:rsidRPr="002F7212">
        <w:rPr>
          <w:bCs/>
        </w:rPr>
        <w:t>Kathuria S</w:t>
      </w:r>
      <w:r w:rsidRPr="002F7212">
        <w:t xml:space="preserve">, </w:t>
      </w:r>
      <w:r w:rsidRPr="002F7212">
        <w:rPr>
          <w:bCs/>
        </w:rPr>
        <w:t>Hagen F</w:t>
      </w:r>
      <w:r w:rsidRPr="002F7212">
        <w:t xml:space="preserve">, </w:t>
      </w:r>
      <w:r w:rsidRPr="002F7212">
        <w:rPr>
          <w:bCs/>
        </w:rPr>
        <w:t>Meis JF</w:t>
      </w:r>
      <w:r w:rsidRPr="002F7212">
        <w:t xml:space="preserve">. 2015. Prevalence and mechanism of triazole resistance in Aspergillus fumigatus in a referral chest hospital in Delhi, India and an update of the situation in Asia. Front. Microbiol. </w:t>
      </w:r>
      <w:r w:rsidRPr="002F7212">
        <w:rPr>
          <w:bCs/>
        </w:rPr>
        <w:t>6</w:t>
      </w:r>
      <w:r w:rsidRPr="002F7212">
        <w:t>:</w:t>
      </w:r>
      <w:r w:rsidR="00F4689A" w:rsidRPr="002F7212">
        <w:t xml:space="preserve"> </w:t>
      </w:r>
      <w:r w:rsidRPr="002F7212">
        <w:t>Article 428.</w:t>
      </w:r>
    </w:p>
    <w:p w14:paraId="03435226" w14:textId="16F05771" w:rsidR="006D2258" w:rsidRPr="002F7212" w:rsidRDefault="006D2258" w:rsidP="002F7212">
      <w:pPr>
        <w:spacing w:line="480" w:lineRule="auto"/>
        <w:ind w:left="567"/>
        <w:jc w:val="both"/>
      </w:pPr>
      <w:r w:rsidRPr="002F7212">
        <w:t xml:space="preserve">[10] </w:t>
      </w:r>
      <w:r w:rsidRPr="002F7212">
        <w:rPr>
          <w:bCs/>
        </w:rPr>
        <w:t>van der Linden JWM</w:t>
      </w:r>
      <w:r w:rsidRPr="002F7212">
        <w:t xml:space="preserve">, </w:t>
      </w:r>
      <w:r w:rsidRPr="002F7212">
        <w:rPr>
          <w:bCs/>
        </w:rPr>
        <w:t>Camps SMT</w:t>
      </w:r>
      <w:r w:rsidRPr="002F7212">
        <w:t xml:space="preserve">, </w:t>
      </w:r>
      <w:r w:rsidRPr="002F7212">
        <w:rPr>
          <w:bCs/>
        </w:rPr>
        <w:t>Kampinga GA</w:t>
      </w:r>
      <w:r w:rsidRPr="002F7212">
        <w:t xml:space="preserve">, </w:t>
      </w:r>
      <w:r w:rsidRPr="002F7212">
        <w:rPr>
          <w:bCs/>
        </w:rPr>
        <w:t>Arends JPA</w:t>
      </w:r>
      <w:r w:rsidRPr="002F7212">
        <w:t xml:space="preserve">, </w:t>
      </w:r>
      <w:r w:rsidRPr="002F7212">
        <w:rPr>
          <w:bCs/>
        </w:rPr>
        <w:t>Debets-Ossenkopp YJ</w:t>
      </w:r>
      <w:r w:rsidRPr="002F7212">
        <w:t xml:space="preserve">, </w:t>
      </w:r>
      <w:r w:rsidRPr="002F7212">
        <w:rPr>
          <w:bCs/>
        </w:rPr>
        <w:t>Haas PJA</w:t>
      </w:r>
      <w:r w:rsidRPr="002F7212">
        <w:t xml:space="preserve">, </w:t>
      </w:r>
      <w:r w:rsidRPr="002F7212">
        <w:rPr>
          <w:bCs/>
        </w:rPr>
        <w:t>Rijnders BJA</w:t>
      </w:r>
      <w:r w:rsidRPr="002F7212">
        <w:t xml:space="preserve">, </w:t>
      </w:r>
      <w:r w:rsidRPr="002F7212">
        <w:rPr>
          <w:bCs/>
        </w:rPr>
        <w:t>Kuijper EJ</w:t>
      </w:r>
      <w:r w:rsidRPr="002F7212">
        <w:t xml:space="preserve">, </w:t>
      </w:r>
      <w:r w:rsidRPr="002F7212">
        <w:rPr>
          <w:bCs/>
        </w:rPr>
        <w:t>van Tiel FH</w:t>
      </w:r>
      <w:r w:rsidRPr="002F7212">
        <w:t xml:space="preserve">, </w:t>
      </w:r>
      <w:r w:rsidRPr="002F7212">
        <w:rPr>
          <w:bCs/>
        </w:rPr>
        <w:t>Varga J</w:t>
      </w:r>
      <w:r w:rsidRPr="002F7212">
        <w:t xml:space="preserve">, </w:t>
      </w:r>
      <w:r w:rsidRPr="002F7212">
        <w:rPr>
          <w:bCs/>
        </w:rPr>
        <w:t>Karawajczyk A</w:t>
      </w:r>
      <w:r w:rsidRPr="002F7212">
        <w:t xml:space="preserve">, </w:t>
      </w:r>
      <w:r w:rsidRPr="002F7212">
        <w:rPr>
          <w:bCs/>
        </w:rPr>
        <w:t>Zoll J</w:t>
      </w:r>
      <w:r w:rsidRPr="002F7212">
        <w:t xml:space="preserve">, </w:t>
      </w:r>
      <w:r w:rsidRPr="002F7212">
        <w:rPr>
          <w:bCs/>
        </w:rPr>
        <w:t>Melchers WJG</w:t>
      </w:r>
      <w:r w:rsidRPr="002F7212">
        <w:t xml:space="preserve">, </w:t>
      </w:r>
      <w:r w:rsidRPr="002F7212">
        <w:rPr>
          <w:bCs/>
        </w:rPr>
        <w:t>Verweij PE</w:t>
      </w:r>
      <w:r w:rsidRPr="002F7212">
        <w:t xml:space="preserve">. 2013. Aspergillosis due to voriconazole highly resistant Aspergillus fumigatus and recovery of genetically related resistant isolates from domiciles. Clin. Infect. Dis. </w:t>
      </w:r>
      <w:r w:rsidRPr="002F7212">
        <w:rPr>
          <w:bCs/>
        </w:rPr>
        <w:t>57</w:t>
      </w:r>
      <w:r w:rsidRPr="002F7212">
        <w:t>:513–20.</w:t>
      </w:r>
    </w:p>
    <w:p w14:paraId="2EA504AF" w14:textId="49C7A886" w:rsidR="006D2258" w:rsidRPr="002F7212" w:rsidRDefault="006D2258" w:rsidP="002F7212">
      <w:pPr>
        <w:spacing w:line="480" w:lineRule="auto"/>
        <w:ind w:left="567"/>
        <w:jc w:val="both"/>
      </w:pPr>
      <w:r w:rsidRPr="002F7212">
        <w:t xml:space="preserve">[11] </w:t>
      </w:r>
      <w:r w:rsidRPr="002F7212">
        <w:rPr>
          <w:bCs/>
        </w:rPr>
        <w:t>Vermeulen E</w:t>
      </w:r>
      <w:r w:rsidRPr="002F7212">
        <w:t xml:space="preserve">, </w:t>
      </w:r>
      <w:r w:rsidRPr="002F7212">
        <w:rPr>
          <w:bCs/>
        </w:rPr>
        <w:t>Lagrou K</w:t>
      </w:r>
      <w:r w:rsidRPr="002F7212">
        <w:t xml:space="preserve">, </w:t>
      </w:r>
      <w:r w:rsidRPr="002F7212">
        <w:rPr>
          <w:bCs/>
        </w:rPr>
        <w:t>Verweij PE</w:t>
      </w:r>
      <w:r w:rsidRPr="002F7212">
        <w:t xml:space="preserve">. 2013. Azole resistance in Aspergillus fumigatus: a growing public health concern. Curr. Opin. Infect. Dis. </w:t>
      </w:r>
      <w:r w:rsidRPr="002F7212">
        <w:rPr>
          <w:bCs/>
        </w:rPr>
        <w:t>26</w:t>
      </w:r>
      <w:r w:rsidRPr="002F7212">
        <w:t>:493–500.</w:t>
      </w:r>
    </w:p>
    <w:p w14:paraId="08806508" w14:textId="77777777" w:rsidR="006D2258" w:rsidRDefault="006D2258" w:rsidP="002F7212">
      <w:pPr>
        <w:spacing w:line="480" w:lineRule="auto"/>
        <w:ind w:left="567"/>
        <w:jc w:val="both"/>
      </w:pPr>
      <w:r w:rsidRPr="002F7212">
        <w:t xml:space="preserve">[12] </w:t>
      </w:r>
      <w:r w:rsidRPr="002F7212">
        <w:rPr>
          <w:bCs/>
        </w:rPr>
        <w:t>Public Health England</w:t>
      </w:r>
      <w:r w:rsidRPr="002F7212">
        <w:t>. 2017. English surveillance programme for antimicrobial utilisation and resistance (ESPAUR) 1–143.</w:t>
      </w:r>
    </w:p>
    <w:p w14:paraId="729A6903" w14:textId="40E51A60" w:rsidR="00330E2C" w:rsidRPr="002F7212" w:rsidRDefault="00330E2C" w:rsidP="00330E2C">
      <w:pPr>
        <w:spacing w:line="480" w:lineRule="auto"/>
        <w:ind w:left="567"/>
        <w:jc w:val="both"/>
      </w:pPr>
      <w:r w:rsidRPr="002F7212">
        <w:t>[1</w:t>
      </w:r>
      <w:r>
        <w:t>3</w:t>
      </w:r>
      <w:r w:rsidRPr="002F7212">
        <w:t>] A. Hamprecht, F. Morio, O. Bader, P. Le Pape, J. Steinmann, and E. Dannaoui.  Azole Resistance in Aspergillus fumigatus in Patients with Cystic Fibrosis:  A Matter of Concern?  Mycopathologia, pages 1–10, 2017.</w:t>
      </w:r>
    </w:p>
    <w:p w14:paraId="1AC5EFD3" w14:textId="7A8D30BB" w:rsidR="006D2258" w:rsidRPr="002F7212" w:rsidRDefault="006D2258" w:rsidP="002F7212">
      <w:pPr>
        <w:spacing w:line="480" w:lineRule="auto"/>
        <w:ind w:left="567"/>
        <w:jc w:val="both"/>
      </w:pPr>
      <w:r w:rsidRPr="002F7212">
        <w:t>[1</w:t>
      </w:r>
      <w:r w:rsidR="00330E2C">
        <w:t>4</w:t>
      </w:r>
      <w:r w:rsidRPr="002F7212">
        <w:t xml:space="preserve">] </w:t>
      </w:r>
      <w:r w:rsidRPr="002F7212">
        <w:rPr>
          <w:bCs/>
        </w:rPr>
        <w:t>Howard SJ</w:t>
      </w:r>
      <w:r w:rsidRPr="002F7212">
        <w:t xml:space="preserve">, </w:t>
      </w:r>
      <w:r w:rsidRPr="002F7212">
        <w:rPr>
          <w:bCs/>
        </w:rPr>
        <w:t>Cerar D</w:t>
      </w:r>
      <w:r w:rsidRPr="002F7212">
        <w:t xml:space="preserve">, </w:t>
      </w:r>
      <w:r w:rsidRPr="002F7212">
        <w:rPr>
          <w:bCs/>
        </w:rPr>
        <w:t>Anderson MJ</w:t>
      </w:r>
      <w:r w:rsidRPr="002F7212">
        <w:t xml:space="preserve">, </w:t>
      </w:r>
      <w:r w:rsidRPr="002F7212">
        <w:rPr>
          <w:bCs/>
        </w:rPr>
        <w:t>Albarrag A</w:t>
      </w:r>
      <w:r w:rsidRPr="002F7212">
        <w:t xml:space="preserve">, </w:t>
      </w:r>
      <w:r w:rsidRPr="002F7212">
        <w:rPr>
          <w:bCs/>
        </w:rPr>
        <w:t>Fisher MC</w:t>
      </w:r>
      <w:r w:rsidRPr="002F7212">
        <w:t xml:space="preserve">, </w:t>
      </w:r>
      <w:r w:rsidRPr="002F7212">
        <w:rPr>
          <w:bCs/>
        </w:rPr>
        <w:t>Pasqualotto AC</w:t>
      </w:r>
      <w:r w:rsidRPr="002F7212">
        <w:t xml:space="preserve">, </w:t>
      </w:r>
      <w:r w:rsidRPr="002F7212">
        <w:rPr>
          <w:bCs/>
        </w:rPr>
        <w:t>Laverdiere M</w:t>
      </w:r>
      <w:r w:rsidRPr="002F7212">
        <w:t xml:space="preserve">, </w:t>
      </w:r>
      <w:r w:rsidRPr="002F7212">
        <w:rPr>
          <w:bCs/>
        </w:rPr>
        <w:t>Arendrup MC</w:t>
      </w:r>
      <w:r w:rsidRPr="002F7212">
        <w:t xml:space="preserve">, </w:t>
      </w:r>
      <w:r w:rsidRPr="002F7212">
        <w:rPr>
          <w:bCs/>
        </w:rPr>
        <w:t>Perlin DS</w:t>
      </w:r>
      <w:r w:rsidRPr="002F7212">
        <w:t xml:space="preserve">, </w:t>
      </w:r>
      <w:r w:rsidRPr="002F7212">
        <w:rPr>
          <w:bCs/>
        </w:rPr>
        <w:t>Denning DW</w:t>
      </w:r>
      <w:r w:rsidRPr="002F7212">
        <w:t xml:space="preserve">. 2009. Frequency and evolution of Azole resistance in Aspergillus fumigatus associated with treatment failure. Emerg. Infect. Dis. </w:t>
      </w:r>
      <w:r w:rsidRPr="002F7212">
        <w:rPr>
          <w:bCs/>
        </w:rPr>
        <w:t>15</w:t>
      </w:r>
      <w:r w:rsidRPr="002F7212">
        <w:t>:1068–76.</w:t>
      </w:r>
    </w:p>
    <w:p w14:paraId="49C49558" w14:textId="5398605D" w:rsidR="00F64495" w:rsidRPr="002F7212" w:rsidRDefault="00F64495" w:rsidP="002F7212">
      <w:pPr>
        <w:spacing w:line="480" w:lineRule="auto"/>
        <w:ind w:left="567"/>
        <w:jc w:val="both"/>
      </w:pPr>
      <w:r w:rsidRPr="002F7212">
        <w:t>[</w:t>
      </w:r>
      <w:r w:rsidR="00330E2C">
        <w:t>15</w:t>
      </w:r>
      <w:r w:rsidRPr="002F7212">
        <w:t>] J B Buil,  H A L van der Lee,  A J M M Rijs,  J Zoll,  J A M F Hovestadt,  Willem</w:t>
      </w:r>
      <w:r w:rsidR="00116A8F" w:rsidRPr="002F7212">
        <w:t xml:space="preserve"> </w:t>
      </w:r>
      <w:r w:rsidRPr="002F7212">
        <w:t>J G Melchers, and P E Verweij.  Single-center evaluation of an agar-based screening for</w:t>
      </w:r>
      <w:r w:rsidR="00116A8F" w:rsidRPr="002F7212">
        <w:t xml:space="preserve"> </w:t>
      </w:r>
      <w:r w:rsidRPr="002F7212">
        <w:t>azole resistance in Aspergillus fumigatus by using VIPcheck.  Antimicrobial agents and</w:t>
      </w:r>
      <w:r w:rsidR="00116A8F" w:rsidRPr="002F7212">
        <w:t xml:space="preserve"> </w:t>
      </w:r>
      <w:r w:rsidRPr="002F7212">
        <w:t>chemotherapy, 61(12):e01250–17, 2017.</w:t>
      </w:r>
    </w:p>
    <w:p w14:paraId="7FF0609E" w14:textId="2EC3561A" w:rsidR="00F64495" w:rsidRPr="002F7212" w:rsidRDefault="00F64495" w:rsidP="002F7212">
      <w:pPr>
        <w:spacing w:line="480" w:lineRule="auto"/>
        <w:ind w:left="567"/>
        <w:jc w:val="both"/>
      </w:pPr>
      <w:r w:rsidRPr="002F7212">
        <w:lastRenderedPageBreak/>
        <w:t>[</w:t>
      </w:r>
      <w:r w:rsidR="00330E2C">
        <w:t>16</w:t>
      </w:r>
      <w:r w:rsidRPr="002F7212">
        <w:t xml:space="preserve">] Cau D Pham, Errol Reiss, Ferry Hagen, Jacques F Meis, and Shawn R Lockhart.  Passive Surveillance for Azole-Resistant Aspergillus fumigatus, </w:t>
      </w:r>
      <w:r w:rsidR="00E40925" w:rsidRPr="002F7212">
        <w:t>United States,</w:t>
      </w:r>
      <w:r w:rsidRPr="002F7212">
        <w:t xml:space="preserve"> 2011-2013.</w:t>
      </w:r>
      <w:r w:rsidR="00116A8F" w:rsidRPr="002F7212">
        <w:t xml:space="preserve"> </w:t>
      </w:r>
      <w:r w:rsidRPr="002F7212">
        <w:t>Emerging infectious diseases, 20(9):2011–2013, 2014.</w:t>
      </w:r>
    </w:p>
    <w:p w14:paraId="7715A70D" w14:textId="00E5B36A" w:rsidR="00F4689A" w:rsidRDefault="00F4689A" w:rsidP="002F7212">
      <w:pPr>
        <w:spacing w:line="480" w:lineRule="auto"/>
        <w:ind w:left="567"/>
        <w:jc w:val="both"/>
      </w:pPr>
      <w:r w:rsidRPr="002F7212">
        <w:t>[</w:t>
      </w:r>
      <w:r w:rsidR="00330E2C">
        <w:t>17</w:t>
      </w:r>
      <w:r w:rsidRPr="002F7212">
        <w:t>] M C Arendrup, J Guinea, M Cuenca-Estrella, J Meletiadis, J W Mouton, K Lagrou, and</w:t>
      </w:r>
      <w:r w:rsidR="00116A8F" w:rsidRPr="002F7212">
        <w:t xml:space="preserve"> </w:t>
      </w:r>
      <w:r w:rsidRPr="002F7212">
        <w:t>S J Howard.  Reference Method for Broth Dilution Antifungal Susceptibility Testing of</w:t>
      </w:r>
      <w:r w:rsidR="00116A8F" w:rsidRPr="002F7212">
        <w:t xml:space="preserve"> </w:t>
      </w:r>
      <w:r w:rsidRPr="002F7212">
        <w:t>Filamentous Fungi. Clinical Microbiology and Infection, 14(December):982–984, 2015.</w:t>
      </w:r>
    </w:p>
    <w:p w14:paraId="55604933" w14:textId="575148E4" w:rsidR="00F4689A" w:rsidRPr="002F7212" w:rsidRDefault="00A90CC1" w:rsidP="002F7212">
      <w:pPr>
        <w:spacing w:line="480" w:lineRule="auto"/>
        <w:ind w:left="567"/>
        <w:jc w:val="both"/>
      </w:pPr>
      <w:r>
        <w:t>[18]</w:t>
      </w:r>
      <w:r w:rsidR="00F4689A" w:rsidRPr="002F7212">
        <w:t xml:space="preserve"> </w:t>
      </w:r>
      <w:r w:rsidR="00F4689A" w:rsidRPr="002F7212">
        <w:rPr>
          <w:bCs/>
        </w:rPr>
        <w:t>Abdolrasouli A</w:t>
      </w:r>
      <w:r w:rsidR="00F4689A" w:rsidRPr="002F7212">
        <w:t xml:space="preserve">, </w:t>
      </w:r>
      <w:r w:rsidR="00F4689A" w:rsidRPr="002F7212">
        <w:rPr>
          <w:bCs/>
        </w:rPr>
        <w:t>Rhodes J</w:t>
      </w:r>
      <w:r w:rsidR="00F4689A" w:rsidRPr="002F7212">
        <w:t xml:space="preserve">, </w:t>
      </w:r>
      <w:r w:rsidR="00F4689A" w:rsidRPr="002F7212">
        <w:rPr>
          <w:bCs/>
        </w:rPr>
        <w:t>Beale M</w:t>
      </w:r>
      <w:r w:rsidR="00F4689A" w:rsidRPr="002F7212">
        <w:t xml:space="preserve">, </w:t>
      </w:r>
      <w:r w:rsidR="00F4689A" w:rsidRPr="002F7212">
        <w:rPr>
          <w:bCs/>
        </w:rPr>
        <w:t>Hagen F</w:t>
      </w:r>
      <w:r w:rsidR="00F4689A" w:rsidRPr="002F7212">
        <w:t xml:space="preserve">, </w:t>
      </w:r>
      <w:r w:rsidR="00F4689A" w:rsidRPr="002F7212">
        <w:rPr>
          <w:bCs/>
        </w:rPr>
        <w:t>Rogers TR</w:t>
      </w:r>
      <w:r w:rsidR="00F4689A" w:rsidRPr="002F7212">
        <w:t xml:space="preserve">, </w:t>
      </w:r>
      <w:r w:rsidR="00F4689A" w:rsidRPr="002F7212">
        <w:rPr>
          <w:bCs/>
        </w:rPr>
        <w:t>Chowdhary A</w:t>
      </w:r>
      <w:r w:rsidR="00F4689A" w:rsidRPr="002F7212">
        <w:t xml:space="preserve">, </w:t>
      </w:r>
      <w:r w:rsidR="00F4689A" w:rsidRPr="002F7212">
        <w:rPr>
          <w:bCs/>
        </w:rPr>
        <w:t>Meis JF</w:t>
      </w:r>
      <w:r w:rsidR="00F4689A" w:rsidRPr="002F7212">
        <w:t xml:space="preserve">, </w:t>
      </w:r>
      <w:r w:rsidR="00F4689A" w:rsidRPr="002F7212">
        <w:rPr>
          <w:bCs/>
        </w:rPr>
        <w:t>Fisher MC</w:t>
      </w:r>
      <w:r w:rsidR="00F4689A" w:rsidRPr="002F7212">
        <w:t xml:space="preserve">. 2015. Genomic context of Azole-resistance mutations in Aspergillus fumigatus using whole-genome sequencing. MBio </w:t>
      </w:r>
      <w:r w:rsidR="00F4689A" w:rsidRPr="002F7212">
        <w:rPr>
          <w:bCs/>
        </w:rPr>
        <w:t>6</w:t>
      </w:r>
      <w:r w:rsidR="00F4689A" w:rsidRPr="002F7212">
        <w:t>:1–11.</w:t>
      </w:r>
    </w:p>
    <w:p w14:paraId="10C2BB37" w14:textId="3DCF792D" w:rsidR="00F4689A" w:rsidRPr="002F7212" w:rsidRDefault="00F4689A" w:rsidP="002F7212">
      <w:pPr>
        <w:spacing w:line="480" w:lineRule="auto"/>
        <w:ind w:left="567"/>
        <w:jc w:val="both"/>
      </w:pPr>
      <w:r w:rsidRPr="002F7212">
        <w:t>[</w:t>
      </w:r>
      <w:r w:rsidR="00547644">
        <w:t>19</w:t>
      </w:r>
      <w:r w:rsidRPr="002F7212">
        <w:t>] Florent Morio, Eric Dannaoui, Taieb Chouaki, Estelle</w:t>
      </w:r>
      <w:r w:rsidR="00116A8F" w:rsidRPr="002F7212">
        <w:t xml:space="preserve"> Cateau, Olivier Malard, Pierre </w:t>
      </w:r>
      <w:r w:rsidRPr="002F7212">
        <w:t>Bonﬁls, Cyril Page, Xavier Dufour, Claire Cottrel, Tamic Erwan, Rose-Anne Lavergne,</w:t>
      </w:r>
      <w:r w:rsidR="00116A8F" w:rsidRPr="002F7212">
        <w:t xml:space="preserve"> </w:t>
      </w:r>
      <w:r w:rsidRPr="002F7212">
        <w:t>and Patrice Le Pape. PCR-based detection of Aspergillus fumigatus and absence</w:t>
      </w:r>
      <w:r w:rsidR="00116A8F" w:rsidRPr="002F7212">
        <w:t xml:space="preserve"> </w:t>
      </w:r>
      <w:r w:rsidRPr="002F7212">
        <w:t>of azole resistance due to TR34/</w:t>
      </w:r>
      <w:r w:rsidR="00E40925" w:rsidRPr="002F7212">
        <w:t xml:space="preserve">L98H in a </w:t>
      </w:r>
      <w:r w:rsidRPr="002F7212">
        <w:t>french multicenter cohort of</w:t>
      </w:r>
      <w:r w:rsidR="00116A8F" w:rsidRPr="002F7212">
        <w:t xml:space="preserve"> </w:t>
      </w:r>
      <w:r w:rsidRPr="002F7212">
        <w:t>137 patients with fungal rhinosinusitis. Mycoses, (September 2017):30–34, 2017.</w:t>
      </w:r>
    </w:p>
    <w:p w14:paraId="127AC295" w14:textId="51C72119" w:rsidR="00F4689A" w:rsidRPr="002F7212" w:rsidRDefault="00F4689A" w:rsidP="002F7212">
      <w:pPr>
        <w:spacing w:line="480" w:lineRule="auto"/>
        <w:ind w:left="567"/>
        <w:jc w:val="both"/>
      </w:pPr>
      <w:r w:rsidRPr="002F7212">
        <w:t>[</w:t>
      </w:r>
      <w:r w:rsidR="00A90CC1">
        <w:t>2</w:t>
      </w:r>
      <w:r w:rsidR="00547644">
        <w:t>0</w:t>
      </w:r>
      <w:r w:rsidRPr="002F7212">
        <w:t>] Helene Guegan, Sylviane Chevrier, Chantal Belleguic, Eric Deneuville, Florence Robert-Gangneux, and Jean-Pierre Gangneux.  Performance of Molecular Approaches for Aspergillus Detection and Azole Resistance Surveillance in Cystic Fibrosis.  Frontiers in</w:t>
      </w:r>
      <w:r w:rsidR="00116A8F" w:rsidRPr="002F7212">
        <w:t xml:space="preserve"> </w:t>
      </w:r>
      <w:r w:rsidRPr="002F7212">
        <w:t>Microbiology, 9(March):1–8, 2018.</w:t>
      </w:r>
    </w:p>
    <w:p w14:paraId="0438E735" w14:textId="3CD3E38C" w:rsidR="00116A8F" w:rsidRPr="002F7212" w:rsidRDefault="00116A8F" w:rsidP="002F7212">
      <w:pPr>
        <w:spacing w:line="480" w:lineRule="auto"/>
        <w:ind w:left="567"/>
        <w:jc w:val="both"/>
      </w:pPr>
      <w:r w:rsidRPr="002F7212">
        <w:t>[</w:t>
      </w:r>
      <w:r w:rsidR="00A90CC1">
        <w:t>2</w:t>
      </w:r>
      <w:r w:rsidR="00547644">
        <w:t>1</w:t>
      </w:r>
      <w:r w:rsidRPr="002F7212">
        <w:t>] Lagrou K. Montesinos I, Argud´ın MA, Hites M, Ahajjam F, Dod´emont M, Dagyaran C, Bakkali M, Etienne I, Jacobs F, Knoop C, Patteet S.  Culture-based methods and molecular tools for azole-resistant Aspergillus fumigatus detection in a Belgian university hospital. Journal of clinical microbiology, 55(8):2391–2399, 2017.</w:t>
      </w:r>
    </w:p>
    <w:p w14:paraId="14E25DA3" w14:textId="09372B34" w:rsidR="00E40925" w:rsidRPr="002F7212" w:rsidRDefault="00E40925" w:rsidP="002F7212">
      <w:pPr>
        <w:spacing w:line="480" w:lineRule="auto"/>
        <w:ind w:left="567"/>
        <w:jc w:val="both"/>
        <w:rPr>
          <w:lang w:val="en"/>
        </w:rPr>
      </w:pPr>
      <w:r w:rsidRPr="002F7212">
        <w:t>[</w:t>
      </w:r>
      <w:r w:rsidR="00A90CC1">
        <w:t>2</w:t>
      </w:r>
      <w:r w:rsidR="00547644">
        <w:t>2</w:t>
      </w:r>
      <w:r w:rsidRPr="002F7212">
        <w:t xml:space="preserve">] </w:t>
      </w:r>
      <w:r w:rsidRPr="002F7212">
        <w:rPr>
          <w:lang w:val="en"/>
        </w:rPr>
        <w:t xml:space="preserve">Verweij PE, Snelders E, Kema GH, et al. Azole resistance in </w:t>
      </w:r>
      <w:r w:rsidRPr="002F7212">
        <w:rPr>
          <w:i/>
          <w:iCs/>
          <w:lang w:val="en"/>
        </w:rPr>
        <w:t>Aspergillus fumigatus</w:t>
      </w:r>
      <w:r w:rsidRPr="002F7212">
        <w:rPr>
          <w:lang w:val="en"/>
        </w:rPr>
        <w:t>: a side-effect of environmental fungicide use? Lancet Infect Dis, 2009, vol. 9 (pg. 789-95)</w:t>
      </w:r>
    </w:p>
    <w:p w14:paraId="5EBACBEF" w14:textId="09926257" w:rsidR="00E40925" w:rsidRPr="002F7212" w:rsidRDefault="00E40925" w:rsidP="002F7212">
      <w:pPr>
        <w:spacing w:line="480" w:lineRule="auto"/>
        <w:ind w:left="567"/>
        <w:jc w:val="both"/>
        <w:rPr>
          <w:lang w:val="en"/>
        </w:rPr>
      </w:pPr>
      <w:r w:rsidRPr="002F7212">
        <w:rPr>
          <w:lang w:val="en"/>
        </w:rPr>
        <w:lastRenderedPageBreak/>
        <w:t>[</w:t>
      </w:r>
      <w:r w:rsidR="00A90CC1">
        <w:rPr>
          <w:lang w:val="en"/>
        </w:rPr>
        <w:t>2</w:t>
      </w:r>
      <w:r w:rsidR="00547644">
        <w:rPr>
          <w:lang w:val="en"/>
        </w:rPr>
        <w:t>3</w:t>
      </w:r>
      <w:r w:rsidRPr="002F7212">
        <w:rPr>
          <w:lang w:val="en"/>
        </w:rPr>
        <w:t xml:space="preserve">] Snelders E, Camps SM, Karawajczyk A, et al. Triazole fungicides can induce cross-resistance to medical triazoles in </w:t>
      </w:r>
      <w:r w:rsidRPr="002F7212">
        <w:rPr>
          <w:i/>
          <w:iCs/>
          <w:lang w:val="en"/>
        </w:rPr>
        <w:t>Aspergillus fumigatus</w:t>
      </w:r>
      <w:r w:rsidRPr="002F7212">
        <w:rPr>
          <w:lang w:val="en"/>
        </w:rPr>
        <w:t>, PLoS One, 2012, vol. 7 pg. e31801</w:t>
      </w:r>
    </w:p>
    <w:p w14:paraId="4FFC76F8" w14:textId="79815525" w:rsidR="00E40925" w:rsidRPr="002F7212" w:rsidRDefault="00E40925" w:rsidP="002F7212">
      <w:pPr>
        <w:spacing w:line="480" w:lineRule="auto"/>
        <w:ind w:left="567"/>
        <w:jc w:val="both"/>
      </w:pPr>
      <w:r w:rsidRPr="002F7212">
        <w:rPr>
          <w:lang w:val="en"/>
        </w:rPr>
        <w:t>[</w:t>
      </w:r>
      <w:r w:rsidR="00A90CC1">
        <w:rPr>
          <w:lang w:val="en"/>
        </w:rPr>
        <w:t>2</w:t>
      </w:r>
      <w:r w:rsidR="00547644">
        <w:rPr>
          <w:lang w:val="en"/>
        </w:rPr>
        <w:t>4</w:t>
      </w:r>
      <w:r w:rsidRPr="002F7212">
        <w:rPr>
          <w:lang w:val="en"/>
        </w:rPr>
        <w:t xml:space="preserve">] </w:t>
      </w:r>
      <w:r w:rsidRPr="002F7212">
        <w:rPr>
          <w:bCs/>
        </w:rPr>
        <w:t>Morio</w:t>
      </w:r>
      <w:r w:rsidRPr="002F7212">
        <w:t xml:space="preserve"> F, Aubin GG, Danner-Boucher I, Haloun A, Sacchetto E, Garcia-Hermoso D, Bretagne S, Miegeville M, Le Pape P. High prevalence of triazole resistance in Aspergillus fumigatus, especially mediated by TR/L98H, in a French cohort of patients with cystic fibrosis. J Antimicrob Chemother. 2012 Aug;67(8):1870-3. doi: 10.1093/jac/dks160. Epub 2012 May 11.</w:t>
      </w:r>
    </w:p>
    <w:p w14:paraId="236CD858" w14:textId="7B16729F" w:rsidR="00E40925" w:rsidRPr="002F7212" w:rsidRDefault="00E40925" w:rsidP="002F7212">
      <w:pPr>
        <w:spacing w:line="480" w:lineRule="auto"/>
        <w:ind w:left="567"/>
        <w:jc w:val="both"/>
      </w:pPr>
      <w:r w:rsidRPr="002F7212">
        <w:rPr>
          <w:bCs/>
        </w:rPr>
        <w:t>[</w:t>
      </w:r>
      <w:r w:rsidR="00A90CC1">
        <w:rPr>
          <w:bCs/>
        </w:rPr>
        <w:t>2</w:t>
      </w:r>
      <w:r w:rsidR="00547644">
        <w:rPr>
          <w:bCs/>
        </w:rPr>
        <w:t>5</w:t>
      </w:r>
      <w:r w:rsidRPr="002F7212">
        <w:rPr>
          <w:bCs/>
        </w:rPr>
        <w:t>] Mortensen</w:t>
      </w:r>
      <w:r w:rsidRPr="002F7212">
        <w:t xml:space="preserve"> KL, </w:t>
      </w:r>
      <w:r w:rsidRPr="002F7212">
        <w:rPr>
          <w:bCs/>
        </w:rPr>
        <w:t>Jensen</w:t>
      </w:r>
      <w:r w:rsidRPr="002F7212">
        <w:t xml:space="preserve"> RH, Johansen HK, Skov M, Pressler T, Howard SJ, Leatherbarrow H, Mellado E, Arendrup MC. Aspergillus species and other molds in respiratory samples from patients with cystic fibrosis: a laboratory-based study with focus on Aspergillus fumigatus azole resistance. J Clin Microbiol. 2011 Jun;49(6):2243-51. doi: 10.1128/JCM.00213-11. Epub 2011 Apr 20.</w:t>
      </w:r>
    </w:p>
    <w:p w14:paraId="54A4A4CA" w14:textId="32BC8957" w:rsidR="00E40925" w:rsidRPr="002F7212" w:rsidRDefault="00E40925" w:rsidP="002F7212">
      <w:pPr>
        <w:spacing w:line="480" w:lineRule="auto"/>
        <w:ind w:left="567"/>
        <w:jc w:val="both"/>
      </w:pPr>
      <w:r w:rsidRPr="002F7212">
        <w:t>[</w:t>
      </w:r>
      <w:r w:rsidR="00A90CC1">
        <w:t>2</w:t>
      </w:r>
      <w:r w:rsidR="00547644">
        <w:t>6</w:t>
      </w:r>
      <w:r w:rsidRPr="002F7212">
        <w:t xml:space="preserve">] </w:t>
      </w:r>
      <w:r w:rsidRPr="002F7212">
        <w:rPr>
          <w:bCs/>
        </w:rPr>
        <w:t>Burgel</w:t>
      </w:r>
      <w:r w:rsidRPr="002F7212">
        <w:t xml:space="preserve"> PR, Baixench MT, Amsellem M, Audureau E, Chapron J, Kanaan R, Honoré I, Dupouy-Camet J, Dusser D, Klaassen CH, Meis JF, Hubert D, Paugam A. High prevalence of azole-resistant Aspergillus fumigatus in adults with cystic fibrosis exposed to itraconazole. Antimicrob Agents Chemother. 2012 Feb;56(2):869-74. doi: 10.1128/AAC.05077-11. Epub 2011 Nov 28.</w:t>
      </w:r>
    </w:p>
    <w:p w14:paraId="6CB253A2" w14:textId="0A808249" w:rsidR="00E40925" w:rsidRPr="002F7212" w:rsidRDefault="00E40925" w:rsidP="002F7212">
      <w:pPr>
        <w:spacing w:line="480" w:lineRule="auto"/>
        <w:ind w:left="567"/>
        <w:jc w:val="both"/>
      </w:pPr>
      <w:r w:rsidRPr="002F7212">
        <w:t>[</w:t>
      </w:r>
      <w:r w:rsidR="00547644">
        <w:t>27</w:t>
      </w:r>
      <w:r w:rsidRPr="002F7212">
        <w:t xml:space="preserve">] </w:t>
      </w:r>
      <w:r w:rsidRPr="002F7212">
        <w:rPr>
          <w:bCs/>
        </w:rPr>
        <w:t>Denning DW</w:t>
      </w:r>
      <w:r w:rsidRPr="002F7212">
        <w:t xml:space="preserve">, </w:t>
      </w:r>
      <w:r w:rsidRPr="002F7212">
        <w:rPr>
          <w:bCs/>
        </w:rPr>
        <w:t>Park S</w:t>
      </w:r>
      <w:r w:rsidRPr="002F7212">
        <w:t xml:space="preserve">, </w:t>
      </w:r>
      <w:r w:rsidRPr="002F7212">
        <w:rPr>
          <w:bCs/>
        </w:rPr>
        <w:t>Lass-Florl C</w:t>
      </w:r>
      <w:r w:rsidRPr="002F7212">
        <w:t xml:space="preserve">, </w:t>
      </w:r>
      <w:r w:rsidRPr="002F7212">
        <w:rPr>
          <w:bCs/>
        </w:rPr>
        <w:t>Fraczek MG</w:t>
      </w:r>
      <w:r w:rsidRPr="002F7212">
        <w:t xml:space="preserve">, </w:t>
      </w:r>
      <w:r w:rsidRPr="002F7212">
        <w:rPr>
          <w:bCs/>
        </w:rPr>
        <w:t>Kirwan M</w:t>
      </w:r>
      <w:r w:rsidRPr="002F7212">
        <w:t xml:space="preserve">, </w:t>
      </w:r>
      <w:r w:rsidRPr="002F7212">
        <w:rPr>
          <w:bCs/>
        </w:rPr>
        <w:t>Gore R</w:t>
      </w:r>
      <w:r w:rsidRPr="002F7212">
        <w:t xml:space="preserve">, </w:t>
      </w:r>
      <w:r w:rsidRPr="002F7212">
        <w:rPr>
          <w:bCs/>
        </w:rPr>
        <w:t>Smith J</w:t>
      </w:r>
      <w:r w:rsidRPr="002F7212">
        <w:t xml:space="preserve">, </w:t>
      </w:r>
      <w:r w:rsidRPr="002F7212">
        <w:rPr>
          <w:bCs/>
        </w:rPr>
        <w:t>Bueid A</w:t>
      </w:r>
      <w:r w:rsidRPr="002F7212">
        <w:t xml:space="preserve">, </w:t>
      </w:r>
      <w:r w:rsidRPr="002F7212">
        <w:rPr>
          <w:bCs/>
        </w:rPr>
        <w:t>Moore CB</w:t>
      </w:r>
      <w:r w:rsidRPr="002F7212">
        <w:t xml:space="preserve">, </w:t>
      </w:r>
      <w:r w:rsidRPr="002F7212">
        <w:rPr>
          <w:bCs/>
        </w:rPr>
        <w:t>Bowyer P</w:t>
      </w:r>
      <w:r w:rsidRPr="002F7212">
        <w:t xml:space="preserve">, </w:t>
      </w:r>
      <w:r w:rsidRPr="002F7212">
        <w:rPr>
          <w:bCs/>
        </w:rPr>
        <w:t>Perlin DS</w:t>
      </w:r>
      <w:r w:rsidRPr="002F7212">
        <w:t>. 2011. High-frequency triazole resistan</w:t>
      </w:r>
      <w:r w:rsidR="002F7212" w:rsidRPr="002F7212">
        <w:t>ce found i</w:t>
      </w:r>
      <w:r w:rsidRPr="002F7212">
        <w:t xml:space="preserve">n nonculturable Aspergillus fumigatus from lungs of patients with chronic fungal disease. Clin. Infect. Dis. </w:t>
      </w:r>
      <w:r w:rsidRPr="002F7212">
        <w:rPr>
          <w:bCs/>
        </w:rPr>
        <w:t>52</w:t>
      </w:r>
      <w:r w:rsidRPr="002F7212">
        <w:t>:1123–9</w:t>
      </w:r>
    </w:p>
    <w:p w14:paraId="75FFEA89" w14:textId="13E399E7" w:rsidR="002F7212" w:rsidRPr="002F7212" w:rsidRDefault="002F7212" w:rsidP="002F7212">
      <w:pPr>
        <w:spacing w:line="480" w:lineRule="auto"/>
        <w:ind w:left="567"/>
        <w:jc w:val="both"/>
      </w:pPr>
      <w:r w:rsidRPr="002F7212">
        <w:t>[</w:t>
      </w:r>
      <w:r w:rsidR="00A90CC1">
        <w:t>2</w:t>
      </w:r>
      <w:r w:rsidR="00547644">
        <w:t>8</w:t>
      </w:r>
      <w:r w:rsidRPr="002F7212">
        <w:t>] Jan W M van der Linden, Maiken C Arendrup, Willem J G Melchers, and Paul E Verweij. Azole Resistance of Aspergillus fumigatus in Immunocompromised Patients with Invasive Aspergillosis. Emerging infectious diseases, 22(1):158–9, 2016.</w:t>
      </w:r>
    </w:p>
    <w:p w14:paraId="64779EBE" w14:textId="3B6BD490" w:rsidR="002F7212" w:rsidRPr="002F7212" w:rsidRDefault="002F7212" w:rsidP="002F7212">
      <w:pPr>
        <w:spacing w:line="480" w:lineRule="auto"/>
        <w:ind w:left="567"/>
        <w:jc w:val="both"/>
      </w:pPr>
      <w:r w:rsidRPr="002F7212">
        <w:t>[</w:t>
      </w:r>
      <w:r w:rsidR="00547644">
        <w:t>29</w:t>
      </w:r>
      <w:r w:rsidRPr="002F7212">
        <w:t>] Caroline G. Baxter, Caroline B. Moore, Andrew M. Jones, A. Kevin Webb, and David W. Denning. IgE-mediated immune responses and airway detection of Aspergillus and Candida in adult cystic ﬁbrosis. Chest, 143(5):1351–1357, 2013.</w:t>
      </w:r>
    </w:p>
    <w:p w14:paraId="5867FDE9" w14:textId="7ED19978" w:rsidR="009251D1" w:rsidRDefault="002F7212" w:rsidP="00B508FC">
      <w:pPr>
        <w:spacing w:line="480" w:lineRule="auto"/>
        <w:ind w:left="567"/>
        <w:jc w:val="both"/>
      </w:pPr>
      <w:r w:rsidRPr="002F7212">
        <w:lastRenderedPageBreak/>
        <w:t>[</w:t>
      </w:r>
      <w:r w:rsidR="00A90CC1">
        <w:t>3</w:t>
      </w:r>
      <w:r w:rsidR="00547644">
        <w:t>0</w:t>
      </w:r>
      <w:r w:rsidRPr="002F7212">
        <w:t xml:space="preserve">] </w:t>
      </w:r>
      <w:r w:rsidRPr="002F7212">
        <w:rPr>
          <w:bCs/>
        </w:rPr>
        <w:t>Moreira</w:t>
      </w:r>
      <w:r w:rsidRPr="002F7212">
        <w:t xml:space="preserve"> AS, Silva D, Ferreira AR, Delgado L. Antifungal treatment in allergic bronchopulmonary aspergillosis with and without cystic fibrosis: a systematic review. Clin Exp Allergy. 2014 Oct;44(10):1210-27. doi: 10.1111/cea.12333. Review.</w:t>
      </w:r>
    </w:p>
    <w:sectPr w:rsidR="009251D1" w:rsidSect="0073340A">
      <w:footerReference w:type="default" r:id="rId9"/>
      <w:pgSz w:w="11906" w:h="16838"/>
      <w:pgMar w:top="1440" w:right="1440" w:bottom="1440" w:left="426"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217F6" w14:textId="77777777" w:rsidR="008E052C" w:rsidRDefault="008E052C" w:rsidP="001A3743">
      <w:pPr>
        <w:spacing w:after="0" w:line="240" w:lineRule="auto"/>
      </w:pPr>
      <w:r>
        <w:separator/>
      </w:r>
    </w:p>
  </w:endnote>
  <w:endnote w:type="continuationSeparator" w:id="0">
    <w:p w14:paraId="7F759FFE" w14:textId="77777777" w:rsidR="008E052C" w:rsidRDefault="008E052C" w:rsidP="001A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309019"/>
      <w:docPartObj>
        <w:docPartGallery w:val="Page Numbers (Bottom of Page)"/>
        <w:docPartUnique/>
      </w:docPartObj>
    </w:sdtPr>
    <w:sdtEndPr>
      <w:rPr>
        <w:noProof/>
      </w:rPr>
    </w:sdtEndPr>
    <w:sdtContent>
      <w:p w14:paraId="288ABB63" w14:textId="52E2FC87" w:rsidR="00A05B2B" w:rsidRDefault="00A05B2B">
        <w:pPr>
          <w:pStyle w:val="Footer"/>
          <w:jc w:val="right"/>
        </w:pPr>
        <w:r>
          <w:fldChar w:fldCharType="begin"/>
        </w:r>
        <w:r>
          <w:instrText xml:space="preserve"> PAGE   \* MERGEFORMAT </w:instrText>
        </w:r>
        <w:r>
          <w:fldChar w:fldCharType="separate"/>
        </w:r>
        <w:r w:rsidR="003010FF">
          <w:rPr>
            <w:noProof/>
          </w:rPr>
          <w:t>11</w:t>
        </w:r>
        <w:r>
          <w:rPr>
            <w:noProof/>
          </w:rPr>
          <w:fldChar w:fldCharType="end"/>
        </w:r>
      </w:p>
    </w:sdtContent>
  </w:sdt>
  <w:p w14:paraId="180AEA1B" w14:textId="77777777" w:rsidR="00A05B2B" w:rsidRDefault="00A05B2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E8ACD9" w14:textId="77777777" w:rsidR="008E052C" w:rsidRDefault="008E052C" w:rsidP="001A3743">
      <w:pPr>
        <w:spacing w:after="0" w:line="240" w:lineRule="auto"/>
      </w:pPr>
      <w:r>
        <w:separator/>
      </w:r>
    </w:p>
  </w:footnote>
  <w:footnote w:type="continuationSeparator" w:id="0">
    <w:p w14:paraId="3835F8B7" w14:textId="77777777" w:rsidR="008E052C" w:rsidRDefault="008E052C" w:rsidP="001A37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EC4"/>
    <w:rsid w:val="00005217"/>
    <w:rsid w:val="00013EE7"/>
    <w:rsid w:val="00023C4B"/>
    <w:rsid w:val="000253EC"/>
    <w:rsid w:val="00082E1F"/>
    <w:rsid w:val="00086D9D"/>
    <w:rsid w:val="000961D4"/>
    <w:rsid w:val="000A4533"/>
    <w:rsid w:val="000D0596"/>
    <w:rsid w:val="000D10AD"/>
    <w:rsid w:val="000D1264"/>
    <w:rsid w:val="000E6CC7"/>
    <w:rsid w:val="0010053D"/>
    <w:rsid w:val="00110451"/>
    <w:rsid w:val="0011586C"/>
    <w:rsid w:val="00116A8F"/>
    <w:rsid w:val="001205FC"/>
    <w:rsid w:val="00120BD9"/>
    <w:rsid w:val="0013030B"/>
    <w:rsid w:val="0017433B"/>
    <w:rsid w:val="00185799"/>
    <w:rsid w:val="00190816"/>
    <w:rsid w:val="001A115A"/>
    <w:rsid w:val="001A3743"/>
    <w:rsid w:val="001C07F2"/>
    <w:rsid w:val="001C2AAA"/>
    <w:rsid w:val="001D1975"/>
    <w:rsid w:val="001E705C"/>
    <w:rsid w:val="001F400B"/>
    <w:rsid w:val="00202977"/>
    <w:rsid w:val="00217C2B"/>
    <w:rsid w:val="002401C0"/>
    <w:rsid w:val="002466A2"/>
    <w:rsid w:val="00267E53"/>
    <w:rsid w:val="002735EF"/>
    <w:rsid w:val="00275FDB"/>
    <w:rsid w:val="0029044D"/>
    <w:rsid w:val="00292070"/>
    <w:rsid w:val="00292423"/>
    <w:rsid w:val="00296529"/>
    <w:rsid w:val="002A3D42"/>
    <w:rsid w:val="002A5332"/>
    <w:rsid w:val="002B1CA1"/>
    <w:rsid w:val="002B37B9"/>
    <w:rsid w:val="002B4D0C"/>
    <w:rsid w:val="002B756E"/>
    <w:rsid w:val="002B7675"/>
    <w:rsid w:val="002C4840"/>
    <w:rsid w:val="002F3B72"/>
    <w:rsid w:val="002F7212"/>
    <w:rsid w:val="003010FF"/>
    <w:rsid w:val="003017F7"/>
    <w:rsid w:val="00321811"/>
    <w:rsid w:val="003234D2"/>
    <w:rsid w:val="00323D31"/>
    <w:rsid w:val="003249C0"/>
    <w:rsid w:val="00330E2C"/>
    <w:rsid w:val="00340F1C"/>
    <w:rsid w:val="00347552"/>
    <w:rsid w:val="00370E56"/>
    <w:rsid w:val="003D485A"/>
    <w:rsid w:val="003D6412"/>
    <w:rsid w:val="003F52CE"/>
    <w:rsid w:val="00427AC9"/>
    <w:rsid w:val="00446D08"/>
    <w:rsid w:val="00450C7A"/>
    <w:rsid w:val="00453751"/>
    <w:rsid w:val="00453F6F"/>
    <w:rsid w:val="00470AC0"/>
    <w:rsid w:val="00480728"/>
    <w:rsid w:val="004824B0"/>
    <w:rsid w:val="00490081"/>
    <w:rsid w:val="004D1D27"/>
    <w:rsid w:val="004D4B5E"/>
    <w:rsid w:val="004D5DCB"/>
    <w:rsid w:val="004E7350"/>
    <w:rsid w:val="004F0671"/>
    <w:rsid w:val="004F262B"/>
    <w:rsid w:val="005012AF"/>
    <w:rsid w:val="00547293"/>
    <w:rsid w:val="00547644"/>
    <w:rsid w:val="005563A7"/>
    <w:rsid w:val="00567363"/>
    <w:rsid w:val="0059586B"/>
    <w:rsid w:val="005C4CFB"/>
    <w:rsid w:val="005E4679"/>
    <w:rsid w:val="005F3618"/>
    <w:rsid w:val="0060578A"/>
    <w:rsid w:val="00620736"/>
    <w:rsid w:val="00623B38"/>
    <w:rsid w:val="006259E7"/>
    <w:rsid w:val="006312DA"/>
    <w:rsid w:val="00654A5A"/>
    <w:rsid w:val="00654E64"/>
    <w:rsid w:val="00697293"/>
    <w:rsid w:val="006B7E9F"/>
    <w:rsid w:val="006D2258"/>
    <w:rsid w:val="0070468D"/>
    <w:rsid w:val="007065A0"/>
    <w:rsid w:val="00711C5E"/>
    <w:rsid w:val="0072015D"/>
    <w:rsid w:val="00724228"/>
    <w:rsid w:val="00724DAE"/>
    <w:rsid w:val="0073340A"/>
    <w:rsid w:val="00735ED5"/>
    <w:rsid w:val="007533D6"/>
    <w:rsid w:val="007554DD"/>
    <w:rsid w:val="007659D3"/>
    <w:rsid w:val="00771664"/>
    <w:rsid w:val="0077170D"/>
    <w:rsid w:val="0077454F"/>
    <w:rsid w:val="007764F8"/>
    <w:rsid w:val="00794373"/>
    <w:rsid w:val="00794DD2"/>
    <w:rsid w:val="007976CD"/>
    <w:rsid w:val="007F28BA"/>
    <w:rsid w:val="00805BFD"/>
    <w:rsid w:val="00832A0A"/>
    <w:rsid w:val="00871B0B"/>
    <w:rsid w:val="00872747"/>
    <w:rsid w:val="008738F7"/>
    <w:rsid w:val="00886403"/>
    <w:rsid w:val="00887B4F"/>
    <w:rsid w:val="008B17A7"/>
    <w:rsid w:val="008B4B17"/>
    <w:rsid w:val="008E052C"/>
    <w:rsid w:val="008E61FF"/>
    <w:rsid w:val="009251D1"/>
    <w:rsid w:val="009300C2"/>
    <w:rsid w:val="00930BE2"/>
    <w:rsid w:val="0093539D"/>
    <w:rsid w:val="0095330D"/>
    <w:rsid w:val="0096514E"/>
    <w:rsid w:val="009864A5"/>
    <w:rsid w:val="009943DC"/>
    <w:rsid w:val="009973F3"/>
    <w:rsid w:val="009A405D"/>
    <w:rsid w:val="009B47B6"/>
    <w:rsid w:val="009F6C83"/>
    <w:rsid w:val="00A00953"/>
    <w:rsid w:val="00A01886"/>
    <w:rsid w:val="00A05B2B"/>
    <w:rsid w:val="00A2068A"/>
    <w:rsid w:val="00A21CB3"/>
    <w:rsid w:val="00A238DE"/>
    <w:rsid w:val="00A239AA"/>
    <w:rsid w:val="00A539A3"/>
    <w:rsid w:val="00A61A00"/>
    <w:rsid w:val="00A7195C"/>
    <w:rsid w:val="00A73A9E"/>
    <w:rsid w:val="00A90CC1"/>
    <w:rsid w:val="00A91767"/>
    <w:rsid w:val="00AB36D0"/>
    <w:rsid w:val="00AD1C6E"/>
    <w:rsid w:val="00AD1EC4"/>
    <w:rsid w:val="00AF77B4"/>
    <w:rsid w:val="00B06E40"/>
    <w:rsid w:val="00B16321"/>
    <w:rsid w:val="00B17CF8"/>
    <w:rsid w:val="00B25408"/>
    <w:rsid w:val="00B26A77"/>
    <w:rsid w:val="00B508FC"/>
    <w:rsid w:val="00B56ECF"/>
    <w:rsid w:val="00B970B5"/>
    <w:rsid w:val="00BB7A36"/>
    <w:rsid w:val="00BC043D"/>
    <w:rsid w:val="00BC1E09"/>
    <w:rsid w:val="00BC4361"/>
    <w:rsid w:val="00BD4244"/>
    <w:rsid w:val="00BF6818"/>
    <w:rsid w:val="00C0062F"/>
    <w:rsid w:val="00C00B5D"/>
    <w:rsid w:val="00C02B9A"/>
    <w:rsid w:val="00C07A68"/>
    <w:rsid w:val="00C3698B"/>
    <w:rsid w:val="00C62D84"/>
    <w:rsid w:val="00C6546D"/>
    <w:rsid w:val="00C84CA2"/>
    <w:rsid w:val="00C94793"/>
    <w:rsid w:val="00CA4329"/>
    <w:rsid w:val="00CC406E"/>
    <w:rsid w:val="00CE76CB"/>
    <w:rsid w:val="00D02C42"/>
    <w:rsid w:val="00D05C6F"/>
    <w:rsid w:val="00D74FBA"/>
    <w:rsid w:val="00D82975"/>
    <w:rsid w:val="00D94BF0"/>
    <w:rsid w:val="00D9504B"/>
    <w:rsid w:val="00D956D5"/>
    <w:rsid w:val="00DA1E4F"/>
    <w:rsid w:val="00DB6851"/>
    <w:rsid w:val="00DC7EE5"/>
    <w:rsid w:val="00E062F8"/>
    <w:rsid w:val="00E136CD"/>
    <w:rsid w:val="00E148A0"/>
    <w:rsid w:val="00E31D2D"/>
    <w:rsid w:val="00E40925"/>
    <w:rsid w:val="00E55A43"/>
    <w:rsid w:val="00E7717F"/>
    <w:rsid w:val="00E8216E"/>
    <w:rsid w:val="00E878CD"/>
    <w:rsid w:val="00E90EC1"/>
    <w:rsid w:val="00EA06DA"/>
    <w:rsid w:val="00EB609C"/>
    <w:rsid w:val="00ED6A1B"/>
    <w:rsid w:val="00EF72D9"/>
    <w:rsid w:val="00F029F7"/>
    <w:rsid w:val="00F06E64"/>
    <w:rsid w:val="00F07495"/>
    <w:rsid w:val="00F15919"/>
    <w:rsid w:val="00F15A80"/>
    <w:rsid w:val="00F4154D"/>
    <w:rsid w:val="00F42826"/>
    <w:rsid w:val="00F4689A"/>
    <w:rsid w:val="00F64495"/>
    <w:rsid w:val="00F93FA7"/>
    <w:rsid w:val="00FB75AB"/>
    <w:rsid w:val="00FC2899"/>
    <w:rsid w:val="00FC5D10"/>
    <w:rsid w:val="00FD2164"/>
    <w:rsid w:val="00FD41B8"/>
    <w:rsid w:val="00FD5C1F"/>
    <w:rsid w:val="00FE46DF"/>
    <w:rsid w:val="00FF2AAA"/>
    <w:rsid w:val="00FF7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56BA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EC4"/>
    <w:pPr>
      <w:spacing w:after="200" w:line="276" w:lineRule="auto"/>
    </w:pPr>
    <w:rPr>
      <w:rFonts w:eastAsiaTheme="minorHAnsi"/>
      <w:sz w:val="22"/>
      <w:szCs w:val="22"/>
      <w:lang w:val="en-GB"/>
    </w:rPr>
  </w:style>
  <w:style w:type="paragraph" w:styleId="Heading1">
    <w:name w:val="heading 1"/>
    <w:basedOn w:val="Normal"/>
    <w:next w:val="Normal"/>
    <w:link w:val="Heading1Char"/>
    <w:uiPriority w:val="9"/>
    <w:qFormat/>
    <w:rsid w:val="00005217"/>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217"/>
    <w:rPr>
      <w:rFonts w:asciiTheme="majorHAnsi" w:eastAsiaTheme="majorEastAsia" w:hAnsiTheme="majorHAnsi" w:cstheme="majorBidi"/>
      <w:b/>
      <w:bCs/>
      <w:color w:val="345A8A" w:themeColor="accent1" w:themeShade="B5"/>
      <w:sz w:val="32"/>
      <w:szCs w:val="32"/>
      <w:lang w:val="en-GB"/>
    </w:rPr>
  </w:style>
  <w:style w:type="paragraph" w:styleId="BalloonText">
    <w:name w:val="Balloon Text"/>
    <w:basedOn w:val="Normal"/>
    <w:link w:val="BalloonTextChar"/>
    <w:uiPriority w:val="99"/>
    <w:semiHidden/>
    <w:unhideWhenUsed/>
    <w:rsid w:val="00AD1EC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1EC4"/>
    <w:rPr>
      <w:rFonts w:ascii="Lucida Grande" w:eastAsiaTheme="minorHAnsi" w:hAnsi="Lucida Grande" w:cs="Lucida Grande"/>
      <w:sz w:val="18"/>
      <w:szCs w:val="18"/>
      <w:lang w:val="en-GB"/>
    </w:rPr>
  </w:style>
  <w:style w:type="character" w:customStyle="1" w:styleId="HeaderChar">
    <w:name w:val="Header Char"/>
    <w:basedOn w:val="DefaultParagraphFont"/>
    <w:link w:val="Header"/>
    <w:uiPriority w:val="99"/>
    <w:rsid w:val="00B17CF8"/>
    <w:rPr>
      <w:lang w:val="en-GB"/>
    </w:rPr>
  </w:style>
  <w:style w:type="paragraph" w:styleId="Header">
    <w:name w:val="header"/>
    <w:basedOn w:val="Normal"/>
    <w:link w:val="HeaderChar"/>
    <w:uiPriority w:val="99"/>
    <w:unhideWhenUsed/>
    <w:rsid w:val="00B17CF8"/>
    <w:pPr>
      <w:tabs>
        <w:tab w:val="center" w:pos="4513"/>
        <w:tab w:val="right" w:pos="9026"/>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B17CF8"/>
    <w:rPr>
      <w:lang w:val="en-GB"/>
    </w:rPr>
  </w:style>
  <w:style w:type="paragraph" w:styleId="Footer">
    <w:name w:val="footer"/>
    <w:basedOn w:val="Normal"/>
    <w:link w:val="FooterChar"/>
    <w:uiPriority w:val="99"/>
    <w:unhideWhenUsed/>
    <w:rsid w:val="00B17CF8"/>
    <w:pPr>
      <w:tabs>
        <w:tab w:val="center" w:pos="4513"/>
        <w:tab w:val="right" w:pos="9026"/>
      </w:tabs>
      <w:spacing w:after="0" w:line="240" w:lineRule="auto"/>
    </w:pPr>
    <w:rPr>
      <w:rFonts w:eastAsiaTheme="minorEastAsia"/>
      <w:sz w:val="24"/>
      <w:szCs w:val="24"/>
    </w:rPr>
  </w:style>
  <w:style w:type="character" w:styleId="CommentReference">
    <w:name w:val="annotation reference"/>
    <w:basedOn w:val="DefaultParagraphFont"/>
    <w:uiPriority w:val="99"/>
    <w:semiHidden/>
    <w:unhideWhenUsed/>
    <w:rsid w:val="001E705C"/>
    <w:rPr>
      <w:sz w:val="18"/>
      <w:szCs w:val="18"/>
    </w:rPr>
  </w:style>
  <w:style w:type="paragraph" w:styleId="CommentText">
    <w:name w:val="annotation text"/>
    <w:basedOn w:val="Normal"/>
    <w:link w:val="CommentTextChar"/>
    <w:uiPriority w:val="99"/>
    <w:unhideWhenUsed/>
    <w:rsid w:val="001E705C"/>
    <w:pPr>
      <w:spacing w:line="240" w:lineRule="auto"/>
    </w:pPr>
    <w:rPr>
      <w:sz w:val="24"/>
      <w:szCs w:val="24"/>
    </w:rPr>
  </w:style>
  <w:style w:type="character" w:customStyle="1" w:styleId="CommentTextChar">
    <w:name w:val="Comment Text Char"/>
    <w:basedOn w:val="DefaultParagraphFont"/>
    <w:link w:val="CommentText"/>
    <w:uiPriority w:val="99"/>
    <w:rsid w:val="001E705C"/>
    <w:rPr>
      <w:rFonts w:eastAsiaTheme="minorHAnsi"/>
      <w:lang w:val="en-GB"/>
    </w:rPr>
  </w:style>
  <w:style w:type="paragraph" w:styleId="CommentSubject">
    <w:name w:val="annotation subject"/>
    <w:basedOn w:val="CommentText"/>
    <w:next w:val="CommentText"/>
    <w:link w:val="CommentSubjectChar"/>
    <w:uiPriority w:val="99"/>
    <w:semiHidden/>
    <w:unhideWhenUsed/>
    <w:rsid w:val="001E705C"/>
    <w:rPr>
      <w:b/>
      <w:bCs/>
      <w:sz w:val="20"/>
      <w:szCs w:val="20"/>
    </w:rPr>
  </w:style>
  <w:style w:type="character" w:customStyle="1" w:styleId="CommentSubjectChar">
    <w:name w:val="Comment Subject Char"/>
    <w:basedOn w:val="CommentTextChar"/>
    <w:link w:val="CommentSubject"/>
    <w:uiPriority w:val="99"/>
    <w:semiHidden/>
    <w:rsid w:val="001E705C"/>
    <w:rPr>
      <w:rFonts w:eastAsiaTheme="minorHAnsi"/>
      <w:b/>
      <w:bCs/>
      <w:sz w:val="20"/>
      <w:szCs w:val="20"/>
      <w:lang w:val="en-GB"/>
    </w:rPr>
  </w:style>
  <w:style w:type="paragraph" w:styleId="ListParagraph">
    <w:name w:val="List Paragraph"/>
    <w:basedOn w:val="Normal"/>
    <w:uiPriority w:val="34"/>
    <w:qFormat/>
    <w:rsid w:val="00871B0B"/>
    <w:pPr>
      <w:ind w:left="720"/>
      <w:contextualSpacing/>
    </w:pPr>
  </w:style>
  <w:style w:type="character" w:styleId="Hyperlink">
    <w:name w:val="Hyperlink"/>
    <w:basedOn w:val="DefaultParagraphFont"/>
    <w:uiPriority w:val="99"/>
    <w:unhideWhenUsed/>
    <w:rsid w:val="00B17CF8"/>
    <w:rPr>
      <w:color w:val="0000FF" w:themeColor="hyperlink"/>
      <w:u w:val="single"/>
    </w:rPr>
  </w:style>
  <w:style w:type="character" w:styleId="Emphasis">
    <w:name w:val="Emphasis"/>
    <w:basedOn w:val="DefaultParagraphFont"/>
    <w:uiPriority w:val="20"/>
    <w:qFormat/>
    <w:rsid w:val="003249C0"/>
    <w:rPr>
      <w:i/>
      <w:iCs/>
    </w:rPr>
  </w:style>
  <w:style w:type="paragraph" w:styleId="NormalWeb">
    <w:name w:val="Normal (Web)"/>
    <w:basedOn w:val="Normal"/>
    <w:uiPriority w:val="99"/>
    <w:semiHidden/>
    <w:unhideWhenUsed/>
    <w:rsid w:val="00BB7A3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2">
    <w:name w:val="desc2"/>
    <w:basedOn w:val="Normal"/>
    <w:rsid w:val="001C07F2"/>
    <w:pPr>
      <w:spacing w:after="0" w:line="240" w:lineRule="auto"/>
    </w:pPr>
    <w:rPr>
      <w:rFonts w:ascii="Times New Roman" w:eastAsia="Times New Roman" w:hAnsi="Times New Roman" w:cs="Times New Roman"/>
      <w:sz w:val="26"/>
      <w:szCs w:val="26"/>
      <w:lang w:eastAsia="en-GB"/>
    </w:rPr>
  </w:style>
  <w:style w:type="paragraph" w:customStyle="1" w:styleId="details1">
    <w:name w:val="details1"/>
    <w:basedOn w:val="Normal"/>
    <w:rsid w:val="001C07F2"/>
    <w:pPr>
      <w:spacing w:after="0" w:line="240" w:lineRule="auto"/>
    </w:pPr>
    <w:rPr>
      <w:rFonts w:ascii="Times New Roman" w:eastAsia="Times New Roman" w:hAnsi="Times New Roman" w:cs="Times New Roman"/>
      <w:lang w:eastAsia="en-GB"/>
    </w:rPr>
  </w:style>
  <w:style w:type="character" w:customStyle="1" w:styleId="jrnl">
    <w:name w:val="jrnl"/>
    <w:basedOn w:val="DefaultParagraphFont"/>
    <w:rsid w:val="001C07F2"/>
  </w:style>
  <w:style w:type="character" w:customStyle="1" w:styleId="highlight">
    <w:name w:val="highlight"/>
    <w:basedOn w:val="DefaultParagraphFont"/>
    <w:rsid w:val="001C0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49761">
      <w:bodyDiv w:val="1"/>
      <w:marLeft w:val="0"/>
      <w:marRight w:val="0"/>
      <w:marTop w:val="0"/>
      <w:marBottom w:val="0"/>
      <w:divBdr>
        <w:top w:val="none" w:sz="0" w:space="0" w:color="auto"/>
        <w:left w:val="none" w:sz="0" w:space="0" w:color="auto"/>
        <w:bottom w:val="none" w:sz="0" w:space="0" w:color="auto"/>
        <w:right w:val="none" w:sz="0" w:space="0" w:color="auto"/>
      </w:divBdr>
      <w:divsChild>
        <w:div w:id="1330252624">
          <w:marLeft w:val="0"/>
          <w:marRight w:val="0"/>
          <w:marTop w:val="0"/>
          <w:marBottom w:val="0"/>
          <w:divBdr>
            <w:top w:val="none" w:sz="0" w:space="0" w:color="auto"/>
            <w:left w:val="none" w:sz="0" w:space="0" w:color="auto"/>
            <w:bottom w:val="none" w:sz="0" w:space="0" w:color="auto"/>
            <w:right w:val="none" w:sz="0" w:space="0" w:color="auto"/>
          </w:divBdr>
          <w:divsChild>
            <w:div w:id="356934591">
              <w:marLeft w:val="0"/>
              <w:marRight w:val="0"/>
              <w:marTop w:val="0"/>
              <w:marBottom w:val="0"/>
              <w:divBdr>
                <w:top w:val="none" w:sz="0" w:space="0" w:color="auto"/>
                <w:left w:val="none" w:sz="0" w:space="0" w:color="auto"/>
                <w:bottom w:val="none" w:sz="0" w:space="0" w:color="auto"/>
                <w:right w:val="none" w:sz="0" w:space="0" w:color="auto"/>
              </w:divBdr>
              <w:divsChild>
                <w:div w:id="1101754880">
                  <w:marLeft w:val="0"/>
                  <w:marRight w:val="0"/>
                  <w:marTop w:val="176"/>
                  <w:marBottom w:val="176"/>
                  <w:divBdr>
                    <w:top w:val="none" w:sz="0" w:space="0" w:color="auto"/>
                    <w:left w:val="none" w:sz="0" w:space="0" w:color="auto"/>
                    <w:bottom w:val="none" w:sz="0" w:space="0" w:color="auto"/>
                    <w:right w:val="none" w:sz="0" w:space="0" w:color="auto"/>
                  </w:divBdr>
                  <w:divsChild>
                    <w:div w:id="14115031">
                      <w:marLeft w:val="0"/>
                      <w:marRight w:val="0"/>
                      <w:marTop w:val="0"/>
                      <w:marBottom w:val="0"/>
                      <w:divBdr>
                        <w:top w:val="none" w:sz="0" w:space="0" w:color="auto"/>
                        <w:left w:val="none" w:sz="0" w:space="0" w:color="auto"/>
                        <w:bottom w:val="none" w:sz="0" w:space="0" w:color="auto"/>
                        <w:right w:val="none" w:sz="0" w:space="0" w:color="auto"/>
                      </w:divBdr>
                      <w:divsChild>
                        <w:div w:id="2086409738">
                          <w:marLeft w:val="0"/>
                          <w:marRight w:val="0"/>
                          <w:marTop w:val="0"/>
                          <w:marBottom w:val="0"/>
                          <w:divBdr>
                            <w:top w:val="none" w:sz="0" w:space="0" w:color="auto"/>
                            <w:left w:val="none" w:sz="0" w:space="0" w:color="auto"/>
                            <w:bottom w:val="none" w:sz="0" w:space="0" w:color="auto"/>
                            <w:right w:val="none" w:sz="0" w:space="0" w:color="auto"/>
                          </w:divBdr>
                        </w:div>
                        <w:div w:id="2086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95630">
      <w:bodyDiv w:val="1"/>
      <w:marLeft w:val="0"/>
      <w:marRight w:val="0"/>
      <w:marTop w:val="0"/>
      <w:marBottom w:val="0"/>
      <w:divBdr>
        <w:top w:val="none" w:sz="0" w:space="0" w:color="auto"/>
        <w:left w:val="none" w:sz="0" w:space="0" w:color="auto"/>
        <w:bottom w:val="none" w:sz="0" w:space="0" w:color="auto"/>
        <w:right w:val="none" w:sz="0" w:space="0" w:color="auto"/>
      </w:divBdr>
    </w:div>
    <w:div w:id="80420113">
      <w:bodyDiv w:val="1"/>
      <w:marLeft w:val="0"/>
      <w:marRight w:val="0"/>
      <w:marTop w:val="0"/>
      <w:marBottom w:val="0"/>
      <w:divBdr>
        <w:top w:val="none" w:sz="0" w:space="0" w:color="auto"/>
        <w:left w:val="none" w:sz="0" w:space="0" w:color="auto"/>
        <w:bottom w:val="none" w:sz="0" w:space="0" w:color="auto"/>
        <w:right w:val="none" w:sz="0" w:space="0" w:color="auto"/>
      </w:divBdr>
      <w:divsChild>
        <w:div w:id="862327933">
          <w:marLeft w:val="0"/>
          <w:marRight w:val="1"/>
          <w:marTop w:val="0"/>
          <w:marBottom w:val="0"/>
          <w:divBdr>
            <w:top w:val="none" w:sz="0" w:space="0" w:color="auto"/>
            <w:left w:val="none" w:sz="0" w:space="0" w:color="auto"/>
            <w:bottom w:val="none" w:sz="0" w:space="0" w:color="auto"/>
            <w:right w:val="none" w:sz="0" w:space="0" w:color="auto"/>
          </w:divBdr>
          <w:divsChild>
            <w:div w:id="1728457118">
              <w:marLeft w:val="0"/>
              <w:marRight w:val="0"/>
              <w:marTop w:val="0"/>
              <w:marBottom w:val="0"/>
              <w:divBdr>
                <w:top w:val="none" w:sz="0" w:space="0" w:color="auto"/>
                <w:left w:val="none" w:sz="0" w:space="0" w:color="auto"/>
                <w:bottom w:val="none" w:sz="0" w:space="0" w:color="auto"/>
                <w:right w:val="none" w:sz="0" w:space="0" w:color="auto"/>
              </w:divBdr>
              <w:divsChild>
                <w:div w:id="247273773">
                  <w:marLeft w:val="0"/>
                  <w:marRight w:val="1"/>
                  <w:marTop w:val="0"/>
                  <w:marBottom w:val="0"/>
                  <w:divBdr>
                    <w:top w:val="none" w:sz="0" w:space="0" w:color="auto"/>
                    <w:left w:val="none" w:sz="0" w:space="0" w:color="auto"/>
                    <w:bottom w:val="none" w:sz="0" w:space="0" w:color="auto"/>
                    <w:right w:val="none" w:sz="0" w:space="0" w:color="auto"/>
                  </w:divBdr>
                  <w:divsChild>
                    <w:div w:id="263461763">
                      <w:marLeft w:val="0"/>
                      <w:marRight w:val="0"/>
                      <w:marTop w:val="0"/>
                      <w:marBottom w:val="0"/>
                      <w:divBdr>
                        <w:top w:val="none" w:sz="0" w:space="0" w:color="auto"/>
                        <w:left w:val="none" w:sz="0" w:space="0" w:color="auto"/>
                        <w:bottom w:val="none" w:sz="0" w:space="0" w:color="auto"/>
                        <w:right w:val="none" w:sz="0" w:space="0" w:color="auto"/>
                      </w:divBdr>
                      <w:divsChild>
                        <w:div w:id="1596278452">
                          <w:marLeft w:val="0"/>
                          <w:marRight w:val="0"/>
                          <w:marTop w:val="0"/>
                          <w:marBottom w:val="0"/>
                          <w:divBdr>
                            <w:top w:val="none" w:sz="0" w:space="0" w:color="auto"/>
                            <w:left w:val="none" w:sz="0" w:space="0" w:color="auto"/>
                            <w:bottom w:val="none" w:sz="0" w:space="0" w:color="auto"/>
                            <w:right w:val="none" w:sz="0" w:space="0" w:color="auto"/>
                          </w:divBdr>
                          <w:divsChild>
                            <w:div w:id="488593763">
                              <w:marLeft w:val="0"/>
                              <w:marRight w:val="0"/>
                              <w:marTop w:val="120"/>
                              <w:marBottom w:val="360"/>
                              <w:divBdr>
                                <w:top w:val="none" w:sz="0" w:space="0" w:color="auto"/>
                                <w:left w:val="none" w:sz="0" w:space="0" w:color="auto"/>
                                <w:bottom w:val="none" w:sz="0" w:space="0" w:color="auto"/>
                                <w:right w:val="none" w:sz="0" w:space="0" w:color="auto"/>
                              </w:divBdr>
                              <w:divsChild>
                                <w:div w:id="416170439">
                                  <w:marLeft w:val="420"/>
                                  <w:marRight w:val="0"/>
                                  <w:marTop w:val="0"/>
                                  <w:marBottom w:val="0"/>
                                  <w:divBdr>
                                    <w:top w:val="none" w:sz="0" w:space="0" w:color="auto"/>
                                    <w:left w:val="none" w:sz="0" w:space="0" w:color="auto"/>
                                    <w:bottom w:val="none" w:sz="0" w:space="0" w:color="auto"/>
                                    <w:right w:val="none" w:sz="0" w:space="0" w:color="auto"/>
                                  </w:divBdr>
                                  <w:divsChild>
                                    <w:div w:id="67950292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01450">
      <w:bodyDiv w:val="1"/>
      <w:marLeft w:val="0"/>
      <w:marRight w:val="0"/>
      <w:marTop w:val="0"/>
      <w:marBottom w:val="0"/>
      <w:divBdr>
        <w:top w:val="none" w:sz="0" w:space="0" w:color="auto"/>
        <w:left w:val="none" w:sz="0" w:space="0" w:color="auto"/>
        <w:bottom w:val="none" w:sz="0" w:space="0" w:color="auto"/>
        <w:right w:val="none" w:sz="0" w:space="0" w:color="auto"/>
      </w:divBdr>
      <w:divsChild>
        <w:div w:id="2052144116">
          <w:marLeft w:val="0"/>
          <w:marRight w:val="1"/>
          <w:marTop w:val="0"/>
          <w:marBottom w:val="0"/>
          <w:divBdr>
            <w:top w:val="none" w:sz="0" w:space="0" w:color="auto"/>
            <w:left w:val="none" w:sz="0" w:space="0" w:color="auto"/>
            <w:bottom w:val="none" w:sz="0" w:space="0" w:color="auto"/>
            <w:right w:val="none" w:sz="0" w:space="0" w:color="auto"/>
          </w:divBdr>
          <w:divsChild>
            <w:div w:id="802847766">
              <w:marLeft w:val="0"/>
              <w:marRight w:val="0"/>
              <w:marTop w:val="0"/>
              <w:marBottom w:val="0"/>
              <w:divBdr>
                <w:top w:val="none" w:sz="0" w:space="0" w:color="auto"/>
                <w:left w:val="none" w:sz="0" w:space="0" w:color="auto"/>
                <w:bottom w:val="none" w:sz="0" w:space="0" w:color="auto"/>
                <w:right w:val="none" w:sz="0" w:space="0" w:color="auto"/>
              </w:divBdr>
              <w:divsChild>
                <w:div w:id="1474981493">
                  <w:marLeft w:val="0"/>
                  <w:marRight w:val="1"/>
                  <w:marTop w:val="0"/>
                  <w:marBottom w:val="0"/>
                  <w:divBdr>
                    <w:top w:val="none" w:sz="0" w:space="0" w:color="auto"/>
                    <w:left w:val="none" w:sz="0" w:space="0" w:color="auto"/>
                    <w:bottom w:val="none" w:sz="0" w:space="0" w:color="auto"/>
                    <w:right w:val="none" w:sz="0" w:space="0" w:color="auto"/>
                  </w:divBdr>
                  <w:divsChild>
                    <w:div w:id="165555012">
                      <w:marLeft w:val="0"/>
                      <w:marRight w:val="0"/>
                      <w:marTop w:val="0"/>
                      <w:marBottom w:val="0"/>
                      <w:divBdr>
                        <w:top w:val="none" w:sz="0" w:space="0" w:color="auto"/>
                        <w:left w:val="none" w:sz="0" w:space="0" w:color="auto"/>
                        <w:bottom w:val="none" w:sz="0" w:space="0" w:color="auto"/>
                        <w:right w:val="none" w:sz="0" w:space="0" w:color="auto"/>
                      </w:divBdr>
                      <w:divsChild>
                        <w:div w:id="1939604033">
                          <w:marLeft w:val="0"/>
                          <w:marRight w:val="0"/>
                          <w:marTop w:val="0"/>
                          <w:marBottom w:val="0"/>
                          <w:divBdr>
                            <w:top w:val="none" w:sz="0" w:space="0" w:color="auto"/>
                            <w:left w:val="none" w:sz="0" w:space="0" w:color="auto"/>
                            <w:bottom w:val="none" w:sz="0" w:space="0" w:color="auto"/>
                            <w:right w:val="none" w:sz="0" w:space="0" w:color="auto"/>
                          </w:divBdr>
                          <w:divsChild>
                            <w:div w:id="423187088">
                              <w:marLeft w:val="0"/>
                              <w:marRight w:val="0"/>
                              <w:marTop w:val="120"/>
                              <w:marBottom w:val="360"/>
                              <w:divBdr>
                                <w:top w:val="none" w:sz="0" w:space="0" w:color="auto"/>
                                <w:left w:val="none" w:sz="0" w:space="0" w:color="auto"/>
                                <w:bottom w:val="none" w:sz="0" w:space="0" w:color="auto"/>
                                <w:right w:val="none" w:sz="0" w:space="0" w:color="auto"/>
                              </w:divBdr>
                              <w:divsChild>
                                <w:div w:id="1523130985">
                                  <w:marLeft w:val="420"/>
                                  <w:marRight w:val="0"/>
                                  <w:marTop w:val="0"/>
                                  <w:marBottom w:val="0"/>
                                  <w:divBdr>
                                    <w:top w:val="none" w:sz="0" w:space="0" w:color="auto"/>
                                    <w:left w:val="none" w:sz="0" w:space="0" w:color="auto"/>
                                    <w:bottom w:val="none" w:sz="0" w:space="0" w:color="auto"/>
                                    <w:right w:val="none" w:sz="0" w:space="0" w:color="auto"/>
                                  </w:divBdr>
                                  <w:divsChild>
                                    <w:div w:id="1578974011">
                                      <w:marLeft w:val="0"/>
                                      <w:marRight w:val="0"/>
                                      <w:marTop w:val="34"/>
                                      <w:marBottom w:val="34"/>
                                      <w:divBdr>
                                        <w:top w:val="none" w:sz="0" w:space="0" w:color="auto"/>
                                        <w:left w:val="none" w:sz="0" w:space="0" w:color="auto"/>
                                        <w:bottom w:val="none" w:sz="0" w:space="0" w:color="auto"/>
                                        <w:right w:val="none" w:sz="0" w:space="0" w:color="auto"/>
                                      </w:divBdr>
                                      <w:divsChild>
                                        <w:div w:id="1120800650">
                                          <w:marLeft w:val="0"/>
                                          <w:marRight w:val="0"/>
                                          <w:marTop w:val="0"/>
                                          <w:marBottom w:val="0"/>
                                          <w:divBdr>
                                            <w:top w:val="none" w:sz="0" w:space="0" w:color="auto"/>
                                            <w:left w:val="none" w:sz="0" w:space="0" w:color="auto"/>
                                            <w:bottom w:val="none" w:sz="0" w:space="0" w:color="auto"/>
                                            <w:right w:val="none" w:sz="0" w:space="0" w:color="auto"/>
                                          </w:divBdr>
                                        </w:div>
                                        <w:div w:id="8319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04557">
      <w:bodyDiv w:val="1"/>
      <w:marLeft w:val="0"/>
      <w:marRight w:val="0"/>
      <w:marTop w:val="0"/>
      <w:marBottom w:val="0"/>
      <w:divBdr>
        <w:top w:val="none" w:sz="0" w:space="0" w:color="auto"/>
        <w:left w:val="none" w:sz="0" w:space="0" w:color="auto"/>
        <w:bottom w:val="none" w:sz="0" w:space="0" w:color="auto"/>
        <w:right w:val="none" w:sz="0" w:space="0" w:color="auto"/>
      </w:divBdr>
      <w:divsChild>
        <w:div w:id="735981865">
          <w:marLeft w:val="0"/>
          <w:marRight w:val="0"/>
          <w:marTop w:val="34"/>
          <w:marBottom w:val="34"/>
          <w:divBdr>
            <w:top w:val="none" w:sz="0" w:space="0" w:color="auto"/>
            <w:left w:val="none" w:sz="0" w:space="0" w:color="auto"/>
            <w:bottom w:val="none" w:sz="0" w:space="0" w:color="auto"/>
            <w:right w:val="none" w:sz="0" w:space="0" w:color="auto"/>
          </w:divBdr>
        </w:div>
      </w:divsChild>
    </w:div>
    <w:div w:id="125008740">
      <w:bodyDiv w:val="1"/>
      <w:marLeft w:val="0"/>
      <w:marRight w:val="0"/>
      <w:marTop w:val="0"/>
      <w:marBottom w:val="0"/>
      <w:divBdr>
        <w:top w:val="none" w:sz="0" w:space="0" w:color="auto"/>
        <w:left w:val="none" w:sz="0" w:space="0" w:color="auto"/>
        <w:bottom w:val="none" w:sz="0" w:space="0" w:color="auto"/>
        <w:right w:val="none" w:sz="0" w:space="0" w:color="auto"/>
      </w:divBdr>
      <w:divsChild>
        <w:div w:id="1541476313">
          <w:marLeft w:val="0"/>
          <w:marRight w:val="1"/>
          <w:marTop w:val="0"/>
          <w:marBottom w:val="0"/>
          <w:divBdr>
            <w:top w:val="none" w:sz="0" w:space="0" w:color="auto"/>
            <w:left w:val="none" w:sz="0" w:space="0" w:color="auto"/>
            <w:bottom w:val="none" w:sz="0" w:space="0" w:color="auto"/>
            <w:right w:val="none" w:sz="0" w:space="0" w:color="auto"/>
          </w:divBdr>
          <w:divsChild>
            <w:div w:id="1268200200">
              <w:marLeft w:val="0"/>
              <w:marRight w:val="0"/>
              <w:marTop w:val="0"/>
              <w:marBottom w:val="0"/>
              <w:divBdr>
                <w:top w:val="none" w:sz="0" w:space="0" w:color="auto"/>
                <w:left w:val="none" w:sz="0" w:space="0" w:color="auto"/>
                <w:bottom w:val="none" w:sz="0" w:space="0" w:color="auto"/>
                <w:right w:val="none" w:sz="0" w:space="0" w:color="auto"/>
              </w:divBdr>
              <w:divsChild>
                <w:div w:id="154731822">
                  <w:marLeft w:val="0"/>
                  <w:marRight w:val="1"/>
                  <w:marTop w:val="0"/>
                  <w:marBottom w:val="0"/>
                  <w:divBdr>
                    <w:top w:val="none" w:sz="0" w:space="0" w:color="auto"/>
                    <w:left w:val="none" w:sz="0" w:space="0" w:color="auto"/>
                    <w:bottom w:val="none" w:sz="0" w:space="0" w:color="auto"/>
                    <w:right w:val="none" w:sz="0" w:space="0" w:color="auto"/>
                  </w:divBdr>
                  <w:divsChild>
                    <w:div w:id="982537662">
                      <w:marLeft w:val="0"/>
                      <w:marRight w:val="0"/>
                      <w:marTop w:val="0"/>
                      <w:marBottom w:val="0"/>
                      <w:divBdr>
                        <w:top w:val="none" w:sz="0" w:space="0" w:color="auto"/>
                        <w:left w:val="none" w:sz="0" w:space="0" w:color="auto"/>
                        <w:bottom w:val="none" w:sz="0" w:space="0" w:color="auto"/>
                        <w:right w:val="none" w:sz="0" w:space="0" w:color="auto"/>
                      </w:divBdr>
                      <w:divsChild>
                        <w:div w:id="1377271381">
                          <w:marLeft w:val="0"/>
                          <w:marRight w:val="0"/>
                          <w:marTop w:val="0"/>
                          <w:marBottom w:val="0"/>
                          <w:divBdr>
                            <w:top w:val="none" w:sz="0" w:space="0" w:color="auto"/>
                            <w:left w:val="none" w:sz="0" w:space="0" w:color="auto"/>
                            <w:bottom w:val="none" w:sz="0" w:space="0" w:color="auto"/>
                            <w:right w:val="none" w:sz="0" w:space="0" w:color="auto"/>
                          </w:divBdr>
                          <w:divsChild>
                            <w:div w:id="826018519">
                              <w:marLeft w:val="0"/>
                              <w:marRight w:val="0"/>
                              <w:marTop w:val="120"/>
                              <w:marBottom w:val="360"/>
                              <w:divBdr>
                                <w:top w:val="none" w:sz="0" w:space="0" w:color="auto"/>
                                <w:left w:val="none" w:sz="0" w:space="0" w:color="auto"/>
                                <w:bottom w:val="none" w:sz="0" w:space="0" w:color="auto"/>
                                <w:right w:val="none" w:sz="0" w:space="0" w:color="auto"/>
                              </w:divBdr>
                              <w:divsChild>
                                <w:div w:id="733898327">
                                  <w:marLeft w:val="420"/>
                                  <w:marRight w:val="0"/>
                                  <w:marTop w:val="0"/>
                                  <w:marBottom w:val="0"/>
                                  <w:divBdr>
                                    <w:top w:val="none" w:sz="0" w:space="0" w:color="auto"/>
                                    <w:left w:val="none" w:sz="0" w:space="0" w:color="auto"/>
                                    <w:bottom w:val="none" w:sz="0" w:space="0" w:color="auto"/>
                                    <w:right w:val="none" w:sz="0" w:space="0" w:color="auto"/>
                                  </w:divBdr>
                                  <w:divsChild>
                                    <w:div w:id="115160578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05172">
      <w:bodyDiv w:val="1"/>
      <w:marLeft w:val="0"/>
      <w:marRight w:val="0"/>
      <w:marTop w:val="0"/>
      <w:marBottom w:val="0"/>
      <w:divBdr>
        <w:top w:val="none" w:sz="0" w:space="0" w:color="auto"/>
        <w:left w:val="none" w:sz="0" w:space="0" w:color="auto"/>
        <w:bottom w:val="none" w:sz="0" w:space="0" w:color="auto"/>
        <w:right w:val="none" w:sz="0" w:space="0" w:color="auto"/>
      </w:divBdr>
      <w:divsChild>
        <w:div w:id="2003117306">
          <w:marLeft w:val="0"/>
          <w:marRight w:val="1"/>
          <w:marTop w:val="0"/>
          <w:marBottom w:val="0"/>
          <w:divBdr>
            <w:top w:val="none" w:sz="0" w:space="0" w:color="auto"/>
            <w:left w:val="none" w:sz="0" w:space="0" w:color="auto"/>
            <w:bottom w:val="none" w:sz="0" w:space="0" w:color="auto"/>
            <w:right w:val="none" w:sz="0" w:space="0" w:color="auto"/>
          </w:divBdr>
          <w:divsChild>
            <w:div w:id="1155025401">
              <w:marLeft w:val="0"/>
              <w:marRight w:val="0"/>
              <w:marTop w:val="0"/>
              <w:marBottom w:val="0"/>
              <w:divBdr>
                <w:top w:val="none" w:sz="0" w:space="0" w:color="auto"/>
                <w:left w:val="none" w:sz="0" w:space="0" w:color="auto"/>
                <w:bottom w:val="none" w:sz="0" w:space="0" w:color="auto"/>
                <w:right w:val="none" w:sz="0" w:space="0" w:color="auto"/>
              </w:divBdr>
              <w:divsChild>
                <w:div w:id="1104113907">
                  <w:marLeft w:val="0"/>
                  <w:marRight w:val="1"/>
                  <w:marTop w:val="0"/>
                  <w:marBottom w:val="0"/>
                  <w:divBdr>
                    <w:top w:val="none" w:sz="0" w:space="0" w:color="auto"/>
                    <w:left w:val="none" w:sz="0" w:space="0" w:color="auto"/>
                    <w:bottom w:val="none" w:sz="0" w:space="0" w:color="auto"/>
                    <w:right w:val="none" w:sz="0" w:space="0" w:color="auto"/>
                  </w:divBdr>
                  <w:divsChild>
                    <w:div w:id="672686025">
                      <w:marLeft w:val="0"/>
                      <w:marRight w:val="0"/>
                      <w:marTop w:val="0"/>
                      <w:marBottom w:val="0"/>
                      <w:divBdr>
                        <w:top w:val="none" w:sz="0" w:space="0" w:color="auto"/>
                        <w:left w:val="none" w:sz="0" w:space="0" w:color="auto"/>
                        <w:bottom w:val="none" w:sz="0" w:space="0" w:color="auto"/>
                        <w:right w:val="none" w:sz="0" w:space="0" w:color="auto"/>
                      </w:divBdr>
                      <w:divsChild>
                        <w:div w:id="1422069518">
                          <w:marLeft w:val="0"/>
                          <w:marRight w:val="0"/>
                          <w:marTop w:val="0"/>
                          <w:marBottom w:val="0"/>
                          <w:divBdr>
                            <w:top w:val="none" w:sz="0" w:space="0" w:color="auto"/>
                            <w:left w:val="none" w:sz="0" w:space="0" w:color="auto"/>
                            <w:bottom w:val="none" w:sz="0" w:space="0" w:color="auto"/>
                            <w:right w:val="none" w:sz="0" w:space="0" w:color="auto"/>
                          </w:divBdr>
                          <w:divsChild>
                            <w:div w:id="996346269">
                              <w:marLeft w:val="0"/>
                              <w:marRight w:val="0"/>
                              <w:marTop w:val="120"/>
                              <w:marBottom w:val="360"/>
                              <w:divBdr>
                                <w:top w:val="none" w:sz="0" w:space="0" w:color="auto"/>
                                <w:left w:val="none" w:sz="0" w:space="0" w:color="auto"/>
                                <w:bottom w:val="none" w:sz="0" w:space="0" w:color="auto"/>
                                <w:right w:val="none" w:sz="0" w:space="0" w:color="auto"/>
                              </w:divBdr>
                              <w:divsChild>
                                <w:div w:id="1970086873">
                                  <w:marLeft w:val="420"/>
                                  <w:marRight w:val="0"/>
                                  <w:marTop w:val="0"/>
                                  <w:marBottom w:val="0"/>
                                  <w:divBdr>
                                    <w:top w:val="none" w:sz="0" w:space="0" w:color="auto"/>
                                    <w:left w:val="none" w:sz="0" w:space="0" w:color="auto"/>
                                    <w:bottom w:val="none" w:sz="0" w:space="0" w:color="auto"/>
                                    <w:right w:val="none" w:sz="0" w:space="0" w:color="auto"/>
                                  </w:divBdr>
                                  <w:divsChild>
                                    <w:div w:id="92434463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922567">
      <w:bodyDiv w:val="1"/>
      <w:marLeft w:val="0"/>
      <w:marRight w:val="0"/>
      <w:marTop w:val="0"/>
      <w:marBottom w:val="0"/>
      <w:divBdr>
        <w:top w:val="none" w:sz="0" w:space="0" w:color="auto"/>
        <w:left w:val="none" w:sz="0" w:space="0" w:color="auto"/>
        <w:bottom w:val="none" w:sz="0" w:space="0" w:color="auto"/>
        <w:right w:val="none" w:sz="0" w:space="0" w:color="auto"/>
      </w:divBdr>
      <w:divsChild>
        <w:div w:id="540746791">
          <w:marLeft w:val="0"/>
          <w:marRight w:val="1"/>
          <w:marTop w:val="0"/>
          <w:marBottom w:val="0"/>
          <w:divBdr>
            <w:top w:val="none" w:sz="0" w:space="0" w:color="auto"/>
            <w:left w:val="none" w:sz="0" w:space="0" w:color="auto"/>
            <w:bottom w:val="none" w:sz="0" w:space="0" w:color="auto"/>
            <w:right w:val="none" w:sz="0" w:space="0" w:color="auto"/>
          </w:divBdr>
          <w:divsChild>
            <w:div w:id="272052895">
              <w:marLeft w:val="0"/>
              <w:marRight w:val="0"/>
              <w:marTop w:val="0"/>
              <w:marBottom w:val="0"/>
              <w:divBdr>
                <w:top w:val="none" w:sz="0" w:space="0" w:color="auto"/>
                <w:left w:val="none" w:sz="0" w:space="0" w:color="auto"/>
                <w:bottom w:val="none" w:sz="0" w:space="0" w:color="auto"/>
                <w:right w:val="none" w:sz="0" w:space="0" w:color="auto"/>
              </w:divBdr>
              <w:divsChild>
                <w:div w:id="1432972059">
                  <w:marLeft w:val="0"/>
                  <w:marRight w:val="1"/>
                  <w:marTop w:val="0"/>
                  <w:marBottom w:val="0"/>
                  <w:divBdr>
                    <w:top w:val="none" w:sz="0" w:space="0" w:color="auto"/>
                    <w:left w:val="none" w:sz="0" w:space="0" w:color="auto"/>
                    <w:bottom w:val="none" w:sz="0" w:space="0" w:color="auto"/>
                    <w:right w:val="none" w:sz="0" w:space="0" w:color="auto"/>
                  </w:divBdr>
                  <w:divsChild>
                    <w:div w:id="1479302206">
                      <w:marLeft w:val="0"/>
                      <w:marRight w:val="0"/>
                      <w:marTop w:val="0"/>
                      <w:marBottom w:val="0"/>
                      <w:divBdr>
                        <w:top w:val="none" w:sz="0" w:space="0" w:color="auto"/>
                        <w:left w:val="none" w:sz="0" w:space="0" w:color="auto"/>
                        <w:bottom w:val="none" w:sz="0" w:space="0" w:color="auto"/>
                        <w:right w:val="none" w:sz="0" w:space="0" w:color="auto"/>
                      </w:divBdr>
                      <w:divsChild>
                        <w:div w:id="1114204049">
                          <w:marLeft w:val="0"/>
                          <w:marRight w:val="0"/>
                          <w:marTop w:val="0"/>
                          <w:marBottom w:val="0"/>
                          <w:divBdr>
                            <w:top w:val="none" w:sz="0" w:space="0" w:color="auto"/>
                            <w:left w:val="none" w:sz="0" w:space="0" w:color="auto"/>
                            <w:bottom w:val="none" w:sz="0" w:space="0" w:color="auto"/>
                            <w:right w:val="none" w:sz="0" w:space="0" w:color="auto"/>
                          </w:divBdr>
                          <w:divsChild>
                            <w:div w:id="728768236">
                              <w:marLeft w:val="0"/>
                              <w:marRight w:val="0"/>
                              <w:marTop w:val="120"/>
                              <w:marBottom w:val="360"/>
                              <w:divBdr>
                                <w:top w:val="none" w:sz="0" w:space="0" w:color="auto"/>
                                <w:left w:val="none" w:sz="0" w:space="0" w:color="auto"/>
                                <w:bottom w:val="none" w:sz="0" w:space="0" w:color="auto"/>
                                <w:right w:val="none" w:sz="0" w:space="0" w:color="auto"/>
                              </w:divBdr>
                              <w:divsChild>
                                <w:div w:id="112486468">
                                  <w:marLeft w:val="420"/>
                                  <w:marRight w:val="0"/>
                                  <w:marTop w:val="0"/>
                                  <w:marBottom w:val="0"/>
                                  <w:divBdr>
                                    <w:top w:val="none" w:sz="0" w:space="0" w:color="auto"/>
                                    <w:left w:val="none" w:sz="0" w:space="0" w:color="auto"/>
                                    <w:bottom w:val="none" w:sz="0" w:space="0" w:color="auto"/>
                                    <w:right w:val="none" w:sz="0" w:space="0" w:color="auto"/>
                                  </w:divBdr>
                                  <w:divsChild>
                                    <w:div w:id="1544705597">
                                      <w:marLeft w:val="0"/>
                                      <w:marRight w:val="0"/>
                                      <w:marTop w:val="34"/>
                                      <w:marBottom w:val="34"/>
                                      <w:divBdr>
                                        <w:top w:val="none" w:sz="0" w:space="0" w:color="auto"/>
                                        <w:left w:val="none" w:sz="0" w:space="0" w:color="auto"/>
                                        <w:bottom w:val="none" w:sz="0" w:space="0" w:color="auto"/>
                                        <w:right w:val="none" w:sz="0" w:space="0" w:color="auto"/>
                                      </w:divBdr>
                                      <w:divsChild>
                                        <w:div w:id="371346739">
                                          <w:marLeft w:val="0"/>
                                          <w:marRight w:val="0"/>
                                          <w:marTop w:val="0"/>
                                          <w:marBottom w:val="0"/>
                                          <w:divBdr>
                                            <w:top w:val="none" w:sz="0" w:space="0" w:color="auto"/>
                                            <w:left w:val="none" w:sz="0" w:space="0" w:color="auto"/>
                                            <w:bottom w:val="none" w:sz="0" w:space="0" w:color="auto"/>
                                            <w:right w:val="none" w:sz="0" w:space="0" w:color="auto"/>
                                          </w:divBdr>
                                        </w:div>
                                        <w:div w:id="9183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307489">
      <w:bodyDiv w:val="1"/>
      <w:marLeft w:val="0"/>
      <w:marRight w:val="0"/>
      <w:marTop w:val="0"/>
      <w:marBottom w:val="0"/>
      <w:divBdr>
        <w:top w:val="none" w:sz="0" w:space="0" w:color="auto"/>
        <w:left w:val="none" w:sz="0" w:space="0" w:color="auto"/>
        <w:bottom w:val="none" w:sz="0" w:space="0" w:color="auto"/>
        <w:right w:val="none" w:sz="0" w:space="0" w:color="auto"/>
      </w:divBdr>
      <w:divsChild>
        <w:div w:id="426275318">
          <w:marLeft w:val="0"/>
          <w:marRight w:val="0"/>
          <w:marTop w:val="0"/>
          <w:marBottom w:val="0"/>
          <w:divBdr>
            <w:top w:val="single" w:sz="6" w:space="0" w:color="666666"/>
            <w:left w:val="single" w:sz="6" w:space="0" w:color="666666"/>
            <w:bottom w:val="single" w:sz="6" w:space="0" w:color="666666"/>
            <w:right w:val="single" w:sz="6" w:space="0" w:color="666666"/>
          </w:divBdr>
          <w:divsChild>
            <w:div w:id="1167134678">
              <w:marLeft w:val="0"/>
              <w:marRight w:val="0"/>
              <w:marTop w:val="0"/>
              <w:marBottom w:val="0"/>
              <w:divBdr>
                <w:top w:val="none" w:sz="0" w:space="0" w:color="auto"/>
                <w:left w:val="none" w:sz="0" w:space="0" w:color="auto"/>
                <w:bottom w:val="none" w:sz="0" w:space="0" w:color="auto"/>
                <w:right w:val="none" w:sz="0" w:space="0" w:color="auto"/>
              </w:divBdr>
              <w:divsChild>
                <w:div w:id="233972023">
                  <w:marLeft w:val="0"/>
                  <w:marRight w:val="0"/>
                  <w:marTop w:val="0"/>
                  <w:marBottom w:val="300"/>
                  <w:divBdr>
                    <w:top w:val="none" w:sz="0" w:space="0" w:color="auto"/>
                    <w:left w:val="none" w:sz="0" w:space="0" w:color="auto"/>
                    <w:bottom w:val="none" w:sz="0" w:space="0" w:color="auto"/>
                    <w:right w:val="none" w:sz="0" w:space="0" w:color="auto"/>
                  </w:divBdr>
                  <w:divsChild>
                    <w:div w:id="218053803">
                      <w:marLeft w:val="0"/>
                      <w:marRight w:val="0"/>
                      <w:marTop w:val="0"/>
                      <w:marBottom w:val="0"/>
                      <w:divBdr>
                        <w:top w:val="none" w:sz="0" w:space="0" w:color="auto"/>
                        <w:left w:val="none" w:sz="0" w:space="0" w:color="auto"/>
                        <w:bottom w:val="none" w:sz="0" w:space="0" w:color="auto"/>
                        <w:right w:val="none" w:sz="0" w:space="0" w:color="auto"/>
                      </w:divBdr>
                      <w:divsChild>
                        <w:div w:id="2094738472">
                          <w:marLeft w:val="0"/>
                          <w:marRight w:val="0"/>
                          <w:marTop w:val="0"/>
                          <w:marBottom w:val="0"/>
                          <w:divBdr>
                            <w:top w:val="none" w:sz="0" w:space="0" w:color="auto"/>
                            <w:left w:val="none" w:sz="0" w:space="0" w:color="auto"/>
                            <w:bottom w:val="none" w:sz="0" w:space="0" w:color="auto"/>
                            <w:right w:val="none" w:sz="0" w:space="0" w:color="auto"/>
                          </w:divBdr>
                          <w:divsChild>
                            <w:div w:id="1951278702">
                              <w:marLeft w:val="0"/>
                              <w:marRight w:val="0"/>
                              <w:marTop w:val="0"/>
                              <w:marBottom w:val="0"/>
                              <w:divBdr>
                                <w:top w:val="none" w:sz="0" w:space="0" w:color="auto"/>
                                <w:left w:val="none" w:sz="0" w:space="0" w:color="auto"/>
                                <w:bottom w:val="none" w:sz="0" w:space="0" w:color="auto"/>
                                <w:right w:val="none" w:sz="0" w:space="0" w:color="auto"/>
                              </w:divBdr>
                              <w:divsChild>
                                <w:div w:id="1912227842">
                                  <w:marLeft w:val="0"/>
                                  <w:marRight w:val="0"/>
                                  <w:marTop w:val="0"/>
                                  <w:marBottom w:val="0"/>
                                  <w:divBdr>
                                    <w:top w:val="none" w:sz="0" w:space="0" w:color="auto"/>
                                    <w:left w:val="none" w:sz="0" w:space="0" w:color="auto"/>
                                    <w:bottom w:val="none" w:sz="0" w:space="0" w:color="auto"/>
                                    <w:right w:val="none" w:sz="0" w:space="0" w:color="auto"/>
                                  </w:divBdr>
                                  <w:divsChild>
                                    <w:div w:id="991715103">
                                      <w:marLeft w:val="0"/>
                                      <w:marRight w:val="0"/>
                                      <w:marTop w:val="0"/>
                                      <w:marBottom w:val="0"/>
                                      <w:divBdr>
                                        <w:top w:val="none" w:sz="0" w:space="0" w:color="auto"/>
                                        <w:left w:val="none" w:sz="0" w:space="0" w:color="auto"/>
                                        <w:bottom w:val="none" w:sz="0" w:space="0" w:color="auto"/>
                                        <w:right w:val="none" w:sz="0" w:space="0" w:color="auto"/>
                                      </w:divBdr>
                                    </w:div>
                                    <w:div w:id="979728849">
                                      <w:marLeft w:val="0"/>
                                      <w:marRight w:val="0"/>
                                      <w:marTop w:val="0"/>
                                      <w:marBottom w:val="0"/>
                                      <w:divBdr>
                                        <w:top w:val="none" w:sz="0" w:space="0" w:color="auto"/>
                                        <w:left w:val="none" w:sz="0" w:space="0" w:color="auto"/>
                                        <w:bottom w:val="none" w:sz="0" w:space="0" w:color="auto"/>
                                        <w:right w:val="none" w:sz="0" w:space="0" w:color="auto"/>
                                      </w:divBdr>
                                    </w:div>
                                  </w:divsChild>
                                </w:div>
                                <w:div w:id="1618829520">
                                  <w:marLeft w:val="0"/>
                                  <w:marRight w:val="0"/>
                                  <w:marTop w:val="0"/>
                                  <w:marBottom w:val="0"/>
                                  <w:divBdr>
                                    <w:top w:val="none" w:sz="0" w:space="0" w:color="auto"/>
                                    <w:left w:val="none" w:sz="0" w:space="0" w:color="auto"/>
                                    <w:bottom w:val="none" w:sz="0" w:space="0" w:color="auto"/>
                                    <w:right w:val="none" w:sz="0" w:space="0" w:color="auto"/>
                                  </w:divBdr>
                                  <w:divsChild>
                                    <w:div w:id="319771909">
                                      <w:marLeft w:val="0"/>
                                      <w:marRight w:val="0"/>
                                      <w:marTop w:val="0"/>
                                      <w:marBottom w:val="0"/>
                                      <w:divBdr>
                                        <w:top w:val="none" w:sz="0" w:space="0" w:color="auto"/>
                                        <w:left w:val="none" w:sz="0" w:space="0" w:color="auto"/>
                                        <w:bottom w:val="none" w:sz="0" w:space="0" w:color="auto"/>
                                        <w:right w:val="none" w:sz="0" w:space="0" w:color="auto"/>
                                      </w:divBdr>
                                    </w:div>
                                    <w:div w:id="939140208">
                                      <w:marLeft w:val="0"/>
                                      <w:marRight w:val="0"/>
                                      <w:marTop w:val="0"/>
                                      <w:marBottom w:val="0"/>
                                      <w:divBdr>
                                        <w:top w:val="none" w:sz="0" w:space="0" w:color="auto"/>
                                        <w:left w:val="none" w:sz="0" w:space="0" w:color="auto"/>
                                        <w:bottom w:val="none" w:sz="0" w:space="0" w:color="auto"/>
                                        <w:right w:val="none" w:sz="0" w:space="0" w:color="auto"/>
                                      </w:divBdr>
                                    </w:div>
                                  </w:divsChild>
                                </w:div>
                                <w:div w:id="2112697207">
                                  <w:marLeft w:val="0"/>
                                  <w:marRight w:val="0"/>
                                  <w:marTop w:val="0"/>
                                  <w:marBottom w:val="0"/>
                                  <w:divBdr>
                                    <w:top w:val="none" w:sz="0" w:space="0" w:color="auto"/>
                                    <w:left w:val="none" w:sz="0" w:space="0" w:color="auto"/>
                                    <w:bottom w:val="none" w:sz="0" w:space="0" w:color="auto"/>
                                    <w:right w:val="none" w:sz="0" w:space="0" w:color="auto"/>
                                  </w:divBdr>
                                  <w:divsChild>
                                    <w:div w:id="861166600">
                                      <w:marLeft w:val="0"/>
                                      <w:marRight w:val="0"/>
                                      <w:marTop w:val="0"/>
                                      <w:marBottom w:val="0"/>
                                      <w:divBdr>
                                        <w:top w:val="none" w:sz="0" w:space="0" w:color="auto"/>
                                        <w:left w:val="none" w:sz="0" w:space="0" w:color="auto"/>
                                        <w:bottom w:val="none" w:sz="0" w:space="0" w:color="auto"/>
                                        <w:right w:val="none" w:sz="0" w:space="0" w:color="auto"/>
                                      </w:divBdr>
                                    </w:div>
                                    <w:div w:id="107049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4777">
                              <w:marLeft w:val="0"/>
                              <w:marRight w:val="0"/>
                              <w:marTop w:val="0"/>
                              <w:marBottom w:val="0"/>
                              <w:divBdr>
                                <w:top w:val="none" w:sz="0" w:space="0" w:color="auto"/>
                                <w:left w:val="none" w:sz="0" w:space="0" w:color="auto"/>
                                <w:bottom w:val="none" w:sz="0" w:space="0" w:color="auto"/>
                                <w:right w:val="none" w:sz="0" w:space="0" w:color="auto"/>
                              </w:divBdr>
                            </w:div>
                            <w:div w:id="2103842267">
                              <w:marLeft w:val="0"/>
                              <w:marRight w:val="0"/>
                              <w:marTop w:val="0"/>
                              <w:marBottom w:val="0"/>
                              <w:divBdr>
                                <w:top w:val="none" w:sz="0" w:space="0" w:color="auto"/>
                                <w:left w:val="none" w:sz="0" w:space="0" w:color="auto"/>
                                <w:bottom w:val="none" w:sz="0" w:space="0" w:color="auto"/>
                                <w:right w:val="none" w:sz="0" w:space="0" w:color="auto"/>
                              </w:divBdr>
                            </w:div>
                            <w:div w:id="71322519">
                              <w:marLeft w:val="0"/>
                              <w:marRight w:val="0"/>
                              <w:marTop w:val="0"/>
                              <w:marBottom w:val="0"/>
                              <w:divBdr>
                                <w:top w:val="none" w:sz="0" w:space="0" w:color="auto"/>
                                <w:left w:val="none" w:sz="0" w:space="0" w:color="auto"/>
                                <w:bottom w:val="none" w:sz="0" w:space="0" w:color="auto"/>
                                <w:right w:val="none" w:sz="0" w:space="0" w:color="auto"/>
                              </w:divBdr>
                            </w:div>
                            <w:div w:id="184826294">
                              <w:marLeft w:val="0"/>
                              <w:marRight w:val="0"/>
                              <w:marTop w:val="0"/>
                              <w:marBottom w:val="0"/>
                              <w:divBdr>
                                <w:top w:val="none" w:sz="0" w:space="0" w:color="auto"/>
                                <w:left w:val="none" w:sz="0" w:space="0" w:color="auto"/>
                                <w:bottom w:val="none" w:sz="0" w:space="0" w:color="auto"/>
                                <w:right w:val="none" w:sz="0" w:space="0" w:color="auto"/>
                              </w:divBdr>
                            </w:div>
                            <w:div w:id="422721438">
                              <w:marLeft w:val="0"/>
                              <w:marRight w:val="0"/>
                              <w:marTop w:val="0"/>
                              <w:marBottom w:val="0"/>
                              <w:divBdr>
                                <w:top w:val="none" w:sz="0" w:space="0" w:color="auto"/>
                                <w:left w:val="none" w:sz="0" w:space="0" w:color="auto"/>
                                <w:bottom w:val="none" w:sz="0" w:space="0" w:color="auto"/>
                                <w:right w:val="none" w:sz="0" w:space="0" w:color="auto"/>
                              </w:divBdr>
                            </w:div>
                            <w:div w:id="11595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788994">
      <w:bodyDiv w:val="1"/>
      <w:marLeft w:val="0"/>
      <w:marRight w:val="0"/>
      <w:marTop w:val="0"/>
      <w:marBottom w:val="0"/>
      <w:divBdr>
        <w:top w:val="none" w:sz="0" w:space="0" w:color="auto"/>
        <w:left w:val="none" w:sz="0" w:space="0" w:color="auto"/>
        <w:bottom w:val="none" w:sz="0" w:space="0" w:color="auto"/>
        <w:right w:val="none" w:sz="0" w:space="0" w:color="auto"/>
      </w:divBdr>
    </w:div>
    <w:div w:id="459499723">
      <w:bodyDiv w:val="1"/>
      <w:marLeft w:val="0"/>
      <w:marRight w:val="0"/>
      <w:marTop w:val="0"/>
      <w:marBottom w:val="0"/>
      <w:divBdr>
        <w:top w:val="none" w:sz="0" w:space="0" w:color="auto"/>
        <w:left w:val="none" w:sz="0" w:space="0" w:color="auto"/>
        <w:bottom w:val="none" w:sz="0" w:space="0" w:color="auto"/>
        <w:right w:val="none" w:sz="0" w:space="0" w:color="auto"/>
      </w:divBdr>
      <w:divsChild>
        <w:div w:id="950820711">
          <w:marLeft w:val="0"/>
          <w:marRight w:val="1"/>
          <w:marTop w:val="0"/>
          <w:marBottom w:val="0"/>
          <w:divBdr>
            <w:top w:val="none" w:sz="0" w:space="0" w:color="auto"/>
            <w:left w:val="none" w:sz="0" w:space="0" w:color="auto"/>
            <w:bottom w:val="none" w:sz="0" w:space="0" w:color="auto"/>
            <w:right w:val="none" w:sz="0" w:space="0" w:color="auto"/>
          </w:divBdr>
          <w:divsChild>
            <w:div w:id="1471093343">
              <w:marLeft w:val="0"/>
              <w:marRight w:val="0"/>
              <w:marTop w:val="0"/>
              <w:marBottom w:val="0"/>
              <w:divBdr>
                <w:top w:val="none" w:sz="0" w:space="0" w:color="auto"/>
                <w:left w:val="none" w:sz="0" w:space="0" w:color="auto"/>
                <w:bottom w:val="none" w:sz="0" w:space="0" w:color="auto"/>
                <w:right w:val="none" w:sz="0" w:space="0" w:color="auto"/>
              </w:divBdr>
              <w:divsChild>
                <w:div w:id="1922367520">
                  <w:marLeft w:val="0"/>
                  <w:marRight w:val="1"/>
                  <w:marTop w:val="0"/>
                  <w:marBottom w:val="0"/>
                  <w:divBdr>
                    <w:top w:val="none" w:sz="0" w:space="0" w:color="auto"/>
                    <w:left w:val="none" w:sz="0" w:space="0" w:color="auto"/>
                    <w:bottom w:val="none" w:sz="0" w:space="0" w:color="auto"/>
                    <w:right w:val="none" w:sz="0" w:space="0" w:color="auto"/>
                  </w:divBdr>
                  <w:divsChild>
                    <w:div w:id="288441775">
                      <w:marLeft w:val="0"/>
                      <w:marRight w:val="0"/>
                      <w:marTop w:val="0"/>
                      <w:marBottom w:val="0"/>
                      <w:divBdr>
                        <w:top w:val="none" w:sz="0" w:space="0" w:color="auto"/>
                        <w:left w:val="none" w:sz="0" w:space="0" w:color="auto"/>
                        <w:bottom w:val="none" w:sz="0" w:space="0" w:color="auto"/>
                        <w:right w:val="none" w:sz="0" w:space="0" w:color="auto"/>
                      </w:divBdr>
                      <w:divsChild>
                        <w:div w:id="184102368">
                          <w:marLeft w:val="0"/>
                          <w:marRight w:val="0"/>
                          <w:marTop w:val="0"/>
                          <w:marBottom w:val="0"/>
                          <w:divBdr>
                            <w:top w:val="none" w:sz="0" w:space="0" w:color="auto"/>
                            <w:left w:val="none" w:sz="0" w:space="0" w:color="auto"/>
                            <w:bottom w:val="none" w:sz="0" w:space="0" w:color="auto"/>
                            <w:right w:val="none" w:sz="0" w:space="0" w:color="auto"/>
                          </w:divBdr>
                          <w:divsChild>
                            <w:div w:id="13388759">
                              <w:marLeft w:val="0"/>
                              <w:marRight w:val="0"/>
                              <w:marTop w:val="120"/>
                              <w:marBottom w:val="360"/>
                              <w:divBdr>
                                <w:top w:val="none" w:sz="0" w:space="0" w:color="auto"/>
                                <w:left w:val="none" w:sz="0" w:space="0" w:color="auto"/>
                                <w:bottom w:val="none" w:sz="0" w:space="0" w:color="auto"/>
                                <w:right w:val="none" w:sz="0" w:space="0" w:color="auto"/>
                              </w:divBdr>
                              <w:divsChild>
                                <w:div w:id="2044092446">
                                  <w:marLeft w:val="420"/>
                                  <w:marRight w:val="0"/>
                                  <w:marTop w:val="0"/>
                                  <w:marBottom w:val="0"/>
                                  <w:divBdr>
                                    <w:top w:val="none" w:sz="0" w:space="0" w:color="auto"/>
                                    <w:left w:val="none" w:sz="0" w:space="0" w:color="auto"/>
                                    <w:bottom w:val="none" w:sz="0" w:space="0" w:color="auto"/>
                                    <w:right w:val="none" w:sz="0" w:space="0" w:color="auto"/>
                                  </w:divBdr>
                                  <w:divsChild>
                                    <w:div w:id="139122900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785491">
      <w:bodyDiv w:val="1"/>
      <w:marLeft w:val="0"/>
      <w:marRight w:val="0"/>
      <w:marTop w:val="0"/>
      <w:marBottom w:val="0"/>
      <w:divBdr>
        <w:top w:val="none" w:sz="0" w:space="0" w:color="auto"/>
        <w:left w:val="none" w:sz="0" w:space="0" w:color="auto"/>
        <w:bottom w:val="none" w:sz="0" w:space="0" w:color="auto"/>
        <w:right w:val="none" w:sz="0" w:space="0" w:color="auto"/>
      </w:divBdr>
      <w:divsChild>
        <w:div w:id="734471295">
          <w:marLeft w:val="0"/>
          <w:marRight w:val="0"/>
          <w:marTop w:val="0"/>
          <w:marBottom w:val="0"/>
          <w:divBdr>
            <w:top w:val="single" w:sz="6" w:space="0" w:color="666666"/>
            <w:left w:val="single" w:sz="6" w:space="0" w:color="666666"/>
            <w:bottom w:val="single" w:sz="6" w:space="0" w:color="666666"/>
            <w:right w:val="single" w:sz="6" w:space="0" w:color="666666"/>
          </w:divBdr>
          <w:divsChild>
            <w:div w:id="1766416482">
              <w:marLeft w:val="0"/>
              <w:marRight w:val="0"/>
              <w:marTop w:val="0"/>
              <w:marBottom w:val="0"/>
              <w:divBdr>
                <w:top w:val="none" w:sz="0" w:space="0" w:color="auto"/>
                <w:left w:val="none" w:sz="0" w:space="0" w:color="auto"/>
                <w:bottom w:val="none" w:sz="0" w:space="0" w:color="auto"/>
                <w:right w:val="none" w:sz="0" w:space="0" w:color="auto"/>
              </w:divBdr>
              <w:divsChild>
                <w:div w:id="1665471178">
                  <w:marLeft w:val="0"/>
                  <w:marRight w:val="0"/>
                  <w:marTop w:val="0"/>
                  <w:marBottom w:val="300"/>
                  <w:divBdr>
                    <w:top w:val="none" w:sz="0" w:space="0" w:color="auto"/>
                    <w:left w:val="none" w:sz="0" w:space="0" w:color="auto"/>
                    <w:bottom w:val="none" w:sz="0" w:space="0" w:color="auto"/>
                    <w:right w:val="none" w:sz="0" w:space="0" w:color="auto"/>
                  </w:divBdr>
                  <w:divsChild>
                    <w:div w:id="1083600810">
                      <w:marLeft w:val="0"/>
                      <w:marRight w:val="0"/>
                      <w:marTop w:val="0"/>
                      <w:marBottom w:val="0"/>
                      <w:divBdr>
                        <w:top w:val="none" w:sz="0" w:space="0" w:color="auto"/>
                        <w:left w:val="none" w:sz="0" w:space="0" w:color="auto"/>
                        <w:bottom w:val="none" w:sz="0" w:space="0" w:color="auto"/>
                        <w:right w:val="none" w:sz="0" w:space="0" w:color="auto"/>
                      </w:divBdr>
                      <w:divsChild>
                        <w:div w:id="1178352939">
                          <w:marLeft w:val="0"/>
                          <w:marRight w:val="0"/>
                          <w:marTop w:val="0"/>
                          <w:marBottom w:val="0"/>
                          <w:divBdr>
                            <w:top w:val="none" w:sz="0" w:space="0" w:color="auto"/>
                            <w:left w:val="none" w:sz="0" w:space="0" w:color="auto"/>
                            <w:bottom w:val="none" w:sz="0" w:space="0" w:color="auto"/>
                            <w:right w:val="none" w:sz="0" w:space="0" w:color="auto"/>
                          </w:divBdr>
                          <w:divsChild>
                            <w:div w:id="1822386609">
                              <w:marLeft w:val="0"/>
                              <w:marRight w:val="0"/>
                              <w:marTop w:val="0"/>
                              <w:marBottom w:val="0"/>
                              <w:divBdr>
                                <w:top w:val="none" w:sz="0" w:space="0" w:color="auto"/>
                                <w:left w:val="none" w:sz="0" w:space="0" w:color="auto"/>
                                <w:bottom w:val="none" w:sz="0" w:space="0" w:color="auto"/>
                                <w:right w:val="none" w:sz="0" w:space="0" w:color="auto"/>
                              </w:divBdr>
                              <w:divsChild>
                                <w:div w:id="3215080">
                                  <w:marLeft w:val="0"/>
                                  <w:marRight w:val="0"/>
                                  <w:marTop w:val="0"/>
                                  <w:marBottom w:val="0"/>
                                  <w:divBdr>
                                    <w:top w:val="none" w:sz="0" w:space="0" w:color="auto"/>
                                    <w:left w:val="none" w:sz="0" w:space="0" w:color="auto"/>
                                    <w:bottom w:val="none" w:sz="0" w:space="0" w:color="auto"/>
                                    <w:right w:val="none" w:sz="0" w:space="0" w:color="auto"/>
                                  </w:divBdr>
                                  <w:divsChild>
                                    <w:div w:id="1555115111">
                                      <w:marLeft w:val="0"/>
                                      <w:marRight w:val="0"/>
                                      <w:marTop w:val="0"/>
                                      <w:marBottom w:val="0"/>
                                      <w:divBdr>
                                        <w:top w:val="none" w:sz="0" w:space="0" w:color="auto"/>
                                        <w:left w:val="none" w:sz="0" w:space="0" w:color="auto"/>
                                        <w:bottom w:val="none" w:sz="0" w:space="0" w:color="auto"/>
                                        <w:right w:val="none" w:sz="0" w:space="0" w:color="auto"/>
                                      </w:divBdr>
                                    </w:div>
                                    <w:div w:id="290593036">
                                      <w:marLeft w:val="0"/>
                                      <w:marRight w:val="0"/>
                                      <w:marTop w:val="0"/>
                                      <w:marBottom w:val="0"/>
                                      <w:divBdr>
                                        <w:top w:val="none" w:sz="0" w:space="0" w:color="auto"/>
                                        <w:left w:val="none" w:sz="0" w:space="0" w:color="auto"/>
                                        <w:bottom w:val="none" w:sz="0" w:space="0" w:color="auto"/>
                                        <w:right w:val="none" w:sz="0" w:space="0" w:color="auto"/>
                                      </w:divBdr>
                                    </w:div>
                                  </w:divsChild>
                                </w:div>
                                <w:div w:id="1073814296">
                                  <w:marLeft w:val="0"/>
                                  <w:marRight w:val="0"/>
                                  <w:marTop w:val="0"/>
                                  <w:marBottom w:val="0"/>
                                  <w:divBdr>
                                    <w:top w:val="none" w:sz="0" w:space="0" w:color="auto"/>
                                    <w:left w:val="none" w:sz="0" w:space="0" w:color="auto"/>
                                    <w:bottom w:val="none" w:sz="0" w:space="0" w:color="auto"/>
                                    <w:right w:val="none" w:sz="0" w:space="0" w:color="auto"/>
                                  </w:divBdr>
                                  <w:divsChild>
                                    <w:div w:id="1944142646">
                                      <w:marLeft w:val="0"/>
                                      <w:marRight w:val="0"/>
                                      <w:marTop w:val="0"/>
                                      <w:marBottom w:val="0"/>
                                      <w:divBdr>
                                        <w:top w:val="none" w:sz="0" w:space="0" w:color="auto"/>
                                        <w:left w:val="none" w:sz="0" w:space="0" w:color="auto"/>
                                        <w:bottom w:val="none" w:sz="0" w:space="0" w:color="auto"/>
                                        <w:right w:val="none" w:sz="0" w:space="0" w:color="auto"/>
                                      </w:divBdr>
                                    </w:div>
                                    <w:div w:id="162595014">
                                      <w:marLeft w:val="0"/>
                                      <w:marRight w:val="0"/>
                                      <w:marTop w:val="0"/>
                                      <w:marBottom w:val="0"/>
                                      <w:divBdr>
                                        <w:top w:val="none" w:sz="0" w:space="0" w:color="auto"/>
                                        <w:left w:val="none" w:sz="0" w:space="0" w:color="auto"/>
                                        <w:bottom w:val="none" w:sz="0" w:space="0" w:color="auto"/>
                                        <w:right w:val="none" w:sz="0" w:space="0" w:color="auto"/>
                                      </w:divBdr>
                                    </w:div>
                                  </w:divsChild>
                                </w:div>
                                <w:div w:id="555092845">
                                  <w:marLeft w:val="0"/>
                                  <w:marRight w:val="0"/>
                                  <w:marTop w:val="0"/>
                                  <w:marBottom w:val="0"/>
                                  <w:divBdr>
                                    <w:top w:val="none" w:sz="0" w:space="0" w:color="auto"/>
                                    <w:left w:val="none" w:sz="0" w:space="0" w:color="auto"/>
                                    <w:bottom w:val="none" w:sz="0" w:space="0" w:color="auto"/>
                                    <w:right w:val="none" w:sz="0" w:space="0" w:color="auto"/>
                                  </w:divBdr>
                                  <w:divsChild>
                                    <w:div w:id="1926919553">
                                      <w:marLeft w:val="0"/>
                                      <w:marRight w:val="0"/>
                                      <w:marTop w:val="0"/>
                                      <w:marBottom w:val="0"/>
                                      <w:divBdr>
                                        <w:top w:val="none" w:sz="0" w:space="0" w:color="auto"/>
                                        <w:left w:val="none" w:sz="0" w:space="0" w:color="auto"/>
                                        <w:bottom w:val="none" w:sz="0" w:space="0" w:color="auto"/>
                                        <w:right w:val="none" w:sz="0" w:space="0" w:color="auto"/>
                                      </w:divBdr>
                                    </w:div>
                                    <w:div w:id="19282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374988">
                              <w:marLeft w:val="0"/>
                              <w:marRight w:val="0"/>
                              <w:marTop w:val="0"/>
                              <w:marBottom w:val="0"/>
                              <w:divBdr>
                                <w:top w:val="none" w:sz="0" w:space="0" w:color="auto"/>
                                <w:left w:val="none" w:sz="0" w:space="0" w:color="auto"/>
                                <w:bottom w:val="none" w:sz="0" w:space="0" w:color="auto"/>
                                <w:right w:val="none" w:sz="0" w:space="0" w:color="auto"/>
                              </w:divBdr>
                            </w:div>
                            <w:div w:id="21441524">
                              <w:marLeft w:val="0"/>
                              <w:marRight w:val="0"/>
                              <w:marTop w:val="0"/>
                              <w:marBottom w:val="0"/>
                              <w:divBdr>
                                <w:top w:val="none" w:sz="0" w:space="0" w:color="auto"/>
                                <w:left w:val="none" w:sz="0" w:space="0" w:color="auto"/>
                                <w:bottom w:val="none" w:sz="0" w:space="0" w:color="auto"/>
                                <w:right w:val="none" w:sz="0" w:space="0" w:color="auto"/>
                              </w:divBdr>
                            </w:div>
                            <w:div w:id="957101420">
                              <w:marLeft w:val="0"/>
                              <w:marRight w:val="0"/>
                              <w:marTop w:val="0"/>
                              <w:marBottom w:val="0"/>
                              <w:divBdr>
                                <w:top w:val="none" w:sz="0" w:space="0" w:color="auto"/>
                                <w:left w:val="none" w:sz="0" w:space="0" w:color="auto"/>
                                <w:bottom w:val="none" w:sz="0" w:space="0" w:color="auto"/>
                                <w:right w:val="none" w:sz="0" w:space="0" w:color="auto"/>
                              </w:divBdr>
                            </w:div>
                            <w:div w:id="14506445">
                              <w:marLeft w:val="0"/>
                              <w:marRight w:val="0"/>
                              <w:marTop w:val="0"/>
                              <w:marBottom w:val="0"/>
                              <w:divBdr>
                                <w:top w:val="none" w:sz="0" w:space="0" w:color="auto"/>
                                <w:left w:val="none" w:sz="0" w:space="0" w:color="auto"/>
                                <w:bottom w:val="none" w:sz="0" w:space="0" w:color="auto"/>
                                <w:right w:val="none" w:sz="0" w:space="0" w:color="auto"/>
                              </w:divBdr>
                            </w:div>
                            <w:div w:id="829636409">
                              <w:marLeft w:val="0"/>
                              <w:marRight w:val="0"/>
                              <w:marTop w:val="0"/>
                              <w:marBottom w:val="0"/>
                              <w:divBdr>
                                <w:top w:val="none" w:sz="0" w:space="0" w:color="auto"/>
                                <w:left w:val="none" w:sz="0" w:space="0" w:color="auto"/>
                                <w:bottom w:val="none" w:sz="0" w:space="0" w:color="auto"/>
                                <w:right w:val="none" w:sz="0" w:space="0" w:color="auto"/>
                              </w:divBdr>
                            </w:div>
                            <w:div w:id="40491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304545">
      <w:bodyDiv w:val="1"/>
      <w:marLeft w:val="0"/>
      <w:marRight w:val="0"/>
      <w:marTop w:val="0"/>
      <w:marBottom w:val="0"/>
      <w:divBdr>
        <w:top w:val="none" w:sz="0" w:space="0" w:color="auto"/>
        <w:left w:val="none" w:sz="0" w:space="0" w:color="auto"/>
        <w:bottom w:val="none" w:sz="0" w:space="0" w:color="auto"/>
        <w:right w:val="none" w:sz="0" w:space="0" w:color="auto"/>
      </w:divBdr>
      <w:divsChild>
        <w:div w:id="562982050">
          <w:marLeft w:val="0"/>
          <w:marRight w:val="0"/>
          <w:marTop w:val="0"/>
          <w:marBottom w:val="0"/>
          <w:divBdr>
            <w:top w:val="single" w:sz="6" w:space="0" w:color="666666"/>
            <w:left w:val="single" w:sz="6" w:space="0" w:color="666666"/>
            <w:bottom w:val="single" w:sz="6" w:space="0" w:color="666666"/>
            <w:right w:val="single" w:sz="6" w:space="0" w:color="666666"/>
          </w:divBdr>
          <w:divsChild>
            <w:div w:id="111366274">
              <w:marLeft w:val="0"/>
              <w:marRight w:val="0"/>
              <w:marTop w:val="0"/>
              <w:marBottom w:val="0"/>
              <w:divBdr>
                <w:top w:val="none" w:sz="0" w:space="0" w:color="auto"/>
                <w:left w:val="none" w:sz="0" w:space="0" w:color="auto"/>
                <w:bottom w:val="none" w:sz="0" w:space="0" w:color="auto"/>
                <w:right w:val="none" w:sz="0" w:space="0" w:color="auto"/>
              </w:divBdr>
              <w:divsChild>
                <w:div w:id="733283368">
                  <w:marLeft w:val="0"/>
                  <w:marRight w:val="0"/>
                  <w:marTop w:val="0"/>
                  <w:marBottom w:val="300"/>
                  <w:divBdr>
                    <w:top w:val="none" w:sz="0" w:space="0" w:color="auto"/>
                    <w:left w:val="none" w:sz="0" w:space="0" w:color="auto"/>
                    <w:bottom w:val="none" w:sz="0" w:space="0" w:color="auto"/>
                    <w:right w:val="none" w:sz="0" w:space="0" w:color="auto"/>
                  </w:divBdr>
                  <w:divsChild>
                    <w:div w:id="344290600">
                      <w:marLeft w:val="0"/>
                      <w:marRight w:val="0"/>
                      <w:marTop w:val="0"/>
                      <w:marBottom w:val="0"/>
                      <w:divBdr>
                        <w:top w:val="none" w:sz="0" w:space="0" w:color="auto"/>
                        <w:left w:val="none" w:sz="0" w:space="0" w:color="auto"/>
                        <w:bottom w:val="none" w:sz="0" w:space="0" w:color="auto"/>
                        <w:right w:val="none" w:sz="0" w:space="0" w:color="auto"/>
                      </w:divBdr>
                      <w:divsChild>
                        <w:div w:id="231741722">
                          <w:marLeft w:val="0"/>
                          <w:marRight w:val="0"/>
                          <w:marTop w:val="0"/>
                          <w:marBottom w:val="0"/>
                          <w:divBdr>
                            <w:top w:val="none" w:sz="0" w:space="0" w:color="auto"/>
                            <w:left w:val="none" w:sz="0" w:space="0" w:color="auto"/>
                            <w:bottom w:val="none" w:sz="0" w:space="0" w:color="auto"/>
                            <w:right w:val="none" w:sz="0" w:space="0" w:color="auto"/>
                          </w:divBdr>
                          <w:divsChild>
                            <w:div w:id="215514540">
                              <w:marLeft w:val="0"/>
                              <w:marRight w:val="0"/>
                              <w:marTop w:val="0"/>
                              <w:marBottom w:val="0"/>
                              <w:divBdr>
                                <w:top w:val="none" w:sz="0" w:space="0" w:color="auto"/>
                                <w:left w:val="none" w:sz="0" w:space="0" w:color="auto"/>
                                <w:bottom w:val="none" w:sz="0" w:space="0" w:color="auto"/>
                                <w:right w:val="none" w:sz="0" w:space="0" w:color="auto"/>
                              </w:divBdr>
                              <w:divsChild>
                                <w:div w:id="1367832181">
                                  <w:marLeft w:val="0"/>
                                  <w:marRight w:val="0"/>
                                  <w:marTop w:val="0"/>
                                  <w:marBottom w:val="0"/>
                                  <w:divBdr>
                                    <w:top w:val="none" w:sz="0" w:space="0" w:color="auto"/>
                                    <w:left w:val="none" w:sz="0" w:space="0" w:color="auto"/>
                                    <w:bottom w:val="none" w:sz="0" w:space="0" w:color="auto"/>
                                    <w:right w:val="none" w:sz="0" w:space="0" w:color="auto"/>
                                  </w:divBdr>
                                  <w:divsChild>
                                    <w:div w:id="34890043">
                                      <w:marLeft w:val="0"/>
                                      <w:marRight w:val="0"/>
                                      <w:marTop w:val="0"/>
                                      <w:marBottom w:val="0"/>
                                      <w:divBdr>
                                        <w:top w:val="none" w:sz="0" w:space="0" w:color="auto"/>
                                        <w:left w:val="none" w:sz="0" w:space="0" w:color="auto"/>
                                        <w:bottom w:val="none" w:sz="0" w:space="0" w:color="auto"/>
                                        <w:right w:val="none" w:sz="0" w:space="0" w:color="auto"/>
                                      </w:divBdr>
                                    </w:div>
                                    <w:div w:id="754592029">
                                      <w:marLeft w:val="0"/>
                                      <w:marRight w:val="0"/>
                                      <w:marTop w:val="0"/>
                                      <w:marBottom w:val="0"/>
                                      <w:divBdr>
                                        <w:top w:val="none" w:sz="0" w:space="0" w:color="auto"/>
                                        <w:left w:val="none" w:sz="0" w:space="0" w:color="auto"/>
                                        <w:bottom w:val="none" w:sz="0" w:space="0" w:color="auto"/>
                                        <w:right w:val="none" w:sz="0" w:space="0" w:color="auto"/>
                                      </w:divBdr>
                                    </w:div>
                                  </w:divsChild>
                                </w:div>
                                <w:div w:id="260184737">
                                  <w:marLeft w:val="0"/>
                                  <w:marRight w:val="0"/>
                                  <w:marTop w:val="0"/>
                                  <w:marBottom w:val="0"/>
                                  <w:divBdr>
                                    <w:top w:val="none" w:sz="0" w:space="0" w:color="auto"/>
                                    <w:left w:val="none" w:sz="0" w:space="0" w:color="auto"/>
                                    <w:bottom w:val="none" w:sz="0" w:space="0" w:color="auto"/>
                                    <w:right w:val="none" w:sz="0" w:space="0" w:color="auto"/>
                                  </w:divBdr>
                                  <w:divsChild>
                                    <w:div w:id="219480723">
                                      <w:marLeft w:val="0"/>
                                      <w:marRight w:val="0"/>
                                      <w:marTop w:val="0"/>
                                      <w:marBottom w:val="0"/>
                                      <w:divBdr>
                                        <w:top w:val="none" w:sz="0" w:space="0" w:color="auto"/>
                                        <w:left w:val="none" w:sz="0" w:space="0" w:color="auto"/>
                                        <w:bottom w:val="none" w:sz="0" w:space="0" w:color="auto"/>
                                        <w:right w:val="none" w:sz="0" w:space="0" w:color="auto"/>
                                      </w:divBdr>
                                    </w:div>
                                    <w:div w:id="1342274279">
                                      <w:marLeft w:val="0"/>
                                      <w:marRight w:val="0"/>
                                      <w:marTop w:val="0"/>
                                      <w:marBottom w:val="0"/>
                                      <w:divBdr>
                                        <w:top w:val="none" w:sz="0" w:space="0" w:color="auto"/>
                                        <w:left w:val="none" w:sz="0" w:space="0" w:color="auto"/>
                                        <w:bottom w:val="none" w:sz="0" w:space="0" w:color="auto"/>
                                        <w:right w:val="none" w:sz="0" w:space="0" w:color="auto"/>
                                      </w:divBdr>
                                    </w:div>
                                  </w:divsChild>
                                </w:div>
                                <w:div w:id="710883782">
                                  <w:marLeft w:val="0"/>
                                  <w:marRight w:val="0"/>
                                  <w:marTop w:val="0"/>
                                  <w:marBottom w:val="0"/>
                                  <w:divBdr>
                                    <w:top w:val="none" w:sz="0" w:space="0" w:color="auto"/>
                                    <w:left w:val="none" w:sz="0" w:space="0" w:color="auto"/>
                                    <w:bottom w:val="none" w:sz="0" w:space="0" w:color="auto"/>
                                    <w:right w:val="none" w:sz="0" w:space="0" w:color="auto"/>
                                  </w:divBdr>
                                  <w:divsChild>
                                    <w:div w:id="265890057">
                                      <w:marLeft w:val="0"/>
                                      <w:marRight w:val="0"/>
                                      <w:marTop w:val="0"/>
                                      <w:marBottom w:val="0"/>
                                      <w:divBdr>
                                        <w:top w:val="none" w:sz="0" w:space="0" w:color="auto"/>
                                        <w:left w:val="none" w:sz="0" w:space="0" w:color="auto"/>
                                        <w:bottom w:val="none" w:sz="0" w:space="0" w:color="auto"/>
                                        <w:right w:val="none" w:sz="0" w:space="0" w:color="auto"/>
                                      </w:divBdr>
                                    </w:div>
                                    <w:div w:id="15188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82510">
                              <w:marLeft w:val="0"/>
                              <w:marRight w:val="0"/>
                              <w:marTop w:val="0"/>
                              <w:marBottom w:val="0"/>
                              <w:divBdr>
                                <w:top w:val="none" w:sz="0" w:space="0" w:color="auto"/>
                                <w:left w:val="none" w:sz="0" w:space="0" w:color="auto"/>
                                <w:bottom w:val="none" w:sz="0" w:space="0" w:color="auto"/>
                                <w:right w:val="none" w:sz="0" w:space="0" w:color="auto"/>
                              </w:divBdr>
                            </w:div>
                            <w:div w:id="779107711">
                              <w:marLeft w:val="0"/>
                              <w:marRight w:val="0"/>
                              <w:marTop w:val="0"/>
                              <w:marBottom w:val="0"/>
                              <w:divBdr>
                                <w:top w:val="none" w:sz="0" w:space="0" w:color="auto"/>
                                <w:left w:val="none" w:sz="0" w:space="0" w:color="auto"/>
                                <w:bottom w:val="none" w:sz="0" w:space="0" w:color="auto"/>
                                <w:right w:val="none" w:sz="0" w:space="0" w:color="auto"/>
                              </w:divBdr>
                            </w:div>
                            <w:div w:id="1169098735">
                              <w:marLeft w:val="0"/>
                              <w:marRight w:val="0"/>
                              <w:marTop w:val="0"/>
                              <w:marBottom w:val="0"/>
                              <w:divBdr>
                                <w:top w:val="none" w:sz="0" w:space="0" w:color="auto"/>
                                <w:left w:val="none" w:sz="0" w:space="0" w:color="auto"/>
                                <w:bottom w:val="none" w:sz="0" w:space="0" w:color="auto"/>
                                <w:right w:val="none" w:sz="0" w:space="0" w:color="auto"/>
                              </w:divBdr>
                            </w:div>
                            <w:div w:id="1496605308">
                              <w:marLeft w:val="0"/>
                              <w:marRight w:val="0"/>
                              <w:marTop w:val="0"/>
                              <w:marBottom w:val="0"/>
                              <w:divBdr>
                                <w:top w:val="none" w:sz="0" w:space="0" w:color="auto"/>
                                <w:left w:val="none" w:sz="0" w:space="0" w:color="auto"/>
                                <w:bottom w:val="none" w:sz="0" w:space="0" w:color="auto"/>
                                <w:right w:val="none" w:sz="0" w:space="0" w:color="auto"/>
                              </w:divBdr>
                            </w:div>
                            <w:div w:id="16415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591941">
      <w:bodyDiv w:val="1"/>
      <w:marLeft w:val="0"/>
      <w:marRight w:val="0"/>
      <w:marTop w:val="0"/>
      <w:marBottom w:val="0"/>
      <w:divBdr>
        <w:top w:val="none" w:sz="0" w:space="0" w:color="auto"/>
        <w:left w:val="none" w:sz="0" w:space="0" w:color="auto"/>
        <w:bottom w:val="none" w:sz="0" w:space="0" w:color="auto"/>
        <w:right w:val="none" w:sz="0" w:space="0" w:color="auto"/>
      </w:divBdr>
    </w:div>
    <w:div w:id="701591427">
      <w:bodyDiv w:val="1"/>
      <w:marLeft w:val="0"/>
      <w:marRight w:val="0"/>
      <w:marTop w:val="0"/>
      <w:marBottom w:val="0"/>
      <w:divBdr>
        <w:top w:val="none" w:sz="0" w:space="0" w:color="auto"/>
        <w:left w:val="none" w:sz="0" w:space="0" w:color="auto"/>
        <w:bottom w:val="none" w:sz="0" w:space="0" w:color="auto"/>
        <w:right w:val="none" w:sz="0" w:space="0" w:color="auto"/>
      </w:divBdr>
      <w:divsChild>
        <w:div w:id="674455436">
          <w:marLeft w:val="0"/>
          <w:marRight w:val="1"/>
          <w:marTop w:val="0"/>
          <w:marBottom w:val="0"/>
          <w:divBdr>
            <w:top w:val="none" w:sz="0" w:space="0" w:color="auto"/>
            <w:left w:val="none" w:sz="0" w:space="0" w:color="auto"/>
            <w:bottom w:val="none" w:sz="0" w:space="0" w:color="auto"/>
            <w:right w:val="none" w:sz="0" w:space="0" w:color="auto"/>
          </w:divBdr>
          <w:divsChild>
            <w:div w:id="2053966533">
              <w:marLeft w:val="0"/>
              <w:marRight w:val="0"/>
              <w:marTop w:val="0"/>
              <w:marBottom w:val="0"/>
              <w:divBdr>
                <w:top w:val="none" w:sz="0" w:space="0" w:color="auto"/>
                <w:left w:val="none" w:sz="0" w:space="0" w:color="auto"/>
                <w:bottom w:val="none" w:sz="0" w:space="0" w:color="auto"/>
                <w:right w:val="none" w:sz="0" w:space="0" w:color="auto"/>
              </w:divBdr>
              <w:divsChild>
                <w:div w:id="1331371243">
                  <w:marLeft w:val="0"/>
                  <w:marRight w:val="1"/>
                  <w:marTop w:val="0"/>
                  <w:marBottom w:val="0"/>
                  <w:divBdr>
                    <w:top w:val="none" w:sz="0" w:space="0" w:color="auto"/>
                    <w:left w:val="none" w:sz="0" w:space="0" w:color="auto"/>
                    <w:bottom w:val="none" w:sz="0" w:space="0" w:color="auto"/>
                    <w:right w:val="none" w:sz="0" w:space="0" w:color="auto"/>
                  </w:divBdr>
                  <w:divsChild>
                    <w:div w:id="576478226">
                      <w:marLeft w:val="0"/>
                      <w:marRight w:val="0"/>
                      <w:marTop w:val="0"/>
                      <w:marBottom w:val="0"/>
                      <w:divBdr>
                        <w:top w:val="none" w:sz="0" w:space="0" w:color="auto"/>
                        <w:left w:val="none" w:sz="0" w:space="0" w:color="auto"/>
                        <w:bottom w:val="none" w:sz="0" w:space="0" w:color="auto"/>
                        <w:right w:val="none" w:sz="0" w:space="0" w:color="auto"/>
                      </w:divBdr>
                      <w:divsChild>
                        <w:div w:id="1676109425">
                          <w:marLeft w:val="0"/>
                          <w:marRight w:val="0"/>
                          <w:marTop w:val="0"/>
                          <w:marBottom w:val="0"/>
                          <w:divBdr>
                            <w:top w:val="none" w:sz="0" w:space="0" w:color="auto"/>
                            <w:left w:val="none" w:sz="0" w:space="0" w:color="auto"/>
                            <w:bottom w:val="none" w:sz="0" w:space="0" w:color="auto"/>
                            <w:right w:val="none" w:sz="0" w:space="0" w:color="auto"/>
                          </w:divBdr>
                          <w:divsChild>
                            <w:div w:id="612715755">
                              <w:marLeft w:val="0"/>
                              <w:marRight w:val="0"/>
                              <w:marTop w:val="120"/>
                              <w:marBottom w:val="360"/>
                              <w:divBdr>
                                <w:top w:val="none" w:sz="0" w:space="0" w:color="auto"/>
                                <w:left w:val="none" w:sz="0" w:space="0" w:color="auto"/>
                                <w:bottom w:val="none" w:sz="0" w:space="0" w:color="auto"/>
                                <w:right w:val="none" w:sz="0" w:space="0" w:color="auto"/>
                              </w:divBdr>
                              <w:divsChild>
                                <w:div w:id="749735698">
                                  <w:marLeft w:val="420"/>
                                  <w:marRight w:val="0"/>
                                  <w:marTop w:val="0"/>
                                  <w:marBottom w:val="0"/>
                                  <w:divBdr>
                                    <w:top w:val="none" w:sz="0" w:space="0" w:color="auto"/>
                                    <w:left w:val="none" w:sz="0" w:space="0" w:color="auto"/>
                                    <w:bottom w:val="none" w:sz="0" w:space="0" w:color="auto"/>
                                    <w:right w:val="none" w:sz="0" w:space="0" w:color="auto"/>
                                  </w:divBdr>
                                  <w:divsChild>
                                    <w:div w:id="213478705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728195">
      <w:bodyDiv w:val="1"/>
      <w:marLeft w:val="0"/>
      <w:marRight w:val="0"/>
      <w:marTop w:val="0"/>
      <w:marBottom w:val="0"/>
      <w:divBdr>
        <w:top w:val="none" w:sz="0" w:space="0" w:color="auto"/>
        <w:left w:val="none" w:sz="0" w:space="0" w:color="auto"/>
        <w:bottom w:val="none" w:sz="0" w:space="0" w:color="auto"/>
        <w:right w:val="none" w:sz="0" w:space="0" w:color="auto"/>
      </w:divBdr>
      <w:divsChild>
        <w:div w:id="2068451434">
          <w:marLeft w:val="0"/>
          <w:marRight w:val="1"/>
          <w:marTop w:val="0"/>
          <w:marBottom w:val="0"/>
          <w:divBdr>
            <w:top w:val="none" w:sz="0" w:space="0" w:color="auto"/>
            <w:left w:val="none" w:sz="0" w:space="0" w:color="auto"/>
            <w:bottom w:val="none" w:sz="0" w:space="0" w:color="auto"/>
            <w:right w:val="none" w:sz="0" w:space="0" w:color="auto"/>
          </w:divBdr>
          <w:divsChild>
            <w:div w:id="468285188">
              <w:marLeft w:val="0"/>
              <w:marRight w:val="0"/>
              <w:marTop w:val="0"/>
              <w:marBottom w:val="0"/>
              <w:divBdr>
                <w:top w:val="none" w:sz="0" w:space="0" w:color="auto"/>
                <w:left w:val="none" w:sz="0" w:space="0" w:color="auto"/>
                <w:bottom w:val="none" w:sz="0" w:space="0" w:color="auto"/>
                <w:right w:val="none" w:sz="0" w:space="0" w:color="auto"/>
              </w:divBdr>
              <w:divsChild>
                <w:div w:id="630481704">
                  <w:marLeft w:val="0"/>
                  <w:marRight w:val="1"/>
                  <w:marTop w:val="0"/>
                  <w:marBottom w:val="0"/>
                  <w:divBdr>
                    <w:top w:val="none" w:sz="0" w:space="0" w:color="auto"/>
                    <w:left w:val="none" w:sz="0" w:space="0" w:color="auto"/>
                    <w:bottom w:val="none" w:sz="0" w:space="0" w:color="auto"/>
                    <w:right w:val="none" w:sz="0" w:space="0" w:color="auto"/>
                  </w:divBdr>
                  <w:divsChild>
                    <w:div w:id="1182891475">
                      <w:marLeft w:val="0"/>
                      <w:marRight w:val="0"/>
                      <w:marTop w:val="0"/>
                      <w:marBottom w:val="0"/>
                      <w:divBdr>
                        <w:top w:val="none" w:sz="0" w:space="0" w:color="auto"/>
                        <w:left w:val="none" w:sz="0" w:space="0" w:color="auto"/>
                        <w:bottom w:val="none" w:sz="0" w:space="0" w:color="auto"/>
                        <w:right w:val="none" w:sz="0" w:space="0" w:color="auto"/>
                      </w:divBdr>
                      <w:divsChild>
                        <w:div w:id="419453576">
                          <w:marLeft w:val="0"/>
                          <w:marRight w:val="0"/>
                          <w:marTop w:val="0"/>
                          <w:marBottom w:val="0"/>
                          <w:divBdr>
                            <w:top w:val="none" w:sz="0" w:space="0" w:color="auto"/>
                            <w:left w:val="none" w:sz="0" w:space="0" w:color="auto"/>
                            <w:bottom w:val="none" w:sz="0" w:space="0" w:color="auto"/>
                            <w:right w:val="none" w:sz="0" w:space="0" w:color="auto"/>
                          </w:divBdr>
                          <w:divsChild>
                            <w:div w:id="929584361">
                              <w:marLeft w:val="0"/>
                              <w:marRight w:val="0"/>
                              <w:marTop w:val="120"/>
                              <w:marBottom w:val="360"/>
                              <w:divBdr>
                                <w:top w:val="none" w:sz="0" w:space="0" w:color="auto"/>
                                <w:left w:val="none" w:sz="0" w:space="0" w:color="auto"/>
                                <w:bottom w:val="none" w:sz="0" w:space="0" w:color="auto"/>
                                <w:right w:val="none" w:sz="0" w:space="0" w:color="auto"/>
                              </w:divBdr>
                              <w:divsChild>
                                <w:div w:id="582034039">
                                  <w:marLeft w:val="420"/>
                                  <w:marRight w:val="0"/>
                                  <w:marTop w:val="0"/>
                                  <w:marBottom w:val="0"/>
                                  <w:divBdr>
                                    <w:top w:val="none" w:sz="0" w:space="0" w:color="auto"/>
                                    <w:left w:val="none" w:sz="0" w:space="0" w:color="auto"/>
                                    <w:bottom w:val="none" w:sz="0" w:space="0" w:color="auto"/>
                                    <w:right w:val="none" w:sz="0" w:space="0" w:color="auto"/>
                                  </w:divBdr>
                                  <w:divsChild>
                                    <w:div w:id="5697564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933945">
      <w:bodyDiv w:val="1"/>
      <w:marLeft w:val="0"/>
      <w:marRight w:val="0"/>
      <w:marTop w:val="0"/>
      <w:marBottom w:val="0"/>
      <w:divBdr>
        <w:top w:val="none" w:sz="0" w:space="0" w:color="auto"/>
        <w:left w:val="none" w:sz="0" w:space="0" w:color="auto"/>
        <w:bottom w:val="none" w:sz="0" w:space="0" w:color="auto"/>
        <w:right w:val="none" w:sz="0" w:space="0" w:color="auto"/>
      </w:divBdr>
      <w:divsChild>
        <w:div w:id="1804956581">
          <w:marLeft w:val="0"/>
          <w:marRight w:val="1"/>
          <w:marTop w:val="0"/>
          <w:marBottom w:val="0"/>
          <w:divBdr>
            <w:top w:val="none" w:sz="0" w:space="0" w:color="auto"/>
            <w:left w:val="none" w:sz="0" w:space="0" w:color="auto"/>
            <w:bottom w:val="none" w:sz="0" w:space="0" w:color="auto"/>
            <w:right w:val="none" w:sz="0" w:space="0" w:color="auto"/>
          </w:divBdr>
          <w:divsChild>
            <w:div w:id="1602253751">
              <w:marLeft w:val="0"/>
              <w:marRight w:val="0"/>
              <w:marTop w:val="0"/>
              <w:marBottom w:val="0"/>
              <w:divBdr>
                <w:top w:val="none" w:sz="0" w:space="0" w:color="auto"/>
                <w:left w:val="none" w:sz="0" w:space="0" w:color="auto"/>
                <w:bottom w:val="none" w:sz="0" w:space="0" w:color="auto"/>
                <w:right w:val="none" w:sz="0" w:space="0" w:color="auto"/>
              </w:divBdr>
              <w:divsChild>
                <w:div w:id="693531195">
                  <w:marLeft w:val="0"/>
                  <w:marRight w:val="1"/>
                  <w:marTop w:val="0"/>
                  <w:marBottom w:val="0"/>
                  <w:divBdr>
                    <w:top w:val="none" w:sz="0" w:space="0" w:color="auto"/>
                    <w:left w:val="none" w:sz="0" w:space="0" w:color="auto"/>
                    <w:bottom w:val="none" w:sz="0" w:space="0" w:color="auto"/>
                    <w:right w:val="none" w:sz="0" w:space="0" w:color="auto"/>
                  </w:divBdr>
                  <w:divsChild>
                    <w:div w:id="188689248">
                      <w:marLeft w:val="0"/>
                      <w:marRight w:val="0"/>
                      <w:marTop w:val="0"/>
                      <w:marBottom w:val="0"/>
                      <w:divBdr>
                        <w:top w:val="none" w:sz="0" w:space="0" w:color="auto"/>
                        <w:left w:val="none" w:sz="0" w:space="0" w:color="auto"/>
                        <w:bottom w:val="none" w:sz="0" w:space="0" w:color="auto"/>
                        <w:right w:val="none" w:sz="0" w:space="0" w:color="auto"/>
                      </w:divBdr>
                      <w:divsChild>
                        <w:div w:id="522011079">
                          <w:marLeft w:val="0"/>
                          <w:marRight w:val="0"/>
                          <w:marTop w:val="0"/>
                          <w:marBottom w:val="0"/>
                          <w:divBdr>
                            <w:top w:val="none" w:sz="0" w:space="0" w:color="auto"/>
                            <w:left w:val="none" w:sz="0" w:space="0" w:color="auto"/>
                            <w:bottom w:val="none" w:sz="0" w:space="0" w:color="auto"/>
                            <w:right w:val="none" w:sz="0" w:space="0" w:color="auto"/>
                          </w:divBdr>
                          <w:divsChild>
                            <w:div w:id="1291665977">
                              <w:marLeft w:val="0"/>
                              <w:marRight w:val="0"/>
                              <w:marTop w:val="120"/>
                              <w:marBottom w:val="360"/>
                              <w:divBdr>
                                <w:top w:val="none" w:sz="0" w:space="0" w:color="auto"/>
                                <w:left w:val="none" w:sz="0" w:space="0" w:color="auto"/>
                                <w:bottom w:val="none" w:sz="0" w:space="0" w:color="auto"/>
                                <w:right w:val="none" w:sz="0" w:space="0" w:color="auto"/>
                              </w:divBdr>
                              <w:divsChild>
                                <w:div w:id="464354601">
                                  <w:marLeft w:val="420"/>
                                  <w:marRight w:val="0"/>
                                  <w:marTop w:val="0"/>
                                  <w:marBottom w:val="0"/>
                                  <w:divBdr>
                                    <w:top w:val="none" w:sz="0" w:space="0" w:color="auto"/>
                                    <w:left w:val="none" w:sz="0" w:space="0" w:color="auto"/>
                                    <w:bottom w:val="none" w:sz="0" w:space="0" w:color="auto"/>
                                    <w:right w:val="none" w:sz="0" w:space="0" w:color="auto"/>
                                  </w:divBdr>
                                  <w:divsChild>
                                    <w:div w:id="116281496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5659180">
      <w:bodyDiv w:val="1"/>
      <w:marLeft w:val="0"/>
      <w:marRight w:val="0"/>
      <w:marTop w:val="0"/>
      <w:marBottom w:val="0"/>
      <w:divBdr>
        <w:top w:val="none" w:sz="0" w:space="0" w:color="auto"/>
        <w:left w:val="none" w:sz="0" w:space="0" w:color="auto"/>
        <w:bottom w:val="none" w:sz="0" w:space="0" w:color="auto"/>
        <w:right w:val="none" w:sz="0" w:space="0" w:color="auto"/>
      </w:divBdr>
    </w:div>
    <w:div w:id="1155999395">
      <w:bodyDiv w:val="1"/>
      <w:marLeft w:val="0"/>
      <w:marRight w:val="0"/>
      <w:marTop w:val="0"/>
      <w:marBottom w:val="0"/>
      <w:divBdr>
        <w:top w:val="none" w:sz="0" w:space="0" w:color="auto"/>
        <w:left w:val="none" w:sz="0" w:space="0" w:color="auto"/>
        <w:bottom w:val="none" w:sz="0" w:space="0" w:color="auto"/>
        <w:right w:val="none" w:sz="0" w:space="0" w:color="auto"/>
      </w:divBdr>
    </w:div>
    <w:div w:id="1250042547">
      <w:bodyDiv w:val="1"/>
      <w:marLeft w:val="0"/>
      <w:marRight w:val="0"/>
      <w:marTop w:val="0"/>
      <w:marBottom w:val="0"/>
      <w:divBdr>
        <w:top w:val="none" w:sz="0" w:space="0" w:color="auto"/>
        <w:left w:val="none" w:sz="0" w:space="0" w:color="auto"/>
        <w:bottom w:val="none" w:sz="0" w:space="0" w:color="auto"/>
        <w:right w:val="none" w:sz="0" w:space="0" w:color="auto"/>
      </w:divBdr>
    </w:div>
    <w:div w:id="1267735333">
      <w:bodyDiv w:val="1"/>
      <w:marLeft w:val="0"/>
      <w:marRight w:val="0"/>
      <w:marTop w:val="0"/>
      <w:marBottom w:val="0"/>
      <w:divBdr>
        <w:top w:val="none" w:sz="0" w:space="0" w:color="auto"/>
        <w:left w:val="none" w:sz="0" w:space="0" w:color="auto"/>
        <w:bottom w:val="none" w:sz="0" w:space="0" w:color="auto"/>
        <w:right w:val="none" w:sz="0" w:space="0" w:color="auto"/>
      </w:divBdr>
    </w:div>
    <w:div w:id="1284774268">
      <w:bodyDiv w:val="1"/>
      <w:marLeft w:val="0"/>
      <w:marRight w:val="0"/>
      <w:marTop w:val="0"/>
      <w:marBottom w:val="0"/>
      <w:divBdr>
        <w:top w:val="none" w:sz="0" w:space="0" w:color="auto"/>
        <w:left w:val="none" w:sz="0" w:space="0" w:color="auto"/>
        <w:bottom w:val="none" w:sz="0" w:space="0" w:color="auto"/>
        <w:right w:val="none" w:sz="0" w:space="0" w:color="auto"/>
      </w:divBdr>
    </w:div>
    <w:div w:id="1347974597">
      <w:bodyDiv w:val="1"/>
      <w:marLeft w:val="0"/>
      <w:marRight w:val="0"/>
      <w:marTop w:val="0"/>
      <w:marBottom w:val="0"/>
      <w:divBdr>
        <w:top w:val="none" w:sz="0" w:space="0" w:color="auto"/>
        <w:left w:val="none" w:sz="0" w:space="0" w:color="auto"/>
        <w:bottom w:val="none" w:sz="0" w:space="0" w:color="auto"/>
        <w:right w:val="none" w:sz="0" w:space="0" w:color="auto"/>
      </w:divBdr>
      <w:divsChild>
        <w:div w:id="1655064213">
          <w:marLeft w:val="0"/>
          <w:marRight w:val="0"/>
          <w:marTop w:val="0"/>
          <w:marBottom w:val="0"/>
          <w:divBdr>
            <w:top w:val="single" w:sz="6" w:space="0" w:color="666666"/>
            <w:left w:val="single" w:sz="6" w:space="0" w:color="666666"/>
            <w:bottom w:val="single" w:sz="6" w:space="0" w:color="666666"/>
            <w:right w:val="single" w:sz="6" w:space="0" w:color="666666"/>
          </w:divBdr>
          <w:divsChild>
            <w:div w:id="801654218">
              <w:marLeft w:val="0"/>
              <w:marRight w:val="0"/>
              <w:marTop w:val="0"/>
              <w:marBottom w:val="0"/>
              <w:divBdr>
                <w:top w:val="none" w:sz="0" w:space="0" w:color="auto"/>
                <w:left w:val="none" w:sz="0" w:space="0" w:color="auto"/>
                <w:bottom w:val="none" w:sz="0" w:space="0" w:color="auto"/>
                <w:right w:val="none" w:sz="0" w:space="0" w:color="auto"/>
              </w:divBdr>
              <w:divsChild>
                <w:div w:id="1151749557">
                  <w:marLeft w:val="0"/>
                  <w:marRight w:val="0"/>
                  <w:marTop w:val="0"/>
                  <w:marBottom w:val="300"/>
                  <w:divBdr>
                    <w:top w:val="none" w:sz="0" w:space="0" w:color="auto"/>
                    <w:left w:val="none" w:sz="0" w:space="0" w:color="auto"/>
                    <w:bottom w:val="none" w:sz="0" w:space="0" w:color="auto"/>
                    <w:right w:val="none" w:sz="0" w:space="0" w:color="auto"/>
                  </w:divBdr>
                  <w:divsChild>
                    <w:div w:id="1188985296">
                      <w:marLeft w:val="0"/>
                      <w:marRight w:val="0"/>
                      <w:marTop w:val="0"/>
                      <w:marBottom w:val="0"/>
                      <w:divBdr>
                        <w:top w:val="none" w:sz="0" w:space="0" w:color="auto"/>
                        <w:left w:val="none" w:sz="0" w:space="0" w:color="auto"/>
                        <w:bottom w:val="none" w:sz="0" w:space="0" w:color="auto"/>
                        <w:right w:val="none" w:sz="0" w:space="0" w:color="auto"/>
                      </w:divBdr>
                      <w:divsChild>
                        <w:div w:id="131559397">
                          <w:marLeft w:val="0"/>
                          <w:marRight w:val="0"/>
                          <w:marTop w:val="0"/>
                          <w:marBottom w:val="0"/>
                          <w:divBdr>
                            <w:top w:val="none" w:sz="0" w:space="0" w:color="auto"/>
                            <w:left w:val="none" w:sz="0" w:space="0" w:color="auto"/>
                            <w:bottom w:val="none" w:sz="0" w:space="0" w:color="auto"/>
                            <w:right w:val="none" w:sz="0" w:space="0" w:color="auto"/>
                          </w:divBdr>
                          <w:divsChild>
                            <w:div w:id="1899631622">
                              <w:marLeft w:val="0"/>
                              <w:marRight w:val="0"/>
                              <w:marTop w:val="0"/>
                              <w:marBottom w:val="0"/>
                              <w:divBdr>
                                <w:top w:val="none" w:sz="0" w:space="0" w:color="auto"/>
                                <w:left w:val="none" w:sz="0" w:space="0" w:color="auto"/>
                                <w:bottom w:val="none" w:sz="0" w:space="0" w:color="auto"/>
                                <w:right w:val="none" w:sz="0" w:space="0" w:color="auto"/>
                              </w:divBdr>
                              <w:divsChild>
                                <w:div w:id="1872962161">
                                  <w:marLeft w:val="0"/>
                                  <w:marRight w:val="0"/>
                                  <w:marTop w:val="0"/>
                                  <w:marBottom w:val="0"/>
                                  <w:divBdr>
                                    <w:top w:val="none" w:sz="0" w:space="0" w:color="auto"/>
                                    <w:left w:val="none" w:sz="0" w:space="0" w:color="auto"/>
                                    <w:bottom w:val="none" w:sz="0" w:space="0" w:color="auto"/>
                                    <w:right w:val="none" w:sz="0" w:space="0" w:color="auto"/>
                                  </w:divBdr>
                                  <w:divsChild>
                                    <w:div w:id="2114935571">
                                      <w:marLeft w:val="0"/>
                                      <w:marRight w:val="0"/>
                                      <w:marTop w:val="0"/>
                                      <w:marBottom w:val="0"/>
                                      <w:divBdr>
                                        <w:top w:val="none" w:sz="0" w:space="0" w:color="auto"/>
                                        <w:left w:val="none" w:sz="0" w:space="0" w:color="auto"/>
                                        <w:bottom w:val="none" w:sz="0" w:space="0" w:color="auto"/>
                                        <w:right w:val="none" w:sz="0" w:space="0" w:color="auto"/>
                                      </w:divBdr>
                                    </w:div>
                                    <w:div w:id="76942833">
                                      <w:marLeft w:val="0"/>
                                      <w:marRight w:val="0"/>
                                      <w:marTop w:val="0"/>
                                      <w:marBottom w:val="0"/>
                                      <w:divBdr>
                                        <w:top w:val="none" w:sz="0" w:space="0" w:color="auto"/>
                                        <w:left w:val="none" w:sz="0" w:space="0" w:color="auto"/>
                                        <w:bottom w:val="none" w:sz="0" w:space="0" w:color="auto"/>
                                        <w:right w:val="none" w:sz="0" w:space="0" w:color="auto"/>
                                      </w:divBdr>
                                    </w:div>
                                  </w:divsChild>
                                </w:div>
                                <w:div w:id="2047369920">
                                  <w:marLeft w:val="0"/>
                                  <w:marRight w:val="0"/>
                                  <w:marTop w:val="0"/>
                                  <w:marBottom w:val="0"/>
                                  <w:divBdr>
                                    <w:top w:val="none" w:sz="0" w:space="0" w:color="auto"/>
                                    <w:left w:val="none" w:sz="0" w:space="0" w:color="auto"/>
                                    <w:bottom w:val="none" w:sz="0" w:space="0" w:color="auto"/>
                                    <w:right w:val="none" w:sz="0" w:space="0" w:color="auto"/>
                                  </w:divBdr>
                                  <w:divsChild>
                                    <w:div w:id="1252273733">
                                      <w:marLeft w:val="0"/>
                                      <w:marRight w:val="0"/>
                                      <w:marTop w:val="0"/>
                                      <w:marBottom w:val="0"/>
                                      <w:divBdr>
                                        <w:top w:val="none" w:sz="0" w:space="0" w:color="auto"/>
                                        <w:left w:val="none" w:sz="0" w:space="0" w:color="auto"/>
                                        <w:bottom w:val="none" w:sz="0" w:space="0" w:color="auto"/>
                                        <w:right w:val="none" w:sz="0" w:space="0" w:color="auto"/>
                                      </w:divBdr>
                                    </w:div>
                                    <w:div w:id="555094564">
                                      <w:marLeft w:val="0"/>
                                      <w:marRight w:val="0"/>
                                      <w:marTop w:val="0"/>
                                      <w:marBottom w:val="0"/>
                                      <w:divBdr>
                                        <w:top w:val="none" w:sz="0" w:space="0" w:color="auto"/>
                                        <w:left w:val="none" w:sz="0" w:space="0" w:color="auto"/>
                                        <w:bottom w:val="none" w:sz="0" w:space="0" w:color="auto"/>
                                        <w:right w:val="none" w:sz="0" w:space="0" w:color="auto"/>
                                      </w:divBdr>
                                    </w:div>
                                  </w:divsChild>
                                </w:div>
                                <w:div w:id="128595144">
                                  <w:marLeft w:val="0"/>
                                  <w:marRight w:val="0"/>
                                  <w:marTop w:val="0"/>
                                  <w:marBottom w:val="0"/>
                                  <w:divBdr>
                                    <w:top w:val="none" w:sz="0" w:space="0" w:color="auto"/>
                                    <w:left w:val="none" w:sz="0" w:space="0" w:color="auto"/>
                                    <w:bottom w:val="none" w:sz="0" w:space="0" w:color="auto"/>
                                    <w:right w:val="none" w:sz="0" w:space="0" w:color="auto"/>
                                  </w:divBdr>
                                  <w:divsChild>
                                    <w:div w:id="192350703">
                                      <w:marLeft w:val="0"/>
                                      <w:marRight w:val="0"/>
                                      <w:marTop w:val="0"/>
                                      <w:marBottom w:val="0"/>
                                      <w:divBdr>
                                        <w:top w:val="none" w:sz="0" w:space="0" w:color="auto"/>
                                        <w:left w:val="none" w:sz="0" w:space="0" w:color="auto"/>
                                        <w:bottom w:val="none" w:sz="0" w:space="0" w:color="auto"/>
                                        <w:right w:val="none" w:sz="0" w:space="0" w:color="auto"/>
                                      </w:divBdr>
                                    </w:div>
                                    <w:div w:id="70270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6933">
                              <w:marLeft w:val="0"/>
                              <w:marRight w:val="0"/>
                              <w:marTop w:val="0"/>
                              <w:marBottom w:val="0"/>
                              <w:divBdr>
                                <w:top w:val="none" w:sz="0" w:space="0" w:color="auto"/>
                                <w:left w:val="none" w:sz="0" w:space="0" w:color="auto"/>
                                <w:bottom w:val="none" w:sz="0" w:space="0" w:color="auto"/>
                                <w:right w:val="none" w:sz="0" w:space="0" w:color="auto"/>
                              </w:divBdr>
                            </w:div>
                            <w:div w:id="1451582177">
                              <w:marLeft w:val="0"/>
                              <w:marRight w:val="0"/>
                              <w:marTop w:val="0"/>
                              <w:marBottom w:val="0"/>
                              <w:divBdr>
                                <w:top w:val="none" w:sz="0" w:space="0" w:color="auto"/>
                                <w:left w:val="none" w:sz="0" w:space="0" w:color="auto"/>
                                <w:bottom w:val="none" w:sz="0" w:space="0" w:color="auto"/>
                                <w:right w:val="none" w:sz="0" w:space="0" w:color="auto"/>
                              </w:divBdr>
                            </w:div>
                            <w:div w:id="1772048396">
                              <w:marLeft w:val="0"/>
                              <w:marRight w:val="0"/>
                              <w:marTop w:val="0"/>
                              <w:marBottom w:val="0"/>
                              <w:divBdr>
                                <w:top w:val="none" w:sz="0" w:space="0" w:color="auto"/>
                                <w:left w:val="none" w:sz="0" w:space="0" w:color="auto"/>
                                <w:bottom w:val="none" w:sz="0" w:space="0" w:color="auto"/>
                                <w:right w:val="none" w:sz="0" w:space="0" w:color="auto"/>
                              </w:divBdr>
                            </w:div>
                            <w:div w:id="55402910">
                              <w:marLeft w:val="0"/>
                              <w:marRight w:val="0"/>
                              <w:marTop w:val="0"/>
                              <w:marBottom w:val="0"/>
                              <w:divBdr>
                                <w:top w:val="none" w:sz="0" w:space="0" w:color="auto"/>
                                <w:left w:val="none" w:sz="0" w:space="0" w:color="auto"/>
                                <w:bottom w:val="none" w:sz="0" w:space="0" w:color="auto"/>
                                <w:right w:val="none" w:sz="0" w:space="0" w:color="auto"/>
                              </w:divBdr>
                            </w:div>
                            <w:div w:id="32744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624973">
      <w:bodyDiv w:val="1"/>
      <w:marLeft w:val="0"/>
      <w:marRight w:val="0"/>
      <w:marTop w:val="0"/>
      <w:marBottom w:val="0"/>
      <w:divBdr>
        <w:top w:val="none" w:sz="0" w:space="0" w:color="auto"/>
        <w:left w:val="none" w:sz="0" w:space="0" w:color="auto"/>
        <w:bottom w:val="none" w:sz="0" w:space="0" w:color="auto"/>
        <w:right w:val="none" w:sz="0" w:space="0" w:color="auto"/>
      </w:divBdr>
    </w:div>
    <w:div w:id="1534149760">
      <w:bodyDiv w:val="1"/>
      <w:marLeft w:val="0"/>
      <w:marRight w:val="0"/>
      <w:marTop w:val="0"/>
      <w:marBottom w:val="0"/>
      <w:divBdr>
        <w:top w:val="none" w:sz="0" w:space="0" w:color="auto"/>
        <w:left w:val="none" w:sz="0" w:space="0" w:color="auto"/>
        <w:bottom w:val="none" w:sz="0" w:space="0" w:color="auto"/>
        <w:right w:val="none" w:sz="0" w:space="0" w:color="auto"/>
      </w:divBdr>
    </w:div>
    <w:div w:id="1554728289">
      <w:bodyDiv w:val="1"/>
      <w:marLeft w:val="0"/>
      <w:marRight w:val="0"/>
      <w:marTop w:val="0"/>
      <w:marBottom w:val="0"/>
      <w:divBdr>
        <w:top w:val="none" w:sz="0" w:space="0" w:color="auto"/>
        <w:left w:val="none" w:sz="0" w:space="0" w:color="auto"/>
        <w:bottom w:val="none" w:sz="0" w:space="0" w:color="auto"/>
        <w:right w:val="none" w:sz="0" w:space="0" w:color="auto"/>
      </w:divBdr>
    </w:div>
    <w:div w:id="1575432765">
      <w:bodyDiv w:val="1"/>
      <w:marLeft w:val="0"/>
      <w:marRight w:val="0"/>
      <w:marTop w:val="0"/>
      <w:marBottom w:val="0"/>
      <w:divBdr>
        <w:top w:val="none" w:sz="0" w:space="0" w:color="auto"/>
        <w:left w:val="none" w:sz="0" w:space="0" w:color="auto"/>
        <w:bottom w:val="none" w:sz="0" w:space="0" w:color="auto"/>
        <w:right w:val="none" w:sz="0" w:space="0" w:color="auto"/>
      </w:divBdr>
      <w:divsChild>
        <w:div w:id="1878471499">
          <w:marLeft w:val="0"/>
          <w:marRight w:val="1"/>
          <w:marTop w:val="0"/>
          <w:marBottom w:val="0"/>
          <w:divBdr>
            <w:top w:val="none" w:sz="0" w:space="0" w:color="auto"/>
            <w:left w:val="none" w:sz="0" w:space="0" w:color="auto"/>
            <w:bottom w:val="none" w:sz="0" w:space="0" w:color="auto"/>
            <w:right w:val="none" w:sz="0" w:space="0" w:color="auto"/>
          </w:divBdr>
          <w:divsChild>
            <w:div w:id="358852">
              <w:marLeft w:val="0"/>
              <w:marRight w:val="0"/>
              <w:marTop w:val="0"/>
              <w:marBottom w:val="0"/>
              <w:divBdr>
                <w:top w:val="none" w:sz="0" w:space="0" w:color="auto"/>
                <w:left w:val="none" w:sz="0" w:space="0" w:color="auto"/>
                <w:bottom w:val="none" w:sz="0" w:space="0" w:color="auto"/>
                <w:right w:val="none" w:sz="0" w:space="0" w:color="auto"/>
              </w:divBdr>
              <w:divsChild>
                <w:div w:id="406339311">
                  <w:marLeft w:val="0"/>
                  <w:marRight w:val="1"/>
                  <w:marTop w:val="0"/>
                  <w:marBottom w:val="0"/>
                  <w:divBdr>
                    <w:top w:val="none" w:sz="0" w:space="0" w:color="auto"/>
                    <w:left w:val="none" w:sz="0" w:space="0" w:color="auto"/>
                    <w:bottom w:val="none" w:sz="0" w:space="0" w:color="auto"/>
                    <w:right w:val="none" w:sz="0" w:space="0" w:color="auto"/>
                  </w:divBdr>
                  <w:divsChild>
                    <w:div w:id="1150556296">
                      <w:marLeft w:val="0"/>
                      <w:marRight w:val="0"/>
                      <w:marTop w:val="0"/>
                      <w:marBottom w:val="0"/>
                      <w:divBdr>
                        <w:top w:val="none" w:sz="0" w:space="0" w:color="auto"/>
                        <w:left w:val="none" w:sz="0" w:space="0" w:color="auto"/>
                        <w:bottom w:val="none" w:sz="0" w:space="0" w:color="auto"/>
                        <w:right w:val="none" w:sz="0" w:space="0" w:color="auto"/>
                      </w:divBdr>
                      <w:divsChild>
                        <w:div w:id="818886561">
                          <w:marLeft w:val="0"/>
                          <w:marRight w:val="0"/>
                          <w:marTop w:val="0"/>
                          <w:marBottom w:val="0"/>
                          <w:divBdr>
                            <w:top w:val="none" w:sz="0" w:space="0" w:color="auto"/>
                            <w:left w:val="none" w:sz="0" w:space="0" w:color="auto"/>
                            <w:bottom w:val="none" w:sz="0" w:space="0" w:color="auto"/>
                            <w:right w:val="none" w:sz="0" w:space="0" w:color="auto"/>
                          </w:divBdr>
                          <w:divsChild>
                            <w:div w:id="1133888">
                              <w:marLeft w:val="0"/>
                              <w:marRight w:val="0"/>
                              <w:marTop w:val="120"/>
                              <w:marBottom w:val="360"/>
                              <w:divBdr>
                                <w:top w:val="none" w:sz="0" w:space="0" w:color="auto"/>
                                <w:left w:val="none" w:sz="0" w:space="0" w:color="auto"/>
                                <w:bottom w:val="none" w:sz="0" w:space="0" w:color="auto"/>
                                <w:right w:val="none" w:sz="0" w:space="0" w:color="auto"/>
                              </w:divBdr>
                              <w:divsChild>
                                <w:div w:id="270744407">
                                  <w:marLeft w:val="420"/>
                                  <w:marRight w:val="0"/>
                                  <w:marTop w:val="0"/>
                                  <w:marBottom w:val="0"/>
                                  <w:divBdr>
                                    <w:top w:val="none" w:sz="0" w:space="0" w:color="auto"/>
                                    <w:left w:val="none" w:sz="0" w:space="0" w:color="auto"/>
                                    <w:bottom w:val="none" w:sz="0" w:space="0" w:color="auto"/>
                                    <w:right w:val="none" w:sz="0" w:space="0" w:color="auto"/>
                                  </w:divBdr>
                                  <w:divsChild>
                                    <w:div w:id="130989371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322313">
      <w:bodyDiv w:val="1"/>
      <w:marLeft w:val="0"/>
      <w:marRight w:val="0"/>
      <w:marTop w:val="0"/>
      <w:marBottom w:val="0"/>
      <w:divBdr>
        <w:top w:val="none" w:sz="0" w:space="0" w:color="auto"/>
        <w:left w:val="none" w:sz="0" w:space="0" w:color="auto"/>
        <w:bottom w:val="none" w:sz="0" w:space="0" w:color="auto"/>
        <w:right w:val="none" w:sz="0" w:space="0" w:color="auto"/>
      </w:divBdr>
      <w:divsChild>
        <w:div w:id="1594699081">
          <w:marLeft w:val="0"/>
          <w:marRight w:val="1"/>
          <w:marTop w:val="0"/>
          <w:marBottom w:val="0"/>
          <w:divBdr>
            <w:top w:val="none" w:sz="0" w:space="0" w:color="auto"/>
            <w:left w:val="none" w:sz="0" w:space="0" w:color="auto"/>
            <w:bottom w:val="none" w:sz="0" w:space="0" w:color="auto"/>
            <w:right w:val="none" w:sz="0" w:space="0" w:color="auto"/>
          </w:divBdr>
          <w:divsChild>
            <w:div w:id="868687032">
              <w:marLeft w:val="0"/>
              <w:marRight w:val="0"/>
              <w:marTop w:val="0"/>
              <w:marBottom w:val="0"/>
              <w:divBdr>
                <w:top w:val="none" w:sz="0" w:space="0" w:color="auto"/>
                <w:left w:val="none" w:sz="0" w:space="0" w:color="auto"/>
                <w:bottom w:val="none" w:sz="0" w:space="0" w:color="auto"/>
                <w:right w:val="none" w:sz="0" w:space="0" w:color="auto"/>
              </w:divBdr>
              <w:divsChild>
                <w:div w:id="221186353">
                  <w:marLeft w:val="0"/>
                  <w:marRight w:val="1"/>
                  <w:marTop w:val="0"/>
                  <w:marBottom w:val="0"/>
                  <w:divBdr>
                    <w:top w:val="none" w:sz="0" w:space="0" w:color="auto"/>
                    <w:left w:val="none" w:sz="0" w:space="0" w:color="auto"/>
                    <w:bottom w:val="none" w:sz="0" w:space="0" w:color="auto"/>
                    <w:right w:val="none" w:sz="0" w:space="0" w:color="auto"/>
                  </w:divBdr>
                  <w:divsChild>
                    <w:div w:id="1142116618">
                      <w:marLeft w:val="0"/>
                      <w:marRight w:val="0"/>
                      <w:marTop w:val="0"/>
                      <w:marBottom w:val="0"/>
                      <w:divBdr>
                        <w:top w:val="none" w:sz="0" w:space="0" w:color="auto"/>
                        <w:left w:val="none" w:sz="0" w:space="0" w:color="auto"/>
                        <w:bottom w:val="none" w:sz="0" w:space="0" w:color="auto"/>
                        <w:right w:val="none" w:sz="0" w:space="0" w:color="auto"/>
                      </w:divBdr>
                      <w:divsChild>
                        <w:div w:id="1710033295">
                          <w:marLeft w:val="0"/>
                          <w:marRight w:val="0"/>
                          <w:marTop w:val="0"/>
                          <w:marBottom w:val="0"/>
                          <w:divBdr>
                            <w:top w:val="none" w:sz="0" w:space="0" w:color="auto"/>
                            <w:left w:val="none" w:sz="0" w:space="0" w:color="auto"/>
                            <w:bottom w:val="none" w:sz="0" w:space="0" w:color="auto"/>
                            <w:right w:val="none" w:sz="0" w:space="0" w:color="auto"/>
                          </w:divBdr>
                          <w:divsChild>
                            <w:div w:id="374932116">
                              <w:marLeft w:val="0"/>
                              <w:marRight w:val="0"/>
                              <w:marTop w:val="120"/>
                              <w:marBottom w:val="360"/>
                              <w:divBdr>
                                <w:top w:val="none" w:sz="0" w:space="0" w:color="auto"/>
                                <w:left w:val="none" w:sz="0" w:space="0" w:color="auto"/>
                                <w:bottom w:val="none" w:sz="0" w:space="0" w:color="auto"/>
                                <w:right w:val="none" w:sz="0" w:space="0" w:color="auto"/>
                              </w:divBdr>
                              <w:divsChild>
                                <w:div w:id="342827985">
                                  <w:marLeft w:val="420"/>
                                  <w:marRight w:val="0"/>
                                  <w:marTop w:val="0"/>
                                  <w:marBottom w:val="0"/>
                                  <w:divBdr>
                                    <w:top w:val="none" w:sz="0" w:space="0" w:color="auto"/>
                                    <w:left w:val="none" w:sz="0" w:space="0" w:color="auto"/>
                                    <w:bottom w:val="none" w:sz="0" w:space="0" w:color="auto"/>
                                    <w:right w:val="none" w:sz="0" w:space="0" w:color="auto"/>
                                  </w:divBdr>
                                  <w:divsChild>
                                    <w:div w:id="161790561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6000539">
      <w:bodyDiv w:val="1"/>
      <w:marLeft w:val="0"/>
      <w:marRight w:val="0"/>
      <w:marTop w:val="0"/>
      <w:marBottom w:val="0"/>
      <w:divBdr>
        <w:top w:val="none" w:sz="0" w:space="0" w:color="auto"/>
        <w:left w:val="none" w:sz="0" w:space="0" w:color="auto"/>
        <w:bottom w:val="none" w:sz="0" w:space="0" w:color="auto"/>
        <w:right w:val="none" w:sz="0" w:space="0" w:color="auto"/>
      </w:divBdr>
    </w:div>
    <w:div w:id="1785690307">
      <w:bodyDiv w:val="1"/>
      <w:marLeft w:val="0"/>
      <w:marRight w:val="0"/>
      <w:marTop w:val="0"/>
      <w:marBottom w:val="0"/>
      <w:divBdr>
        <w:top w:val="none" w:sz="0" w:space="0" w:color="auto"/>
        <w:left w:val="none" w:sz="0" w:space="0" w:color="auto"/>
        <w:bottom w:val="none" w:sz="0" w:space="0" w:color="auto"/>
        <w:right w:val="none" w:sz="0" w:space="0" w:color="auto"/>
      </w:divBdr>
    </w:div>
    <w:div w:id="1833066223">
      <w:bodyDiv w:val="1"/>
      <w:marLeft w:val="0"/>
      <w:marRight w:val="0"/>
      <w:marTop w:val="0"/>
      <w:marBottom w:val="0"/>
      <w:divBdr>
        <w:top w:val="none" w:sz="0" w:space="0" w:color="auto"/>
        <w:left w:val="none" w:sz="0" w:space="0" w:color="auto"/>
        <w:bottom w:val="none" w:sz="0" w:space="0" w:color="auto"/>
        <w:right w:val="none" w:sz="0" w:space="0" w:color="auto"/>
      </w:divBdr>
    </w:div>
    <w:div w:id="1877425186">
      <w:bodyDiv w:val="1"/>
      <w:marLeft w:val="0"/>
      <w:marRight w:val="0"/>
      <w:marTop w:val="0"/>
      <w:marBottom w:val="0"/>
      <w:divBdr>
        <w:top w:val="none" w:sz="0" w:space="0" w:color="auto"/>
        <w:left w:val="none" w:sz="0" w:space="0" w:color="auto"/>
        <w:bottom w:val="none" w:sz="0" w:space="0" w:color="auto"/>
        <w:right w:val="none" w:sz="0" w:space="0" w:color="auto"/>
      </w:divBdr>
      <w:divsChild>
        <w:div w:id="1260020742">
          <w:marLeft w:val="0"/>
          <w:marRight w:val="1"/>
          <w:marTop w:val="0"/>
          <w:marBottom w:val="0"/>
          <w:divBdr>
            <w:top w:val="none" w:sz="0" w:space="0" w:color="auto"/>
            <w:left w:val="none" w:sz="0" w:space="0" w:color="auto"/>
            <w:bottom w:val="none" w:sz="0" w:space="0" w:color="auto"/>
            <w:right w:val="none" w:sz="0" w:space="0" w:color="auto"/>
          </w:divBdr>
          <w:divsChild>
            <w:div w:id="1340039503">
              <w:marLeft w:val="0"/>
              <w:marRight w:val="0"/>
              <w:marTop w:val="0"/>
              <w:marBottom w:val="0"/>
              <w:divBdr>
                <w:top w:val="none" w:sz="0" w:space="0" w:color="auto"/>
                <w:left w:val="none" w:sz="0" w:space="0" w:color="auto"/>
                <w:bottom w:val="none" w:sz="0" w:space="0" w:color="auto"/>
                <w:right w:val="none" w:sz="0" w:space="0" w:color="auto"/>
              </w:divBdr>
              <w:divsChild>
                <w:div w:id="1657798871">
                  <w:marLeft w:val="0"/>
                  <w:marRight w:val="1"/>
                  <w:marTop w:val="0"/>
                  <w:marBottom w:val="0"/>
                  <w:divBdr>
                    <w:top w:val="none" w:sz="0" w:space="0" w:color="auto"/>
                    <w:left w:val="none" w:sz="0" w:space="0" w:color="auto"/>
                    <w:bottom w:val="none" w:sz="0" w:space="0" w:color="auto"/>
                    <w:right w:val="none" w:sz="0" w:space="0" w:color="auto"/>
                  </w:divBdr>
                  <w:divsChild>
                    <w:div w:id="609120226">
                      <w:marLeft w:val="0"/>
                      <w:marRight w:val="0"/>
                      <w:marTop w:val="0"/>
                      <w:marBottom w:val="0"/>
                      <w:divBdr>
                        <w:top w:val="none" w:sz="0" w:space="0" w:color="auto"/>
                        <w:left w:val="none" w:sz="0" w:space="0" w:color="auto"/>
                        <w:bottom w:val="none" w:sz="0" w:space="0" w:color="auto"/>
                        <w:right w:val="none" w:sz="0" w:space="0" w:color="auto"/>
                      </w:divBdr>
                      <w:divsChild>
                        <w:div w:id="2037802189">
                          <w:marLeft w:val="0"/>
                          <w:marRight w:val="0"/>
                          <w:marTop w:val="0"/>
                          <w:marBottom w:val="0"/>
                          <w:divBdr>
                            <w:top w:val="none" w:sz="0" w:space="0" w:color="auto"/>
                            <w:left w:val="none" w:sz="0" w:space="0" w:color="auto"/>
                            <w:bottom w:val="none" w:sz="0" w:space="0" w:color="auto"/>
                            <w:right w:val="none" w:sz="0" w:space="0" w:color="auto"/>
                          </w:divBdr>
                          <w:divsChild>
                            <w:div w:id="2087454367">
                              <w:marLeft w:val="0"/>
                              <w:marRight w:val="0"/>
                              <w:marTop w:val="120"/>
                              <w:marBottom w:val="360"/>
                              <w:divBdr>
                                <w:top w:val="none" w:sz="0" w:space="0" w:color="auto"/>
                                <w:left w:val="none" w:sz="0" w:space="0" w:color="auto"/>
                                <w:bottom w:val="none" w:sz="0" w:space="0" w:color="auto"/>
                                <w:right w:val="none" w:sz="0" w:space="0" w:color="auto"/>
                              </w:divBdr>
                              <w:divsChild>
                                <w:div w:id="957879464">
                                  <w:marLeft w:val="420"/>
                                  <w:marRight w:val="0"/>
                                  <w:marTop w:val="0"/>
                                  <w:marBottom w:val="0"/>
                                  <w:divBdr>
                                    <w:top w:val="none" w:sz="0" w:space="0" w:color="auto"/>
                                    <w:left w:val="none" w:sz="0" w:space="0" w:color="auto"/>
                                    <w:bottom w:val="none" w:sz="0" w:space="0" w:color="auto"/>
                                    <w:right w:val="none" w:sz="0" w:space="0" w:color="auto"/>
                                  </w:divBdr>
                                  <w:divsChild>
                                    <w:div w:id="123165049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514659">
      <w:bodyDiv w:val="1"/>
      <w:marLeft w:val="0"/>
      <w:marRight w:val="0"/>
      <w:marTop w:val="0"/>
      <w:marBottom w:val="0"/>
      <w:divBdr>
        <w:top w:val="none" w:sz="0" w:space="0" w:color="auto"/>
        <w:left w:val="none" w:sz="0" w:space="0" w:color="auto"/>
        <w:bottom w:val="none" w:sz="0" w:space="0" w:color="auto"/>
        <w:right w:val="none" w:sz="0" w:space="0" w:color="auto"/>
      </w:divBdr>
      <w:divsChild>
        <w:div w:id="1663312488">
          <w:marLeft w:val="0"/>
          <w:marRight w:val="0"/>
          <w:marTop w:val="0"/>
          <w:marBottom w:val="0"/>
          <w:divBdr>
            <w:top w:val="none" w:sz="0" w:space="0" w:color="auto"/>
            <w:left w:val="none" w:sz="0" w:space="0" w:color="auto"/>
            <w:bottom w:val="none" w:sz="0" w:space="0" w:color="auto"/>
            <w:right w:val="none" w:sz="0" w:space="0" w:color="auto"/>
          </w:divBdr>
          <w:divsChild>
            <w:div w:id="1137140992">
              <w:marLeft w:val="0"/>
              <w:marRight w:val="0"/>
              <w:marTop w:val="0"/>
              <w:marBottom w:val="0"/>
              <w:divBdr>
                <w:top w:val="none" w:sz="0" w:space="0" w:color="auto"/>
                <w:left w:val="none" w:sz="0" w:space="0" w:color="auto"/>
                <w:bottom w:val="none" w:sz="0" w:space="0" w:color="auto"/>
                <w:right w:val="none" w:sz="0" w:space="0" w:color="auto"/>
              </w:divBdr>
              <w:divsChild>
                <w:div w:id="622542037">
                  <w:marLeft w:val="0"/>
                  <w:marRight w:val="0"/>
                  <w:marTop w:val="0"/>
                  <w:marBottom w:val="0"/>
                  <w:divBdr>
                    <w:top w:val="none" w:sz="0" w:space="0" w:color="auto"/>
                    <w:left w:val="none" w:sz="0" w:space="0" w:color="auto"/>
                    <w:bottom w:val="none" w:sz="0" w:space="0" w:color="auto"/>
                    <w:right w:val="none" w:sz="0" w:space="0" w:color="auto"/>
                  </w:divBdr>
                  <w:divsChild>
                    <w:div w:id="1973093851">
                      <w:marLeft w:val="0"/>
                      <w:marRight w:val="0"/>
                      <w:marTop w:val="0"/>
                      <w:marBottom w:val="0"/>
                      <w:divBdr>
                        <w:top w:val="none" w:sz="0" w:space="0" w:color="auto"/>
                        <w:left w:val="none" w:sz="0" w:space="0" w:color="auto"/>
                        <w:bottom w:val="none" w:sz="0" w:space="0" w:color="auto"/>
                        <w:right w:val="none" w:sz="0" w:space="0" w:color="auto"/>
                      </w:divBdr>
                      <w:divsChild>
                        <w:div w:id="717511819">
                          <w:marLeft w:val="0"/>
                          <w:marRight w:val="0"/>
                          <w:marTop w:val="0"/>
                          <w:marBottom w:val="0"/>
                          <w:divBdr>
                            <w:top w:val="none" w:sz="0" w:space="0" w:color="auto"/>
                            <w:left w:val="none" w:sz="0" w:space="0" w:color="auto"/>
                            <w:bottom w:val="none" w:sz="0" w:space="0" w:color="auto"/>
                            <w:right w:val="none" w:sz="0" w:space="0" w:color="auto"/>
                          </w:divBdr>
                          <w:divsChild>
                            <w:div w:id="1985697979">
                              <w:marLeft w:val="0"/>
                              <w:marRight w:val="0"/>
                              <w:marTop w:val="0"/>
                              <w:marBottom w:val="0"/>
                              <w:divBdr>
                                <w:top w:val="none" w:sz="0" w:space="0" w:color="auto"/>
                                <w:left w:val="none" w:sz="0" w:space="0" w:color="auto"/>
                                <w:bottom w:val="none" w:sz="0" w:space="0" w:color="auto"/>
                                <w:right w:val="none" w:sz="0" w:space="0" w:color="auto"/>
                              </w:divBdr>
                              <w:divsChild>
                                <w:div w:id="774666465">
                                  <w:marLeft w:val="0"/>
                                  <w:marRight w:val="0"/>
                                  <w:marTop w:val="0"/>
                                  <w:marBottom w:val="0"/>
                                  <w:divBdr>
                                    <w:top w:val="none" w:sz="0" w:space="0" w:color="auto"/>
                                    <w:left w:val="none" w:sz="0" w:space="0" w:color="auto"/>
                                    <w:bottom w:val="none" w:sz="0" w:space="0" w:color="auto"/>
                                    <w:right w:val="none" w:sz="0" w:space="0" w:color="auto"/>
                                  </w:divBdr>
                                  <w:divsChild>
                                    <w:div w:id="575214185">
                                      <w:marLeft w:val="0"/>
                                      <w:marRight w:val="0"/>
                                      <w:marTop w:val="0"/>
                                      <w:marBottom w:val="0"/>
                                      <w:divBdr>
                                        <w:top w:val="none" w:sz="0" w:space="0" w:color="auto"/>
                                        <w:left w:val="none" w:sz="0" w:space="0" w:color="auto"/>
                                        <w:bottom w:val="none" w:sz="0" w:space="0" w:color="auto"/>
                                        <w:right w:val="none" w:sz="0" w:space="0" w:color="auto"/>
                                      </w:divBdr>
                                    </w:div>
                                    <w:div w:id="135372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468179">
      <w:bodyDiv w:val="1"/>
      <w:marLeft w:val="0"/>
      <w:marRight w:val="0"/>
      <w:marTop w:val="0"/>
      <w:marBottom w:val="0"/>
      <w:divBdr>
        <w:top w:val="none" w:sz="0" w:space="0" w:color="auto"/>
        <w:left w:val="none" w:sz="0" w:space="0" w:color="auto"/>
        <w:bottom w:val="none" w:sz="0" w:space="0" w:color="auto"/>
        <w:right w:val="none" w:sz="0" w:space="0" w:color="auto"/>
      </w:divBdr>
      <w:divsChild>
        <w:div w:id="2032954362">
          <w:marLeft w:val="0"/>
          <w:marRight w:val="0"/>
          <w:marTop w:val="0"/>
          <w:marBottom w:val="0"/>
          <w:divBdr>
            <w:top w:val="none" w:sz="0" w:space="0" w:color="auto"/>
            <w:left w:val="none" w:sz="0" w:space="0" w:color="auto"/>
            <w:bottom w:val="none" w:sz="0" w:space="0" w:color="auto"/>
            <w:right w:val="none" w:sz="0" w:space="0" w:color="auto"/>
          </w:divBdr>
          <w:divsChild>
            <w:div w:id="1567179483">
              <w:marLeft w:val="0"/>
              <w:marRight w:val="0"/>
              <w:marTop w:val="0"/>
              <w:marBottom w:val="0"/>
              <w:divBdr>
                <w:top w:val="none" w:sz="0" w:space="0" w:color="auto"/>
                <w:left w:val="none" w:sz="0" w:space="0" w:color="auto"/>
                <w:bottom w:val="none" w:sz="0" w:space="0" w:color="auto"/>
                <w:right w:val="none" w:sz="0" w:space="0" w:color="auto"/>
              </w:divBdr>
              <w:divsChild>
                <w:div w:id="889418933">
                  <w:marLeft w:val="0"/>
                  <w:marRight w:val="0"/>
                  <w:marTop w:val="176"/>
                  <w:marBottom w:val="176"/>
                  <w:divBdr>
                    <w:top w:val="none" w:sz="0" w:space="0" w:color="auto"/>
                    <w:left w:val="none" w:sz="0" w:space="0" w:color="auto"/>
                    <w:bottom w:val="none" w:sz="0" w:space="0" w:color="auto"/>
                    <w:right w:val="none" w:sz="0" w:space="0" w:color="auto"/>
                  </w:divBdr>
                  <w:divsChild>
                    <w:div w:id="214321769">
                      <w:marLeft w:val="0"/>
                      <w:marRight w:val="0"/>
                      <w:marTop w:val="0"/>
                      <w:marBottom w:val="0"/>
                      <w:divBdr>
                        <w:top w:val="none" w:sz="0" w:space="0" w:color="auto"/>
                        <w:left w:val="none" w:sz="0" w:space="0" w:color="auto"/>
                        <w:bottom w:val="none" w:sz="0" w:space="0" w:color="auto"/>
                        <w:right w:val="none" w:sz="0" w:space="0" w:color="auto"/>
                      </w:divBdr>
                      <w:divsChild>
                        <w:div w:id="703596036">
                          <w:marLeft w:val="0"/>
                          <w:marRight w:val="0"/>
                          <w:marTop w:val="0"/>
                          <w:marBottom w:val="0"/>
                          <w:divBdr>
                            <w:top w:val="none" w:sz="0" w:space="0" w:color="auto"/>
                            <w:left w:val="none" w:sz="0" w:space="0" w:color="auto"/>
                            <w:bottom w:val="none" w:sz="0" w:space="0" w:color="auto"/>
                            <w:right w:val="none" w:sz="0" w:space="0" w:color="auto"/>
                          </w:divBdr>
                        </w:div>
                        <w:div w:id="154036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74859">
      <w:bodyDiv w:val="1"/>
      <w:marLeft w:val="0"/>
      <w:marRight w:val="0"/>
      <w:marTop w:val="0"/>
      <w:marBottom w:val="0"/>
      <w:divBdr>
        <w:top w:val="none" w:sz="0" w:space="0" w:color="auto"/>
        <w:left w:val="none" w:sz="0" w:space="0" w:color="auto"/>
        <w:bottom w:val="none" w:sz="0" w:space="0" w:color="auto"/>
        <w:right w:val="none" w:sz="0" w:space="0" w:color="auto"/>
      </w:divBdr>
      <w:divsChild>
        <w:div w:id="600181130">
          <w:marLeft w:val="0"/>
          <w:marRight w:val="1"/>
          <w:marTop w:val="0"/>
          <w:marBottom w:val="0"/>
          <w:divBdr>
            <w:top w:val="none" w:sz="0" w:space="0" w:color="auto"/>
            <w:left w:val="none" w:sz="0" w:space="0" w:color="auto"/>
            <w:bottom w:val="none" w:sz="0" w:space="0" w:color="auto"/>
            <w:right w:val="none" w:sz="0" w:space="0" w:color="auto"/>
          </w:divBdr>
          <w:divsChild>
            <w:div w:id="177234034">
              <w:marLeft w:val="0"/>
              <w:marRight w:val="0"/>
              <w:marTop w:val="0"/>
              <w:marBottom w:val="0"/>
              <w:divBdr>
                <w:top w:val="none" w:sz="0" w:space="0" w:color="auto"/>
                <w:left w:val="none" w:sz="0" w:space="0" w:color="auto"/>
                <w:bottom w:val="none" w:sz="0" w:space="0" w:color="auto"/>
                <w:right w:val="none" w:sz="0" w:space="0" w:color="auto"/>
              </w:divBdr>
              <w:divsChild>
                <w:div w:id="192227671">
                  <w:marLeft w:val="0"/>
                  <w:marRight w:val="1"/>
                  <w:marTop w:val="0"/>
                  <w:marBottom w:val="0"/>
                  <w:divBdr>
                    <w:top w:val="none" w:sz="0" w:space="0" w:color="auto"/>
                    <w:left w:val="none" w:sz="0" w:space="0" w:color="auto"/>
                    <w:bottom w:val="none" w:sz="0" w:space="0" w:color="auto"/>
                    <w:right w:val="none" w:sz="0" w:space="0" w:color="auto"/>
                  </w:divBdr>
                  <w:divsChild>
                    <w:div w:id="1521431776">
                      <w:marLeft w:val="0"/>
                      <w:marRight w:val="0"/>
                      <w:marTop w:val="0"/>
                      <w:marBottom w:val="0"/>
                      <w:divBdr>
                        <w:top w:val="none" w:sz="0" w:space="0" w:color="auto"/>
                        <w:left w:val="none" w:sz="0" w:space="0" w:color="auto"/>
                        <w:bottom w:val="none" w:sz="0" w:space="0" w:color="auto"/>
                        <w:right w:val="none" w:sz="0" w:space="0" w:color="auto"/>
                      </w:divBdr>
                      <w:divsChild>
                        <w:div w:id="1242637634">
                          <w:marLeft w:val="0"/>
                          <w:marRight w:val="0"/>
                          <w:marTop w:val="0"/>
                          <w:marBottom w:val="0"/>
                          <w:divBdr>
                            <w:top w:val="none" w:sz="0" w:space="0" w:color="auto"/>
                            <w:left w:val="none" w:sz="0" w:space="0" w:color="auto"/>
                            <w:bottom w:val="none" w:sz="0" w:space="0" w:color="auto"/>
                            <w:right w:val="none" w:sz="0" w:space="0" w:color="auto"/>
                          </w:divBdr>
                          <w:divsChild>
                            <w:div w:id="1065488053">
                              <w:marLeft w:val="0"/>
                              <w:marRight w:val="0"/>
                              <w:marTop w:val="120"/>
                              <w:marBottom w:val="360"/>
                              <w:divBdr>
                                <w:top w:val="none" w:sz="0" w:space="0" w:color="auto"/>
                                <w:left w:val="none" w:sz="0" w:space="0" w:color="auto"/>
                                <w:bottom w:val="none" w:sz="0" w:space="0" w:color="auto"/>
                                <w:right w:val="none" w:sz="0" w:space="0" w:color="auto"/>
                              </w:divBdr>
                              <w:divsChild>
                                <w:div w:id="2111268232">
                                  <w:marLeft w:val="420"/>
                                  <w:marRight w:val="0"/>
                                  <w:marTop w:val="0"/>
                                  <w:marBottom w:val="0"/>
                                  <w:divBdr>
                                    <w:top w:val="none" w:sz="0" w:space="0" w:color="auto"/>
                                    <w:left w:val="none" w:sz="0" w:space="0" w:color="auto"/>
                                    <w:bottom w:val="none" w:sz="0" w:space="0" w:color="auto"/>
                                    <w:right w:val="none" w:sz="0" w:space="0" w:color="auto"/>
                                  </w:divBdr>
                                  <w:divsChild>
                                    <w:div w:id="26715403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1784678">
      <w:bodyDiv w:val="1"/>
      <w:marLeft w:val="0"/>
      <w:marRight w:val="0"/>
      <w:marTop w:val="0"/>
      <w:marBottom w:val="0"/>
      <w:divBdr>
        <w:top w:val="none" w:sz="0" w:space="0" w:color="auto"/>
        <w:left w:val="none" w:sz="0" w:space="0" w:color="auto"/>
        <w:bottom w:val="none" w:sz="0" w:space="0" w:color="auto"/>
        <w:right w:val="none" w:sz="0" w:space="0" w:color="auto"/>
      </w:divBdr>
      <w:divsChild>
        <w:div w:id="935288988">
          <w:marLeft w:val="0"/>
          <w:marRight w:val="0"/>
          <w:marTop w:val="34"/>
          <w:marBottom w:val="34"/>
          <w:divBdr>
            <w:top w:val="none" w:sz="0" w:space="0" w:color="auto"/>
            <w:left w:val="none" w:sz="0" w:space="0" w:color="auto"/>
            <w:bottom w:val="none" w:sz="0" w:space="0" w:color="auto"/>
            <w:right w:val="none" w:sz="0" w:space="0" w:color="auto"/>
          </w:divBdr>
        </w:div>
      </w:divsChild>
    </w:div>
    <w:div w:id="21385992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abdolrasouli@imperial.ac.uk" TargetMode="Externa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4423</Words>
  <Characters>25213</Characters>
  <Application>Microsoft Macintosh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Scourfield</dc:creator>
  <cp:lastModifiedBy>Microsoft Office User</cp:lastModifiedBy>
  <cp:revision>2</cp:revision>
  <cp:lastPrinted>2018-05-17T12:22:00Z</cp:lastPrinted>
  <dcterms:created xsi:type="dcterms:W3CDTF">2018-10-30T14:21:00Z</dcterms:created>
  <dcterms:modified xsi:type="dcterms:W3CDTF">2018-10-30T14:21:00Z</dcterms:modified>
</cp:coreProperties>
</file>