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F3EBCF" w14:textId="6ABB7AC1" w:rsidR="00700F69" w:rsidRPr="002D4681" w:rsidRDefault="00700F69" w:rsidP="00515DE8">
      <w:pPr>
        <w:spacing w:line="480" w:lineRule="auto"/>
        <w:jc w:val="both"/>
        <w:rPr>
          <w:rFonts w:ascii="Arial" w:hAnsi="Arial" w:cs="Arial"/>
          <w:b/>
          <w:sz w:val="22"/>
          <w:szCs w:val="22"/>
        </w:rPr>
      </w:pPr>
      <w:bookmarkStart w:id="0" w:name="_Hlk14186324"/>
      <w:bookmarkEnd w:id="0"/>
      <w:r w:rsidRPr="002D4681">
        <w:rPr>
          <w:rFonts w:ascii="Arial" w:hAnsi="Arial" w:cs="Arial"/>
          <w:b/>
          <w:sz w:val="22"/>
          <w:szCs w:val="22"/>
        </w:rPr>
        <w:t xml:space="preserve">Changing </w:t>
      </w:r>
      <w:r w:rsidR="001C6EA3" w:rsidRPr="002D4681">
        <w:rPr>
          <w:rFonts w:ascii="Arial" w:hAnsi="Arial" w:cs="Arial"/>
          <w:b/>
          <w:sz w:val="22"/>
          <w:szCs w:val="22"/>
        </w:rPr>
        <w:t xml:space="preserve">clinical characteristics of infants </w:t>
      </w:r>
      <w:r w:rsidRPr="002D4681">
        <w:rPr>
          <w:rFonts w:ascii="Arial" w:hAnsi="Arial" w:cs="Arial"/>
          <w:b/>
          <w:sz w:val="22"/>
          <w:szCs w:val="22"/>
        </w:rPr>
        <w:t>treat</w:t>
      </w:r>
      <w:r w:rsidR="001C6EA3" w:rsidRPr="002D4681">
        <w:rPr>
          <w:rFonts w:ascii="Arial" w:hAnsi="Arial" w:cs="Arial"/>
          <w:b/>
          <w:sz w:val="22"/>
          <w:szCs w:val="22"/>
        </w:rPr>
        <w:t>ed</w:t>
      </w:r>
      <w:r w:rsidRPr="002D4681">
        <w:rPr>
          <w:rFonts w:ascii="Arial" w:hAnsi="Arial" w:cs="Arial"/>
          <w:b/>
          <w:sz w:val="22"/>
          <w:szCs w:val="22"/>
        </w:rPr>
        <w:t xml:space="preserve"> for hypoxic ischaemic encephalopathy</w:t>
      </w:r>
      <w:r w:rsidR="001C6EA3" w:rsidRPr="002D4681">
        <w:rPr>
          <w:rFonts w:ascii="Arial" w:hAnsi="Arial" w:cs="Arial"/>
          <w:b/>
          <w:sz w:val="22"/>
          <w:szCs w:val="22"/>
        </w:rPr>
        <w:t xml:space="preserve"> in England, Wales and Scotland</w:t>
      </w:r>
      <w:r w:rsidR="00B20CC7" w:rsidRPr="002D4681">
        <w:rPr>
          <w:rFonts w:ascii="Arial" w:hAnsi="Arial" w:cs="Arial"/>
          <w:b/>
          <w:sz w:val="22"/>
          <w:szCs w:val="22"/>
        </w:rPr>
        <w:t>: a population-based study using the National Neonatal Research Database.</w:t>
      </w:r>
    </w:p>
    <w:p w14:paraId="44AA41DC" w14:textId="6DC62102" w:rsidR="00700F69" w:rsidRPr="002D4681" w:rsidRDefault="00700F69" w:rsidP="00515DE8">
      <w:pPr>
        <w:spacing w:line="480" w:lineRule="auto"/>
        <w:jc w:val="both"/>
        <w:rPr>
          <w:rFonts w:ascii="Arial" w:hAnsi="Arial" w:cs="Arial"/>
          <w:b/>
          <w:sz w:val="22"/>
          <w:szCs w:val="22"/>
        </w:rPr>
      </w:pPr>
    </w:p>
    <w:p w14:paraId="64ED47AE" w14:textId="32087018" w:rsidR="00DE4459" w:rsidRPr="002D4681" w:rsidRDefault="00DE4459" w:rsidP="00515DE8">
      <w:pPr>
        <w:spacing w:line="480" w:lineRule="auto"/>
        <w:rPr>
          <w:rFonts w:ascii="Arial" w:eastAsia="Times New Roman" w:hAnsi="Arial" w:cs="Arial"/>
          <w:color w:val="000000" w:themeColor="text1"/>
          <w:sz w:val="22"/>
          <w:szCs w:val="22"/>
        </w:rPr>
      </w:pPr>
      <w:r w:rsidRPr="002D4681">
        <w:rPr>
          <w:rFonts w:ascii="Arial" w:hAnsi="Arial" w:cs="Arial"/>
          <w:color w:val="000000" w:themeColor="text1"/>
          <w:sz w:val="22"/>
          <w:szCs w:val="22"/>
        </w:rPr>
        <w:t>L</w:t>
      </w:r>
      <w:r w:rsidR="00042D46" w:rsidRPr="002D4681">
        <w:rPr>
          <w:rFonts w:ascii="Arial" w:hAnsi="Arial" w:cs="Arial"/>
          <w:color w:val="000000" w:themeColor="text1"/>
          <w:sz w:val="22"/>
          <w:szCs w:val="22"/>
        </w:rPr>
        <w:t xml:space="preserve">ory Hage, </w:t>
      </w:r>
      <w:r w:rsidR="00515DE8" w:rsidRPr="002D4681">
        <w:rPr>
          <w:rFonts w:ascii="Arial" w:eastAsia="Times New Roman" w:hAnsi="Arial" w:cs="Arial"/>
          <w:color w:val="000000" w:themeColor="text1"/>
          <w:sz w:val="22"/>
          <w:szCs w:val="22"/>
          <w:shd w:val="clear" w:color="auto" w:fill="FFFFFF"/>
        </w:rPr>
        <w:t xml:space="preserve">Dusha Jeyakumaran, </w:t>
      </w:r>
      <w:r w:rsidR="00042D46" w:rsidRPr="002D4681">
        <w:rPr>
          <w:rFonts w:ascii="Arial" w:eastAsia="Times New Roman" w:hAnsi="Arial" w:cs="Arial"/>
          <w:color w:val="000000" w:themeColor="text1"/>
          <w:sz w:val="22"/>
          <w:szCs w:val="22"/>
          <w:shd w:val="clear" w:color="auto" w:fill="FFFFFF"/>
        </w:rPr>
        <w:t xml:space="preserve">Jon Dorling, Shalini Ojha, </w:t>
      </w:r>
      <w:r w:rsidR="00515DE8" w:rsidRPr="002D4681">
        <w:rPr>
          <w:rFonts w:ascii="Arial" w:eastAsia="Times New Roman" w:hAnsi="Arial" w:cs="Arial"/>
          <w:color w:val="000000" w:themeColor="text1"/>
          <w:sz w:val="22"/>
          <w:szCs w:val="22"/>
          <w:shd w:val="clear" w:color="auto" w:fill="FFFFFF"/>
        </w:rPr>
        <w:t xml:space="preserve">Don Sharkey, </w:t>
      </w:r>
      <w:r w:rsidR="00042D46" w:rsidRPr="002D4681">
        <w:rPr>
          <w:rFonts w:ascii="Arial" w:eastAsia="Times New Roman" w:hAnsi="Arial" w:cs="Arial"/>
          <w:color w:val="000000" w:themeColor="text1"/>
          <w:sz w:val="22"/>
          <w:szCs w:val="22"/>
          <w:shd w:val="clear" w:color="auto" w:fill="FFFFFF"/>
        </w:rPr>
        <w:t>Nick Longford, Neena Modi</w:t>
      </w:r>
      <w:r w:rsidR="00515DE8" w:rsidRPr="002D4681">
        <w:rPr>
          <w:rFonts w:ascii="Arial" w:eastAsia="Times New Roman" w:hAnsi="Arial" w:cs="Arial"/>
          <w:color w:val="000000" w:themeColor="text1"/>
          <w:sz w:val="22"/>
          <w:szCs w:val="22"/>
          <w:shd w:val="clear" w:color="auto" w:fill="FFFFFF"/>
        </w:rPr>
        <w:t>,</w:t>
      </w:r>
      <w:r w:rsidR="00515DE8" w:rsidRPr="002D4681">
        <w:rPr>
          <w:rFonts w:ascii="Arial" w:hAnsi="Arial" w:cs="Arial"/>
          <w:color w:val="000000" w:themeColor="text1"/>
          <w:sz w:val="22"/>
          <w:szCs w:val="22"/>
        </w:rPr>
        <w:t xml:space="preserve"> </w:t>
      </w:r>
      <w:r w:rsidR="00515DE8" w:rsidRPr="002D4681">
        <w:rPr>
          <w:rFonts w:ascii="Arial" w:eastAsia="Times New Roman" w:hAnsi="Arial" w:cs="Arial"/>
          <w:color w:val="000000" w:themeColor="text1"/>
          <w:sz w:val="22"/>
          <w:szCs w:val="22"/>
          <w:shd w:val="clear" w:color="auto" w:fill="FFFFFF"/>
        </w:rPr>
        <w:t xml:space="preserve">Cheryl Battersby and </w:t>
      </w:r>
      <w:r w:rsidR="00515DE8" w:rsidRPr="002D4681">
        <w:rPr>
          <w:rFonts w:ascii="Arial" w:hAnsi="Arial" w:cs="Arial"/>
          <w:color w:val="000000" w:themeColor="text1"/>
          <w:sz w:val="22"/>
          <w:szCs w:val="22"/>
        </w:rPr>
        <w:t>Christopher Gale</w:t>
      </w:r>
    </w:p>
    <w:p w14:paraId="01A575E4" w14:textId="43A851D1" w:rsidR="004C48F7" w:rsidRPr="002D4681" w:rsidRDefault="004C48F7" w:rsidP="00515DE8">
      <w:pPr>
        <w:spacing w:line="480" w:lineRule="auto"/>
        <w:jc w:val="both"/>
        <w:rPr>
          <w:rFonts w:ascii="Arial" w:hAnsi="Arial" w:cs="Arial"/>
          <w:sz w:val="22"/>
          <w:szCs w:val="22"/>
        </w:rPr>
      </w:pPr>
    </w:p>
    <w:p w14:paraId="6A8B14CC" w14:textId="77777777" w:rsidR="00515DE8" w:rsidRPr="002D4681" w:rsidRDefault="004C48F7" w:rsidP="00304BC4">
      <w:pPr>
        <w:spacing w:line="480" w:lineRule="auto"/>
        <w:jc w:val="both"/>
        <w:rPr>
          <w:rFonts w:ascii="Arial" w:hAnsi="Arial" w:cs="Arial"/>
          <w:sz w:val="22"/>
          <w:szCs w:val="22"/>
        </w:rPr>
      </w:pPr>
      <w:r w:rsidRPr="002D4681">
        <w:rPr>
          <w:rFonts w:ascii="Arial" w:hAnsi="Arial" w:cs="Arial"/>
          <w:sz w:val="22"/>
          <w:szCs w:val="22"/>
        </w:rPr>
        <w:t>Correspond</w:t>
      </w:r>
      <w:r w:rsidR="008564D2" w:rsidRPr="002D4681">
        <w:rPr>
          <w:rFonts w:ascii="Arial" w:hAnsi="Arial" w:cs="Arial"/>
          <w:sz w:val="22"/>
          <w:szCs w:val="22"/>
        </w:rPr>
        <w:t>ing author</w:t>
      </w:r>
      <w:r w:rsidRPr="002D4681">
        <w:rPr>
          <w:rFonts w:ascii="Arial" w:hAnsi="Arial" w:cs="Arial"/>
          <w:sz w:val="22"/>
          <w:szCs w:val="22"/>
        </w:rPr>
        <w:t>:</w:t>
      </w:r>
    </w:p>
    <w:p w14:paraId="4A05DB5E" w14:textId="236C584A" w:rsidR="00515DE8" w:rsidRPr="002D4681" w:rsidRDefault="00515DE8" w:rsidP="00304BC4">
      <w:pPr>
        <w:spacing w:line="480" w:lineRule="auto"/>
        <w:jc w:val="both"/>
        <w:rPr>
          <w:rFonts w:ascii="Arial" w:hAnsi="Arial" w:cs="Arial"/>
          <w:sz w:val="22"/>
          <w:szCs w:val="22"/>
        </w:rPr>
      </w:pPr>
      <w:r w:rsidRPr="002D4681">
        <w:rPr>
          <w:rFonts w:ascii="Arial" w:hAnsi="Arial" w:cs="Arial"/>
          <w:sz w:val="22"/>
          <w:szCs w:val="22"/>
        </w:rPr>
        <w:t>Chris</w:t>
      </w:r>
      <w:r w:rsidR="00002785">
        <w:rPr>
          <w:rFonts w:ascii="Arial" w:hAnsi="Arial" w:cs="Arial"/>
          <w:sz w:val="22"/>
          <w:szCs w:val="22"/>
        </w:rPr>
        <w:t>topher</w:t>
      </w:r>
      <w:r w:rsidRPr="002D4681">
        <w:rPr>
          <w:rFonts w:ascii="Arial" w:hAnsi="Arial" w:cs="Arial"/>
          <w:sz w:val="22"/>
          <w:szCs w:val="22"/>
        </w:rPr>
        <w:t xml:space="preserve"> Gale</w:t>
      </w:r>
    </w:p>
    <w:p w14:paraId="1B5A9981" w14:textId="6FC9AEE9" w:rsidR="008564D2" w:rsidRPr="002D4681" w:rsidRDefault="008564D2" w:rsidP="00304BC4">
      <w:pPr>
        <w:spacing w:line="480" w:lineRule="auto"/>
        <w:jc w:val="both"/>
        <w:rPr>
          <w:rFonts w:ascii="Arial" w:hAnsi="Arial" w:cs="Arial"/>
          <w:iCs/>
          <w:sz w:val="22"/>
          <w:szCs w:val="22"/>
        </w:rPr>
      </w:pPr>
      <w:r w:rsidRPr="002D4681">
        <w:rPr>
          <w:rFonts w:ascii="Arial" w:hAnsi="Arial" w:cs="Arial"/>
          <w:sz w:val="22"/>
          <w:szCs w:val="22"/>
        </w:rPr>
        <w:t xml:space="preserve">Neonatal Medicine, </w:t>
      </w:r>
      <w:r w:rsidR="00515DE8" w:rsidRPr="002D4681">
        <w:rPr>
          <w:rFonts w:ascii="Arial" w:hAnsi="Arial" w:cs="Arial"/>
          <w:sz w:val="22"/>
          <w:szCs w:val="22"/>
        </w:rPr>
        <w:t xml:space="preserve">School of Public Health, Faculty </w:t>
      </w:r>
      <w:r w:rsidRPr="002D4681">
        <w:rPr>
          <w:rFonts w:ascii="Arial" w:hAnsi="Arial" w:cs="Arial"/>
          <w:sz w:val="22"/>
          <w:szCs w:val="22"/>
        </w:rPr>
        <w:t xml:space="preserve">of Medicine, </w:t>
      </w:r>
      <w:r w:rsidRPr="002D4681">
        <w:rPr>
          <w:rFonts w:ascii="Arial" w:hAnsi="Arial" w:cs="Arial"/>
          <w:iCs/>
          <w:sz w:val="22"/>
          <w:szCs w:val="22"/>
        </w:rPr>
        <w:t xml:space="preserve">Imperial College London, Chelsea and Westminster Hospital campus, 369 Fulham Road, LONDON, SW10 9NH. </w:t>
      </w:r>
    </w:p>
    <w:p w14:paraId="7DBFA9B3" w14:textId="77777777" w:rsidR="008564D2" w:rsidRPr="002D4681" w:rsidRDefault="008564D2" w:rsidP="00304BC4">
      <w:pPr>
        <w:spacing w:line="480" w:lineRule="auto"/>
        <w:jc w:val="both"/>
        <w:rPr>
          <w:rFonts w:ascii="Arial" w:hAnsi="Arial" w:cs="Arial"/>
          <w:iCs/>
          <w:sz w:val="22"/>
          <w:szCs w:val="22"/>
        </w:rPr>
      </w:pPr>
      <w:r w:rsidRPr="002D4681">
        <w:rPr>
          <w:rFonts w:ascii="Arial" w:hAnsi="Arial" w:cs="Arial"/>
          <w:iCs/>
          <w:sz w:val="22"/>
          <w:szCs w:val="22"/>
        </w:rPr>
        <w:t xml:space="preserve">Telephone: 020 3315 5102 </w:t>
      </w:r>
    </w:p>
    <w:p w14:paraId="2B579C4A" w14:textId="32BB9138" w:rsidR="004C48F7" w:rsidRPr="002D4681" w:rsidRDefault="008564D2" w:rsidP="00304BC4">
      <w:pPr>
        <w:spacing w:line="480" w:lineRule="auto"/>
        <w:jc w:val="both"/>
        <w:rPr>
          <w:rFonts w:ascii="Arial" w:hAnsi="Arial" w:cs="Arial"/>
          <w:iCs/>
          <w:color w:val="0000FF"/>
          <w:sz w:val="22"/>
          <w:szCs w:val="22"/>
          <w:u w:val="single"/>
        </w:rPr>
      </w:pPr>
      <w:r w:rsidRPr="002D4681">
        <w:rPr>
          <w:rFonts w:ascii="Arial" w:hAnsi="Arial" w:cs="Arial"/>
          <w:iCs/>
          <w:sz w:val="22"/>
          <w:szCs w:val="22"/>
        </w:rPr>
        <w:t xml:space="preserve">Email: </w:t>
      </w:r>
      <w:hyperlink r:id="rId11" w:history="1">
        <w:r w:rsidRPr="002D4681">
          <w:rPr>
            <w:rStyle w:val="Hyperlink"/>
            <w:rFonts w:ascii="Arial" w:hAnsi="Arial" w:cs="Arial"/>
            <w:iCs/>
            <w:sz w:val="22"/>
            <w:szCs w:val="22"/>
          </w:rPr>
          <w:t>christopher.gale@imperial.ac.uk</w:t>
        </w:r>
      </w:hyperlink>
    </w:p>
    <w:p w14:paraId="16969415" w14:textId="6D0F1A5C" w:rsidR="00800411" w:rsidRDefault="00800411" w:rsidP="00515DE8">
      <w:pPr>
        <w:spacing w:line="480" w:lineRule="auto"/>
        <w:jc w:val="both"/>
        <w:rPr>
          <w:rFonts w:ascii="Arial" w:hAnsi="Arial" w:cs="Arial"/>
          <w:sz w:val="22"/>
          <w:szCs w:val="22"/>
          <w:highlight w:val="yellow"/>
        </w:rPr>
      </w:pPr>
    </w:p>
    <w:p w14:paraId="77733C38" w14:textId="691C3CA2" w:rsidR="00800411" w:rsidRPr="00F00B1B" w:rsidRDefault="00800411" w:rsidP="00515DE8">
      <w:pPr>
        <w:spacing w:line="480" w:lineRule="auto"/>
        <w:jc w:val="both"/>
        <w:rPr>
          <w:rFonts w:ascii="Arial" w:hAnsi="Arial" w:cs="Arial"/>
          <w:color w:val="000000" w:themeColor="text1"/>
          <w:sz w:val="22"/>
          <w:szCs w:val="22"/>
        </w:rPr>
      </w:pPr>
      <w:r w:rsidRPr="00F00B1B">
        <w:rPr>
          <w:rFonts w:ascii="Arial" w:hAnsi="Arial" w:cs="Arial"/>
          <w:color w:val="000000" w:themeColor="text1"/>
          <w:sz w:val="22"/>
          <w:szCs w:val="22"/>
        </w:rPr>
        <w:t>Lory Hage</w:t>
      </w:r>
    </w:p>
    <w:p w14:paraId="7B4F130D" w14:textId="78DC2A8E" w:rsidR="007E7152" w:rsidRPr="00F00B1B" w:rsidRDefault="007E7152" w:rsidP="00515DE8">
      <w:pPr>
        <w:spacing w:line="480" w:lineRule="auto"/>
        <w:jc w:val="both"/>
        <w:rPr>
          <w:rFonts w:ascii="Arial" w:hAnsi="Arial" w:cs="Arial"/>
          <w:sz w:val="22"/>
          <w:szCs w:val="22"/>
        </w:rPr>
      </w:pPr>
      <w:r w:rsidRPr="00F00B1B">
        <w:rPr>
          <w:rFonts w:ascii="Arial" w:hAnsi="Arial" w:cs="Arial"/>
          <w:sz w:val="22"/>
          <w:szCs w:val="22"/>
        </w:rPr>
        <w:t>MRes Biomedical Research, Faculty of Medicine, Imperial College London</w:t>
      </w:r>
    </w:p>
    <w:p w14:paraId="7AFF67E4" w14:textId="7D15CC0F" w:rsidR="00304BC4" w:rsidRDefault="007E7152" w:rsidP="00CA6863">
      <w:pPr>
        <w:spacing w:line="480" w:lineRule="auto"/>
        <w:rPr>
          <w:rFonts w:ascii="Arial" w:hAnsi="Arial" w:cs="Arial"/>
          <w:sz w:val="22"/>
          <w:szCs w:val="22"/>
        </w:rPr>
      </w:pPr>
      <w:r w:rsidRPr="00F00B1B">
        <w:rPr>
          <w:rFonts w:ascii="Arial" w:hAnsi="Arial" w:cs="Arial"/>
          <w:sz w:val="22"/>
          <w:szCs w:val="22"/>
        </w:rPr>
        <w:t>South Kensington campus, Exhibition Road, London SW7 2AZ</w:t>
      </w:r>
      <w:r w:rsidR="00304BC4">
        <w:rPr>
          <w:rFonts w:ascii="Arial" w:hAnsi="Arial" w:cs="Arial"/>
          <w:sz w:val="22"/>
          <w:szCs w:val="22"/>
        </w:rPr>
        <w:t>.</w:t>
      </w:r>
    </w:p>
    <w:p w14:paraId="4842580E" w14:textId="77777777" w:rsidR="00CA6863" w:rsidRDefault="00CA6863" w:rsidP="00CA6863">
      <w:pPr>
        <w:spacing w:line="480" w:lineRule="auto"/>
        <w:rPr>
          <w:rFonts w:ascii="Arial" w:hAnsi="Arial" w:cs="Arial"/>
          <w:sz w:val="22"/>
          <w:szCs w:val="22"/>
        </w:rPr>
      </w:pPr>
    </w:p>
    <w:p w14:paraId="64DF1154" w14:textId="77777777" w:rsidR="00CA6863" w:rsidRPr="00304BC4" w:rsidRDefault="00CA6863" w:rsidP="00CA6863">
      <w:pPr>
        <w:spacing w:line="480" w:lineRule="auto"/>
        <w:jc w:val="both"/>
        <w:rPr>
          <w:rFonts w:ascii="Arial" w:hAnsi="Arial" w:cs="Arial"/>
          <w:sz w:val="22"/>
          <w:szCs w:val="22"/>
        </w:rPr>
      </w:pPr>
      <w:r w:rsidRPr="00304BC4">
        <w:rPr>
          <w:rFonts w:ascii="Arial" w:hAnsi="Arial" w:cs="Arial"/>
          <w:sz w:val="22"/>
          <w:szCs w:val="22"/>
        </w:rPr>
        <w:t>Dusha Jeyakumaran</w:t>
      </w:r>
    </w:p>
    <w:p w14:paraId="5CA8A97E" w14:textId="77777777" w:rsidR="00CA6863" w:rsidRPr="002D4681" w:rsidRDefault="00CA6863" w:rsidP="00CA6863">
      <w:pPr>
        <w:spacing w:line="480" w:lineRule="auto"/>
        <w:jc w:val="both"/>
        <w:rPr>
          <w:rFonts w:ascii="Arial" w:hAnsi="Arial" w:cs="Arial"/>
          <w:iCs/>
          <w:sz w:val="22"/>
          <w:szCs w:val="22"/>
        </w:rPr>
      </w:pPr>
      <w:r w:rsidRPr="002D4681">
        <w:rPr>
          <w:rFonts w:ascii="Arial" w:hAnsi="Arial" w:cs="Arial"/>
          <w:sz w:val="22"/>
          <w:szCs w:val="22"/>
        </w:rPr>
        <w:t xml:space="preserve">Neonatal Medicine, School of Public Health, Faculty of Medicine, </w:t>
      </w:r>
      <w:r w:rsidRPr="002D4681">
        <w:rPr>
          <w:rFonts w:ascii="Arial" w:hAnsi="Arial" w:cs="Arial"/>
          <w:iCs/>
          <w:sz w:val="22"/>
          <w:szCs w:val="22"/>
        </w:rPr>
        <w:t xml:space="preserve">Imperial College London, Chelsea and Westminster Hospital campus, 369 Fulham Road, LONDON, SW10 9NH. </w:t>
      </w:r>
    </w:p>
    <w:p w14:paraId="0C67FE08" w14:textId="77777777" w:rsidR="00CA6863" w:rsidRDefault="00CA6863" w:rsidP="00CA6863">
      <w:pPr>
        <w:spacing w:line="480" w:lineRule="auto"/>
        <w:jc w:val="both"/>
        <w:rPr>
          <w:rFonts w:ascii="Arial" w:hAnsi="Arial" w:cs="Arial"/>
          <w:sz w:val="22"/>
          <w:szCs w:val="22"/>
        </w:rPr>
      </w:pPr>
    </w:p>
    <w:p w14:paraId="2CCEE715" w14:textId="39EB2144" w:rsidR="00CA6863" w:rsidRDefault="00CA6863" w:rsidP="00CA6863">
      <w:pPr>
        <w:spacing w:line="480" w:lineRule="auto"/>
        <w:jc w:val="both"/>
      </w:pPr>
      <w:r w:rsidRPr="009A5ED8">
        <w:rPr>
          <w:rFonts w:ascii="Arial" w:hAnsi="Arial" w:cs="Arial"/>
          <w:sz w:val="22"/>
          <w:szCs w:val="22"/>
        </w:rPr>
        <w:t>Jon Dorling</w:t>
      </w:r>
      <w:r w:rsidRPr="009A5ED8">
        <w:t xml:space="preserve"> </w:t>
      </w:r>
    </w:p>
    <w:p w14:paraId="1883CC33" w14:textId="77777777" w:rsidR="00CA6863" w:rsidRPr="009A5ED8" w:rsidRDefault="00CA6863" w:rsidP="00CA6863">
      <w:pPr>
        <w:spacing w:line="480" w:lineRule="auto"/>
        <w:jc w:val="both"/>
        <w:rPr>
          <w:rFonts w:ascii="Arial" w:hAnsi="Arial" w:cs="Arial"/>
          <w:sz w:val="22"/>
          <w:szCs w:val="22"/>
        </w:rPr>
      </w:pPr>
      <w:r w:rsidRPr="009A5ED8">
        <w:rPr>
          <w:rFonts w:ascii="Arial" w:hAnsi="Arial" w:cs="Arial"/>
          <w:sz w:val="22"/>
          <w:szCs w:val="22"/>
        </w:rPr>
        <w:t>Division of Neonatal-Perinatal Medicine,</w:t>
      </w:r>
      <w:r>
        <w:rPr>
          <w:rFonts w:ascii="Arial" w:hAnsi="Arial" w:cs="Arial"/>
          <w:sz w:val="22"/>
          <w:szCs w:val="22"/>
        </w:rPr>
        <w:t xml:space="preserve"> </w:t>
      </w:r>
      <w:r w:rsidRPr="009A5ED8">
        <w:rPr>
          <w:rFonts w:ascii="Arial" w:hAnsi="Arial" w:cs="Arial"/>
          <w:sz w:val="22"/>
          <w:szCs w:val="22"/>
        </w:rPr>
        <w:t>Dalhousie University, IWK Health Centre,</w:t>
      </w:r>
    </w:p>
    <w:p w14:paraId="133D8384" w14:textId="77777777" w:rsidR="00CA6863" w:rsidRPr="009A5ED8" w:rsidRDefault="00CA6863" w:rsidP="00CA6863">
      <w:pPr>
        <w:spacing w:line="480" w:lineRule="auto"/>
        <w:jc w:val="both"/>
        <w:rPr>
          <w:rFonts w:ascii="Arial" w:hAnsi="Arial" w:cs="Arial"/>
          <w:sz w:val="22"/>
          <w:szCs w:val="22"/>
        </w:rPr>
      </w:pPr>
      <w:r>
        <w:rPr>
          <w:rFonts w:ascii="Arial" w:hAnsi="Arial" w:cs="Arial"/>
          <w:sz w:val="22"/>
          <w:szCs w:val="22"/>
        </w:rPr>
        <w:t xml:space="preserve">5850/5890 University Avenue, </w:t>
      </w:r>
      <w:r w:rsidRPr="009A5ED8">
        <w:rPr>
          <w:rFonts w:ascii="Arial" w:hAnsi="Arial" w:cs="Arial"/>
          <w:sz w:val="22"/>
          <w:szCs w:val="22"/>
        </w:rPr>
        <w:t>Halifax, NS, Canada, B3K 6R8</w:t>
      </w:r>
    </w:p>
    <w:p w14:paraId="08086135" w14:textId="77777777" w:rsidR="00CA6863" w:rsidRDefault="00CA6863" w:rsidP="00CA6863">
      <w:pPr>
        <w:spacing w:line="480" w:lineRule="auto"/>
        <w:jc w:val="both"/>
        <w:rPr>
          <w:rFonts w:ascii="Arial" w:hAnsi="Arial" w:cs="Arial"/>
          <w:sz w:val="22"/>
          <w:szCs w:val="22"/>
        </w:rPr>
      </w:pPr>
    </w:p>
    <w:p w14:paraId="72CF2F90" w14:textId="3FF3D392" w:rsidR="00CA6863" w:rsidRPr="009A5ED8" w:rsidRDefault="00CA6863" w:rsidP="00CA6863">
      <w:pPr>
        <w:spacing w:line="480" w:lineRule="auto"/>
        <w:jc w:val="both"/>
        <w:rPr>
          <w:rFonts w:ascii="Arial" w:hAnsi="Arial" w:cs="Arial"/>
          <w:sz w:val="22"/>
          <w:szCs w:val="22"/>
        </w:rPr>
      </w:pPr>
      <w:r w:rsidRPr="009A5ED8">
        <w:rPr>
          <w:rFonts w:ascii="Arial" w:hAnsi="Arial" w:cs="Arial"/>
          <w:sz w:val="22"/>
          <w:szCs w:val="22"/>
        </w:rPr>
        <w:t>Shalini Ojha</w:t>
      </w:r>
    </w:p>
    <w:p w14:paraId="11608C52" w14:textId="77777777" w:rsidR="00CA6863" w:rsidRPr="009A5ED8" w:rsidRDefault="00CA6863" w:rsidP="00CA6863">
      <w:pPr>
        <w:spacing w:line="480" w:lineRule="auto"/>
        <w:jc w:val="both"/>
        <w:rPr>
          <w:rFonts w:ascii="Arial" w:hAnsi="Arial" w:cs="Arial"/>
          <w:sz w:val="22"/>
          <w:szCs w:val="22"/>
        </w:rPr>
      </w:pPr>
      <w:r w:rsidRPr="009A5ED8">
        <w:rPr>
          <w:rFonts w:ascii="Arial" w:hAnsi="Arial" w:cs="Arial"/>
          <w:sz w:val="22"/>
          <w:szCs w:val="22"/>
        </w:rPr>
        <w:t>School of Medicine, University of Nottingham, Room 4117, Medical School Building, Derby DE</w:t>
      </w:r>
    </w:p>
    <w:p w14:paraId="30CBA1E2" w14:textId="77777777" w:rsidR="00CA6863" w:rsidRPr="009A5ED8" w:rsidRDefault="00CA6863" w:rsidP="00CA6863">
      <w:pPr>
        <w:spacing w:line="480" w:lineRule="auto"/>
        <w:jc w:val="both"/>
        <w:rPr>
          <w:rFonts w:ascii="Arial" w:hAnsi="Arial" w:cs="Arial"/>
          <w:sz w:val="22"/>
          <w:szCs w:val="22"/>
        </w:rPr>
      </w:pPr>
      <w:r w:rsidRPr="009A5ED8">
        <w:rPr>
          <w:rFonts w:ascii="Arial" w:hAnsi="Arial" w:cs="Arial"/>
          <w:sz w:val="22"/>
          <w:szCs w:val="22"/>
        </w:rPr>
        <w:lastRenderedPageBreak/>
        <w:t>Don Sharkey</w:t>
      </w:r>
    </w:p>
    <w:p w14:paraId="0F0E33AC" w14:textId="77777777" w:rsidR="00CA6863" w:rsidRPr="009A5ED8" w:rsidRDefault="00CA6863" w:rsidP="00CA6863">
      <w:pPr>
        <w:spacing w:line="480" w:lineRule="auto"/>
        <w:jc w:val="both"/>
        <w:rPr>
          <w:rFonts w:ascii="Arial" w:hAnsi="Arial" w:cs="Arial"/>
          <w:sz w:val="22"/>
          <w:szCs w:val="22"/>
        </w:rPr>
      </w:pPr>
      <w:r w:rsidRPr="009A5ED8">
        <w:rPr>
          <w:rFonts w:ascii="Arial" w:hAnsi="Arial" w:cs="Arial"/>
          <w:sz w:val="22"/>
          <w:szCs w:val="22"/>
        </w:rPr>
        <w:t xml:space="preserve">Division of Child Health, Obstetrics and Gynaecology, School of Medicine, University of Nottingham, University Hospital, Nottingham, NG7 2UH. </w:t>
      </w:r>
    </w:p>
    <w:p w14:paraId="0804876A" w14:textId="77777777" w:rsidR="00CA6863" w:rsidRDefault="00CA6863" w:rsidP="00CA6863">
      <w:pPr>
        <w:spacing w:line="480" w:lineRule="auto"/>
        <w:jc w:val="both"/>
        <w:rPr>
          <w:rFonts w:ascii="Arial" w:hAnsi="Arial" w:cs="Arial"/>
          <w:sz w:val="22"/>
          <w:szCs w:val="22"/>
        </w:rPr>
      </w:pPr>
    </w:p>
    <w:p w14:paraId="25931B2C" w14:textId="78DB16BF" w:rsidR="00CA6863" w:rsidRPr="00F00B1B" w:rsidRDefault="00CA6863" w:rsidP="00CA6863">
      <w:pPr>
        <w:spacing w:line="480" w:lineRule="auto"/>
        <w:jc w:val="both"/>
        <w:rPr>
          <w:rFonts w:ascii="Arial" w:hAnsi="Arial" w:cs="Arial"/>
          <w:sz w:val="22"/>
          <w:szCs w:val="22"/>
        </w:rPr>
      </w:pPr>
      <w:r w:rsidRPr="00F00B1B">
        <w:rPr>
          <w:rFonts w:ascii="Arial" w:hAnsi="Arial" w:cs="Arial"/>
          <w:sz w:val="22"/>
          <w:szCs w:val="22"/>
        </w:rPr>
        <w:t>Nick Longford</w:t>
      </w:r>
    </w:p>
    <w:p w14:paraId="17862C12" w14:textId="77777777" w:rsidR="00CA6863" w:rsidRPr="002D4681" w:rsidRDefault="00CA6863" w:rsidP="00CA6863">
      <w:pPr>
        <w:spacing w:line="480" w:lineRule="auto"/>
        <w:jc w:val="both"/>
        <w:rPr>
          <w:rFonts w:ascii="Arial" w:hAnsi="Arial" w:cs="Arial"/>
          <w:iCs/>
          <w:sz w:val="22"/>
          <w:szCs w:val="22"/>
        </w:rPr>
      </w:pPr>
      <w:r w:rsidRPr="002D4681">
        <w:rPr>
          <w:rFonts w:ascii="Arial" w:hAnsi="Arial" w:cs="Arial"/>
          <w:sz w:val="22"/>
          <w:szCs w:val="22"/>
        </w:rPr>
        <w:t xml:space="preserve">Neonatal Medicine, School of Public Health, Faculty of Medicine, </w:t>
      </w:r>
      <w:r w:rsidRPr="002D4681">
        <w:rPr>
          <w:rFonts w:ascii="Arial" w:hAnsi="Arial" w:cs="Arial"/>
          <w:iCs/>
          <w:sz w:val="22"/>
          <w:szCs w:val="22"/>
        </w:rPr>
        <w:t xml:space="preserve">Imperial College London, Chelsea and Westminster Hospital campus, 369 Fulham Road, LONDON, SW10 9NH. </w:t>
      </w:r>
    </w:p>
    <w:p w14:paraId="6A64BF3A" w14:textId="77777777" w:rsidR="00304BC4" w:rsidRDefault="00304BC4" w:rsidP="00515DE8">
      <w:pPr>
        <w:spacing w:line="480" w:lineRule="auto"/>
        <w:jc w:val="both"/>
        <w:rPr>
          <w:rFonts w:ascii="Arial" w:hAnsi="Arial" w:cs="Arial"/>
          <w:sz w:val="22"/>
          <w:szCs w:val="22"/>
        </w:rPr>
      </w:pPr>
    </w:p>
    <w:p w14:paraId="42C517A5" w14:textId="1F5DBE93" w:rsidR="00002785" w:rsidRPr="00F00B1B" w:rsidRDefault="00002785" w:rsidP="00515DE8">
      <w:pPr>
        <w:spacing w:line="480" w:lineRule="auto"/>
        <w:jc w:val="both"/>
        <w:rPr>
          <w:rFonts w:ascii="Arial" w:hAnsi="Arial" w:cs="Arial"/>
          <w:sz w:val="22"/>
          <w:szCs w:val="22"/>
        </w:rPr>
      </w:pPr>
      <w:r w:rsidRPr="00F00B1B">
        <w:rPr>
          <w:rFonts w:ascii="Arial" w:hAnsi="Arial" w:cs="Arial"/>
          <w:sz w:val="22"/>
          <w:szCs w:val="22"/>
        </w:rPr>
        <w:t>Neena Modi</w:t>
      </w:r>
    </w:p>
    <w:p w14:paraId="18FDCB46" w14:textId="6EC78F8D" w:rsidR="00304BC4" w:rsidRPr="00CA6863" w:rsidRDefault="00800411" w:rsidP="00CA6863">
      <w:pPr>
        <w:spacing w:line="480" w:lineRule="auto"/>
        <w:jc w:val="both"/>
        <w:rPr>
          <w:rFonts w:ascii="Arial" w:hAnsi="Arial" w:cs="Arial"/>
          <w:iCs/>
          <w:sz w:val="22"/>
          <w:szCs w:val="22"/>
        </w:rPr>
      </w:pPr>
      <w:r w:rsidRPr="002D4681">
        <w:rPr>
          <w:rFonts w:ascii="Arial" w:hAnsi="Arial" w:cs="Arial"/>
          <w:sz w:val="22"/>
          <w:szCs w:val="22"/>
        </w:rPr>
        <w:t xml:space="preserve">Neonatal Medicine, School of Public Health, Faculty of Medicine, </w:t>
      </w:r>
      <w:r w:rsidRPr="002D4681">
        <w:rPr>
          <w:rFonts w:ascii="Arial" w:hAnsi="Arial" w:cs="Arial"/>
          <w:iCs/>
          <w:sz w:val="22"/>
          <w:szCs w:val="22"/>
        </w:rPr>
        <w:t xml:space="preserve">Imperial College London, Chelsea and Westminster Hospital campus, 369 Fulham Road, LONDON, SW10 9NH. </w:t>
      </w:r>
    </w:p>
    <w:p w14:paraId="5653CB63" w14:textId="1A6782DC" w:rsidR="00002785" w:rsidRDefault="00002785" w:rsidP="00515DE8">
      <w:pPr>
        <w:spacing w:line="480" w:lineRule="auto"/>
        <w:jc w:val="both"/>
        <w:rPr>
          <w:rFonts w:ascii="Arial" w:hAnsi="Arial" w:cs="Arial"/>
          <w:sz w:val="22"/>
          <w:szCs w:val="22"/>
        </w:rPr>
      </w:pPr>
    </w:p>
    <w:p w14:paraId="6A733C43" w14:textId="77777777" w:rsidR="00CA6863" w:rsidRPr="00F00B1B" w:rsidRDefault="00CA6863" w:rsidP="00CA6863">
      <w:pPr>
        <w:spacing w:line="480" w:lineRule="auto"/>
        <w:jc w:val="both"/>
        <w:rPr>
          <w:rFonts w:ascii="Arial" w:hAnsi="Arial" w:cs="Arial"/>
          <w:sz w:val="22"/>
          <w:szCs w:val="22"/>
        </w:rPr>
      </w:pPr>
      <w:r w:rsidRPr="00F00B1B">
        <w:rPr>
          <w:rFonts w:ascii="Arial" w:hAnsi="Arial" w:cs="Arial"/>
          <w:sz w:val="22"/>
          <w:szCs w:val="22"/>
        </w:rPr>
        <w:t>Cheryl Battersby</w:t>
      </w:r>
    </w:p>
    <w:p w14:paraId="101400E6" w14:textId="47416102" w:rsidR="00CA6863" w:rsidRPr="00CA6863" w:rsidRDefault="00CA6863" w:rsidP="00CA6863">
      <w:pPr>
        <w:spacing w:line="480" w:lineRule="auto"/>
        <w:jc w:val="both"/>
        <w:rPr>
          <w:rFonts w:ascii="Arial" w:hAnsi="Arial" w:cs="Arial"/>
          <w:iCs/>
          <w:sz w:val="22"/>
          <w:szCs w:val="22"/>
        </w:rPr>
      </w:pPr>
      <w:r w:rsidRPr="002D4681">
        <w:rPr>
          <w:rFonts w:ascii="Arial" w:hAnsi="Arial" w:cs="Arial"/>
          <w:sz w:val="22"/>
          <w:szCs w:val="22"/>
        </w:rPr>
        <w:t xml:space="preserve">Neonatal Medicine, School of Public Health, Faculty of Medicine, </w:t>
      </w:r>
      <w:r w:rsidRPr="002D4681">
        <w:rPr>
          <w:rFonts w:ascii="Arial" w:hAnsi="Arial" w:cs="Arial"/>
          <w:iCs/>
          <w:sz w:val="22"/>
          <w:szCs w:val="22"/>
        </w:rPr>
        <w:t xml:space="preserve">Imperial College London, Chelsea and Westminster Hospital campus, 369 Fulham Road, LONDON, SW10 9NH. </w:t>
      </w:r>
    </w:p>
    <w:p w14:paraId="602C312D" w14:textId="77777777" w:rsidR="00CA6863" w:rsidRPr="00002785" w:rsidRDefault="00CA6863" w:rsidP="00515DE8">
      <w:pPr>
        <w:spacing w:line="480" w:lineRule="auto"/>
        <w:jc w:val="both"/>
        <w:rPr>
          <w:rFonts w:ascii="Arial" w:hAnsi="Arial" w:cs="Arial"/>
          <w:sz w:val="22"/>
          <w:szCs w:val="22"/>
        </w:rPr>
      </w:pPr>
    </w:p>
    <w:p w14:paraId="525707AA" w14:textId="4B452D30" w:rsidR="00DE4459" w:rsidRPr="002D4681" w:rsidRDefault="00DE4459" w:rsidP="00515DE8">
      <w:pPr>
        <w:spacing w:line="480" w:lineRule="auto"/>
        <w:jc w:val="both"/>
        <w:rPr>
          <w:rFonts w:ascii="Arial" w:hAnsi="Arial" w:cs="Arial"/>
          <w:sz w:val="22"/>
          <w:szCs w:val="22"/>
        </w:rPr>
      </w:pPr>
      <w:r w:rsidRPr="002D4681">
        <w:rPr>
          <w:rFonts w:ascii="Arial" w:hAnsi="Arial" w:cs="Arial"/>
          <w:sz w:val="22"/>
          <w:szCs w:val="22"/>
        </w:rPr>
        <w:t>Word count:</w:t>
      </w:r>
      <w:r w:rsidR="00472FEC" w:rsidRPr="00086178">
        <w:rPr>
          <w:rFonts w:ascii="Arial" w:hAnsi="Arial" w:cs="Arial"/>
          <w:sz w:val="22"/>
          <w:szCs w:val="22"/>
        </w:rPr>
        <w:t xml:space="preserve"> </w:t>
      </w:r>
      <w:r w:rsidR="00F00B1B" w:rsidRPr="00086178">
        <w:rPr>
          <w:rFonts w:ascii="Arial" w:hAnsi="Arial" w:cs="Arial"/>
          <w:sz w:val="22"/>
          <w:szCs w:val="22"/>
        </w:rPr>
        <w:t>2</w:t>
      </w:r>
      <w:r w:rsidR="005A2798">
        <w:rPr>
          <w:rFonts w:ascii="Arial" w:hAnsi="Arial" w:cs="Arial"/>
          <w:sz w:val="22"/>
          <w:szCs w:val="22"/>
        </w:rPr>
        <w:t>400</w:t>
      </w:r>
    </w:p>
    <w:p w14:paraId="3ED92133" w14:textId="77777777" w:rsidR="007E2AC3" w:rsidRPr="002D4681" w:rsidRDefault="007E2AC3" w:rsidP="00515DE8">
      <w:pPr>
        <w:spacing w:line="480" w:lineRule="auto"/>
        <w:jc w:val="both"/>
        <w:rPr>
          <w:rFonts w:ascii="Arial" w:hAnsi="Arial" w:cs="Arial"/>
          <w:sz w:val="22"/>
          <w:szCs w:val="22"/>
        </w:rPr>
      </w:pPr>
    </w:p>
    <w:p w14:paraId="2ADB7406" w14:textId="1C39ABE6" w:rsidR="008564D2" w:rsidRPr="002D4681" w:rsidRDefault="007E2AC3" w:rsidP="00515DE8">
      <w:pPr>
        <w:spacing w:line="480" w:lineRule="auto"/>
        <w:jc w:val="both"/>
        <w:rPr>
          <w:rFonts w:ascii="Arial" w:hAnsi="Arial" w:cs="Arial"/>
          <w:sz w:val="22"/>
          <w:szCs w:val="22"/>
        </w:rPr>
      </w:pPr>
      <w:r w:rsidRPr="002D4681">
        <w:rPr>
          <w:rFonts w:ascii="Arial" w:hAnsi="Arial" w:cs="Arial"/>
          <w:sz w:val="22"/>
          <w:szCs w:val="22"/>
        </w:rPr>
        <w:t>Key words:</w:t>
      </w:r>
      <w:r w:rsidR="008564D2" w:rsidRPr="002D4681">
        <w:rPr>
          <w:rFonts w:ascii="Arial" w:hAnsi="Arial" w:cs="Arial"/>
          <w:sz w:val="22"/>
          <w:szCs w:val="22"/>
        </w:rPr>
        <w:t xml:space="preserve"> NNRD, Brain injuries, Infant, Newborn, Electronic Health Records, Intensive Care, Neonatal,</w:t>
      </w:r>
      <w:r w:rsidR="003A2B1C" w:rsidRPr="002D4681">
        <w:rPr>
          <w:rFonts w:ascii="Arial" w:hAnsi="Arial" w:cs="Arial"/>
          <w:sz w:val="22"/>
          <w:szCs w:val="22"/>
        </w:rPr>
        <w:t xml:space="preserve"> hypoxic ischemic encephalopathy</w:t>
      </w:r>
      <w:r w:rsidR="003A2B1C" w:rsidRPr="002D4681" w:rsidDel="003A2B1C">
        <w:rPr>
          <w:rFonts w:ascii="Arial" w:hAnsi="Arial" w:cs="Arial"/>
          <w:sz w:val="22"/>
          <w:szCs w:val="22"/>
        </w:rPr>
        <w:t xml:space="preserve"> </w:t>
      </w:r>
    </w:p>
    <w:p w14:paraId="41A40009" w14:textId="77777777" w:rsidR="008564D2" w:rsidRPr="002D4681" w:rsidRDefault="008564D2" w:rsidP="00515DE8">
      <w:pPr>
        <w:spacing w:line="480" w:lineRule="auto"/>
        <w:jc w:val="both"/>
        <w:rPr>
          <w:rFonts w:ascii="Arial" w:hAnsi="Arial" w:cs="Arial"/>
          <w:sz w:val="22"/>
          <w:szCs w:val="22"/>
        </w:rPr>
      </w:pPr>
    </w:p>
    <w:p w14:paraId="5AC17640" w14:textId="660BD306" w:rsidR="00DE4459" w:rsidRPr="002D4681" w:rsidRDefault="008564D2" w:rsidP="00515DE8">
      <w:pPr>
        <w:spacing w:line="480" w:lineRule="auto"/>
        <w:rPr>
          <w:rFonts w:ascii="Arial" w:hAnsi="Arial" w:cs="Arial"/>
          <w:sz w:val="22"/>
          <w:szCs w:val="22"/>
        </w:rPr>
      </w:pPr>
      <w:r w:rsidRPr="002D4681">
        <w:rPr>
          <w:rFonts w:ascii="Arial" w:hAnsi="Arial" w:cs="Arial"/>
          <w:sz w:val="22"/>
          <w:szCs w:val="22"/>
        </w:rPr>
        <w:br w:type="page"/>
      </w:r>
    </w:p>
    <w:p w14:paraId="3B24633D" w14:textId="5B18B55A" w:rsidR="00D92736" w:rsidRPr="002D4681" w:rsidRDefault="00B20CC7" w:rsidP="00515DE8">
      <w:pPr>
        <w:spacing w:line="480" w:lineRule="auto"/>
        <w:jc w:val="both"/>
        <w:rPr>
          <w:rFonts w:ascii="Arial" w:hAnsi="Arial" w:cs="Arial"/>
          <w:sz w:val="22"/>
          <w:szCs w:val="22"/>
        </w:rPr>
      </w:pPr>
      <w:r w:rsidRPr="002D4681">
        <w:rPr>
          <w:rFonts w:ascii="Arial" w:hAnsi="Arial" w:cs="Arial"/>
          <w:b/>
          <w:sz w:val="22"/>
          <w:szCs w:val="22"/>
        </w:rPr>
        <w:lastRenderedPageBreak/>
        <w:t>ABSTRACT</w:t>
      </w:r>
    </w:p>
    <w:p w14:paraId="140937AB" w14:textId="32947A2B" w:rsidR="00515DE8" w:rsidRPr="002D4681" w:rsidRDefault="00515DE8" w:rsidP="00515DE8">
      <w:pPr>
        <w:spacing w:line="480" w:lineRule="auto"/>
        <w:jc w:val="both"/>
        <w:rPr>
          <w:rFonts w:ascii="Arial" w:hAnsi="Arial" w:cs="Arial"/>
          <w:sz w:val="22"/>
          <w:szCs w:val="22"/>
        </w:rPr>
      </w:pPr>
      <w:r w:rsidRPr="002D4681">
        <w:rPr>
          <w:rFonts w:ascii="Arial" w:hAnsi="Arial" w:cs="Arial"/>
          <w:b/>
          <w:sz w:val="22"/>
          <w:szCs w:val="22"/>
        </w:rPr>
        <w:t xml:space="preserve">Background: </w:t>
      </w:r>
      <w:r w:rsidRPr="002D4681">
        <w:rPr>
          <w:rFonts w:ascii="Arial" w:hAnsi="Arial" w:cs="Arial"/>
          <w:sz w:val="22"/>
          <w:szCs w:val="22"/>
        </w:rPr>
        <w:t>Therapeutic hypothermia is standard of care for babies with moderate</w:t>
      </w:r>
      <w:r w:rsidR="00831B6B">
        <w:rPr>
          <w:rFonts w:ascii="Arial" w:hAnsi="Arial" w:cs="Arial"/>
          <w:sz w:val="22"/>
          <w:szCs w:val="22"/>
        </w:rPr>
        <w:t>/</w:t>
      </w:r>
      <w:r w:rsidRPr="002D4681">
        <w:rPr>
          <w:rFonts w:ascii="Arial" w:hAnsi="Arial" w:cs="Arial"/>
          <w:sz w:val="22"/>
          <w:szCs w:val="22"/>
        </w:rPr>
        <w:t>severe hypoxic ischaemic encephalopathy</w:t>
      </w:r>
      <w:r w:rsidR="001572EA" w:rsidRPr="002D4681">
        <w:rPr>
          <w:rFonts w:ascii="Arial" w:hAnsi="Arial" w:cs="Arial"/>
          <w:sz w:val="22"/>
          <w:szCs w:val="22"/>
        </w:rPr>
        <w:t xml:space="preserve"> and is increasingly </w:t>
      </w:r>
      <w:r w:rsidR="00251890" w:rsidRPr="002D4681">
        <w:rPr>
          <w:rFonts w:ascii="Arial" w:hAnsi="Arial" w:cs="Arial"/>
          <w:sz w:val="22"/>
          <w:szCs w:val="22"/>
        </w:rPr>
        <w:t>used</w:t>
      </w:r>
      <w:r w:rsidR="001572EA" w:rsidRPr="002D4681">
        <w:rPr>
          <w:rFonts w:ascii="Arial" w:hAnsi="Arial" w:cs="Arial"/>
          <w:sz w:val="22"/>
          <w:szCs w:val="22"/>
        </w:rPr>
        <w:t xml:space="preserve"> </w:t>
      </w:r>
      <w:r w:rsidR="00C620F1">
        <w:rPr>
          <w:rFonts w:ascii="Arial" w:hAnsi="Arial" w:cs="Arial"/>
          <w:sz w:val="22"/>
          <w:szCs w:val="22"/>
        </w:rPr>
        <w:t>for</w:t>
      </w:r>
      <w:r w:rsidR="001572EA" w:rsidRPr="002D4681">
        <w:rPr>
          <w:rFonts w:ascii="Arial" w:hAnsi="Arial" w:cs="Arial"/>
          <w:sz w:val="22"/>
          <w:szCs w:val="22"/>
        </w:rPr>
        <w:t xml:space="preserve"> mild encephalopathy</w:t>
      </w:r>
      <w:r w:rsidR="00767E66" w:rsidRPr="002D4681">
        <w:rPr>
          <w:rFonts w:ascii="Arial" w:hAnsi="Arial" w:cs="Arial"/>
          <w:sz w:val="22"/>
          <w:szCs w:val="22"/>
        </w:rPr>
        <w:t xml:space="preserve"> </w:t>
      </w:r>
    </w:p>
    <w:p w14:paraId="38B7E696" w14:textId="77777777" w:rsidR="00515DE8" w:rsidRPr="002D4681" w:rsidRDefault="00515DE8" w:rsidP="00515DE8">
      <w:pPr>
        <w:spacing w:line="480" w:lineRule="auto"/>
        <w:jc w:val="both"/>
        <w:rPr>
          <w:rFonts w:ascii="Arial" w:hAnsi="Arial" w:cs="Arial"/>
          <w:b/>
          <w:sz w:val="22"/>
          <w:szCs w:val="22"/>
        </w:rPr>
      </w:pPr>
    </w:p>
    <w:p w14:paraId="706A3C22" w14:textId="277C7D6D" w:rsidR="00227168" w:rsidRPr="002D4681" w:rsidRDefault="008564D2" w:rsidP="00515DE8">
      <w:pPr>
        <w:spacing w:line="480" w:lineRule="auto"/>
        <w:jc w:val="both"/>
        <w:rPr>
          <w:rFonts w:ascii="Arial" w:hAnsi="Arial" w:cs="Arial"/>
          <w:sz w:val="22"/>
          <w:szCs w:val="22"/>
        </w:rPr>
      </w:pPr>
      <w:r w:rsidRPr="002D4681">
        <w:rPr>
          <w:rFonts w:ascii="Arial" w:hAnsi="Arial" w:cs="Arial"/>
          <w:b/>
          <w:sz w:val="22"/>
          <w:szCs w:val="22"/>
        </w:rPr>
        <w:t>Objective:</w:t>
      </w:r>
      <w:r w:rsidRPr="002D4681">
        <w:rPr>
          <w:rFonts w:ascii="Arial" w:hAnsi="Arial" w:cs="Arial"/>
          <w:sz w:val="22"/>
          <w:szCs w:val="22"/>
        </w:rPr>
        <w:t xml:space="preserve"> </w:t>
      </w:r>
      <w:r w:rsidR="00831B6B">
        <w:rPr>
          <w:rFonts w:ascii="Arial" w:eastAsia="Times New Roman" w:hAnsi="Arial" w:cs="Arial"/>
          <w:sz w:val="22"/>
          <w:szCs w:val="22"/>
        </w:rPr>
        <w:t>D</w:t>
      </w:r>
      <w:r w:rsidR="00717B25" w:rsidRPr="002D4681">
        <w:rPr>
          <w:rFonts w:ascii="Arial" w:eastAsia="Times New Roman" w:hAnsi="Arial" w:cs="Arial"/>
          <w:sz w:val="22"/>
          <w:szCs w:val="22"/>
        </w:rPr>
        <w:t xml:space="preserve">escribe </w:t>
      </w:r>
      <w:r w:rsidR="001572EA" w:rsidRPr="002D4681">
        <w:rPr>
          <w:rFonts w:ascii="Arial" w:eastAsia="Times New Roman" w:hAnsi="Arial" w:cs="Arial"/>
          <w:sz w:val="22"/>
          <w:szCs w:val="22"/>
        </w:rPr>
        <w:t xml:space="preserve">temporal trends </w:t>
      </w:r>
      <w:r w:rsidR="00390D45" w:rsidRPr="002D4681">
        <w:rPr>
          <w:rFonts w:ascii="Arial" w:eastAsia="Times New Roman" w:hAnsi="Arial" w:cs="Arial"/>
          <w:sz w:val="22"/>
          <w:szCs w:val="22"/>
        </w:rPr>
        <w:t xml:space="preserve">in the </w:t>
      </w:r>
      <w:r w:rsidR="00DB3107">
        <w:rPr>
          <w:rFonts w:ascii="Arial" w:eastAsia="Times New Roman" w:hAnsi="Arial" w:cs="Arial"/>
          <w:sz w:val="22"/>
          <w:szCs w:val="22"/>
        </w:rPr>
        <w:t>clinical condition of</w:t>
      </w:r>
      <w:r w:rsidR="00717B25" w:rsidRPr="002D4681">
        <w:rPr>
          <w:rFonts w:ascii="Arial" w:eastAsia="Times New Roman" w:hAnsi="Arial" w:cs="Arial"/>
          <w:sz w:val="22"/>
          <w:szCs w:val="22"/>
        </w:rPr>
        <w:t xml:space="preserve"> babies diagnosed with hypoxic ischaemic encephalopathy</w:t>
      </w:r>
      <w:r w:rsidR="00FA1E21" w:rsidRPr="002D4681">
        <w:rPr>
          <w:rFonts w:ascii="Arial" w:eastAsia="Times New Roman" w:hAnsi="Arial" w:cs="Arial"/>
          <w:sz w:val="22"/>
          <w:szCs w:val="22"/>
        </w:rPr>
        <w:t xml:space="preserve"> </w:t>
      </w:r>
      <w:r w:rsidR="00717B25" w:rsidRPr="002D4681">
        <w:rPr>
          <w:rFonts w:ascii="Arial" w:eastAsia="Times New Roman" w:hAnsi="Arial" w:cs="Arial"/>
          <w:sz w:val="22"/>
          <w:szCs w:val="22"/>
        </w:rPr>
        <w:t>who received therapeutic hypothermia</w:t>
      </w:r>
      <w:r w:rsidR="00767E66" w:rsidRPr="002D4681">
        <w:rPr>
          <w:rFonts w:ascii="Arial" w:eastAsia="Times New Roman" w:hAnsi="Arial" w:cs="Arial"/>
          <w:sz w:val="22"/>
          <w:szCs w:val="22"/>
        </w:rPr>
        <w:t xml:space="preserve"> </w:t>
      </w:r>
    </w:p>
    <w:p w14:paraId="15D5A33C" w14:textId="77777777" w:rsidR="00AF2186" w:rsidRPr="002D4681" w:rsidRDefault="00AF2186" w:rsidP="00515DE8">
      <w:pPr>
        <w:spacing w:line="480" w:lineRule="auto"/>
        <w:jc w:val="both"/>
        <w:rPr>
          <w:rFonts w:ascii="Arial" w:hAnsi="Arial" w:cs="Arial"/>
          <w:b/>
          <w:sz w:val="22"/>
          <w:szCs w:val="22"/>
        </w:rPr>
      </w:pPr>
    </w:p>
    <w:p w14:paraId="3691E2AE" w14:textId="65B1F894" w:rsidR="00227168" w:rsidRPr="002D4681" w:rsidRDefault="008564D2" w:rsidP="00515DE8">
      <w:pPr>
        <w:spacing w:line="480" w:lineRule="auto"/>
        <w:jc w:val="both"/>
        <w:rPr>
          <w:rFonts w:ascii="Arial" w:hAnsi="Arial" w:cs="Arial"/>
          <w:sz w:val="22"/>
          <w:szCs w:val="22"/>
        </w:rPr>
      </w:pPr>
      <w:r w:rsidRPr="002D4681">
        <w:rPr>
          <w:rFonts w:ascii="Arial" w:hAnsi="Arial" w:cs="Arial"/>
          <w:b/>
          <w:sz w:val="22"/>
          <w:szCs w:val="22"/>
        </w:rPr>
        <w:t>Design:</w:t>
      </w:r>
      <w:r w:rsidRPr="002D4681">
        <w:rPr>
          <w:rFonts w:ascii="Arial" w:hAnsi="Arial" w:cs="Arial"/>
          <w:sz w:val="22"/>
          <w:szCs w:val="22"/>
        </w:rPr>
        <w:t xml:space="preserve"> </w:t>
      </w:r>
      <w:r w:rsidR="00227168" w:rsidRPr="002D4681">
        <w:rPr>
          <w:rFonts w:ascii="Arial" w:hAnsi="Arial" w:cs="Arial"/>
          <w:sz w:val="22"/>
          <w:szCs w:val="22"/>
        </w:rPr>
        <w:t xml:space="preserve">Retrospective cohort study using data </w:t>
      </w:r>
      <w:r w:rsidR="001572EA" w:rsidRPr="002D4681">
        <w:rPr>
          <w:rFonts w:ascii="Arial" w:hAnsi="Arial" w:cs="Arial"/>
          <w:sz w:val="22"/>
          <w:szCs w:val="22"/>
        </w:rPr>
        <w:t xml:space="preserve">held </w:t>
      </w:r>
      <w:r w:rsidR="00227168" w:rsidRPr="002D4681">
        <w:rPr>
          <w:rFonts w:ascii="Arial" w:hAnsi="Arial" w:cs="Arial"/>
          <w:sz w:val="22"/>
          <w:szCs w:val="22"/>
        </w:rPr>
        <w:t xml:space="preserve">in the National Neonatal Research Database (NNRD) </w:t>
      </w:r>
    </w:p>
    <w:p w14:paraId="2774BE88" w14:textId="77777777" w:rsidR="00AF2186" w:rsidRPr="002D4681" w:rsidRDefault="00AF2186" w:rsidP="00515DE8">
      <w:pPr>
        <w:spacing w:line="480" w:lineRule="auto"/>
        <w:jc w:val="both"/>
        <w:rPr>
          <w:rFonts w:ascii="Arial" w:hAnsi="Arial" w:cs="Arial"/>
          <w:b/>
          <w:sz w:val="22"/>
          <w:szCs w:val="22"/>
        </w:rPr>
      </w:pPr>
    </w:p>
    <w:p w14:paraId="70C3D2B9" w14:textId="6DE486FA" w:rsidR="001572EA" w:rsidRPr="002D4681" w:rsidRDefault="008564D2" w:rsidP="001572EA">
      <w:pPr>
        <w:spacing w:line="480" w:lineRule="auto"/>
        <w:jc w:val="both"/>
        <w:rPr>
          <w:rFonts w:ascii="Arial" w:hAnsi="Arial" w:cs="Arial"/>
          <w:sz w:val="22"/>
          <w:szCs w:val="22"/>
        </w:rPr>
      </w:pPr>
      <w:r w:rsidRPr="002D4681">
        <w:rPr>
          <w:rFonts w:ascii="Arial" w:hAnsi="Arial" w:cs="Arial"/>
          <w:b/>
          <w:sz w:val="22"/>
          <w:szCs w:val="22"/>
        </w:rPr>
        <w:t>Setting:</w:t>
      </w:r>
      <w:r w:rsidR="00FA1E21" w:rsidRPr="002D4681">
        <w:rPr>
          <w:rFonts w:ascii="Arial" w:hAnsi="Arial" w:cs="Arial"/>
          <w:b/>
          <w:sz w:val="22"/>
          <w:szCs w:val="22"/>
        </w:rPr>
        <w:t xml:space="preserve"> </w:t>
      </w:r>
      <w:r w:rsidR="001572EA" w:rsidRPr="002D4681">
        <w:rPr>
          <w:rFonts w:ascii="Arial" w:hAnsi="Arial" w:cs="Arial"/>
          <w:sz w:val="22"/>
          <w:szCs w:val="22"/>
        </w:rPr>
        <w:t>National Health Service neonatal units in England, Wales and Scotland</w:t>
      </w:r>
    </w:p>
    <w:p w14:paraId="4F6CFB7E" w14:textId="77777777" w:rsidR="00AF2186" w:rsidRPr="002D4681" w:rsidRDefault="00AF2186" w:rsidP="00515DE8">
      <w:pPr>
        <w:spacing w:line="480" w:lineRule="auto"/>
        <w:jc w:val="both"/>
        <w:rPr>
          <w:rFonts w:ascii="Arial" w:hAnsi="Arial" w:cs="Arial"/>
          <w:b/>
          <w:sz w:val="22"/>
          <w:szCs w:val="22"/>
        </w:rPr>
      </w:pPr>
    </w:p>
    <w:p w14:paraId="66C47029" w14:textId="120F4CBA" w:rsidR="008564D2" w:rsidRPr="002D4681" w:rsidRDefault="008564D2" w:rsidP="00515DE8">
      <w:pPr>
        <w:spacing w:line="480" w:lineRule="auto"/>
        <w:jc w:val="both"/>
        <w:rPr>
          <w:rFonts w:ascii="Arial" w:hAnsi="Arial" w:cs="Arial"/>
          <w:b/>
          <w:sz w:val="22"/>
          <w:szCs w:val="22"/>
        </w:rPr>
      </w:pPr>
      <w:r w:rsidRPr="002D4681">
        <w:rPr>
          <w:rFonts w:ascii="Arial" w:hAnsi="Arial" w:cs="Arial"/>
          <w:b/>
          <w:sz w:val="22"/>
          <w:szCs w:val="22"/>
        </w:rPr>
        <w:t>Patients:</w:t>
      </w:r>
      <w:r w:rsidR="00FA1E21" w:rsidRPr="002D4681">
        <w:rPr>
          <w:rFonts w:ascii="Arial" w:hAnsi="Arial" w:cs="Arial"/>
          <w:b/>
          <w:sz w:val="22"/>
          <w:szCs w:val="22"/>
        </w:rPr>
        <w:t xml:space="preserve"> </w:t>
      </w:r>
      <w:r w:rsidR="00FA1E21" w:rsidRPr="002D4681">
        <w:rPr>
          <w:rFonts w:ascii="Arial" w:hAnsi="Arial" w:cs="Arial"/>
          <w:sz w:val="22"/>
          <w:szCs w:val="22"/>
        </w:rPr>
        <w:t>Infants born</w:t>
      </w:r>
      <w:r w:rsidR="00C620F1">
        <w:rPr>
          <w:rFonts w:ascii="Arial" w:hAnsi="Arial" w:cs="Arial"/>
          <w:sz w:val="22"/>
          <w:szCs w:val="22"/>
        </w:rPr>
        <w:t xml:space="preserve"> </w:t>
      </w:r>
      <w:r w:rsidR="001572EA" w:rsidRPr="002D4681">
        <w:rPr>
          <w:rFonts w:ascii="Arial" w:hAnsi="Arial" w:cs="Arial"/>
          <w:sz w:val="22"/>
          <w:szCs w:val="22"/>
        </w:rPr>
        <w:t>1</w:t>
      </w:r>
      <w:r w:rsidR="001572EA" w:rsidRPr="002D4681">
        <w:rPr>
          <w:rFonts w:ascii="Arial" w:hAnsi="Arial" w:cs="Arial"/>
          <w:sz w:val="22"/>
          <w:szCs w:val="22"/>
          <w:vertAlign w:val="superscript"/>
        </w:rPr>
        <w:t>st</w:t>
      </w:r>
      <w:r w:rsidR="001572EA" w:rsidRPr="002D4681">
        <w:rPr>
          <w:rFonts w:ascii="Arial" w:hAnsi="Arial" w:cs="Arial"/>
          <w:sz w:val="22"/>
          <w:szCs w:val="22"/>
        </w:rPr>
        <w:t xml:space="preserve"> January </w:t>
      </w:r>
      <w:r w:rsidR="00FA1E21" w:rsidRPr="002D4681">
        <w:rPr>
          <w:rFonts w:ascii="Arial" w:hAnsi="Arial" w:cs="Arial"/>
          <w:sz w:val="22"/>
          <w:szCs w:val="22"/>
        </w:rPr>
        <w:t xml:space="preserve">2010 </w:t>
      </w:r>
      <w:r w:rsidR="00831B6B">
        <w:rPr>
          <w:rFonts w:ascii="Arial" w:hAnsi="Arial" w:cs="Arial"/>
          <w:sz w:val="22"/>
          <w:szCs w:val="22"/>
        </w:rPr>
        <w:t>to</w:t>
      </w:r>
      <w:r w:rsidR="00831B6B" w:rsidRPr="002D4681">
        <w:rPr>
          <w:rFonts w:ascii="Arial" w:hAnsi="Arial" w:cs="Arial"/>
          <w:sz w:val="22"/>
          <w:szCs w:val="22"/>
        </w:rPr>
        <w:t xml:space="preserve"> </w:t>
      </w:r>
      <w:r w:rsidR="001572EA" w:rsidRPr="002D4681">
        <w:rPr>
          <w:rFonts w:ascii="Arial" w:hAnsi="Arial" w:cs="Arial"/>
          <w:sz w:val="22"/>
          <w:szCs w:val="22"/>
        </w:rPr>
        <w:t>31</w:t>
      </w:r>
      <w:r w:rsidR="001572EA" w:rsidRPr="002D4681">
        <w:rPr>
          <w:rFonts w:ascii="Arial" w:hAnsi="Arial" w:cs="Arial"/>
          <w:sz w:val="22"/>
          <w:szCs w:val="22"/>
          <w:vertAlign w:val="superscript"/>
        </w:rPr>
        <w:t>st</w:t>
      </w:r>
      <w:r w:rsidR="001572EA" w:rsidRPr="002D4681">
        <w:rPr>
          <w:rFonts w:ascii="Arial" w:hAnsi="Arial" w:cs="Arial"/>
          <w:sz w:val="22"/>
          <w:szCs w:val="22"/>
        </w:rPr>
        <w:t xml:space="preserve"> December </w:t>
      </w:r>
      <w:r w:rsidR="00FA1E21" w:rsidRPr="002D4681">
        <w:rPr>
          <w:rFonts w:ascii="Arial" w:hAnsi="Arial" w:cs="Arial"/>
          <w:sz w:val="22"/>
          <w:szCs w:val="22"/>
        </w:rPr>
        <w:t xml:space="preserve">2017 </w:t>
      </w:r>
      <w:r w:rsidR="001572EA" w:rsidRPr="002D4681">
        <w:rPr>
          <w:rFonts w:ascii="Arial" w:hAnsi="Arial" w:cs="Arial"/>
          <w:sz w:val="22"/>
          <w:szCs w:val="22"/>
        </w:rPr>
        <w:t xml:space="preserve">with a </w:t>
      </w:r>
      <w:r w:rsidR="00E12F78">
        <w:rPr>
          <w:rFonts w:ascii="Arial" w:hAnsi="Arial" w:cs="Arial"/>
          <w:sz w:val="22"/>
          <w:szCs w:val="22"/>
        </w:rPr>
        <w:t xml:space="preserve">recorded </w:t>
      </w:r>
      <w:r w:rsidR="001572EA" w:rsidRPr="002D4681">
        <w:rPr>
          <w:rFonts w:ascii="Arial" w:hAnsi="Arial" w:cs="Arial"/>
          <w:sz w:val="22"/>
          <w:szCs w:val="22"/>
        </w:rPr>
        <w:t xml:space="preserve">diagnosis of hypoxic ischaemic encephalopathy </w:t>
      </w:r>
      <w:r w:rsidR="00831B6B">
        <w:rPr>
          <w:rFonts w:ascii="Arial" w:hAnsi="Arial" w:cs="Arial"/>
          <w:sz w:val="22"/>
          <w:szCs w:val="22"/>
        </w:rPr>
        <w:t>who</w:t>
      </w:r>
      <w:r w:rsidR="00831B6B" w:rsidRPr="002D4681">
        <w:rPr>
          <w:rFonts w:ascii="Arial" w:hAnsi="Arial" w:cs="Arial"/>
          <w:sz w:val="22"/>
          <w:szCs w:val="22"/>
        </w:rPr>
        <w:t xml:space="preserve"> </w:t>
      </w:r>
      <w:r w:rsidR="00FA1E21" w:rsidRPr="002D4681">
        <w:rPr>
          <w:rFonts w:ascii="Arial" w:hAnsi="Arial" w:cs="Arial"/>
          <w:sz w:val="22"/>
          <w:szCs w:val="22"/>
        </w:rPr>
        <w:t xml:space="preserve">received therapeutic hypothermia for at least 3 days or died </w:t>
      </w:r>
      <w:r w:rsidR="00831B6B">
        <w:rPr>
          <w:rFonts w:ascii="Arial" w:hAnsi="Arial" w:cs="Arial"/>
          <w:sz w:val="22"/>
          <w:szCs w:val="22"/>
        </w:rPr>
        <w:t>in this period</w:t>
      </w:r>
      <w:r w:rsidR="00FA1E21" w:rsidRPr="002D4681">
        <w:rPr>
          <w:rFonts w:ascii="Arial" w:hAnsi="Arial" w:cs="Arial"/>
          <w:sz w:val="22"/>
          <w:szCs w:val="22"/>
        </w:rPr>
        <w:t>.</w:t>
      </w:r>
    </w:p>
    <w:p w14:paraId="43670E08" w14:textId="77777777" w:rsidR="00AF2186" w:rsidRPr="002D4681" w:rsidRDefault="00AF2186" w:rsidP="00515DE8">
      <w:pPr>
        <w:spacing w:line="480" w:lineRule="auto"/>
        <w:jc w:val="both"/>
        <w:rPr>
          <w:rFonts w:ascii="Arial" w:hAnsi="Arial" w:cs="Arial"/>
          <w:b/>
          <w:sz w:val="22"/>
          <w:szCs w:val="22"/>
        </w:rPr>
      </w:pPr>
    </w:p>
    <w:p w14:paraId="659C84D8" w14:textId="4ED01DAF" w:rsidR="008564D2" w:rsidRPr="002D4681" w:rsidRDefault="008564D2" w:rsidP="00515DE8">
      <w:pPr>
        <w:spacing w:line="480" w:lineRule="auto"/>
        <w:jc w:val="both"/>
        <w:rPr>
          <w:rFonts w:ascii="Arial" w:hAnsi="Arial" w:cs="Arial"/>
          <w:b/>
          <w:sz w:val="22"/>
          <w:szCs w:val="22"/>
        </w:rPr>
      </w:pPr>
      <w:r w:rsidRPr="002D4681">
        <w:rPr>
          <w:rFonts w:ascii="Arial" w:hAnsi="Arial" w:cs="Arial"/>
          <w:b/>
          <w:sz w:val="22"/>
          <w:szCs w:val="22"/>
        </w:rPr>
        <w:t>Main outcome</w:t>
      </w:r>
      <w:r w:rsidR="00767E66" w:rsidRPr="002D4681">
        <w:rPr>
          <w:rFonts w:ascii="Arial" w:hAnsi="Arial" w:cs="Arial"/>
          <w:b/>
          <w:sz w:val="22"/>
          <w:szCs w:val="22"/>
        </w:rPr>
        <w:t>s</w:t>
      </w:r>
      <w:r w:rsidRPr="002D4681">
        <w:rPr>
          <w:rFonts w:ascii="Arial" w:hAnsi="Arial" w:cs="Arial"/>
          <w:b/>
          <w:sz w:val="22"/>
          <w:szCs w:val="22"/>
        </w:rPr>
        <w:t>:</w:t>
      </w:r>
      <w:r w:rsidR="00FA1E21" w:rsidRPr="002D4681">
        <w:rPr>
          <w:rFonts w:ascii="Arial" w:hAnsi="Arial" w:cs="Arial"/>
          <w:b/>
          <w:sz w:val="22"/>
          <w:szCs w:val="22"/>
        </w:rPr>
        <w:t xml:space="preserve"> </w:t>
      </w:r>
      <w:r w:rsidR="002712BF">
        <w:rPr>
          <w:rFonts w:ascii="Arial" w:hAnsi="Arial" w:cs="Arial"/>
          <w:bCs/>
          <w:sz w:val="22"/>
          <w:szCs w:val="22"/>
        </w:rPr>
        <w:t xml:space="preserve">Primary outcomes: </w:t>
      </w:r>
      <w:r w:rsidR="00E12F78">
        <w:rPr>
          <w:rFonts w:ascii="Arial" w:eastAsia="Times New Roman" w:hAnsi="Arial" w:cs="Arial"/>
          <w:sz w:val="22"/>
          <w:szCs w:val="22"/>
        </w:rPr>
        <w:t xml:space="preserve">Recorded </w:t>
      </w:r>
      <w:r w:rsidR="00E12F78">
        <w:rPr>
          <w:rFonts w:ascii="Arial" w:hAnsi="Arial" w:cs="Arial"/>
          <w:sz w:val="22"/>
          <w:szCs w:val="22"/>
        </w:rPr>
        <w:t>c</w:t>
      </w:r>
      <w:r w:rsidR="00FA1E21" w:rsidRPr="002D4681">
        <w:rPr>
          <w:rFonts w:ascii="Arial" w:hAnsi="Arial" w:cs="Arial"/>
          <w:sz w:val="22"/>
          <w:szCs w:val="22"/>
        </w:rPr>
        <w:t xml:space="preserve">linical </w:t>
      </w:r>
      <w:r w:rsidR="001572EA" w:rsidRPr="002D4681">
        <w:rPr>
          <w:rFonts w:ascii="Arial" w:eastAsia="Times New Roman" w:hAnsi="Arial" w:cs="Arial"/>
          <w:sz w:val="22"/>
          <w:szCs w:val="22"/>
        </w:rPr>
        <w:t>characteristics</w:t>
      </w:r>
      <w:r w:rsidR="002712BF">
        <w:rPr>
          <w:rFonts w:ascii="Arial" w:eastAsia="Times New Roman" w:hAnsi="Arial" w:cs="Arial"/>
          <w:sz w:val="22"/>
          <w:szCs w:val="22"/>
        </w:rPr>
        <w:t xml:space="preserve"> including </w:t>
      </w:r>
      <w:r w:rsidR="00642F0C" w:rsidRPr="002D4681">
        <w:rPr>
          <w:rFonts w:ascii="Arial" w:eastAsia="Times New Roman" w:hAnsi="Arial" w:cs="Arial"/>
          <w:sz w:val="22"/>
          <w:szCs w:val="22"/>
        </w:rPr>
        <w:t>umbilical cord pH</w:t>
      </w:r>
      <w:r w:rsidR="00DB3107">
        <w:rPr>
          <w:rFonts w:ascii="Arial" w:eastAsia="Times New Roman" w:hAnsi="Arial" w:cs="Arial"/>
          <w:sz w:val="22"/>
          <w:szCs w:val="22"/>
        </w:rPr>
        <w:t>;</w:t>
      </w:r>
      <w:r w:rsidR="00642F0C" w:rsidRPr="002D4681">
        <w:rPr>
          <w:rFonts w:ascii="Arial" w:eastAsia="Times New Roman" w:hAnsi="Arial" w:cs="Arial"/>
          <w:sz w:val="22"/>
          <w:szCs w:val="22"/>
        </w:rPr>
        <w:t xml:space="preserve"> Apgar scor</w:t>
      </w:r>
      <w:r w:rsidR="00DB3107">
        <w:rPr>
          <w:rFonts w:ascii="Arial" w:eastAsia="Times New Roman" w:hAnsi="Arial" w:cs="Arial"/>
          <w:sz w:val="22"/>
          <w:szCs w:val="22"/>
        </w:rPr>
        <w:t>e;</w:t>
      </w:r>
      <w:r w:rsidR="00642F0C" w:rsidRPr="002D4681">
        <w:rPr>
          <w:rFonts w:ascii="Arial" w:eastAsia="Times New Roman" w:hAnsi="Arial" w:cs="Arial"/>
          <w:sz w:val="22"/>
          <w:szCs w:val="22"/>
        </w:rPr>
        <w:t xml:space="preserve"> </w:t>
      </w:r>
      <w:r w:rsidR="00831B6B">
        <w:rPr>
          <w:rFonts w:ascii="Arial" w:eastAsia="Times New Roman" w:hAnsi="Arial" w:cs="Arial"/>
          <w:sz w:val="22"/>
          <w:szCs w:val="22"/>
        </w:rPr>
        <w:t xml:space="preserve">newborn </w:t>
      </w:r>
      <w:r w:rsidR="00642F0C" w:rsidRPr="002D4681">
        <w:rPr>
          <w:rFonts w:ascii="Arial" w:eastAsia="Times New Roman" w:hAnsi="Arial" w:cs="Arial"/>
          <w:sz w:val="22"/>
          <w:szCs w:val="22"/>
        </w:rPr>
        <w:t>resuscitation</w:t>
      </w:r>
      <w:r w:rsidR="00DB3107">
        <w:rPr>
          <w:rFonts w:ascii="Arial" w:eastAsia="Times New Roman" w:hAnsi="Arial" w:cs="Arial"/>
          <w:sz w:val="22"/>
          <w:szCs w:val="22"/>
        </w:rPr>
        <w:t>;</w:t>
      </w:r>
      <w:r w:rsidR="00642F0C" w:rsidRPr="002D4681">
        <w:rPr>
          <w:rFonts w:ascii="Arial" w:eastAsia="Times New Roman" w:hAnsi="Arial" w:cs="Arial"/>
          <w:sz w:val="22"/>
          <w:szCs w:val="22"/>
        </w:rPr>
        <w:t xml:space="preserve"> seizures </w:t>
      </w:r>
      <w:r w:rsidR="002712BF">
        <w:rPr>
          <w:rFonts w:ascii="Arial" w:eastAsia="Times New Roman" w:hAnsi="Arial" w:cs="Arial"/>
          <w:sz w:val="22"/>
          <w:szCs w:val="22"/>
        </w:rPr>
        <w:t>and</w:t>
      </w:r>
      <w:r w:rsidR="00642F0C" w:rsidRPr="002D4681">
        <w:rPr>
          <w:rFonts w:ascii="Arial" w:eastAsia="Times New Roman" w:hAnsi="Arial" w:cs="Arial"/>
          <w:sz w:val="22"/>
          <w:szCs w:val="22"/>
        </w:rPr>
        <w:t xml:space="preserve"> treatment </w:t>
      </w:r>
      <w:r w:rsidR="00767E66" w:rsidRPr="002D4681">
        <w:rPr>
          <w:rFonts w:ascii="Arial" w:eastAsia="Times New Roman" w:hAnsi="Arial" w:cs="Arial"/>
          <w:sz w:val="22"/>
          <w:szCs w:val="22"/>
        </w:rPr>
        <w:t>on day 1</w:t>
      </w:r>
      <w:r w:rsidR="002712BF">
        <w:rPr>
          <w:rFonts w:ascii="Arial" w:eastAsia="Times New Roman" w:hAnsi="Arial" w:cs="Arial"/>
          <w:sz w:val="22"/>
          <w:szCs w:val="22"/>
        </w:rPr>
        <w:t>. Secondary outcomes:</w:t>
      </w:r>
      <w:r w:rsidR="001572EA" w:rsidRPr="002D4681">
        <w:rPr>
          <w:rFonts w:ascii="Arial" w:eastAsia="Times New Roman" w:hAnsi="Arial" w:cs="Arial"/>
          <w:sz w:val="22"/>
          <w:szCs w:val="22"/>
        </w:rPr>
        <w:t xml:space="preserve"> </w:t>
      </w:r>
      <w:r w:rsidR="00E12F78">
        <w:rPr>
          <w:rFonts w:ascii="Arial" w:eastAsia="Times New Roman" w:hAnsi="Arial" w:cs="Arial"/>
          <w:sz w:val="22"/>
          <w:szCs w:val="22"/>
        </w:rPr>
        <w:t xml:space="preserve">recorded </w:t>
      </w:r>
      <w:r w:rsidR="001572EA" w:rsidRPr="002D4681">
        <w:rPr>
          <w:rFonts w:ascii="Arial" w:hAnsi="Arial" w:cs="Arial"/>
          <w:sz w:val="22"/>
          <w:szCs w:val="22"/>
        </w:rPr>
        <w:t>hypoxic ischaemic encephalopathy</w:t>
      </w:r>
      <w:r w:rsidR="002712BF">
        <w:rPr>
          <w:rFonts w:ascii="Arial" w:hAnsi="Arial" w:cs="Arial"/>
          <w:sz w:val="22"/>
          <w:szCs w:val="22"/>
        </w:rPr>
        <w:t xml:space="preserve"> grade</w:t>
      </w:r>
      <w:r w:rsidR="00FA1E21" w:rsidRPr="002D4681">
        <w:rPr>
          <w:rFonts w:ascii="Arial" w:eastAsia="Times New Roman" w:hAnsi="Arial" w:cs="Arial"/>
          <w:sz w:val="22"/>
          <w:szCs w:val="22"/>
        </w:rPr>
        <w:t>.</w:t>
      </w:r>
    </w:p>
    <w:p w14:paraId="7AF22C89" w14:textId="77777777" w:rsidR="00AF2186" w:rsidRPr="002D4681" w:rsidRDefault="00AF2186" w:rsidP="00515DE8">
      <w:pPr>
        <w:spacing w:line="480" w:lineRule="auto"/>
        <w:jc w:val="both"/>
        <w:rPr>
          <w:rFonts w:ascii="Arial" w:hAnsi="Arial" w:cs="Arial"/>
          <w:b/>
          <w:sz w:val="22"/>
          <w:szCs w:val="22"/>
        </w:rPr>
      </w:pPr>
    </w:p>
    <w:p w14:paraId="22A7DEDE" w14:textId="2EE10B3F" w:rsidR="008564D2" w:rsidRPr="002D4681" w:rsidRDefault="008564D2" w:rsidP="00515DE8">
      <w:pPr>
        <w:spacing w:line="480" w:lineRule="auto"/>
        <w:jc w:val="both"/>
        <w:rPr>
          <w:rFonts w:ascii="Arial" w:hAnsi="Arial" w:cs="Arial"/>
          <w:b/>
          <w:sz w:val="22"/>
          <w:szCs w:val="22"/>
        </w:rPr>
      </w:pPr>
      <w:r w:rsidRPr="002D4681">
        <w:rPr>
          <w:rFonts w:ascii="Arial" w:hAnsi="Arial" w:cs="Arial"/>
          <w:b/>
          <w:sz w:val="22"/>
          <w:szCs w:val="22"/>
        </w:rPr>
        <w:t>Results:</w:t>
      </w:r>
      <w:r w:rsidR="00717B25" w:rsidRPr="002D4681">
        <w:rPr>
          <w:rFonts w:ascii="Arial" w:hAnsi="Arial" w:cs="Arial"/>
          <w:b/>
          <w:sz w:val="22"/>
          <w:szCs w:val="22"/>
        </w:rPr>
        <w:t xml:space="preserve"> </w:t>
      </w:r>
      <w:r w:rsidR="00717B25" w:rsidRPr="002D4681">
        <w:rPr>
          <w:rFonts w:ascii="Arial" w:eastAsia="Times New Roman" w:hAnsi="Arial" w:cs="Arial"/>
          <w:sz w:val="22"/>
          <w:szCs w:val="22"/>
        </w:rPr>
        <w:t xml:space="preserve">5201 babies </w:t>
      </w:r>
      <w:r w:rsidR="00767E66" w:rsidRPr="002D4681">
        <w:rPr>
          <w:rFonts w:ascii="Arial" w:eastAsia="Times New Roman" w:hAnsi="Arial" w:cs="Arial"/>
          <w:sz w:val="22"/>
          <w:szCs w:val="22"/>
        </w:rPr>
        <w:t xml:space="preserve">with a diagnosis of </w:t>
      </w:r>
      <w:r w:rsidR="00767E66" w:rsidRPr="002D4681">
        <w:rPr>
          <w:rFonts w:ascii="Arial" w:hAnsi="Arial" w:cs="Arial"/>
          <w:sz w:val="22"/>
          <w:szCs w:val="22"/>
        </w:rPr>
        <w:t>hypoxic ischaemic encephalopathy</w:t>
      </w:r>
      <w:r w:rsidR="00767E66" w:rsidRPr="002D4681" w:rsidDel="001572EA">
        <w:rPr>
          <w:rFonts w:ascii="Arial" w:eastAsia="Times New Roman" w:hAnsi="Arial" w:cs="Arial"/>
          <w:sz w:val="22"/>
          <w:szCs w:val="22"/>
        </w:rPr>
        <w:t xml:space="preserve"> </w:t>
      </w:r>
      <w:r w:rsidR="00251890" w:rsidRPr="002D4681">
        <w:rPr>
          <w:rFonts w:ascii="Arial" w:eastAsia="Times New Roman" w:hAnsi="Arial" w:cs="Arial"/>
          <w:sz w:val="22"/>
          <w:szCs w:val="22"/>
        </w:rPr>
        <w:t>received therapeutic hypothermia</w:t>
      </w:r>
      <w:r w:rsidR="00390D45" w:rsidRPr="002D4681">
        <w:rPr>
          <w:rFonts w:ascii="Arial" w:eastAsia="Times New Roman" w:hAnsi="Arial" w:cs="Arial"/>
          <w:sz w:val="22"/>
          <w:szCs w:val="22"/>
        </w:rPr>
        <w:t xml:space="preserve"> or died</w:t>
      </w:r>
      <w:r w:rsidR="00251890" w:rsidRPr="002D4681">
        <w:rPr>
          <w:rFonts w:ascii="Arial" w:hAnsi="Arial" w:cs="Arial"/>
          <w:sz w:val="22"/>
          <w:szCs w:val="22"/>
        </w:rPr>
        <w:t xml:space="preserve">; </w:t>
      </w:r>
      <w:r w:rsidR="00DB3107">
        <w:rPr>
          <w:rFonts w:ascii="Arial" w:hAnsi="Arial" w:cs="Arial"/>
          <w:sz w:val="22"/>
          <w:szCs w:val="22"/>
        </w:rPr>
        <w:t xml:space="preserve">annual </w:t>
      </w:r>
      <w:r w:rsidR="00251890" w:rsidRPr="002D4681">
        <w:rPr>
          <w:rFonts w:ascii="Arial" w:hAnsi="Arial" w:cs="Arial"/>
          <w:sz w:val="22"/>
          <w:szCs w:val="22"/>
        </w:rPr>
        <w:t xml:space="preserve">numbers increased </w:t>
      </w:r>
      <w:r w:rsidR="00390D45" w:rsidRPr="002D4681">
        <w:rPr>
          <w:rFonts w:ascii="Arial" w:hAnsi="Arial" w:cs="Arial"/>
          <w:sz w:val="22"/>
          <w:szCs w:val="22"/>
        </w:rPr>
        <w:t>over the study</w:t>
      </w:r>
      <w:r w:rsidR="00C620F1">
        <w:rPr>
          <w:rFonts w:ascii="Arial" w:hAnsi="Arial" w:cs="Arial"/>
          <w:sz w:val="22"/>
          <w:szCs w:val="22"/>
        </w:rPr>
        <w:t xml:space="preserve"> period</w:t>
      </w:r>
      <w:r w:rsidR="00251890" w:rsidRPr="002D4681">
        <w:rPr>
          <w:rFonts w:ascii="Arial" w:hAnsi="Arial" w:cs="Arial"/>
          <w:sz w:val="22"/>
          <w:szCs w:val="22"/>
        </w:rPr>
        <w:t>.</w:t>
      </w:r>
      <w:r w:rsidR="00642F0C" w:rsidRPr="002D4681">
        <w:rPr>
          <w:rFonts w:ascii="Arial" w:hAnsi="Arial" w:cs="Arial"/>
          <w:sz w:val="22"/>
          <w:szCs w:val="22"/>
        </w:rPr>
        <w:t xml:space="preserve"> </w:t>
      </w:r>
      <w:r w:rsidR="00251890" w:rsidRPr="002D4681">
        <w:rPr>
          <w:rFonts w:ascii="Arial" w:hAnsi="Arial" w:cs="Arial"/>
          <w:sz w:val="22"/>
          <w:szCs w:val="22"/>
        </w:rPr>
        <w:t>A</w:t>
      </w:r>
      <w:r w:rsidR="00642F0C" w:rsidRPr="002D4681">
        <w:rPr>
          <w:rFonts w:ascii="Arial" w:hAnsi="Arial" w:cs="Arial"/>
          <w:sz w:val="22"/>
          <w:szCs w:val="22"/>
        </w:rPr>
        <w:t xml:space="preserve"> decreasing proportion had clinical characteristics of severe hypoxia</w:t>
      </w:r>
      <w:r w:rsidR="00390D45" w:rsidRPr="002D4681">
        <w:rPr>
          <w:rFonts w:ascii="Arial" w:hAnsi="Arial" w:cs="Arial"/>
          <w:sz w:val="22"/>
          <w:szCs w:val="22"/>
        </w:rPr>
        <w:t xml:space="preserve"> ischaemia</w:t>
      </w:r>
      <w:r w:rsidR="006C2C5B" w:rsidRPr="002D4681">
        <w:rPr>
          <w:rFonts w:ascii="Arial" w:hAnsi="Arial" w:cs="Arial"/>
          <w:sz w:val="22"/>
          <w:szCs w:val="22"/>
        </w:rPr>
        <w:t xml:space="preserve"> </w:t>
      </w:r>
      <w:r w:rsidR="00251890" w:rsidRPr="002D4681">
        <w:rPr>
          <w:rFonts w:ascii="Arial" w:hAnsi="Arial" w:cs="Arial"/>
          <w:sz w:val="22"/>
          <w:szCs w:val="22"/>
        </w:rPr>
        <w:t>or</w:t>
      </w:r>
      <w:r w:rsidR="006C2C5B" w:rsidRPr="002D4681">
        <w:rPr>
          <w:rFonts w:ascii="Arial" w:hAnsi="Arial" w:cs="Arial"/>
          <w:sz w:val="22"/>
          <w:szCs w:val="22"/>
        </w:rPr>
        <w:t xml:space="preserve"> a diagnosis of </w:t>
      </w:r>
      <w:r w:rsidR="00251890" w:rsidRPr="002D4681">
        <w:rPr>
          <w:rFonts w:ascii="Arial" w:hAnsi="Arial" w:cs="Arial"/>
          <w:sz w:val="22"/>
          <w:szCs w:val="22"/>
        </w:rPr>
        <w:t>moderate or severe</w:t>
      </w:r>
      <w:r w:rsidR="006C2C5B" w:rsidRPr="002D4681">
        <w:rPr>
          <w:rFonts w:ascii="Arial" w:hAnsi="Arial" w:cs="Arial"/>
          <w:sz w:val="22"/>
          <w:szCs w:val="22"/>
        </w:rPr>
        <w:t xml:space="preserve"> hypoxic ischaemic encephalopathy</w:t>
      </w:r>
      <w:r w:rsidR="00831B6B">
        <w:rPr>
          <w:rFonts w:ascii="Arial" w:hAnsi="Arial" w:cs="Arial"/>
          <w:sz w:val="22"/>
          <w:szCs w:val="22"/>
        </w:rPr>
        <w:t>,</w:t>
      </w:r>
      <w:r w:rsidR="00390D45" w:rsidRPr="002D4681">
        <w:rPr>
          <w:rFonts w:ascii="Arial" w:hAnsi="Arial" w:cs="Arial"/>
          <w:sz w:val="22"/>
          <w:szCs w:val="22"/>
        </w:rPr>
        <w:t xml:space="preserve"> t</w:t>
      </w:r>
      <w:r w:rsidR="00642F0C" w:rsidRPr="002D4681">
        <w:rPr>
          <w:rFonts w:ascii="Arial" w:hAnsi="Arial" w:cs="Arial"/>
          <w:sz w:val="22"/>
          <w:szCs w:val="22"/>
        </w:rPr>
        <w:t xml:space="preserve">rends were statistically significant and consistent across multiple </w:t>
      </w:r>
      <w:r w:rsidR="00582DCF">
        <w:rPr>
          <w:rFonts w:ascii="Arial" w:hAnsi="Arial" w:cs="Arial"/>
          <w:sz w:val="22"/>
          <w:szCs w:val="22"/>
        </w:rPr>
        <w:t xml:space="preserve">clinical characteristics used as </w:t>
      </w:r>
      <w:r w:rsidR="00642F0C" w:rsidRPr="002D4681">
        <w:rPr>
          <w:rFonts w:ascii="Arial" w:hAnsi="Arial" w:cs="Arial"/>
          <w:sz w:val="22"/>
          <w:szCs w:val="22"/>
        </w:rPr>
        <w:t>markers of severity</w:t>
      </w:r>
      <w:r w:rsidR="006C2C5B" w:rsidRPr="002D4681">
        <w:rPr>
          <w:rFonts w:ascii="Arial" w:hAnsi="Arial" w:cs="Arial"/>
          <w:sz w:val="22"/>
          <w:szCs w:val="22"/>
        </w:rPr>
        <w:t>.</w:t>
      </w:r>
    </w:p>
    <w:p w14:paraId="14F41143" w14:textId="77777777" w:rsidR="00AF2186" w:rsidRPr="002D4681" w:rsidRDefault="00AF2186" w:rsidP="00515DE8">
      <w:pPr>
        <w:spacing w:line="480" w:lineRule="auto"/>
        <w:jc w:val="both"/>
        <w:rPr>
          <w:rFonts w:ascii="Arial" w:hAnsi="Arial" w:cs="Arial"/>
          <w:b/>
          <w:sz w:val="22"/>
          <w:szCs w:val="22"/>
        </w:rPr>
      </w:pPr>
    </w:p>
    <w:p w14:paraId="53E98ACF" w14:textId="3DA37690" w:rsidR="008564D2" w:rsidRPr="00BF77B4" w:rsidRDefault="008564D2" w:rsidP="00515DE8">
      <w:pPr>
        <w:spacing w:line="480" w:lineRule="auto"/>
        <w:jc w:val="both"/>
        <w:rPr>
          <w:rFonts w:ascii="Arial" w:eastAsia="Times New Roman" w:hAnsi="Arial" w:cs="Arial"/>
          <w:sz w:val="22"/>
          <w:szCs w:val="22"/>
        </w:rPr>
      </w:pPr>
      <w:r w:rsidRPr="002D4681">
        <w:rPr>
          <w:rFonts w:ascii="Arial" w:hAnsi="Arial" w:cs="Arial"/>
          <w:b/>
          <w:sz w:val="22"/>
          <w:szCs w:val="22"/>
        </w:rPr>
        <w:t>Conclusions:</w:t>
      </w:r>
      <w:r w:rsidR="00FA1E21" w:rsidRPr="002D4681">
        <w:rPr>
          <w:rFonts w:ascii="Arial" w:hAnsi="Arial" w:cs="Arial"/>
          <w:b/>
          <w:sz w:val="22"/>
          <w:szCs w:val="22"/>
        </w:rPr>
        <w:t xml:space="preserve"> </w:t>
      </w:r>
      <w:r w:rsidR="006C2C5B" w:rsidRPr="002D4681">
        <w:rPr>
          <w:rFonts w:ascii="Arial" w:eastAsia="Times New Roman" w:hAnsi="Arial" w:cs="Arial"/>
          <w:sz w:val="22"/>
          <w:szCs w:val="22"/>
        </w:rPr>
        <w:t>Treatment with therapeutic hypothermia for</w:t>
      </w:r>
      <w:r w:rsidR="00642F0C" w:rsidRPr="002D4681">
        <w:rPr>
          <w:rFonts w:ascii="Arial" w:eastAsia="Times New Roman" w:hAnsi="Arial" w:cs="Arial"/>
          <w:sz w:val="22"/>
          <w:szCs w:val="22"/>
        </w:rPr>
        <w:t xml:space="preserve"> </w:t>
      </w:r>
      <w:r w:rsidR="006C2C5B" w:rsidRPr="002D4681">
        <w:rPr>
          <w:rFonts w:ascii="Arial" w:eastAsia="Times New Roman" w:hAnsi="Arial" w:cs="Arial"/>
          <w:sz w:val="22"/>
          <w:szCs w:val="22"/>
        </w:rPr>
        <w:t>hypoxic ischaemic encephalopathy has increased</w:t>
      </w:r>
      <w:r w:rsidR="00642F0C" w:rsidRPr="002D4681">
        <w:rPr>
          <w:rFonts w:ascii="Arial" w:eastAsia="Times New Roman" w:hAnsi="Arial" w:cs="Arial"/>
          <w:sz w:val="22"/>
          <w:szCs w:val="22"/>
        </w:rPr>
        <w:t xml:space="preserve"> </w:t>
      </w:r>
      <w:r w:rsidR="006C2C5B" w:rsidRPr="002D4681">
        <w:rPr>
          <w:rFonts w:ascii="Arial" w:eastAsia="Times New Roman" w:hAnsi="Arial" w:cs="Arial"/>
          <w:sz w:val="22"/>
          <w:szCs w:val="22"/>
        </w:rPr>
        <w:t>in</w:t>
      </w:r>
      <w:r w:rsidR="00642F0C" w:rsidRPr="002D4681">
        <w:rPr>
          <w:rFonts w:ascii="Arial" w:eastAsia="Times New Roman" w:hAnsi="Arial" w:cs="Arial"/>
          <w:sz w:val="22"/>
          <w:szCs w:val="22"/>
        </w:rPr>
        <w:t xml:space="preserve"> England, Scotland and Wales</w:t>
      </w:r>
      <w:r w:rsidR="00112145" w:rsidRPr="002D4681">
        <w:rPr>
          <w:rFonts w:ascii="Arial" w:eastAsia="Times New Roman" w:hAnsi="Arial" w:cs="Arial"/>
          <w:sz w:val="22"/>
          <w:szCs w:val="22"/>
        </w:rPr>
        <w:t xml:space="preserve">. An increasing proportion of </w:t>
      </w:r>
      <w:r w:rsidR="00251890" w:rsidRPr="002D4681">
        <w:rPr>
          <w:rFonts w:ascii="Arial" w:eastAsia="Times New Roman" w:hAnsi="Arial" w:cs="Arial"/>
          <w:sz w:val="22"/>
          <w:szCs w:val="22"/>
        </w:rPr>
        <w:t xml:space="preserve">treated </w:t>
      </w:r>
      <w:r w:rsidR="006C2C5B" w:rsidRPr="002D4681">
        <w:rPr>
          <w:rFonts w:ascii="Arial" w:eastAsia="Times New Roman" w:hAnsi="Arial" w:cs="Arial"/>
          <w:sz w:val="22"/>
          <w:szCs w:val="22"/>
        </w:rPr>
        <w:t xml:space="preserve">infants </w:t>
      </w:r>
      <w:r w:rsidR="00251890" w:rsidRPr="002D4681">
        <w:rPr>
          <w:rFonts w:ascii="Arial" w:eastAsia="Times New Roman" w:hAnsi="Arial" w:cs="Arial"/>
          <w:sz w:val="22"/>
          <w:szCs w:val="22"/>
        </w:rPr>
        <w:lastRenderedPageBreak/>
        <w:t xml:space="preserve">have </w:t>
      </w:r>
      <w:r w:rsidR="00112145" w:rsidRPr="002D4681">
        <w:rPr>
          <w:rFonts w:ascii="Arial" w:eastAsia="Times New Roman" w:hAnsi="Arial" w:cs="Arial"/>
          <w:sz w:val="22"/>
          <w:szCs w:val="22"/>
        </w:rPr>
        <w:t xml:space="preserve">a diagnosis of mild hypoxic ischaemic encephalopathy or have </w:t>
      </w:r>
      <w:r w:rsidR="006C2C5B" w:rsidRPr="002D4681">
        <w:rPr>
          <w:rFonts w:ascii="Arial" w:eastAsia="Times New Roman" w:hAnsi="Arial" w:cs="Arial"/>
          <w:sz w:val="22"/>
          <w:szCs w:val="22"/>
        </w:rPr>
        <w:t xml:space="preserve">less severe clinical markers of hypoxia. </w:t>
      </w:r>
      <w:r w:rsidR="00831B6B">
        <w:rPr>
          <w:rFonts w:ascii="Arial" w:eastAsia="Times New Roman" w:hAnsi="Arial" w:cs="Arial"/>
          <w:sz w:val="22"/>
          <w:szCs w:val="22"/>
        </w:rPr>
        <w:t>This</w:t>
      </w:r>
      <w:r w:rsidR="00FA1E21" w:rsidRPr="002D4681">
        <w:rPr>
          <w:rFonts w:ascii="Arial" w:eastAsia="Times New Roman" w:hAnsi="Arial" w:cs="Arial"/>
          <w:sz w:val="22"/>
          <w:szCs w:val="22"/>
        </w:rPr>
        <w:t xml:space="preserve"> </w:t>
      </w:r>
      <w:r w:rsidR="006C2C5B" w:rsidRPr="002D4681">
        <w:rPr>
          <w:rFonts w:ascii="Arial" w:eastAsia="Times New Roman" w:hAnsi="Arial" w:cs="Arial"/>
          <w:sz w:val="22"/>
          <w:szCs w:val="22"/>
        </w:rPr>
        <w:t>highlight</w:t>
      </w:r>
      <w:r w:rsidR="00831B6B">
        <w:rPr>
          <w:rFonts w:ascii="Arial" w:eastAsia="Times New Roman" w:hAnsi="Arial" w:cs="Arial"/>
          <w:sz w:val="22"/>
          <w:szCs w:val="22"/>
        </w:rPr>
        <w:t>s</w:t>
      </w:r>
      <w:r w:rsidR="006C2C5B" w:rsidRPr="002D4681">
        <w:rPr>
          <w:rFonts w:ascii="Arial" w:eastAsia="Times New Roman" w:hAnsi="Arial" w:cs="Arial"/>
          <w:sz w:val="22"/>
          <w:szCs w:val="22"/>
        </w:rPr>
        <w:t xml:space="preserve"> the importance of</w:t>
      </w:r>
      <w:r w:rsidR="00FA1E21" w:rsidRPr="002D4681">
        <w:rPr>
          <w:rFonts w:ascii="Arial" w:eastAsia="Times New Roman" w:hAnsi="Arial" w:cs="Arial"/>
          <w:sz w:val="22"/>
          <w:szCs w:val="22"/>
        </w:rPr>
        <w:t xml:space="preserve"> </w:t>
      </w:r>
      <w:r w:rsidR="006C2C5B" w:rsidRPr="002D4681">
        <w:rPr>
          <w:rFonts w:ascii="Arial" w:eastAsia="Times New Roman" w:hAnsi="Arial" w:cs="Arial"/>
          <w:sz w:val="22"/>
          <w:szCs w:val="22"/>
        </w:rPr>
        <w:t>determining</w:t>
      </w:r>
      <w:r w:rsidR="00FA1E21" w:rsidRPr="002D4681">
        <w:rPr>
          <w:rFonts w:ascii="Arial" w:eastAsia="Times New Roman" w:hAnsi="Arial" w:cs="Arial"/>
          <w:sz w:val="22"/>
          <w:szCs w:val="22"/>
        </w:rPr>
        <w:t xml:space="preserve"> the </w:t>
      </w:r>
      <w:r w:rsidR="00251890" w:rsidRPr="002D4681">
        <w:rPr>
          <w:rFonts w:ascii="Arial" w:eastAsia="Times New Roman" w:hAnsi="Arial" w:cs="Arial"/>
          <w:sz w:val="22"/>
          <w:szCs w:val="22"/>
        </w:rPr>
        <w:t>role of hypothermia</w:t>
      </w:r>
      <w:r w:rsidR="00FA1E21" w:rsidRPr="002D4681">
        <w:rPr>
          <w:rFonts w:ascii="Arial" w:eastAsia="Times New Roman" w:hAnsi="Arial" w:cs="Arial"/>
          <w:sz w:val="22"/>
          <w:szCs w:val="22"/>
        </w:rPr>
        <w:t xml:space="preserve"> in </w:t>
      </w:r>
      <w:r w:rsidR="00FA1E21" w:rsidRPr="00BF77B4">
        <w:rPr>
          <w:rFonts w:ascii="Arial" w:eastAsia="Times New Roman" w:hAnsi="Arial" w:cs="Arial"/>
          <w:sz w:val="22"/>
          <w:szCs w:val="22"/>
        </w:rPr>
        <w:t>mild</w:t>
      </w:r>
      <w:r w:rsidR="006C2C5B" w:rsidRPr="00BF77B4">
        <w:rPr>
          <w:rFonts w:ascii="Arial" w:eastAsia="Times New Roman" w:hAnsi="Arial" w:cs="Arial"/>
          <w:sz w:val="22"/>
          <w:szCs w:val="22"/>
        </w:rPr>
        <w:t xml:space="preserve"> hypoxic ischaemic </w:t>
      </w:r>
      <w:r w:rsidR="00C836C5">
        <w:rPr>
          <w:rFonts w:ascii="Arial" w:eastAsia="Times New Roman" w:hAnsi="Arial" w:cs="Arial"/>
          <w:sz w:val="22"/>
          <w:szCs w:val="22"/>
        </w:rPr>
        <w:t>encephalopathy.</w:t>
      </w:r>
      <w:r w:rsidR="006C2C5B" w:rsidRPr="00BF77B4">
        <w:rPr>
          <w:rFonts w:ascii="Arial" w:eastAsia="Times New Roman" w:hAnsi="Arial" w:cs="Arial"/>
          <w:sz w:val="22"/>
          <w:szCs w:val="22"/>
        </w:rPr>
        <w:t xml:space="preserve"> </w:t>
      </w:r>
      <w:r w:rsidR="00C836C5">
        <w:rPr>
          <w:rFonts w:ascii="Arial" w:eastAsia="Times New Roman" w:hAnsi="Arial" w:cs="Arial"/>
          <w:sz w:val="22"/>
          <w:szCs w:val="22"/>
        </w:rPr>
        <w:t xml:space="preserve">Receipt of </w:t>
      </w:r>
      <w:r w:rsidR="00FA1E21" w:rsidRPr="00BF77B4">
        <w:rPr>
          <w:rFonts w:ascii="Arial" w:eastAsia="Times New Roman" w:hAnsi="Arial" w:cs="Arial"/>
          <w:sz w:val="22"/>
          <w:szCs w:val="22"/>
        </w:rPr>
        <w:t xml:space="preserve">therapeutic hypothermia </w:t>
      </w:r>
      <w:r w:rsidR="00C836C5">
        <w:rPr>
          <w:rFonts w:ascii="Arial" w:eastAsia="Times New Roman" w:hAnsi="Arial" w:cs="Arial"/>
          <w:sz w:val="22"/>
          <w:szCs w:val="22"/>
        </w:rPr>
        <w:t>is unlikely to be a useful marker for assessing changes in</w:t>
      </w:r>
      <w:r w:rsidR="00670358">
        <w:rPr>
          <w:rFonts w:ascii="Arial" w:eastAsia="Times New Roman" w:hAnsi="Arial" w:cs="Arial"/>
          <w:sz w:val="22"/>
          <w:szCs w:val="22"/>
        </w:rPr>
        <w:t xml:space="preserve"> the incidence of</w:t>
      </w:r>
      <w:r w:rsidR="00FA1E21" w:rsidRPr="00BF77B4">
        <w:rPr>
          <w:rFonts w:ascii="Arial" w:eastAsia="Times New Roman" w:hAnsi="Arial" w:cs="Arial"/>
          <w:sz w:val="22"/>
          <w:szCs w:val="22"/>
        </w:rPr>
        <w:t xml:space="preserve"> brain injur</w:t>
      </w:r>
      <w:r w:rsidR="007072DA">
        <w:rPr>
          <w:rFonts w:ascii="Arial" w:eastAsia="Times New Roman" w:hAnsi="Arial" w:cs="Arial"/>
          <w:sz w:val="22"/>
          <w:szCs w:val="22"/>
        </w:rPr>
        <w:t>y</w:t>
      </w:r>
      <w:r w:rsidR="00C836C5">
        <w:rPr>
          <w:rFonts w:ascii="Arial" w:eastAsia="Times New Roman" w:hAnsi="Arial" w:cs="Arial"/>
          <w:sz w:val="22"/>
          <w:szCs w:val="22"/>
        </w:rPr>
        <w:t xml:space="preserve"> over time</w:t>
      </w:r>
      <w:r w:rsidR="00FA1E21" w:rsidRPr="00BF77B4">
        <w:rPr>
          <w:rFonts w:ascii="Arial" w:eastAsia="Times New Roman" w:hAnsi="Arial" w:cs="Arial"/>
          <w:sz w:val="22"/>
          <w:szCs w:val="22"/>
        </w:rPr>
        <w:t>.</w:t>
      </w:r>
    </w:p>
    <w:p w14:paraId="456D8CA3" w14:textId="77777777" w:rsidR="00895480" w:rsidRPr="00BF77B4" w:rsidRDefault="00895480" w:rsidP="00895480">
      <w:pPr>
        <w:spacing w:line="480" w:lineRule="auto"/>
        <w:jc w:val="both"/>
        <w:rPr>
          <w:rFonts w:ascii="Arial" w:hAnsi="Arial" w:cs="Arial"/>
          <w:b/>
          <w:sz w:val="22"/>
          <w:szCs w:val="22"/>
          <w:lang w:val="en-US"/>
        </w:rPr>
      </w:pPr>
    </w:p>
    <w:p w14:paraId="6146FEB6" w14:textId="46813102" w:rsidR="008564D2" w:rsidRPr="002D4681" w:rsidRDefault="008564D2" w:rsidP="00515DE8">
      <w:pPr>
        <w:spacing w:line="480" w:lineRule="auto"/>
        <w:jc w:val="both"/>
        <w:rPr>
          <w:rFonts w:ascii="Arial" w:hAnsi="Arial" w:cs="Arial"/>
          <w:b/>
          <w:sz w:val="22"/>
          <w:szCs w:val="22"/>
        </w:rPr>
      </w:pPr>
    </w:p>
    <w:p w14:paraId="6541E7E0" w14:textId="77777777" w:rsidR="00717B25" w:rsidRPr="002D4681" w:rsidRDefault="00717B25" w:rsidP="00515DE8">
      <w:pPr>
        <w:spacing w:line="480" w:lineRule="auto"/>
        <w:jc w:val="both"/>
        <w:rPr>
          <w:rFonts w:ascii="Arial" w:hAnsi="Arial" w:cs="Arial"/>
          <w:b/>
          <w:sz w:val="22"/>
          <w:szCs w:val="22"/>
        </w:rPr>
      </w:pPr>
    </w:p>
    <w:p w14:paraId="69F95E9B" w14:textId="1EAF4F48" w:rsidR="00717B25" w:rsidRPr="002D4681" w:rsidRDefault="008564D2" w:rsidP="00515DE8">
      <w:pPr>
        <w:spacing w:line="480" w:lineRule="auto"/>
        <w:rPr>
          <w:rFonts w:ascii="Arial" w:eastAsia="Times New Roman" w:hAnsi="Arial" w:cs="Arial"/>
          <w:b/>
          <w:color w:val="000000"/>
          <w:sz w:val="22"/>
          <w:szCs w:val="22"/>
          <w:lang w:eastAsia="en-GB"/>
        </w:rPr>
      </w:pPr>
      <w:r w:rsidRPr="002D4681">
        <w:rPr>
          <w:rFonts w:ascii="Arial" w:eastAsia="Times New Roman" w:hAnsi="Arial" w:cs="Arial"/>
          <w:b/>
          <w:color w:val="000000"/>
          <w:sz w:val="22"/>
          <w:szCs w:val="22"/>
          <w:lang w:eastAsia="en-GB"/>
        </w:rPr>
        <w:br w:type="page"/>
      </w:r>
    </w:p>
    <w:p w14:paraId="018EC126" w14:textId="7E0F5C43" w:rsidR="008564D2" w:rsidRPr="002D4681" w:rsidRDefault="008564D2" w:rsidP="00515DE8">
      <w:pPr>
        <w:spacing w:line="480" w:lineRule="auto"/>
        <w:jc w:val="both"/>
        <w:rPr>
          <w:rFonts w:ascii="Arial" w:eastAsia="Times New Roman" w:hAnsi="Arial" w:cs="Arial"/>
          <w:color w:val="000000"/>
          <w:sz w:val="22"/>
          <w:szCs w:val="22"/>
          <w:lang w:eastAsia="en-GB"/>
        </w:rPr>
      </w:pPr>
      <w:r w:rsidRPr="002D4681">
        <w:rPr>
          <w:rFonts w:ascii="Arial" w:eastAsia="Times New Roman" w:hAnsi="Arial" w:cs="Arial"/>
          <w:b/>
          <w:color w:val="000000"/>
          <w:sz w:val="22"/>
          <w:szCs w:val="22"/>
          <w:lang w:eastAsia="en-GB"/>
        </w:rPr>
        <w:lastRenderedPageBreak/>
        <w:t>What is already known on this topic</w:t>
      </w:r>
      <w:r w:rsidRPr="002D4681">
        <w:rPr>
          <w:rFonts w:ascii="Arial" w:eastAsia="Times New Roman" w:hAnsi="Arial" w:cs="Arial"/>
          <w:color w:val="000000"/>
          <w:sz w:val="22"/>
          <w:szCs w:val="22"/>
          <w:lang w:eastAsia="en-GB"/>
        </w:rPr>
        <w:t xml:space="preserve"> </w:t>
      </w:r>
    </w:p>
    <w:p w14:paraId="7145AA3C" w14:textId="77777777" w:rsidR="008564D2" w:rsidRPr="002D4681" w:rsidRDefault="008564D2" w:rsidP="00515DE8">
      <w:pPr>
        <w:spacing w:line="480" w:lineRule="auto"/>
        <w:jc w:val="both"/>
        <w:rPr>
          <w:rFonts w:ascii="Arial" w:hAnsi="Arial" w:cs="Arial"/>
          <w:sz w:val="22"/>
          <w:szCs w:val="22"/>
        </w:rPr>
      </w:pPr>
    </w:p>
    <w:p w14:paraId="18A0AD32" w14:textId="5735EA35" w:rsidR="008564D2" w:rsidRPr="002D4681" w:rsidRDefault="00F568D8" w:rsidP="00515DE8">
      <w:pPr>
        <w:spacing w:line="480" w:lineRule="auto"/>
        <w:jc w:val="both"/>
        <w:rPr>
          <w:rFonts w:ascii="Arial" w:hAnsi="Arial" w:cs="Arial"/>
          <w:sz w:val="22"/>
          <w:szCs w:val="22"/>
        </w:rPr>
      </w:pPr>
      <w:r w:rsidRPr="002D4681">
        <w:rPr>
          <w:rFonts w:ascii="Arial" w:hAnsi="Arial" w:cs="Arial"/>
          <w:sz w:val="22"/>
          <w:szCs w:val="22"/>
        </w:rPr>
        <w:t>Therapeutic hypothermia has been standard of care in the UK for moderate to severe hypoxic ischaemic encephalopathy since 2009.</w:t>
      </w:r>
    </w:p>
    <w:p w14:paraId="67211221" w14:textId="77777777" w:rsidR="008564D2" w:rsidRPr="002D4681" w:rsidRDefault="008564D2" w:rsidP="00515DE8">
      <w:pPr>
        <w:spacing w:line="480" w:lineRule="auto"/>
        <w:jc w:val="both"/>
        <w:rPr>
          <w:rFonts w:ascii="Arial" w:hAnsi="Arial" w:cs="Arial"/>
          <w:sz w:val="22"/>
          <w:szCs w:val="22"/>
        </w:rPr>
      </w:pPr>
    </w:p>
    <w:p w14:paraId="3A9380E3" w14:textId="214EB6E3" w:rsidR="00F568D8" w:rsidRPr="002D4681" w:rsidRDefault="00037829" w:rsidP="00515DE8">
      <w:pPr>
        <w:spacing w:line="480" w:lineRule="auto"/>
        <w:jc w:val="both"/>
        <w:rPr>
          <w:rFonts w:ascii="Arial" w:hAnsi="Arial" w:cs="Arial"/>
          <w:sz w:val="22"/>
          <w:szCs w:val="22"/>
        </w:rPr>
      </w:pPr>
      <w:r w:rsidRPr="002D4681">
        <w:rPr>
          <w:rFonts w:ascii="Arial" w:hAnsi="Arial" w:cs="Arial"/>
          <w:sz w:val="22"/>
          <w:szCs w:val="22"/>
        </w:rPr>
        <w:t>Increasing numbers of</w:t>
      </w:r>
      <w:r w:rsidR="00112145" w:rsidRPr="002D4681">
        <w:rPr>
          <w:rFonts w:ascii="Arial" w:hAnsi="Arial" w:cs="Arial"/>
          <w:sz w:val="22"/>
          <w:szCs w:val="22"/>
        </w:rPr>
        <w:t xml:space="preserve"> babies with</w:t>
      </w:r>
      <w:r w:rsidR="00F568D8" w:rsidRPr="002D4681">
        <w:rPr>
          <w:rFonts w:ascii="Arial" w:hAnsi="Arial" w:cs="Arial"/>
          <w:sz w:val="22"/>
          <w:szCs w:val="22"/>
        </w:rPr>
        <w:t xml:space="preserve"> </w:t>
      </w:r>
      <w:r w:rsidR="00112145" w:rsidRPr="002D4681">
        <w:rPr>
          <w:rFonts w:ascii="Arial" w:hAnsi="Arial" w:cs="Arial"/>
          <w:sz w:val="22"/>
          <w:szCs w:val="22"/>
        </w:rPr>
        <w:t xml:space="preserve">mild hypoxic ischaemic encephalopathy </w:t>
      </w:r>
      <w:r w:rsidR="00767E66" w:rsidRPr="002D4681">
        <w:rPr>
          <w:rFonts w:ascii="Arial" w:hAnsi="Arial" w:cs="Arial"/>
          <w:sz w:val="22"/>
          <w:szCs w:val="22"/>
        </w:rPr>
        <w:t xml:space="preserve">are treated with </w:t>
      </w:r>
      <w:r w:rsidR="00F568D8" w:rsidRPr="002D4681">
        <w:rPr>
          <w:rFonts w:ascii="Arial" w:hAnsi="Arial" w:cs="Arial"/>
          <w:sz w:val="22"/>
          <w:szCs w:val="22"/>
        </w:rPr>
        <w:t>hypothermia</w:t>
      </w:r>
      <w:r w:rsidRPr="002D4681">
        <w:rPr>
          <w:rFonts w:ascii="Arial" w:hAnsi="Arial" w:cs="Arial"/>
          <w:sz w:val="22"/>
          <w:szCs w:val="22"/>
        </w:rPr>
        <w:t xml:space="preserve"> in </w:t>
      </w:r>
      <w:r w:rsidR="00376A45">
        <w:rPr>
          <w:rFonts w:ascii="Arial" w:hAnsi="Arial" w:cs="Arial"/>
          <w:sz w:val="22"/>
          <w:szCs w:val="22"/>
        </w:rPr>
        <w:t xml:space="preserve">the </w:t>
      </w:r>
      <w:r w:rsidRPr="002D4681">
        <w:rPr>
          <w:rFonts w:ascii="Arial" w:hAnsi="Arial" w:cs="Arial"/>
          <w:sz w:val="22"/>
          <w:szCs w:val="22"/>
        </w:rPr>
        <w:t>USA and Canada; it is</w:t>
      </w:r>
      <w:r w:rsidR="00C620F1">
        <w:rPr>
          <w:rFonts w:ascii="Arial" w:hAnsi="Arial" w:cs="Arial"/>
          <w:sz w:val="22"/>
          <w:szCs w:val="22"/>
        </w:rPr>
        <w:t xml:space="preserve"> not</w:t>
      </w:r>
      <w:r w:rsidRPr="002D4681">
        <w:rPr>
          <w:rFonts w:ascii="Arial" w:hAnsi="Arial" w:cs="Arial"/>
          <w:sz w:val="22"/>
          <w:szCs w:val="22"/>
        </w:rPr>
        <w:t xml:space="preserve"> known whether </w:t>
      </w:r>
      <w:r w:rsidR="00767E66" w:rsidRPr="002D4681">
        <w:rPr>
          <w:rFonts w:ascii="Arial" w:hAnsi="Arial" w:cs="Arial"/>
          <w:sz w:val="22"/>
          <w:szCs w:val="22"/>
        </w:rPr>
        <w:t>a similar</w:t>
      </w:r>
      <w:r w:rsidR="00B07933" w:rsidRPr="002D4681">
        <w:rPr>
          <w:rFonts w:ascii="Arial" w:hAnsi="Arial" w:cs="Arial"/>
          <w:sz w:val="22"/>
          <w:szCs w:val="22"/>
        </w:rPr>
        <w:t xml:space="preserve"> </w:t>
      </w:r>
      <w:r w:rsidR="00767E66" w:rsidRPr="002D4681">
        <w:rPr>
          <w:rFonts w:ascii="Arial" w:hAnsi="Arial" w:cs="Arial"/>
          <w:sz w:val="22"/>
          <w:szCs w:val="22"/>
        </w:rPr>
        <w:t>pattern of treatment</w:t>
      </w:r>
      <w:r w:rsidR="00B07933" w:rsidRPr="002D4681">
        <w:rPr>
          <w:rFonts w:ascii="Arial" w:hAnsi="Arial" w:cs="Arial"/>
          <w:sz w:val="22"/>
          <w:szCs w:val="22"/>
        </w:rPr>
        <w:t xml:space="preserve"> is </w:t>
      </w:r>
      <w:r w:rsidR="00767E66" w:rsidRPr="002D4681">
        <w:rPr>
          <w:rFonts w:ascii="Arial" w:hAnsi="Arial" w:cs="Arial"/>
          <w:sz w:val="22"/>
          <w:szCs w:val="22"/>
        </w:rPr>
        <w:t>occurring</w:t>
      </w:r>
      <w:r w:rsidR="00B07933" w:rsidRPr="002D4681">
        <w:rPr>
          <w:rFonts w:ascii="Arial" w:hAnsi="Arial" w:cs="Arial"/>
          <w:sz w:val="22"/>
          <w:szCs w:val="22"/>
        </w:rPr>
        <w:t xml:space="preserve"> in the </w:t>
      </w:r>
      <w:r w:rsidR="00767E66" w:rsidRPr="002D4681">
        <w:rPr>
          <w:rFonts w:ascii="Arial" w:hAnsi="Arial" w:cs="Arial"/>
          <w:sz w:val="22"/>
          <w:szCs w:val="22"/>
        </w:rPr>
        <w:t>UK</w:t>
      </w:r>
      <w:r w:rsidR="00B07933" w:rsidRPr="002D4681">
        <w:rPr>
          <w:rFonts w:ascii="Arial" w:hAnsi="Arial" w:cs="Arial"/>
          <w:sz w:val="22"/>
          <w:szCs w:val="22"/>
        </w:rPr>
        <w:t>.</w:t>
      </w:r>
    </w:p>
    <w:p w14:paraId="427A68AD" w14:textId="77777777" w:rsidR="00F568D8" w:rsidRPr="002D4681" w:rsidRDefault="00F568D8" w:rsidP="00515DE8">
      <w:pPr>
        <w:spacing w:line="480" w:lineRule="auto"/>
        <w:jc w:val="both"/>
        <w:rPr>
          <w:rFonts w:ascii="Arial" w:hAnsi="Arial" w:cs="Arial"/>
          <w:sz w:val="22"/>
          <w:szCs w:val="22"/>
        </w:rPr>
      </w:pPr>
    </w:p>
    <w:p w14:paraId="7AC17A50" w14:textId="101348E9" w:rsidR="008564D2" w:rsidRPr="002D4681" w:rsidRDefault="00F568D8" w:rsidP="00515DE8">
      <w:pPr>
        <w:spacing w:line="480" w:lineRule="auto"/>
        <w:jc w:val="both"/>
        <w:rPr>
          <w:rFonts w:ascii="Arial" w:hAnsi="Arial" w:cs="Arial"/>
          <w:sz w:val="22"/>
          <w:szCs w:val="22"/>
        </w:rPr>
      </w:pPr>
      <w:r w:rsidRPr="002D4681">
        <w:rPr>
          <w:rFonts w:ascii="Arial" w:hAnsi="Arial" w:cs="Arial"/>
          <w:sz w:val="22"/>
          <w:szCs w:val="22"/>
        </w:rPr>
        <w:t xml:space="preserve">Receipt of therapeutic hypothermia is used an indicator for </w:t>
      </w:r>
      <w:r w:rsidRPr="002D4681">
        <w:rPr>
          <w:rFonts w:ascii="Arial" w:hAnsi="Arial" w:cs="Arial"/>
          <w:i/>
          <w:sz w:val="22"/>
          <w:szCs w:val="22"/>
        </w:rPr>
        <w:t>brain injury occurring at or shortly after birth</w:t>
      </w:r>
      <w:r w:rsidRPr="002D4681">
        <w:rPr>
          <w:rFonts w:ascii="Arial" w:hAnsi="Arial" w:cs="Arial"/>
          <w:sz w:val="22"/>
          <w:szCs w:val="22"/>
        </w:rPr>
        <w:t xml:space="preserve"> </w:t>
      </w:r>
      <w:r w:rsidR="00112145" w:rsidRPr="002D4681">
        <w:rPr>
          <w:rFonts w:ascii="Arial" w:hAnsi="Arial" w:cs="Arial"/>
          <w:sz w:val="22"/>
          <w:szCs w:val="22"/>
        </w:rPr>
        <w:t>for national reporting in the</w:t>
      </w:r>
      <w:r w:rsidRPr="002D4681">
        <w:rPr>
          <w:rFonts w:ascii="Arial" w:hAnsi="Arial" w:cs="Arial"/>
          <w:sz w:val="22"/>
          <w:szCs w:val="22"/>
        </w:rPr>
        <w:t xml:space="preserve"> UK.</w:t>
      </w:r>
    </w:p>
    <w:p w14:paraId="6B7E58B4" w14:textId="77777777" w:rsidR="008564D2" w:rsidRPr="002D4681" w:rsidRDefault="008564D2" w:rsidP="00515DE8">
      <w:pPr>
        <w:spacing w:line="480" w:lineRule="auto"/>
        <w:jc w:val="both"/>
        <w:rPr>
          <w:rFonts w:ascii="Arial" w:hAnsi="Arial" w:cs="Arial"/>
          <w:sz w:val="22"/>
          <w:szCs w:val="22"/>
          <w:highlight w:val="yellow"/>
        </w:rPr>
      </w:pPr>
    </w:p>
    <w:p w14:paraId="691DE527" w14:textId="64DCD41B" w:rsidR="008564D2" w:rsidRPr="002D4681" w:rsidRDefault="008564D2" w:rsidP="00127881">
      <w:pPr>
        <w:spacing w:line="480" w:lineRule="auto"/>
        <w:jc w:val="both"/>
        <w:rPr>
          <w:rFonts w:ascii="Arial" w:eastAsia="Times New Roman" w:hAnsi="Arial" w:cs="Arial"/>
          <w:color w:val="000000"/>
          <w:sz w:val="22"/>
          <w:szCs w:val="22"/>
          <w:lang w:eastAsia="en-GB"/>
        </w:rPr>
      </w:pPr>
      <w:r w:rsidRPr="002D4681">
        <w:rPr>
          <w:rFonts w:ascii="Arial" w:eastAsia="Times New Roman" w:hAnsi="Arial" w:cs="Arial"/>
          <w:b/>
          <w:color w:val="000000"/>
          <w:sz w:val="22"/>
          <w:szCs w:val="22"/>
          <w:lang w:eastAsia="en-GB"/>
        </w:rPr>
        <w:t>What this study adds</w:t>
      </w:r>
    </w:p>
    <w:p w14:paraId="3AECFB6F" w14:textId="77777777" w:rsidR="008564D2" w:rsidRPr="002D4681" w:rsidRDefault="008564D2" w:rsidP="00515DE8">
      <w:pPr>
        <w:spacing w:line="480" w:lineRule="auto"/>
        <w:jc w:val="both"/>
        <w:rPr>
          <w:rFonts w:ascii="Arial" w:eastAsia="Times New Roman" w:hAnsi="Arial" w:cs="Arial"/>
          <w:color w:val="000000"/>
          <w:sz w:val="22"/>
          <w:szCs w:val="22"/>
          <w:lang w:eastAsia="en-GB"/>
        </w:rPr>
      </w:pPr>
    </w:p>
    <w:p w14:paraId="3076AB3D" w14:textId="2198D3DD" w:rsidR="008564D2" w:rsidRPr="002D4681" w:rsidRDefault="00112145" w:rsidP="00515DE8">
      <w:pPr>
        <w:spacing w:line="480" w:lineRule="auto"/>
        <w:jc w:val="both"/>
        <w:rPr>
          <w:rFonts w:ascii="Arial" w:hAnsi="Arial" w:cs="Arial"/>
          <w:sz w:val="22"/>
          <w:szCs w:val="22"/>
        </w:rPr>
      </w:pPr>
      <w:r w:rsidRPr="002D4681">
        <w:rPr>
          <w:rFonts w:ascii="Arial" w:eastAsia="Times New Roman" w:hAnsi="Arial" w:cs="Arial"/>
          <w:color w:val="000000"/>
          <w:sz w:val="22"/>
          <w:szCs w:val="22"/>
          <w:lang w:eastAsia="en-GB"/>
        </w:rPr>
        <w:t xml:space="preserve">Between 2010 and 2017 the annual number of babies receiving therapeutic hypothermia with a diagnosis of </w:t>
      </w:r>
      <w:r w:rsidRPr="002D4681">
        <w:rPr>
          <w:rFonts w:ascii="Arial" w:hAnsi="Arial" w:cs="Arial"/>
          <w:sz w:val="22"/>
          <w:szCs w:val="22"/>
        </w:rPr>
        <w:t xml:space="preserve">hypoxic ischaemic encephalopathy </w:t>
      </w:r>
      <w:r w:rsidR="00767E66" w:rsidRPr="002D4681">
        <w:rPr>
          <w:rFonts w:ascii="Arial" w:hAnsi="Arial" w:cs="Arial"/>
          <w:sz w:val="22"/>
          <w:szCs w:val="22"/>
        </w:rPr>
        <w:t xml:space="preserve">increased </w:t>
      </w:r>
      <w:r w:rsidR="00B07933" w:rsidRPr="002D4681">
        <w:rPr>
          <w:rFonts w:ascii="Arial" w:hAnsi="Arial" w:cs="Arial"/>
          <w:sz w:val="22"/>
          <w:szCs w:val="22"/>
        </w:rPr>
        <w:t>in England, Scotland and Wales</w:t>
      </w:r>
      <w:r w:rsidR="00F568D8" w:rsidRPr="002D4681">
        <w:rPr>
          <w:rFonts w:ascii="Arial" w:eastAsia="Times New Roman" w:hAnsi="Arial" w:cs="Arial"/>
          <w:color w:val="000000"/>
          <w:sz w:val="22"/>
          <w:szCs w:val="22"/>
          <w:lang w:eastAsia="en-GB"/>
        </w:rPr>
        <w:t>.</w:t>
      </w:r>
    </w:p>
    <w:p w14:paraId="53941BCD" w14:textId="77777777" w:rsidR="008564D2" w:rsidRPr="002D4681" w:rsidRDefault="008564D2" w:rsidP="00515DE8">
      <w:pPr>
        <w:spacing w:line="480" w:lineRule="auto"/>
        <w:jc w:val="both"/>
        <w:rPr>
          <w:rFonts w:ascii="Arial" w:hAnsi="Arial" w:cs="Arial"/>
          <w:sz w:val="22"/>
          <w:szCs w:val="22"/>
        </w:rPr>
      </w:pPr>
    </w:p>
    <w:p w14:paraId="73FB5CBD" w14:textId="59926FCB" w:rsidR="008564D2" w:rsidRPr="002D4681" w:rsidRDefault="00B07933" w:rsidP="00515DE8">
      <w:pPr>
        <w:spacing w:line="480" w:lineRule="auto"/>
        <w:jc w:val="both"/>
        <w:rPr>
          <w:rFonts w:ascii="Arial" w:hAnsi="Arial" w:cs="Arial"/>
          <w:sz w:val="22"/>
          <w:szCs w:val="22"/>
        </w:rPr>
      </w:pPr>
      <w:r w:rsidRPr="002D4681">
        <w:rPr>
          <w:rFonts w:ascii="Arial" w:hAnsi="Arial" w:cs="Arial"/>
          <w:sz w:val="22"/>
          <w:szCs w:val="22"/>
        </w:rPr>
        <w:t xml:space="preserve">An increasing proportion of babies treated with </w:t>
      </w:r>
      <w:r w:rsidRPr="002D4681">
        <w:rPr>
          <w:rFonts w:ascii="Arial" w:eastAsia="Times New Roman" w:hAnsi="Arial" w:cs="Arial"/>
          <w:color w:val="000000"/>
          <w:sz w:val="22"/>
          <w:szCs w:val="22"/>
          <w:lang w:eastAsia="en-GB"/>
        </w:rPr>
        <w:t>therapeutic hypothermia ha</w:t>
      </w:r>
      <w:r w:rsidR="00C620F1">
        <w:rPr>
          <w:rFonts w:ascii="Arial" w:eastAsia="Times New Roman" w:hAnsi="Arial" w:cs="Arial"/>
          <w:color w:val="000000"/>
          <w:sz w:val="22"/>
          <w:szCs w:val="22"/>
          <w:lang w:eastAsia="en-GB"/>
        </w:rPr>
        <w:t>d</w:t>
      </w:r>
      <w:r w:rsidRPr="002D4681">
        <w:rPr>
          <w:rFonts w:ascii="Arial" w:eastAsia="Times New Roman" w:hAnsi="Arial" w:cs="Arial"/>
          <w:color w:val="000000"/>
          <w:sz w:val="22"/>
          <w:szCs w:val="22"/>
          <w:lang w:eastAsia="en-GB"/>
        </w:rPr>
        <w:t xml:space="preserve"> a diagnosis of mild </w:t>
      </w:r>
      <w:r w:rsidRPr="002D4681">
        <w:rPr>
          <w:rFonts w:ascii="Arial" w:hAnsi="Arial" w:cs="Arial"/>
          <w:sz w:val="22"/>
          <w:szCs w:val="22"/>
        </w:rPr>
        <w:t>hypoxic ischaemic encephalopathy or ha</w:t>
      </w:r>
      <w:r w:rsidR="00C620F1">
        <w:rPr>
          <w:rFonts w:ascii="Arial" w:hAnsi="Arial" w:cs="Arial"/>
          <w:sz w:val="22"/>
          <w:szCs w:val="22"/>
        </w:rPr>
        <w:t>d</w:t>
      </w:r>
      <w:r w:rsidRPr="002D4681">
        <w:rPr>
          <w:rFonts w:ascii="Arial" w:hAnsi="Arial" w:cs="Arial"/>
          <w:sz w:val="22"/>
          <w:szCs w:val="22"/>
        </w:rPr>
        <w:t xml:space="preserve"> less severe clinical characteristics of hypoxia.</w:t>
      </w:r>
    </w:p>
    <w:p w14:paraId="0D21B3A0" w14:textId="77777777" w:rsidR="008564D2" w:rsidRPr="002D4681" w:rsidRDefault="008564D2" w:rsidP="00515DE8">
      <w:pPr>
        <w:spacing w:line="480" w:lineRule="auto"/>
        <w:jc w:val="both"/>
        <w:rPr>
          <w:rFonts w:ascii="Arial" w:hAnsi="Arial" w:cs="Arial"/>
          <w:sz w:val="22"/>
          <w:szCs w:val="22"/>
        </w:rPr>
      </w:pPr>
    </w:p>
    <w:p w14:paraId="4C860EF9" w14:textId="7A89CA0E" w:rsidR="00246767" w:rsidRPr="002D4681" w:rsidRDefault="00246767" w:rsidP="00B07933">
      <w:pPr>
        <w:spacing w:line="480" w:lineRule="auto"/>
        <w:jc w:val="both"/>
        <w:rPr>
          <w:rFonts w:ascii="Arial" w:hAnsi="Arial" w:cs="Arial"/>
          <w:sz w:val="22"/>
          <w:szCs w:val="22"/>
        </w:rPr>
      </w:pPr>
      <w:r w:rsidRPr="002D4681">
        <w:rPr>
          <w:rFonts w:ascii="Arial" w:hAnsi="Arial" w:cs="Arial"/>
          <w:sz w:val="22"/>
          <w:szCs w:val="22"/>
        </w:rPr>
        <w:t xml:space="preserve">Routinely recorded clinical data can be used to monitor changing </w:t>
      </w:r>
      <w:r w:rsidR="00390D45" w:rsidRPr="002D4681">
        <w:rPr>
          <w:rFonts w:ascii="Arial" w:hAnsi="Arial" w:cs="Arial"/>
          <w:sz w:val="22"/>
          <w:szCs w:val="22"/>
        </w:rPr>
        <w:t xml:space="preserve">treatment </w:t>
      </w:r>
      <w:r w:rsidRPr="002D4681">
        <w:rPr>
          <w:rFonts w:ascii="Arial" w:hAnsi="Arial" w:cs="Arial"/>
          <w:sz w:val="22"/>
          <w:szCs w:val="22"/>
        </w:rPr>
        <w:t>patterns at population level.</w:t>
      </w:r>
    </w:p>
    <w:p w14:paraId="16F07CF1" w14:textId="4E40E791" w:rsidR="00A06C22" w:rsidRPr="002D4681" w:rsidRDefault="008564D2" w:rsidP="00515DE8">
      <w:pPr>
        <w:spacing w:line="480" w:lineRule="auto"/>
        <w:rPr>
          <w:rFonts w:ascii="Arial" w:hAnsi="Arial" w:cs="Arial"/>
          <w:sz w:val="22"/>
          <w:szCs w:val="22"/>
        </w:rPr>
      </w:pPr>
      <w:r w:rsidRPr="002D4681">
        <w:rPr>
          <w:rFonts w:ascii="Arial" w:hAnsi="Arial" w:cs="Arial"/>
          <w:sz w:val="22"/>
          <w:szCs w:val="22"/>
        </w:rPr>
        <w:br w:type="page"/>
      </w:r>
    </w:p>
    <w:p w14:paraId="699AC5D3" w14:textId="46D013A2" w:rsidR="00275AC7" w:rsidRPr="002D4681" w:rsidRDefault="00871C5B" w:rsidP="00515DE8">
      <w:pPr>
        <w:spacing w:line="480" w:lineRule="auto"/>
        <w:jc w:val="both"/>
        <w:rPr>
          <w:rFonts w:ascii="Arial" w:hAnsi="Arial" w:cs="Arial"/>
          <w:sz w:val="22"/>
          <w:szCs w:val="22"/>
        </w:rPr>
      </w:pPr>
      <w:r w:rsidRPr="002D4681">
        <w:rPr>
          <w:rFonts w:ascii="Arial" w:hAnsi="Arial" w:cs="Arial"/>
          <w:b/>
          <w:sz w:val="22"/>
          <w:szCs w:val="22"/>
        </w:rPr>
        <w:lastRenderedPageBreak/>
        <w:t>INTRODUCTION</w:t>
      </w:r>
      <w:r w:rsidR="005748B8" w:rsidRPr="002D4681">
        <w:rPr>
          <w:rFonts w:ascii="Arial" w:hAnsi="Arial" w:cs="Arial"/>
          <w:sz w:val="22"/>
          <w:szCs w:val="22"/>
        </w:rPr>
        <w:t xml:space="preserve"> </w:t>
      </w:r>
    </w:p>
    <w:p w14:paraId="02CC1714" w14:textId="210FB059" w:rsidR="00246767" w:rsidRPr="002D4681" w:rsidRDefault="003D346E" w:rsidP="00515DE8">
      <w:pPr>
        <w:spacing w:line="480" w:lineRule="auto"/>
        <w:jc w:val="both"/>
        <w:rPr>
          <w:rFonts w:ascii="Arial" w:hAnsi="Arial" w:cs="Arial"/>
          <w:sz w:val="22"/>
          <w:szCs w:val="22"/>
        </w:rPr>
      </w:pPr>
      <w:r>
        <w:rPr>
          <w:rFonts w:ascii="Arial" w:hAnsi="Arial" w:cs="Arial"/>
          <w:sz w:val="22"/>
          <w:szCs w:val="22"/>
        </w:rPr>
        <w:t>Newborn h</w:t>
      </w:r>
      <w:r w:rsidR="00A370F1" w:rsidRPr="002D4681">
        <w:rPr>
          <w:rFonts w:ascii="Arial" w:hAnsi="Arial" w:cs="Arial"/>
          <w:sz w:val="22"/>
          <w:szCs w:val="22"/>
        </w:rPr>
        <w:t xml:space="preserve">ypoxic ischaemic encephalopathy (HIE) is caused by insufficient oxygenation and blood flow </w:t>
      </w:r>
      <w:r w:rsidR="00513B00" w:rsidRPr="002D4681">
        <w:rPr>
          <w:rFonts w:ascii="Arial" w:hAnsi="Arial" w:cs="Arial"/>
          <w:sz w:val="22"/>
          <w:szCs w:val="22"/>
        </w:rPr>
        <w:t xml:space="preserve">to </w:t>
      </w:r>
      <w:r w:rsidR="00A370F1" w:rsidRPr="002D4681">
        <w:rPr>
          <w:rFonts w:ascii="Arial" w:hAnsi="Arial" w:cs="Arial"/>
          <w:sz w:val="22"/>
          <w:szCs w:val="22"/>
        </w:rPr>
        <w:t>the brain</w:t>
      </w:r>
      <w:r w:rsidR="00DB3107">
        <w:rPr>
          <w:rFonts w:ascii="Arial" w:hAnsi="Arial" w:cs="Arial"/>
          <w:sz w:val="22"/>
          <w:szCs w:val="22"/>
        </w:rPr>
        <w:t xml:space="preserve"> and</w:t>
      </w:r>
      <w:r w:rsidR="00ED7CC4" w:rsidRPr="002D4681">
        <w:rPr>
          <w:rFonts w:ascii="Arial" w:hAnsi="Arial" w:cs="Arial"/>
          <w:sz w:val="22"/>
          <w:szCs w:val="22"/>
        </w:rPr>
        <w:t xml:space="preserve"> is an important cause of long-term disability</w:t>
      </w:r>
      <w:r w:rsidR="00202D4F">
        <w:rPr>
          <w:rFonts w:ascii="Arial" w:hAnsi="Arial" w:cs="Arial"/>
          <w:sz w:val="22"/>
          <w:szCs w:val="22"/>
        </w:rPr>
        <w:t xml:space="preserve"> </w:t>
      </w:r>
      <w:r w:rsidR="00ED7CC4" w:rsidRPr="002D4681">
        <w:rPr>
          <w:rFonts w:ascii="Arial" w:hAnsi="Arial" w:cs="Arial"/>
          <w:sz w:val="22"/>
          <w:szCs w:val="22"/>
        </w:rPr>
        <w:fldChar w:fldCharType="begin"/>
      </w:r>
      <w:r w:rsidR="00593781">
        <w:rPr>
          <w:rFonts w:ascii="Arial" w:hAnsi="Arial" w:cs="Arial"/>
          <w:sz w:val="22"/>
          <w:szCs w:val="22"/>
        </w:rPr>
        <w:instrText xml:space="preserve"> ADDIN ZOTERO_ITEM CSL_CITATION {"citationID":"1wRLWdRv","properties":{"formattedCitation":"[1]","plainCitation":"[1]","noteIndex":0},"citationItems":[{"id":638,"uris":["http://zotero.org/users/5728505/items/9WG5AP45"],"uri":["http://zotero.org/users/5728505/items/9WG5AP45"],"itemData":{"id":638,"type":"article-journal","abstract":"&lt;p&gt;Ninety-five infants of 37 weeks' gestation or greater with evidence of hypoxic-ischemic encephalopathy following perinatal asphyxia were prospectively identified in the neonatal period. The degree of encephalopathy was graded using the staging system of Sarnat and Sarnat. Six infants died, 78 infants were sequentially followed in the Neonatal Follow-up Clinic, and in five additional infants, follow-up information was available. The mean duration of follow-up was 19.3 months. Fifty-eight (65%) of the 89 infants followed were normal or mildy handicapped, six (7%) died, and the remainder had significant handicap. There was no significant relationship between any of over 100 obstetrical antepartum or intrapartum variables and outcome. Infants with five-minute Apgar scores of 0 to 3, seizures within the first day of life, Stage II or III encephalopath, or a suppressed electroencephalogram had a significantly greater incidence of severe handicap or death. In addition, although there were fewer females, they had a significantly greater incidence of handicap. There appeared to be an improved outcome in the last two years (1977–1978) compared to the first two years (1975–1976), suggesting that improved recognition and neonatal management may lead to a decrease in significant sequelae.&lt;/p&gt;","container-title":"The Journal of Pediatrics","DOI":"10.1016/S0022-3476(81)80555-0","ISSN":"0022-3476, 1090-123X","issue":"1","journalAbbreviation":"The Journal of Pediatrics","language":"English","note":"PMID: 7452386","page":"112-117","source":"www.jpeds.com","title":"Hypoxic-ischemic encephalopathy in term neonates: Perinatal factors and outcome","title-short":"Hypoxic-ischemic encephalopathy in term neonates","volume":"98","author":[{"family":"Finer","given":"N. N."},{"family":"Robertson","given":"C. M."},{"family":"Richards","given":"R. T."},{"family":"Pinnell","given":"L. E."},{"family":"Peters","given":"K. L."}],"issued":{"date-parts":[["1981",1,1]]}}}],"schema":"https://github.com/citation-style-language/schema/raw/master/csl-citation.json"} </w:instrText>
      </w:r>
      <w:r w:rsidR="00ED7CC4" w:rsidRPr="002D4681">
        <w:rPr>
          <w:rFonts w:ascii="Arial" w:hAnsi="Arial" w:cs="Arial"/>
          <w:sz w:val="22"/>
          <w:szCs w:val="22"/>
        </w:rPr>
        <w:fldChar w:fldCharType="separate"/>
      </w:r>
      <w:r w:rsidR="00593781">
        <w:rPr>
          <w:rFonts w:ascii="Arial" w:hAnsi="Arial" w:cs="Arial"/>
          <w:sz w:val="22"/>
          <w:lang w:val="en-US"/>
        </w:rPr>
        <w:t>[1]</w:t>
      </w:r>
      <w:r w:rsidR="00ED7CC4" w:rsidRPr="002D4681">
        <w:rPr>
          <w:rFonts w:ascii="Arial" w:hAnsi="Arial" w:cs="Arial"/>
          <w:sz w:val="22"/>
          <w:szCs w:val="22"/>
        </w:rPr>
        <w:fldChar w:fldCharType="end"/>
      </w:r>
      <w:r w:rsidR="00ED7CC4" w:rsidRPr="002D4681">
        <w:rPr>
          <w:rFonts w:ascii="Arial" w:hAnsi="Arial" w:cs="Arial"/>
          <w:sz w:val="22"/>
          <w:szCs w:val="22"/>
        </w:rPr>
        <w:t>.</w:t>
      </w:r>
      <w:r w:rsidR="00246767" w:rsidRPr="002D4681">
        <w:rPr>
          <w:rFonts w:ascii="Arial" w:hAnsi="Arial" w:cs="Arial"/>
          <w:sz w:val="22"/>
          <w:szCs w:val="22"/>
        </w:rPr>
        <w:t xml:space="preserve"> </w:t>
      </w:r>
      <w:r w:rsidR="00ED7CC4" w:rsidRPr="002D4681">
        <w:rPr>
          <w:rFonts w:ascii="Arial" w:hAnsi="Arial" w:cs="Arial"/>
          <w:sz w:val="22"/>
          <w:szCs w:val="22"/>
        </w:rPr>
        <w:t>The</w:t>
      </w:r>
      <w:r w:rsidR="00A370F1" w:rsidRPr="002D4681">
        <w:rPr>
          <w:rFonts w:ascii="Arial" w:hAnsi="Arial" w:cs="Arial"/>
          <w:sz w:val="22"/>
          <w:szCs w:val="22"/>
        </w:rPr>
        <w:t xml:space="preserve"> incidence of moderate to severe HIE in the </w:t>
      </w:r>
      <w:r w:rsidR="00246767" w:rsidRPr="002D4681">
        <w:rPr>
          <w:rFonts w:ascii="Arial" w:hAnsi="Arial" w:cs="Arial"/>
          <w:sz w:val="22"/>
          <w:szCs w:val="22"/>
        </w:rPr>
        <w:t xml:space="preserve">United Kingdom </w:t>
      </w:r>
      <w:r w:rsidR="00ED7CC4" w:rsidRPr="002D4681">
        <w:rPr>
          <w:rFonts w:ascii="Arial" w:hAnsi="Arial" w:cs="Arial"/>
          <w:sz w:val="22"/>
          <w:szCs w:val="22"/>
        </w:rPr>
        <w:t>is</w:t>
      </w:r>
      <w:r w:rsidR="00246767" w:rsidRPr="002D4681">
        <w:rPr>
          <w:rFonts w:ascii="Arial" w:hAnsi="Arial" w:cs="Arial"/>
          <w:sz w:val="22"/>
          <w:szCs w:val="22"/>
        </w:rPr>
        <w:t xml:space="preserve"> </w:t>
      </w:r>
      <w:r w:rsidR="00AE26F5" w:rsidRPr="002D4681">
        <w:rPr>
          <w:rFonts w:ascii="Arial" w:hAnsi="Arial" w:cs="Arial"/>
          <w:sz w:val="22"/>
          <w:szCs w:val="22"/>
        </w:rPr>
        <w:t xml:space="preserve">between </w:t>
      </w:r>
      <w:r w:rsidR="00A370F1" w:rsidRPr="002D4681">
        <w:rPr>
          <w:rFonts w:ascii="Arial" w:hAnsi="Arial" w:cs="Arial"/>
          <w:sz w:val="22"/>
          <w:szCs w:val="22"/>
        </w:rPr>
        <w:t>2.4 to 2.8 per 1000 live births</w:t>
      </w:r>
      <w:r w:rsidR="00202D4F">
        <w:rPr>
          <w:rFonts w:ascii="Arial" w:hAnsi="Arial" w:cs="Arial"/>
          <w:sz w:val="22"/>
          <w:szCs w:val="22"/>
        </w:rPr>
        <w:t xml:space="preserve"> </w:t>
      </w:r>
      <w:r w:rsidR="00A370F1" w:rsidRPr="002D4681">
        <w:rPr>
          <w:rFonts w:ascii="Arial" w:hAnsi="Arial" w:cs="Arial"/>
          <w:sz w:val="22"/>
          <w:szCs w:val="22"/>
        </w:rPr>
        <w:fldChar w:fldCharType="begin"/>
      </w:r>
      <w:r w:rsidR="00593781">
        <w:rPr>
          <w:rFonts w:ascii="Arial" w:hAnsi="Arial" w:cs="Arial"/>
          <w:sz w:val="22"/>
          <w:szCs w:val="22"/>
        </w:rPr>
        <w:instrText xml:space="preserve"> ADDIN ZOTERO_ITEM CSL_CITATION {"citationID":"OIE2qjkI","properties":{"formattedCitation":"[2]","plainCitation":"[2]","noteIndex":0},"citationItems":[{"id":637,"uris":["http://zotero.org/users/5728505/items/FSWFI2XF"],"uri":["http://zotero.org/users/5728505/items/FSWFI2XF"],"itemData":{"id":637,"type":"article-journal","abstract":"Objective  In 2015, the Department of Health in England announced an ambition to reduce ’brain injuries occurring during or soon after birth’. We describe the development of a pragmatic case definition and present annual incidence rates. Design  Retrospective cohort study using data held in the National Neonatal Research Database (NNRD) extracted from neonatal electronic patient records from all National Health Service (NHS) neonatal units in England, Wales and Scotland. In 2010–2011, population coverage in the NNRD was incomplete, hence rate estimates are presented as a range; from 2012, population coverage is complete, and rates (95% CIs) are presented. Rates are per 1000 live births. Setting  NHS neonatal units in England. Patients  Infants admitted for neonatal care; denominator: live births in England. Main outcome measure  ’Brain injuries occurring at or soon after birth’ defined as infants with seizures, hypoxic-ischaemic encephalopathy, stroke, intracranial haemorrhage, central nervous system infection and kernicterus and preterm infants with cystic periventricular leucomalacia.\nResults  In 2010, the lower estimate of the rate of ’Brain injuries occurring at or soon after birth’ in England was 4.53 and the upper estimate was 5.19; in 2015, the rate was 5.14 (4.97, 5.32). For preterm infants, the population incidence in 2015 was 25.88 (24.51, 27.33) and 3.47 (3.33, 3.62) for term infants. Hypoxic-ischaemic encephalopathy was the largest contributor to term brain injury, and intraventricular/periventricular haemorrhage was the largest contributor to preterm brain injury.\nConclusions  Annual incidence rates for brain injuries can be estimated from data held in the NNRD; rates for individual conditions are consistent with published rates. Routinely recorded clinical data can be used for national surveillance, offering efficiencies over traditional approaches.","container-title":"Archives of Disease in Childhood - Fetal and Neonatal Edition","DOI":"10.1136/archdischild-2017-313707","ISSN":"1359-2998, 1468-2052","issue":"4","language":"en","page":"F301-F306","source":"Crossref","title":"Neonatal brain injuries in England: population-based incidence derived from routinely recorded clinical data held in the National Neonatal Research Database","title-short":"Neonatal brain injuries in England","volume":"103","author":[{"family":"Gale","given":"Chris"},{"family":"Statnikov","given":"Yevgeniy"},{"family":"Jawad","given":"Sena"},{"family":"Uthaya","given":"Sabita N"},{"family":"Modi","given":"Neena"}],"issued":{"date-parts":[["2018",7]]}}}],"schema":"https://github.com/citation-style-language/schema/raw/master/csl-citation.json"} </w:instrText>
      </w:r>
      <w:r w:rsidR="00A370F1" w:rsidRPr="002D4681">
        <w:rPr>
          <w:rFonts w:ascii="Arial" w:hAnsi="Arial" w:cs="Arial"/>
          <w:sz w:val="22"/>
          <w:szCs w:val="22"/>
        </w:rPr>
        <w:fldChar w:fldCharType="separate"/>
      </w:r>
      <w:r w:rsidR="00593781">
        <w:rPr>
          <w:rFonts w:ascii="Arial" w:hAnsi="Arial" w:cs="Arial"/>
          <w:sz w:val="22"/>
          <w:lang w:val="en-US"/>
        </w:rPr>
        <w:t>[2]</w:t>
      </w:r>
      <w:r w:rsidR="00A370F1" w:rsidRPr="002D4681">
        <w:rPr>
          <w:rFonts w:ascii="Arial" w:hAnsi="Arial" w:cs="Arial"/>
          <w:sz w:val="22"/>
          <w:szCs w:val="22"/>
        </w:rPr>
        <w:fldChar w:fldCharType="end"/>
      </w:r>
      <w:r w:rsidR="00513B00" w:rsidRPr="002D4681">
        <w:rPr>
          <w:rFonts w:ascii="Arial" w:hAnsi="Arial" w:cs="Arial"/>
          <w:sz w:val="22"/>
          <w:szCs w:val="22"/>
        </w:rPr>
        <w:t xml:space="preserve">. </w:t>
      </w:r>
      <w:r w:rsidR="00513B00" w:rsidRPr="00593781">
        <w:rPr>
          <w:rFonts w:ascii="Arial" w:hAnsi="Arial" w:cs="Arial"/>
          <w:sz w:val="22"/>
          <w:szCs w:val="22"/>
        </w:rPr>
        <w:t>F</w:t>
      </w:r>
      <w:r w:rsidR="00A0635C" w:rsidRPr="00593781">
        <w:rPr>
          <w:rFonts w:ascii="Arial" w:hAnsi="Arial" w:cs="Arial"/>
          <w:sz w:val="22"/>
          <w:szCs w:val="22"/>
        </w:rPr>
        <w:t>or these infants</w:t>
      </w:r>
      <w:r w:rsidR="0099003E" w:rsidRPr="00593781">
        <w:rPr>
          <w:rFonts w:ascii="Arial" w:hAnsi="Arial" w:cs="Arial"/>
          <w:sz w:val="22"/>
          <w:szCs w:val="22"/>
        </w:rPr>
        <w:t>,</w:t>
      </w:r>
      <w:r w:rsidR="00A0635C" w:rsidRPr="00593781">
        <w:rPr>
          <w:rFonts w:ascii="Arial" w:hAnsi="Arial" w:cs="Arial"/>
          <w:sz w:val="22"/>
          <w:szCs w:val="22"/>
        </w:rPr>
        <w:t xml:space="preserve"> treatment with </w:t>
      </w:r>
      <w:r w:rsidR="00ED7CC4" w:rsidRPr="00593781">
        <w:rPr>
          <w:rFonts w:ascii="Arial" w:hAnsi="Arial" w:cs="Arial"/>
          <w:sz w:val="22"/>
          <w:szCs w:val="22"/>
        </w:rPr>
        <w:t>t</w:t>
      </w:r>
      <w:r w:rsidR="00A370F1" w:rsidRPr="00593781">
        <w:rPr>
          <w:rFonts w:ascii="Arial" w:hAnsi="Arial" w:cs="Arial"/>
          <w:sz w:val="22"/>
          <w:szCs w:val="22"/>
        </w:rPr>
        <w:t>herapeutic hypothermia</w:t>
      </w:r>
      <w:r w:rsidR="00246767" w:rsidRPr="00593781">
        <w:rPr>
          <w:rFonts w:ascii="Arial" w:hAnsi="Arial" w:cs="Arial"/>
          <w:sz w:val="22"/>
          <w:szCs w:val="22"/>
        </w:rPr>
        <w:t xml:space="preserve"> improve</w:t>
      </w:r>
      <w:r w:rsidR="00ED7CC4" w:rsidRPr="00593781">
        <w:rPr>
          <w:rFonts w:ascii="Arial" w:hAnsi="Arial" w:cs="Arial"/>
          <w:sz w:val="22"/>
          <w:szCs w:val="22"/>
        </w:rPr>
        <w:t>s</w:t>
      </w:r>
      <w:r w:rsidR="00246767" w:rsidRPr="00593781">
        <w:rPr>
          <w:rFonts w:ascii="Arial" w:hAnsi="Arial" w:cs="Arial"/>
          <w:sz w:val="22"/>
          <w:szCs w:val="22"/>
        </w:rPr>
        <w:t xml:space="preserve"> neurological outcomes among survivors up to 6 to 7 years of age without serious adverse effects</w:t>
      </w:r>
      <w:r w:rsidR="00593781" w:rsidRPr="00593781">
        <w:rPr>
          <w:rFonts w:ascii="Arial" w:hAnsi="Arial" w:cs="Arial"/>
          <w:sz w:val="22"/>
          <w:szCs w:val="22"/>
        </w:rPr>
        <w:t xml:space="preserve"> </w:t>
      </w:r>
      <w:r w:rsidR="00593781" w:rsidRPr="00593781">
        <w:rPr>
          <w:rFonts w:ascii="Arial" w:hAnsi="Arial" w:cs="Arial"/>
          <w:sz w:val="22"/>
          <w:szCs w:val="22"/>
        </w:rPr>
        <w:fldChar w:fldCharType="begin"/>
      </w:r>
      <w:r w:rsidR="00593781" w:rsidRPr="00593781">
        <w:rPr>
          <w:rFonts w:ascii="Arial" w:hAnsi="Arial" w:cs="Arial"/>
          <w:sz w:val="22"/>
          <w:szCs w:val="22"/>
        </w:rPr>
        <w:instrText xml:space="preserve"> ADDIN ZOTERO_ITEM CSL_CITATION {"citationID":"7j56zWa7","properties":{"formattedCitation":"[3]","plainCitation":"[3]","noteIndex":0},"citationItems":[{"id":1176,"uris":["http://zotero.org/users/5728505/items/KZHTPIPI"],"uri":["http://zotero.org/users/5728505/items/KZHTPIPI"],"itemData":{"id":1176,"type":"article-journal","abstract":"BACKGROUND: Newborn animal studies and pilot studies in humans suggest that mild hypothermia following peripartum hypoxia-ischaemia in newborn infants may reduce neurological sequelae without adverse effects.\nOBJECTIVES: To determine the effect of therapeutic hypothermia in encephalopathic asphyxiated newborn infants on mortality, long-term neurodevelopmental disability and clinically important side effects.\nSEARCH METHODS: We used the standard search strategy of the Cochrane Neonatal Review Group as outlined in The Cochrane Library (Issue 2, 2007). Randomised controlled trials evaluating therapeutic hypothermia in term and late preterm newborns with hypoxic ischaemic encephalopathy were identified by searching the Oxford Database of Perinatal Trials, the Cochrane Central Register of Controlled Trials (CENTRAL, The Cochrane Library, 2007, Issue 2), MEDLINE (1966 to June 2007), previous reviews including cross-references, abstracts, conferences, symposia proceedings, expert informants and journal handsearching. We updated this search in May 2012.\nSELECTION CRITERIA: We included randomised controlled trials comparing the use of therapeutic hypothermia with standard care in encephalopathic term or late preterm infants with evidence of peripartum asphyxia and without recognisable major congenital anomalies. The primary outcome measure was death or long-term major neurodevelopmental disability. Other outcomes included adverse effects of cooling and 'early' indicators of neurodevelopmental outcome.\nDATA COLLECTION AND ANALYSIS: Four review authors independently selected, assessed the quality of and extracted data from the included studies. Study authors were contacted for further information. Meta-analyses were performed using risk ratios (RR) and risk differences (RD) for dichotomous data, and weighted mean difference for continuous data with 95% confidence intervals (CI).\nMAIN RESULTS: We included 11 randomised controlled trials in this updated review, comprising 1505 term and late preterm infants with moderate/severe encephalopathy and evidence of intrapartum asphyxia. Therapeutic hypothermia resulted in a statistically significant and clinically important reduction in the combined outcome of mortality or major neurodevelopmental disability to 18 months of age (typical RR 0.75 (95% CI 0.68 to 0.83); typical RD -0.15, 95% CI -0.20 to -0.10); number needed to treat for an additional beneficial outcome (NNTB) 7 (95% CI 5 to 10) (8 studies, 1344 infants). Cooling also resulted in statistically significant reductions in mortality (typical RR 0.75 (95% CI 0.64 to 0.88), typical RD -0.09 (95% CI -0.13 to -0.04); NNTB 11 (95% CI 8 to 25) (11 studies, 1468 infants) and in neurodevelopmental disability in survivors (typical RR 0.77 (95% CI 0.63 to 0.94), typical RD -0.13 (95% CI -0.19 to -0.07); NNTB 8 (95% CI 5 to 14) (8 studies, 917 infants). Some adverse effects of hypothermia included an increase sinus bradycardia and a significant increase in thrombocytopenia.\nAUTHORS' CONCLUSIONS: There is evidence from the 11 randomised controlled trials included in this systematic review (N = 1505 infants) that therapeutic hypothermia is beneficial in term and late preterm newborns with hypoxic ischaemic encephalopathy. Cooling reduces mortality without increasing major disability in survivors. The benefits of cooling on survival and neurodevelopment outweigh the short-term adverse effects. Hypothermia should be instituted in term and late preterm infants with moderate-to-severe hypoxic ischaemic encephalopathy if identified before six hours of age. Further trials to determine the appropriate techniques of cooling, including refinement of patient selection, duration of cooling and method of providing therapeutic hypothermia, will refine our understanding of this intervention.","container-title":"The Cochrane Database of Systematic Reviews","DOI":"10.1002/14651858.CD003311.pub3","ISSN":"1469-493X","issue":"1","journalAbbreviation":"Cochrane Database Syst Rev","language":"eng","note":"PMID: 23440789\nPMCID: PMC7003568","page":"CD003311","source":"PubMed","title":"Cooling for newborns with hypoxic ischaemic encephalopathy","author":[{"family":"Jacobs","given":"Susan E."},{"family":"Berg","given":"Marie"},{"family":"Hunt","given":"Rod"},{"family":"Tarnow-Mordi","given":"William O."},{"family":"Inder","given":"Terrie E."},{"family":"Davis","given":"Peter G."}],"issued":{"date-parts":[["2013",1,31]]}}}],"schema":"https://github.com/citation-style-language/schema/raw/master/csl-citation.json"} </w:instrText>
      </w:r>
      <w:r w:rsidR="00593781" w:rsidRPr="00593781">
        <w:rPr>
          <w:rFonts w:ascii="Arial" w:hAnsi="Arial" w:cs="Arial"/>
          <w:sz w:val="22"/>
          <w:szCs w:val="22"/>
        </w:rPr>
        <w:fldChar w:fldCharType="separate"/>
      </w:r>
      <w:r w:rsidR="00593781" w:rsidRPr="00593781">
        <w:rPr>
          <w:rFonts w:ascii="Arial" w:hAnsi="Arial" w:cs="Arial"/>
          <w:noProof/>
          <w:sz w:val="22"/>
          <w:szCs w:val="22"/>
        </w:rPr>
        <w:t>[3]</w:t>
      </w:r>
      <w:r w:rsidR="00593781" w:rsidRPr="00593781">
        <w:rPr>
          <w:rFonts w:ascii="Arial" w:hAnsi="Arial" w:cs="Arial"/>
          <w:sz w:val="22"/>
          <w:szCs w:val="22"/>
        </w:rPr>
        <w:fldChar w:fldCharType="end"/>
      </w:r>
      <w:r w:rsidR="004536A0" w:rsidRPr="00593781">
        <w:rPr>
          <w:rFonts w:ascii="Arial" w:hAnsi="Arial" w:cs="Arial"/>
          <w:sz w:val="22"/>
          <w:szCs w:val="22"/>
        </w:rPr>
        <w:t xml:space="preserve">. </w:t>
      </w:r>
      <w:r w:rsidR="00F9172B">
        <w:rPr>
          <w:rFonts w:ascii="Arial" w:hAnsi="Arial" w:cs="Arial"/>
          <w:sz w:val="22"/>
          <w:szCs w:val="22"/>
        </w:rPr>
        <w:t xml:space="preserve">Therapeutic hypothermia for infants with moderate to severe HIE as defined in the original trials </w:t>
      </w:r>
      <w:r w:rsidR="00593781" w:rsidRPr="00593781">
        <w:rPr>
          <w:rFonts w:ascii="Arial" w:hAnsi="Arial" w:cs="Arial"/>
          <w:sz w:val="22"/>
          <w:szCs w:val="22"/>
        </w:rPr>
        <w:fldChar w:fldCharType="begin"/>
      </w:r>
      <w:r w:rsidR="00593781" w:rsidRPr="00593781">
        <w:rPr>
          <w:rFonts w:ascii="Arial" w:hAnsi="Arial" w:cs="Arial"/>
          <w:sz w:val="22"/>
          <w:szCs w:val="22"/>
        </w:rPr>
        <w:instrText xml:space="preserve"> ADDIN ZOTERO_ITEM CSL_CITATION {"citationID":"vr6iNm38","properties":{"formattedCitation":"[3,4]","plainCitation":"[3,4]","noteIndex":0},"citationItems":[{"id":1176,"uris":["http://zotero.org/users/5728505/items/KZHTPIPI"],"uri":["http://zotero.org/users/5728505/items/KZHTPIPI"],"itemData":{"id":1176,"type":"article-journal","abstract":"BACKGROUND: Newborn animal studies and pilot studies in humans suggest that mild hypothermia following peripartum hypoxia-ischaemia in newborn infants may reduce neurological sequelae without adverse effects.\nOBJECTIVES: To determine the effect of therapeutic hypothermia in encephalopathic asphyxiated newborn infants on mortality, long-term neurodevelopmental disability and clinically important side effects.\nSEARCH METHODS: We used the standard search strategy of the Cochrane Neonatal Review Group as outlined in The Cochrane Library (Issue 2, 2007). Randomised controlled trials evaluating therapeutic hypothermia in term and late preterm newborns with hypoxic ischaemic encephalopathy were identified by searching the Oxford Database of Perinatal Trials, the Cochrane Central Register of Controlled Trials (CENTRAL, The Cochrane Library, 2007, Issue 2), MEDLINE (1966 to June 2007), previous reviews including cross-references, abstracts, conferences, symposia proceedings, expert informants and journal handsearching. We updated this search in May 2012.\nSELECTION CRITERIA: We included randomised controlled trials comparing the use of therapeutic hypothermia with standard care in encephalopathic term or late preterm infants with evidence of peripartum asphyxia and without recognisable major congenital anomalies. The primary outcome measure was death or long-term major neurodevelopmental disability. Other outcomes included adverse effects of cooling and 'early' indicators of neurodevelopmental outcome.\nDATA COLLECTION AND ANALYSIS: Four review authors independently selected, assessed the quality of and extracted data from the included studies. Study authors were contacted for further information. Meta-analyses were performed using risk ratios (RR) and risk differences (RD) for dichotomous data, and weighted mean difference for continuous data with 95% confidence intervals (CI).\nMAIN RESULTS: We included 11 randomised controlled trials in this updated review, comprising 1505 term and late preterm infants with moderate/severe encephalopathy and evidence of intrapartum asphyxia. Therapeutic hypothermia resulted in a statistically significant and clinically important reduction in the combined outcome of mortality or major neurodevelopmental disability to 18 months of age (typical RR 0.75 (95% CI 0.68 to 0.83); typical RD -0.15, 95% CI -0.20 to -0.10); number needed to treat for an additional beneficial outcome (NNTB) 7 (95% CI 5 to 10) (8 studies, 1344 infants). Cooling also resulted in statistically significant reductions in mortality (typical RR 0.75 (95% CI 0.64 to 0.88), typical RD -0.09 (95% CI -0.13 to -0.04); NNTB 11 (95% CI 8 to 25) (11 studies, 1468 infants) and in neurodevelopmental disability in survivors (typical RR 0.77 (95% CI 0.63 to 0.94), typical RD -0.13 (95% CI -0.19 to -0.07); NNTB 8 (95% CI 5 to 14) (8 studies, 917 infants). Some adverse effects of hypothermia included an increase sinus bradycardia and a significant increase in thrombocytopenia.\nAUTHORS' CONCLUSIONS: There is evidence from the 11 randomised controlled trials included in this systematic review (N = 1505 infants) that therapeutic hypothermia is beneficial in term and late preterm newborns with hypoxic ischaemic encephalopathy. Cooling reduces mortality without increasing major disability in survivors. The benefits of cooling on survival and neurodevelopment outweigh the short-term adverse effects. Hypothermia should be instituted in term and late preterm infants with moderate-to-severe hypoxic ischaemic encephalopathy if identified before six hours of age. Further trials to determine the appropriate techniques of cooling, including refinement of patient selection, duration of cooling and method of providing therapeutic hypothermia, will refine our understanding of this intervention.","container-title":"The Cochrane Database of Systematic Reviews","DOI":"10.1002/14651858.CD003311.pub3","ISSN":"1469-493X","issue":"1","journalAbbreviation":"Cochrane Database Syst Rev","language":"eng","note":"PMID: 23440789\nPMCID: PMC7003568","page":"CD003311","source":"PubMed","title":"Cooling for newborns with hypoxic ischaemic encephalopathy","author":[{"family":"Jacobs","given":"Susan E."},{"family":"Berg","given":"Marie"},{"family":"Hunt","given":"Rod"},{"family":"Tarnow-Mordi","given":"William O."},{"family":"Inder","given":"Terrie E."},{"family":"Davis","given":"Peter G."}],"issued":{"date-parts":[["2013",1,31]]}},"label":"page"},{"id":1179,"uris":["http://zotero.org/users/5728505/items/37HDBUIG"],"uri":["http://zotero.org/users/5728505/items/37HDBUIG"],"itemData":{"id":1179,"type":"webpage","title":"Position Statement on Therapeutic Cooling for Neonatal Encephalopathy (2010) | British Association of Perinatal Medicine","URL":"https://www.bapm.org/resources/28-position-statement-on-therapeutic-cooling-for-neonatal-encephalopathy-2010","accessed":{"date-parts":[["2020",9,10]]}},"label":"page"}],"schema":"https://github.com/citation-style-language/schema/raw/master/csl-citation.json"} </w:instrText>
      </w:r>
      <w:r w:rsidR="00593781" w:rsidRPr="00593781">
        <w:rPr>
          <w:rFonts w:ascii="Arial" w:hAnsi="Arial" w:cs="Arial"/>
          <w:sz w:val="22"/>
          <w:szCs w:val="22"/>
        </w:rPr>
        <w:fldChar w:fldCharType="separate"/>
      </w:r>
      <w:r w:rsidR="00593781" w:rsidRPr="00593781">
        <w:rPr>
          <w:rFonts w:ascii="Arial" w:hAnsi="Arial" w:cs="Arial"/>
          <w:noProof/>
          <w:sz w:val="22"/>
          <w:szCs w:val="22"/>
        </w:rPr>
        <w:t>[3,4]</w:t>
      </w:r>
      <w:r w:rsidR="00593781" w:rsidRPr="00593781">
        <w:rPr>
          <w:rFonts w:ascii="Arial" w:hAnsi="Arial" w:cs="Arial"/>
          <w:sz w:val="22"/>
          <w:szCs w:val="22"/>
        </w:rPr>
        <w:fldChar w:fldCharType="end"/>
      </w:r>
      <w:r w:rsidR="004536A0" w:rsidRPr="00593781">
        <w:rPr>
          <w:rFonts w:ascii="Arial" w:hAnsi="Arial" w:cs="Arial"/>
          <w:sz w:val="22"/>
          <w:szCs w:val="22"/>
        </w:rPr>
        <w:t>,</w:t>
      </w:r>
      <w:r w:rsidR="004536A0">
        <w:rPr>
          <w:rFonts w:ascii="Arial" w:hAnsi="Arial" w:cs="Arial"/>
          <w:sz w:val="22"/>
          <w:szCs w:val="22"/>
        </w:rPr>
        <w:t xml:space="preserve"> </w:t>
      </w:r>
      <w:r w:rsidR="00246767" w:rsidRPr="002D4681">
        <w:rPr>
          <w:rFonts w:ascii="Arial" w:hAnsi="Arial" w:cs="Arial"/>
          <w:sz w:val="22"/>
          <w:szCs w:val="22"/>
        </w:rPr>
        <w:t xml:space="preserve">has been standard of care in the United Kingdom </w:t>
      </w:r>
      <w:r w:rsidR="009A0289" w:rsidRPr="002D4681">
        <w:rPr>
          <w:rFonts w:ascii="Arial" w:hAnsi="Arial" w:cs="Arial"/>
          <w:sz w:val="22"/>
          <w:szCs w:val="22"/>
        </w:rPr>
        <w:t xml:space="preserve">(UK) </w:t>
      </w:r>
      <w:r w:rsidR="00246767" w:rsidRPr="002D4681">
        <w:rPr>
          <w:rFonts w:ascii="Arial" w:hAnsi="Arial" w:cs="Arial"/>
          <w:sz w:val="22"/>
          <w:szCs w:val="22"/>
        </w:rPr>
        <w:t>since 2009</w:t>
      </w:r>
      <w:r w:rsidR="00202D4F">
        <w:rPr>
          <w:rFonts w:ascii="Arial" w:hAnsi="Arial" w:cs="Arial"/>
          <w:sz w:val="22"/>
          <w:szCs w:val="22"/>
        </w:rPr>
        <w:t xml:space="preserve"> </w:t>
      </w:r>
      <w:r w:rsidR="00246767" w:rsidRPr="002D4681">
        <w:rPr>
          <w:rFonts w:ascii="Arial" w:hAnsi="Arial" w:cs="Arial"/>
          <w:sz w:val="22"/>
          <w:szCs w:val="22"/>
        </w:rPr>
        <w:fldChar w:fldCharType="begin"/>
      </w:r>
      <w:r w:rsidR="00593781">
        <w:rPr>
          <w:rFonts w:ascii="Arial" w:hAnsi="Arial" w:cs="Arial"/>
          <w:sz w:val="22"/>
          <w:szCs w:val="22"/>
        </w:rPr>
        <w:instrText xml:space="preserve"> ADDIN ZOTERO_ITEM CSL_CITATION {"citationID":"jAsaKpx1","properties":{"formattedCitation":"[5]","plainCitation":"[5]","noteIndex":0},"citationItems":[{"id":716,"uris":["http://zotero.org/users/5728505/items/KCIFMG8U"],"uri":["http://zotero.org/users/5728505/items/KCIFMG8U"],"itemData":{"id":716,"type":"webpage","language":"eng","title":"Therapeutic hypothermia with intracorporeal temperature monitoring for hypoxic perinatal brain injury | Guidance | NICE","URL":"https://www.nice.org.uk/guidance/ipg347/chapter/2-The-procedure","author":[{"family":"National Institute for Health and Clinical Excellence","given":""}],"accessed":{"date-parts":[["2019",5,9]]},"issued":{"date-parts":[["2010"]]}}}],"schema":"https://github.com/citation-style-language/schema/raw/master/csl-citation.json"} </w:instrText>
      </w:r>
      <w:r w:rsidR="00246767" w:rsidRPr="002D4681">
        <w:rPr>
          <w:rFonts w:ascii="Arial" w:hAnsi="Arial" w:cs="Arial"/>
          <w:sz w:val="22"/>
          <w:szCs w:val="22"/>
        </w:rPr>
        <w:fldChar w:fldCharType="separate"/>
      </w:r>
      <w:r w:rsidR="00593781">
        <w:rPr>
          <w:rFonts w:ascii="Arial" w:hAnsi="Arial" w:cs="Arial"/>
          <w:sz w:val="22"/>
          <w:lang w:val="en-US"/>
        </w:rPr>
        <w:t>[5]</w:t>
      </w:r>
      <w:r w:rsidR="00246767" w:rsidRPr="002D4681">
        <w:rPr>
          <w:rFonts w:ascii="Arial" w:hAnsi="Arial" w:cs="Arial"/>
          <w:sz w:val="22"/>
          <w:szCs w:val="22"/>
        </w:rPr>
        <w:fldChar w:fldCharType="end"/>
      </w:r>
      <w:r w:rsidR="004536A0">
        <w:rPr>
          <w:rFonts w:ascii="Arial" w:hAnsi="Arial" w:cs="Arial"/>
          <w:sz w:val="22"/>
          <w:szCs w:val="22"/>
        </w:rPr>
        <w:t>.</w:t>
      </w:r>
    </w:p>
    <w:p w14:paraId="5DA8A67F" w14:textId="4E3C91FF" w:rsidR="00267CDC" w:rsidRPr="002D4681" w:rsidRDefault="00A0635C" w:rsidP="00515DE8">
      <w:pPr>
        <w:spacing w:line="480" w:lineRule="auto"/>
        <w:jc w:val="both"/>
        <w:rPr>
          <w:rFonts w:ascii="Arial" w:hAnsi="Arial" w:cs="Arial"/>
          <w:sz w:val="22"/>
          <w:szCs w:val="22"/>
        </w:rPr>
      </w:pPr>
      <w:r w:rsidRPr="002D4681">
        <w:rPr>
          <w:rFonts w:ascii="Arial" w:hAnsi="Arial" w:cs="Arial"/>
          <w:sz w:val="22"/>
          <w:szCs w:val="22"/>
        </w:rPr>
        <w:t xml:space="preserve">There is uncertainty </w:t>
      </w:r>
      <w:r w:rsidR="009A0289" w:rsidRPr="002D4681">
        <w:rPr>
          <w:rFonts w:ascii="Arial" w:hAnsi="Arial" w:cs="Arial"/>
          <w:sz w:val="22"/>
          <w:szCs w:val="22"/>
        </w:rPr>
        <w:t>about</w:t>
      </w:r>
      <w:r w:rsidRPr="002D4681">
        <w:rPr>
          <w:rFonts w:ascii="Arial" w:hAnsi="Arial" w:cs="Arial"/>
          <w:sz w:val="22"/>
          <w:szCs w:val="22"/>
        </w:rPr>
        <w:t xml:space="preserve"> optimal care for infants with mild </w:t>
      </w:r>
      <w:r w:rsidR="00AF2469" w:rsidRPr="002D4681">
        <w:rPr>
          <w:rFonts w:ascii="Arial" w:hAnsi="Arial" w:cs="Arial"/>
          <w:sz w:val="22"/>
          <w:szCs w:val="22"/>
        </w:rPr>
        <w:t xml:space="preserve">HIE. </w:t>
      </w:r>
      <w:r w:rsidR="00513B00" w:rsidRPr="002D4681">
        <w:rPr>
          <w:rFonts w:ascii="Arial" w:hAnsi="Arial" w:cs="Arial"/>
          <w:sz w:val="22"/>
          <w:szCs w:val="22"/>
        </w:rPr>
        <w:t>R</w:t>
      </w:r>
      <w:r w:rsidR="00314E16" w:rsidRPr="002D4681">
        <w:rPr>
          <w:rFonts w:ascii="Arial" w:hAnsi="Arial" w:cs="Arial"/>
          <w:sz w:val="22"/>
          <w:szCs w:val="22"/>
        </w:rPr>
        <w:t xml:space="preserve">andomised clinical trials of therapeutic hypothermia </w:t>
      </w:r>
      <w:r w:rsidR="009A0289" w:rsidRPr="002D4681">
        <w:rPr>
          <w:rFonts w:ascii="Arial" w:hAnsi="Arial" w:cs="Arial"/>
          <w:sz w:val="22"/>
          <w:szCs w:val="22"/>
        </w:rPr>
        <w:t>largely excluded</w:t>
      </w:r>
      <w:r w:rsidR="00314E16" w:rsidRPr="002D4681">
        <w:rPr>
          <w:rFonts w:ascii="Arial" w:hAnsi="Arial" w:cs="Arial"/>
          <w:sz w:val="22"/>
          <w:szCs w:val="22"/>
        </w:rPr>
        <w:t xml:space="preserve"> infants with </w:t>
      </w:r>
      <w:r w:rsidR="009A0289" w:rsidRPr="002D4681">
        <w:rPr>
          <w:rFonts w:ascii="Arial" w:hAnsi="Arial" w:cs="Arial"/>
          <w:sz w:val="22"/>
          <w:szCs w:val="22"/>
        </w:rPr>
        <w:t>mild</w:t>
      </w:r>
      <w:r w:rsidR="00314E16" w:rsidRPr="002D4681">
        <w:rPr>
          <w:rFonts w:ascii="Arial" w:hAnsi="Arial" w:cs="Arial"/>
          <w:sz w:val="22"/>
          <w:szCs w:val="22"/>
        </w:rPr>
        <w:t xml:space="preserve"> HIE</w:t>
      </w:r>
      <w:r w:rsidR="00F9172B">
        <w:rPr>
          <w:rFonts w:ascii="Arial" w:hAnsi="Arial" w:cs="Arial"/>
          <w:sz w:val="22"/>
          <w:szCs w:val="22"/>
        </w:rPr>
        <w:t xml:space="preserve">, as reviewed here </w:t>
      </w:r>
      <w:r w:rsidR="00314E16" w:rsidRPr="002D4681">
        <w:rPr>
          <w:rFonts w:ascii="Arial" w:hAnsi="Arial" w:cs="Arial"/>
          <w:sz w:val="22"/>
          <w:szCs w:val="22"/>
        </w:rPr>
        <w:fldChar w:fldCharType="begin"/>
      </w:r>
      <w:r w:rsidR="00593781">
        <w:rPr>
          <w:rFonts w:ascii="Arial" w:hAnsi="Arial" w:cs="Arial"/>
          <w:sz w:val="22"/>
          <w:szCs w:val="22"/>
        </w:rPr>
        <w:instrText xml:space="preserve"> ADDIN ZOTERO_ITEM CSL_CITATION {"citationID":"ZtrASOdp","properties":{"formattedCitation":"[6,7]","plainCitation":"[6,7]","noteIndex":0},"citationItems":[{"id":624,"uris":["http://zotero.org/users/5728505/items/LSH6SJLI"],"uri":["http://zotero.org/users/5728505/items/LSH6SJLI"],"itemData":{"id":624,"type":"article-journal","abstract":"A review of the conundrum called mild hypoxic-ischemic encephalopathy (HIE) is provided. During the past decades, the deﬁnition of HIE has evolved to accommodate the short window of time required for the initiation of therapeutic hypothermia. Also, neurological evaluations have changed with the use of simpler staging systems that can be applied within the ﬁrst 6 h of life. In this review, we discuss the challenges in the identiﬁcation of newborns with “mild HIE” within 6 h after birth, the limitations in the existing early biomarkers of brain injury, and the current knowledge gaps in the long term neurodevelopmental outcomes of infants diagnosed with mild HIE. Progress in the understanding of mild HIE and its sequelae continues to be hindered by the lack of a standardized deﬁnition for mild HIE that will reliably identify at-risk infants who may beneﬁt from neuroprotective strategies.","container-title":"Early Human Development","DOI":"10.1016/j.earlhumdev.2018.02.008","ISSN":"03783782","language":"en","page":"88-94","source":"Crossref","title":"A review of the conundrum of mild hypoxic-ischemic encephalopathy: Current challenges and moving forward","title-short":"A review of the conundrum of mild hypoxic-ischemic encephalopathy","volume":"120","author":[{"family":"Chalak","given":"Lina"},{"family":"Latremouille","given":"Samantha"},{"family":"Mir","given":"Imran"},{"family":"Sánchez","given":"Pablo J."},{"family":"Sant'Anna","given":"Guilherme"}],"issued":{"date-parts":[["2018",5]]}},"label":"page"},{"id":633,"uris":["http://zotero.org/users/5728505/items/BTYULNVS"],"uri":["http://zotero.org/users/5728505/items/BTYULNVS"],"itemData":{"id":633,"type":"article-journal","abstract":"Objective To evaluate serum neuronal and inﬂammatory biomarkers to determine whether measurements of umbilical cords at birth can stratify severity of hypoxic-ischemic encephalopathy (HIE), whether serial measurements differ with hypothermia-rewarming, and whether biomarkers correlate with neurological outcomes. Study design This is a prospective cohort of inborn term newborns with varying degrees of HIE by neurological assessment. Neuronal glial ﬁbrillary acidic protein (GFAP), ubiquitin carboxyl-terminal hydrolase L1, and inﬂammatory cytokines were measured in serum from umbilical artery at 6-24, 48, 72, and 78 hours of age. Neurodevelopmental outcomes (Bayley Scales of Infant and Toddler Development-III scales) were performed at 15-18 months.\nResults Twenty neonates had moderate (n = 17) or severe (n = 3) HIE and received hypothermia; 7 had mild HIE and were not cooled. At birth, serum GFAP and ubiquitin carboxyl-terminal hydrolase L1 increased with the severity of HIE (P &lt; .001), and serial GFAP remained elevated in neonates with moderate to severe HIE. Interleukin (IL)-6, IL-8, and vascular endothelial growth factor were greater at 6-24 hours in moderate to severe vs mild HIE (P &lt; .05). The serial values were unaffected by hypothermia-rewarming. Elevated GFAP, IL-1, IL-6, IL-8, tumor necrosis factor, interferon, and vascular endothelial growth factor at 6-24 hours were associated with abnormal neurological outcomes.\nConclusions The severity of the hypoxic-ischemic injury can be stratiﬁed at birth because elevated neuronal biomarkers in cord serum correlated with severity of HIE and outcomes. (J Pediatr 2014;164:468-74).","container-title":"The Journal of Pediatrics","DOI":"10.1016/j.jpeds.2013.10.067","ISSN":"00223476","issue":"3","language":"en","page":"468-474.e1","source":"Crossref","title":"Biomarkers for Severity of Neonatal Hypoxic-Ischemic Encephalopathy and Outcomes in Newborns Receiving Hypothermia Therapy","volume":"164","author":[{"family":"Chalak","given":"Lina F."},{"family":"Sánchez","given":"Pablo J."},{"family":"Adams-Huet","given":"Beverley"},{"family":"Laptook","given":"Abbot R."},{"family":"Heyne","given":"Roy J."},{"family":"Rosenfeld","given":"Charles R."}],"issued":{"date-parts":[["2014",3]]}},"label":"page"}],"schema":"https://github.com/citation-style-language/schema/raw/master/csl-citation.json"} </w:instrText>
      </w:r>
      <w:r w:rsidR="00314E16" w:rsidRPr="002D4681">
        <w:rPr>
          <w:rFonts w:ascii="Arial" w:hAnsi="Arial" w:cs="Arial"/>
          <w:sz w:val="22"/>
          <w:szCs w:val="22"/>
        </w:rPr>
        <w:fldChar w:fldCharType="separate"/>
      </w:r>
      <w:r w:rsidR="00593781">
        <w:rPr>
          <w:rFonts w:ascii="Arial" w:hAnsi="Arial" w:cs="Arial"/>
          <w:sz w:val="22"/>
          <w:lang w:val="en-US"/>
        </w:rPr>
        <w:t>[6,7]</w:t>
      </w:r>
      <w:r w:rsidR="00314E16" w:rsidRPr="002D4681">
        <w:rPr>
          <w:rFonts w:ascii="Arial" w:hAnsi="Arial" w:cs="Arial"/>
          <w:sz w:val="22"/>
          <w:szCs w:val="22"/>
        </w:rPr>
        <w:fldChar w:fldCharType="end"/>
      </w:r>
      <w:r w:rsidR="00067346">
        <w:rPr>
          <w:rFonts w:ascii="Arial" w:hAnsi="Arial" w:cs="Arial"/>
          <w:sz w:val="22"/>
          <w:szCs w:val="22"/>
        </w:rPr>
        <w:t xml:space="preserve">, </w:t>
      </w:r>
      <w:r w:rsidR="00F9172B">
        <w:rPr>
          <w:rFonts w:ascii="Arial" w:hAnsi="Arial" w:cs="Arial"/>
          <w:sz w:val="22"/>
          <w:szCs w:val="22"/>
        </w:rPr>
        <w:t xml:space="preserve">and death or major disability were seen in 61% of babies that received therapeutic hypothermia in the original trials </w:t>
      </w:r>
      <w:r w:rsidR="00593781">
        <w:rPr>
          <w:rFonts w:ascii="Arial" w:hAnsi="Arial" w:cs="Arial"/>
          <w:sz w:val="22"/>
          <w:szCs w:val="22"/>
        </w:rPr>
        <w:fldChar w:fldCharType="begin"/>
      </w:r>
      <w:r w:rsidR="00593781">
        <w:rPr>
          <w:rFonts w:ascii="Arial" w:hAnsi="Arial" w:cs="Arial"/>
          <w:sz w:val="22"/>
          <w:szCs w:val="22"/>
        </w:rPr>
        <w:instrText xml:space="preserve"> ADDIN ZOTERO_ITEM CSL_CITATION {"citationID":"SUJLTwG1","properties":{"formattedCitation":"[3]","plainCitation":"[3]","noteIndex":0},"citationItems":[{"id":1176,"uris":["http://zotero.org/users/5728505/items/KZHTPIPI"],"uri":["http://zotero.org/users/5728505/items/KZHTPIPI"],"itemData":{"id":1176,"type":"article-journal","abstract":"BACKGROUND: Newborn animal studies and pilot studies in humans suggest that mild hypothermia following peripartum hypoxia-ischaemia in newborn infants may reduce neurological sequelae without adverse effects.\nOBJECTIVES: To determine the effect of therapeutic hypothermia in encephalopathic asphyxiated newborn infants on mortality, long-term neurodevelopmental disability and clinically important side effects.\nSEARCH METHODS: We used the standard search strategy of the Cochrane Neonatal Review Group as outlined in The Cochrane Library (Issue 2, 2007). Randomised controlled trials evaluating therapeutic hypothermia in term and late preterm newborns with hypoxic ischaemic encephalopathy were identified by searching the Oxford Database of Perinatal Trials, the Cochrane Central Register of Controlled Trials (CENTRAL, The Cochrane Library, 2007, Issue 2), MEDLINE (1966 to June 2007), previous reviews including cross-references, abstracts, conferences, symposia proceedings, expert informants and journal handsearching. We updated this search in May 2012.\nSELECTION CRITERIA: We included randomised controlled trials comparing the use of therapeutic hypothermia with standard care in encephalopathic term or late preterm infants with evidence of peripartum asphyxia and without recognisable major congenital anomalies. The primary outcome measure was death or long-term major neurodevelopmental disability. Other outcomes included adverse effects of cooling and 'early' indicators of neurodevelopmental outcome.\nDATA COLLECTION AND ANALYSIS: Four review authors independently selected, assessed the quality of and extracted data from the included studies. Study authors were contacted for further information. Meta-analyses were performed using risk ratios (RR) and risk differences (RD) for dichotomous data, and weighted mean difference for continuous data with 95% confidence intervals (CI).\nMAIN RESULTS: We included 11 randomised controlled trials in this updated review, comprising 1505 term and late preterm infants with moderate/severe encephalopathy and evidence of intrapartum asphyxia. Therapeutic hypothermia resulted in a statistically significant and clinically important reduction in the combined outcome of mortality or major neurodevelopmental disability to 18 months of age (typical RR 0.75 (95% CI 0.68 to 0.83); typical RD -0.15, 95% CI -0.20 to -0.10); number needed to treat for an additional beneficial outcome (NNTB) 7 (95% CI 5 to 10) (8 studies, 1344 infants). Cooling also resulted in statistically significant reductions in mortality (typical RR 0.75 (95% CI 0.64 to 0.88), typical RD -0.09 (95% CI -0.13 to -0.04); NNTB 11 (95% CI 8 to 25) (11 studies, 1468 infants) and in neurodevelopmental disability in survivors (typical RR 0.77 (95% CI 0.63 to 0.94), typical RD -0.13 (95% CI -0.19 to -0.07); NNTB 8 (95% CI 5 to 14) (8 studies, 917 infants). Some adverse effects of hypothermia included an increase sinus bradycardia and a significant increase in thrombocytopenia.\nAUTHORS' CONCLUSIONS: There is evidence from the 11 randomised controlled trials included in this systematic review (N = 1505 infants) that therapeutic hypothermia is beneficial in term and late preterm newborns with hypoxic ischaemic encephalopathy. Cooling reduces mortality without increasing major disability in survivors. The benefits of cooling on survival and neurodevelopment outweigh the short-term adverse effects. Hypothermia should be instituted in term and late preterm infants with moderate-to-severe hypoxic ischaemic encephalopathy if identified before six hours of age. Further trials to determine the appropriate techniques of cooling, including refinement of patient selection, duration of cooling and method of providing therapeutic hypothermia, will refine our understanding of this intervention.","container-title":"The Cochrane Database of Systematic Reviews","DOI":"10.1002/14651858.CD003311.pub3","ISSN":"1469-493X","issue":"1","journalAbbreviation":"Cochrane Database Syst Rev","language":"eng","note":"PMID: 23440789\nPMCID: PMC7003568","page":"CD003311","source":"PubMed","title":"Cooling for newborns with hypoxic ischaemic encephalopathy","author":[{"family":"Jacobs","given":"Susan E."},{"family":"Berg","given":"Marie"},{"family":"Hunt","given":"Rod"},{"family":"Tarnow-Mordi","given":"William O."},{"family":"Inder","given":"Terrie E."},{"family":"Davis","given":"Peter G."}],"issued":{"date-parts":[["2013",1,31]]}}}],"schema":"https://github.com/citation-style-language/schema/raw/master/csl-citation.json"} </w:instrText>
      </w:r>
      <w:r w:rsidR="00593781">
        <w:rPr>
          <w:rFonts w:ascii="Arial" w:hAnsi="Arial" w:cs="Arial"/>
          <w:sz w:val="22"/>
          <w:szCs w:val="22"/>
        </w:rPr>
        <w:fldChar w:fldCharType="separate"/>
      </w:r>
      <w:r w:rsidR="00593781">
        <w:rPr>
          <w:rFonts w:ascii="Arial" w:hAnsi="Arial" w:cs="Arial"/>
          <w:noProof/>
          <w:sz w:val="22"/>
          <w:szCs w:val="22"/>
        </w:rPr>
        <w:t>[3]</w:t>
      </w:r>
      <w:r w:rsidR="00593781">
        <w:rPr>
          <w:rFonts w:ascii="Arial" w:hAnsi="Arial" w:cs="Arial"/>
          <w:sz w:val="22"/>
          <w:szCs w:val="22"/>
        </w:rPr>
        <w:fldChar w:fldCharType="end"/>
      </w:r>
      <w:r w:rsidR="00067346">
        <w:rPr>
          <w:rFonts w:ascii="Arial" w:hAnsi="Arial" w:cs="Arial"/>
          <w:sz w:val="22"/>
          <w:szCs w:val="22"/>
        </w:rPr>
        <w:t xml:space="preserve">. </w:t>
      </w:r>
      <w:r w:rsidR="00067346" w:rsidRPr="00593781">
        <w:rPr>
          <w:rFonts w:ascii="Arial" w:hAnsi="Arial" w:cs="Arial"/>
          <w:sz w:val="22"/>
          <w:szCs w:val="22"/>
        </w:rPr>
        <w:t>T</w:t>
      </w:r>
      <w:r w:rsidR="00F64D3A" w:rsidRPr="00593781">
        <w:rPr>
          <w:rFonts w:ascii="Arial" w:hAnsi="Arial" w:cs="Arial"/>
          <w:sz w:val="22"/>
          <w:szCs w:val="22"/>
        </w:rPr>
        <w:t>herefore</w:t>
      </w:r>
      <w:r w:rsidR="00067346" w:rsidRPr="00593781">
        <w:rPr>
          <w:rFonts w:ascii="Arial" w:hAnsi="Arial" w:cs="Arial"/>
          <w:sz w:val="22"/>
          <w:szCs w:val="22"/>
        </w:rPr>
        <w:t>,</w:t>
      </w:r>
      <w:r w:rsidR="00F64D3A" w:rsidRPr="00593781">
        <w:rPr>
          <w:rFonts w:ascii="Arial" w:hAnsi="Arial" w:cs="Arial"/>
          <w:sz w:val="22"/>
          <w:szCs w:val="22"/>
        </w:rPr>
        <w:t xml:space="preserve"> </w:t>
      </w:r>
      <w:r w:rsidR="00AF2469" w:rsidRPr="00593781">
        <w:rPr>
          <w:rFonts w:ascii="Arial" w:hAnsi="Arial" w:cs="Arial"/>
          <w:sz w:val="22"/>
          <w:szCs w:val="22"/>
        </w:rPr>
        <w:t xml:space="preserve">there is </w:t>
      </w:r>
      <w:r w:rsidR="002040BA" w:rsidRPr="00593781">
        <w:rPr>
          <w:rFonts w:ascii="Arial" w:hAnsi="Arial" w:cs="Arial"/>
          <w:sz w:val="22"/>
          <w:szCs w:val="22"/>
        </w:rPr>
        <w:t>little</w:t>
      </w:r>
      <w:r w:rsidR="00AF2469" w:rsidRPr="00593781">
        <w:rPr>
          <w:rFonts w:ascii="Arial" w:hAnsi="Arial" w:cs="Arial"/>
          <w:sz w:val="22"/>
          <w:szCs w:val="22"/>
        </w:rPr>
        <w:t xml:space="preserve"> randomised </w:t>
      </w:r>
      <w:r w:rsidR="00513B00" w:rsidRPr="00593781">
        <w:rPr>
          <w:rFonts w:ascii="Arial" w:hAnsi="Arial" w:cs="Arial"/>
          <w:sz w:val="22"/>
          <w:szCs w:val="22"/>
        </w:rPr>
        <w:t>data</w:t>
      </w:r>
      <w:r w:rsidR="00AF2469" w:rsidRPr="00593781">
        <w:rPr>
          <w:rFonts w:ascii="Arial" w:hAnsi="Arial" w:cs="Arial"/>
          <w:sz w:val="22"/>
          <w:szCs w:val="22"/>
        </w:rPr>
        <w:t xml:space="preserve"> to </w:t>
      </w:r>
      <w:r w:rsidR="00513B00" w:rsidRPr="00593781">
        <w:rPr>
          <w:rFonts w:ascii="Arial" w:hAnsi="Arial" w:cs="Arial"/>
          <w:sz w:val="22"/>
          <w:szCs w:val="22"/>
        </w:rPr>
        <w:t>inform</w:t>
      </w:r>
      <w:r w:rsidR="00AF2469" w:rsidRPr="00593781">
        <w:rPr>
          <w:rFonts w:ascii="Arial" w:hAnsi="Arial" w:cs="Arial"/>
          <w:sz w:val="22"/>
          <w:szCs w:val="22"/>
        </w:rPr>
        <w:t xml:space="preserve"> the use of therapeutic hypothermia in these babie</w:t>
      </w:r>
      <w:r w:rsidR="00B4374B">
        <w:rPr>
          <w:rFonts w:ascii="Arial" w:hAnsi="Arial" w:cs="Arial"/>
          <w:sz w:val="22"/>
          <w:szCs w:val="22"/>
        </w:rPr>
        <w:t>s</w:t>
      </w:r>
      <w:r w:rsidR="00AF2469" w:rsidRPr="00593781">
        <w:rPr>
          <w:rFonts w:ascii="Arial" w:hAnsi="Arial" w:cs="Arial"/>
          <w:sz w:val="22"/>
          <w:szCs w:val="22"/>
        </w:rPr>
        <w:t>.</w:t>
      </w:r>
      <w:r w:rsidR="00AF2469" w:rsidRPr="002D4681">
        <w:rPr>
          <w:rFonts w:ascii="Arial" w:hAnsi="Arial" w:cs="Arial"/>
          <w:sz w:val="22"/>
          <w:szCs w:val="22"/>
        </w:rPr>
        <w:t xml:space="preserve"> </w:t>
      </w:r>
      <w:r w:rsidR="002040BA">
        <w:rPr>
          <w:rFonts w:ascii="Arial" w:hAnsi="Arial" w:cs="Arial"/>
          <w:sz w:val="22"/>
          <w:szCs w:val="22"/>
        </w:rPr>
        <w:t>R</w:t>
      </w:r>
      <w:r w:rsidR="00513B00" w:rsidRPr="002D4681">
        <w:rPr>
          <w:rFonts w:ascii="Arial" w:hAnsi="Arial" w:cs="Arial"/>
          <w:sz w:val="22"/>
          <w:szCs w:val="22"/>
        </w:rPr>
        <w:t xml:space="preserve">etrospective </w:t>
      </w:r>
      <w:r w:rsidR="00BE2E1F" w:rsidRPr="002D4681">
        <w:rPr>
          <w:rFonts w:ascii="Arial" w:hAnsi="Arial" w:cs="Arial"/>
          <w:sz w:val="22"/>
          <w:szCs w:val="22"/>
        </w:rPr>
        <w:t>o</w:t>
      </w:r>
      <w:r w:rsidR="00317F55" w:rsidRPr="002D4681">
        <w:rPr>
          <w:rFonts w:ascii="Arial" w:hAnsi="Arial" w:cs="Arial"/>
          <w:sz w:val="22"/>
          <w:szCs w:val="22"/>
        </w:rPr>
        <w:t xml:space="preserve">bservational </w:t>
      </w:r>
      <w:r w:rsidR="00513B00" w:rsidRPr="002D4681">
        <w:rPr>
          <w:rFonts w:ascii="Arial" w:hAnsi="Arial" w:cs="Arial"/>
          <w:sz w:val="22"/>
          <w:szCs w:val="22"/>
        </w:rPr>
        <w:t>studies</w:t>
      </w:r>
      <w:r w:rsidR="00BE2E1F" w:rsidRPr="002D4681">
        <w:rPr>
          <w:rFonts w:ascii="Arial" w:hAnsi="Arial" w:cs="Arial"/>
          <w:sz w:val="22"/>
          <w:szCs w:val="22"/>
        </w:rPr>
        <w:t xml:space="preserve"> </w:t>
      </w:r>
      <w:r w:rsidR="00314E16" w:rsidRPr="002D4681">
        <w:rPr>
          <w:rFonts w:ascii="Arial" w:hAnsi="Arial" w:cs="Arial"/>
          <w:sz w:val="22"/>
          <w:szCs w:val="22"/>
        </w:rPr>
        <w:t xml:space="preserve">suggest </w:t>
      </w:r>
      <w:r w:rsidR="00317F55" w:rsidRPr="002D4681">
        <w:rPr>
          <w:rFonts w:ascii="Arial" w:hAnsi="Arial" w:cs="Arial"/>
          <w:sz w:val="22"/>
          <w:szCs w:val="22"/>
        </w:rPr>
        <w:t xml:space="preserve">that </w:t>
      </w:r>
      <w:r w:rsidR="00314E16" w:rsidRPr="002D4681">
        <w:rPr>
          <w:rFonts w:ascii="Arial" w:hAnsi="Arial" w:cs="Arial"/>
          <w:sz w:val="22"/>
          <w:szCs w:val="22"/>
        </w:rPr>
        <w:t>infants with</w:t>
      </w:r>
      <w:r w:rsidR="00317F55" w:rsidRPr="002D4681">
        <w:rPr>
          <w:rFonts w:ascii="Arial" w:hAnsi="Arial" w:cs="Arial"/>
          <w:sz w:val="22"/>
          <w:szCs w:val="22"/>
        </w:rPr>
        <w:t xml:space="preserve"> mild HIE </w:t>
      </w:r>
      <w:r w:rsidR="00314E16" w:rsidRPr="002D4681">
        <w:rPr>
          <w:rFonts w:ascii="Arial" w:hAnsi="Arial" w:cs="Arial"/>
          <w:sz w:val="22"/>
          <w:szCs w:val="22"/>
        </w:rPr>
        <w:t>have good outcomes without therapeutic hypothermia</w:t>
      </w:r>
      <w:r w:rsidR="00B4374B">
        <w:rPr>
          <w:rFonts w:ascii="Arial" w:hAnsi="Arial" w:cs="Arial"/>
          <w:sz w:val="22"/>
          <w:szCs w:val="22"/>
        </w:rPr>
        <w:t xml:space="preserve"> </w:t>
      </w:r>
      <w:r w:rsidR="00D360BE" w:rsidRPr="00B4374B">
        <w:rPr>
          <w:rFonts w:ascii="Arial" w:hAnsi="Arial" w:cs="Arial"/>
          <w:sz w:val="22"/>
          <w:szCs w:val="22"/>
        </w:rPr>
        <w:fldChar w:fldCharType="begin"/>
      </w:r>
      <w:r w:rsidR="00202D4F" w:rsidRPr="00B4374B">
        <w:rPr>
          <w:rFonts w:ascii="Arial" w:hAnsi="Arial" w:cs="Arial"/>
          <w:sz w:val="22"/>
          <w:szCs w:val="22"/>
        </w:rPr>
        <w:instrText xml:space="preserve"> ADDIN ZOTERO_ITEM CSL_CITATION {"citationID":"LHud5pQQ","properties":{"formattedCitation":"[8,9]","plainCitation":"[8,9]","noteIndex":0},"citationItems":[{"id":621,"uris":["http://zotero.org/users/5728505/items/FVD4PFL7"],"uri":["http://zotero.org/users/5728505/items/FVD4PFL7"],"itemData":{"id":621,"type":"article-journal","abstract":"Objectives  To examine if therapeutic hypothermia reduces the composite outcome of death, moderate or severe disability at 18 months or more after mild neonatal encephalopathy (NE). Data source  MEDLINE, Cochrane database, Scopus and ISI Web of Knowledge databases, using ’hypoxic ischaemic encephalopathy’, ’newborn’ and ’hypothermia’, and ’clinical trials’ as medical subject headings and terms. Manual search of the reference lists of all eligible articles and major review articles and additional data from the corresponding authors of selected articles. Study selection  Randomised and quasirandomised controlled trials comparing therapeutic hypothermia with usual care. Data extraction  Safety and efficacy data extracted independently by two reviewers and analysed.\nResults  We included the data on 117 babies with mild NE inadvertently recruited to five cooling trials (two whole-body cooling and three selective head cooling) of moderate and severe NE, in the meta-analysis. Adverse outcomes occurred in 11/56 (19.6%) of the cooled babies and 12/61 (19.7%) of the usual care babies (risk ratio 1.11 (95% CIs 0.55 to 2.25)).\nConclusions  Current evidence is insufficient to recommend routine therapeutic hypothermia for babies with mild encephalopathy and significant benefits or harm cannot be excluded.","container-title":"Archives of Disease in Childhood - Fetal and Neonatal Edition","DOI":"10.1136/archdischild-2018-315711","ISSN":"1359-2998, 1468-2052","language":"en","page":"fetalneonatal-2018-315711","source":"Crossref","title":"Therapeutic hypothermia for mild neonatal encephalopathy: a systematic review and meta-analysis","title-short":"Therapeutic hypothermia for mild neonatal encephalopathy","author":[{"family":"Kariholu","given":"Ujwal"},{"family":"Montaldo","given":"Paolo"},{"family":"Markati","given":"Theodora"},{"family":"Lally","given":"Peter J"},{"family":"Pryce","given":"Russell"},{"family":"Teiserskas","given":"Justinas"},{"family":"Liow","given":"Natasha"},{"family":"Oliveira","given":"Vânia"},{"family":"Soe","given":"Aung"},{"family":"Shankaran","given":"Seetha"},{"family":"Thayyil","given":"Sudhin"}],"issued":{"date-parts":[["2018",12,19]]}}},{"id":625,"uris":["http://zotero.org/users/5728505/items/L7IVUPMH"],"uri":["http://zotero.org/users/5728505/items/L7IVUPMH"],"itemData":{"id":625,"type":"article-journal","container-title":"Pediatric Research","DOI":"10.1038/s41390-019-0291-1","ISSN":"0031-3998, 1530-0447","issue":"4","language":"en","page":"442-448","source":"Crossref","title":"Should therapeutic hypothermia be offered to babies with mild neonatal encephalopathy in the first 6 h after birth?","volume":"85","author":[{"family":"El-Dib","given":"Mohamed"},{"family":"Inder","given":"Terrie E."},{"family":"Chalak","given":"Lina F."},{"family":"Massaro","given":"An N."},{"family":"Thoresen","given":"Marianne"},{"family":"Gunn","given":"Alistair J."}],"issued":{"date-parts":[["2019",3]]}}}],"schema":"https://github.com/citation-style-language/schema/raw/master/csl-citation.json"} </w:instrText>
      </w:r>
      <w:r w:rsidR="00D360BE" w:rsidRPr="00B4374B">
        <w:rPr>
          <w:rFonts w:ascii="Arial" w:hAnsi="Arial" w:cs="Arial"/>
          <w:sz w:val="22"/>
          <w:szCs w:val="22"/>
        </w:rPr>
        <w:fldChar w:fldCharType="separate"/>
      </w:r>
      <w:r w:rsidR="00202D4F" w:rsidRPr="00B4374B">
        <w:rPr>
          <w:rFonts w:ascii="Arial" w:hAnsi="Arial" w:cs="Arial"/>
          <w:sz w:val="22"/>
          <w:lang w:val="en-US"/>
        </w:rPr>
        <w:t>[8,9]</w:t>
      </w:r>
      <w:r w:rsidR="00D360BE" w:rsidRPr="00B4374B">
        <w:rPr>
          <w:rFonts w:ascii="Arial" w:hAnsi="Arial" w:cs="Arial"/>
          <w:sz w:val="22"/>
          <w:szCs w:val="22"/>
        </w:rPr>
        <w:fldChar w:fldCharType="end"/>
      </w:r>
      <w:r w:rsidR="00AF2469" w:rsidRPr="00B4374B">
        <w:rPr>
          <w:rFonts w:ascii="Arial" w:hAnsi="Arial" w:cs="Arial"/>
          <w:sz w:val="22"/>
          <w:szCs w:val="22"/>
        </w:rPr>
        <w:t xml:space="preserve">, </w:t>
      </w:r>
      <w:r w:rsidR="002040BA" w:rsidRPr="00B4374B">
        <w:rPr>
          <w:rFonts w:ascii="Arial" w:hAnsi="Arial" w:cs="Arial"/>
          <w:sz w:val="22"/>
          <w:szCs w:val="22"/>
        </w:rPr>
        <w:t xml:space="preserve">however </w:t>
      </w:r>
      <w:r w:rsidR="00AF2469" w:rsidRPr="00B4374B">
        <w:rPr>
          <w:rFonts w:ascii="Arial" w:hAnsi="Arial" w:cs="Arial"/>
          <w:sz w:val="22"/>
          <w:szCs w:val="22"/>
        </w:rPr>
        <w:t xml:space="preserve">more recent </w:t>
      </w:r>
      <w:r w:rsidR="00513B00" w:rsidRPr="00B4374B">
        <w:rPr>
          <w:rFonts w:ascii="Arial" w:hAnsi="Arial" w:cs="Arial"/>
          <w:sz w:val="22"/>
          <w:szCs w:val="22"/>
        </w:rPr>
        <w:t>prospective data</w:t>
      </w:r>
      <w:r w:rsidR="00AF2469" w:rsidRPr="00B4374B">
        <w:rPr>
          <w:rFonts w:ascii="Arial" w:hAnsi="Arial" w:cs="Arial"/>
          <w:sz w:val="22"/>
          <w:szCs w:val="22"/>
        </w:rPr>
        <w:t xml:space="preserve"> </w:t>
      </w:r>
      <w:r w:rsidR="00DB3107" w:rsidRPr="00B4374B">
        <w:rPr>
          <w:rFonts w:ascii="Arial" w:hAnsi="Arial" w:cs="Arial"/>
          <w:sz w:val="22"/>
          <w:szCs w:val="22"/>
        </w:rPr>
        <w:t xml:space="preserve">suggest </w:t>
      </w:r>
      <w:r w:rsidR="00750ABA" w:rsidRPr="00B4374B">
        <w:rPr>
          <w:rFonts w:ascii="Arial" w:hAnsi="Arial" w:cs="Arial"/>
          <w:sz w:val="22"/>
          <w:szCs w:val="22"/>
        </w:rPr>
        <w:t>that</w:t>
      </w:r>
      <w:r w:rsidR="00AF2469" w:rsidRPr="00B4374B">
        <w:rPr>
          <w:rFonts w:ascii="Arial" w:hAnsi="Arial" w:cs="Arial"/>
          <w:sz w:val="22"/>
          <w:szCs w:val="22"/>
        </w:rPr>
        <w:t xml:space="preserve"> </w:t>
      </w:r>
      <w:r w:rsidR="00750ABA" w:rsidRPr="00B4374B">
        <w:rPr>
          <w:rFonts w:ascii="Arial" w:hAnsi="Arial" w:cs="Arial"/>
          <w:sz w:val="22"/>
          <w:szCs w:val="22"/>
        </w:rPr>
        <w:t xml:space="preserve">mild HIE may be </w:t>
      </w:r>
      <w:r w:rsidR="00DB3107" w:rsidRPr="00B4374B">
        <w:rPr>
          <w:rFonts w:ascii="Arial" w:hAnsi="Arial" w:cs="Arial"/>
          <w:sz w:val="22"/>
          <w:szCs w:val="22"/>
        </w:rPr>
        <w:t xml:space="preserve">more closely </w:t>
      </w:r>
      <w:r w:rsidR="00750ABA" w:rsidRPr="00B4374B">
        <w:rPr>
          <w:rFonts w:ascii="Arial" w:hAnsi="Arial" w:cs="Arial"/>
          <w:sz w:val="22"/>
          <w:szCs w:val="22"/>
        </w:rPr>
        <w:t xml:space="preserve">linked </w:t>
      </w:r>
      <w:r w:rsidR="00DB3107" w:rsidRPr="00B4374B">
        <w:rPr>
          <w:rFonts w:ascii="Arial" w:hAnsi="Arial" w:cs="Arial"/>
          <w:sz w:val="22"/>
          <w:szCs w:val="22"/>
        </w:rPr>
        <w:t xml:space="preserve">with </w:t>
      </w:r>
      <w:r w:rsidR="00750ABA" w:rsidRPr="00B4374B">
        <w:rPr>
          <w:rFonts w:ascii="Arial" w:hAnsi="Arial" w:cs="Arial"/>
          <w:sz w:val="22"/>
          <w:szCs w:val="22"/>
        </w:rPr>
        <w:t>neurodevelopmental impairment</w:t>
      </w:r>
      <w:r w:rsidR="00DB3107" w:rsidRPr="00B4374B">
        <w:rPr>
          <w:rFonts w:ascii="Arial" w:hAnsi="Arial" w:cs="Arial"/>
          <w:sz w:val="22"/>
          <w:szCs w:val="22"/>
        </w:rPr>
        <w:t xml:space="preserve"> than previously thought</w:t>
      </w:r>
      <w:r w:rsidR="00202D4F" w:rsidRPr="00B4374B">
        <w:rPr>
          <w:rFonts w:ascii="Arial" w:hAnsi="Arial" w:cs="Arial"/>
          <w:sz w:val="22"/>
          <w:szCs w:val="22"/>
        </w:rPr>
        <w:t xml:space="preserve"> </w:t>
      </w:r>
      <w:r w:rsidR="00D360BE" w:rsidRPr="00B4374B">
        <w:rPr>
          <w:rFonts w:ascii="Arial" w:hAnsi="Arial" w:cs="Arial"/>
          <w:sz w:val="22"/>
          <w:szCs w:val="22"/>
        </w:rPr>
        <w:fldChar w:fldCharType="begin"/>
      </w:r>
      <w:r w:rsidR="00B4374B" w:rsidRPr="00B4374B">
        <w:rPr>
          <w:rFonts w:ascii="Arial" w:hAnsi="Arial" w:cs="Arial"/>
          <w:sz w:val="22"/>
          <w:szCs w:val="22"/>
        </w:rPr>
        <w:instrText xml:space="preserve"> ADDIN ZOTERO_ITEM CSL_CITATION {"citationID":"4YOv96Zd","properties":{"formattedCitation":"[9\\uc0\\u8211{}12]","plainCitation":"[9–12]","noteIndex":0},"citationItems":[{"id":625,"uris":["http://zotero.org/users/5728505/items/L7IVUPMH"],"uri":["http://zotero.org/users/5728505/items/L7IVUPMH"],"itemData":{"id":625,"type":"article-journal","container-title":"Pediatric Research","DOI":"10.1038/s41390-019-0291-1","ISSN":"0031-3998, 1530-0447","issue":"4","language":"en","page":"442-448","source":"Crossref","title":"Should therapeutic hypothermia be offered to babies with mild neonatal encephalopathy in the first 6 h after birth?","volume":"85","author":[{"family":"El-Dib","given":"Mohamed"},{"family":"Inder","given":"Terrie E."},{"family":"Chalak","given":"Lina F."},{"family":"Massaro","given":"An N."},{"family":"Thoresen","given":"Marianne"},{"family":"Gunn","given":"Alistair J."}],"issued":{"date-parts":[["2019",3]]}}},{"id":821,"uris":["http://zotero.org/users/5728505/items/UX4G5YZM"],"uri":["http://zotero.org/users/5728505/items/UX4G5YZM"],"itemData":{"id":821,"type":"article-journal","abstract":"Studies of early childhood outcomes of mild hypoxic-ischemic encephalopathy (HIE) identified in the first 6 h of life are lacking. To evaluate neurodevelopmental outcomes at 18–22 months of PRIME study. Multicenter, prospective study of mild HIE defined as ≥1 abnormality using the modified Sarnat within 6 h of birth and not meeting cooling criteria. Primary outcome was disability with mild: Bayley III cognitive 70–84 or ≥85 and either Gross Motor Function Classification System (GMFCS) 1 or 2, seizures, or hearing deficit; moderate: cognitive 70–84 and either GMFCS 2, seizures, or hearing deficit; severe: cognitive &lt;70, GMFCS 3–5. Of the 63 infants enrolled, 51 (81%) were evaluated at 19 ± 2 months and 43 (68%) completed Bayley III. Of the 43 infants, 7 (16%) were diagnosed with disability, including 1 cerebral palsy and 2 autism. Bayley scores &lt; 85 in either cognition, motor, or language were detected in 17 (40%): 14 (32%) language, 7 (16%) cognitive, and 6 (14%) motor domain. Infants with disability had more abnormalities on discharge examination and brain MRI, with longer hospital stay (p &lt; 0.001). In this contemporary untreated cohort of mild HIE, disability occurred in 16% of infants at 18–22 months.","container-title":"Pediatric Research","DOI":"10.1038/s41390-018-0174-x","ISSN":"1530-0447","issue":"6","journalAbbreviation":"Pediatr Res","language":"en","page":"861-868","source":"www.nature.com","title":"Prospective research in infants with mild encephalopathy identified in the first six hours of life: neurodevelopmental outcomes at 18–22 months","title-short":"Prospective research in infants with mild encephalopathy identified in the first six hours of life","volume":"84","author":[{"family":"Chalak","given":"Lina F."},{"family":"Nguyen","given":"Kim-Anh"},{"family":"Prempunpong","given":"Chatchay"},{"family":"Heyne","given":"Roy"},{"family":"Thayyil","given":"Sudhin"},{"family":"Shankaran","given":"Seetha"},{"family":"Laptook","given":"Abbot R."},{"family":"Rollins","given":"Nancy"},{"family":"Pappas","given":"Athina"},{"family":"Koclas","given":"Louise"},{"family":"Shah","given":"Birju"},{"family":"Montaldo","given":"Paolo"},{"family":"Techasaensiri","given":"Benyachalee"},{"family":"Sánchez","given":"Pablo J."},{"family":"Sant’Anna","given":"Guilherme"}],"issued":{"date-parts":[["2018",12]]}}},{"id":1183,"uris":["http://zotero.org/users/5728505/items/72CKCQ4R"],"uri":["http://zotero.org/users/5728505/items/72CKCQ4R"],"itemData":{"id":1183,"type":"article-journal","abstract":"OBJECTIVE: To compare the characteristics and outcomes of neonates with mild hypoxic-ischemic encephalopathy (HIE) who received hypothermia versus standard care.\nSTUDY DESIGN: We conducted a retrospective cohort study of neonates ≥35 weeks' gestation and ≥1800 g admitted with a diagnosis of Sarnat stage 1 encephalopathy. We evaluated length of hospital stay, duration of ventilation, evidence of brain injury on MRI, and neonatal morbidities.\nRESULTS: Of 1089 eligible neonates, 393 (36%) received hypothermia and 595 (55%) had neuroimaging. The hypothermia group was more likely to be outborn, born via C-section, had lower Apgar scores, and required extensive resuscitation. They had longer durations of stay (9 vs. 6 days, P &lt; 0.001), respiratory support (3 vs. 2 days, P &lt; 0.001), but lower odds of brain injury on MRI (adjusted odds ratio 0.33, 95% CI: 0.22-0.52) compared with standard care group.\nCONCLUSION: Despite prolongation of hospital stay, hypothermia may be potentially beneficial in neonates with mild HIE; however, selection bias cannot be ruled out.","container-title":"Journal of Perinatology: Official Journal of the California Perinatal Association","DOI":"10.1038/s41372-019-0551-2","ISSN":"1476-5543","issue":"2","journalAbbreviation":"J Perinatol","language":"eng","note":"PMID: 31723237","page":"275-283","source":"PubMed","title":"Characteristics and short-term outcomes of neonates with mild hypoxic-ischemic encephalopathy treated with hypothermia","volume":"40","author":[{"family":"Goswami","given":"Ipsita R."},{"family":"Whyte","given":"Hilary"},{"family":"Wintermark","given":"Pia"},{"family":"Mohammad","given":"Khorshid"},{"family":"Shivananda","given":"Sandesh"},{"family":"Louis","given":"Deepak"},{"family":"Yoon","given":"Eugene W."},{"family":"Shah","given":"Prakesh S."},{"literal":"Canadian Neonatal Network Investigators"}],"issued":{"date-parts":[["2020"]]}}},{"id":1181,"uris":["http://zotero.org/users/5728505/items/8ZKUARHX"],"uri":["http://zotero.org/users/5728505/items/8ZKUARHX"],"itemData":{"id":1181,"type":"article-journal","abstract":"OBJECTIVE: This study was aimed to describe utilization of therapeutic hypothermia (TH) in neonates presenting with mild hypoxic-ischemic encephalopathy (HIE) and associated neurological injury on magnetic resonance imaging (MRI) scans in these infants.\nSTUDY DESIGN: Neonates ≥ 36 weeks' gestation with mild HIE and available MRI scans were identified. Mild HIE status was assigned to hyper alert infants with an exaggerated response to arousal and mild HIE as the highest grade of encephalopathy recorded. MRI scans were dichotomized as \"injury\" versus \"no injury.\"\nRESULTS: A total of 94.5% (257/272) neonates with mild HIE, referred for evaluation, received TH. MRI injury occurred in 38.2% (104/272) neonates and affected predominantly the white matter (49.0%, n = 51). Injury to the deep nuclear gray matter was identified in (10.1%) 20 infants, and to the cortex in 13.4% (n = 14 infants). In regression analyses (odds ratio [OR]; 95% confidence interval [CI]), history of fetal distress (OR = 0.52; 95% CI: 0.28-0.99) and delivery by caesarian section (OR = 0.54; 95% CI: 0.31-0.92) were associated with lower odds, whereas medical comorbidities during and after cooling were associated with higher odds of brain injury (OR = 2.31; 95% CI: 1.37-3.89).\nCONCLUSION: Majority of neonates with mild HIE referred for evaluation are being treated with TH. Odds of neurological injury are over two-fold higher in those with comorbidities during and after cooling. Brain injury predominantly involved the white matter.\nKEY POINTS: · Increasingly, neonates with mild HIE are being referred for consideration for hypothermia therapy.. · Drift in clinical practice shows growing number of neonates treated with hypothermia as having mild HIE.. · MRI data show that 38% of neonates with mild HIE have brain injury, predominantly in the white matter..","container-title":"American Journal of Perinatology","DOI":"10.1055/s-0040-1716341","ISSN":"1098-8785","journalAbbreviation":"Am J Perinatol","language":"eng","note":"PMID: 32892328","source":"PubMed","title":"Utilization of Therapeutic Hypothermia and Neurological Injury in Neonates with Mild Hypoxic-Ischemic Encephalopathy: A Report from Children's Hospital Neonatal Consortium","title-short":"Utilization of Therapeutic Hypothermia and Neurological Injury in Neonates with Mild Hypoxic-Ischemic Encephalopathy","author":[{"family":"Rao","given":"Rakesh"},{"family":"Mietzsch","given":"Ulrike"},{"family":"DiGeronimo","given":"Robert"},{"family":"Hamrick","given":"Shannon E."},{"family":"Dizon","given":"Maria L. V."},{"family":"Lee","given":"Kyong-Soon"},{"family":"Natarajan","given":"Girija"},{"family":"Yanowitz","given":"Toby D."},{"family":"Peeples","given":"Eric S."},{"family":"Flibotte","given":"John"},{"family":"Wu","given":"Tai-Wei"},{"family":"Zaniletti","given":"Isabella"},{"family":"Mathur","given":"Amit M."},{"family":"Massaro","given":"An"}],"issued":{"date-parts":[["2020",9,6]]}}}],"schema":"https://github.com/citation-style-language/schema/raw/master/csl-citation.json"} </w:instrText>
      </w:r>
      <w:r w:rsidR="00D360BE" w:rsidRPr="00B4374B">
        <w:rPr>
          <w:rFonts w:ascii="Arial" w:hAnsi="Arial" w:cs="Arial"/>
          <w:sz w:val="22"/>
          <w:szCs w:val="22"/>
        </w:rPr>
        <w:fldChar w:fldCharType="separate"/>
      </w:r>
      <w:r w:rsidR="00B4374B" w:rsidRPr="00B4374B">
        <w:rPr>
          <w:rFonts w:ascii="Arial" w:hAnsi="Arial" w:cs="Arial"/>
          <w:sz w:val="22"/>
          <w:lang w:val="en-US"/>
        </w:rPr>
        <w:t>[9–12]</w:t>
      </w:r>
      <w:r w:rsidR="00D360BE" w:rsidRPr="00B4374B">
        <w:rPr>
          <w:rFonts w:ascii="Arial" w:hAnsi="Arial" w:cs="Arial"/>
          <w:sz w:val="22"/>
          <w:szCs w:val="22"/>
        </w:rPr>
        <w:fldChar w:fldCharType="end"/>
      </w:r>
      <w:r w:rsidR="00513B00" w:rsidRPr="00B4374B">
        <w:rPr>
          <w:rFonts w:ascii="Arial" w:hAnsi="Arial" w:cs="Arial"/>
          <w:sz w:val="22"/>
          <w:szCs w:val="22"/>
        </w:rPr>
        <w:t>.</w:t>
      </w:r>
      <w:r w:rsidR="00513B00" w:rsidRPr="002D4681">
        <w:rPr>
          <w:rFonts w:ascii="Arial" w:hAnsi="Arial" w:cs="Arial"/>
          <w:sz w:val="22"/>
          <w:szCs w:val="22"/>
        </w:rPr>
        <w:t xml:space="preserve"> </w:t>
      </w:r>
    </w:p>
    <w:p w14:paraId="37A78B54" w14:textId="48E3C5AF" w:rsidR="00BF4305" w:rsidRPr="002D4681" w:rsidRDefault="00C620F1" w:rsidP="00515DE8">
      <w:pPr>
        <w:spacing w:line="480" w:lineRule="auto"/>
        <w:jc w:val="both"/>
        <w:rPr>
          <w:rFonts w:ascii="Arial" w:hAnsi="Arial" w:cs="Arial"/>
          <w:sz w:val="22"/>
          <w:szCs w:val="22"/>
        </w:rPr>
      </w:pPr>
      <w:r>
        <w:rPr>
          <w:rFonts w:ascii="Arial" w:hAnsi="Arial" w:cs="Arial"/>
          <w:sz w:val="22"/>
          <w:szCs w:val="22"/>
        </w:rPr>
        <w:t>In several developed countries</w:t>
      </w:r>
      <w:r w:rsidR="005A216E" w:rsidRPr="002D4681">
        <w:rPr>
          <w:rFonts w:ascii="Arial" w:hAnsi="Arial" w:cs="Arial"/>
          <w:sz w:val="22"/>
          <w:szCs w:val="22"/>
        </w:rPr>
        <w:t xml:space="preserve"> babies </w:t>
      </w:r>
      <w:r w:rsidR="002040BA">
        <w:rPr>
          <w:rFonts w:ascii="Arial" w:hAnsi="Arial" w:cs="Arial"/>
          <w:sz w:val="22"/>
          <w:szCs w:val="22"/>
        </w:rPr>
        <w:t>with</w:t>
      </w:r>
      <w:r w:rsidR="005A216E" w:rsidRPr="002D4681">
        <w:rPr>
          <w:rFonts w:ascii="Arial" w:hAnsi="Arial" w:cs="Arial"/>
          <w:sz w:val="22"/>
          <w:szCs w:val="22"/>
        </w:rPr>
        <w:t xml:space="preserve"> mild HIE are increasingly treated with </w:t>
      </w:r>
      <w:r w:rsidR="00267CDC" w:rsidRPr="002D4681">
        <w:rPr>
          <w:rFonts w:ascii="Arial" w:hAnsi="Arial" w:cs="Arial"/>
          <w:sz w:val="22"/>
          <w:szCs w:val="22"/>
        </w:rPr>
        <w:t>therapeutic hypothermia</w:t>
      </w:r>
      <w:r w:rsidR="00202D4F">
        <w:rPr>
          <w:rFonts w:ascii="Arial" w:hAnsi="Arial" w:cs="Arial"/>
          <w:sz w:val="22"/>
          <w:szCs w:val="22"/>
        </w:rPr>
        <w:t xml:space="preserve"> </w:t>
      </w:r>
      <w:r w:rsidR="00267CDC" w:rsidRPr="002D4681">
        <w:rPr>
          <w:rFonts w:ascii="Arial" w:hAnsi="Arial" w:cs="Arial"/>
          <w:sz w:val="22"/>
          <w:szCs w:val="22"/>
        </w:rPr>
        <w:fldChar w:fldCharType="begin"/>
      </w:r>
      <w:r w:rsidR="00B4374B">
        <w:rPr>
          <w:rFonts w:ascii="Arial" w:hAnsi="Arial" w:cs="Arial"/>
          <w:sz w:val="22"/>
          <w:szCs w:val="22"/>
        </w:rPr>
        <w:instrText xml:space="preserve"> ADDIN ZOTERO_ITEM CSL_CITATION {"citationID":"lKDeyToS","properties":{"formattedCitation":"[13\\uc0\\u8211{}15]","plainCitation":"[13–15]","noteIndex":0},"citationItems":[{"id":672,"uris":["http://zotero.org/users/5728505/items/VKYT32IQ"],"uri":["http://zotero.org/users/5728505/items/VKYT32IQ"],"itemData":{"id":672,"type":"article-journal","abstract":"Objective\nTo characterize the implementation of hypothermia for neonatal hypoxic ischemic encephalopathy (HIE) in a population-based cohort.\nStudy design\nUsing the California Perinatal Quality Care Collaborative and California Perinatal Transport System linked 2010-2012 datasets, we categorized infants ≥36 weeks' gestation with HIE as receiving hypothermia or normothermia. Sociodemographic and clinical factors were compared, and multivariable logistic regression was used to determine factors associated with hypothermia therapy.\nResults\nThere were 238 reported encephalopathy cases in 2010, 280 in 2011, and 311 in 2012. Hypothermia therapy use in newborns with HIE increased from 59% to 73% across the study period, mainly occurring in newborns with mild or moderate encephalopathy. A total of 36 centers provided hypothermia and cared for 94% of infants, with the remaining 6% being cared for at one of 25 other centers. Of the centers providing hypothermia, 12 centers performed hypothermia therapy to more than 20 patients during the 3-year study period, and 24 centers cared for &lt;20 patients receiving hypothermia. In-hospital mortality was 13%, which primarily was associated with the severity of encephalopathy.\nConclusions\nOur findings highlight an opportunity to explore practice-site variation and to develop quality improvement interventions to assure consistent evidence-based care of term infants with HIE and appropriate application of hypothermia therapy for eligible newborns.","container-title":"The Journal of Pediatrics","DOI":"10.1016/j.jpeds.2014.04.052","ISSN":"0022-3476","issue":"2","journalAbbreviation":"The Journal of Pediatrics","page":"267-273","source":"ScienceDirect","title":"Hypothermia Therapy for Neonatal Hypoxic Ischemic Encephalopathy in the State of California","volume":"165","author":[{"family":"Kracer","given":"Bernardo"},{"family":"Hintz","given":"Susan R."},{"family":"Van Meurs","given":"Krisa P."},{"family":"Lee","given":"Henry C."}],"issued":{"date-parts":[["2014",8,1]]}}},{"id":671,"uris":["http://zotero.org/users/5728505/items/QQVT67A8"],"uri":["http://zotero.org/users/5728505/items/QQVT67A8"],"itemData":{"id":671,"type":"article-journal","abstract":"Background Delay in implementing new treatments into clinical practice results in considerable health and economic opportunity costs. Data from the UK TOBY Cooling Register provides the opportunity to examine how one new effective therapy for newborn infants suspected of suffering asphyxial encephalopathy – therapeutic hypothermia- was implemented in the UK. Methodology/Principal Findings We analysed returned data forms from inception of the Register in December 2006 to the end of July 2011. Data forms were received for 1384 (67%) of the 2069 infants registered. The monthly rate of notifications increased from median {IQR} 18 {15–31} to 33 {30–39} after the announcement of the results of the recent TOBY trial, and to 50 {36–55} after their publication. This rate further increased to 70 {64–83} following official endorsement of the therapy, and is now close to the expected numbers of eligible infants. Cooling was started at 3.3 {1.5–5.5} hours after birth and the time taken to achieve the target 33–34°C rectal temperature was 1 {0–3} hours. The rectal temperature was in the target range in 83% of measurements. From 2006 to 2011 there was evidence of extension of treatment to slightly less severely affected infants. 278 of 1362 (20%) infants died at 2.9 {1.4–4.1} days of age. The rates of death fell slightly over the period of the Register and, at two years of age cerebral palsy was diagnosed in 22% of infants; half of these were spastic bilateral. Factors independently associated with adverse outcome were clinical seizures prior to cooling (p&lt;0.001) and severely abnormal amplitude integrated EEG (p&lt;0.001). Conclusions/Significance Therapeutic hypothermia was implemented appropriately within the UK, with significant benefit to patients and the health economy. This may be due in part to participation by neonatal units in clinical trials, the establishment of the national Register, and its endorsement by advisory bodies.","container-title":"PLOS ONE","DOI":"10.1371/journal.pone.0038504","ISSN":"1932-6203","issue":"6","journalAbbreviation":"PLOS ONE","language":"en","page":"e38504","source":"PLoS Journals","title":"Implementation and Conduct of Therapeutic Hypothermia for Perinatal Asphyxial Encephalopathy in the UK – Analysis of National Data","volume":"7","author":[{"family":"Azzopardi","given":"Denis"},{"family":"Strohm","given":"Brenda"},{"family":"Linsell","given":"Louise"},{"family":"Hobson","given":"Anna"},{"family":"Juszczak","given":"Edmund"},{"family":"Kurinczuk","given":"Jennifer J."},{"family":"Brocklehurst","given":"Peter"},{"family":"Edwards","given":"A. David"},{"family":"Register","given":"on behalf of the UK TOBY Cooling"}],"issued":{"date-parts":[["2012",6,13]]}}},{"id":670,"uris":["http://zotero.org/users/5728505/items/UMPMFL9M"],"uri":["http://zotero.org/users/5728505/items/UMPMFL9M"],"itemData":{"id":670,"type":"article-journal","abstract":"Aim Whole body therapeutic hypothermia (TH) for hypoxic ischaemic encephalopathy was introduced into clinical practice in New South Wales (NSW) and Australian Capital Territory in 2007. State-wide policy adopting the eligibility criteria and practice based on trial-designs was published in 2009. Methods The study was conducted by retrospectively reviewing medical records of all TH infants born between 2007 and 2011 in NSW and Australian Capital Territory to examine if eligibility criteria (assessed against evidence-based policy directives) were met. Results A total of 207 infants received TH, 104 (50%) did not meet the eligibility criteria defined in NSW policy directive. Over the 5-year period, the proportion of infants meeting the eligibility criteria did not change. Seventy percent of infants (73 out of 104) not meeting eligibility criteria did not fulfil the criteria for ‘evidence of asphyxia’, although half of them met ‘moderate or severe encephalopathy criterion’. Adverse events (hypotension, coagulopathy and arrhythmia), were more common in the ‘criteria met’ group than the ‘criteria not met’ group (89 vs. 71%, P = 0.001). Similar proportions of infants had TH discontinued before 72 h (criteria met: 32 (31%) vs. criteria not met: 27(26%)). Most frequent reason for early cessation was ‘palliation’ (19/32, 59%) in criteria met and ‘clinical improvement’ (16/27, 59%) in criteria not met group. Conclusions Many TH infants were treated based on clinician judgement, though not meeting the trial-design policy criteria. Early TH cessation (&lt;72 h) was common. Future studies are warranted on long-term neurodevelopmental outcomes for all infants receiving TH particularly those with early cessation of therapy.","container-title":"Journal of Paediatrics and Child Health","DOI":"10.1111/jpc.13378","ISSN":"1440-1754","issue":"3","language":"en","page":"295-300","source":"Wiley Online Library","title":"Eligibility criteria for therapeutic hypothermia: From trials to clinical practice","title-short":"Eligibility criteria for therapeutic hypothermia","volume":"53","author":[{"family":"Mehta","given":"Shailender"},{"family":"Joshi","given":"Anjali"},{"family":"Bajuk","given":"Barbara"},{"family":"Badawi","given":"Nadia"},{"family":"McIntyre","given":"Sarah"},{"family":"Lui","given":"Kei"}],"issued":{"date-parts":[["2017"]]}}}],"schema":"https://github.com/citation-style-language/schema/raw/master/csl-citation.json"} </w:instrText>
      </w:r>
      <w:r w:rsidR="00267CDC" w:rsidRPr="002D4681">
        <w:rPr>
          <w:rFonts w:ascii="Arial" w:hAnsi="Arial" w:cs="Arial"/>
          <w:sz w:val="22"/>
          <w:szCs w:val="22"/>
        </w:rPr>
        <w:fldChar w:fldCharType="separate"/>
      </w:r>
      <w:r w:rsidR="00B4374B" w:rsidRPr="00B4374B">
        <w:rPr>
          <w:rFonts w:ascii="Arial" w:hAnsi="Arial" w:cs="Arial"/>
          <w:sz w:val="22"/>
          <w:lang w:val="en-US"/>
        </w:rPr>
        <w:t>[13–15]</w:t>
      </w:r>
      <w:r w:rsidR="00267CDC" w:rsidRPr="002D4681">
        <w:rPr>
          <w:rFonts w:ascii="Arial" w:hAnsi="Arial" w:cs="Arial"/>
          <w:sz w:val="22"/>
          <w:szCs w:val="22"/>
        </w:rPr>
        <w:fldChar w:fldCharType="end"/>
      </w:r>
      <w:r w:rsidR="002040BA">
        <w:rPr>
          <w:rFonts w:ascii="Arial" w:hAnsi="Arial" w:cs="Arial"/>
          <w:sz w:val="22"/>
          <w:szCs w:val="22"/>
        </w:rPr>
        <w:t>, and t</w:t>
      </w:r>
      <w:r w:rsidR="00317F55" w:rsidRPr="002D4681">
        <w:rPr>
          <w:rFonts w:ascii="Arial" w:hAnsi="Arial" w:cs="Arial"/>
          <w:sz w:val="22"/>
          <w:szCs w:val="22"/>
        </w:rPr>
        <w:t xml:space="preserve">here </w:t>
      </w:r>
      <w:r w:rsidR="00267CDC" w:rsidRPr="002D4681">
        <w:rPr>
          <w:rFonts w:ascii="Arial" w:hAnsi="Arial" w:cs="Arial"/>
          <w:sz w:val="22"/>
          <w:szCs w:val="22"/>
        </w:rPr>
        <w:t xml:space="preserve">is </w:t>
      </w:r>
      <w:r w:rsidR="00317F55" w:rsidRPr="002D4681">
        <w:rPr>
          <w:rFonts w:ascii="Arial" w:hAnsi="Arial" w:cs="Arial"/>
          <w:sz w:val="22"/>
          <w:szCs w:val="22"/>
        </w:rPr>
        <w:t xml:space="preserve">interest </w:t>
      </w:r>
      <w:r w:rsidR="0033067E" w:rsidRPr="002D4681">
        <w:rPr>
          <w:rFonts w:ascii="Arial" w:hAnsi="Arial" w:cs="Arial"/>
          <w:sz w:val="22"/>
          <w:szCs w:val="22"/>
        </w:rPr>
        <w:t>in such treatment</w:t>
      </w:r>
      <w:r w:rsidR="00267CDC" w:rsidRPr="002D4681">
        <w:rPr>
          <w:rFonts w:ascii="Arial" w:hAnsi="Arial" w:cs="Arial"/>
          <w:sz w:val="22"/>
          <w:szCs w:val="22"/>
        </w:rPr>
        <w:t xml:space="preserve"> </w:t>
      </w:r>
      <w:r w:rsidR="00317F55" w:rsidRPr="002D4681">
        <w:rPr>
          <w:rFonts w:ascii="Arial" w:hAnsi="Arial" w:cs="Arial"/>
          <w:sz w:val="22"/>
          <w:szCs w:val="22"/>
        </w:rPr>
        <w:t>in the UK</w:t>
      </w:r>
      <w:r w:rsidR="009B57DE">
        <w:rPr>
          <w:rFonts w:ascii="Arial" w:hAnsi="Arial" w:cs="Arial"/>
          <w:sz w:val="22"/>
          <w:szCs w:val="22"/>
        </w:rPr>
        <w:t xml:space="preserve">, </w:t>
      </w:r>
      <w:r w:rsidR="009B57DE" w:rsidRPr="002D4681">
        <w:rPr>
          <w:rFonts w:ascii="Arial" w:hAnsi="Arial" w:cs="Arial"/>
          <w:sz w:val="22"/>
          <w:szCs w:val="22"/>
        </w:rPr>
        <w:t>including an ongoing dose-finding trial</w:t>
      </w:r>
      <w:r w:rsidR="009B57DE">
        <w:rPr>
          <w:rFonts w:ascii="Arial" w:hAnsi="Arial" w:cs="Arial"/>
          <w:sz w:val="22"/>
          <w:szCs w:val="22"/>
        </w:rPr>
        <w:t xml:space="preserve"> </w:t>
      </w:r>
      <w:r w:rsidR="009B57DE">
        <w:rPr>
          <w:rFonts w:ascii="Arial" w:hAnsi="Arial" w:cs="Arial"/>
          <w:sz w:val="22"/>
          <w:szCs w:val="22"/>
        </w:rPr>
        <w:fldChar w:fldCharType="begin"/>
      </w:r>
      <w:r w:rsidR="00F212EE">
        <w:rPr>
          <w:rFonts w:ascii="Arial" w:hAnsi="Arial" w:cs="Arial"/>
          <w:sz w:val="22"/>
          <w:szCs w:val="22"/>
        </w:rPr>
        <w:instrText xml:space="preserve"> ADDIN ZOTERO_ITEM CSL_CITATION {"citationID":"MeQT3W1q","properties":{"formattedCitation":"[16]","plainCitation":"[16]","noteIndex":0},"citationItems":[{"id":946,"uris":["http://zotero.org/users/5728505/items/PPGIKAIP"],"uri":["http://zotero.org/users/5728505/items/PPGIKAIP"],"itemData":{"id":946,"type":"webpage","abstract":"Optimising the Duration of Cooling in Mild Encephalopathy - Full Text View.","language":"en","title":"Optimising the Duration of Cooling in Mild Encephalopathy - Full Text View - ClinicalTrials.gov","URL":"https://clinicaltrials.gov/ct2/show/NCT03409770","accessed":{"date-parts":[["2020",2,18]]}}}],"schema":"https://github.com/citation-style-language/schema/raw/master/csl-citation.json"} </w:instrText>
      </w:r>
      <w:r w:rsidR="009B57DE">
        <w:rPr>
          <w:rFonts w:ascii="Arial" w:hAnsi="Arial" w:cs="Arial"/>
          <w:sz w:val="22"/>
          <w:szCs w:val="22"/>
        </w:rPr>
        <w:fldChar w:fldCharType="separate"/>
      </w:r>
      <w:r w:rsidR="00F212EE">
        <w:rPr>
          <w:rFonts w:ascii="Arial" w:hAnsi="Arial" w:cs="Arial"/>
          <w:sz w:val="22"/>
          <w:lang w:val="en-US"/>
        </w:rPr>
        <w:t>[16]</w:t>
      </w:r>
      <w:r w:rsidR="009B57DE">
        <w:rPr>
          <w:rFonts w:ascii="Arial" w:hAnsi="Arial" w:cs="Arial"/>
          <w:sz w:val="22"/>
          <w:szCs w:val="22"/>
        </w:rPr>
        <w:fldChar w:fldCharType="end"/>
      </w:r>
      <w:r w:rsidR="009B57DE">
        <w:rPr>
          <w:rFonts w:ascii="Arial" w:hAnsi="Arial" w:cs="Arial"/>
          <w:sz w:val="22"/>
          <w:szCs w:val="22"/>
        </w:rPr>
        <w:t xml:space="preserve">. </w:t>
      </w:r>
      <w:r w:rsidR="000874EF">
        <w:rPr>
          <w:rFonts w:ascii="Arial" w:hAnsi="Arial" w:cs="Arial"/>
          <w:sz w:val="22"/>
          <w:szCs w:val="22"/>
        </w:rPr>
        <w:t xml:space="preserve">A recent </w:t>
      </w:r>
      <w:r w:rsidR="009B57DE">
        <w:rPr>
          <w:rFonts w:ascii="Arial" w:hAnsi="Arial" w:cs="Arial"/>
          <w:sz w:val="22"/>
          <w:szCs w:val="22"/>
        </w:rPr>
        <w:t xml:space="preserve">national </w:t>
      </w:r>
      <w:r w:rsidR="000874EF">
        <w:rPr>
          <w:rFonts w:ascii="Arial" w:hAnsi="Arial" w:cs="Arial"/>
          <w:sz w:val="22"/>
          <w:szCs w:val="22"/>
        </w:rPr>
        <w:t xml:space="preserve">UK </w:t>
      </w:r>
      <w:r w:rsidR="009B57DE">
        <w:rPr>
          <w:rFonts w:ascii="Arial" w:hAnsi="Arial" w:cs="Arial"/>
          <w:sz w:val="22"/>
          <w:szCs w:val="22"/>
        </w:rPr>
        <w:t xml:space="preserve">survey </w:t>
      </w:r>
      <w:r w:rsidR="000874EF">
        <w:rPr>
          <w:rFonts w:ascii="Arial" w:hAnsi="Arial" w:cs="Arial"/>
          <w:sz w:val="22"/>
          <w:szCs w:val="22"/>
        </w:rPr>
        <w:t>of</w:t>
      </w:r>
      <w:r w:rsidR="009B57DE">
        <w:rPr>
          <w:rFonts w:ascii="Arial" w:hAnsi="Arial" w:cs="Arial"/>
          <w:sz w:val="22"/>
          <w:szCs w:val="22"/>
        </w:rPr>
        <w:t xml:space="preserve"> practice for babies with mild encephalopathy reported that 75% of </w:t>
      </w:r>
      <w:r w:rsidR="000874EF">
        <w:rPr>
          <w:rFonts w:ascii="Arial" w:hAnsi="Arial" w:cs="Arial"/>
          <w:sz w:val="22"/>
          <w:szCs w:val="22"/>
        </w:rPr>
        <w:t>responding</w:t>
      </w:r>
      <w:r w:rsidR="009B57DE">
        <w:rPr>
          <w:rFonts w:ascii="Arial" w:hAnsi="Arial" w:cs="Arial"/>
          <w:sz w:val="22"/>
          <w:szCs w:val="22"/>
        </w:rPr>
        <w:t xml:space="preserve"> centres offered </w:t>
      </w:r>
      <w:r w:rsidR="000874EF">
        <w:rPr>
          <w:rFonts w:ascii="Arial" w:hAnsi="Arial" w:cs="Arial"/>
          <w:sz w:val="22"/>
          <w:szCs w:val="22"/>
        </w:rPr>
        <w:t>therapeutic hypothermia</w:t>
      </w:r>
      <w:r w:rsidR="009B57DE">
        <w:rPr>
          <w:rFonts w:ascii="Arial" w:hAnsi="Arial" w:cs="Arial"/>
          <w:sz w:val="22"/>
          <w:szCs w:val="22"/>
        </w:rPr>
        <w:t xml:space="preserve"> to infants with mild HIE</w:t>
      </w:r>
      <w:r w:rsidR="000874EF">
        <w:rPr>
          <w:rFonts w:ascii="Arial" w:hAnsi="Arial" w:cs="Arial"/>
          <w:sz w:val="22"/>
          <w:szCs w:val="22"/>
        </w:rPr>
        <w:t xml:space="preserve"> </w:t>
      </w:r>
      <w:r w:rsidR="00D360BE">
        <w:rPr>
          <w:rFonts w:ascii="Arial" w:hAnsi="Arial" w:cs="Arial"/>
          <w:sz w:val="22"/>
          <w:szCs w:val="22"/>
        </w:rPr>
        <w:fldChar w:fldCharType="begin"/>
      </w:r>
      <w:r w:rsidR="00F212EE">
        <w:rPr>
          <w:rFonts w:ascii="Arial" w:hAnsi="Arial" w:cs="Arial"/>
          <w:sz w:val="22"/>
          <w:szCs w:val="22"/>
        </w:rPr>
        <w:instrText xml:space="preserve"> ADDIN ZOTERO_ITEM CSL_CITATION {"citationID":"ZbCXE3fU","properties":{"formattedCitation":"[17]","plainCitation":"[17]","noteIndex":0},"citationItems":[{"id":654,"uris":["http://zotero.org/users/5728505/items/LAGXEGNP"],"uri":["http://zotero.org/users/5728505/items/LAGXEGNP"],"itemData":{"id":654,"type":"article-journal","abstract":"Although major cooling trials (and subsequent guidelines) excluded babies with mild encephalopathy, anecdotal evidence suggests that cooling is often offered to these infants. We report a national survey on current cooling practices for babies with mild encephalopathy in the UK. From 74 neonatal units contacted, 68 were cooling centres. We received 54 responses (79%) and included 48 (five excluded due to incomplete data and one found later not to offer cooling). Of these, 36 centres (75%) offered cooling to infants with mild encephalopathy. Although most of the participating units reported targeting 33–34°C core temperature, seven (19%) considered initiating cooling beyond 6 hours of age and 13 (36%) discontinued cooling prior to 72 hours. Babies were ventilated for cooling in two (6%) units and 13 (36%) sedated all cooled babies. Enteral feeding was withheld in 15 (42%) units and reduced below 25% of requirements in eight (22%) units. MRI and neurodevelopmental outcome evaluation were offered to all cooled babies in 29 (80%) and 27 (75%) units, respectively. Further research is necessary to ensure optimal neuroprotection in mild encephalopathy.","container-title":"Archives of Disease in Childhood - Fetal and Neonatal Edition","DOI":"10.1136/archdischild-2017-313320","ISSN":"1359-2998, 1468-2052","issue":"4","language":"en","note":"PMID: 28942433","page":"F388-F390","source":"fn.bmj.com","title":"Therapeutic hypothermia in mild neonatal encephalopathy: a national survey of practice in the UK","title-short":"Therapeutic hypothermia in mild neonatal encephalopathy","volume":"103","author":[{"family":"Oliveira","given":"Vânia"},{"family":"Singhvi","given":"Dev Prya"},{"family":"Montaldo","given":"Paolo"},{"family":"Lally","given":"Peter J."},{"family":"Mendoza","given":"Josephine"},{"family":"Manerkar","given":"Swati"},{"family":"Shankaran","given":"Seetha"},{"family":"Thayyil","given":"Sudhin"}],"issued":{"date-parts":[["2018",7,1]]}}}],"schema":"https://github.com/citation-style-language/schema/raw/master/csl-citation.json"} </w:instrText>
      </w:r>
      <w:r w:rsidR="00D360BE">
        <w:rPr>
          <w:rFonts w:ascii="Arial" w:hAnsi="Arial" w:cs="Arial"/>
          <w:sz w:val="22"/>
          <w:szCs w:val="22"/>
        </w:rPr>
        <w:fldChar w:fldCharType="separate"/>
      </w:r>
      <w:r w:rsidR="00F212EE">
        <w:rPr>
          <w:rFonts w:ascii="Arial" w:hAnsi="Arial" w:cs="Arial"/>
          <w:sz w:val="22"/>
          <w:lang w:val="en-US"/>
        </w:rPr>
        <w:t>[17]</w:t>
      </w:r>
      <w:r w:rsidR="00D360BE">
        <w:rPr>
          <w:rFonts w:ascii="Arial" w:hAnsi="Arial" w:cs="Arial"/>
          <w:sz w:val="22"/>
          <w:szCs w:val="22"/>
        </w:rPr>
        <w:fldChar w:fldCharType="end"/>
      </w:r>
      <w:r w:rsidR="00317F55" w:rsidRPr="002D4681">
        <w:rPr>
          <w:rFonts w:ascii="Arial" w:hAnsi="Arial" w:cs="Arial"/>
          <w:sz w:val="22"/>
          <w:szCs w:val="22"/>
        </w:rPr>
        <w:t xml:space="preserve">. </w:t>
      </w:r>
      <w:r w:rsidR="007F5153">
        <w:rPr>
          <w:rFonts w:ascii="Arial" w:hAnsi="Arial" w:cs="Arial"/>
          <w:sz w:val="22"/>
          <w:szCs w:val="22"/>
        </w:rPr>
        <w:t>R</w:t>
      </w:r>
      <w:r w:rsidR="00226204" w:rsidRPr="002D4681">
        <w:rPr>
          <w:rFonts w:ascii="Arial" w:hAnsi="Arial" w:cs="Arial"/>
          <w:sz w:val="22"/>
          <w:szCs w:val="22"/>
        </w:rPr>
        <w:t xml:space="preserve">eceipt of therapeutic hypothermia </w:t>
      </w:r>
      <w:r w:rsidR="002040BA">
        <w:rPr>
          <w:rFonts w:ascii="Arial" w:hAnsi="Arial" w:cs="Arial"/>
          <w:sz w:val="22"/>
          <w:szCs w:val="22"/>
        </w:rPr>
        <w:t>forms</w:t>
      </w:r>
      <w:r w:rsidR="00721082" w:rsidRPr="002D4681">
        <w:rPr>
          <w:rFonts w:ascii="Arial" w:hAnsi="Arial" w:cs="Arial"/>
          <w:sz w:val="22"/>
          <w:szCs w:val="22"/>
        </w:rPr>
        <w:t xml:space="preserve"> part of </w:t>
      </w:r>
      <w:r w:rsidR="00226204" w:rsidRPr="002D4681">
        <w:rPr>
          <w:rFonts w:ascii="Arial" w:hAnsi="Arial" w:cs="Arial"/>
          <w:sz w:val="22"/>
          <w:szCs w:val="22"/>
        </w:rPr>
        <w:t xml:space="preserve">an indicator </w:t>
      </w:r>
      <w:r w:rsidR="00721082" w:rsidRPr="002D4681">
        <w:rPr>
          <w:rFonts w:ascii="Arial" w:hAnsi="Arial" w:cs="Arial"/>
          <w:sz w:val="22"/>
          <w:szCs w:val="22"/>
        </w:rPr>
        <w:t xml:space="preserve">for </w:t>
      </w:r>
      <w:r w:rsidR="00226204" w:rsidRPr="002D4681">
        <w:rPr>
          <w:rFonts w:ascii="Arial" w:hAnsi="Arial" w:cs="Arial"/>
          <w:i/>
          <w:sz w:val="22"/>
          <w:szCs w:val="22"/>
        </w:rPr>
        <w:t>brain injury occurring at or shortly after birth</w:t>
      </w:r>
      <w:r w:rsidR="00202D4F">
        <w:rPr>
          <w:rFonts w:ascii="Arial" w:hAnsi="Arial" w:cs="Arial"/>
          <w:i/>
          <w:sz w:val="22"/>
          <w:szCs w:val="22"/>
        </w:rPr>
        <w:t xml:space="preserve"> </w:t>
      </w:r>
      <w:r w:rsidR="0016438C" w:rsidRPr="002D4681">
        <w:rPr>
          <w:rFonts w:ascii="Arial" w:hAnsi="Arial" w:cs="Arial"/>
          <w:sz w:val="22"/>
          <w:szCs w:val="22"/>
        </w:rPr>
        <w:fldChar w:fldCharType="begin"/>
      </w:r>
      <w:r w:rsidR="00593781">
        <w:rPr>
          <w:rFonts w:ascii="Arial" w:hAnsi="Arial" w:cs="Arial"/>
          <w:sz w:val="22"/>
          <w:szCs w:val="22"/>
        </w:rPr>
        <w:instrText xml:space="preserve"> ADDIN ZOTERO_ITEM CSL_CITATION {"citationID":"zlUd0OwY","properties":{"formattedCitation":"[2]","plainCitation":"[2]","noteIndex":0},"citationItems":[{"id":637,"uris":["http://zotero.org/users/5728505/items/FSWFI2XF"],"uri":["http://zotero.org/users/5728505/items/FSWFI2XF"],"itemData":{"id":637,"type":"article-journal","abstract":"Objective  In 2015, the Department of Health in England announced an ambition to reduce ’brain injuries occurring during or soon after birth’. We describe the development of a pragmatic case definition and present annual incidence rates. Design  Retrospective cohort study using data held in the National Neonatal Research Database (NNRD) extracted from neonatal electronic patient records from all National Health Service (NHS) neonatal units in England, Wales and Scotland. In 2010–2011, population coverage in the NNRD was incomplete, hence rate estimates are presented as a range; from 2012, population coverage is complete, and rates (95% CIs) are presented. Rates are per 1000 live births. Setting  NHS neonatal units in England. Patients  Infants admitted for neonatal care; denominator: live births in England. Main outcome measure  ’Brain injuries occurring at or soon after birth’ defined as infants with seizures, hypoxic-ischaemic encephalopathy, stroke, intracranial haemorrhage, central nervous system infection and kernicterus and preterm infants with cystic periventricular leucomalacia.\nResults  In 2010, the lower estimate of the rate of ’Brain injuries occurring at or soon after birth’ in England was 4.53 and the upper estimate was 5.19; in 2015, the rate was 5.14 (4.97, 5.32). For preterm infants, the population incidence in 2015 was 25.88 (24.51, 27.33) and 3.47 (3.33, 3.62) for term infants. Hypoxic-ischaemic encephalopathy was the largest contributor to term brain injury, and intraventricular/periventricular haemorrhage was the largest contributor to preterm brain injury.\nConclusions  Annual incidence rates for brain injuries can be estimated from data held in the NNRD; rates for individual conditions are consistent with published rates. Routinely recorded clinical data can be used for national surveillance, offering efficiencies over traditional approaches.","container-title":"Archives of Disease in Childhood - Fetal and Neonatal Edition","DOI":"10.1136/archdischild-2017-313707","ISSN":"1359-2998, 1468-2052","issue":"4","language":"en","page":"F301-F306","source":"Crossref","title":"Neonatal brain injuries in England: population-based incidence derived from routinely recorded clinical data held in the National Neonatal Research Database","title-short":"Neonatal brain injuries in England","volume":"103","author":[{"family":"Gale","given":"Chris"},{"family":"Statnikov","given":"Yevgeniy"},{"family":"Jawad","given":"Sena"},{"family":"Uthaya","given":"Sabita N"},{"family":"Modi","given":"Neena"}],"issued":{"date-parts":[["2018",7]]}}}],"schema":"https://github.com/citation-style-language/schema/raw/master/csl-citation.json"} </w:instrText>
      </w:r>
      <w:r w:rsidR="0016438C" w:rsidRPr="002D4681">
        <w:rPr>
          <w:rFonts w:ascii="Arial" w:hAnsi="Arial" w:cs="Arial"/>
          <w:sz w:val="22"/>
          <w:szCs w:val="22"/>
        </w:rPr>
        <w:fldChar w:fldCharType="separate"/>
      </w:r>
      <w:r w:rsidR="00593781">
        <w:rPr>
          <w:rFonts w:ascii="Arial" w:hAnsi="Arial" w:cs="Arial"/>
          <w:sz w:val="22"/>
          <w:lang w:val="en-US"/>
        </w:rPr>
        <w:t>[2]</w:t>
      </w:r>
      <w:r w:rsidR="0016438C" w:rsidRPr="002D4681">
        <w:rPr>
          <w:rFonts w:ascii="Arial" w:hAnsi="Arial" w:cs="Arial"/>
          <w:sz w:val="22"/>
          <w:szCs w:val="22"/>
        </w:rPr>
        <w:fldChar w:fldCharType="end"/>
      </w:r>
      <w:r w:rsidR="00721082" w:rsidRPr="002D4681">
        <w:rPr>
          <w:rFonts w:ascii="Arial" w:hAnsi="Arial" w:cs="Arial"/>
          <w:sz w:val="22"/>
          <w:szCs w:val="22"/>
        </w:rPr>
        <w:t xml:space="preserve"> </w:t>
      </w:r>
      <w:r w:rsidR="007F5153">
        <w:rPr>
          <w:rFonts w:ascii="Arial" w:hAnsi="Arial" w:cs="Arial"/>
          <w:sz w:val="22"/>
          <w:szCs w:val="22"/>
        </w:rPr>
        <w:t xml:space="preserve">in England, </w:t>
      </w:r>
      <w:r w:rsidR="00226204" w:rsidRPr="002D4681">
        <w:rPr>
          <w:rFonts w:ascii="Arial" w:hAnsi="Arial" w:cs="Arial"/>
          <w:sz w:val="22"/>
          <w:szCs w:val="22"/>
        </w:rPr>
        <w:t xml:space="preserve">therefore changes in the population receiving </w:t>
      </w:r>
      <w:r w:rsidR="005A216E" w:rsidRPr="002D4681">
        <w:rPr>
          <w:rFonts w:ascii="Arial" w:hAnsi="Arial" w:cs="Arial"/>
          <w:sz w:val="22"/>
          <w:szCs w:val="22"/>
        </w:rPr>
        <w:t xml:space="preserve">hypothermia </w:t>
      </w:r>
      <w:r w:rsidR="00226204" w:rsidRPr="002D4681">
        <w:rPr>
          <w:rFonts w:ascii="Arial" w:hAnsi="Arial" w:cs="Arial"/>
          <w:sz w:val="22"/>
          <w:szCs w:val="22"/>
        </w:rPr>
        <w:t>have potential to influence national</w:t>
      </w:r>
      <w:r w:rsidR="00721082" w:rsidRPr="002D4681">
        <w:rPr>
          <w:rFonts w:ascii="Arial" w:hAnsi="Arial" w:cs="Arial"/>
          <w:sz w:val="22"/>
          <w:szCs w:val="22"/>
        </w:rPr>
        <w:t xml:space="preserve"> reporting</w:t>
      </w:r>
      <w:r w:rsidR="009A0289" w:rsidRPr="002D4681">
        <w:rPr>
          <w:rFonts w:ascii="Arial" w:hAnsi="Arial" w:cs="Arial"/>
          <w:sz w:val="22"/>
          <w:szCs w:val="22"/>
        </w:rPr>
        <w:t>,</w:t>
      </w:r>
      <w:r w:rsidR="00721082" w:rsidRPr="002D4681">
        <w:rPr>
          <w:rFonts w:ascii="Arial" w:hAnsi="Arial" w:cs="Arial"/>
          <w:sz w:val="22"/>
          <w:szCs w:val="22"/>
        </w:rPr>
        <w:t xml:space="preserve"> and </w:t>
      </w:r>
      <w:r w:rsidR="009A0289" w:rsidRPr="002D4681">
        <w:rPr>
          <w:rFonts w:ascii="Arial" w:hAnsi="Arial" w:cs="Arial"/>
          <w:sz w:val="22"/>
          <w:szCs w:val="22"/>
        </w:rPr>
        <w:t xml:space="preserve">the </w:t>
      </w:r>
      <w:r w:rsidR="005A216E" w:rsidRPr="002D4681">
        <w:rPr>
          <w:rFonts w:ascii="Arial" w:hAnsi="Arial" w:cs="Arial"/>
          <w:sz w:val="22"/>
          <w:szCs w:val="22"/>
        </w:rPr>
        <w:t xml:space="preserve">benchmarking </w:t>
      </w:r>
      <w:r w:rsidR="00226204" w:rsidRPr="002D4681">
        <w:rPr>
          <w:rFonts w:ascii="Arial" w:hAnsi="Arial" w:cs="Arial"/>
          <w:sz w:val="22"/>
          <w:szCs w:val="22"/>
        </w:rPr>
        <w:t>and quality improvement initiatives</w:t>
      </w:r>
      <w:r w:rsidR="00721082" w:rsidRPr="002D4681">
        <w:rPr>
          <w:rFonts w:ascii="Arial" w:hAnsi="Arial" w:cs="Arial"/>
          <w:sz w:val="22"/>
          <w:szCs w:val="22"/>
        </w:rPr>
        <w:t xml:space="preserve"> that rely on such data</w:t>
      </w:r>
      <w:r w:rsidR="00226204" w:rsidRPr="002D4681">
        <w:rPr>
          <w:rFonts w:ascii="Arial" w:hAnsi="Arial" w:cs="Arial"/>
          <w:sz w:val="22"/>
          <w:szCs w:val="22"/>
        </w:rPr>
        <w:t xml:space="preserve">. </w:t>
      </w:r>
    </w:p>
    <w:p w14:paraId="21C04EB3" w14:textId="67B05099" w:rsidR="00275AC7" w:rsidRPr="002D4681" w:rsidRDefault="00721082" w:rsidP="00515DE8">
      <w:pPr>
        <w:spacing w:line="480" w:lineRule="auto"/>
        <w:jc w:val="both"/>
        <w:rPr>
          <w:rFonts w:ascii="Arial" w:hAnsi="Arial" w:cs="Arial"/>
          <w:sz w:val="22"/>
          <w:szCs w:val="22"/>
        </w:rPr>
      </w:pPr>
      <w:r w:rsidRPr="002D4681">
        <w:rPr>
          <w:rFonts w:ascii="Arial" w:hAnsi="Arial" w:cs="Arial"/>
          <w:sz w:val="22"/>
          <w:szCs w:val="22"/>
        </w:rPr>
        <w:t xml:space="preserve">The aim of this study was to examine the temporal trends in clinical characteristics and graded severity of babies diagnosed with HIE who received therapeutic hypothermia in the UK between 2010 and 2017. </w:t>
      </w:r>
      <w:r w:rsidR="008550BE">
        <w:rPr>
          <w:rFonts w:ascii="Arial" w:hAnsi="Arial" w:cs="Arial"/>
          <w:sz w:val="22"/>
          <w:szCs w:val="22"/>
        </w:rPr>
        <w:t>Clinical</w:t>
      </w:r>
      <w:r w:rsidR="008550BE" w:rsidRPr="002D4681">
        <w:rPr>
          <w:rFonts w:ascii="Arial" w:hAnsi="Arial" w:cs="Arial"/>
          <w:sz w:val="22"/>
          <w:szCs w:val="22"/>
        </w:rPr>
        <w:t xml:space="preserve"> </w:t>
      </w:r>
      <w:r w:rsidRPr="002D4681">
        <w:rPr>
          <w:rFonts w:ascii="Arial" w:hAnsi="Arial" w:cs="Arial"/>
          <w:sz w:val="22"/>
          <w:szCs w:val="22"/>
        </w:rPr>
        <w:t xml:space="preserve">classification of HIE severity </w:t>
      </w:r>
      <w:r w:rsidR="00317F55" w:rsidRPr="002D4681">
        <w:rPr>
          <w:rFonts w:ascii="Arial" w:hAnsi="Arial" w:cs="Arial"/>
          <w:sz w:val="22"/>
          <w:szCs w:val="22"/>
        </w:rPr>
        <w:t>display</w:t>
      </w:r>
      <w:r w:rsidR="002040BA">
        <w:rPr>
          <w:rFonts w:ascii="Arial" w:hAnsi="Arial" w:cs="Arial"/>
          <w:sz w:val="22"/>
          <w:szCs w:val="22"/>
        </w:rPr>
        <w:t>s</w:t>
      </w:r>
      <w:r w:rsidR="00317F55" w:rsidRPr="002D4681">
        <w:rPr>
          <w:rFonts w:ascii="Arial" w:hAnsi="Arial" w:cs="Arial"/>
          <w:sz w:val="22"/>
          <w:szCs w:val="22"/>
        </w:rPr>
        <w:t xml:space="preserve"> variability </w:t>
      </w:r>
      <w:r w:rsidR="00C620F1">
        <w:rPr>
          <w:rFonts w:ascii="Arial" w:hAnsi="Arial" w:cs="Arial"/>
          <w:sz w:val="22"/>
          <w:szCs w:val="22"/>
        </w:rPr>
        <w:t>among</w:t>
      </w:r>
      <w:r w:rsidR="00317F55" w:rsidRPr="002D4681">
        <w:rPr>
          <w:rFonts w:ascii="Arial" w:hAnsi="Arial" w:cs="Arial"/>
          <w:sz w:val="22"/>
          <w:szCs w:val="22"/>
        </w:rPr>
        <w:t xml:space="preserve"> observers</w:t>
      </w:r>
      <w:r w:rsidR="00B008F7">
        <w:rPr>
          <w:rFonts w:ascii="Arial" w:hAnsi="Arial" w:cs="Arial"/>
          <w:sz w:val="22"/>
          <w:szCs w:val="22"/>
        </w:rPr>
        <w:t>; the inter-observer reliability coefficient was 0.87 for Thompson score.</w:t>
      </w:r>
      <w:r w:rsidR="00202D4F">
        <w:rPr>
          <w:rFonts w:ascii="Arial" w:hAnsi="Arial" w:cs="Arial"/>
          <w:sz w:val="22"/>
          <w:szCs w:val="22"/>
        </w:rPr>
        <w:t xml:space="preserve"> </w:t>
      </w:r>
      <w:r w:rsidR="00317F55" w:rsidRPr="002D4681">
        <w:rPr>
          <w:rFonts w:ascii="Arial" w:hAnsi="Arial" w:cs="Arial"/>
          <w:sz w:val="22"/>
          <w:szCs w:val="22"/>
        </w:rPr>
        <w:fldChar w:fldCharType="begin"/>
      </w:r>
      <w:r w:rsidR="00B4374B">
        <w:rPr>
          <w:rFonts w:ascii="Arial" w:hAnsi="Arial" w:cs="Arial"/>
          <w:sz w:val="22"/>
          <w:szCs w:val="22"/>
        </w:rPr>
        <w:instrText xml:space="preserve"> ADDIN ZOTERO_ITEM CSL_CITATION {"citationID":"G4AoMkYk","properties":{"formattedCitation":"[7,18]","plainCitation":"[7,18]","noteIndex":0},"citationItems":[{"id":633,"uris":["http://zotero.org/users/5728505/items/BTYULNVS"],"uri":["http://zotero.org/users/5728505/items/BTYULNVS"],"itemData":{"id":633,"type":"article-journal","abstract":"Objective To evaluate serum neuronal and inﬂammatory biomarkers to determine whether measurements of umbilical cords at birth can stratify severity of hypoxic-ischemic encephalopathy (HIE), whether serial measurements differ with hypothermia-rewarming, and whether biomarkers correlate with neurological outcomes. Study design This is a prospective cohort of inborn term newborns with varying degrees of HIE by neurological assessment. Neuronal glial ﬁbrillary acidic protein (GFAP), ubiquitin carboxyl-terminal hydrolase L1, and inﬂammatory cytokines were measured in serum from umbilical artery at 6-24, 48, 72, and 78 hours of age. Neurodevelopmental outcomes (Bayley Scales of Infant and Toddler Development-III scales) were performed at 15-18 months.\nResults Twenty neonates had moderate (n = 17) or severe (n = 3) HIE and received hypothermia; 7 had mild HIE and were not cooled. At birth, serum GFAP and ubiquitin carboxyl-terminal hydrolase L1 increased with the severity of HIE (P &lt; .001), and serial GFAP remained elevated in neonates with moderate to severe HIE. Interleukin (IL)-6, IL-8, and vascular endothelial growth factor were greater at 6-24 hours in moderate to severe vs mild HIE (P &lt; .05). The serial values were unaffected by hypothermia-rewarming. Elevated GFAP, IL-1, IL-6, IL-8, tumor necrosis factor, interferon, and vascular endothelial growth factor at 6-24 hours were associated with abnormal neurological outcomes.\nConclusions The severity of the hypoxic-ischemic injury can be stratiﬁed at birth because elevated neuronal biomarkers in cord serum correlated with severity of HIE and outcomes. (J Pediatr 2014;164:468-74).","container-title":"The Journal of Pediatrics","DOI":"10.1016/j.jpeds.2013.10.067","ISSN":"00223476","issue":"3","language":"en","page":"468-474.e1","source":"Crossref","title":"Biomarkers for Severity of Neonatal Hypoxic-Ischemic Encephalopathy and Outcomes in Newborns Receiving Hypothermia Therapy","volume":"164","author":[{"family":"Chalak","given":"Lina F."},{"family":"Sánchez","given":"Pablo J."},{"family":"Adams-Huet","given":"Beverley"},{"family":"Laptook","given":"Abbot R."},{"family":"Heyne","given":"Roy J."},{"family":"Rosenfeld","given":"Charles R."}],"issued":{"date-parts":[["2014",3]]}},"label":"page"},{"id":664,"uris":["http://zotero.org/users/5728505/items/GGKK4ED4"],"uri":["http://zotero.org/users/5728505/items/GGKK4ED4"],"itemData":{"id":664,"type":"article-journal","abstract":"Background Hypoxic–ischemic encephalopathy (HIE) remains a significant cause of mortality and neurodevelopmental impairment despite treatment with therapeutic hypothermia. Magnetic resonance H1-spectroscopy measures concentrations of cerebral metabolites to detect derangements in aerobic metabolism.\nObjective We assessed MR spectroscopy in neonates with HIE within 18–24 h of initiating therapeutic hypothermia and at 5–6 days post therapeutic hypothermia. Materials and methods Eleven neonates with HIE underwent MR spectroscopy of the basal ganglia and white matter. We compared metabolite concentrations during therapeutic hypothermia and post-therapeutic hypothermia and between moderate and severe HIE.\nResults During therapeutic hypothermia, neonates with severe HIE had decreased basal ganglia N-acetylaspartate (NAA; 0.62 ±0.08 vs. 0.72±0.05; P=0.02), NAA + N-acetylaspartylglutamate (NAAG; 0.66±0.11 vs. 0.77±0.06; P=0.05), glycerophosphorylcholine + phosphatidylcholine (GPC+PCh; 0.28±0.05 vs. 0.38±0.06; P=0.02) and decreased white matter GPC+PCh (0.35±0.13 vs. 0.48±0.04; P=0.02) compared to neonates with moderate HIE. For all subjects, basal ganglia NAA decreased (−0.08±0.07; P=0.01), whereas white matter GPC+PCh increased (0.03±0.04; P=0.04) from therapeutic hypothermia MRI to post-therapeutic-hypothermia MRI. All metabolite values are expressed in mmol/L.\nConclusion Decreased NAA and GPC+PCh were associated with greater HIE severity and could distinguish neonates who might benefit most from targeted additional neuroprotective therapies.","container-title":"Pediatric Radiology","DOI":"10.1007/s00247-019-04383-8","ISSN":"0301-0449, 1432-1998","language":"en","source":"Crossref","title":"Early proton magnetic resonance spectroscopy during and after therapeutic hypothermia in perinatal hypoxic–ischemic encephalopathy","URL":"http://link.springer.com/10.1007/s00247-019-04383-8","author":[{"family":"Lucke","given":"Ashley M."},{"family":"Shetty","given":"Anil N."},{"family":"Hagan","given":"Joseph L."},{"family":"Walton","given":"Allison"},{"family":"Stafford","given":"Tiffany D."},{"family":"Chu","given":"Zili D."},{"family":"Rhee","given":"Christopher J."},{"family":"Kaiser","given":"Jeffrey R."},{"family":"Sanz Cortes","given":"Magdalena"}],"accessed":{"date-parts":[["2019",5,7]]},"issued":{"date-parts":[["2019",3,28]]}},"label":"page"}],"schema":"https://github.com/citation-style-language/schema/raw/master/csl-citation.json"} </w:instrText>
      </w:r>
      <w:r w:rsidR="00317F55" w:rsidRPr="002D4681">
        <w:rPr>
          <w:rFonts w:ascii="Arial" w:hAnsi="Arial" w:cs="Arial"/>
          <w:sz w:val="22"/>
          <w:szCs w:val="22"/>
        </w:rPr>
        <w:fldChar w:fldCharType="separate"/>
      </w:r>
      <w:r w:rsidR="00B4374B">
        <w:rPr>
          <w:rFonts w:ascii="Arial" w:hAnsi="Arial" w:cs="Arial"/>
          <w:sz w:val="22"/>
          <w:lang w:val="en-US"/>
        </w:rPr>
        <w:t>[7,18]</w:t>
      </w:r>
      <w:r w:rsidR="00317F55" w:rsidRPr="002D4681">
        <w:rPr>
          <w:rFonts w:ascii="Arial" w:hAnsi="Arial" w:cs="Arial"/>
          <w:sz w:val="22"/>
          <w:szCs w:val="22"/>
        </w:rPr>
        <w:fldChar w:fldCharType="end"/>
      </w:r>
      <w:r w:rsidR="002040BA">
        <w:rPr>
          <w:rFonts w:ascii="Arial" w:hAnsi="Arial" w:cs="Arial"/>
          <w:sz w:val="22"/>
          <w:szCs w:val="22"/>
        </w:rPr>
        <w:t xml:space="preserve">, </w:t>
      </w:r>
      <w:r w:rsidR="002040BA">
        <w:rPr>
          <w:rFonts w:ascii="Arial" w:hAnsi="Arial" w:cs="Arial"/>
          <w:sz w:val="22"/>
          <w:szCs w:val="22"/>
        </w:rPr>
        <w:lastRenderedPageBreak/>
        <w:t>t</w:t>
      </w:r>
      <w:r w:rsidR="0070633D" w:rsidRPr="002D4681">
        <w:rPr>
          <w:rFonts w:ascii="Arial" w:hAnsi="Arial" w:cs="Arial"/>
          <w:sz w:val="22"/>
          <w:szCs w:val="22"/>
        </w:rPr>
        <w:t>herefore</w:t>
      </w:r>
      <w:r w:rsidR="00226204" w:rsidRPr="002D4681">
        <w:rPr>
          <w:rFonts w:ascii="Arial" w:hAnsi="Arial" w:cs="Arial"/>
          <w:sz w:val="22"/>
          <w:szCs w:val="22"/>
        </w:rPr>
        <w:t xml:space="preserve"> </w:t>
      </w:r>
      <w:r w:rsidR="0070633D" w:rsidRPr="002D4681">
        <w:rPr>
          <w:rFonts w:ascii="Arial" w:hAnsi="Arial" w:cs="Arial"/>
          <w:sz w:val="22"/>
          <w:szCs w:val="22"/>
        </w:rPr>
        <w:t xml:space="preserve">clinical, </w:t>
      </w:r>
      <w:r w:rsidR="00226204" w:rsidRPr="002D4681">
        <w:rPr>
          <w:rFonts w:ascii="Arial" w:hAnsi="Arial" w:cs="Arial"/>
          <w:sz w:val="22"/>
          <w:szCs w:val="22"/>
        </w:rPr>
        <w:t>p</w:t>
      </w:r>
      <w:r w:rsidR="00317F55" w:rsidRPr="002D4681">
        <w:rPr>
          <w:rFonts w:ascii="Arial" w:hAnsi="Arial" w:cs="Arial"/>
          <w:sz w:val="22"/>
          <w:szCs w:val="22"/>
        </w:rPr>
        <w:t xml:space="preserve">hysiological and biochemical </w:t>
      </w:r>
      <w:r w:rsidR="0070633D" w:rsidRPr="002D4681">
        <w:rPr>
          <w:rFonts w:ascii="Arial" w:hAnsi="Arial" w:cs="Arial"/>
          <w:sz w:val="22"/>
          <w:szCs w:val="22"/>
        </w:rPr>
        <w:t>markers were used to characterise the</w:t>
      </w:r>
      <w:r w:rsidR="00317F55" w:rsidRPr="002D4681">
        <w:rPr>
          <w:rFonts w:ascii="Arial" w:hAnsi="Arial" w:cs="Arial"/>
          <w:sz w:val="22"/>
          <w:szCs w:val="22"/>
        </w:rPr>
        <w:t xml:space="preserve"> severity of </w:t>
      </w:r>
      <w:r w:rsidR="00226204" w:rsidRPr="002D4681">
        <w:rPr>
          <w:rFonts w:ascii="Arial" w:hAnsi="Arial" w:cs="Arial"/>
          <w:sz w:val="22"/>
          <w:szCs w:val="22"/>
        </w:rPr>
        <w:t xml:space="preserve">hypoxia ischaemia that infants </w:t>
      </w:r>
      <w:r w:rsidR="0070633D" w:rsidRPr="002D4681">
        <w:rPr>
          <w:rFonts w:ascii="Arial" w:hAnsi="Arial" w:cs="Arial"/>
          <w:sz w:val="22"/>
          <w:szCs w:val="22"/>
        </w:rPr>
        <w:t xml:space="preserve">had </w:t>
      </w:r>
      <w:r w:rsidR="00226204" w:rsidRPr="002D4681">
        <w:rPr>
          <w:rFonts w:ascii="Arial" w:hAnsi="Arial" w:cs="Arial"/>
          <w:sz w:val="22"/>
          <w:szCs w:val="22"/>
        </w:rPr>
        <w:t>been exposed to</w:t>
      </w:r>
      <w:r w:rsidR="0070633D" w:rsidRPr="002D4681">
        <w:rPr>
          <w:rFonts w:ascii="Arial" w:hAnsi="Arial" w:cs="Arial"/>
          <w:sz w:val="22"/>
          <w:szCs w:val="22"/>
        </w:rPr>
        <w:t>, in parallel with recorded grade of HIE</w:t>
      </w:r>
      <w:r w:rsidR="00226204" w:rsidRPr="002D4681">
        <w:rPr>
          <w:rFonts w:ascii="Arial" w:hAnsi="Arial" w:cs="Arial"/>
          <w:sz w:val="22"/>
          <w:szCs w:val="22"/>
        </w:rPr>
        <w:t>.</w:t>
      </w:r>
      <w:r w:rsidR="00317F55" w:rsidRPr="002D4681">
        <w:rPr>
          <w:rFonts w:ascii="Arial" w:hAnsi="Arial" w:cs="Arial"/>
          <w:sz w:val="22"/>
          <w:szCs w:val="22"/>
        </w:rPr>
        <w:t xml:space="preserve"> </w:t>
      </w:r>
    </w:p>
    <w:p w14:paraId="2AC44789" w14:textId="77777777" w:rsidR="00C620F1" w:rsidRDefault="00C620F1" w:rsidP="00515DE8">
      <w:pPr>
        <w:spacing w:line="480" w:lineRule="auto"/>
        <w:jc w:val="both"/>
        <w:rPr>
          <w:rFonts w:ascii="Arial" w:hAnsi="Arial" w:cs="Arial"/>
          <w:b/>
          <w:sz w:val="22"/>
          <w:szCs w:val="22"/>
        </w:rPr>
      </w:pPr>
    </w:p>
    <w:p w14:paraId="70FF58DE" w14:textId="2CD2B707" w:rsidR="00EF070A" w:rsidRPr="002D4681" w:rsidRDefault="00EF070A" w:rsidP="00515DE8">
      <w:pPr>
        <w:spacing w:line="480" w:lineRule="auto"/>
        <w:jc w:val="both"/>
        <w:rPr>
          <w:rFonts w:ascii="Arial" w:hAnsi="Arial" w:cs="Arial"/>
          <w:sz w:val="22"/>
          <w:szCs w:val="22"/>
        </w:rPr>
      </w:pPr>
      <w:r w:rsidRPr="002D4681">
        <w:rPr>
          <w:rFonts w:ascii="Arial" w:hAnsi="Arial" w:cs="Arial"/>
          <w:b/>
          <w:sz w:val="22"/>
          <w:szCs w:val="22"/>
        </w:rPr>
        <w:t>METHODS</w:t>
      </w:r>
      <w:r w:rsidR="008F01B2" w:rsidRPr="002D4681">
        <w:rPr>
          <w:rFonts w:ascii="Arial" w:hAnsi="Arial" w:cs="Arial"/>
          <w:b/>
          <w:sz w:val="22"/>
          <w:szCs w:val="22"/>
        </w:rPr>
        <w:t xml:space="preserve"> </w:t>
      </w:r>
    </w:p>
    <w:p w14:paraId="662F114F" w14:textId="4E988433" w:rsidR="00383A14" w:rsidRPr="002D4681" w:rsidRDefault="00383A14" w:rsidP="00515DE8">
      <w:pPr>
        <w:spacing w:line="480" w:lineRule="auto"/>
        <w:jc w:val="both"/>
        <w:rPr>
          <w:rFonts w:ascii="Arial" w:hAnsi="Arial" w:cs="Arial"/>
          <w:sz w:val="22"/>
          <w:szCs w:val="22"/>
        </w:rPr>
      </w:pPr>
      <w:r w:rsidRPr="002D4681">
        <w:rPr>
          <w:rFonts w:ascii="Arial" w:hAnsi="Arial" w:cs="Arial"/>
          <w:sz w:val="22"/>
          <w:szCs w:val="22"/>
        </w:rPr>
        <w:t xml:space="preserve">We undertook a retrospective, descriptive, cohort study using </w:t>
      </w:r>
      <w:r w:rsidR="00F55571" w:rsidRPr="002D4681">
        <w:rPr>
          <w:rFonts w:ascii="Arial" w:hAnsi="Arial" w:cs="Arial"/>
          <w:sz w:val="22"/>
          <w:szCs w:val="22"/>
        </w:rPr>
        <w:t>deidentified</w:t>
      </w:r>
      <w:r w:rsidR="004616EE" w:rsidRPr="002D4681">
        <w:rPr>
          <w:rFonts w:ascii="Arial" w:hAnsi="Arial" w:cs="Arial"/>
          <w:sz w:val="22"/>
          <w:szCs w:val="22"/>
        </w:rPr>
        <w:t xml:space="preserve">, </w:t>
      </w:r>
      <w:r w:rsidRPr="002D4681">
        <w:rPr>
          <w:rFonts w:ascii="Arial" w:hAnsi="Arial" w:cs="Arial"/>
          <w:sz w:val="22"/>
          <w:szCs w:val="22"/>
        </w:rPr>
        <w:t xml:space="preserve">routinely recorded neonatal clinical data held in the National Neonatal Research Database (NNRD).  </w:t>
      </w:r>
    </w:p>
    <w:p w14:paraId="582269B3" w14:textId="77777777" w:rsidR="007D7F59" w:rsidRPr="002D4681" w:rsidRDefault="007D7F59" w:rsidP="00515DE8">
      <w:pPr>
        <w:autoSpaceDE w:val="0"/>
        <w:autoSpaceDN w:val="0"/>
        <w:adjustRightInd w:val="0"/>
        <w:spacing w:line="480" w:lineRule="auto"/>
        <w:jc w:val="both"/>
        <w:rPr>
          <w:rFonts w:ascii="Arial" w:hAnsi="Arial" w:cs="Arial"/>
          <w:sz w:val="22"/>
          <w:szCs w:val="22"/>
        </w:rPr>
      </w:pPr>
    </w:p>
    <w:p w14:paraId="3E12BB6D" w14:textId="0AA180D3" w:rsidR="006C79D4" w:rsidRPr="00086178" w:rsidRDefault="00524137" w:rsidP="00515DE8">
      <w:pPr>
        <w:autoSpaceDE w:val="0"/>
        <w:autoSpaceDN w:val="0"/>
        <w:adjustRightInd w:val="0"/>
        <w:spacing w:line="480" w:lineRule="auto"/>
        <w:jc w:val="both"/>
        <w:rPr>
          <w:rFonts w:ascii="Arial" w:hAnsi="Arial" w:cs="Arial"/>
          <w:b/>
          <w:sz w:val="22"/>
          <w:szCs w:val="22"/>
        </w:rPr>
      </w:pPr>
      <w:r>
        <w:rPr>
          <w:rFonts w:ascii="Arial" w:hAnsi="Arial" w:cs="Arial"/>
          <w:b/>
          <w:sz w:val="22"/>
          <w:szCs w:val="22"/>
        </w:rPr>
        <w:t>d</w:t>
      </w:r>
      <w:r w:rsidR="00086178">
        <w:rPr>
          <w:rFonts w:ascii="Arial" w:hAnsi="Arial" w:cs="Arial"/>
          <w:b/>
          <w:sz w:val="22"/>
          <w:szCs w:val="22"/>
        </w:rPr>
        <w:t>ata source</w:t>
      </w:r>
    </w:p>
    <w:p w14:paraId="6ACACF1E" w14:textId="0629BC7E" w:rsidR="00F9172B" w:rsidRDefault="00C63D77" w:rsidP="00515DE8">
      <w:pPr>
        <w:autoSpaceDE w:val="0"/>
        <w:autoSpaceDN w:val="0"/>
        <w:adjustRightInd w:val="0"/>
        <w:spacing w:line="480" w:lineRule="auto"/>
        <w:jc w:val="both"/>
        <w:rPr>
          <w:rFonts w:ascii="Arial" w:hAnsi="Arial" w:cs="Arial"/>
          <w:sz w:val="22"/>
          <w:szCs w:val="22"/>
        </w:rPr>
      </w:pPr>
      <w:r w:rsidRPr="002D4681">
        <w:rPr>
          <w:rFonts w:ascii="Arial" w:hAnsi="Arial" w:cs="Arial"/>
          <w:sz w:val="22"/>
          <w:szCs w:val="22"/>
        </w:rPr>
        <w:t>T</w:t>
      </w:r>
      <w:r w:rsidR="00383A14" w:rsidRPr="002D4681">
        <w:rPr>
          <w:rFonts w:ascii="Arial" w:hAnsi="Arial" w:cs="Arial"/>
          <w:sz w:val="22"/>
          <w:szCs w:val="22"/>
        </w:rPr>
        <w:t>he NNR</w:t>
      </w:r>
      <w:r w:rsidR="00BF4F95" w:rsidRPr="002D4681">
        <w:rPr>
          <w:rFonts w:ascii="Arial" w:hAnsi="Arial" w:cs="Arial"/>
          <w:sz w:val="22"/>
          <w:szCs w:val="22"/>
        </w:rPr>
        <w:t>D</w:t>
      </w:r>
      <w:r w:rsidR="00636C14">
        <w:rPr>
          <w:rFonts w:ascii="Arial" w:hAnsi="Arial" w:cs="Arial"/>
          <w:sz w:val="22"/>
          <w:szCs w:val="22"/>
        </w:rPr>
        <w:t xml:space="preserve"> </w:t>
      </w:r>
      <w:r w:rsidR="00BF4F95" w:rsidRPr="002D4681">
        <w:rPr>
          <w:rFonts w:ascii="Arial" w:hAnsi="Arial" w:cs="Arial"/>
          <w:sz w:val="22"/>
          <w:szCs w:val="22"/>
        </w:rPr>
        <w:fldChar w:fldCharType="begin"/>
      </w:r>
      <w:r w:rsidR="00B4374B">
        <w:rPr>
          <w:rFonts w:ascii="Arial" w:hAnsi="Arial" w:cs="Arial"/>
          <w:sz w:val="22"/>
          <w:szCs w:val="22"/>
        </w:rPr>
        <w:instrText xml:space="preserve"> ADDIN ZOTERO_ITEM CSL_CITATION {"citationID":"TGh2gl9J","properties":{"formattedCitation":"[19]","plainCitation":"[19]","noteIndex":0},"citationItems":[{"id":804,"uris":["http://zotero.org/users/5728505/items/IYGT29WT"],"uri":["http://zotero.org/users/5728505/items/IYGT29WT"],"itemData":{"id":804,"type":"article-journal","abstract":"Background The National Neonatal Research Database (NNRD) is a rich repository of pre-defined clinical data extracted at regular intervals from point-of-care, clinician-entered electronic patient records on all admissions to National Health Service neonatal units in England, Wales, and Scotland. We describe population coverage for England and assess data completeness and accuracy. Methods We determined population coverage of the NNRD in 2008–2014 through comparison with data on live births in England from the Office for National Statistics. We determined the completeness of seven data items on the NNRD. We assessed the accuracy of 44 data items (16 patient characteristics, 17 processes, 11 clinical outcomes) for infants enrolled in the multi-centre randomised controlled trial, Probiotics in Preterm Study (PiPs). We compared NNRD to PiPs data, the gold standard, and calculated discordancy rates using predefined criteria, and sensitivity, specificity and positive predictive values (PPV) of binary outcomes. Results The NNRD holds complete population data for England for infants born alive from 25+0 to 31+6 (completed weeks) of gestation; and 70% and 90% for those born at 23 and 24 weeks respectively. Completeness of patient characteristics was over 90%. Data were linked for 2257 episodes of care received by 1258 of the 1310 babies recruited to PiPs. Discordancy rates were &lt;5% for 13/16 patient characteristics (exceptions: mode of delivery 8.7%; maternal ethnicity 10.2%, Lower layer Super Output Area 16.5%); &lt;5% for 9/16 processes (exceptions: medical treatment for Patent ductus arteriosus 6.1%, high-dependency days 10.2%, central line days 11.2%, type of first milk 22.3%; and during first 14 days, summary of types of milk 13.8%; number of days of antibiotics 9.0%; whether antacid given 5.1%); and &lt;5% for 10/11 clinical outcomes (exception: Bronchopulmonary dysplasia, defined as oxygen dependency at 36 weeks postmenstrual age 3.3%). The specificity of NNRD data was &gt;85% for all outcomes; sensitivity ranged from 50–100%; PPV ranged from 58.8 (95% CI 40.8–75.4%) for porencephalic cyst to 99.7 (95% CI 99.2, 99.9%) for survival to discharge. Conclusions The completeness and quality of data held in the NNRD is high, providing assurance in relation to use for multiple purposes, including national audit, health service evaluations, quality improvement, and research.","container-title":"PLOS ONE","DOI":"10.1371/journal.pone.0201815","ISSN":"1932-6203","issue":"8","journalAbbreviation":"PLOS ONE","language":"en","page":"e0201815","source":"PLoS Journals","title":"The United Kingdom National Neonatal Research Database: A validation study","title-short":"The United Kingdom National Neonatal Research Database","volume":"13","author":[{"family":"Battersby","given":"Cheryl"},{"family":"Statnikov","given":"Yevgeniy"},{"family":"Santhakumaran","given":"Shalini"},{"family":"Gray","given":"Daniel"},{"family":"Modi","given":"Neena"},{"family":"Costeloe","given":"Kate"},{"family":"Group","given":"UK Neonatal Collaborative and Medicines for Neonates Investigator"}],"issued":{"date-parts":[["2018",8,16]]}}}],"schema":"https://github.com/citation-style-language/schema/raw/master/csl-citation.json"} </w:instrText>
      </w:r>
      <w:r w:rsidR="00BF4F95" w:rsidRPr="002D4681">
        <w:rPr>
          <w:rFonts w:ascii="Arial" w:hAnsi="Arial" w:cs="Arial"/>
          <w:sz w:val="22"/>
          <w:szCs w:val="22"/>
        </w:rPr>
        <w:fldChar w:fldCharType="separate"/>
      </w:r>
      <w:r w:rsidR="00B4374B">
        <w:rPr>
          <w:rFonts w:ascii="Arial" w:hAnsi="Arial" w:cs="Arial"/>
          <w:sz w:val="22"/>
          <w:lang w:val="en-US"/>
        </w:rPr>
        <w:t>[19]</w:t>
      </w:r>
      <w:r w:rsidR="00BF4F95" w:rsidRPr="002D4681">
        <w:rPr>
          <w:rFonts w:ascii="Arial" w:hAnsi="Arial" w:cs="Arial"/>
          <w:sz w:val="22"/>
          <w:szCs w:val="22"/>
        </w:rPr>
        <w:fldChar w:fldCharType="end"/>
      </w:r>
      <w:r w:rsidRPr="002D4681">
        <w:rPr>
          <w:rFonts w:ascii="Arial" w:hAnsi="Arial" w:cs="Arial"/>
          <w:sz w:val="22"/>
          <w:szCs w:val="22"/>
        </w:rPr>
        <w:t xml:space="preserve"> </w:t>
      </w:r>
      <w:r w:rsidR="00383A14" w:rsidRPr="002D4681">
        <w:rPr>
          <w:rFonts w:ascii="Arial" w:hAnsi="Arial" w:cs="Arial"/>
          <w:sz w:val="22"/>
          <w:szCs w:val="22"/>
        </w:rPr>
        <w:t xml:space="preserve">holds </w:t>
      </w:r>
      <w:r w:rsidRPr="002D4681">
        <w:rPr>
          <w:rFonts w:ascii="Arial" w:hAnsi="Arial" w:cs="Arial"/>
          <w:sz w:val="22"/>
          <w:szCs w:val="22"/>
        </w:rPr>
        <w:t xml:space="preserve">deidentified </w:t>
      </w:r>
      <w:r w:rsidR="00383A14" w:rsidRPr="002D4681">
        <w:rPr>
          <w:rFonts w:ascii="Arial" w:hAnsi="Arial" w:cs="Arial"/>
          <w:sz w:val="22"/>
          <w:szCs w:val="22"/>
        </w:rPr>
        <w:t>data from all infants admitted to National Health Service (NHS) neonatal units in England, Scotland and Wales (approximately 90,000 infants annually). In the United Kingdom therapeutic hypothermia is not provided outside of NHS neonatal units. Data are extracted from neonatal electronic health records completed by health professionals during routine clinical care. A defined data extract, the Neonatal Dataset</w:t>
      </w:r>
      <w:r w:rsidR="00DE6113">
        <w:rPr>
          <w:rFonts w:ascii="Arial" w:hAnsi="Arial" w:cs="Arial"/>
          <w:sz w:val="22"/>
          <w:szCs w:val="22"/>
        </w:rPr>
        <w:t xml:space="preserve"> </w:t>
      </w:r>
      <w:r w:rsidR="00BF4F95" w:rsidRPr="002D4681">
        <w:rPr>
          <w:rFonts w:ascii="Arial" w:hAnsi="Arial" w:cs="Arial"/>
          <w:sz w:val="22"/>
          <w:szCs w:val="22"/>
        </w:rPr>
        <w:fldChar w:fldCharType="begin"/>
      </w:r>
      <w:r w:rsidR="00B4374B">
        <w:rPr>
          <w:rFonts w:ascii="Arial" w:hAnsi="Arial" w:cs="Arial"/>
          <w:sz w:val="22"/>
          <w:szCs w:val="22"/>
        </w:rPr>
        <w:instrText xml:space="preserve"> ADDIN ZOTERO_ITEM CSL_CITATION {"citationID":"5SopzuOB","properties":{"formattedCitation":"[20]","plainCitation":"[20]","noteIndex":0},"citationItems":[{"id":802,"uris":["http://zotero.org/users/5728505/items/CD4CF98Q"],"uri":["http://zotero.org/users/5728505/items/CD4CF98Q"],"itemData":{"id":802,"type":"webpage","title":"National Neonatal Data Set Overview","title-short":"National Neonatal Data Set","URL":"https://www.datadictionary.nhs.uk/web_site_content/navigation/national_neonatal_data_sets_menu.asp"}}],"schema":"https://github.com/citation-style-language/schema/raw/master/csl-citation.json"} </w:instrText>
      </w:r>
      <w:r w:rsidR="00BF4F95" w:rsidRPr="002D4681">
        <w:rPr>
          <w:rFonts w:ascii="Arial" w:hAnsi="Arial" w:cs="Arial"/>
          <w:sz w:val="22"/>
          <w:szCs w:val="22"/>
        </w:rPr>
        <w:fldChar w:fldCharType="separate"/>
      </w:r>
      <w:r w:rsidR="00B4374B">
        <w:rPr>
          <w:rFonts w:ascii="Arial" w:hAnsi="Arial" w:cs="Arial"/>
          <w:sz w:val="22"/>
          <w:lang w:val="en-US"/>
        </w:rPr>
        <w:t>[20]</w:t>
      </w:r>
      <w:r w:rsidR="00BF4F95" w:rsidRPr="002D4681">
        <w:rPr>
          <w:rFonts w:ascii="Arial" w:hAnsi="Arial" w:cs="Arial"/>
          <w:sz w:val="22"/>
          <w:szCs w:val="22"/>
        </w:rPr>
        <w:fldChar w:fldCharType="end"/>
      </w:r>
      <w:r w:rsidR="009A0289" w:rsidRPr="002D4681">
        <w:rPr>
          <w:rFonts w:ascii="Arial" w:hAnsi="Arial" w:cs="Arial"/>
          <w:sz w:val="22"/>
          <w:szCs w:val="22"/>
        </w:rPr>
        <w:t>,</w:t>
      </w:r>
      <w:r w:rsidR="00383A14" w:rsidRPr="002D4681">
        <w:rPr>
          <w:rFonts w:ascii="Arial" w:hAnsi="Arial" w:cs="Arial"/>
          <w:sz w:val="22"/>
          <w:szCs w:val="22"/>
        </w:rPr>
        <w:t xml:space="preserve"> of approximately 450 data items is transmitted quarterly to the Neonatal Data Analysis Unit where patient episodes across different hospitals are linked and data are cleaned (queries about discrepancies and implausible data configurations are fed back to health professionals and rectified). Completeness and accuracy of data held in the NNRD have been assessed in comparison with Case Record Forms from a multicentre randomised controlled trial</w:t>
      </w:r>
      <w:r w:rsidRPr="002D4681">
        <w:rPr>
          <w:rFonts w:ascii="Arial" w:hAnsi="Arial" w:cs="Arial"/>
          <w:sz w:val="22"/>
          <w:szCs w:val="22"/>
        </w:rPr>
        <w:t xml:space="preserve"> which </w:t>
      </w:r>
      <w:r w:rsidR="00383A14" w:rsidRPr="002D4681">
        <w:rPr>
          <w:rFonts w:ascii="Arial" w:hAnsi="Arial" w:cs="Arial"/>
          <w:sz w:val="22"/>
          <w:szCs w:val="22"/>
        </w:rPr>
        <w:t>demonstrated high data agreement</w:t>
      </w:r>
      <w:r w:rsidR="00DE6113">
        <w:rPr>
          <w:rFonts w:ascii="Arial" w:hAnsi="Arial" w:cs="Arial"/>
          <w:sz w:val="22"/>
          <w:szCs w:val="22"/>
        </w:rPr>
        <w:t xml:space="preserve"> </w:t>
      </w:r>
      <w:r w:rsidR="00BF4F95" w:rsidRPr="002D4681">
        <w:rPr>
          <w:rFonts w:ascii="Arial" w:hAnsi="Arial" w:cs="Arial"/>
          <w:sz w:val="22"/>
          <w:szCs w:val="22"/>
        </w:rPr>
        <w:fldChar w:fldCharType="begin"/>
      </w:r>
      <w:r w:rsidR="00B4374B">
        <w:rPr>
          <w:rFonts w:ascii="Arial" w:hAnsi="Arial" w:cs="Arial"/>
          <w:sz w:val="22"/>
          <w:szCs w:val="22"/>
        </w:rPr>
        <w:instrText xml:space="preserve"> ADDIN ZOTERO_ITEM CSL_CITATION {"citationID":"o8XJg13U","properties":{"formattedCitation":"[19]","plainCitation":"[19]","noteIndex":0},"citationItems":[{"id":804,"uris":["http://zotero.org/users/5728505/items/IYGT29WT"],"uri":["http://zotero.org/users/5728505/items/IYGT29WT"],"itemData":{"id":804,"type":"article-journal","abstract":"Background The National Neonatal Research Database (NNRD) is a rich repository of pre-defined clinical data extracted at regular intervals from point-of-care, clinician-entered electronic patient records on all admissions to National Health Service neonatal units in England, Wales, and Scotland. We describe population coverage for England and assess data completeness and accuracy. Methods We determined population coverage of the NNRD in 2008–2014 through comparison with data on live births in England from the Office for National Statistics. We determined the completeness of seven data items on the NNRD. We assessed the accuracy of 44 data items (16 patient characteristics, 17 processes, 11 clinical outcomes) for infants enrolled in the multi-centre randomised controlled trial, Probiotics in Preterm Study (PiPs). We compared NNRD to PiPs data, the gold standard, and calculated discordancy rates using predefined criteria, and sensitivity, specificity and positive predictive values (PPV) of binary outcomes. Results The NNRD holds complete population data for England for infants born alive from 25+0 to 31+6 (completed weeks) of gestation; and 70% and 90% for those born at 23 and 24 weeks respectively. Completeness of patient characteristics was over 90%. Data were linked for 2257 episodes of care received by 1258 of the 1310 babies recruited to PiPs. Discordancy rates were &lt;5% for 13/16 patient characteristics (exceptions: mode of delivery 8.7%; maternal ethnicity 10.2%, Lower layer Super Output Area 16.5%); &lt;5% for 9/16 processes (exceptions: medical treatment for Patent ductus arteriosus 6.1%, high-dependency days 10.2%, central line days 11.2%, type of first milk 22.3%; and during first 14 days, summary of types of milk 13.8%; number of days of antibiotics 9.0%; whether antacid given 5.1%); and &lt;5% for 10/11 clinical outcomes (exception: Bronchopulmonary dysplasia, defined as oxygen dependency at 36 weeks postmenstrual age 3.3%). The specificity of NNRD data was &gt;85% for all outcomes; sensitivity ranged from 50–100%; PPV ranged from 58.8 (95% CI 40.8–75.4%) for porencephalic cyst to 99.7 (95% CI 99.2, 99.9%) for survival to discharge. Conclusions The completeness and quality of data held in the NNRD is high, providing assurance in relation to use for multiple purposes, including national audit, health service evaluations, quality improvement, and research.","container-title":"PLOS ONE","DOI":"10.1371/journal.pone.0201815","ISSN":"1932-6203","issue":"8","journalAbbreviation":"PLOS ONE","language":"en","page":"e0201815","source":"PLoS Journals","title":"The United Kingdom National Neonatal Research Database: A validation study","title-short":"The United Kingdom National Neonatal Research Database","volume":"13","author":[{"family":"Battersby","given":"Cheryl"},{"family":"Statnikov","given":"Yevgeniy"},{"family":"Santhakumaran","given":"Shalini"},{"family":"Gray","given":"Daniel"},{"family":"Modi","given":"Neena"},{"family":"Costeloe","given":"Kate"},{"family":"Group","given":"UK Neonatal Collaborative and Medicines for Neonates Investigator"}],"issued":{"date-parts":[["2018",8,16]]}}}],"schema":"https://github.com/citation-style-language/schema/raw/master/csl-citation.json"} </w:instrText>
      </w:r>
      <w:r w:rsidR="00BF4F95" w:rsidRPr="002D4681">
        <w:rPr>
          <w:rFonts w:ascii="Arial" w:hAnsi="Arial" w:cs="Arial"/>
          <w:sz w:val="22"/>
          <w:szCs w:val="22"/>
        </w:rPr>
        <w:fldChar w:fldCharType="separate"/>
      </w:r>
      <w:r w:rsidR="00B4374B">
        <w:rPr>
          <w:rFonts w:ascii="Arial" w:hAnsi="Arial" w:cs="Arial"/>
          <w:sz w:val="22"/>
          <w:lang w:val="en-US"/>
        </w:rPr>
        <w:t>[19]</w:t>
      </w:r>
      <w:r w:rsidR="00BF4F95" w:rsidRPr="002D4681">
        <w:rPr>
          <w:rFonts w:ascii="Arial" w:hAnsi="Arial" w:cs="Arial"/>
          <w:sz w:val="22"/>
          <w:szCs w:val="22"/>
        </w:rPr>
        <w:fldChar w:fldCharType="end"/>
      </w:r>
      <w:r w:rsidR="00383A14" w:rsidRPr="002D4681">
        <w:rPr>
          <w:rFonts w:ascii="Arial" w:hAnsi="Arial" w:cs="Arial"/>
          <w:sz w:val="22"/>
          <w:szCs w:val="22"/>
        </w:rPr>
        <w:t xml:space="preserve">. </w:t>
      </w:r>
      <w:r w:rsidR="00AF2186" w:rsidRPr="002D4681">
        <w:rPr>
          <w:rFonts w:ascii="Arial" w:hAnsi="Arial" w:cs="Arial"/>
          <w:sz w:val="22"/>
          <w:szCs w:val="22"/>
        </w:rPr>
        <w:t>Data items include demographic and admission items (clinical reason for admission), labour and delivery details (resuscitation and initial condition) daily items (seizures, ventilation, nitric oxide and inotropes administration) and discharge items (diagnosis at discharge</w:t>
      </w:r>
      <w:r w:rsidR="00F9172B" w:rsidRPr="00F9172B">
        <w:rPr>
          <w:rFonts w:ascii="Arial" w:hAnsi="Arial" w:cs="Arial"/>
          <w:sz w:val="22"/>
          <w:szCs w:val="22"/>
        </w:rPr>
        <w:t xml:space="preserve"> </w:t>
      </w:r>
      <w:r w:rsidR="00F9172B">
        <w:rPr>
          <w:rFonts w:ascii="Arial" w:hAnsi="Arial" w:cs="Arial"/>
          <w:sz w:val="22"/>
          <w:szCs w:val="22"/>
        </w:rPr>
        <w:t>The individual components of HIE severity classification systems are not recorded in the NNRD.</w:t>
      </w:r>
    </w:p>
    <w:p w14:paraId="7B3422A2" w14:textId="77777777" w:rsidR="006C425A" w:rsidRPr="002D4681" w:rsidRDefault="006C425A" w:rsidP="00F9172B">
      <w:pPr>
        <w:autoSpaceDE w:val="0"/>
        <w:autoSpaceDN w:val="0"/>
        <w:adjustRightInd w:val="0"/>
        <w:spacing w:line="480" w:lineRule="auto"/>
        <w:jc w:val="both"/>
        <w:rPr>
          <w:rFonts w:ascii="Arial" w:hAnsi="Arial" w:cs="Arial"/>
          <w:sz w:val="22"/>
          <w:szCs w:val="22"/>
        </w:rPr>
      </w:pPr>
    </w:p>
    <w:p w14:paraId="26588694" w14:textId="4A2BCAAF" w:rsidR="00EE7BCD" w:rsidRPr="00086178" w:rsidRDefault="00524137" w:rsidP="00515DE8">
      <w:pPr>
        <w:spacing w:line="480" w:lineRule="auto"/>
        <w:jc w:val="both"/>
        <w:rPr>
          <w:rFonts w:ascii="Arial" w:hAnsi="Arial" w:cs="Arial"/>
          <w:b/>
          <w:sz w:val="22"/>
          <w:szCs w:val="22"/>
        </w:rPr>
      </w:pPr>
      <w:r>
        <w:rPr>
          <w:rFonts w:ascii="Arial" w:hAnsi="Arial" w:cs="Arial"/>
          <w:b/>
          <w:sz w:val="22"/>
          <w:szCs w:val="22"/>
        </w:rPr>
        <w:t>s</w:t>
      </w:r>
      <w:r w:rsidR="00086178">
        <w:rPr>
          <w:rFonts w:ascii="Arial" w:hAnsi="Arial" w:cs="Arial"/>
          <w:b/>
          <w:sz w:val="22"/>
          <w:szCs w:val="22"/>
        </w:rPr>
        <w:t>tudy population</w:t>
      </w:r>
    </w:p>
    <w:p w14:paraId="29956495" w14:textId="5E8D20A8" w:rsidR="00274496" w:rsidRPr="002D4681" w:rsidRDefault="004616EE" w:rsidP="00515DE8">
      <w:pPr>
        <w:spacing w:line="480" w:lineRule="auto"/>
        <w:jc w:val="both"/>
        <w:rPr>
          <w:rFonts w:ascii="Arial" w:hAnsi="Arial" w:cs="Arial"/>
          <w:sz w:val="22"/>
          <w:szCs w:val="22"/>
        </w:rPr>
      </w:pPr>
      <w:r w:rsidRPr="002D4681">
        <w:rPr>
          <w:rFonts w:ascii="Arial" w:hAnsi="Arial" w:cs="Arial"/>
          <w:sz w:val="22"/>
          <w:szCs w:val="22"/>
        </w:rPr>
        <w:t>Infants</w:t>
      </w:r>
      <w:r w:rsidR="00274496" w:rsidRPr="002D4681">
        <w:rPr>
          <w:rFonts w:ascii="Arial" w:hAnsi="Arial" w:cs="Arial"/>
          <w:sz w:val="22"/>
          <w:szCs w:val="22"/>
        </w:rPr>
        <w:t xml:space="preserve"> born between 1</w:t>
      </w:r>
      <w:r w:rsidR="00274496" w:rsidRPr="002D4681">
        <w:rPr>
          <w:rFonts w:ascii="Arial" w:hAnsi="Arial" w:cs="Arial"/>
          <w:sz w:val="22"/>
          <w:szCs w:val="22"/>
          <w:vertAlign w:val="superscript"/>
        </w:rPr>
        <w:t>st</w:t>
      </w:r>
      <w:r w:rsidR="00274496" w:rsidRPr="002D4681">
        <w:rPr>
          <w:rFonts w:ascii="Arial" w:hAnsi="Arial" w:cs="Arial"/>
          <w:sz w:val="22"/>
          <w:szCs w:val="22"/>
        </w:rPr>
        <w:t xml:space="preserve"> January 2010 and 31</w:t>
      </w:r>
      <w:r w:rsidR="00274496" w:rsidRPr="002D4681">
        <w:rPr>
          <w:rFonts w:ascii="Arial" w:hAnsi="Arial" w:cs="Arial"/>
          <w:sz w:val="22"/>
          <w:szCs w:val="22"/>
          <w:vertAlign w:val="superscript"/>
        </w:rPr>
        <w:t>st</w:t>
      </w:r>
      <w:r w:rsidR="00274496" w:rsidRPr="002D4681">
        <w:rPr>
          <w:rFonts w:ascii="Arial" w:hAnsi="Arial" w:cs="Arial"/>
          <w:sz w:val="22"/>
          <w:szCs w:val="22"/>
        </w:rPr>
        <w:t xml:space="preserve"> December 2017 </w:t>
      </w:r>
      <w:r w:rsidR="009A0289" w:rsidRPr="002D4681">
        <w:rPr>
          <w:rFonts w:ascii="Arial" w:hAnsi="Arial" w:cs="Arial"/>
          <w:sz w:val="22"/>
          <w:szCs w:val="22"/>
        </w:rPr>
        <w:t xml:space="preserve">and </w:t>
      </w:r>
      <w:r w:rsidR="00274496" w:rsidRPr="002D4681">
        <w:rPr>
          <w:rFonts w:ascii="Arial" w:hAnsi="Arial" w:cs="Arial"/>
          <w:sz w:val="22"/>
          <w:szCs w:val="22"/>
        </w:rPr>
        <w:t>admitted</w:t>
      </w:r>
      <w:r w:rsidR="009A0289" w:rsidRPr="002D4681">
        <w:rPr>
          <w:rFonts w:ascii="Arial" w:hAnsi="Arial" w:cs="Arial"/>
          <w:sz w:val="22"/>
          <w:szCs w:val="22"/>
        </w:rPr>
        <w:t xml:space="preserve"> to </w:t>
      </w:r>
      <w:r w:rsidR="00274496" w:rsidRPr="002D4681">
        <w:rPr>
          <w:rFonts w:ascii="Arial" w:hAnsi="Arial" w:cs="Arial"/>
          <w:sz w:val="22"/>
          <w:szCs w:val="22"/>
        </w:rPr>
        <w:t>a neonatal unit in England, Scotland and Wales</w:t>
      </w:r>
      <w:r w:rsidRPr="002D4681">
        <w:rPr>
          <w:rFonts w:ascii="Arial" w:hAnsi="Arial" w:cs="Arial"/>
          <w:sz w:val="22"/>
          <w:szCs w:val="22"/>
        </w:rPr>
        <w:t xml:space="preserve"> were eligible for inclusion in the study if </w:t>
      </w:r>
      <w:r w:rsidR="00AF2186" w:rsidRPr="002D4681">
        <w:rPr>
          <w:rFonts w:ascii="Arial" w:hAnsi="Arial" w:cs="Arial"/>
          <w:sz w:val="22"/>
          <w:szCs w:val="22"/>
        </w:rPr>
        <w:t xml:space="preserve">(i) </w:t>
      </w:r>
      <w:r w:rsidR="00274496" w:rsidRPr="002D4681">
        <w:rPr>
          <w:rFonts w:ascii="Arial" w:hAnsi="Arial" w:cs="Arial"/>
          <w:sz w:val="22"/>
          <w:szCs w:val="22"/>
        </w:rPr>
        <w:t xml:space="preserve">they had </w:t>
      </w:r>
      <w:r w:rsidRPr="002D4681">
        <w:rPr>
          <w:rFonts w:ascii="Arial" w:hAnsi="Arial" w:cs="Arial"/>
          <w:sz w:val="22"/>
          <w:szCs w:val="22"/>
        </w:rPr>
        <w:t xml:space="preserve">a </w:t>
      </w:r>
      <w:r w:rsidRPr="002D4681">
        <w:rPr>
          <w:rFonts w:ascii="Arial" w:hAnsi="Arial" w:cs="Arial"/>
          <w:sz w:val="22"/>
          <w:szCs w:val="22"/>
        </w:rPr>
        <w:lastRenderedPageBreak/>
        <w:t xml:space="preserve">recorded gestational age of </w:t>
      </w:r>
      <m:oMath>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36</m:t>
            </m:r>
          </m:e>
          <m:sup>
            <m:r>
              <w:rPr>
                <w:rFonts w:ascii="Cambria Math" w:hAnsi="Cambria Math" w:cs="Arial"/>
                <w:sz w:val="22"/>
                <w:szCs w:val="22"/>
              </w:rPr>
              <m:t>+0</m:t>
            </m:r>
          </m:sup>
        </m:sSup>
      </m:oMath>
      <w:r w:rsidRPr="002D4681">
        <w:rPr>
          <w:rFonts w:ascii="Arial" w:hAnsi="Arial" w:cs="Arial"/>
          <w:sz w:val="22"/>
          <w:szCs w:val="22"/>
        </w:rPr>
        <w:t xml:space="preserve"> weeks</w:t>
      </w:r>
      <w:r w:rsidRPr="002D4681">
        <w:rPr>
          <w:rFonts w:ascii="Arial" w:hAnsi="Arial" w:cs="Arial"/>
          <w:sz w:val="22"/>
          <w:szCs w:val="22"/>
          <w:vertAlign w:val="superscript"/>
        </w:rPr>
        <w:t>+days</w:t>
      </w:r>
      <w:r w:rsidRPr="002D4681">
        <w:rPr>
          <w:rFonts w:ascii="Arial" w:hAnsi="Arial" w:cs="Arial"/>
          <w:sz w:val="22"/>
          <w:szCs w:val="22"/>
        </w:rPr>
        <w:t xml:space="preserve"> at birth</w:t>
      </w:r>
      <w:r w:rsidR="00AF2186" w:rsidRPr="002D4681">
        <w:rPr>
          <w:rFonts w:ascii="Arial" w:hAnsi="Arial" w:cs="Arial"/>
          <w:sz w:val="22"/>
          <w:szCs w:val="22"/>
        </w:rPr>
        <w:t>,</w:t>
      </w:r>
      <w:r w:rsidRPr="002D4681">
        <w:rPr>
          <w:rFonts w:ascii="Arial" w:hAnsi="Arial" w:cs="Arial"/>
          <w:sz w:val="22"/>
          <w:szCs w:val="22"/>
        </w:rPr>
        <w:t xml:space="preserve"> </w:t>
      </w:r>
      <w:r w:rsidR="00AF2186" w:rsidRPr="002D4681">
        <w:rPr>
          <w:rFonts w:ascii="Arial" w:hAnsi="Arial" w:cs="Arial"/>
          <w:sz w:val="22"/>
          <w:szCs w:val="22"/>
        </w:rPr>
        <w:t xml:space="preserve">(ii) </w:t>
      </w:r>
      <w:r w:rsidRPr="002D4681">
        <w:rPr>
          <w:rFonts w:ascii="Arial" w:hAnsi="Arial" w:cs="Arial"/>
          <w:sz w:val="22"/>
          <w:szCs w:val="22"/>
        </w:rPr>
        <w:t xml:space="preserve">were recorded as having received therapeutic hypothermia for </w:t>
      </w:r>
      <w:r w:rsidR="00AF2186" w:rsidRPr="002D4681">
        <w:rPr>
          <w:rFonts w:ascii="Arial" w:hAnsi="Arial" w:cs="Arial"/>
          <w:sz w:val="22"/>
          <w:szCs w:val="22"/>
        </w:rPr>
        <w:t>3</w:t>
      </w:r>
      <w:r w:rsidR="00AD2A72">
        <w:rPr>
          <w:rFonts w:ascii="Arial" w:hAnsi="Arial" w:cs="Arial"/>
          <w:sz w:val="22"/>
          <w:szCs w:val="22"/>
        </w:rPr>
        <w:t xml:space="preserve"> or more</w:t>
      </w:r>
      <w:r w:rsidR="00AF2186" w:rsidRPr="002D4681">
        <w:rPr>
          <w:rFonts w:ascii="Arial" w:hAnsi="Arial" w:cs="Arial"/>
          <w:sz w:val="22"/>
          <w:szCs w:val="22"/>
        </w:rPr>
        <w:t xml:space="preserve"> days</w:t>
      </w:r>
      <w:r w:rsidRPr="002D4681">
        <w:rPr>
          <w:rFonts w:ascii="Arial" w:hAnsi="Arial" w:cs="Arial"/>
          <w:sz w:val="22"/>
          <w:szCs w:val="22"/>
        </w:rPr>
        <w:t xml:space="preserve"> or died during </w:t>
      </w:r>
      <w:r w:rsidR="009A0289" w:rsidRPr="002D4681">
        <w:rPr>
          <w:rFonts w:ascii="Arial" w:hAnsi="Arial" w:cs="Arial"/>
          <w:sz w:val="22"/>
          <w:szCs w:val="22"/>
        </w:rPr>
        <w:t>this period</w:t>
      </w:r>
      <w:r w:rsidRPr="002D4681">
        <w:rPr>
          <w:rFonts w:ascii="Arial" w:hAnsi="Arial" w:cs="Arial"/>
          <w:sz w:val="22"/>
          <w:szCs w:val="22"/>
        </w:rPr>
        <w:t xml:space="preserve"> and </w:t>
      </w:r>
      <w:r w:rsidR="00AF2186" w:rsidRPr="002D4681">
        <w:rPr>
          <w:rFonts w:ascii="Arial" w:hAnsi="Arial" w:cs="Arial"/>
          <w:sz w:val="22"/>
          <w:szCs w:val="22"/>
        </w:rPr>
        <w:t xml:space="preserve">(iii) </w:t>
      </w:r>
      <w:r w:rsidRPr="002D4681">
        <w:rPr>
          <w:rFonts w:ascii="Arial" w:hAnsi="Arial" w:cs="Arial"/>
          <w:sz w:val="22"/>
          <w:szCs w:val="22"/>
        </w:rPr>
        <w:t xml:space="preserve">had a diagnosis of HIE </w:t>
      </w:r>
      <w:r w:rsidR="00B74388">
        <w:rPr>
          <w:rFonts w:ascii="Arial" w:hAnsi="Arial" w:cs="Arial"/>
          <w:sz w:val="22"/>
          <w:szCs w:val="22"/>
        </w:rPr>
        <w:t xml:space="preserve">made by the clinical team and </w:t>
      </w:r>
      <w:r w:rsidRPr="002D4681">
        <w:rPr>
          <w:rFonts w:ascii="Arial" w:hAnsi="Arial" w:cs="Arial"/>
          <w:sz w:val="22"/>
          <w:szCs w:val="22"/>
        </w:rPr>
        <w:t xml:space="preserve">recorded as either </w:t>
      </w:r>
      <w:r w:rsidRPr="002D4681">
        <w:rPr>
          <w:rFonts w:ascii="Arial" w:hAnsi="Arial" w:cs="Arial"/>
          <w:i/>
          <w:sz w:val="22"/>
          <w:szCs w:val="22"/>
        </w:rPr>
        <w:t>primary clinical reason for admission</w:t>
      </w:r>
      <w:r w:rsidRPr="002D4681">
        <w:rPr>
          <w:rFonts w:ascii="Arial" w:hAnsi="Arial" w:cs="Arial"/>
          <w:sz w:val="22"/>
          <w:szCs w:val="22"/>
        </w:rPr>
        <w:t xml:space="preserve"> or </w:t>
      </w:r>
      <w:r w:rsidRPr="002D4681">
        <w:rPr>
          <w:rFonts w:ascii="Arial" w:hAnsi="Arial" w:cs="Arial"/>
          <w:i/>
          <w:sz w:val="22"/>
          <w:szCs w:val="22"/>
        </w:rPr>
        <w:t>principal diagnosis at discharge</w:t>
      </w:r>
      <w:r w:rsidRPr="002D4681">
        <w:rPr>
          <w:rFonts w:ascii="Arial" w:hAnsi="Arial" w:cs="Arial"/>
          <w:sz w:val="22"/>
          <w:szCs w:val="22"/>
        </w:rPr>
        <w:t xml:space="preserve"> (</w:t>
      </w:r>
      <w:r w:rsidR="00C63D77" w:rsidRPr="002D4681">
        <w:rPr>
          <w:rFonts w:ascii="Arial" w:hAnsi="Arial" w:cs="Arial"/>
          <w:b/>
          <w:sz w:val="22"/>
          <w:szCs w:val="22"/>
        </w:rPr>
        <w:t xml:space="preserve">Supplemental </w:t>
      </w:r>
      <w:r w:rsidR="00D76172">
        <w:rPr>
          <w:rFonts w:ascii="Arial" w:hAnsi="Arial" w:cs="Arial"/>
          <w:b/>
          <w:sz w:val="22"/>
          <w:szCs w:val="22"/>
        </w:rPr>
        <w:t>table 1</w:t>
      </w:r>
      <w:r w:rsidRPr="002D4681">
        <w:rPr>
          <w:rFonts w:ascii="Arial" w:hAnsi="Arial" w:cs="Arial"/>
          <w:sz w:val="22"/>
          <w:szCs w:val="22"/>
        </w:rPr>
        <w:t>).</w:t>
      </w:r>
      <w:r w:rsidR="00274496" w:rsidRPr="002D4681">
        <w:rPr>
          <w:rFonts w:ascii="Arial" w:hAnsi="Arial" w:cs="Arial"/>
          <w:sz w:val="22"/>
          <w:szCs w:val="22"/>
        </w:rPr>
        <w:t xml:space="preserve"> Demographic, antenatal, labour and delivery, birth and organisational characteristics (neonatal unit and transfers) were extracted</w:t>
      </w:r>
      <w:r w:rsidR="009A0289" w:rsidRPr="002D4681">
        <w:rPr>
          <w:rFonts w:ascii="Arial" w:hAnsi="Arial" w:cs="Arial"/>
          <w:sz w:val="22"/>
          <w:szCs w:val="22"/>
        </w:rPr>
        <w:t xml:space="preserve"> from included babies</w:t>
      </w:r>
      <w:r w:rsidR="00274496" w:rsidRPr="002D4681">
        <w:rPr>
          <w:rFonts w:ascii="Arial" w:hAnsi="Arial" w:cs="Arial"/>
          <w:sz w:val="22"/>
          <w:szCs w:val="22"/>
        </w:rPr>
        <w:t xml:space="preserve"> </w:t>
      </w:r>
      <w:r w:rsidR="00C63D77" w:rsidRPr="002D4681">
        <w:rPr>
          <w:rFonts w:ascii="Arial" w:hAnsi="Arial" w:cs="Arial"/>
          <w:sz w:val="22"/>
          <w:szCs w:val="22"/>
        </w:rPr>
        <w:t>(</w:t>
      </w:r>
      <w:r w:rsidR="00C63D77" w:rsidRPr="002D4681">
        <w:rPr>
          <w:rFonts w:ascii="Arial" w:hAnsi="Arial" w:cs="Arial"/>
          <w:b/>
          <w:sz w:val="22"/>
          <w:szCs w:val="22"/>
        </w:rPr>
        <w:t xml:space="preserve">Supplemental </w:t>
      </w:r>
      <w:r w:rsidR="00D76172">
        <w:rPr>
          <w:rFonts w:ascii="Arial" w:hAnsi="Arial" w:cs="Arial"/>
          <w:b/>
          <w:sz w:val="22"/>
          <w:szCs w:val="22"/>
        </w:rPr>
        <w:t>table 2</w:t>
      </w:r>
      <w:r w:rsidR="00C63D77" w:rsidRPr="002D4681">
        <w:rPr>
          <w:rFonts w:ascii="Arial" w:hAnsi="Arial" w:cs="Arial"/>
          <w:sz w:val="22"/>
          <w:szCs w:val="22"/>
        </w:rPr>
        <w:t>).</w:t>
      </w:r>
      <w:r w:rsidR="00C63D77" w:rsidRPr="002D4681" w:rsidDel="00C63D77">
        <w:rPr>
          <w:rFonts w:ascii="Arial" w:hAnsi="Arial" w:cs="Arial"/>
          <w:sz w:val="22"/>
          <w:szCs w:val="22"/>
        </w:rPr>
        <w:t xml:space="preserve"> </w:t>
      </w:r>
    </w:p>
    <w:p w14:paraId="4363A62D" w14:textId="77777777" w:rsidR="00C63D77" w:rsidRPr="002D4681" w:rsidRDefault="00C63D77" w:rsidP="00515DE8">
      <w:pPr>
        <w:spacing w:line="480" w:lineRule="auto"/>
        <w:jc w:val="both"/>
        <w:rPr>
          <w:rFonts w:ascii="Arial" w:hAnsi="Arial" w:cs="Arial"/>
          <w:sz w:val="22"/>
          <w:szCs w:val="22"/>
        </w:rPr>
      </w:pPr>
    </w:p>
    <w:p w14:paraId="765FFDF0" w14:textId="20AB246C" w:rsidR="00467FE7" w:rsidRPr="00086178" w:rsidRDefault="00524137" w:rsidP="00515DE8">
      <w:pPr>
        <w:spacing w:line="480" w:lineRule="auto"/>
        <w:jc w:val="both"/>
        <w:rPr>
          <w:rFonts w:ascii="Arial" w:hAnsi="Arial" w:cs="Arial"/>
          <w:b/>
          <w:sz w:val="22"/>
          <w:szCs w:val="22"/>
        </w:rPr>
      </w:pPr>
      <w:r>
        <w:rPr>
          <w:rFonts w:ascii="Arial" w:hAnsi="Arial" w:cs="Arial"/>
          <w:b/>
          <w:sz w:val="22"/>
          <w:szCs w:val="22"/>
        </w:rPr>
        <w:t>c</w:t>
      </w:r>
      <w:r w:rsidR="00086178" w:rsidRPr="00086178">
        <w:rPr>
          <w:rFonts w:ascii="Arial" w:hAnsi="Arial" w:cs="Arial"/>
          <w:b/>
          <w:sz w:val="22"/>
          <w:szCs w:val="22"/>
        </w:rPr>
        <w:t>linical characteristics</w:t>
      </w:r>
    </w:p>
    <w:p w14:paraId="74CCDC24" w14:textId="0CA9B83A" w:rsidR="00C03099" w:rsidRPr="00E84AA4" w:rsidRDefault="00C03099" w:rsidP="00C03099">
      <w:pPr>
        <w:spacing w:line="480" w:lineRule="auto"/>
        <w:jc w:val="both"/>
        <w:rPr>
          <w:rFonts w:ascii="Arial" w:hAnsi="Arial" w:cs="Arial"/>
          <w:sz w:val="22"/>
          <w:szCs w:val="22"/>
        </w:rPr>
      </w:pPr>
      <w:r>
        <w:rPr>
          <w:rFonts w:ascii="Arial" w:hAnsi="Arial" w:cs="Arial"/>
          <w:sz w:val="22"/>
          <w:szCs w:val="22"/>
        </w:rPr>
        <w:t xml:space="preserve">The aim of this study was to describe </w:t>
      </w:r>
      <w:r w:rsidRPr="002D4681">
        <w:rPr>
          <w:rFonts w:ascii="Arial" w:eastAsia="Times New Roman" w:hAnsi="Arial" w:cs="Arial"/>
          <w:sz w:val="22"/>
          <w:szCs w:val="22"/>
        </w:rPr>
        <w:t xml:space="preserve">temporal trends in the </w:t>
      </w:r>
      <w:r>
        <w:rPr>
          <w:rFonts w:ascii="Arial" w:eastAsia="Times New Roman" w:hAnsi="Arial" w:cs="Arial"/>
          <w:sz w:val="22"/>
          <w:szCs w:val="22"/>
        </w:rPr>
        <w:t>clinical condition of</w:t>
      </w:r>
      <w:r w:rsidRPr="002D4681">
        <w:rPr>
          <w:rFonts w:ascii="Arial" w:eastAsia="Times New Roman" w:hAnsi="Arial" w:cs="Arial"/>
          <w:sz w:val="22"/>
          <w:szCs w:val="22"/>
        </w:rPr>
        <w:t xml:space="preserve"> babies diagnosed with hypoxic ischaemic encephalopathy who received therapeutic hypothermia</w:t>
      </w:r>
      <w:r>
        <w:rPr>
          <w:rFonts w:ascii="Arial" w:eastAsia="Times New Roman" w:hAnsi="Arial" w:cs="Arial"/>
          <w:sz w:val="22"/>
          <w:szCs w:val="22"/>
        </w:rPr>
        <w:t>.</w:t>
      </w:r>
      <w:r>
        <w:rPr>
          <w:rFonts w:ascii="Arial" w:hAnsi="Arial" w:cs="Arial"/>
          <w:sz w:val="22"/>
          <w:szCs w:val="22"/>
        </w:rPr>
        <w:t xml:space="preserve"> </w:t>
      </w:r>
      <w:r>
        <w:rPr>
          <w:rFonts w:ascii="Arial" w:hAnsi="Arial" w:cs="Arial"/>
          <w:bCs/>
          <w:sz w:val="22"/>
          <w:szCs w:val="22"/>
        </w:rPr>
        <w:t xml:space="preserve">Primary </w:t>
      </w:r>
      <w:r>
        <w:rPr>
          <w:rFonts w:ascii="Arial" w:hAnsi="Arial" w:cs="Arial"/>
          <w:sz w:val="22"/>
          <w:szCs w:val="22"/>
        </w:rPr>
        <w:t>c</w:t>
      </w:r>
      <w:r w:rsidRPr="002D4681">
        <w:rPr>
          <w:rFonts w:ascii="Arial" w:hAnsi="Arial" w:cs="Arial"/>
          <w:sz w:val="22"/>
          <w:szCs w:val="22"/>
        </w:rPr>
        <w:t xml:space="preserve">linical </w:t>
      </w:r>
      <w:r w:rsidRPr="002D4681">
        <w:rPr>
          <w:rFonts w:ascii="Arial" w:eastAsia="Times New Roman" w:hAnsi="Arial" w:cs="Arial"/>
          <w:sz w:val="22"/>
          <w:szCs w:val="22"/>
        </w:rPr>
        <w:t>characteristics</w:t>
      </w:r>
      <w:r>
        <w:rPr>
          <w:rFonts w:ascii="Arial" w:eastAsia="Times New Roman" w:hAnsi="Arial" w:cs="Arial"/>
          <w:sz w:val="22"/>
          <w:szCs w:val="22"/>
        </w:rPr>
        <w:t xml:space="preserve"> recorded in the NNRD</w:t>
      </w:r>
      <w:r w:rsidRPr="00C03099">
        <w:rPr>
          <w:rFonts w:ascii="Arial" w:eastAsia="Times New Roman" w:hAnsi="Arial" w:cs="Arial"/>
          <w:sz w:val="22"/>
          <w:szCs w:val="22"/>
        </w:rPr>
        <w:t xml:space="preserve"> </w:t>
      </w:r>
      <w:r>
        <w:rPr>
          <w:rFonts w:ascii="Arial" w:eastAsia="Times New Roman" w:hAnsi="Arial" w:cs="Arial"/>
          <w:sz w:val="22"/>
          <w:szCs w:val="22"/>
        </w:rPr>
        <w:t xml:space="preserve">of interest were </w:t>
      </w:r>
      <w:r w:rsidRPr="002D4681">
        <w:rPr>
          <w:rFonts w:ascii="Arial" w:eastAsia="Times New Roman" w:hAnsi="Arial" w:cs="Arial"/>
          <w:sz w:val="22"/>
          <w:szCs w:val="22"/>
        </w:rPr>
        <w:t>umbilical cord pH</w:t>
      </w:r>
      <w:r>
        <w:rPr>
          <w:rFonts w:ascii="Arial" w:eastAsia="Times New Roman" w:hAnsi="Arial" w:cs="Arial"/>
          <w:sz w:val="22"/>
          <w:szCs w:val="22"/>
        </w:rPr>
        <w:t>;</w:t>
      </w:r>
      <w:r w:rsidRPr="002D4681">
        <w:rPr>
          <w:rFonts w:ascii="Arial" w:eastAsia="Times New Roman" w:hAnsi="Arial" w:cs="Arial"/>
          <w:sz w:val="22"/>
          <w:szCs w:val="22"/>
        </w:rPr>
        <w:t xml:space="preserve"> Apgar scor</w:t>
      </w:r>
      <w:r>
        <w:rPr>
          <w:rFonts w:ascii="Arial" w:eastAsia="Times New Roman" w:hAnsi="Arial" w:cs="Arial"/>
          <w:sz w:val="22"/>
          <w:szCs w:val="22"/>
        </w:rPr>
        <w:t>e;</w:t>
      </w:r>
      <w:r w:rsidRPr="002D4681">
        <w:rPr>
          <w:rFonts w:ascii="Arial" w:eastAsia="Times New Roman" w:hAnsi="Arial" w:cs="Arial"/>
          <w:sz w:val="22"/>
          <w:szCs w:val="22"/>
        </w:rPr>
        <w:t xml:space="preserve"> </w:t>
      </w:r>
      <w:r>
        <w:rPr>
          <w:rFonts w:ascii="Arial" w:eastAsia="Times New Roman" w:hAnsi="Arial" w:cs="Arial"/>
          <w:sz w:val="22"/>
          <w:szCs w:val="22"/>
        </w:rPr>
        <w:t xml:space="preserve">newborn </w:t>
      </w:r>
      <w:r w:rsidRPr="002D4681">
        <w:rPr>
          <w:rFonts w:ascii="Arial" w:eastAsia="Times New Roman" w:hAnsi="Arial" w:cs="Arial"/>
          <w:sz w:val="22"/>
          <w:szCs w:val="22"/>
        </w:rPr>
        <w:t>resuscitation</w:t>
      </w:r>
      <w:r>
        <w:rPr>
          <w:rFonts w:ascii="Arial" w:eastAsia="Times New Roman" w:hAnsi="Arial" w:cs="Arial"/>
          <w:sz w:val="22"/>
          <w:szCs w:val="22"/>
        </w:rPr>
        <w:t>;</w:t>
      </w:r>
      <w:r w:rsidRPr="002D4681">
        <w:rPr>
          <w:rFonts w:ascii="Arial" w:eastAsia="Times New Roman" w:hAnsi="Arial" w:cs="Arial"/>
          <w:sz w:val="22"/>
          <w:szCs w:val="22"/>
        </w:rPr>
        <w:t xml:space="preserve"> seizures </w:t>
      </w:r>
      <w:r>
        <w:rPr>
          <w:rFonts w:ascii="Arial" w:eastAsia="Times New Roman" w:hAnsi="Arial" w:cs="Arial"/>
          <w:sz w:val="22"/>
          <w:szCs w:val="22"/>
        </w:rPr>
        <w:t>and</w:t>
      </w:r>
      <w:r w:rsidRPr="002D4681">
        <w:rPr>
          <w:rFonts w:ascii="Arial" w:eastAsia="Times New Roman" w:hAnsi="Arial" w:cs="Arial"/>
          <w:sz w:val="22"/>
          <w:szCs w:val="22"/>
        </w:rPr>
        <w:t xml:space="preserve"> treatment on day 1</w:t>
      </w:r>
      <w:r>
        <w:rPr>
          <w:rFonts w:ascii="Arial" w:eastAsia="Times New Roman" w:hAnsi="Arial" w:cs="Arial"/>
          <w:sz w:val="22"/>
          <w:szCs w:val="22"/>
        </w:rPr>
        <w:t xml:space="preserve">. The secondary characteristic of interest was recorded </w:t>
      </w:r>
      <w:r>
        <w:rPr>
          <w:rFonts w:ascii="Arial" w:hAnsi="Arial" w:cs="Arial"/>
          <w:sz w:val="22"/>
          <w:szCs w:val="22"/>
        </w:rPr>
        <w:t>grade</w:t>
      </w:r>
      <w:r w:rsidRPr="002D4681">
        <w:rPr>
          <w:rFonts w:ascii="Arial" w:hAnsi="Arial" w:cs="Arial"/>
          <w:sz w:val="22"/>
          <w:szCs w:val="22"/>
        </w:rPr>
        <w:t xml:space="preserve"> </w:t>
      </w:r>
      <w:r>
        <w:rPr>
          <w:rFonts w:ascii="Arial" w:hAnsi="Arial" w:cs="Arial"/>
          <w:sz w:val="22"/>
          <w:szCs w:val="22"/>
        </w:rPr>
        <w:t xml:space="preserve">of </w:t>
      </w:r>
      <w:r w:rsidRPr="002D4681">
        <w:rPr>
          <w:rFonts w:ascii="Arial" w:hAnsi="Arial" w:cs="Arial"/>
          <w:sz w:val="22"/>
          <w:szCs w:val="22"/>
        </w:rPr>
        <w:t>hypoxic ischaemic encephalopathy</w:t>
      </w:r>
      <w:r w:rsidRPr="002D4681">
        <w:rPr>
          <w:rFonts w:ascii="Arial" w:eastAsia="Times New Roman" w:hAnsi="Arial" w:cs="Arial"/>
          <w:sz w:val="22"/>
          <w:szCs w:val="22"/>
        </w:rPr>
        <w:t>.</w:t>
      </w:r>
    </w:p>
    <w:p w14:paraId="5E7F11CB" w14:textId="72265912" w:rsidR="007B0CE4" w:rsidRPr="002D4681" w:rsidRDefault="004616EE" w:rsidP="00515DE8">
      <w:pPr>
        <w:spacing w:line="480" w:lineRule="auto"/>
        <w:jc w:val="both"/>
        <w:rPr>
          <w:rFonts w:ascii="Arial" w:hAnsi="Arial" w:cs="Arial"/>
          <w:sz w:val="22"/>
          <w:szCs w:val="22"/>
        </w:rPr>
      </w:pPr>
      <w:r w:rsidRPr="002D4681">
        <w:rPr>
          <w:rFonts w:ascii="Arial" w:hAnsi="Arial" w:cs="Arial"/>
          <w:sz w:val="22"/>
          <w:szCs w:val="22"/>
        </w:rPr>
        <w:t>C</w:t>
      </w:r>
      <w:r w:rsidR="00CC7323" w:rsidRPr="002D4681">
        <w:rPr>
          <w:rFonts w:ascii="Arial" w:hAnsi="Arial" w:cs="Arial"/>
          <w:sz w:val="22"/>
          <w:szCs w:val="22"/>
        </w:rPr>
        <w:t xml:space="preserve">linical </w:t>
      </w:r>
      <w:r w:rsidRPr="002D4681">
        <w:rPr>
          <w:rFonts w:ascii="Arial" w:hAnsi="Arial" w:cs="Arial"/>
          <w:sz w:val="22"/>
          <w:szCs w:val="22"/>
        </w:rPr>
        <w:t xml:space="preserve">characteristics of interest </w:t>
      </w:r>
      <w:r w:rsidR="001F048A" w:rsidRPr="002D4681">
        <w:rPr>
          <w:rFonts w:ascii="Arial" w:hAnsi="Arial" w:cs="Arial"/>
          <w:sz w:val="22"/>
          <w:szCs w:val="22"/>
        </w:rPr>
        <w:t xml:space="preserve">to describe severity of hypoxia ischaemia </w:t>
      </w:r>
      <w:r w:rsidR="00083454" w:rsidRPr="002D4681">
        <w:rPr>
          <w:rFonts w:ascii="Arial" w:hAnsi="Arial" w:cs="Arial"/>
          <w:sz w:val="22"/>
          <w:szCs w:val="22"/>
        </w:rPr>
        <w:t xml:space="preserve">were selected </w:t>
      </w:r>
      <w:r w:rsidRPr="002D4681">
        <w:rPr>
          <w:rFonts w:ascii="Arial" w:hAnsi="Arial" w:cs="Arial"/>
          <w:i/>
          <w:sz w:val="22"/>
          <w:szCs w:val="22"/>
        </w:rPr>
        <w:t>a</w:t>
      </w:r>
      <w:r w:rsidR="00C620F1">
        <w:rPr>
          <w:rFonts w:ascii="Arial" w:hAnsi="Arial" w:cs="Arial"/>
          <w:i/>
          <w:sz w:val="22"/>
          <w:szCs w:val="22"/>
        </w:rPr>
        <w:t xml:space="preserve"> </w:t>
      </w:r>
      <w:r w:rsidRPr="002D4681">
        <w:rPr>
          <w:rFonts w:ascii="Arial" w:hAnsi="Arial" w:cs="Arial"/>
          <w:i/>
          <w:sz w:val="22"/>
          <w:szCs w:val="22"/>
        </w:rPr>
        <w:t xml:space="preserve">priori </w:t>
      </w:r>
      <w:r w:rsidR="00083454" w:rsidRPr="002D4681">
        <w:rPr>
          <w:rFonts w:ascii="Arial" w:hAnsi="Arial" w:cs="Arial"/>
          <w:sz w:val="22"/>
          <w:szCs w:val="22"/>
        </w:rPr>
        <w:t xml:space="preserve">and grouped into </w:t>
      </w:r>
      <w:r w:rsidR="00C63D77" w:rsidRPr="002D4681">
        <w:rPr>
          <w:rFonts w:ascii="Arial" w:hAnsi="Arial" w:cs="Arial"/>
          <w:sz w:val="22"/>
          <w:szCs w:val="22"/>
        </w:rPr>
        <w:t>three</w:t>
      </w:r>
      <w:r w:rsidR="00467FE7" w:rsidRPr="002D4681">
        <w:rPr>
          <w:rFonts w:ascii="Arial" w:hAnsi="Arial" w:cs="Arial"/>
          <w:sz w:val="22"/>
          <w:szCs w:val="22"/>
        </w:rPr>
        <w:t xml:space="preserve"> categories</w:t>
      </w:r>
      <w:r w:rsidR="008550BE">
        <w:rPr>
          <w:rFonts w:ascii="Arial" w:hAnsi="Arial" w:cs="Arial"/>
          <w:sz w:val="22"/>
          <w:szCs w:val="22"/>
        </w:rPr>
        <w:t>:</w:t>
      </w:r>
      <w:r w:rsidR="00467FE7" w:rsidRPr="002D4681">
        <w:rPr>
          <w:rFonts w:ascii="Arial" w:hAnsi="Arial" w:cs="Arial"/>
          <w:sz w:val="22"/>
          <w:szCs w:val="22"/>
        </w:rPr>
        <w:t xml:space="preserve"> </w:t>
      </w:r>
      <w:r w:rsidR="003D346E">
        <w:rPr>
          <w:rFonts w:ascii="Arial" w:hAnsi="Arial" w:cs="Arial"/>
          <w:sz w:val="22"/>
          <w:szCs w:val="22"/>
        </w:rPr>
        <w:t>delivery stabilisation/resuscitation</w:t>
      </w:r>
      <w:r w:rsidR="003D346E" w:rsidRPr="002D4681">
        <w:rPr>
          <w:rFonts w:ascii="Arial" w:hAnsi="Arial" w:cs="Arial"/>
          <w:sz w:val="22"/>
          <w:szCs w:val="22"/>
        </w:rPr>
        <w:t xml:space="preserve"> </w:t>
      </w:r>
      <w:r w:rsidR="00467FE7" w:rsidRPr="002D4681">
        <w:rPr>
          <w:rFonts w:ascii="Arial" w:hAnsi="Arial" w:cs="Arial"/>
          <w:sz w:val="22"/>
          <w:szCs w:val="22"/>
        </w:rPr>
        <w:t>characteristics, condition</w:t>
      </w:r>
      <w:r w:rsidR="003D346E">
        <w:rPr>
          <w:rFonts w:ascii="Arial" w:hAnsi="Arial" w:cs="Arial"/>
          <w:sz w:val="22"/>
          <w:szCs w:val="22"/>
        </w:rPr>
        <w:t xml:space="preserve"> at birth</w:t>
      </w:r>
      <w:r w:rsidR="00C63D77" w:rsidRPr="002D4681">
        <w:rPr>
          <w:rFonts w:ascii="Arial" w:hAnsi="Arial" w:cs="Arial"/>
          <w:sz w:val="22"/>
          <w:szCs w:val="22"/>
        </w:rPr>
        <w:t>,</w:t>
      </w:r>
      <w:r w:rsidR="00467FE7" w:rsidRPr="002D4681">
        <w:rPr>
          <w:rFonts w:ascii="Arial" w:hAnsi="Arial" w:cs="Arial"/>
          <w:sz w:val="22"/>
          <w:szCs w:val="22"/>
        </w:rPr>
        <w:t xml:space="preserve"> and condition </w:t>
      </w:r>
      <w:r w:rsidR="00C63D77" w:rsidRPr="002D4681">
        <w:rPr>
          <w:rFonts w:ascii="Arial" w:hAnsi="Arial" w:cs="Arial"/>
          <w:sz w:val="22"/>
          <w:szCs w:val="22"/>
        </w:rPr>
        <w:t>on the first day</w:t>
      </w:r>
      <w:r w:rsidR="002E4F7A" w:rsidRPr="002D4681">
        <w:rPr>
          <w:rFonts w:ascii="Arial" w:hAnsi="Arial" w:cs="Arial"/>
          <w:sz w:val="22"/>
          <w:szCs w:val="22"/>
        </w:rPr>
        <w:t xml:space="preserve"> </w:t>
      </w:r>
      <w:r w:rsidR="00C63D77" w:rsidRPr="002D4681">
        <w:rPr>
          <w:rFonts w:ascii="Arial" w:hAnsi="Arial" w:cs="Arial"/>
          <w:sz w:val="22"/>
          <w:szCs w:val="22"/>
        </w:rPr>
        <w:t>of neonatal care</w:t>
      </w:r>
      <w:r w:rsidR="008550BE">
        <w:rPr>
          <w:rFonts w:ascii="Arial" w:hAnsi="Arial" w:cs="Arial"/>
          <w:sz w:val="22"/>
          <w:szCs w:val="22"/>
        </w:rPr>
        <w:t xml:space="preserve"> </w:t>
      </w:r>
      <w:r w:rsidR="008550BE" w:rsidRPr="002D4681">
        <w:rPr>
          <w:rFonts w:ascii="Arial" w:hAnsi="Arial" w:cs="Arial"/>
          <w:sz w:val="22"/>
          <w:szCs w:val="22"/>
        </w:rPr>
        <w:t>(</w:t>
      </w:r>
      <w:r w:rsidR="008550BE" w:rsidRPr="002D4681">
        <w:rPr>
          <w:rFonts w:ascii="Arial" w:hAnsi="Arial" w:cs="Arial"/>
          <w:b/>
          <w:sz w:val="22"/>
          <w:szCs w:val="22"/>
        </w:rPr>
        <w:t>Table 1</w:t>
      </w:r>
      <w:r w:rsidR="008550BE" w:rsidRPr="002D4681">
        <w:rPr>
          <w:rFonts w:ascii="Arial" w:hAnsi="Arial" w:cs="Arial"/>
          <w:sz w:val="22"/>
          <w:szCs w:val="22"/>
        </w:rPr>
        <w:t>)</w:t>
      </w:r>
      <w:r w:rsidR="00467FE7" w:rsidRPr="002D4681">
        <w:rPr>
          <w:rFonts w:ascii="Arial" w:hAnsi="Arial" w:cs="Arial"/>
          <w:sz w:val="22"/>
          <w:szCs w:val="22"/>
        </w:rPr>
        <w:t>.</w:t>
      </w:r>
      <w:r w:rsidR="00274496" w:rsidRPr="002D4681">
        <w:rPr>
          <w:rFonts w:ascii="Arial" w:hAnsi="Arial" w:cs="Arial"/>
          <w:sz w:val="22"/>
          <w:szCs w:val="22"/>
        </w:rPr>
        <w:t xml:space="preserve"> </w:t>
      </w:r>
      <w:r w:rsidR="007B0CE4" w:rsidRPr="002D4681">
        <w:rPr>
          <w:rFonts w:ascii="Arial" w:hAnsi="Arial" w:cs="Arial"/>
          <w:sz w:val="22"/>
          <w:szCs w:val="22"/>
        </w:rPr>
        <w:t>Th</w:t>
      </w:r>
      <w:r w:rsidR="00C620F1">
        <w:rPr>
          <w:rFonts w:ascii="Arial" w:hAnsi="Arial" w:cs="Arial"/>
          <w:sz w:val="22"/>
          <w:szCs w:val="22"/>
        </w:rPr>
        <w:t>e</w:t>
      </w:r>
      <w:r w:rsidR="007B0CE4" w:rsidRPr="002D4681">
        <w:rPr>
          <w:rFonts w:ascii="Arial" w:hAnsi="Arial" w:cs="Arial"/>
          <w:sz w:val="22"/>
          <w:szCs w:val="22"/>
        </w:rPr>
        <w:t xml:space="preserve"> latter clinical characteristic was used because clinical signs (such as seizures) and treatment (such as ventilation, inotropes and nitric oxide) are recorded in the NNRD as daily </w:t>
      </w:r>
      <w:r w:rsidR="00664EB5">
        <w:rPr>
          <w:rFonts w:ascii="Arial" w:hAnsi="Arial" w:cs="Arial"/>
          <w:sz w:val="22"/>
          <w:szCs w:val="22"/>
        </w:rPr>
        <w:t>rather than time-stamped data</w:t>
      </w:r>
      <w:r w:rsidR="007B0CE4" w:rsidRPr="002D4681">
        <w:rPr>
          <w:rFonts w:ascii="Arial" w:hAnsi="Arial" w:cs="Arial"/>
          <w:sz w:val="22"/>
          <w:szCs w:val="22"/>
        </w:rPr>
        <w:t xml:space="preserve">. </w:t>
      </w:r>
      <w:r w:rsidR="00274496" w:rsidRPr="002D4681">
        <w:rPr>
          <w:rFonts w:ascii="Arial" w:hAnsi="Arial" w:cs="Arial"/>
          <w:sz w:val="22"/>
          <w:szCs w:val="22"/>
        </w:rPr>
        <w:t xml:space="preserve">Apgar scores and umbilical cord pH were grouped into </w:t>
      </w:r>
      <w:r w:rsidR="00274496" w:rsidRPr="002D4681">
        <w:rPr>
          <w:rFonts w:ascii="Arial" w:hAnsi="Arial" w:cs="Arial"/>
          <w:i/>
          <w:sz w:val="22"/>
          <w:szCs w:val="22"/>
        </w:rPr>
        <w:t>a</w:t>
      </w:r>
      <w:r w:rsidR="00C620F1">
        <w:rPr>
          <w:rFonts w:ascii="Arial" w:hAnsi="Arial" w:cs="Arial"/>
          <w:i/>
          <w:sz w:val="22"/>
          <w:szCs w:val="22"/>
        </w:rPr>
        <w:t xml:space="preserve"> </w:t>
      </w:r>
      <w:r w:rsidR="00274496" w:rsidRPr="002D4681">
        <w:rPr>
          <w:rFonts w:ascii="Arial" w:hAnsi="Arial" w:cs="Arial"/>
          <w:i/>
          <w:sz w:val="22"/>
          <w:szCs w:val="22"/>
        </w:rPr>
        <w:t xml:space="preserve">priori </w:t>
      </w:r>
      <w:r w:rsidR="00274496" w:rsidRPr="002D4681">
        <w:rPr>
          <w:rFonts w:ascii="Arial" w:hAnsi="Arial" w:cs="Arial"/>
          <w:sz w:val="22"/>
          <w:szCs w:val="22"/>
        </w:rPr>
        <w:t xml:space="preserve">specified categories. The NNRD data items </w:t>
      </w:r>
      <w:r w:rsidR="008550BE">
        <w:rPr>
          <w:rFonts w:ascii="Arial" w:hAnsi="Arial" w:cs="Arial"/>
          <w:sz w:val="22"/>
          <w:szCs w:val="22"/>
        </w:rPr>
        <w:t>used to define</w:t>
      </w:r>
      <w:r w:rsidR="008550BE" w:rsidRPr="002D4681">
        <w:rPr>
          <w:rFonts w:ascii="Arial" w:hAnsi="Arial" w:cs="Arial"/>
          <w:sz w:val="22"/>
          <w:szCs w:val="22"/>
        </w:rPr>
        <w:t xml:space="preserve"> </w:t>
      </w:r>
      <w:r w:rsidR="00274496" w:rsidRPr="002D4681">
        <w:rPr>
          <w:rFonts w:ascii="Arial" w:hAnsi="Arial" w:cs="Arial"/>
          <w:sz w:val="22"/>
          <w:szCs w:val="22"/>
        </w:rPr>
        <w:t xml:space="preserve">each clinical characteristic are </w:t>
      </w:r>
      <w:r w:rsidR="00C620F1">
        <w:rPr>
          <w:rFonts w:ascii="Arial" w:hAnsi="Arial" w:cs="Arial"/>
          <w:sz w:val="22"/>
          <w:szCs w:val="22"/>
        </w:rPr>
        <w:t>listed</w:t>
      </w:r>
      <w:r w:rsidR="00C620F1" w:rsidRPr="002D4681">
        <w:rPr>
          <w:rFonts w:ascii="Arial" w:hAnsi="Arial" w:cs="Arial"/>
          <w:sz w:val="22"/>
          <w:szCs w:val="22"/>
        </w:rPr>
        <w:t xml:space="preserve"> </w:t>
      </w:r>
      <w:r w:rsidR="00274496" w:rsidRPr="002D4681">
        <w:rPr>
          <w:rFonts w:ascii="Arial" w:hAnsi="Arial" w:cs="Arial"/>
          <w:sz w:val="22"/>
          <w:szCs w:val="22"/>
        </w:rPr>
        <w:t xml:space="preserve">in </w:t>
      </w:r>
      <w:r w:rsidR="007B0CE4" w:rsidRPr="002D4681">
        <w:rPr>
          <w:rFonts w:ascii="Arial" w:hAnsi="Arial" w:cs="Arial"/>
          <w:b/>
          <w:sz w:val="22"/>
          <w:szCs w:val="22"/>
        </w:rPr>
        <w:t xml:space="preserve">Supplemental </w:t>
      </w:r>
      <w:r w:rsidR="00D76172">
        <w:rPr>
          <w:rFonts w:ascii="Arial" w:hAnsi="Arial" w:cs="Arial"/>
          <w:b/>
          <w:sz w:val="22"/>
          <w:szCs w:val="22"/>
        </w:rPr>
        <w:t>table 3</w:t>
      </w:r>
      <w:r w:rsidR="007B0CE4" w:rsidRPr="002D4681">
        <w:rPr>
          <w:rFonts w:ascii="Arial" w:hAnsi="Arial" w:cs="Arial"/>
          <w:sz w:val="22"/>
          <w:szCs w:val="22"/>
        </w:rPr>
        <w:t>.</w:t>
      </w:r>
      <w:r w:rsidR="007B0CE4" w:rsidRPr="002D4681" w:rsidDel="00C63D77">
        <w:rPr>
          <w:rFonts w:ascii="Arial" w:hAnsi="Arial" w:cs="Arial"/>
          <w:sz w:val="22"/>
          <w:szCs w:val="22"/>
        </w:rPr>
        <w:t xml:space="preserve"> </w:t>
      </w:r>
    </w:p>
    <w:tbl>
      <w:tblPr>
        <w:tblStyle w:val="PlainTable3"/>
        <w:tblW w:w="9351" w:type="dxa"/>
        <w:tblBorders>
          <w:top w:val="single" w:sz="4" w:space="0" w:color="auto"/>
          <w:left w:val="single" w:sz="4" w:space="0" w:color="auto"/>
          <w:bottom w:val="single" w:sz="4" w:space="0" w:color="auto"/>
          <w:right w:val="single" w:sz="4" w:space="0" w:color="auto"/>
          <w:insideV w:val="single" w:sz="4" w:space="0" w:color="7F7F7F" w:themeColor="text1" w:themeTint="80"/>
        </w:tblBorders>
        <w:tblLook w:val="0600" w:firstRow="0" w:lastRow="0" w:firstColumn="0" w:lastColumn="0" w:noHBand="1" w:noVBand="1"/>
      </w:tblPr>
      <w:tblGrid>
        <w:gridCol w:w="3119"/>
        <w:gridCol w:w="6232"/>
      </w:tblGrid>
      <w:tr w:rsidR="00467FE7" w:rsidRPr="002D4681" w14:paraId="58631C01" w14:textId="77777777" w:rsidTr="00226204">
        <w:tc>
          <w:tcPr>
            <w:tcW w:w="3119" w:type="dxa"/>
            <w:tcBorders>
              <w:bottom w:val="single" w:sz="4" w:space="0" w:color="auto"/>
            </w:tcBorders>
          </w:tcPr>
          <w:p w14:paraId="2E82E159" w14:textId="77777777" w:rsidR="00467FE7" w:rsidRPr="002D4681" w:rsidRDefault="00467FE7" w:rsidP="00515DE8">
            <w:pPr>
              <w:spacing w:line="480" w:lineRule="auto"/>
              <w:jc w:val="center"/>
              <w:rPr>
                <w:rFonts w:ascii="Arial" w:hAnsi="Arial" w:cs="Arial"/>
                <w:b/>
              </w:rPr>
            </w:pPr>
            <w:r w:rsidRPr="002D4681">
              <w:rPr>
                <w:rFonts w:ascii="Arial" w:hAnsi="Arial" w:cs="Arial"/>
                <w:b/>
              </w:rPr>
              <w:t>Categories</w:t>
            </w:r>
          </w:p>
        </w:tc>
        <w:tc>
          <w:tcPr>
            <w:tcW w:w="6232" w:type="dxa"/>
            <w:tcBorders>
              <w:bottom w:val="single" w:sz="4" w:space="0" w:color="auto"/>
            </w:tcBorders>
          </w:tcPr>
          <w:p w14:paraId="6E0BDE7C" w14:textId="23C45D44" w:rsidR="00467FE7" w:rsidRPr="002D4681" w:rsidRDefault="008550BE" w:rsidP="00515DE8">
            <w:pPr>
              <w:spacing w:line="480" w:lineRule="auto"/>
              <w:jc w:val="center"/>
              <w:rPr>
                <w:rFonts w:ascii="Arial" w:hAnsi="Arial" w:cs="Arial"/>
                <w:b/>
              </w:rPr>
            </w:pPr>
            <w:r>
              <w:rPr>
                <w:rFonts w:ascii="Arial" w:hAnsi="Arial" w:cs="Arial"/>
                <w:b/>
              </w:rPr>
              <w:t>Clinical characteristic</w:t>
            </w:r>
            <w:r w:rsidR="007072DA">
              <w:rPr>
                <w:rFonts w:ascii="Arial" w:hAnsi="Arial" w:cs="Arial"/>
                <w:b/>
              </w:rPr>
              <w:t>s</w:t>
            </w:r>
          </w:p>
        </w:tc>
      </w:tr>
      <w:tr w:rsidR="00467FE7" w:rsidRPr="002D4681" w14:paraId="117855CB" w14:textId="77777777" w:rsidTr="00226204">
        <w:trPr>
          <w:trHeight w:val="623"/>
        </w:trPr>
        <w:tc>
          <w:tcPr>
            <w:tcW w:w="3119" w:type="dxa"/>
            <w:tcBorders>
              <w:top w:val="single" w:sz="4" w:space="0" w:color="auto"/>
              <w:bottom w:val="single" w:sz="4" w:space="0" w:color="auto"/>
            </w:tcBorders>
            <w:vAlign w:val="center"/>
          </w:tcPr>
          <w:p w14:paraId="6D362E00" w14:textId="5307FE14" w:rsidR="00467FE7" w:rsidRPr="002D4681" w:rsidRDefault="003D346E" w:rsidP="00515DE8">
            <w:pPr>
              <w:spacing w:line="480" w:lineRule="auto"/>
              <w:rPr>
                <w:rFonts w:ascii="Arial" w:hAnsi="Arial" w:cs="Arial"/>
                <w:i/>
              </w:rPr>
            </w:pPr>
            <w:r>
              <w:rPr>
                <w:rFonts w:ascii="Arial" w:hAnsi="Arial" w:cs="Arial"/>
                <w:i/>
              </w:rPr>
              <w:t>D</w:t>
            </w:r>
            <w:r w:rsidRPr="003D346E">
              <w:rPr>
                <w:rFonts w:ascii="Arial" w:hAnsi="Arial" w:cs="Arial"/>
                <w:i/>
              </w:rPr>
              <w:t>elivery stabilisation/resuscitation characteristics</w:t>
            </w:r>
          </w:p>
        </w:tc>
        <w:tc>
          <w:tcPr>
            <w:tcW w:w="6232" w:type="dxa"/>
            <w:tcBorders>
              <w:top w:val="single" w:sz="4" w:space="0" w:color="auto"/>
              <w:bottom w:val="single" w:sz="4" w:space="0" w:color="auto"/>
            </w:tcBorders>
          </w:tcPr>
          <w:p w14:paraId="528F9575" w14:textId="6966429D" w:rsidR="00467FE7" w:rsidRPr="002D4681" w:rsidRDefault="005214F5" w:rsidP="00515DE8">
            <w:pPr>
              <w:spacing w:line="480" w:lineRule="auto"/>
              <w:jc w:val="both"/>
              <w:rPr>
                <w:rFonts w:ascii="Arial" w:hAnsi="Arial" w:cs="Arial"/>
              </w:rPr>
            </w:pPr>
            <w:r w:rsidRPr="002D4681">
              <w:rPr>
                <w:rFonts w:ascii="Arial" w:hAnsi="Arial" w:cs="Arial"/>
              </w:rPr>
              <w:t>Intubation</w:t>
            </w:r>
          </w:p>
          <w:p w14:paraId="6965933A" w14:textId="131677F3" w:rsidR="005214F5" w:rsidRPr="002D4681" w:rsidRDefault="005214F5" w:rsidP="00515DE8">
            <w:pPr>
              <w:spacing w:line="480" w:lineRule="auto"/>
              <w:jc w:val="both"/>
              <w:rPr>
                <w:rFonts w:ascii="Arial" w:hAnsi="Arial" w:cs="Arial"/>
              </w:rPr>
            </w:pPr>
            <w:r w:rsidRPr="002D4681">
              <w:rPr>
                <w:rFonts w:ascii="Arial" w:hAnsi="Arial" w:cs="Arial"/>
              </w:rPr>
              <w:t>Chest compressions</w:t>
            </w:r>
          </w:p>
          <w:p w14:paraId="78CDFD38" w14:textId="2351C454" w:rsidR="005214F5" w:rsidRPr="002D4681" w:rsidRDefault="00467FE7" w:rsidP="00515DE8">
            <w:pPr>
              <w:spacing w:line="480" w:lineRule="auto"/>
              <w:jc w:val="both"/>
              <w:rPr>
                <w:rFonts w:ascii="Arial" w:hAnsi="Arial" w:cs="Arial"/>
              </w:rPr>
            </w:pPr>
            <w:r w:rsidRPr="002D4681">
              <w:rPr>
                <w:rFonts w:ascii="Arial" w:hAnsi="Arial" w:cs="Arial"/>
              </w:rPr>
              <w:t xml:space="preserve">Drugs </w:t>
            </w:r>
            <w:r w:rsidR="003D346E">
              <w:rPr>
                <w:rFonts w:ascii="Arial" w:hAnsi="Arial" w:cs="Arial"/>
              </w:rPr>
              <w:t>administered</w:t>
            </w:r>
          </w:p>
        </w:tc>
      </w:tr>
      <w:tr w:rsidR="00467FE7" w:rsidRPr="002D4681" w14:paraId="7D90FF87" w14:textId="77777777" w:rsidTr="00226204">
        <w:tc>
          <w:tcPr>
            <w:tcW w:w="3119" w:type="dxa"/>
            <w:vMerge w:val="restart"/>
            <w:vAlign w:val="center"/>
          </w:tcPr>
          <w:p w14:paraId="507FF761" w14:textId="0BEB0ABF" w:rsidR="00467FE7" w:rsidRPr="002D4681" w:rsidRDefault="003D346E" w:rsidP="00515DE8">
            <w:pPr>
              <w:spacing w:line="480" w:lineRule="auto"/>
              <w:rPr>
                <w:rFonts w:ascii="Arial" w:hAnsi="Arial" w:cs="Arial"/>
                <w:i/>
              </w:rPr>
            </w:pPr>
            <w:r>
              <w:rPr>
                <w:rFonts w:ascii="Arial" w:hAnsi="Arial" w:cs="Arial"/>
                <w:i/>
              </w:rPr>
              <w:t>C</w:t>
            </w:r>
            <w:r w:rsidR="00467FE7" w:rsidRPr="002D4681">
              <w:rPr>
                <w:rFonts w:ascii="Arial" w:hAnsi="Arial" w:cs="Arial"/>
                <w:i/>
              </w:rPr>
              <w:t>ondition</w:t>
            </w:r>
            <w:r>
              <w:rPr>
                <w:rFonts w:ascii="Arial" w:hAnsi="Arial" w:cs="Arial"/>
                <w:i/>
              </w:rPr>
              <w:t xml:space="preserve"> at birth</w:t>
            </w:r>
          </w:p>
        </w:tc>
        <w:tc>
          <w:tcPr>
            <w:tcW w:w="6232" w:type="dxa"/>
          </w:tcPr>
          <w:p w14:paraId="703551C1" w14:textId="6BFC6A45" w:rsidR="004616EE" w:rsidRPr="002D4681" w:rsidRDefault="00467FE7" w:rsidP="00515DE8">
            <w:pPr>
              <w:spacing w:line="480" w:lineRule="auto"/>
              <w:jc w:val="both"/>
              <w:rPr>
                <w:rFonts w:ascii="Arial" w:hAnsi="Arial" w:cs="Arial"/>
              </w:rPr>
            </w:pPr>
            <w:r w:rsidRPr="002D4681">
              <w:rPr>
                <w:rFonts w:ascii="Arial" w:hAnsi="Arial" w:cs="Arial"/>
              </w:rPr>
              <w:t>Apgar score</w:t>
            </w:r>
            <w:r w:rsidR="004616EE" w:rsidRPr="002D4681">
              <w:rPr>
                <w:rFonts w:ascii="Arial" w:hAnsi="Arial" w:cs="Arial"/>
              </w:rPr>
              <w:t xml:space="preserve"> </w:t>
            </w:r>
            <w:r w:rsidRPr="002D4681">
              <w:rPr>
                <w:rFonts w:ascii="Arial" w:hAnsi="Arial" w:cs="Arial"/>
              </w:rPr>
              <w:t xml:space="preserve">at 1 </w:t>
            </w:r>
            <w:r w:rsidR="009A0289" w:rsidRPr="002D4681">
              <w:rPr>
                <w:rFonts w:ascii="Arial" w:hAnsi="Arial" w:cs="Arial"/>
              </w:rPr>
              <w:t>minute</w:t>
            </w:r>
          </w:p>
          <w:p w14:paraId="58422BA3" w14:textId="2440E896" w:rsidR="00467FE7" w:rsidRPr="002D4681" w:rsidRDefault="004616EE" w:rsidP="00515DE8">
            <w:pPr>
              <w:spacing w:line="480" w:lineRule="auto"/>
              <w:jc w:val="both"/>
              <w:rPr>
                <w:rFonts w:ascii="Arial" w:hAnsi="Arial" w:cs="Arial"/>
              </w:rPr>
            </w:pPr>
            <w:r w:rsidRPr="002D4681">
              <w:rPr>
                <w:rFonts w:ascii="Arial" w:hAnsi="Arial" w:cs="Arial"/>
              </w:rPr>
              <w:t xml:space="preserve">Apgar score at </w:t>
            </w:r>
            <w:r w:rsidR="00467FE7" w:rsidRPr="002D4681">
              <w:rPr>
                <w:rFonts w:ascii="Arial" w:hAnsi="Arial" w:cs="Arial"/>
              </w:rPr>
              <w:t>5 min</w:t>
            </w:r>
            <w:r w:rsidR="009A0289" w:rsidRPr="002D4681">
              <w:rPr>
                <w:rFonts w:ascii="Arial" w:hAnsi="Arial" w:cs="Arial"/>
              </w:rPr>
              <w:t>ute</w:t>
            </w:r>
          </w:p>
        </w:tc>
      </w:tr>
      <w:tr w:rsidR="00467FE7" w:rsidRPr="002D4681" w14:paraId="24A6EE8F" w14:textId="77777777" w:rsidTr="005214F5">
        <w:tc>
          <w:tcPr>
            <w:tcW w:w="3119" w:type="dxa"/>
            <w:vMerge/>
            <w:tcBorders>
              <w:bottom w:val="single" w:sz="4" w:space="0" w:color="auto"/>
            </w:tcBorders>
            <w:vAlign w:val="center"/>
          </w:tcPr>
          <w:p w14:paraId="3EA7CCCA" w14:textId="77777777" w:rsidR="00467FE7" w:rsidRPr="002D4681" w:rsidRDefault="00467FE7" w:rsidP="00515DE8">
            <w:pPr>
              <w:spacing w:line="480" w:lineRule="auto"/>
              <w:rPr>
                <w:rFonts w:ascii="Arial" w:hAnsi="Arial" w:cs="Arial"/>
                <w:i/>
              </w:rPr>
            </w:pPr>
          </w:p>
        </w:tc>
        <w:tc>
          <w:tcPr>
            <w:tcW w:w="6232" w:type="dxa"/>
            <w:tcBorders>
              <w:bottom w:val="single" w:sz="4" w:space="0" w:color="auto"/>
            </w:tcBorders>
          </w:tcPr>
          <w:p w14:paraId="466826D7" w14:textId="625A17F7" w:rsidR="00467FE7" w:rsidRPr="002D4681" w:rsidRDefault="008550BE" w:rsidP="00515DE8">
            <w:pPr>
              <w:spacing w:line="480" w:lineRule="auto"/>
              <w:jc w:val="both"/>
              <w:rPr>
                <w:rFonts w:ascii="Arial" w:hAnsi="Arial" w:cs="Arial"/>
              </w:rPr>
            </w:pPr>
            <w:r>
              <w:rPr>
                <w:rFonts w:ascii="Arial" w:hAnsi="Arial" w:cs="Arial"/>
              </w:rPr>
              <w:t>A</w:t>
            </w:r>
            <w:r w:rsidR="007B0CE4" w:rsidRPr="002D4681">
              <w:rPr>
                <w:rFonts w:ascii="Arial" w:hAnsi="Arial" w:cs="Arial"/>
              </w:rPr>
              <w:t xml:space="preserve">rterial </w:t>
            </w:r>
            <w:r w:rsidR="004616EE" w:rsidRPr="002D4681">
              <w:rPr>
                <w:rFonts w:ascii="Arial" w:hAnsi="Arial" w:cs="Arial"/>
              </w:rPr>
              <w:t>umbilical cord</w:t>
            </w:r>
            <w:r w:rsidR="00467FE7" w:rsidRPr="002D4681">
              <w:rPr>
                <w:rFonts w:ascii="Arial" w:hAnsi="Arial" w:cs="Arial"/>
              </w:rPr>
              <w:t xml:space="preserve"> pH</w:t>
            </w:r>
          </w:p>
        </w:tc>
      </w:tr>
      <w:tr w:rsidR="00467FE7" w:rsidRPr="002D4681" w14:paraId="646F8E38" w14:textId="77777777" w:rsidTr="005214F5">
        <w:tc>
          <w:tcPr>
            <w:tcW w:w="3119" w:type="dxa"/>
            <w:vMerge w:val="restart"/>
            <w:tcBorders>
              <w:top w:val="single" w:sz="4" w:space="0" w:color="auto"/>
              <w:bottom w:val="nil"/>
            </w:tcBorders>
            <w:vAlign w:val="center"/>
          </w:tcPr>
          <w:p w14:paraId="331A9F5E" w14:textId="7CF2B5F5" w:rsidR="00467FE7" w:rsidRPr="002D4681" w:rsidRDefault="00467FE7" w:rsidP="00515DE8">
            <w:pPr>
              <w:spacing w:line="480" w:lineRule="auto"/>
              <w:rPr>
                <w:rFonts w:ascii="Arial" w:hAnsi="Arial" w:cs="Arial"/>
                <w:i/>
              </w:rPr>
            </w:pPr>
            <w:r w:rsidRPr="002D4681">
              <w:rPr>
                <w:rFonts w:ascii="Arial" w:hAnsi="Arial" w:cs="Arial"/>
                <w:i/>
              </w:rPr>
              <w:t xml:space="preserve">Condition </w:t>
            </w:r>
            <w:r w:rsidR="007B0CE4" w:rsidRPr="002D4681">
              <w:rPr>
                <w:rFonts w:ascii="Arial" w:hAnsi="Arial" w:cs="Arial"/>
                <w:i/>
              </w:rPr>
              <w:t xml:space="preserve">on the </w:t>
            </w:r>
            <w:r w:rsidR="00DA1B8B" w:rsidRPr="002D4681">
              <w:rPr>
                <w:rFonts w:ascii="Arial" w:hAnsi="Arial" w:cs="Arial"/>
                <w:i/>
              </w:rPr>
              <w:t>first day of</w:t>
            </w:r>
            <w:r w:rsidR="002E4F7A" w:rsidRPr="002D4681">
              <w:rPr>
                <w:rFonts w:ascii="Arial" w:hAnsi="Arial" w:cs="Arial"/>
                <w:i/>
              </w:rPr>
              <w:t xml:space="preserve"> </w:t>
            </w:r>
            <w:r w:rsidR="007B0CE4" w:rsidRPr="002D4681">
              <w:rPr>
                <w:rFonts w:ascii="Arial" w:hAnsi="Arial" w:cs="Arial"/>
                <w:i/>
              </w:rPr>
              <w:t>neonatal care</w:t>
            </w:r>
          </w:p>
        </w:tc>
        <w:tc>
          <w:tcPr>
            <w:tcW w:w="6232" w:type="dxa"/>
            <w:tcBorders>
              <w:top w:val="single" w:sz="4" w:space="0" w:color="auto"/>
              <w:bottom w:val="nil"/>
            </w:tcBorders>
          </w:tcPr>
          <w:p w14:paraId="56672B19" w14:textId="15036713" w:rsidR="004616EE" w:rsidRPr="002D4681" w:rsidRDefault="002E4F7A" w:rsidP="00515DE8">
            <w:pPr>
              <w:spacing w:line="480" w:lineRule="auto"/>
              <w:jc w:val="both"/>
              <w:rPr>
                <w:rFonts w:ascii="Arial" w:hAnsi="Arial" w:cs="Arial"/>
              </w:rPr>
            </w:pPr>
            <w:r w:rsidRPr="002D4681">
              <w:rPr>
                <w:rFonts w:ascii="Arial" w:hAnsi="Arial" w:cs="Arial"/>
              </w:rPr>
              <w:t>Seizures</w:t>
            </w:r>
            <w:r w:rsidR="004616EE" w:rsidRPr="002D4681">
              <w:rPr>
                <w:rFonts w:ascii="Arial" w:hAnsi="Arial" w:cs="Arial"/>
              </w:rPr>
              <w:t xml:space="preserve"> </w:t>
            </w:r>
            <w:r w:rsidRPr="002D4681">
              <w:rPr>
                <w:rFonts w:ascii="Arial" w:hAnsi="Arial" w:cs="Arial"/>
              </w:rPr>
              <w:t xml:space="preserve">recorded on the first day </w:t>
            </w:r>
            <w:r w:rsidR="004616EE" w:rsidRPr="002D4681">
              <w:rPr>
                <w:rFonts w:ascii="Arial" w:hAnsi="Arial" w:cs="Arial"/>
              </w:rPr>
              <w:t>(electrographic or clinical)</w:t>
            </w:r>
          </w:p>
          <w:p w14:paraId="14AEEFC8" w14:textId="192C2254" w:rsidR="004616EE" w:rsidRPr="002D4681" w:rsidRDefault="004616EE" w:rsidP="00515DE8">
            <w:pPr>
              <w:spacing w:line="480" w:lineRule="auto"/>
              <w:jc w:val="both"/>
              <w:rPr>
                <w:rFonts w:ascii="Arial" w:hAnsi="Arial" w:cs="Arial"/>
              </w:rPr>
            </w:pPr>
            <w:r w:rsidRPr="002D4681">
              <w:rPr>
                <w:rFonts w:ascii="Arial" w:hAnsi="Arial" w:cs="Arial"/>
              </w:rPr>
              <w:t>I</w:t>
            </w:r>
            <w:r w:rsidR="005214F5" w:rsidRPr="002D4681">
              <w:rPr>
                <w:rFonts w:ascii="Arial" w:hAnsi="Arial" w:cs="Arial"/>
              </w:rPr>
              <w:t xml:space="preserve">nvasive ventilation </w:t>
            </w:r>
            <w:r w:rsidRPr="002D4681">
              <w:rPr>
                <w:rFonts w:ascii="Arial" w:hAnsi="Arial" w:cs="Arial"/>
              </w:rPr>
              <w:t xml:space="preserve">on the first day </w:t>
            </w:r>
          </w:p>
          <w:p w14:paraId="5BFBC2DD" w14:textId="479A8877" w:rsidR="00467FE7" w:rsidRPr="002D4681" w:rsidRDefault="004616EE" w:rsidP="00515DE8">
            <w:pPr>
              <w:spacing w:line="480" w:lineRule="auto"/>
              <w:jc w:val="both"/>
              <w:rPr>
                <w:rFonts w:ascii="Arial" w:hAnsi="Arial" w:cs="Arial"/>
              </w:rPr>
            </w:pPr>
            <w:r w:rsidRPr="002D4681">
              <w:rPr>
                <w:rFonts w:ascii="Arial" w:hAnsi="Arial" w:cs="Arial"/>
              </w:rPr>
              <w:t>Administration of n</w:t>
            </w:r>
            <w:r w:rsidR="00467FE7" w:rsidRPr="002D4681">
              <w:rPr>
                <w:rFonts w:ascii="Arial" w:hAnsi="Arial" w:cs="Arial"/>
              </w:rPr>
              <w:t xml:space="preserve">itric oxide </w:t>
            </w:r>
            <w:r w:rsidRPr="002D4681">
              <w:rPr>
                <w:rFonts w:ascii="Arial" w:hAnsi="Arial" w:cs="Arial"/>
              </w:rPr>
              <w:t xml:space="preserve">on the first day </w:t>
            </w:r>
          </w:p>
        </w:tc>
      </w:tr>
      <w:tr w:rsidR="00467FE7" w:rsidRPr="002D4681" w14:paraId="42ACF243" w14:textId="77777777" w:rsidTr="005214F5">
        <w:trPr>
          <w:trHeight w:val="426"/>
        </w:trPr>
        <w:tc>
          <w:tcPr>
            <w:tcW w:w="3119" w:type="dxa"/>
            <w:vMerge/>
            <w:tcBorders>
              <w:top w:val="nil"/>
            </w:tcBorders>
          </w:tcPr>
          <w:p w14:paraId="26AFF6CD" w14:textId="77777777" w:rsidR="00467FE7" w:rsidRPr="002D4681" w:rsidRDefault="00467FE7" w:rsidP="00515DE8">
            <w:pPr>
              <w:spacing w:line="480" w:lineRule="auto"/>
              <w:jc w:val="both"/>
              <w:rPr>
                <w:rFonts w:ascii="Arial" w:hAnsi="Arial" w:cs="Arial"/>
              </w:rPr>
            </w:pPr>
          </w:p>
        </w:tc>
        <w:tc>
          <w:tcPr>
            <w:tcW w:w="6232" w:type="dxa"/>
            <w:tcBorders>
              <w:top w:val="nil"/>
            </w:tcBorders>
          </w:tcPr>
          <w:p w14:paraId="479BE4FF" w14:textId="42536A08" w:rsidR="00467FE7" w:rsidRPr="002D4681" w:rsidRDefault="00EF0597" w:rsidP="00515DE8">
            <w:pPr>
              <w:spacing w:line="480" w:lineRule="auto"/>
              <w:jc w:val="both"/>
              <w:rPr>
                <w:rFonts w:ascii="Arial" w:hAnsi="Arial" w:cs="Arial"/>
              </w:rPr>
            </w:pPr>
            <w:r w:rsidRPr="002D4681">
              <w:rPr>
                <w:rFonts w:ascii="Arial" w:hAnsi="Arial" w:cs="Arial"/>
              </w:rPr>
              <w:t>Administration of inotropes</w:t>
            </w:r>
            <w:r w:rsidR="004616EE" w:rsidRPr="002D4681">
              <w:rPr>
                <w:rFonts w:ascii="Arial" w:hAnsi="Arial" w:cs="Arial"/>
              </w:rPr>
              <w:t xml:space="preserve"> on the first day </w:t>
            </w:r>
          </w:p>
        </w:tc>
      </w:tr>
    </w:tbl>
    <w:p w14:paraId="7FD6D631" w14:textId="31E9E1BA" w:rsidR="00467FE7" w:rsidRPr="00524137" w:rsidRDefault="00467FE7" w:rsidP="00515DE8">
      <w:pPr>
        <w:spacing w:line="480" w:lineRule="auto"/>
        <w:jc w:val="both"/>
        <w:rPr>
          <w:rFonts w:ascii="Arial" w:hAnsi="Arial" w:cs="Arial"/>
          <w:sz w:val="22"/>
          <w:szCs w:val="22"/>
        </w:rPr>
      </w:pPr>
      <w:r w:rsidRPr="00524137">
        <w:rPr>
          <w:rFonts w:ascii="Arial" w:hAnsi="Arial" w:cs="Arial"/>
          <w:sz w:val="22"/>
          <w:szCs w:val="22"/>
        </w:rPr>
        <w:t xml:space="preserve">Table </w:t>
      </w:r>
      <w:r w:rsidR="00DE5F6E" w:rsidRPr="00524137">
        <w:rPr>
          <w:rFonts w:ascii="Arial" w:hAnsi="Arial" w:cs="Arial"/>
          <w:sz w:val="22"/>
          <w:szCs w:val="22"/>
        </w:rPr>
        <w:t>1</w:t>
      </w:r>
      <w:r w:rsidRPr="00524137">
        <w:rPr>
          <w:rFonts w:ascii="Arial" w:hAnsi="Arial" w:cs="Arial"/>
          <w:sz w:val="22"/>
          <w:szCs w:val="22"/>
        </w:rPr>
        <w:t xml:space="preserve">. Clinical characteristics </w:t>
      </w:r>
      <w:r w:rsidR="007B0CE4" w:rsidRPr="00524137">
        <w:rPr>
          <w:rFonts w:ascii="Arial" w:hAnsi="Arial" w:cs="Arial"/>
          <w:sz w:val="22"/>
          <w:szCs w:val="22"/>
        </w:rPr>
        <w:t xml:space="preserve">of hypoxia/ischaemia </w:t>
      </w:r>
      <w:r w:rsidRPr="00524137">
        <w:rPr>
          <w:rFonts w:ascii="Arial" w:hAnsi="Arial" w:cs="Arial"/>
          <w:sz w:val="22"/>
          <w:szCs w:val="22"/>
        </w:rPr>
        <w:t>extracted from the NNRD database.</w:t>
      </w:r>
    </w:p>
    <w:p w14:paraId="13C6ED5C" w14:textId="77777777" w:rsidR="00E11EE9" w:rsidRDefault="00E11EE9" w:rsidP="0049638B">
      <w:pPr>
        <w:spacing w:line="480" w:lineRule="auto"/>
        <w:jc w:val="both"/>
        <w:rPr>
          <w:rFonts w:ascii="Arial" w:hAnsi="Arial" w:cs="Arial"/>
          <w:b/>
          <w:sz w:val="22"/>
          <w:szCs w:val="22"/>
        </w:rPr>
      </w:pPr>
    </w:p>
    <w:p w14:paraId="28CECE93" w14:textId="728FDAB9" w:rsidR="0049638B" w:rsidRPr="00086178" w:rsidRDefault="00524137" w:rsidP="005B3573">
      <w:pPr>
        <w:spacing w:line="480" w:lineRule="auto"/>
        <w:jc w:val="both"/>
        <w:rPr>
          <w:rFonts w:ascii="Arial" w:hAnsi="Arial" w:cs="Arial"/>
          <w:b/>
          <w:sz w:val="22"/>
          <w:szCs w:val="22"/>
        </w:rPr>
      </w:pPr>
      <w:r>
        <w:rPr>
          <w:rFonts w:ascii="Arial" w:hAnsi="Arial" w:cs="Arial"/>
          <w:b/>
          <w:sz w:val="22"/>
          <w:szCs w:val="22"/>
        </w:rPr>
        <w:t>g</w:t>
      </w:r>
      <w:r w:rsidR="00086178" w:rsidRPr="00086178">
        <w:rPr>
          <w:rFonts w:ascii="Arial" w:hAnsi="Arial" w:cs="Arial"/>
          <w:b/>
          <w:sz w:val="22"/>
          <w:szCs w:val="22"/>
        </w:rPr>
        <w:t>rade of hypoxic ischaemic encephalopathy</w:t>
      </w:r>
    </w:p>
    <w:p w14:paraId="1C508858" w14:textId="0F6F2F3D" w:rsidR="00E11EE9" w:rsidRPr="005B3573" w:rsidRDefault="005B3573" w:rsidP="005B3573">
      <w:pPr>
        <w:spacing w:line="480" w:lineRule="auto"/>
        <w:jc w:val="both"/>
        <w:rPr>
          <w:rFonts w:ascii="Arial" w:eastAsia="Times New Roman" w:hAnsi="Arial" w:cs="Arial"/>
          <w:lang w:val="en-US"/>
        </w:rPr>
      </w:pPr>
      <w:r w:rsidRPr="005B3573">
        <w:rPr>
          <w:rFonts w:ascii="Arial" w:eastAsia="Times New Roman" w:hAnsi="Arial" w:cs="Arial"/>
          <w:color w:val="000000"/>
          <w:sz w:val="22"/>
          <w:szCs w:val="22"/>
          <w:lang w:val="en-US"/>
        </w:rPr>
        <w:t>HIE diagnosis was extracted using the following variable fields, </w:t>
      </w:r>
      <w:r w:rsidRPr="005B3573">
        <w:rPr>
          <w:rFonts w:ascii="Arial" w:eastAsia="Times New Roman" w:hAnsi="Arial" w:cs="Arial"/>
          <w:i/>
          <w:iCs/>
          <w:color w:val="000000"/>
          <w:sz w:val="22"/>
          <w:szCs w:val="22"/>
          <w:lang w:val="en-US"/>
        </w:rPr>
        <w:t>primary clinical reason for admission</w:t>
      </w:r>
      <w:r w:rsidRPr="005B3573">
        <w:rPr>
          <w:rFonts w:ascii="Arial" w:eastAsia="Times New Roman" w:hAnsi="Arial" w:cs="Arial"/>
          <w:color w:val="000000"/>
          <w:sz w:val="22"/>
          <w:szCs w:val="22"/>
          <w:lang w:val="en-US"/>
        </w:rPr>
        <w:t> or </w:t>
      </w:r>
      <w:r w:rsidRPr="005B3573">
        <w:rPr>
          <w:rFonts w:ascii="Arial" w:eastAsia="Times New Roman" w:hAnsi="Arial" w:cs="Arial"/>
          <w:i/>
          <w:iCs/>
          <w:color w:val="000000"/>
          <w:sz w:val="22"/>
          <w:szCs w:val="22"/>
          <w:lang w:val="en-US"/>
        </w:rPr>
        <w:t>principal diagnosis at discharge</w:t>
      </w:r>
      <w:r w:rsidRPr="005B3573">
        <w:rPr>
          <w:rFonts w:ascii="Arial" w:eastAsia="Times New Roman" w:hAnsi="Arial" w:cs="Arial"/>
          <w:color w:val="000000"/>
          <w:sz w:val="22"/>
          <w:szCs w:val="22"/>
          <w:lang w:val="en-US"/>
        </w:rPr>
        <w:t xml:space="preserve"> (see </w:t>
      </w:r>
      <w:r w:rsidR="00376A45" w:rsidRPr="00C024B7">
        <w:rPr>
          <w:rFonts w:ascii="Arial" w:eastAsia="Times New Roman" w:hAnsi="Arial" w:cs="Arial"/>
          <w:b/>
          <w:bCs/>
          <w:color w:val="000000"/>
          <w:sz w:val="22"/>
          <w:szCs w:val="22"/>
          <w:lang w:val="en-US"/>
        </w:rPr>
        <w:t>S</w:t>
      </w:r>
      <w:r w:rsidRPr="00C024B7">
        <w:rPr>
          <w:rFonts w:ascii="Arial" w:eastAsia="Times New Roman" w:hAnsi="Arial" w:cs="Arial"/>
          <w:b/>
          <w:bCs/>
          <w:color w:val="000000"/>
          <w:sz w:val="22"/>
          <w:szCs w:val="22"/>
          <w:lang w:val="en-US"/>
        </w:rPr>
        <w:t>upplemental table 1</w:t>
      </w:r>
      <w:r w:rsidRPr="005B3573">
        <w:rPr>
          <w:rFonts w:ascii="Arial" w:eastAsia="Times New Roman" w:hAnsi="Arial" w:cs="Arial"/>
          <w:color w:val="000000"/>
          <w:sz w:val="22"/>
          <w:szCs w:val="22"/>
          <w:lang w:val="en-US"/>
        </w:rPr>
        <w:t xml:space="preserve"> for the data items used). The recorded grade of HIE was extracted using the </w:t>
      </w:r>
      <w:r w:rsidRPr="005B3573">
        <w:rPr>
          <w:rFonts w:ascii="Arial" w:eastAsia="Times New Roman" w:hAnsi="Arial" w:cs="Arial"/>
          <w:i/>
          <w:iCs/>
          <w:color w:val="000000"/>
          <w:sz w:val="22"/>
          <w:szCs w:val="22"/>
          <w:lang w:val="en-US"/>
        </w:rPr>
        <w:t>principal diagnosis at discharge</w:t>
      </w:r>
      <w:r w:rsidRPr="005B3573">
        <w:rPr>
          <w:rFonts w:ascii="Arial" w:eastAsia="Times New Roman" w:hAnsi="Arial" w:cs="Arial"/>
          <w:color w:val="000000"/>
          <w:sz w:val="22"/>
          <w:szCs w:val="22"/>
          <w:lang w:val="en-US"/>
        </w:rPr>
        <w:t>: mild or grade 1, moderate or grade 2, and severe or grade 3 HIE.</w:t>
      </w:r>
      <w:r w:rsidR="009B3159">
        <w:rPr>
          <w:rFonts w:ascii="Arial" w:eastAsia="Times New Roman" w:hAnsi="Arial" w:cs="Arial"/>
          <w:color w:val="000000"/>
          <w:sz w:val="22"/>
          <w:szCs w:val="22"/>
          <w:lang w:val="en-US"/>
        </w:rPr>
        <w:t xml:space="preserve"> </w:t>
      </w:r>
      <w:r w:rsidR="00F9172B">
        <w:rPr>
          <w:rFonts w:ascii="Arial" w:eastAsia="Times New Roman" w:hAnsi="Arial" w:cs="Arial"/>
          <w:color w:val="000000"/>
          <w:sz w:val="22"/>
          <w:szCs w:val="22"/>
          <w:lang w:val="en-US"/>
        </w:rPr>
        <w:t>The NNRD does not hold data describing the individual components of the neonatal neurological examination or that are used to classify severity of HIE.</w:t>
      </w:r>
    </w:p>
    <w:p w14:paraId="64EFED83" w14:textId="77777777" w:rsidR="005B3573" w:rsidRPr="005B3573" w:rsidRDefault="005B3573" w:rsidP="005B3573">
      <w:pPr>
        <w:spacing w:line="480" w:lineRule="auto"/>
        <w:jc w:val="both"/>
        <w:rPr>
          <w:rFonts w:ascii="Arial" w:eastAsia="Times New Roman" w:hAnsi="Arial" w:cs="Arial"/>
          <w:lang w:val="en-US"/>
        </w:rPr>
      </w:pPr>
    </w:p>
    <w:p w14:paraId="7C374EAB" w14:textId="518CA987" w:rsidR="00467FE7" w:rsidRPr="00086178" w:rsidRDefault="00524137" w:rsidP="005B3573">
      <w:pPr>
        <w:spacing w:line="480" w:lineRule="auto"/>
        <w:jc w:val="both"/>
        <w:rPr>
          <w:rFonts w:ascii="Arial" w:hAnsi="Arial" w:cs="Arial"/>
          <w:b/>
          <w:sz w:val="22"/>
          <w:szCs w:val="22"/>
        </w:rPr>
      </w:pPr>
      <w:r>
        <w:rPr>
          <w:rFonts w:ascii="Arial" w:hAnsi="Arial" w:cs="Arial"/>
          <w:b/>
          <w:sz w:val="22"/>
          <w:szCs w:val="22"/>
        </w:rPr>
        <w:t>s</w:t>
      </w:r>
      <w:r w:rsidR="00086178" w:rsidRPr="00086178">
        <w:rPr>
          <w:rFonts w:ascii="Arial" w:hAnsi="Arial" w:cs="Arial"/>
          <w:b/>
          <w:sz w:val="22"/>
          <w:szCs w:val="22"/>
        </w:rPr>
        <w:t>tatistical method</w:t>
      </w:r>
    </w:p>
    <w:p w14:paraId="51993CB4" w14:textId="2EC4AC11" w:rsidR="00E31408" w:rsidRPr="002D4681" w:rsidRDefault="00E31408" w:rsidP="005B3573">
      <w:pPr>
        <w:spacing w:line="480" w:lineRule="auto"/>
        <w:jc w:val="both"/>
        <w:rPr>
          <w:rFonts w:ascii="Arial" w:hAnsi="Arial" w:cs="Arial"/>
          <w:sz w:val="22"/>
          <w:szCs w:val="22"/>
        </w:rPr>
      </w:pPr>
      <w:r w:rsidRPr="002D4681">
        <w:rPr>
          <w:rFonts w:ascii="Arial" w:hAnsi="Arial" w:cs="Arial"/>
          <w:sz w:val="22"/>
          <w:szCs w:val="22"/>
        </w:rPr>
        <w:t>Simple descriptive statistics were used to describe the study population</w:t>
      </w:r>
      <w:r w:rsidR="0049638B" w:rsidRPr="002D4681">
        <w:rPr>
          <w:rFonts w:ascii="Arial" w:hAnsi="Arial" w:cs="Arial"/>
          <w:sz w:val="22"/>
          <w:szCs w:val="22"/>
        </w:rPr>
        <w:t xml:space="preserve">, clinical characteristics and grade </w:t>
      </w:r>
      <w:r w:rsidRPr="002D4681">
        <w:rPr>
          <w:rFonts w:ascii="Arial" w:hAnsi="Arial" w:cs="Arial"/>
          <w:sz w:val="22"/>
          <w:szCs w:val="22"/>
        </w:rPr>
        <w:t xml:space="preserve">of HIE of </w:t>
      </w:r>
      <w:r w:rsidR="00C620F1">
        <w:rPr>
          <w:rFonts w:ascii="Arial" w:hAnsi="Arial" w:cs="Arial"/>
          <w:sz w:val="22"/>
          <w:szCs w:val="22"/>
        </w:rPr>
        <w:t>the infants included in the study</w:t>
      </w:r>
      <w:r w:rsidRPr="002D4681">
        <w:rPr>
          <w:rFonts w:ascii="Arial" w:hAnsi="Arial" w:cs="Arial"/>
          <w:sz w:val="22"/>
          <w:szCs w:val="22"/>
        </w:rPr>
        <w:t>. Continuous variables were analysed using linear regression</w:t>
      </w:r>
      <w:r w:rsidR="00A26D90">
        <w:rPr>
          <w:rFonts w:ascii="Arial" w:hAnsi="Arial" w:cs="Arial"/>
          <w:sz w:val="22"/>
          <w:szCs w:val="22"/>
        </w:rPr>
        <w:t xml:space="preserve"> of the annual means</w:t>
      </w:r>
      <w:r w:rsidRPr="002D4681">
        <w:rPr>
          <w:rFonts w:ascii="Arial" w:hAnsi="Arial" w:cs="Arial"/>
          <w:sz w:val="22"/>
          <w:szCs w:val="22"/>
        </w:rPr>
        <w:t xml:space="preserve"> </w:t>
      </w:r>
      <w:r w:rsidR="00C620F1">
        <w:rPr>
          <w:rFonts w:ascii="Arial" w:hAnsi="Arial" w:cs="Arial"/>
          <w:sz w:val="22"/>
          <w:szCs w:val="22"/>
        </w:rPr>
        <w:t>followed by</w:t>
      </w:r>
      <w:r w:rsidRPr="002D4681">
        <w:rPr>
          <w:rFonts w:ascii="Arial" w:hAnsi="Arial" w:cs="Arial"/>
          <w:sz w:val="22"/>
          <w:szCs w:val="22"/>
        </w:rPr>
        <w:t xml:space="preserve"> Spearman’s rank correlation to </w:t>
      </w:r>
      <w:r w:rsidR="00DF00C4">
        <w:rPr>
          <w:rFonts w:ascii="Arial" w:hAnsi="Arial" w:cs="Arial"/>
          <w:sz w:val="22"/>
          <w:szCs w:val="22"/>
        </w:rPr>
        <w:t>account for non-normality of the data</w:t>
      </w:r>
      <w:r w:rsidRPr="002D4681">
        <w:rPr>
          <w:rFonts w:ascii="Arial" w:hAnsi="Arial" w:cs="Arial"/>
          <w:sz w:val="22"/>
          <w:szCs w:val="22"/>
        </w:rPr>
        <w:t>. Ordinal variables were tested using Spearman’s rank correlation</w:t>
      </w:r>
      <w:r w:rsidR="00A26D90">
        <w:rPr>
          <w:rFonts w:ascii="Arial" w:hAnsi="Arial" w:cs="Arial"/>
          <w:sz w:val="22"/>
          <w:szCs w:val="22"/>
        </w:rPr>
        <w:t xml:space="preserve"> of the annual means</w:t>
      </w:r>
      <w:r w:rsidRPr="002D4681">
        <w:rPr>
          <w:rFonts w:ascii="Arial" w:hAnsi="Arial" w:cs="Arial"/>
          <w:sz w:val="22"/>
          <w:szCs w:val="22"/>
        </w:rPr>
        <w:t xml:space="preserve">. Binary data </w:t>
      </w:r>
      <w:r w:rsidR="009A0289" w:rsidRPr="002D4681">
        <w:rPr>
          <w:rFonts w:ascii="Arial" w:hAnsi="Arial" w:cs="Arial"/>
          <w:sz w:val="22"/>
          <w:szCs w:val="22"/>
        </w:rPr>
        <w:t xml:space="preserve">were </w:t>
      </w:r>
      <w:r w:rsidRPr="002D4681">
        <w:rPr>
          <w:rFonts w:ascii="Arial" w:hAnsi="Arial" w:cs="Arial"/>
          <w:sz w:val="22"/>
          <w:szCs w:val="22"/>
        </w:rPr>
        <w:t xml:space="preserve">assessed with a </w:t>
      </w:r>
      <w:r w:rsidR="00C620F1">
        <w:rPr>
          <w:rFonts w:ascii="Arial" w:hAnsi="Arial" w:cs="Arial"/>
          <w:sz w:val="22"/>
          <w:szCs w:val="22"/>
        </w:rPr>
        <w:t>c</w:t>
      </w:r>
      <w:r w:rsidRPr="002D4681">
        <w:rPr>
          <w:rFonts w:ascii="Arial" w:hAnsi="Arial" w:cs="Arial"/>
          <w:sz w:val="22"/>
          <w:szCs w:val="22"/>
        </w:rPr>
        <w:t>hi-squared test for trend</w:t>
      </w:r>
      <w:r w:rsidR="00A26D90">
        <w:rPr>
          <w:rFonts w:ascii="Arial" w:hAnsi="Arial" w:cs="Arial"/>
          <w:sz w:val="22"/>
          <w:szCs w:val="22"/>
        </w:rPr>
        <w:t xml:space="preserve"> over the years (Cochran-Armitage test)</w:t>
      </w:r>
      <w:r w:rsidRPr="002D4681">
        <w:rPr>
          <w:rFonts w:ascii="Arial" w:hAnsi="Arial" w:cs="Arial"/>
          <w:sz w:val="22"/>
          <w:szCs w:val="22"/>
        </w:rPr>
        <w:t xml:space="preserve">. For all the statistical results, </w:t>
      </w:r>
      <w:r w:rsidRPr="002D4681">
        <w:rPr>
          <w:rFonts w:ascii="Arial" w:hAnsi="Arial" w:cs="Arial"/>
          <w:iCs/>
          <w:sz w:val="22"/>
          <w:szCs w:val="22"/>
        </w:rPr>
        <w:t>a p-value of less than 0.05 was considered as statistically significant.</w:t>
      </w:r>
      <w:r w:rsidRPr="002D4681">
        <w:rPr>
          <w:rFonts w:ascii="Arial" w:hAnsi="Arial" w:cs="Arial"/>
          <w:sz w:val="22"/>
          <w:szCs w:val="22"/>
        </w:rPr>
        <w:t xml:space="preserve"> Missing data were </w:t>
      </w:r>
      <w:r w:rsidR="00C620F1" w:rsidRPr="002D4681">
        <w:rPr>
          <w:rFonts w:ascii="Arial" w:hAnsi="Arial" w:cs="Arial"/>
          <w:sz w:val="22"/>
          <w:szCs w:val="22"/>
        </w:rPr>
        <w:t>c</w:t>
      </w:r>
      <w:r w:rsidR="00C620F1">
        <w:rPr>
          <w:rFonts w:ascii="Arial" w:hAnsi="Arial" w:cs="Arial"/>
          <w:sz w:val="22"/>
          <w:szCs w:val="22"/>
        </w:rPr>
        <w:t>ounted</w:t>
      </w:r>
      <w:r w:rsidR="00C620F1" w:rsidRPr="002D4681">
        <w:rPr>
          <w:rFonts w:ascii="Arial" w:hAnsi="Arial" w:cs="Arial"/>
          <w:sz w:val="22"/>
          <w:szCs w:val="22"/>
        </w:rPr>
        <w:t xml:space="preserve"> </w:t>
      </w:r>
      <w:r w:rsidRPr="002D4681">
        <w:rPr>
          <w:rFonts w:ascii="Arial" w:hAnsi="Arial" w:cs="Arial"/>
          <w:sz w:val="22"/>
          <w:szCs w:val="22"/>
        </w:rPr>
        <w:t>and presented in the tables but were disregarded in the statistical analysis of trends over time.</w:t>
      </w:r>
      <w:r w:rsidR="0049638B" w:rsidRPr="002D4681">
        <w:rPr>
          <w:rFonts w:ascii="Arial" w:hAnsi="Arial" w:cs="Arial"/>
          <w:sz w:val="22"/>
          <w:szCs w:val="22"/>
        </w:rPr>
        <w:t xml:space="preserve"> All the statistical analysis was undertaken on SAS 9.4 software (Statistical Analysis System, SAS Institute, 2013).</w:t>
      </w:r>
    </w:p>
    <w:p w14:paraId="704A4842" w14:textId="19D210D8" w:rsidR="001F048A" w:rsidRPr="002D4681" w:rsidRDefault="001F048A" w:rsidP="00515DE8">
      <w:pPr>
        <w:spacing w:line="480" w:lineRule="auto"/>
        <w:jc w:val="both"/>
        <w:rPr>
          <w:rFonts w:ascii="Arial" w:hAnsi="Arial" w:cs="Arial"/>
          <w:sz w:val="22"/>
          <w:szCs w:val="22"/>
        </w:rPr>
      </w:pPr>
    </w:p>
    <w:p w14:paraId="2ADCFF3E" w14:textId="10511FBA" w:rsidR="001F048A" w:rsidRPr="00086178" w:rsidRDefault="00524137" w:rsidP="00515DE8">
      <w:pPr>
        <w:spacing w:line="480" w:lineRule="auto"/>
        <w:jc w:val="both"/>
        <w:rPr>
          <w:rFonts w:ascii="Arial" w:hAnsi="Arial" w:cs="Arial"/>
          <w:b/>
          <w:sz w:val="22"/>
          <w:szCs w:val="22"/>
        </w:rPr>
      </w:pPr>
      <w:r>
        <w:rPr>
          <w:rFonts w:ascii="Arial" w:hAnsi="Arial" w:cs="Arial"/>
          <w:b/>
          <w:sz w:val="22"/>
          <w:szCs w:val="22"/>
        </w:rPr>
        <w:t>s</w:t>
      </w:r>
      <w:r w:rsidR="00086178" w:rsidRPr="00086178">
        <w:rPr>
          <w:rFonts w:ascii="Arial" w:hAnsi="Arial" w:cs="Arial"/>
          <w:b/>
          <w:sz w:val="22"/>
          <w:szCs w:val="22"/>
        </w:rPr>
        <w:t>ensitivity analyses</w:t>
      </w:r>
    </w:p>
    <w:p w14:paraId="0178C310" w14:textId="7C49A610" w:rsidR="007072DA" w:rsidRDefault="003D097C" w:rsidP="00515DE8">
      <w:pPr>
        <w:spacing w:line="480" w:lineRule="auto"/>
        <w:jc w:val="both"/>
        <w:rPr>
          <w:rFonts w:ascii="Arial" w:hAnsi="Arial" w:cs="Arial"/>
          <w:sz w:val="22"/>
          <w:szCs w:val="22"/>
        </w:rPr>
      </w:pPr>
      <w:r w:rsidRPr="002D4681">
        <w:rPr>
          <w:rFonts w:ascii="Arial" w:hAnsi="Arial" w:cs="Arial"/>
          <w:sz w:val="22"/>
          <w:szCs w:val="22"/>
        </w:rPr>
        <w:lastRenderedPageBreak/>
        <w:t>We undertook a sensitivity analysis t</w:t>
      </w:r>
      <w:r w:rsidR="00DE5F6E" w:rsidRPr="002D4681">
        <w:rPr>
          <w:rFonts w:ascii="Arial" w:hAnsi="Arial" w:cs="Arial"/>
          <w:sz w:val="22"/>
          <w:szCs w:val="22"/>
        </w:rPr>
        <w:t xml:space="preserve">o examine whether any temporal changes in the clinical characteristics of infants who received therapeutic hypothermia for HIE could be explained by </w:t>
      </w:r>
      <w:r w:rsidR="009A0289" w:rsidRPr="002D4681">
        <w:rPr>
          <w:rFonts w:ascii="Arial" w:hAnsi="Arial" w:cs="Arial"/>
          <w:sz w:val="22"/>
          <w:szCs w:val="22"/>
        </w:rPr>
        <w:t xml:space="preserve">changes in </w:t>
      </w:r>
      <w:r w:rsidR="00537E47">
        <w:rPr>
          <w:rFonts w:ascii="Arial" w:hAnsi="Arial" w:cs="Arial"/>
          <w:sz w:val="22"/>
          <w:szCs w:val="22"/>
        </w:rPr>
        <w:t xml:space="preserve">the </w:t>
      </w:r>
      <w:r w:rsidR="009A0289" w:rsidRPr="002D4681">
        <w:rPr>
          <w:rFonts w:ascii="Arial" w:hAnsi="Arial" w:cs="Arial"/>
          <w:sz w:val="22"/>
          <w:szCs w:val="22"/>
        </w:rPr>
        <w:t xml:space="preserve">classification </w:t>
      </w:r>
      <w:r w:rsidRPr="002D4681">
        <w:rPr>
          <w:rFonts w:ascii="Arial" w:hAnsi="Arial" w:cs="Arial"/>
          <w:sz w:val="22"/>
          <w:szCs w:val="22"/>
        </w:rPr>
        <w:t>of babies that received therapeutic hypothermia but did not have a diagnosis of HIE</w:t>
      </w:r>
      <w:r w:rsidR="001F6449">
        <w:rPr>
          <w:rFonts w:ascii="Arial" w:hAnsi="Arial" w:cs="Arial"/>
          <w:sz w:val="22"/>
          <w:szCs w:val="22"/>
        </w:rPr>
        <w:t xml:space="preserve"> </w:t>
      </w:r>
      <w:r w:rsidR="00F9172B">
        <w:rPr>
          <w:rFonts w:ascii="Arial" w:hAnsi="Arial" w:cs="Arial"/>
          <w:sz w:val="22"/>
          <w:szCs w:val="22"/>
        </w:rPr>
        <w:t>for example due to misclassification or where the diagnosis of HIE was not confirmed or not considered a primary or principal diagnosis</w:t>
      </w:r>
      <w:r w:rsidR="00F9172B" w:rsidRPr="002D4681">
        <w:rPr>
          <w:rFonts w:ascii="Arial" w:hAnsi="Arial" w:cs="Arial"/>
          <w:sz w:val="22"/>
          <w:szCs w:val="22"/>
        </w:rPr>
        <w:t xml:space="preserve">. </w:t>
      </w:r>
      <w:r w:rsidR="009A0289" w:rsidRPr="002D4681">
        <w:rPr>
          <w:rFonts w:ascii="Arial" w:hAnsi="Arial" w:cs="Arial"/>
          <w:sz w:val="22"/>
          <w:szCs w:val="22"/>
        </w:rPr>
        <w:t>For this analysis</w:t>
      </w:r>
      <w:r w:rsidR="000A40D1">
        <w:rPr>
          <w:rFonts w:ascii="Arial" w:hAnsi="Arial" w:cs="Arial"/>
          <w:sz w:val="22"/>
          <w:szCs w:val="22"/>
        </w:rPr>
        <w:t>,</w:t>
      </w:r>
      <w:r w:rsidR="009A0289" w:rsidRPr="002D4681">
        <w:rPr>
          <w:rFonts w:ascii="Arial" w:hAnsi="Arial" w:cs="Arial"/>
          <w:sz w:val="22"/>
          <w:szCs w:val="22"/>
        </w:rPr>
        <w:t xml:space="preserve"> d</w:t>
      </w:r>
      <w:r w:rsidR="00DE5F6E" w:rsidRPr="002D4681">
        <w:rPr>
          <w:rFonts w:ascii="Arial" w:hAnsi="Arial" w:cs="Arial"/>
          <w:sz w:val="22"/>
          <w:szCs w:val="22"/>
        </w:rPr>
        <w:t xml:space="preserve">ata from infants </w:t>
      </w:r>
      <w:r w:rsidR="001B0829" w:rsidRPr="002D4681">
        <w:rPr>
          <w:rFonts w:ascii="Arial" w:hAnsi="Arial" w:cs="Arial"/>
          <w:sz w:val="22"/>
          <w:szCs w:val="22"/>
        </w:rPr>
        <w:t xml:space="preserve">with a recorded gestational age of </w:t>
      </w:r>
      <m:oMath>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36</m:t>
            </m:r>
          </m:e>
          <m:sup>
            <m:r>
              <w:rPr>
                <w:rFonts w:ascii="Cambria Math" w:hAnsi="Cambria Math" w:cs="Arial"/>
                <w:sz w:val="22"/>
                <w:szCs w:val="22"/>
              </w:rPr>
              <m:t>+0</m:t>
            </m:r>
          </m:sup>
        </m:sSup>
      </m:oMath>
      <w:r w:rsidR="001B0829" w:rsidRPr="002D4681">
        <w:rPr>
          <w:rFonts w:ascii="Arial" w:hAnsi="Arial" w:cs="Arial"/>
          <w:sz w:val="22"/>
          <w:szCs w:val="22"/>
        </w:rPr>
        <w:t xml:space="preserve"> weeks</w:t>
      </w:r>
      <w:r w:rsidR="001B0829" w:rsidRPr="002D4681">
        <w:rPr>
          <w:rFonts w:ascii="Arial" w:hAnsi="Arial" w:cs="Arial"/>
          <w:sz w:val="22"/>
          <w:szCs w:val="22"/>
          <w:vertAlign w:val="superscript"/>
        </w:rPr>
        <w:t>+days</w:t>
      </w:r>
      <w:r w:rsidR="001B0829" w:rsidRPr="002D4681">
        <w:rPr>
          <w:rFonts w:ascii="Arial" w:hAnsi="Arial" w:cs="Arial"/>
          <w:sz w:val="22"/>
          <w:szCs w:val="22"/>
        </w:rPr>
        <w:t xml:space="preserve"> at birth, recorded as having received therapeutic hypothermia for </w:t>
      </w:r>
      <w:r w:rsidR="000A40D1">
        <w:rPr>
          <w:rFonts w:ascii="Arial" w:hAnsi="Arial" w:cs="Arial"/>
          <w:sz w:val="22"/>
          <w:szCs w:val="22"/>
        </w:rPr>
        <w:t xml:space="preserve">at least </w:t>
      </w:r>
      <w:r w:rsidR="001B0829" w:rsidRPr="002D4681">
        <w:rPr>
          <w:rFonts w:ascii="Arial" w:hAnsi="Arial" w:cs="Arial"/>
          <w:sz w:val="22"/>
          <w:szCs w:val="22"/>
        </w:rPr>
        <w:t xml:space="preserve">3 days or </w:t>
      </w:r>
      <w:r w:rsidR="009A0289" w:rsidRPr="002D4681">
        <w:rPr>
          <w:rFonts w:ascii="Arial" w:hAnsi="Arial" w:cs="Arial"/>
          <w:sz w:val="22"/>
          <w:szCs w:val="22"/>
        </w:rPr>
        <w:t xml:space="preserve">having </w:t>
      </w:r>
      <w:r w:rsidR="001B0829" w:rsidRPr="002D4681">
        <w:rPr>
          <w:rFonts w:ascii="Arial" w:hAnsi="Arial" w:cs="Arial"/>
          <w:sz w:val="22"/>
          <w:szCs w:val="22"/>
        </w:rPr>
        <w:t xml:space="preserve">died during </w:t>
      </w:r>
      <w:r w:rsidR="009A0289" w:rsidRPr="002D4681">
        <w:rPr>
          <w:rFonts w:ascii="Arial" w:hAnsi="Arial" w:cs="Arial"/>
          <w:sz w:val="22"/>
          <w:szCs w:val="22"/>
        </w:rPr>
        <w:t>this period</w:t>
      </w:r>
      <w:r w:rsidR="001B0829" w:rsidRPr="002D4681">
        <w:rPr>
          <w:rFonts w:ascii="Arial" w:hAnsi="Arial" w:cs="Arial"/>
          <w:sz w:val="22"/>
          <w:szCs w:val="22"/>
        </w:rPr>
        <w:t xml:space="preserve"> but </w:t>
      </w:r>
      <w:r w:rsidR="004417BF" w:rsidRPr="002D4681">
        <w:rPr>
          <w:rFonts w:ascii="Arial" w:hAnsi="Arial" w:cs="Arial"/>
          <w:sz w:val="22"/>
          <w:szCs w:val="22"/>
        </w:rPr>
        <w:t>without</w:t>
      </w:r>
      <w:r w:rsidR="001B0829" w:rsidRPr="002D4681">
        <w:rPr>
          <w:rFonts w:ascii="Arial" w:hAnsi="Arial" w:cs="Arial"/>
          <w:sz w:val="22"/>
          <w:szCs w:val="22"/>
        </w:rPr>
        <w:t xml:space="preserve"> a diagnosis of HIE </w:t>
      </w:r>
      <w:r w:rsidR="00DE5F6E" w:rsidRPr="002D4681">
        <w:rPr>
          <w:rFonts w:ascii="Arial" w:hAnsi="Arial" w:cs="Arial"/>
          <w:sz w:val="22"/>
          <w:szCs w:val="22"/>
        </w:rPr>
        <w:t>were analysed</w:t>
      </w:r>
      <w:r w:rsidRPr="002D4681">
        <w:rPr>
          <w:rFonts w:ascii="Arial" w:hAnsi="Arial" w:cs="Arial"/>
          <w:sz w:val="22"/>
          <w:szCs w:val="22"/>
        </w:rPr>
        <w:t>.</w:t>
      </w:r>
    </w:p>
    <w:p w14:paraId="760BD704" w14:textId="77777777" w:rsidR="00E11EE9" w:rsidRDefault="00E11EE9" w:rsidP="00515DE8">
      <w:pPr>
        <w:spacing w:line="480" w:lineRule="auto"/>
        <w:jc w:val="both"/>
        <w:rPr>
          <w:rFonts w:ascii="Arial" w:hAnsi="Arial" w:cs="Arial"/>
          <w:b/>
          <w:sz w:val="22"/>
          <w:szCs w:val="22"/>
        </w:rPr>
      </w:pPr>
    </w:p>
    <w:p w14:paraId="41D01565" w14:textId="7C16140B" w:rsidR="00383A14" w:rsidRPr="00086178" w:rsidRDefault="007072DA" w:rsidP="00515DE8">
      <w:pPr>
        <w:spacing w:line="480" w:lineRule="auto"/>
        <w:jc w:val="both"/>
        <w:rPr>
          <w:rFonts w:ascii="Arial" w:hAnsi="Arial" w:cs="Arial"/>
          <w:b/>
          <w:sz w:val="22"/>
          <w:szCs w:val="22"/>
        </w:rPr>
      </w:pPr>
      <w:r>
        <w:rPr>
          <w:rFonts w:ascii="Arial" w:hAnsi="Arial" w:cs="Arial"/>
          <w:b/>
          <w:sz w:val="22"/>
          <w:szCs w:val="22"/>
        </w:rPr>
        <w:t xml:space="preserve">research </w:t>
      </w:r>
      <w:r w:rsidR="00524137">
        <w:rPr>
          <w:rFonts w:ascii="Arial" w:hAnsi="Arial" w:cs="Arial"/>
          <w:b/>
          <w:sz w:val="22"/>
          <w:szCs w:val="22"/>
        </w:rPr>
        <w:t>e</w:t>
      </w:r>
      <w:r w:rsidR="00086178" w:rsidRPr="00086178">
        <w:rPr>
          <w:rFonts w:ascii="Arial" w:hAnsi="Arial" w:cs="Arial"/>
          <w:b/>
          <w:sz w:val="22"/>
          <w:szCs w:val="22"/>
        </w:rPr>
        <w:t>thic</w:t>
      </w:r>
      <w:r>
        <w:rPr>
          <w:rFonts w:ascii="Arial" w:hAnsi="Arial" w:cs="Arial"/>
          <w:b/>
          <w:sz w:val="22"/>
          <w:szCs w:val="22"/>
        </w:rPr>
        <w:t>s</w:t>
      </w:r>
      <w:r w:rsidR="00086178" w:rsidRPr="00086178">
        <w:rPr>
          <w:rFonts w:ascii="Arial" w:hAnsi="Arial" w:cs="Arial"/>
          <w:b/>
          <w:sz w:val="22"/>
          <w:szCs w:val="22"/>
        </w:rPr>
        <w:t xml:space="preserve"> approval</w:t>
      </w:r>
    </w:p>
    <w:p w14:paraId="66D18A7F" w14:textId="735B3DF7" w:rsidR="00383A14" w:rsidRPr="002D4681" w:rsidRDefault="00383A14" w:rsidP="00515DE8">
      <w:pPr>
        <w:spacing w:line="480" w:lineRule="auto"/>
        <w:jc w:val="both"/>
        <w:rPr>
          <w:rFonts w:ascii="Arial" w:hAnsi="Arial" w:cs="Arial"/>
          <w:bCs/>
          <w:sz w:val="22"/>
          <w:szCs w:val="22"/>
        </w:rPr>
      </w:pPr>
      <w:r w:rsidRPr="002D4681">
        <w:rPr>
          <w:rFonts w:ascii="Arial" w:hAnsi="Arial" w:cs="Arial"/>
          <w:sz w:val="22"/>
          <w:szCs w:val="22"/>
        </w:rPr>
        <w:t xml:space="preserve">Research </w:t>
      </w:r>
      <w:r w:rsidR="002040BA">
        <w:rPr>
          <w:rFonts w:ascii="Arial" w:hAnsi="Arial" w:cs="Arial"/>
          <w:sz w:val="22"/>
          <w:szCs w:val="22"/>
        </w:rPr>
        <w:t>E</w:t>
      </w:r>
      <w:r w:rsidRPr="002D4681">
        <w:rPr>
          <w:rFonts w:ascii="Arial" w:hAnsi="Arial" w:cs="Arial"/>
          <w:sz w:val="22"/>
          <w:szCs w:val="22"/>
        </w:rPr>
        <w:t xml:space="preserve">thics </w:t>
      </w:r>
      <w:r w:rsidR="002040BA">
        <w:rPr>
          <w:rFonts w:ascii="Arial" w:hAnsi="Arial" w:cs="Arial"/>
          <w:sz w:val="22"/>
          <w:szCs w:val="22"/>
        </w:rPr>
        <w:t>C</w:t>
      </w:r>
      <w:r w:rsidR="003D097C" w:rsidRPr="002D4681">
        <w:rPr>
          <w:rFonts w:ascii="Arial" w:hAnsi="Arial" w:cs="Arial"/>
          <w:sz w:val="22"/>
          <w:szCs w:val="22"/>
        </w:rPr>
        <w:t xml:space="preserve">ommittee </w:t>
      </w:r>
      <w:r w:rsidRPr="002D4681">
        <w:rPr>
          <w:rFonts w:ascii="Arial" w:hAnsi="Arial" w:cs="Arial"/>
          <w:sz w:val="22"/>
          <w:szCs w:val="22"/>
        </w:rPr>
        <w:t xml:space="preserve">approval was obtained from </w:t>
      </w:r>
      <w:r w:rsidRPr="002D4681">
        <w:rPr>
          <w:rFonts w:ascii="Arial" w:hAnsi="Arial" w:cs="Arial"/>
          <w:bCs/>
          <w:sz w:val="22"/>
          <w:szCs w:val="22"/>
        </w:rPr>
        <w:t>East Midlands</w:t>
      </w:r>
      <w:r w:rsidR="003D097C" w:rsidRPr="002D4681">
        <w:rPr>
          <w:rFonts w:ascii="Arial" w:hAnsi="Arial" w:cs="Arial"/>
          <w:bCs/>
          <w:sz w:val="22"/>
          <w:szCs w:val="22"/>
        </w:rPr>
        <w:t>-</w:t>
      </w:r>
      <w:r w:rsidRPr="002D4681">
        <w:rPr>
          <w:rFonts w:ascii="Arial" w:hAnsi="Arial" w:cs="Arial"/>
          <w:bCs/>
          <w:sz w:val="22"/>
          <w:szCs w:val="22"/>
        </w:rPr>
        <w:t xml:space="preserve">Leicester Central Research Ethics Committee (17/EM/0307) </w:t>
      </w:r>
      <w:r w:rsidR="00D17486">
        <w:rPr>
          <w:rFonts w:ascii="Arial" w:hAnsi="Arial" w:cs="Arial"/>
          <w:bCs/>
          <w:sz w:val="22"/>
          <w:szCs w:val="22"/>
        </w:rPr>
        <w:t>as an amendment to</w:t>
      </w:r>
      <w:r w:rsidR="006A0B55">
        <w:rPr>
          <w:rFonts w:ascii="Arial" w:hAnsi="Arial" w:cs="Arial"/>
          <w:bCs/>
          <w:sz w:val="22"/>
          <w:szCs w:val="22"/>
        </w:rPr>
        <w:t xml:space="preserve">, and using data extracted for </w:t>
      </w:r>
      <w:r w:rsidR="00D17486">
        <w:rPr>
          <w:rFonts w:ascii="Arial" w:hAnsi="Arial" w:cs="Arial"/>
          <w:bCs/>
          <w:sz w:val="22"/>
          <w:szCs w:val="22"/>
        </w:rPr>
        <w:t xml:space="preserve">the </w:t>
      </w:r>
      <w:r w:rsidR="00D17486" w:rsidRPr="00B657C4">
        <w:rPr>
          <w:rFonts w:ascii="Arial" w:hAnsi="Arial" w:cs="Arial"/>
          <w:bCs/>
          <w:i/>
          <w:sz w:val="22"/>
          <w:szCs w:val="22"/>
        </w:rPr>
        <w:t>Optimising newborn nutrition during therapeutic hypothermia: an observational study using routinely collected data</w:t>
      </w:r>
      <w:r w:rsidR="00D17486">
        <w:rPr>
          <w:rFonts w:ascii="Arial" w:hAnsi="Arial" w:cs="Arial"/>
          <w:bCs/>
          <w:sz w:val="22"/>
          <w:szCs w:val="22"/>
        </w:rPr>
        <w:t xml:space="preserve"> </w:t>
      </w:r>
      <w:r w:rsidR="006A0B55">
        <w:rPr>
          <w:rFonts w:ascii="Arial" w:hAnsi="Arial" w:cs="Arial"/>
          <w:bCs/>
          <w:sz w:val="22"/>
          <w:szCs w:val="22"/>
        </w:rPr>
        <w:t>(</w:t>
      </w:r>
      <w:r w:rsidR="002040BA">
        <w:rPr>
          <w:rFonts w:ascii="Arial" w:hAnsi="Arial" w:cs="Arial"/>
          <w:bCs/>
          <w:sz w:val="22"/>
          <w:szCs w:val="22"/>
        </w:rPr>
        <w:t>NIHR</w:t>
      </w:r>
      <w:r w:rsidR="006A0B55" w:rsidRPr="006A0B55">
        <w:rPr>
          <w:rFonts w:ascii="Arial" w:hAnsi="Arial" w:cs="Arial"/>
          <w:bCs/>
          <w:sz w:val="22"/>
          <w:szCs w:val="22"/>
        </w:rPr>
        <w:t>16/79/03</w:t>
      </w:r>
      <w:r w:rsidR="006A0B55">
        <w:rPr>
          <w:rFonts w:ascii="Arial" w:hAnsi="Arial" w:cs="Arial"/>
          <w:bCs/>
          <w:sz w:val="22"/>
          <w:szCs w:val="22"/>
        </w:rPr>
        <w:t>). A</w:t>
      </w:r>
      <w:r w:rsidRPr="002D4681">
        <w:rPr>
          <w:rFonts w:ascii="Arial" w:hAnsi="Arial" w:cs="Arial"/>
          <w:bCs/>
          <w:sz w:val="22"/>
          <w:szCs w:val="22"/>
        </w:rPr>
        <w:t>pproval for inclusion of their data in this study was obtained from all English, Scottish and Welsh neonatal units.</w:t>
      </w:r>
    </w:p>
    <w:p w14:paraId="3B6C36A1" w14:textId="77777777" w:rsidR="00304BC4" w:rsidRDefault="00304BC4">
      <w:pPr>
        <w:rPr>
          <w:rFonts w:ascii="Arial" w:hAnsi="Arial" w:cs="Arial"/>
          <w:b/>
          <w:sz w:val="22"/>
          <w:szCs w:val="22"/>
        </w:rPr>
      </w:pPr>
      <w:r>
        <w:rPr>
          <w:rFonts w:ascii="Arial" w:hAnsi="Arial" w:cs="Arial"/>
          <w:b/>
          <w:sz w:val="22"/>
          <w:szCs w:val="22"/>
        </w:rPr>
        <w:br w:type="page"/>
      </w:r>
    </w:p>
    <w:p w14:paraId="39855661" w14:textId="1AF39723" w:rsidR="0000733F" w:rsidRPr="002D4681" w:rsidRDefault="008E767D" w:rsidP="0053586D">
      <w:pPr>
        <w:rPr>
          <w:rFonts w:ascii="Arial" w:hAnsi="Arial" w:cs="Arial"/>
          <w:b/>
          <w:sz w:val="22"/>
          <w:szCs w:val="22"/>
        </w:rPr>
      </w:pPr>
      <w:r w:rsidRPr="002D4681">
        <w:rPr>
          <w:rFonts w:ascii="Arial" w:hAnsi="Arial" w:cs="Arial"/>
          <w:b/>
          <w:sz w:val="22"/>
          <w:szCs w:val="22"/>
        </w:rPr>
        <w:lastRenderedPageBreak/>
        <w:t>RESULTS</w:t>
      </w:r>
      <w:r w:rsidR="008F01B2" w:rsidRPr="002D4681">
        <w:rPr>
          <w:rFonts w:ascii="Arial" w:hAnsi="Arial" w:cs="Arial"/>
          <w:b/>
          <w:sz w:val="22"/>
          <w:szCs w:val="22"/>
        </w:rPr>
        <w:t xml:space="preserve"> </w:t>
      </w:r>
    </w:p>
    <w:p w14:paraId="4B4F9829" w14:textId="77777777" w:rsidR="00881B05" w:rsidRPr="002D4681" w:rsidRDefault="00881B05" w:rsidP="00515DE8">
      <w:pPr>
        <w:spacing w:line="480" w:lineRule="auto"/>
        <w:jc w:val="both"/>
        <w:rPr>
          <w:rFonts w:ascii="Arial" w:hAnsi="Arial" w:cs="Arial"/>
          <w:sz w:val="22"/>
          <w:szCs w:val="22"/>
        </w:rPr>
      </w:pPr>
    </w:p>
    <w:p w14:paraId="24FC53D4" w14:textId="55D85440" w:rsidR="00DE5F6E" w:rsidRPr="00086178" w:rsidRDefault="00524137" w:rsidP="00515DE8">
      <w:pPr>
        <w:spacing w:line="480" w:lineRule="auto"/>
        <w:jc w:val="both"/>
        <w:rPr>
          <w:rFonts w:ascii="Arial" w:hAnsi="Arial" w:cs="Arial"/>
          <w:b/>
          <w:sz w:val="22"/>
          <w:szCs w:val="22"/>
        </w:rPr>
      </w:pPr>
      <w:r w:rsidRPr="00086178">
        <w:rPr>
          <w:rFonts w:ascii="Arial" w:hAnsi="Arial" w:cs="Arial"/>
          <w:b/>
          <w:sz w:val="22"/>
          <w:szCs w:val="22"/>
        </w:rPr>
        <w:t>study population</w:t>
      </w:r>
    </w:p>
    <w:p w14:paraId="497DCF8F" w14:textId="1700CAEA" w:rsidR="006C425A" w:rsidRDefault="002040BA" w:rsidP="00401B45">
      <w:pPr>
        <w:spacing w:line="480" w:lineRule="auto"/>
        <w:jc w:val="both"/>
        <w:rPr>
          <w:rFonts w:ascii="Arial" w:hAnsi="Arial" w:cs="Arial"/>
          <w:sz w:val="22"/>
          <w:szCs w:val="22"/>
        </w:rPr>
      </w:pPr>
      <w:r>
        <w:rPr>
          <w:rFonts w:ascii="Arial" w:hAnsi="Arial" w:cs="Arial"/>
          <w:sz w:val="22"/>
          <w:szCs w:val="22"/>
        </w:rPr>
        <w:t>6031</w:t>
      </w:r>
      <w:r w:rsidR="003D097C" w:rsidRPr="002D4681">
        <w:rPr>
          <w:rFonts w:ascii="Arial" w:hAnsi="Arial" w:cs="Arial"/>
          <w:sz w:val="22"/>
          <w:szCs w:val="22"/>
        </w:rPr>
        <w:t xml:space="preserve"> babies born b</w:t>
      </w:r>
      <w:r w:rsidR="00A03331" w:rsidRPr="002D4681">
        <w:rPr>
          <w:rFonts w:ascii="Arial" w:hAnsi="Arial" w:cs="Arial"/>
          <w:sz w:val="22"/>
          <w:szCs w:val="22"/>
        </w:rPr>
        <w:t>etween January 1</w:t>
      </w:r>
      <w:r w:rsidR="00A03331" w:rsidRPr="002D4681">
        <w:rPr>
          <w:rFonts w:ascii="Arial" w:hAnsi="Arial" w:cs="Arial"/>
          <w:sz w:val="22"/>
          <w:szCs w:val="22"/>
          <w:vertAlign w:val="superscript"/>
        </w:rPr>
        <w:t>st</w:t>
      </w:r>
      <w:r w:rsidR="00A03331" w:rsidRPr="002D4681">
        <w:rPr>
          <w:rFonts w:ascii="Arial" w:hAnsi="Arial" w:cs="Arial"/>
          <w:sz w:val="22"/>
          <w:szCs w:val="22"/>
        </w:rPr>
        <w:t xml:space="preserve"> 2010 and December 31</w:t>
      </w:r>
      <w:r w:rsidR="00A03331" w:rsidRPr="002D4681">
        <w:rPr>
          <w:rFonts w:ascii="Arial" w:hAnsi="Arial" w:cs="Arial"/>
          <w:sz w:val="22"/>
          <w:szCs w:val="22"/>
          <w:vertAlign w:val="superscript"/>
        </w:rPr>
        <w:t>st</w:t>
      </w:r>
      <w:r w:rsidR="00A03331" w:rsidRPr="002D4681">
        <w:rPr>
          <w:rFonts w:ascii="Arial" w:hAnsi="Arial" w:cs="Arial"/>
          <w:sz w:val="22"/>
          <w:szCs w:val="22"/>
        </w:rPr>
        <w:t xml:space="preserve"> 2017 in England, Scotland and Wales</w:t>
      </w:r>
      <w:r w:rsidR="003D097C" w:rsidRPr="002D4681">
        <w:rPr>
          <w:rFonts w:ascii="Arial" w:hAnsi="Arial" w:cs="Arial"/>
          <w:sz w:val="22"/>
          <w:szCs w:val="22"/>
        </w:rPr>
        <w:t xml:space="preserve"> </w:t>
      </w:r>
      <w:r w:rsidR="00A03331" w:rsidRPr="002D4681">
        <w:rPr>
          <w:rFonts w:ascii="Arial" w:hAnsi="Arial" w:cs="Arial"/>
          <w:sz w:val="22"/>
          <w:szCs w:val="22"/>
        </w:rPr>
        <w:t>received therapeutic hypothermia</w:t>
      </w:r>
      <w:r w:rsidR="00881B05" w:rsidRPr="002D4681">
        <w:rPr>
          <w:rFonts w:ascii="Arial" w:hAnsi="Arial" w:cs="Arial"/>
          <w:sz w:val="22"/>
          <w:szCs w:val="22"/>
        </w:rPr>
        <w:t xml:space="preserve"> </w:t>
      </w:r>
      <w:r w:rsidR="00A03331" w:rsidRPr="002D4681">
        <w:rPr>
          <w:rFonts w:ascii="Arial" w:hAnsi="Arial" w:cs="Arial"/>
          <w:sz w:val="22"/>
          <w:szCs w:val="22"/>
        </w:rPr>
        <w:t>for 3 consecutive days</w:t>
      </w:r>
      <w:r w:rsidR="00881B05" w:rsidRPr="002D4681">
        <w:rPr>
          <w:rFonts w:ascii="Arial" w:hAnsi="Arial" w:cs="Arial"/>
          <w:sz w:val="22"/>
          <w:szCs w:val="22"/>
        </w:rPr>
        <w:t xml:space="preserve"> or died during </w:t>
      </w:r>
      <w:r w:rsidR="003D097C" w:rsidRPr="002D4681">
        <w:rPr>
          <w:rFonts w:ascii="Arial" w:hAnsi="Arial" w:cs="Arial"/>
          <w:sz w:val="22"/>
          <w:szCs w:val="22"/>
        </w:rPr>
        <w:t xml:space="preserve">the period of </w:t>
      </w:r>
      <w:r w:rsidR="00881B05" w:rsidRPr="002D4681">
        <w:rPr>
          <w:rFonts w:ascii="Arial" w:hAnsi="Arial" w:cs="Arial"/>
          <w:sz w:val="22"/>
          <w:szCs w:val="22"/>
        </w:rPr>
        <w:t>cooling</w:t>
      </w:r>
      <w:r w:rsidR="00F9172B">
        <w:rPr>
          <w:rFonts w:ascii="Arial" w:hAnsi="Arial" w:cs="Arial"/>
          <w:sz w:val="22"/>
          <w:szCs w:val="22"/>
        </w:rPr>
        <w:t xml:space="preserve">; 830 babies did not have a diagnosis of HIE leaving </w:t>
      </w:r>
      <w:r w:rsidR="00F9172B" w:rsidRPr="002D4681">
        <w:rPr>
          <w:rFonts w:ascii="Arial" w:hAnsi="Arial" w:cs="Arial"/>
          <w:sz w:val="22"/>
          <w:szCs w:val="22"/>
        </w:rPr>
        <w:t xml:space="preserve">5201 </w:t>
      </w:r>
      <w:r w:rsidR="00F9172B">
        <w:rPr>
          <w:rFonts w:ascii="Arial" w:hAnsi="Arial" w:cs="Arial"/>
          <w:sz w:val="22"/>
          <w:szCs w:val="22"/>
        </w:rPr>
        <w:t xml:space="preserve">babies that met the study inclusion criteria </w:t>
      </w:r>
      <w:r w:rsidR="00D6131E" w:rsidRPr="002D4681">
        <w:rPr>
          <w:rFonts w:ascii="Arial" w:hAnsi="Arial" w:cs="Arial"/>
          <w:sz w:val="22"/>
          <w:szCs w:val="22"/>
        </w:rPr>
        <w:t>(</w:t>
      </w:r>
      <w:r w:rsidR="00D6131E" w:rsidRPr="002D4681">
        <w:rPr>
          <w:rFonts w:ascii="Arial" w:hAnsi="Arial" w:cs="Arial"/>
          <w:b/>
          <w:sz w:val="22"/>
          <w:szCs w:val="22"/>
        </w:rPr>
        <w:t xml:space="preserve">Figure </w:t>
      </w:r>
      <w:r w:rsidR="00DE5F6E" w:rsidRPr="002D4681">
        <w:rPr>
          <w:rFonts w:ascii="Arial" w:hAnsi="Arial" w:cs="Arial"/>
          <w:b/>
          <w:sz w:val="22"/>
          <w:szCs w:val="22"/>
        </w:rPr>
        <w:t>1</w:t>
      </w:r>
      <w:r w:rsidR="00D6131E" w:rsidRPr="002D4681">
        <w:rPr>
          <w:rFonts w:ascii="Arial" w:hAnsi="Arial" w:cs="Arial"/>
          <w:sz w:val="22"/>
          <w:szCs w:val="22"/>
        </w:rPr>
        <w:t>).</w:t>
      </w:r>
    </w:p>
    <w:p w14:paraId="0FE25CBD" w14:textId="77777777" w:rsidR="00030FFC" w:rsidRDefault="00030FFC" w:rsidP="00C174A1">
      <w:pPr>
        <w:spacing w:line="480" w:lineRule="auto"/>
        <w:jc w:val="both"/>
        <w:rPr>
          <w:rFonts w:ascii="Arial" w:hAnsi="Arial" w:cs="Arial"/>
          <w:sz w:val="22"/>
          <w:szCs w:val="22"/>
        </w:rPr>
      </w:pPr>
    </w:p>
    <w:p w14:paraId="392CB962" w14:textId="14753EC3" w:rsidR="006C425A" w:rsidRPr="00C174A1" w:rsidRDefault="00DE5F6E" w:rsidP="00C174A1">
      <w:pPr>
        <w:spacing w:line="480" w:lineRule="auto"/>
        <w:jc w:val="both"/>
        <w:rPr>
          <w:rFonts w:ascii="Arial" w:hAnsi="Arial" w:cs="Arial"/>
          <w:b/>
          <w:sz w:val="22"/>
          <w:szCs w:val="22"/>
        </w:rPr>
      </w:pPr>
      <w:r w:rsidRPr="002D4681">
        <w:rPr>
          <w:rFonts w:ascii="Arial" w:hAnsi="Arial" w:cs="Arial"/>
          <w:sz w:val="22"/>
          <w:szCs w:val="22"/>
        </w:rPr>
        <w:t xml:space="preserve">The descriptive and clinical characteristics of babies diagnosed with HIE who received therapeutic hypothermia from 2010 to 2017 are presented in </w:t>
      </w:r>
      <w:r w:rsidR="00376A45">
        <w:rPr>
          <w:rFonts w:ascii="Arial" w:hAnsi="Arial" w:cs="Arial"/>
          <w:b/>
          <w:bCs/>
          <w:sz w:val="22"/>
          <w:szCs w:val="22"/>
        </w:rPr>
        <w:t>T</w:t>
      </w:r>
      <w:r w:rsidRPr="00C024B7">
        <w:rPr>
          <w:rFonts w:ascii="Arial" w:hAnsi="Arial" w:cs="Arial"/>
          <w:b/>
          <w:bCs/>
          <w:sz w:val="22"/>
          <w:szCs w:val="22"/>
        </w:rPr>
        <w:t>able</w:t>
      </w:r>
      <w:r w:rsidR="005115C3" w:rsidRPr="00C024B7">
        <w:rPr>
          <w:rFonts w:ascii="Arial" w:hAnsi="Arial" w:cs="Arial"/>
          <w:b/>
          <w:bCs/>
          <w:sz w:val="22"/>
          <w:szCs w:val="22"/>
        </w:rPr>
        <w:t>s 2 and 3</w:t>
      </w:r>
      <w:r w:rsidRPr="002D4681">
        <w:rPr>
          <w:rFonts w:ascii="Arial" w:hAnsi="Arial" w:cs="Arial"/>
          <w:sz w:val="22"/>
          <w:szCs w:val="22"/>
        </w:rPr>
        <w:t>.</w:t>
      </w:r>
      <w:r w:rsidR="004417BF" w:rsidRPr="002D4681">
        <w:rPr>
          <w:rFonts w:ascii="Arial" w:hAnsi="Arial" w:cs="Arial"/>
          <w:sz w:val="22"/>
          <w:szCs w:val="22"/>
        </w:rPr>
        <w:t xml:space="preserve"> The number of babies who had a diagnosis of HIE and received therapeutic hypothermia for 3 days or died increased from 2010 to 2015 before </w:t>
      </w:r>
      <w:r w:rsidR="000A40D1">
        <w:rPr>
          <w:rFonts w:ascii="Arial" w:hAnsi="Arial" w:cs="Arial"/>
          <w:sz w:val="22"/>
          <w:szCs w:val="22"/>
        </w:rPr>
        <w:t>decreas</w:t>
      </w:r>
      <w:r w:rsidR="000A40D1" w:rsidRPr="002D4681">
        <w:rPr>
          <w:rFonts w:ascii="Arial" w:hAnsi="Arial" w:cs="Arial"/>
          <w:sz w:val="22"/>
          <w:szCs w:val="22"/>
        </w:rPr>
        <w:t xml:space="preserve">ing </w:t>
      </w:r>
      <w:r w:rsidR="004417BF" w:rsidRPr="002D4681">
        <w:rPr>
          <w:rFonts w:ascii="Arial" w:hAnsi="Arial" w:cs="Arial"/>
          <w:sz w:val="22"/>
          <w:szCs w:val="22"/>
        </w:rPr>
        <w:t>slightly in 2016-2017</w:t>
      </w:r>
      <w:r w:rsidR="00401B45">
        <w:rPr>
          <w:rFonts w:ascii="Arial" w:hAnsi="Arial" w:cs="Arial"/>
          <w:b/>
          <w:sz w:val="22"/>
          <w:szCs w:val="22"/>
        </w:rPr>
        <w:t>.</w:t>
      </w:r>
      <w:r w:rsidR="006C425A">
        <w:rPr>
          <w:rFonts w:ascii="Arial" w:hAnsi="Arial" w:cs="Arial"/>
          <w:b/>
          <w:sz w:val="22"/>
          <w:szCs w:val="22"/>
        </w:rPr>
        <w:br w:type="page"/>
      </w:r>
    </w:p>
    <w:tbl>
      <w:tblPr>
        <w:tblW w:w="10348" w:type="dxa"/>
        <w:tblInd w:w="-572" w:type="dxa"/>
        <w:tblLayout w:type="fixed"/>
        <w:tblLook w:val="04A0" w:firstRow="1" w:lastRow="0" w:firstColumn="1" w:lastColumn="0" w:noHBand="0" w:noVBand="1"/>
      </w:tblPr>
      <w:tblGrid>
        <w:gridCol w:w="1985"/>
        <w:gridCol w:w="1045"/>
        <w:gridCol w:w="1045"/>
        <w:gridCol w:w="1046"/>
        <w:gridCol w:w="1045"/>
        <w:gridCol w:w="1045"/>
        <w:gridCol w:w="1046"/>
        <w:gridCol w:w="1045"/>
        <w:gridCol w:w="1046"/>
      </w:tblGrid>
      <w:tr w:rsidR="00E32B0A" w:rsidRPr="00E32B0A" w14:paraId="012D58EB" w14:textId="77777777" w:rsidTr="000A3BC9">
        <w:trPr>
          <w:trHeight w:val="297"/>
        </w:trPr>
        <w:tc>
          <w:tcPr>
            <w:tcW w:w="1985" w:type="dxa"/>
            <w:vMerge w:val="restart"/>
            <w:tcBorders>
              <w:top w:val="single" w:sz="4" w:space="0" w:color="auto"/>
              <w:left w:val="single" w:sz="4" w:space="0" w:color="auto"/>
              <w:bottom w:val="nil"/>
              <w:right w:val="nil"/>
            </w:tcBorders>
            <w:shd w:val="clear" w:color="auto" w:fill="auto"/>
            <w:noWrap/>
            <w:vAlign w:val="center"/>
            <w:hideMark/>
          </w:tcPr>
          <w:p w14:paraId="701605E6" w14:textId="77777777" w:rsidR="00E32B0A" w:rsidRPr="00E32B0A" w:rsidRDefault="00E32B0A" w:rsidP="00E32B0A">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lastRenderedPageBreak/>
              <w:t>Descriptive characteristics</w:t>
            </w:r>
          </w:p>
        </w:tc>
        <w:tc>
          <w:tcPr>
            <w:tcW w:w="8363"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ED2EE9"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Year</w:t>
            </w:r>
          </w:p>
        </w:tc>
      </w:tr>
      <w:tr w:rsidR="00E32B0A" w:rsidRPr="00DC34FA" w14:paraId="2A51A98D" w14:textId="77777777" w:rsidTr="000A3BC9">
        <w:trPr>
          <w:trHeight w:val="297"/>
        </w:trPr>
        <w:tc>
          <w:tcPr>
            <w:tcW w:w="1985" w:type="dxa"/>
            <w:vMerge/>
            <w:tcBorders>
              <w:top w:val="single" w:sz="4" w:space="0" w:color="auto"/>
              <w:left w:val="single" w:sz="4" w:space="0" w:color="auto"/>
              <w:bottom w:val="nil"/>
              <w:right w:val="nil"/>
            </w:tcBorders>
            <w:vAlign w:val="center"/>
            <w:hideMark/>
          </w:tcPr>
          <w:p w14:paraId="43B8F2A8" w14:textId="77777777" w:rsidR="00E32B0A" w:rsidRPr="00E32B0A" w:rsidRDefault="00E32B0A" w:rsidP="00E32B0A">
            <w:pPr>
              <w:rPr>
                <w:rFonts w:ascii="Arial" w:eastAsia="Times New Roman" w:hAnsi="Arial" w:cs="Arial"/>
                <w:b/>
                <w:bCs/>
                <w:color w:val="000000"/>
                <w:sz w:val="20"/>
                <w:szCs w:val="20"/>
              </w:rPr>
            </w:pPr>
          </w:p>
        </w:tc>
        <w:tc>
          <w:tcPr>
            <w:tcW w:w="1045" w:type="dxa"/>
            <w:tcBorders>
              <w:top w:val="nil"/>
              <w:left w:val="single" w:sz="4" w:space="0" w:color="auto"/>
              <w:bottom w:val="nil"/>
              <w:right w:val="single" w:sz="4" w:space="0" w:color="auto"/>
            </w:tcBorders>
            <w:shd w:val="clear" w:color="auto" w:fill="auto"/>
            <w:noWrap/>
            <w:vAlign w:val="center"/>
            <w:hideMark/>
          </w:tcPr>
          <w:p w14:paraId="2941F538"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2010</w:t>
            </w:r>
          </w:p>
        </w:tc>
        <w:tc>
          <w:tcPr>
            <w:tcW w:w="1045" w:type="dxa"/>
            <w:tcBorders>
              <w:top w:val="nil"/>
              <w:left w:val="nil"/>
              <w:bottom w:val="nil"/>
              <w:right w:val="single" w:sz="4" w:space="0" w:color="auto"/>
            </w:tcBorders>
            <w:shd w:val="clear" w:color="auto" w:fill="auto"/>
            <w:noWrap/>
            <w:vAlign w:val="center"/>
            <w:hideMark/>
          </w:tcPr>
          <w:p w14:paraId="626930A5"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2011</w:t>
            </w:r>
          </w:p>
        </w:tc>
        <w:tc>
          <w:tcPr>
            <w:tcW w:w="1046" w:type="dxa"/>
            <w:tcBorders>
              <w:top w:val="nil"/>
              <w:left w:val="nil"/>
              <w:bottom w:val="nil"/>
              <w:right w:val="single" w:sz="4" w:space="0" w:color="auto"/>
            </w:tcBorders>
            <w:shd w:val="clear" w:color="auto" w:fill="auto"/>
            <w:noWrap/>
            <w:vAlign w:val="center"/>
            <w:hideMark/>
          </w:tcPr>
          <w:p w14:paraId="787C18D5"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2012</w:t>
            </w:r>
          </w:p>
        </w:tc>
        <w:tc>
          <w:tcPr>
            <w:tcW w:w="1045" w:type="dxa"/>
            <w:tcBorders>
              <w:top w:val="nil"/>
              <w:left w:val="nil"/>
              <w:bottom w:val="nil"/>
              <w:right w:val="single" w:sz="4" w:space="0" w:color="auto"/>
            </w:tcBorders>
            <w:shd w:val="clear" w:color="auto" w:fill="auto"/>
            <w:noWrap/>
            <w:vAlign w:val="center"/>
            <w:hideMark/>
          </w:tcPr>
          <w:p w14:paraId="4BD19CFD"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2013</w:t>
            </w:r>
          </w:p>
        </w:tc>
        <w:tc>
          <w:tcPr>
            <w:tcW w:w="1045" w:type="dxa"/>
            <w:tcBorders>
              <w:top w:val="nil"/>
              <w:left w:val="nil"/>
              <w:bottom w:val="nil"/>
              <w:right w:val="single" w:sz="4" w:space="0" w:color="auto"/>
            </w:tcBorders>
            <w:shd w:val="clear" w:color="auto" w:fill="auto"/>
            <w:noWrap/>
            <w:vAlign w:val="center"/>
            <w:hideMark/>
          </w:tcPr>
          <w:p w14:paraId="43806842"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2014</w:t>
            </w:r>
          </w:p>
        </w:tc>
        <w:tc>
          <w:tcPr>
            <w:tcW w:w="1046" w:type="dxa"/>
            <w:tcBorders>
              <w:top w:val="nil"/>
              <w:left w:val="nil"/>
              <w:bottom w:val="nil"/>
              <w:right w:val="single" w:sz="4" w:space="0" w:color="auto"/>
            </w:tcBorders>
            <w:shd w:val="clear" w:color="auto" w:fill="auto"/>
            <w:noWrap/>
            <w:vAlign w:val="center"/>
            <w:hideMark/>
          </w:tcPr>
          <w:p w14:paraId="302C775B"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2015</w:t>
            </w:r>
          </w:p>
        </w:tc>
        <w:tc>
          <w:tcPr>
            <w:tcW w:w="1045" w:type="dxa"/>
            <w:tcBorders>
              <w:top w:val="nil"/>
              <w:left w:val="nil"/>
              <w:bottom w:val="nil"/>
              <w:right w:val="single" w:sz="4" w:space="0" w:color="auto"/>
            </w:tcBorders>
            <w:shd w:val="clear" w:color="auto" w:fill="auto"/>
            <w:noWrap/>
            <w:vAlign w:val="center"/>
            <w:hideMark/>
          </w:tcPr>
          <w:p w14:paraId="34EBAD8F"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2016</w:t>
            </w:r>
          </w:p>
        </w:tc>
        <w:tc>
          <w:tcPr>
            <w:tcW w:w="1046" w:type="dxa"/>
            <w:tcBorders>
              <w:top w:val="nil"/>
              <w:left w:val="nil"/>
              <w:bottom w:val="nil"/>
              <w:right w:val="single" w:sz="4" w:space="0" w:color="auto"/>
            </w:tcBorders>
            <w:shd w:val="clear" w:color="auto" w:fill="auto"/>
            <w:noWrap/>
            <w:vAlign w:val="center"/>
            <w:hideMark/>
          </w:tcPr>
          <w:p w14:paraId="506E1613" w14:textId="77777777" w:rsidR="00E32B0A" w:rsidRPr="00E32B0A" w:rsidRDefault="00E32B0A" w:rsidP="000A3BC9">
            <w:pPr>
              <w:jc w:val="cente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2017</w:t>
            </w:r>
          </w:p>
        </w:tc>
      </w:tr>
      <w:tr w:rsidR="00E32B0A" w:rsidRPr="00E32B0A" w14:paraId="18CEE28D"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E2471D"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Babies cooled</w:t>
            </w:r>
          </w:p>
        </w:tc>
      </w:tr>
      <w:tr w:rsidR="00E32B0A" w:rsidRPr="00DC34FA" w14:paraId="433CDF03"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3D60BD8"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w:t>
            </w:r>
          </w:p>
        </w:tc>
        <w:tc>
          <w:tcPr>
            <w:tcW w:w="1045" w:type="dxa"/>
            <w:tcBorders>
              <w:top w:val="nil"/>
              <w:left w:val="nil"/>
              <w:bottom w:val="single" w:sz="4" w:space="0" w:color="auto"/>
              <w:right w:val="nil"/>
            </w:tcBorders>
            <w:shd w:val="clear" w:color="auto" w:fill="auto"/>
            <w:vAlign w:val="center"/>
            <w:hideMark/>
          </w:tcPr>
          <w:p w14:paraId="55914864"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403</w:t>
            </w:r>
          </w:p>
        </w:tc>
        <w:tc>
          <w:tcPr>
            <w:tcW w:w="1045" w:type="dxa"/>
            <w:tcBorders>
              <w:top w:val="nil"/>
              <w:left w:val="nil"/>
              <w:bottom w:val="single" w:sz="4" w:space="0" w:color="auto"/>
              <w:right w:val="nil"/>
            </w:tcBorders>
            <w:shd w:val="clear" w:color="auto" w:fill="auto"/>
            <w:vAlign w:val="center"/>
            <w:hideMark/>
          </w:tcPr>
          <w:p w14:paraId="419305E3"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557</w:t>
            </w:r>
          </w:p>
        </w:tc>
        <w:tc>
          <w:tcPr>
            <w:tcW w:w="1046" w:type="dxa"/>
            <w:tcBorders>
              <w:top w:val="nil"/>
              <w:left w:val="nil"/>
              <w:bottom w:val="single" w:sz="4" w:space="0" w:color="auto"/>
              <w:right w:val="nil"/>
            </w:tcBorders>
            <w:shd w:val="clear" w:color="auto" w:fill="auto"/>
            <w:vAlign w:val="center"/>
            <w:hideMark/>
          </w:tcPr>
          <w:p w14:paraId="40559BF9"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573</w:t>
            </w:r>
          </w:p>
        </w:tc>
        <w:tc>
          <w:tcPr>
            <w:tcW w:w="1045" w:type="dxa"/>
            <w:tcBorders>
              <w:top w:val="nil"/>
              <w:left w:val="nil"/>
              <w:bottom w:val="single" w:sz="4" w:space="0" w:color="auto"/>
              <w:right w:val="nil"/>
            </w:tcBorders>
            <w:shd w:val="clear" w:color="auto" w:fill="auto"/>
            <w:vAlign w:val="center"/>
            <w:hideMark/>
          </w:tcPr>
          <w:p w14:paraId="2F4D7660"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680</w:t>
            </w:r>
          </w:p>
        </w:tc>
        <w:tc>
          <w:tcPr>
            <w:tcW w:w="1045" w:type="dxa"/>
            <w:tcBorders>
              <w:top w:val="nil"/>
              <w:left w:val="nil"/>
              <w:bottom w:val="single" w:sz="4" w:space="0" w:color="auto"/>
              <w:right w:val="nil"/>
            </w:tcBorders>
            <w:shd w:val="clear" w:color="auto" w:fill="auto"/>
            <w:vAlign w:val="center"/>
            <w:hideMark/>
          </w:tcPr>
          <w:p w14:paraId="49C30F53"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763</w:t>
            </w:r>
          </w:p>
        </w:tc>
        <w:tc>
          <w:tcPr>
            <w:tcW w:w="1046" w:type="dxa"/>
            <w:tcBorders>
              <w:top w:val="nil"/>
              <w:left w:val="nil"/>
              <w:bottom w:val="single" w:sz="4" w:space="0" w:color="auto"/>
              <w:right w:val="nil"/>
            </w:tcBorders>
            <w:shd w:val="clear" w:color="auto" w:fill="auto"/>
            <w:vAlign w:val="center"/>
            <w:hideMark/>
          </w:tcPr>
          <w:p w14:paraId="5B2FC3CF"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771</w:t>
            </w:r>
          </w:p>
        </w:tc>
        <w:tc>
          <w:tcPr>
            <w:tcW w:w="1045" w:type="dxa"/>
            <w:tcBorders>
              <w:top w:val="nil"/>
              <w:left w:val="nil"/>
              <w:bottom w:val="single" w:sz="4" w:space="0" w:color="auto"/>
              <w:right w:val="nil"/>
            </w:tcBorders>
            <w:shd w:val="clear" w:color="auto" w:fill="auto"/>
            <w:vAlign w:val="center"/>
            <w:hideMark/>
          </w:tcPr>
          <w:p w14:paraId="5277C22D"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735</w:t>
            </w:r>
          </w:p>
        </w:tc>
        <w:tc>
          <w:tcPr>
            <w:tcW w:w="1046" w:type="dxa"/>
            <w:tcBorders>
              <w:top w:val="nil"/>
              <w:left w:val="nil"/>
              <w:bottom w:val="single" w:sz="4" w:space="0" w:color="auto"/>
              <w:right w:val="single" w:sz="4" w:space="0" w:color="auto"/>
            </w:tcBorders>
            <w:shd w:val="clear" w:color="auto" w:fill="auto"/>
            <w:vAlign w:val="center"/>
            <w:hideMark/>
          </w:tcPr>
          <w:p w14:paraId="57611A5A"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719</w:t>
            </w:r>
          </w:p>
        </w:tc>
      </w:tr>
      <w:tr w:rsidR="00E32B0A" w:rsidRPr="00E32B0A" w14:paraId="06563CA5"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1445AA6" w14:textId="7D037CFB"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 xml:space="preserve">Mortality </w:t>
            </w:r>
          </w:p>
        </w:tc>
      </w:tr>
      <w:tr w:rsidR="00E32B0A" w:rsidRPr="00DC34FA" w14:paraId="08B3D76E" w14:textId="77777777" w:rsidTr="000A3BC9">
        <w:trPr>
          <w:trHeight w:val="340"/>
        </w:trPr>
        <w:tc>
          <w:tcPr>
            <w:tcW w:w="1985" w:type="dxa"/>
            <w:tcBorders>
              <w:top w:val="nil"/>
              <w:left w:val="single" w:sz="4" w:space="0" w:color="auto"/>
              <w:bottom w:val="nil"/>
              <w:right w:val="nil"/>
            </w:tcBorders>
            <w:shd w:val="clear" w:color="auto" w:fill="auto"/>
            <w:noWrap/>
            <w:vAlign w:val="center"/>
            <w:hideMark/>
          </w:tcPr>
          <w:p w14:paraId="35612B1B"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nil"/>
              <w:left w:val="single" w:sz="4" w:space="0" w:color="auto"/>
              <w:bottom w:val="nil"/>
              <w:right w:val="nil"/>
            </w:tcBorders>
            <w:shd w:val="clear" w:color="auto" w:fill="auto"/>
            <w:vAlign w:val="center"/>
            <w:hideMark/>
          </w:tcPr>
          <w:p w14:paraId="6BBF883E"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52 (12.9)</w:t>
            </w:r>
          </w:p>
        </w:tc>
        <w:tc>
          <w:tcPr>
            <w:tcW w:w="1045" w:type="dxa"/>
            <w:tcBorders>
              <w:top w:val="nil"/>
              <w:left w:val="nil"/>
              <w:bottom w:val="nil"/>
              <w:right w:val="nil"/>
            </w:tcBorders>
            <w:shd w:val="clear" w:color="auto" w:fill="auto"/>
            <w:vAlign w:val="center"/>
            <w:hideMark/>
          </w:tcPr>
          <w:p w14:paraId="2DDA9FC5"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63 (11.3)</w:t>
            </w:r>
          </w:p>
        </w:tc>
        <w:tc>
          <w:tcPr>
            <w:tcW w:w="1046" w:type="dxa"/>
            <w:tcBorders>
              <w:top w:val="nil"/>
              <w:left w:val="nil"/>
              <w:bottom w:val="nil"/>
              <w:right w:val="nil"/>
            </w:tcBorders>
            <w:shd w:val="clear" w:color="auto" w:fill="auto"/>
            <w:vAlign w:val="center"/>
            <w:hideMark/>
          </w:tcPr>
          <w:p w14:paraId="37301C1D"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63 (10.9)</w:t>
            </w:r>
          </w:p>
        </w:tc>
        <w:tc>
          <w:tcPr>
            <w:tcW w:w="1045" w:type="dxa"/>
            <w:tcBorders>
              <w:top w:val="nil"/>
              <w:left w:val="nil"/>
              <w:bottom w:val="nil"/>
              <w:right w:val="nil"/>
            </w:tcBorders>
            <w:shd w:val="clear" w:color="auto" w:fill="auto"/>
            <w:vAlign w:val="center"/>
            <w:hideMark/>
          </w:tcPr>
          <w:p w14:paraId="4BB34C51"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78 (11.5)</w:t>
            </w:r>
          </w:p>
        </w:tc>
        <w:tc>
          <w:tcPr>
            <w:tcW w:w="1045" w:type="dxa"/>
            <w:tcBorders>
              <w:top w:val="nil"/>
              <w:left w:val="nil"/>
              <w:bottom w:val="nil"/>
              <w:right w:val="nil"/>
            </w:tcBorders>
            <w:shd w:val="clear" w:color="auto" w:fill="auto"/>
            <w:vAlign w:val="center"/>
            <w:hideMark/>
          </w:tcPr>
          <w:p w14:paraId="388399B7"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60 (7.9)</w:t>
            </w:r>
          </w:p>
        </w:tc>
        <w:tc>
          <w:tcPr>
            <w:tcW w:w="1046" w:type="dxa"/>
            <w:tcBorders>
              <w:top w:val="nil"/>
              <w:left w:val="nil"/>
              <w:bottom w:val="nil"/>
              <w:right w:val="nil"/>
            </w:tcBorders>
            <w:shd w:val="clear" w:color="auto" w:fill="auto"/>
            <w:vAlign w:val="center"/>
            <w:hideMark/>
          </w:tcPr>
          <w:p w14:paraId="2BACD69A"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66 (8.6)</w:t>
            </w:r>
          </w:p>
        </w:tc>
        <w:tc>
          <w:tcPr>
            <w:tcW w:w="1045" w:type="dxa"/>
            <w:tcBorders>
              <w:top w:val="nil"/>
              <w:left w:val="nil"/>
              <w:bottom w:val="nil"/>
              <w:right w:val="nil"/>
            </w:tcBorders>
            <w:shd w:val="clear" w:color="auto" w:fill="auto"/>
            <w:vAlign w:val="center"/>
            <w:hideMark/>
          </w:tcPr>
          <w:p w14:paraId="20B1929C"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70 (9.5)</w:t>
            </w:r>
          </w:p>
        </w:tc>
        <w:tc>
          <w:tcPr>
            <w:tcW w:w="1046" w:type="dxa"/>
            <w:tcBorders>
              <w:top w:val="nil"/>
              <w:left w:val="nil"/>
              <w:bottom w:val="nil"/>
              <w:right w:val="single" w:sz="4" w:space="0" w:color="auto"/>
            </w:tcBorders>
            <w:shd w:val="clear" w:color="auto" w:fill="auto"/>
            <w:vAlign w:val="center"/>
            <w:hideMark/>
          </w:tcPr>
          <w:p w14:paraId="57523B25" w14:textId="7777777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48 (6.7)</w:t>
            </w:r>
          </w:p>
        </w:tc>
      </w:tr>
      <w:tr w:rsidR="00E32B0A" w:rsidRPr="00E32B0A" w14:paraId="5004C0D0"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5C5A65"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Birth weight</w:t>
            </w:r>
          </w:p>
        </w:tc>
      </w:tr>
      <w:tr w:rsidR="00E32B0A" w:rsidRPr="00DC34FA" w14:paraId="5CF7259D"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165C999"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Mean</w:t>
            </w:r>
          </w:p>
        </w:tc>
        <w:tc>
          <w:tcPr>
            <w:tcW w:w="1045" w:type="dxa"/>
            <w:tcBorders>
              <w:top w:val="nil"/>
              <w:left w:val="nil"/>
              <w:bottom w:val="nil"/>
              <w:right w:val="nil"/>
            </w:tcBorders>
            <w:shd w:val="clear" w:color="auto" w:fill="auto"/>
            <w:vAlign w:val="center"/>
            <w:hideMark/>
          </w:tcPr>
          <w:p w14:paraId="18F3CADA" w14:textId="1D8BEABE"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3412</w:t>
            </w:r>
          </w:p>
        </w:tc>
        <w:tc>
          <w:tcPr>
            <w:tcW w:w="1045" w:type="dxa"/>
            <w:tcBorders>
              <w:top w:val="nil"/>
              <w:left w:val="nil"/>
              <w:bottom w:val="nil"/>
              <w:right w:val="nil"/>
            </w:tcBorders>
            <w:shd w:val="clear" w:color="auto" w:fill="auto"/>
            <w:noWrap/>
            <w:vAlign w:val="center"/>
            <w:hideMark/>
          </w:tcPr>
          <w:p w14:paraId="5BB9BF9F" w14:textId="1B59BAAD"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335</w:t>
            </w:r>
            <w:r w:rsidR="00F46757">
              <w:rPr>
                <w:rFonts w:ascii="Arial" w:eastAsia="Times New Roman" w:hAnsi="Arial" w:cs="Arial"/>
                <w:color w:val="000000"/>
                <w:sz w:val="20"/>
                <w:szCs w:val="20"/>
              </w:rPr>
              <w:t>8</w:t>
            </w:r>
          </w:p>
        </w:tc>
        <w:tc>
          <w:tcPr>
            <w:tcW w:w="1046" w:type="dxa"/>
            <w:tcBorders>
              <w:top w:val="nil"/>
              <w:left w:val="nil"/>
              <w:bottom w:val="nil"/>
              <w:right w:val="nil"/>
            </w:tcBorders>
            <w:shd w:val="clear" w:color="auto" w:fill="auto"/>
            <w:noWrap/>
            <w:vAlign w:val="center"/>
            <w:hideMark/>
          </w:tcPr>
          <w:p w14:paraId="7FF919F7" w14:textId="178FE50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339</w:t>
            </w:r>
            <w:r w:rsidR="00F46757">
              <w:rPr>
                <w:rFonts w:ascii="Arial" w:eastAsia="Times New Roman" w:hAnsi="Arial" w:cs="Arial"/>
                <w:color w:val="000000"/>
                <w:sz w:val="20"/>
                <w:szCs w:val="20"/>
              </w:rPr>
              <w:t>7</w:t>
            </w:r>
          </w:p>
        </w:tc>
        <w:tc>
          <w:tcPr>
            <w:tcW w:w="1045" w:type="dxa"/>
            <w:tcBorders>
              <w:top w:val="nil"/>
              <w:left w:val="nil"/>
              <w:bottom w:val="nil"/>
              <w:right w:val="nil"/>
            </w:tcBorders>
            <w:shd w:val="clear" w:color="auto" w:fill="auto"/>
            <w:noWrap/>
            <w:vAlign w:val="center"/>
            <w:hideMark/>
          </w:tcPr>
          <w:p w14:paraId="12660574" w14:textId="7C98A4D0"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3346</w:t>
            </w:r>
          </w:p>
        </w:tc>
        <w:tc>
          <w:tcPr>
            <w:tcW w:w="1045" w:type="dxa"/>
            <w:tcBorders>
              <w:top w:val="nil"/>
              <w:left w:val="nil"/>
              <w:bottom w:val="nil"/>
              <w:right w:val="nil"/>
            </w:tcBorders>
            <w:shd w:val="clear" w:color="auto" w:fill="auto"/>
            <w:noWrap/>
            <w:vAlign w:val="center"/>
            <w:hideMark/>
          </w:tcPr>
          <w:p w14:paraId="6EEBFC31" w14:textId="3F58C299"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334</w:t>
            </w:r>
            <w:r w:rsidR="00F46757">
              <w:rPr>
                <w:rFonts w:ascii="Arial" w:eastAsia="Times New Roman" w:hAnsi="Arial" w:cs="Arial"/>
                <w:color w:val="000000"/>
                <w:sz w:val="20"/>
                <w:szCs w:val="20"/>
              </w:rPr>
              <w:t>9</w:t>
            </w:r>
          </w:p>
        </w:tc>
        <w:tc>
          <w:tcPr>
            <w:tcW w:w="1046" w:type="dxa"/>
            <w:tcBorders>
              <w:top w:val="nil"/>
              <w:left w:val="nil"/>
              <w:bottom w:val="nil"/>
              <w:right w:val="nil"/>
            </w:tcBorders>
            <w:shd w:val="clear" w:color="auto" w:fill="auto"/>
            <w:noWrap/>
            <w:vAlign w:val="center"/>
            <w:hideMark/>
          </w:tcPr>
          <w:p w14:paraId="6E36E7D2" w14:textId="49E98E6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3381</w:t>
            </w:r>
          </w:p>
        </w:tc>
        <w:tc>
          <w:tcPr>
            <w:tcW w:w="1045" w:type="dxa"/>
            <w:tcBorders>
              <w:top w:val="nil"/>
              <w:left w:val="nil"/>
              <w:bottom w:val="nil"/>
              <w:right w:val="nil"/>
            </w:tcBorders>
            <w:shd w:val="clear" w:color="auto" w:fill="auto"/>
            <w:noWrap/>
            <w:vAlign w:val="center"/>
            <w:hideMark/>
          </w:tcPr>
          <w:p w14:paraId="4B686597" w14:textId="3C4F2026"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335</w:t>
            </w:r>
            <w:r w:rsidR="00F46757">
              <w:rPr>
                <w:rFonts w:ascii="Arial" w:eastAsia="Times New Roman" w:hAnsi="Arial" w:cs="Arial"/>
                <w:color w:val="000000"/>
                <w:sz w:val="20"/>
                <w:szCs w:val="20"/>
              </w:rPr>
              <w:t>1</w:t>
            </w:r>
          </w:p>
        </w:tc>
        <w:tc>
          <w:tcPr>
            <w:tcW w:w="1046" w:type="dxa"/>
            <w:tcBorders>
              <w:top w:val="nil"/>
              <w:left w:val="nil"/>
              <w:bottom w:val="nil"/>
              <w:right w:val="single" w:sz="4" w:space="0" w:color="auto"/>
            </w:tcBorders>
            <w:shd w:val="clear" w:color="auto" w:fill="auto"/>
            <w:noWrap/>
            <w:vAlign w:val="center"/>
            <w:hideMark/>
          </w:tcPr>
          <w:p w14:paraId="7F0E26E5" w14:textId="6A8B57ED"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339</w:t>
            </w:r>
            <w:r w:rsidR="00F46757">
              <w:rPr>
                <w:rFonts w:ascii="Arial" w:eastAsia="Times New Roman" w:hAnsi="Arial" w:cs="Arial"/>
                <w:color w:val="000000"/>
                <w:sz w:val="20"/>
                <w:szCs w:val="20"/>
              </w:rPr>
              <w:t>9</w:t>
            </w:r>
          </w:p>
        </w:tc>
      </w:tr>
      <w:tr w:rsidR="00E32B0A" w:rsidRPr="00DC34FA" w14:paraId="63884ED2"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06ACCC8"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SD</w:t>
            </w:r>
          </w:p>
        </w:tc>
        <w:tc>
          <w:tcPr>
            <w:tcW w:w="1045" w:type="dxa"/>
            <w:tcBorders>
              <w:top w:val="single" w:sz="4" w:space="0" w:color="auto"/>
              <w:left w:val="nil"/>
              <w:bottom w:val="single" w:sz="4" w:space="0" w:color="auto"/>
              <w:right w:val="nil"/>
            </w:tcBorders>
            <w:shd w:val="clear" w:color="auto" w:fill="auto"/>
            <w:noWrap/>
            <w:vAlign w:val="center"/>
            <w:hideMark/>
          </w:tcPr>
          <w:p w14:paraId="6C3ED8D7" w14:textId="1CD916D5"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666</w:t>
            </w:r>
          </w:p>
        </w:tc>
        <w:tc>
          <w:tcPr>
            <w:tcW w:w="1045" w:type="dxa"/>
            <w:tcBorders>
              <w:top w:val="single" w:sz="4" w:space="0" w:color="auto"/>
              <w:left w:val="nil"/>
              <w:bottom w:val="single" w:sz="4" w:space="0" w:color="auto"/>
              <w:right w:val="nil"/>
            </w:tcBorders>
            <w:shd w:val="clear" w:color="auto" w:fill="auto"/>
            <w:noWrap/>
            <w:vAlign w:val="center"/>
            <w:hideMark/>
          </w:tcPr>
          <w:p w14:paraId="4211952F" w14:textId="6FF7EF72"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64</w:t>
            </w:r>
            <w:r w:rsidR="00F46757">
              <w:rPr>
                <w:rFonts w:ascii="Arial" w:eastAsia="Times New Roman" w:hAnsi="Arial" w:cs="Arial"/>
                <w:color w:val="000000"/>
                <w:sz w:val="20"/>
                <w:szCs w:val="20"/>
              </w:rPr>
              <w:t>3</w:t>
            </w:r>
          </w:p>
        </w:tc>
        <w:tc>
          <w:tcPr>
            <w:tcW w:w="1046" w:type="dxa"/>
            <w:tcBorders>
              <w:top w:val="single" w:sz="4" w:space="0" w:color="auto"/>
              <w:left w:val="nil"/>
              <w:bottom w:val="single" w:sz="4" w:space="0" w:color="auto"/>
              <w:right w:val="nil"/>
            </w:tcBorders>
            <w:shd w:val="clear" w:color="auto" w:fill="auto"/>
            <w:noWrap/>
            <w:vAlign w:val="center"/>
            <w:hideMark/>
          </w:tcPr>
          <w:p w14:paraId="37950743" w14:textId="3D84BDC5"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w:t>
            </w:r>
            <w:r w:rsidR="00F46757">
              <w:rPr>
                <w:rFonts w:ascii="Arial" w:eastAsia="Times New Roman" w:hAnsi="Arial" w:cs="Arial"/>
                <w:color w:val="000000"/>
                <w:sz w:val="20"/>
                <w:szCs w:val="20"/>
              </w:rPr>
              <w:t>50</w:t>
            </w:r>
          </w:p>
        </w:tc>
        <w:tc>
          <w:tcPr>
            <w:tcW w:w="1045" w:type="dxa"/>
            <w:tcBorders>
              <w:top w:val="single" w:sz="4" w:space="0" w:color="auto"/>
              <w:left w:val="nil"/>
              <w:bottom w:val="single" w:sz="4" w:space="0" w:color="auto"/>
              <w:right w:val="nil"/>
            </w:tcBorders>
            <w:shd w:val="clear" w:color="auto" w:fill="auto"/>
            <w:noWrap/>
            <w:vAlign w:val="center"/>
            <w:hideMark/>
          </w:tcPr>
          <w:p w14:paraId="6B447159" w14:textId="1395CCDF"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601</w:t>
            </w:r>
          </w:p>
        </w:tc>
        <w:tc>
          <w:tcPr>
            <w:tcW w:w="1045" w:type="dxa"/>
            <w:tcBorders>
              <w:top w:val="single" w:sz="4" w:space="0" w:color="auto"/>
              <w:left w:val="nil"/>
              <w:bottom w:val="single" w:sz="4" w:space="0" w:color="auto"/>
              <w:right w:val="nil"/>
            </w:tcBorders>
            <w:shd w:val="clear" w:color="auto" w:fill="auto"/>
            <w:noWrap/>
            <w:vAlign w:val="center"/>
            <w:hideMark/>
          </w:tcPr>
          <w:p w14:paraId="3BBD65A2" w14:textId="248ED6FC"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w:t>
            </w:r>
            <w:r w:rsidR="00F46757">
              <w:rPr>
                <w:rFonts w:ascii="Arial" w:eastAsia="Times New Roman" w:hAnsi="Arial" w:cs="Arial"/>
                <w:color w:val="000000"/>
                <w:sz w:val="20"/>
                <w:szCs w:val="20"/>
              </w:rPr>
              <w:t>10</w:t>
            </w:r>
          </w:p>
        </w:tc>
        <w:tc>
          <w:tcPr>
            <w:tcW w:w="1046" w:type="dxa"/>
            <w:tcBorders>
              <w:top w:val="single" w:sz="4" w:space="0" w:color="auto"/>
              <w:left w:val="nil"/>
              <w:bottom w:val="single" w:sz="4" w:space="0" w:color="auto"/>
              <w:right w:val="nil"/>
            </w:tcBorders>
            <w:shd w:val="clear" w:color="auto" w:fill="auto"/>
            <w:noWrap/>
            <w:vAlign w:val="center"/>
            <w:hideMark/>
          </w:tcPr>
          <w:p w14:paraId="6BF0CCE5" w14:textId="515B3D5C"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624</w:t>
            </w:r>
          </w:p>
        </w:tc>
        <w:tc>
          <w:tcPr>
            <w:tcW w:w="1045" w:type="dxa"/>
            <w:tcBorders>
              <w:top w:val="single" w:sz="4" w:space="0" w:color="auto"/>
              <w:left w:val="nil"/>
              <w:bottom w:val="single" w:sz="4" w:space="0" w:color="auto"/>
              <w:right w:val="nil"/>
            </w:tcBorders>
            <w:shd w:val="clear" w:color="auto" w:fill="auto"/>
            <w:noWrap/>
            <w:vAlign w:val="center"/>
            <w:hideMark/>
          </w:tcPr>
          <w:p w14:paraId="0FF14D41" w14:textId="30920056"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w:t>
            </w:r>
            <w:r w:rsidR="00F46757">
              <w:rPr>
                <w:rFonts w:ascii="Arial" w:eastAsia="Times New Roman" w:hAnsi="Arial" w:cs="Arial"/>
                <w:color w:val="000000"/>
                <w:sz w:val="20"/>
                <w:szCs w:val="20"/>
              </w:rPr>
              <w:t>30</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372D64FF" w14:textId="2F9E5CE2"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607</w:t>
            </w:r>
          </w:p>
        </w:tc>
      </w:tr>
      <w:tr w:rsidR="00E32B0A" w:rsidRPr="00E32B0A" w14:paraId="09A1F844" w14:textId="77777777" w:rsidTr="000A3BC9">
        <w:trPr>
          <w:trHeight w:val="340"/>
        </w:trPr>
        <w:tc>
          <w:tcPr>
            <w:tcW w:w="10348" w:type="dxa"/>
            <w:gridSpan w:val="9"/>
            <w:tcBorders>
              <w:top w:val="nil"/>
              <w:left w:val="single" w:sz="4" w:space="0" w:color="auto"/>
              <w:bottom w:val="single" w:sz="4" w:space="0" w:color="000000"/>
              <w:right w:val="single" w:sz="4" w:space="0" w:color="000000"/>
            </w:tcBorders>
            <w:shd w:val="clear" w:color="auto" w:fill="auto"/>
            <w:noWrap/>
            <w:vAlign w:val="center"/>
            <w:hideMark/>
          </w:tcPr>
          <w:p w14:paraId="7F44B35D"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Gestation weeks</w:t>
            </w:r>
          </w:p>
        </w:tc>
      </w:tr>
      <w:tr w:rsidR="00E32B0A" w:rsidRPr="00DC34FA" w14:paraId="2924A8B6"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5BDF763"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Mean</w:t>
            </w:r>
          </w:p>
        </w:tc>
        <w:tc>
          <w:tcPr>
            <w:tcW w:w="1045" w:type="dxa"/>
            <w:tcBorders>
              <w:top w:val="nil"/>
              <w:left w:val="nil"/>
              <w:bottom w:val="nil"/>
              <w:right w:val="nil"/>
            </w:tcBorders>
            <w:shd w:val="clear" w:color="auto" w:fill="auto"/>
            <w:vAlign w:val="center"/>
            <w:hideMark/>
          </w:tcPr>
          <w:p w14:paraId="03C84AAA" w14:textId="34B28026"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5" w:type="dxa"/>
            <w:tcBorders>
              <w:top w:val="nil"/>
              <w:left w:val="nil"/>
              <w:bottom w:val="nil"/>
              <w:right w:val="nil"/>
            </w:tcBorders>
            <w:shd w:val="clear" w:color="auto" w:fill="auto"/>
            <w:vAlign w:val="center"/>
            <w:hideMark/>
          </w:tcPr>
          <w:p w14:paraId="35E509FD" w14:textId="3EEB0BF2"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6" w:type="dxa"/>
            <w:tcBorders>
              <w:top w:val="nil"/>
              <w:left w:val="nil"/>
              <w:bottom w:val="nil"/>
              <w:right w:val="nil"/>
            </w:tcBorders>
            <w:shd w:val="clear" w:color="auto" w:fill="auto"/>
            <w:noWrap/>
            <w:vAlign w:val="center"/>
            <w:hideMark/>
          </w:tcPr>
          <w:p w14:paraId="2EBD0B86" w14:textId="5A360A18"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5" w:type="dxa"/>
            <w:tcBorders>
              <w:top w:val="nil"/>
              <w:left w:val="nil"/>
              <w:bottom w:val="nil"/>
              <w:right w:val="nil"/>
            </w:tcBorders>
            <w:shd w:val="clear" w:color="auto" w:fill="auto"/>
            <w:noWrap/>
            <w:vAlign w:val="center"/>
            <w:hideMark/>
          </w:tcPr>
          <w:p w14:paraId="256FDAA4" w14:textId="662E29FC"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5" w:type="dxa"/>
            <w:tcBorders>
              <w:top w:val="nil"/>
              <w:left w:val="nil"/>
              <w:bottom w:val="nil"/>
              <w:right w:val="nil"/>
            </w:tcBorders>
            <w:shd w:val="clear" w:color="auto" w:fill="auto"/>
            <w:noWrap/>
            <w:vAlign w:val="center"/>
            <w:hideMark/>
          </w:tcPr>
          <w:p w14:paraId="4F237994" w14:textId="140D9EA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6" w:type="dxa"/>
            <w:tcBorders>
              <w:top w:val="nil"/>
              <w:left w:val="nil"/>
              <w:bottom w:val="nil"/>
              <w:right w:val="nil"/>
            </w:tcBorders>
            <w:shd w:val="clear" w:color="auto" w:fill="auto"/>
            <w:noWrap/>
            <w:vAlign w:val="center"/>
            <w:hideMark/>
          </w:tcPr>
          <w:p w14:paraId="1EFBFEDB" w14:textId="698B90E1"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5" w:type="dxa"/>
            <w:tcBorders>
              <w:top w:val="nil"/>
              <w:left w:val="nil"/>
              <w:bottom w:val="nil"/>
              <w:right w:val="nil"/>
            </w:tcBorders>
            <w:shd w:val="clear" w:color="auto" w:fill="auto"/>
            <w:noWrap/>
            <w:vAlign w:val="center"/>
            <w:hideMark/>
          </w:tcPr>
          <w:p w14:paraId="446CD41A" w14:textId="2A41F46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6" w:type="dxa"/>
            <w:tcBorders>
              <w:top w:val="nil"/>
              <w:left w:val="nil"/>
              <w:bottom w:val="nil"/>
              <w:right w:val="single" w:sz="4" w:space="0" w:color="auto"/>
            </w:tcBorders>
            <w:shd w:val="clear" w:color="auto" w:fill="auto"/>
            <w:noWrap/>
            <w:vAlign w:val="center"/>
            <w:hideMark/>
          </w:tcPr>
          <w:p w14:paraId="1E11BA4C" w14:textId="3F493BFA"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r>
      <w:tr w:rsidR="00E32B0A" w:rsidRPr="00DC34FA" w14:paraId="528233B8"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E69234F"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SD</w:t>
            </w:r>
          </w:p>
        </w:tc>
        <w:tc>
          <w:tcPr>
            <w:tcW w:w="1045" w:type="dxa"/>
            <w:tcBorders>
              <w:top w:val="single" w:sz="4" w:space="0" w:color="auto"/>
              <w:left w:val="nil"/>
              <w:bottom w:val="single" w:sz="4" w:space="0" w:color="auto"/>
              <w:right w:val="nil"/>
            </w:tcBorders>
            <w:shd w:val="clear" w:color="auto" w:fill="auto"/>
            <w:noWrap/>
            <w:vAlign w:val="center"/>
            <w:hideMark/>
          </w:tcPr>
          <w:p w14:paraId="227C7BB2" w14:textId="778EC0A1"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5" w:type="dxa"/>
            <w:tcBorders>
              <w:top w:val="single" w:sz="4" w:space="0" w:color="auto"/>
              <w:left w:val="nil"/>
              <w:bottom w:val="single" w:sz="4" w:space="0" w:color="auto"/>
              <w:right w:val="nil"/>
            </w:tcBorders>
            <w:shd w:val="clear" w:color="auto" w:fill="auto"/>
            <w:noWrap/>
            <w:vAlign w:val="center"/>
            <w:hideMark/>
          </w:tcPr>
          <w:p w14:paraId="1CA22805" w14:textId="3A80E66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6" w:type="dxa"/>
            <w:tcBorders>
              <w:top w:val="single" w:sz="4" w:space="0" w:color="auto"/>
              <w:left w:val="nil"/>
              <w:bottom w:val="single" w:sz="4" w:space="0" w:color="auto"/>
              <w:right w:val="nil"/>
            </w:tcBorders>
            <w:shd w:val="clear" w:color="auto" w:fill="auto"/>
            <w:noWrap/>
            <w:vAlign w:val="center"/>
            <w:hideMark/>
          </w:tcPr>
          <w:p w14:paraId="13E5FED1" w14:textId="7E132E3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5" w:type="dxa"/>
            <w:tcBorders>
              <w:top w:val="single" w:sz="4" w:space="0" w:color="auto"/>
              <w:left w:val="nil"/>
              <w:bottom w:val="single" w:sz="4" w:space="0" w:color="auto"/>
              <w:right w:val="nil"/>
            </w:tcBorders>
            <w:shd w:val="clear" w:color="auto" w:fill="auto"/>
            <w:noWrap/>
            <w:vAlign w:val="center"/>
            <w:hideMark/>
          </w:tcPr>
          <w:p w14:paraId="796D57D6" w14:textId="40E0F468"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5" w:type="dxa"/>
            <w:tcBorders>
              <w:top w:val="single" w:sz="4" w:space="0" w:color="auto"/>
              <w:left w:val="nil"/>
              <w:bottom w:val="single" w:sz="4" w:space="0" w:color="auto"/>
              <w:right w:val="nil"/>
            </w:tcBorders>
            <w:shd w:val="clear" w:color="auto" w:fill="auto"/>
            <w:noWrap/>
            <w:vAlign w:val="center"/>
            <w:hideMark/>
          </w:tcPr>
          <w:p w14:paraId="72CFAA9E" w14:textId="110D208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6" w:type="dxa"/>
            <w:tcBorders>
              <w:top w:val="single" w:sz="4" w:space="0" w:color="auto"/>
              <w:left w:val="nil"/>
              <w:bottom w:val="single" w:sz="4" w:space="0" w:color="auto"/>
              <w:right w:val="nil"/>
            </w:tcBorders>
            <w:shd w:val="clear" w:color="auto" w:fill="auto"/>
            <w:noWrap/>
            <w:vAlign w:val="center"/>
            <w:hideMark/>
          </w:tcPr>
          <w:p w14:paraId="23D17599" w14:textId="3FA4F631"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5" w:type="dxa"/>
            <w:tcBorders>
              <w:top w:val="single" w:sz="4" w:space="0" w:color="auto"/>
              <w:left w:val="nil"/>
              <w:bottom w:val="single" w:sz="4" w:space="0" w:color="auto"/>
              <w:right w:val="nil"/>
            </w:tcBorders>
            <w:shd w:val="clear" w:color="auto" w:fill="auto"/>
            <w:noWrap/>
            <w:vAlign w:val="center"/>
            <w:hideMark/>
          </w:tcPr>
          <w:p w14:paraId="35992E59" w14:textId="36857CE9"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5093D5E9" w14:textId="3A15B895"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r>
      <w:tr w:rsidR="00E32B0A" w:rsidRPr="00E32B0A" w14:paraId="6F771E75" w14:textId="77777777" w:rsidTr="000A3BC9">
        <w:trPr>
          <w:trHeight w:val="340"/>
        </w:trPr>
        <w:tc>
          <w:tcPr>
            <w:tcW w:w="10348" w:type="dxa"/>
            <w:gridSpan w:val="9"/>
            <w:tcBorders>
              <w:top w:val="single" w:sz="4" w:space="0" w:color="auto"/>
              <w:left w:val="single" w:sz="4" w:space="0" w:color="auto"/>
              <w:bottom w:val="nil"/>
              <w:right w:val="single" w:sz="4" w:space="0" w:color="000000"/>
            </w:tcBorders>
            <w:shd w:val="clear" w:color="auto" w:fill="auto"/>
            <w:noWrap/>
            <w:vAlign w:val="center"/>
            <w:hideMark/>
          </w:tcPr>
          <w:p w14:paraId="6806FF25" w14:textId="6E56FFF9"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Female</w:t>
            </w:r>
            <w:r w:rsidR="00F07888">
              <w:rPr>
                <w:rFonts w:ascii="Arial" w:eastAsia="Times New Roman" w:hAnsi="Arial" w:cs="Arial"/>
                <w:b/>
                <w:bCs/>
                <w:color w:val="000000"/>
                <w:sz w:val="20"/>
                <w:szCs w:val="20"/>
              </w:rPr>
              <w:t xml:space="preserve"> sex</w:t>
            </w:r>
          </w:p>
        </w:tc>
      </w:tr>
      <w:tr w:rsidR="00E32B0A" w:rsidRPr="00DC34FA" w14:paraId="782ABDC7" w14:textId="77777777" w:rsidTr="000A3BC9">
        <w:trPr>
          <w:trHeight w:val="340"/>
        </w:trPr>
        <w:tc>
          <w:tcPr>
            <w:tcW w:w="1985" w:type="dxa"/>
            <w:tcBorders>
              <w:top w:val="single" w:sz="4" w:space="0" w:color="auto"/>
              <w:left w:val="single" w:sz="4" w:space="0" w:color="auto"/>
              <w:bottom w:val="nil"/>
              <w:right w:val="single" w:sz="4" w:space="0" w:color="auto"/>
            </w:tcBorders>
            <w:shd w:val="clear" w:color="auto" w:fill="auto"/>
            <w:noWrap/>
            <w:vAlign w:val="center"/>
            <w:hideMark/>
          </w:tcPr>
          <w:p w14:paraId="47D85D8C"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single" w:sz="4" w:space="0" w:color="auto"/>
              <w:left w:val="nil"/>
              <w:bottom w:val="nil"/>
              <w:right w:val="nil"/>
            </w:tcBorders>
            <w:shd w:val="clear" w:color="auto" w:fill="auto"/>
            <w:noWrap/>
            <w:vAlign w:val="center"/>
            <w:hideMark/>
          </w:tcPr>
          <w:p w14:paraId="5289A531" w14:textId="1AA6D71D"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191 (47</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5" w:type="dxa"/>
            <w:tcBorders>
              <w:top w:val="single" w:sz="4" w:space="0" w:color="auto"/>
              <w:left w:val="nil"/>
              <w:bottom w:val="nil"/>
              <w:right w:val="nil"/>
            </w:tcBorders>
            <w:shd w:val="clear" w:color="auto" w:fill="auto"/>
            <w:noWrap/>
            <w:vAlign w:val="center"/>
            <w:hideMark/>
          </w:tcPr>
          <w:p w14:paraId="059320C5" w14:textId="0D973D7E"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256 (46</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6" w:type="dxa"/>
            <w:tcBorders>
              <w:top w:val="single" w:sz="4" w:space="0" w:color="auto"/>
              <w:left w:val="nil"/>
              <w:bottom w:val="nil"/>
              <w:right w:val="nil"/>
            </w:tcBorders>
            <w:shd w:val="clear" w:color="auto" w:fill="auto"/>
            <w:noWrap/>
            <w:vAlign w:val="center"/>
            <w:hideMark/>
          </w:tcPr>
          <w:p w14:paraId="785CE27B" w14:textId="7E1EC8F6"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254 (44</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5" w:type="dxa"/>
            <w:tcBorders>
              <w:top w:val="single" w:sz="4" w:space="0" w:color="auto"/>
              <w:left w:val="nil"/>
              <w:bottom w:val="nil"/>
              <w:right w:val="nil"/>
            </w:tcBorders>
            <w:shd w:val="clear" w:color="auto" w:fill="auto"/>
            <w:noWrap/>
            <w:vAlign w:val="center"/>
            <w:hideMark/>
          </w:tcPr>
          <w:p w14:paraId="1E697C60" w14:textId="7E107C6D"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328 (48</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2)</w:t>
            </w:r>
          </w:p>
        </w:tc>
        <w:tc>
          <w:tcPr>
            <w:tcW w:w="1045" w:type="dxa"/>
            <w:tcBorders>
              <w:top w:val="single" w:sz="4" w:space="0" w:color="auto"/>
              <w:left w:val="nil"/>
              <w:bottom w:val="nil"/>
              <w:right w:val="nil"/>
            </w:tcBorders>
            <w:shd w:val="clear" w:color="auto" w:fill="auto"/>
            <w:noWrap/>
            <w:vAlign w:val="center"/>
            <w:hideMark/>
          </w:tcPr>
          <w:p w14:paraId="4FD533BC" w14:textId="59825390"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345 (45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2)</w:t>
            </w:r>
          </w:p>
        </w:tc>
        <w:tc>
          <w:tcPr>
            <w:tcW w:w="1046" w:type="dxa"/>
            <w:tcBorders>
              <w:top w:val="single" w:sz="4" w:space="0" w:color="auto"/>
              <w:left w:val="nil"/>
              <w:bottom w:val="nil"/>
              <w:right w:val="nil"/>
            </w:tcBorders>
            <w:shd w:val="clear" w:color="auto" w:fill="auto"/>
            <w:noWrap/>
            <w:vAlign w:val="center"/>
            <w:hideMark/>
          </w:tcPr>
          <w:p w14:paraId="412E8A5D" w14:textId="77CC9FCA"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326 (42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5" w:type="dxa"/>
            <w:tcBorders>
              <w:top w:val="single" w:sz="4" w:space="0" w:color="auto"/>
              <w:left w:val="nil"/>
              <w:bottom w:val="nil"/>
              <w:right w:val="nil"/>
            </w:tcBorders>
            <w:shd w:val="clear" w:color="auto" w:fill="auto"/>
            <w:noWrap/>
            <w:vAlign w:val="center"/>
            <w:hideMark/>
          </w:tcPr>
          <w:p w14:paraId="317EEE2C" w14:textId="001AF87B"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322 (43</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8)</w:t>
            </w:r>
          </w:p>
        </w:tc>
        <w:tc>
          <w:tcPr>
            <w:tcW w:w="1046" w:type="dxa"/>
            <w:tcBorders>
              <w:top w:val="single" w:sz="4" w:space="0" w:color="auto"/>
              <w:left w:val="nil"/>
              <w:bottom w:val="nil"/>
              <w:right w:val="single" w:sz="4" w:space="0" w:color="auto"/>
            </w:tcBorders>
            <w:shd w:val="clear" w:color="auto" w:fill="auto"/>
            <w:noWrap/>
            <w:vAlign w:val="center"/>
            <w:hideMark/>
          </w:tcPr>
          <w:p w14:paraId="6D83E666" w14:textId="25BB2FF9"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304 (42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r>
      <w:tr w:rsidR="00E32B0A" w:rsidRPr="00E32B0A" w14:paraId="416C7D40"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CA64330" w14:textId="454D713B" w:rsidR="00E32B0A" w:rsidRPr="00E32B0A" w:rsidRDefault="00F07888" w:rsidP="00E32B0A">
            <w:pPr>
              <w:rPr>
                <w:rFonts w:ascii="Arial" w:eastAsia="Times New Roman" w:hAnsi="Arial" w:cs="Arial"/>
                <w:b/>
                <w:bCs/>
                <w:color w:val="000000"/>
                <w:sz w:val="20"/>
                <w:szCs w:val="20"/>
              </w:rPr>
            </w:pPr>
            <w:r>
              <w:rPr>
                <w:rFonts w:ascii="Arial" w:eastAsia="Times New Roman" w:hAnsi="Arial" w:cs="Arial"/>
                <w:b/>
                <w:bCs/>
                <w:color w:val="000000"/>
                <w:sz w:val="20"/>
                <w:szCs w:val="20"/>
              </w:rPr>
              <w:t>Vaginal</w:t>
            </w:r>
            <w:r w:rsidR="00E32B0A" w:rsidRPr="00E32B0A">
              <w:rPr>
                <w:rFonts w:ascii="Arial" w:eastAsia="Times New Roman" w:hAnsi="Arial" w:cs="Arial"/>
                <w:b/>
                <w:bCs/>
                <w:color w:val="000000"/>
                <w:sz w:val="20"/>
                <w:szCs w:val="20"/>
              </w:rPr>
              <w:t xml:space="preserve"> delivery</w:t>
            </w:r>
          </w:p>
        </w:tc>
      </w:tr>
      <w:tr w:rsidR="00E32B0A" w:rsidRPr="00DC34FA" w14:paraId="7208FDB1"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A0DE0FB"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nil"/>
              <w:left w:val="nil"/>
              <w:bottom w:val="single" w:sz="4" w:space="0" w:color="auto"/>
              <w:right w:val="nil"/>
            </w:tcBorders>
            <w:shd w:val="clear" w:color="auto" w:fill="auto"/>
            <w:noWrap/>
            <w:vAlign w:val="center"/>
            <w:hideMark/>
          </w:tcPr>
          <w:p w14:paraId="017CEA22" w14:textId="46FDD128"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186 (46</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2)</w:t>
            </w:r>
          </w:p>
        </w:tc>
        <w:tc>
          <w:tcPr>
            <w:tcW w:w="1045" w:type="dxa"/>
            <w:tcBorders>
              <w:top w:val="nil"/>
              <w:left w:val="nil"/>
              <w:bottom w:val="single" w:sz="4" w:space="0" w:color="auto"/>
              <w:right w:val="nil"/>
            </w:tcBorders>
            <w:shd w:val="clear" w:color="auto" w:fill="auto"/>
            <w:noWrap/>
            <w:vAlign w:val="center"/>
            <w:hideMark/>
          </w:tcPr>
          <w:p w14:paraId="302ED206" w14:textId="124DB484"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273 (49</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1)</w:t>
            </w:r>
          </w:p>
        </w:tc>
        <w:tc>
          <w:tcPr>
            <w:tcW w:w="1046" w:type="dxa"/>
            <w:tcBorders>
              <w:top w:val="nil"/>
              <w:left w:val="nil"/>
              <w:bottom w:val="single" w:sz="4" w:space="0" w:color="auto"/>
              <w:right w:val="nil"/>
            </w:tcBorders>
            <w:shd w:val="clear" w:color="auto" w:fill="auto"/>
            <w:noWrap/>
            <w:vAlign w:val="center"/>
            <w:hideMark/>
          </w:tcPr>
          <w:p w14:paraId="0F3C0873" w14:textId="4A12DC48"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252 (44</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5" w:type="dxa"/>
            <w:tcBorders>
              <w:top w:val="nil"/>
              <w:left w:val="nil"/>
              <w:bottom w:val="single" w:sz="4" w:space="0" w:color="auto"/>
              <w:right w:val="nil"/>
            </w:tcBorders>
            <w:shd w:val="clear" w:color="auto" w:fill="auto"/>
            <w:noWrap/>
            <w:vAlign w:val="center"/>
            <w:hideMark/>
          </w:tcPr>
          <w:p w14:paraId="0D1CE1B6" w14:textId="50999610"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330 (48</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5" w:type="dxa"/>
            <w:tcBorders>
              <w:top w:val="nil"/>
              <w:left w:val="nil"/>
              <w:bottom w:val="single" w:sz="4" w:space="0" w:color="auto"/>
              <w:right w:val="nil"/>
            </w:tcBorders>
            <w:shd w:val="clear" w:color="auto" w:fill="auto"/>
            <w:noWrap/>
            <w:vAlign w:val="center"/>
            <w:hideMark/>
          </w:tcPr>
          <w:p w14:paraId="280BA83F" w14:textId="2F1ED0D6"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366 (48</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6" w:type="dxa"/>
            <w:tcBorders>
              <w:top w:val="nil"/>
              <w:left w:val="nil"/>
              <w:bottom w:val="single" w:sz="4" w:space="0" w:color="auto"/>
              <w:right w:val="nil"/>
            </w:tcBorders>
            <w:shd w:val="clear" w:color="auto" w:fill="auto"/>
            <w:noWrap/>
            <w:vAlign w:val="center"/>
            <w:hideMark/>
          </w:tcPr>
          <w:p w14:paraId="62423FA8" w14:textId="4C3E603B"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323 (41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9)</w:t>
            </w:r>
          </w:p>
        </w:tc>
        <w:tc>
          <w:tcPr>
            <w:tcW w:w="1045" w:type="dxa"/>
            <w:tcBorders>
              <w:top w:val="nil"/>
              <w:left w:val="nil"/>
              <w:bottom w:val="single" w:sz="4" w:space="0" w:color="auto"/>
              <w:right w:val="nil"/>
            </w:tcBorders>
            <w:shd w:val="clear" w:color="auto" w:fill="auto"/>
            <w:noWrap/>
            <w:vAlign w:val="center"/>
            <w:hideMark/>
          </w:tcPr>
          <w:p w14:paraId="2290EC28" w14:textId="0FFEA402"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337 (45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9)</w:t>
            </w:r>
          </w:p>
        </w:tc>
        <w:tc>
          <w:tcPr>
            <w:tcW w:w="1046" w:type="dxa"/>
            <w:tcBorders>
              <w:top w:val="nil"/>
              <w:left w:val="nil"/>
              <w:bottom w:val="single" w:sz="4" w:space="0" w:color="auto"/>
              <w:right w:val="single" w:sz="4" w:space="0" w:color="auto"/>
            </w:tcBorders>
            <w:shd w:val="clear" w:color="auto" w:fill="auto"/>
            <w:noWrap/>
            <w:vAlign w:val="center"/>
            <w:hideMark/>
          </w:tcPr>
          <w:p w14:paraId="2CC08DB4" w14:textId="36E69BC5"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330 (45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9)</w:t>
            </w:r>
          </w:p>
        </w:tc>
      </w:tr>
      <w:tr w:rsidR="00E32B0A" w:rsidRPr="00E32B0A" w14:paraId="429F7769"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F95E31" w14:textId="47F2B380"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Multiple birth</w:t>
            </w:r>
          </w:p>
        </w:tc>
      </w:tr>
      <w:tr w:rsidR="00E32B0A" w:rsidRPr="00DC34FA" w14:paraId="608F26DB"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AB4C96A"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nil"/>
              <w:left w:val="nil"/>
              <w:bottom w:val="single" w:sz="4" w:space="0" w:color="auto"/>
              <w:right w:val="nil"/>
            </w:tcBorders>
            <w:shd w:val="clear" w:color="auto" w:fill="auto"/>
            <w:noWrap/>
            <w:vAlign w:val="center"/>
            <w:hideMark/>
          </w:tcPr>
          <w:p w14:paraId="049FD249" w14:textId="44DD14A9"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21 (5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2)</w:t>
            </w:r>
          </w:p>
        </w:tc>
        <w:tc>
          <w:tcPr>
            <w:tcW w:w="1045" w:type="dxa"/>
            <w:tcBorders>
              <w:top w:val="nil"/>
              <w:left w:val="nil"/>
              <w:bottom w:val="single" w:sz="4" w:space="0" w:color="auto"/>
              <w:right w:val="nil"/>
            </w:tcBorders>
            <w:shd w:val="clear" w:color="auto" w:fill="auto"/>
            <w:noWrap/>
            <w:vAlign w:val="center"/>
            <w:hideMark/>
          </w:tcPr>
          <w:p w14:paraId="0252E7DB" w14:textId="706E6518"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22 (4</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6" w:type="dxa"/>
            <w:tcBorders>
              <w:top w:val="nil"/>
              <w:left w:val="nil"/>
              <w:bottom w:val="single" w:sz="4" w:space="0" w:color="auto"/>
              <w:right w:val="nil"/>
            </w:tcBorders>
            <w:shd w:val="clear" w:color="auto" w:fill="auto"/>
            <w:noWrap/>
            <w:vAlign w:val="center"/>
            <w:hideMark/>
          </w:tcPr>
          <w:p w14:paraId="41956BEA" w14:textId="5629316B"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20 (3</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5" w:type="dxa"/>
            <w:tcBorders>
              <w:top w:val="nil"/>
              <w:left w:val="nil"/>
              <w:bottom w:val="single" w:sz="4" w:space="0" w:color="auto"/>
              <w:right w:val="nil"/>
            </w:tcBorders>
            <w:shd w:val="clear" w:color="auto" w:fill="auto"/>
            <w:noWrap/>
            <w:vAlign w:val="center"/>
            <w:hideMark/>
          </w:tcPr>
          <w:p w14:paraId="1C59C20F" w14:textId="0559BEB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25 (3</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7)</w:t>
            </w:r>
          </w:p>
        </w:tc>
        <w:tc>
          <w:tcPr>
            <w:tcW w:w="1045" w:type="dxa"/>
            <w:tcBorders>
              <w:top w:val="nil"/>
              <w:left w:val="nil"/>
              <w:bottom w:val="single" w:sz="4" w:space="0" w:color="auto"/>
              <w:right w:val="nil"/>
            </w:tcBorders>
            <w:shd w:val="clear" w:color="auto" w:fill="auto"/>
            <w:noWrap/>
            <w:vAlign w:val="center"/>
            <w:hideMark/>
          </w:tcPr>
          <w:p w14:paraId="3A767FF5" w14:textId="5EF590EC"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21 (2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8)</w:t>
            </w:r>
          </w:p>
        </w:tc>
        <w:tc>
          <w:tcPr>
            <w:tcW w:w="1046" w:type="dxa"/>
            <w:tcBorders>
              <w:top w:val="nil"/>
              <w:left w:val="nil"/>
              <w:bottom w:val="single" w:sz="4" w:space="0" w:color="auto"/>
              <w:right w:val="nil"/>
            </w:tcBorders>
            <w:shd w:val="clear" w:color="auto" w:fill="auto"/>
            <w:noWrap/>
            <w:vAlign w:val="center"/>
            <w:hideMark/>
          </w:tcPr>
          <w:p w14:paraId="6F17B0EB" w14:textId="0DC59AE9"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21 (2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7)</w:t>
            </w:r>
          </w:p>
        </w:tc>
        <w:tc>
          <w:tcPr>
            <w:tcW w:w="1045" w:type="dxa"/>
            <w:tcBorders>
              <w:top w:val="nil"/>
              <w:left w:val="nil"/>
              <w:bottom w:val="single" w:sz="4" w:space="0" w:color="auto"/>
              <w:right w:val="nil"/>
            </w:tcBorders>
            <w:shd w:val="clear" w:color="auto" w:fill="auto"/>
            <w:noWrap/>
            <w:vAlign w:val="center"/>
            <w:hideMark/>
          </w:tcPr>
          <w:p w14:paraId="7AEB1C2E" w14:textId="70D482B5"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24 (3</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6" w:type="dxa"/>
            <w:tcBorders>
              <w:top w:val="nil"/>
              <w:left w:val="nil"/>
              <w:bottom w:val="single" w:sz="4" w:space="0" w:color="auto"/>
              <w:right w:val="single" w:sz="4" w:space="0" w:color="auto"/>
            </w:tcBorders>
            <w:shd w:val="clear" w:color="auto" w:fill="auto"/>
            <w:noWrap/>
            <w:vAlign w:val="center"/>
            <w:hideMark/>
          </w:tcPr>
          <w:p w14:paraId="28A517CF" w14:textId="23A73E16"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15 (2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1)</w:t>
            </w:r>
          </w:p>
        </w:tc>
      </w:tr>
      <w:tr w:rsidR="00E32B0A" w:rsidRPr="00E32B0A" w14:paraId="1D2E9CB8"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D28469"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Primiparous</w:t>
            </w:r>
          </w:p>
        </w:tc>
      </w:tr>
      <w:tr w:rsidR="00E32B0A" w:rsidRPr="00DC34FA" w14:paraId="10215506"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03EF9F7"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nil"/>
              <w:left w:val="nil"/>
              <w:bottom w:val="single" w:sz="4" w:space="0" w:color="auto"/>
              <w:right w:val="nil"/>
            </w:tcBorders>
            <w:shd w:val="clear" w:color="auto" w:fill="auto"/>
            <w:noWrap/>
            <w:vAlign w:val="center"/>
            <w:hideMark/>
          </w:tcPr>
          <w:p w14:paraId="2B083845" w14:textId="62058DDC"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233 (57</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8)</w:t>
            </w:r>
          </w:p>
        </w:tc>
        <w:tc>
          <w:tcPr>
            <w:tcW w:w="1045" w:type="dxa"/>
            <w:tcBorders>
              <w:top w:val="nil"/>
              <w:left w:val="nil"/>
              <w:bottom w:val="single" w:sz="4" w:space="0" w:color="auto"/>
              <w:right w:val="nil"/>
            </w:tcBorders>
            <w:shd w:val="clear" w:color="auto" w:fill="auto"/>
            <w:noWrap/>
            <w:vAlign w:val="center"/>
            <w:hideMark/>
          </w:tcPr>
          <w:p w14:paraId="75638A1A" w14:textId="0A200FC9"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315 (56</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6" w:type="dxa"/>
            <w:tcBorders>
              <w:top w:val="nil"/>
              <w:left w:val="nil"/>
              <w:bottom w:val="single" w:sz="4" w:space="0" w:color="auto"/>
              <w:right w:val="nil"/>
            </w:tcBorders>
            <w:shd w:val="clear" w:color="auto" w:fill="auto"/>
            <w:noWrap/>
            <w:vAlign w:val="center"/>
            <w:hideMark/>
          </w:tcPr>
          <w:p w14:paraId="06B5FBE3" w14:textId="0B0A43DA"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319 (55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7)</w:t>
            </w:r>
          </w:p>
        </w:tc>
        <w:tc>
          <w:tcPr>
            <w:tcW w:w="1045" w:type="dxa"/>
            <w:tcBorders>
              <w:top w:val="nil"/>
              <w:left w:val="nil"/>
              <w:bottom w:val="single" w:sz="4" w:space="0" w:color="auto"/>
              <w:right w:val="nil"/>
            </w:tcBorders>
            <w:shd w:val="clear" w:color="auto" w:fill="auto"/>
            <w:noWrap/>
            <w:vAlign w:val="center"/>
            <w:hideMark/>
          </w:tcPr>
          <w:p w14:paraId="0E8CF16F" w14:textId="23D9ADA8"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351 (51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5" w:type="dxa"/>
            <w:tcBorders>
              <w:top w:val="nil"/>
              <w:left w:val="nil"/>
              <w:bottom w:val="single" w:sz="4" w:space="0" w:color="auto"/>
              <w:right w:val="nil"/>
            </w:tcBorders>
            <w:shd w:val="clear" w:color="auto" w:fill="auto"/>
            <w:noWrap/>
            <w:vAlign w:val="center"/>
            <w:hideMark/>
          </w:tcPr>
          <w:p w14:paraId="5016EB1E" w14:textId="70E7C6FE"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423 (55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6" w:type="dxa"/>
            <w:tcBorders>
              <w:top w:val="nil"/>
              <w:left w:val="nil"/>
              <w:bottom w:val="single" w:sz="4" w:space="0" w:color="auto"/>
              <w:right w:val="nil"/>
            </w:tcBorders>
            <w:shd w:val="clear" w:color="auto" w:fill="auto"/>
            <w:noWrap/>
            <w:vAlign w:val="center"/>
            <w:hideMark/>
          </w:tcPr>
          <w:p w14:paraId="1A46B5CB" w14:textId="06C9EAA0"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363 (47</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1)</w:t>
            </w:r>
          </w:p>
        </w:tc>
        <w:tc>
          <w:tcPr>
            <w:tcW w:w="1045" w:type="dxa"/>
            <w:tcBorders>
              <w:top w:val="nil"/>
              <w:left w:val="nil"/>
              <w:bottom w:val="single" w:sz="4" w:space="0" w:color="auto"/>
              <w:right w:val="nil"/>
            </w:tcBorders>
            <w:shd w:val="clear" w:color="auto" w:fill="auto"/>
            <w:noWrap/>
            <w:vAlign w:val="center"/>
            <w:hideMark/>
          </w:tcPr>
          <w:p w14:paraId="25B8E2B2" w14:textId="0B3AA26B"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334 (45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6" w:type="dxa"/>
            <w:tcBorders>
              <w:top w:val="nil"/>
              <w:left w:val="nil"/>
              <w:bottom w:val="single" w:sz="4" w:space="0" w:color="auto"/>
              <w:right w:val="single" w:sz="4" w:space="0" w:color="auto"/>
            </w:tcBorders>
            <w:shd w:val="clear" w:color="auto" w:fill="auto"/>
            <w:noWrap/>
            <w:vAlign w:val="center"/>
            <w:hideMark/>
          </w:tcPr>
          <w:p w14:paraId="40DD981D" w14:textId="63758F60"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373 (51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9)</w:t>
            </w:r>
          </w:p>
        </w:tc>
      </w:tr>
      <w:tr w:rsidR="00E32B0A" w:rsidRPr="00E32B0A" w14:paraId="24D60F69"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C77B67"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Smoking during pregnancy</w:t>
            </w:r>
          </w:p>
        </w:tc>
      </w:tr>
      <w:tr w:rsidR="00E32B0A" w:rsidRPr="007B6B22" w14:paraId="7FCFD335"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31A05B0" w14:textId="77777777" w:rsidR="00E32B0A" w:rsidRPr="007B6B22" w:rsidRDefault="00E32B0A" w:rsidP="00E32B0A">
            <w:pPr>
              <w:rPr>
                <w:rFonts w:ascii="Arial" w:eastAsia="Times New Roman" w:hAnsi="Arial" w:cs="Arial"/>
                <w:color w:val="000000"/>
                <w:sz w:val="20"/>
                <w:szCs w:val="20"/>
              </w:rPr>
            </w:pPr>
            <w:r w:rsidRPr="007B6B22">
              <w:rPr>
                <w:rFonts w:ascii="Arial" w:eastAsia="Times New Roman" w:hAnsi="Arial" w:cs="Arial"/>
                <w:color w:val="000000"/>
                <w:sz w:val="20"/>
                <w:szCs w:val="20"/>
              </w:rPr>
              <w:t>Count (%)</w:t>
            </w:r>
          </w:p>
        </w:tc>
        <w:tc>
          <w:tcPr>
            <w:tcW w:w="1045" w:type="dxa"/>
            <w:tcBorders>
              <w:top w:val="nil"/>
              <w:left w:val="nil"/>
              <w:bottom w:val="single" w:sz="4" w:space="0" w:color="auto"/>
              <w:right w:val="nil"/>
            </w:tcBorders>
            <w:shd w:val="clear" w:color="auto" w:fill="auto"/>
            <w:noWrap/>
            <w:vAlign w:val="center"/>
            <w:hideMark/>
          </w:tcPr>
          <w:p w14:paraId="585902E8" w14:textId="300A5208" w:rsidR="00E32B0A" w:rsidRPr="00903106" w:rsidRDefault="00E32B0A" w:rsidP="000A3BC9">
            <w:pPr>
              <w:jc w:val="center"/>
              <w:rPr>
                <w:rFonts w:ascii="Arial" w:eastAsia="Times New Roman" w:hAnsi="Arial" w:cs="Arial"/>
                <w:color w:val="000000"/>
                <w:sz w:val="20"/>
                <w:szCs w:val="20"/>
              </w:rPr>
            </w:pPr>
            <w:r w:rsidRPr="007B6B22">
              <w:rPr>
                <w:rFonts w:ascii="Arial" w:eastAsia="Times New Roman" w:hAnsi="Arial" w:cs="Arial"/>
                <w:color w:val="000000"/>
                <w:sz w:val="20"/>
                <w:szCs w:val="20"/>
              </w:rPr>
              <w:t>54 (13</w:t>
            </w:r>
            <w:r w:rsidR="00537E47" w:rsidRPr="007B6B22">
              <w:rPr>
                <w:rFonts w:ascii="Arial" w:eastAsia="Times New Roman" w:hAnsi="Arial" w:cs="Arial"/>
                <w:color w:val="000000"/>
                <w:sz w:val="20"/>
                <w:szCs w:val="20"/>
              </w:rPr>
              <w:t>.</w:t>
            </w:r>
            <w:r w:rsidRPr="007B6B22">
              <w:rPr>
                <w:rFonts w:ascii="Arial" w:eastAsia="Times New Roman" w:hAnsi="Arial" w:cs="Arial"/>
                <w:color w:val="000000"/>
                <w:sz w:val="20"/>
                <w:szCs w:val="20"/>
              </w:rPr>
              <w:t>4)</w:t>
            </w:r>
          </w:p>
        </w:tc>
        <w:tc>
          <w:tcPr>
            <w:tcW w:w="1045" w:type="dxa"/>
            <w:tcBorders>
              <w:top w:val="nil"/>
              <w:left w:val="nil"/>
              <w:bottom w:val="single" w:sz="4" w:space="0" w:color="auto"/>
              <w:right w:val="nil"/>
            </w:tcBorders>
            <w:shd w:val="clear" w:color="auto" w:fill="auto"/>
            <w:noWrap/>
            <w:vAlign w:val="center"/>
            <w:hideMark/>
          </w:tcPr>
          <w:p w14:paraId="69D1738B" w14:textId="16F9D5ED"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81 (14</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5)</w:t>
            </w:r>
          </w:p>
        </w:tc>
        <w:tc>
          <w:tcPr>
            <w:tcW w:w="1046" w:type="dxa"/>
            <w:tcBorders>
              <w:top w:val="nil"/>
              <w:left w:val="nil"/>
              <w:bottom w:val="single" w:sz="4" w:space="0" w:color="auto"/>
              <w:right w:val="nil"/>
            </w:tcBorders>
            <w:shd w:val="clear" w:color="auto" w:fill="auto"/>
            <w:noWrap/>
            <w:vAlign w:val="center"/>
            <w:hideMark/>
          </w:tcPr>
          <w:p w14:paraId="234A7F9A" w14:textId="0990907C"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73 (12</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7)</w:t>
            </w:r>
          </w:p>
        </w:tc>
        <w:tc>
          <w:tcPr>
            <w:tcW w:w="1045" w:type="dxa"/>
            <w:tcBorders>
              <w:top w:val="nil"/>
              <w:left w:val="nil"/>
              <w:bottom w:val="single" w:sz="4" w:space="0" w:color="auto"/>
              <w:right w:val="nil"/>
            </w:tcBorders>
            <w:shd w:val="clear" w:color="auto" w:fill="auto"/>
            <w:noWrap/>
            <w:vAlign w:val="center"/>
            <w:hideMark/>
          </w:tcPr>
          <w:p w14:paraId="7C0E0431" w14:textId="0A039F0C"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88 (12</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9)</w:t>
            </w:r>
          </w:p>
        </w:tc>
        <w:tc>
          <w:tcPr>
            <w:tcW w:w="1045" w:type="dxa"/>
            <w:tcBorders>
              <w:top w:val="nil"/>
              <w:left w:val="nil"/>
              <w:bottom w:val="single" w:sz="4" w:space="0" w:color="auto"/>
              <w:right w:val="nil"/>
            </w:tcBorders>
            <w:shd w:val="clear" w:color="auto" w:fill="auto"/>
            <w:noWrap/>
            <w:vAlign w:val="center"/>
            <w:hideMark/>
          </w:tcPr>
          <w:p w14:paraId="40C3D66B" w14:textId="47F9331A"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105 (13</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8)</w:t>
            </w:r>
          </w:p>
        </w:tc>
        <w:tc>
          <w:tcPr>
            <w:tcW w:w="1046" w:type="dxa"/>
            <w:tcBorders>
              <w:top w:val="nil"/>
              <w:left w:val="nil"/>
              <w:bottom w:val="single" w:sz="4" w:space="0" w:color="auto"/>
              <w:right w:val="nil"/>
            </w:tcBorders>
            <w:shd w:val="clear" w:color="auto" w:fill="auto"/>
            <w:noWrap/>
            <w:vAlign w:val="center"/>
            <w:hideMark/>
          </w:tcPr>
          <w:p w14:paraId="3405A236" w14:textId="3E2A3893"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88 (11</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4)</w:t>
            </w:r>
          </w:p>
        </w:tc>
        <w:tc>
          <w:tcPr>
            <w:tcW w:w="1045" w:type="dxa"/>
            <w:tcBorders>
              <w:top w:val="nil"/>
              <w:left w:val="nil"/>
              <w:bottom w:val="single" w:sz="4" w:space="0" w:color="auto"/>
              <w:right w:val="nil"/>
            </w:tcBorders>
            <w:shd w:val="clear" w:color="auto" w:fill="auto"/>
            <w:noWrap/>
            <w:vAlign w:val="center"/>
            <w:hideMark/>
          </w:tcPr>
          <w:p w14:paraId="572CB534" w14:textId="74C927DB"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95 (12</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9)</w:t>
            </w:r>
          </w:p>
        </w:tc>
        <w:tc>
          <w:tcPr>
            <w:tcW w:w="1046" w:type="dxa"/>
            <w:tcBorders>
              <w:top w:val="nil"/>
              <w:left w:val="nil"/>
              <w:bottom w:val="single" w:sz="4" w:space="0" w:color="auto"/>
              <w:right w:val="single" w:sz="4" w:space="0" w:color="auto"/>
            </w:tcBorders>
            <w:shd w:val="clear" w:color="auto" w:fill="auto"/>
            <w:noWrap/>
            <w:vAlign w:val="center"/>
            <w:hideMark/>
          </w:tcPr>
          <w:p w14:paraId="69305F95" w14:textId="640AEF32" w:rsidR="00E32B0A" w:rsidRPr="00903106" w:rsidRDefault="00E32B0A" w:rsidP="000A3BC9">
            <w:pPr>
              <w:jc w:val="center"/>
              <w:rPr>
                <w:rFonts w:ascii="Arial" w:eastAsia="Times New Roman" w:hAnsi="Arial" w:cs="Arial"/>
                <w:color w:val="000000"/>
                <w:sz w:val="20"/>
                <w:szCs w:val="20"/>
              </w:rPr>
            </w:pPr>
            <w:r w:rsidRPr="00903106">
              <w:rPr>
                <w:rFonts w:ascii="Arial" w:eastAsia="Times New Roman" w:hAnsi="Arial" w:cs="Arial"/>
                <w:color w:val="000000"/>
                <w:sz w:val="20"/>
                <w:szCs w:val="20"/>
              </w:rPr>
              <w:t>63 (8</w:t>
            </w:r>
            <w:r w:rsidR="00537E47" w:rsidRPr="00903106">
              <w:rPr>
                <w:rFonts w:ascii="Arial" w:eastAsia="Times New Roman" w:hAnsi="Arial" w:cs="Arial"/>
                <w:color w:val="000000"/>
                <w:sz w:val="20"/>
                <w:szCs w:val="20"/>
              </w:rPr>
              <w:t>.</w:t>
            </w:r>
            <w:r w:rsidRPr="00903106">
              <w:rPr>
                <w:rFonts w:ascii="Arial" w:eastAsia="Times New Roman" w:hAnsi="Arial" w:cs="Arial"/>
                <w:color w:val="000000"/>
                <w:sz w:val="20"/>
                <w:szCs w:val="20"/>
              </w:rPr>
              <w:t>8)</w:t>
            </w:r>
          </w:p>
        </w:tc>
      </w:tr>
      <w:tr w:rsidR="007B6B22" w:rsidRPr="007B6B22" w14:paraId="59A9E1D8" w14:textId="77777777" w:rsidTr="000A3BC9">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176A5" w14:textId="61BC3AA2" w:rsidR="007B6B22" w:rsidRPr="007B6B22" w:rsidRDefault="007B6B22">
            <w:pPr>
              <w:rPr>
                <w:rFonts w:ascii="Arial" w:hAnsi="Arial" w:cs="Arial"/>
                <w:color w:val="000000"/>
                <w:sz w:val="20"/>
                <w:szCs w:val="20"/>
              </w:rPr>
            </w:pPr>
            <w:r w:rsidRPr="007B6B22">
              <w:rPr>
                <w:rFonts w:ascii="Arial" w:hAnsi="Arial" w:cs="Arial"/>
                <w:color w:val="000000"/>
                <w:sz w:val="20"/>
                <w:szCs w:val="20"/>
              </w:rPr>
              <w:t>Missing (%)</w:t>
            </w:r>
          </w:p>
        </w:tc>
        <w:tc>
          <w:tcPr>
            <w:tcW w:w="1045" w:type="dxa"/>
            <w:tcBorders>
              <w:top w:val="single" w:sz="4" w:space="0" w:color="auto"/>
              <w:left w:val="single" w:sz="4" w:space="0" w:color="auto"/>
              <w:bottom w:val="single" w:sz="4" w:space="0" w:color="auto"/>
              <w:right w:val="nil"/>
            </w:tcBorders>
            <w:shd w:val="clear" w:color="auto" w:fill="auto"/>
            <w:noWrap/>
            <w:vAlign w:val="center"/>
            <w:hideMark/>
          </w:tcPr>
          <w:p w14:paraId="61016770" w14:textId="75D6ECC3" w:rsidR="007B6B22" w:rsidRPr="007B6B22" w:rsidRDefault="007B6B22" w:rsidP="000A3BC9">
            <w:pPr>
              <w:jc w:val="center"/>
              <w:rPr>
                <w:rFonts w:ascii="Arial" w:hAnsi="Arial" w:cs="Arial"/>
                <w:color w:val="000000"/>
                <w:sz w:val="20"/>
                <w:szCs w:val="20"/>
              </w:rPr>
            </w:pPr>
            <w:r w:rsidRPr="007B6B22">
              <w:rPr>
                <w:rFonts w:ascii="Arial" w:hAnsi="Arial" w:cs="Arial"/>
                <w:color w:val="000000"/>
                <w:sz w:val="20"/>
                <w:szCs w:val="20"/>
              </w:rPr>
              <w:t>15.1</w:t>
            </w:r>
          </w:p>
        </w:tc>
        <w:tc>
          <w:tcPr>
            <w:tcW w:w="1045" w:type="dxa"/>
            <w:tcBorders>
              <w:top w:val="single" w:sz="4" w:space="0" w:color="auto"/>
              <w:left w:val="nil"/>
              <w:bottom w:val="single" w:sz="4" w:space="0" w:color="auto"/>
              <w:right w:val="nil"/>
            </w:tcBorders>
            <w:shd w:val="clear" w:color="auto" w:fill="auto"/>
            <w:noWrap/>
            <w:vAlign w:val="center"/>
            <w:hideMark/>
          </w:tcPr>
          <w:p w14:paraId="0DEA292E" w14:textId="2151C097" w:rsidR="007B6B22" w:rsidRPr="002E0193" w:rsidRDefault="007B6B22" w:rsidP="000A3BC9">
            <w:pPr>
              <w:jc w:val="center"/>
              <w:rPr>
                <w:rFonts w:ascii="Arial" w:hAnsi="Arial" w:cs="Arial"/>
                <w:color w:val="000000"/>
                <w:sz w:val="20"/>
                <w:szCs w:val="20"/>
              </w:rPr>
            </w:pPr>
            <w:r w:rsidRPr="007B6B22">
              <w:rPr>
                <w:rFonts w:ascii="Arial" w:hAnsi="Arial" w:cs="Arial"/>
                <w:color w:val="000000"/>
                <w:sz w:val="20"/>
                <w:szCs w:val="20"/>
              </w:rPr>
              <w:t>11.7</w:t>
            </w:r>
          </w:p>
        </w:tc>
        <w:tc>
          <w:tcPr>
            <w:tcW w:w="1046" w:type="dxa"/>
            <w:tcBorders>
              <w:top w:val="single" w:sz="4" w:space="0" w:color="auto"/>
              <w:left w:val="nil"/>
              <w:bottom w:val="single" w:sz="4" w:space="0" w:color="auto"/>
              <w:right w:val="nil"/>
            </w:tcBorders>
            <w:shd w:val="clear" w:color="auto" w:fill="auto"/>
            <w:noWrap/>
            <w:vAlign w:val="center"/>
            <w:hideMark/>
          </w:tcPr>
          <w:p w14:paraId="6B3A75FE" w14:textId="7BE64373" w:rsidR="007B6B22" w:rsidRPr="000A40D1" w:rsidRDefault="007B6B22" w:rsidP="000A3BC9">
            <w:pPr>
              <w:jc w:val="center"/>
              <w:rPr>
                <w:rFonts w:ascii="Arial" w:hAnsi="Arial" w:cs="Arial"/>
                <w:color w:val="000000"/>
                <w:sz w:val="20"/>
                <w:szCs w:val="20"/>
              </w:rPr>
            </w:pPr>
            <w:r w:rsidRPr="000A40D1">
              <w:rPr>
                <w:rFonts w:ascii="Arial" w:hAnsi="Arial" w:cs="Arial"/>
                <w:color w:val="000000"/>
                <w:sz w:val="20"/>
                <w:szCs w:val="20"/>
              </w:rPr>
              <w:t>12.</w:t>
            </w:r>
            <w:r w:rsidR="008656C2">
              <w:rPr>
                <w:rFonts w:ascii="Arial" w:hAnsi="Arial" w:cs="Arial"/>
                <w:color w:val="000000"/>
                <w:sz w:val="20"/>
                <w:szCs w:val="20"/>
              </w:rPr>
              <w:t>6</w:t>
            </w:r>
          </w:p>
        </w:tc>
        <w:tc>
          <w:tcPr>
            <w:tcW w:w="1045" w:type="dxa"/>
            <w:tcBorders>
              <w:top w:val="single" w:sz="4" w:space="0" w:color="auto"/>
              <w:left w:val="nil"/>
              <w:bottom w:val="single" w:sz="4" w:space="0" w:color="auto"/>
              <w:right w:val="nil"/>
            </w:tcBorders>
            <w:shd w:val="clear" w:color="auto" w:fill="auto"/>
            <w:noWrap/>
            <w:vAlign w:val="center"/>
            <w:hideMark/>
          </w:tcPr>
          <w:p w14:paraId="3CCD7886" w14:textId="3293E293" w:rsidR="007B6B22" w:rsidRPr="007B6B22" w:rsidRDefault="007B6B22" w:rsidP="000A3BC9">
            <w:pPr>
              <w:jc w:val="center"/>
              <w:rPr>
                <w:rFonts w:ascii="Arial" w:hAnsi="Arial" w:cs="Arial"/>
                <w:color w:val="000000"/>
                <w:sz w:val="20"/>
                <w:szCs w:val="20"/>
              </w:rPr>
            </w:pPr>
            <w:r w:rsidRPr="007B6B22">
              <w:rPr>
                <w:rFonts w:ascii="Arial" w:hAnsi="Arial" w:cs="Arial"/>
                <w:color w:val="000000"/>
                <w:sz w:val="20"/>
                <w:szCs w:val="20"/>
              </w:rPr>
              <w:t>10.7</w:t>
            </w:r>
          </w:p>
        </w:tc>
        <w:tc>
          <w:tcPr>
            <w:tcW w:w="1045" w:type="dxa"/>
            <w:tcBorders>
              <w:top w:val="single" w:sz="4" w:space="0" w:color="auto"/>
              <w:left w:val="nil"/>
              <w:bottom w:val="single" w:sz="4" w:space="0" w:color="auto"/>
              <w:right w:val="nil"/>
            </w:tcBorders>
            <w:shd w:val="clear" w:color="auto" w:fill="auto"/>
            <w:noWrap/>
            <w:vAlign w:val="center"/>
            <w:hideMark/>
          </w:tcPr>
          <w:p w14:paraId="31959235" w14:textId="24BCBB1B" w:rsidR="007B6B22" w:rsidRPr="007B6B22" w:rsidRDefault="007B6B22" w:rsidP="000A3BC9">
            <w:pPr>
              <w:jc w:val="center"/>
              <w:rPr>
                <w:rFonts w:ascii="Arial" w:hAnsi="Arial" w:cs="Arial"/>
                <w:color w:val="000000"/>
                <w:sz w:val="20"/>
                <w:szCs w:val="20"/>
              </w:rPr>
            </w:pPr>
            <w:r w:rsidRPr="007B6B22">
              <w:rPr>
                <w:rFonts w:ascii="Arial" w:hAnsi="Arial" w:cs="Arial"/>
                <w:color w:val="000000"/>
                <w:sz w:val="20"/>
                <w:szCs w:val="20"/>
              </w:rPr>
              <w:t>12.8</w:t>
            </w:r>
          </w:p>
        </w:tc>
        <w:tc>
          <w:tcPr>
            <w:tcW w:w="1046" w:type="dxa"/>
            <w:tcBorders>
              <w:top w:val="single" w:sz="4" w:space="0" w:color="auto"/>
              <w:left w:val="nil"/>
              <w:bottom w:val="single" w:sz="4" w:space="0" w:color="auto"/>
              <w:right w:val="nil"/>
            </w:tcBorders>
            <w:shd w:val="clear" w:color="auto" w:fill="auto"/>
            <w:noWrap/>
            <w:vAlign w:val="center"/>
            <w:hideMark/>
          </w:tcPr>
          <w:p w14:paraId="5216D9D0" w14:textId="20EFEABE" w:rsidR="007B6B22" w:rsidRPr="007B6B22" w:rsidRDefault="007B6B22" w:rsidP="000A3BC9">
            <w:pPr>
              <w:jc w:val="center"/>
              <w:rPr>
                <w:rFonts w:ascii="Arial" w:hAnsi="Arial" w:cs="Arial"/>
                <w:color w:val="000000"/>
                <w:sz w:val="20"/>
                <w:szCs w:val="20"/>
              </w:rPr>
            </w:pPr>
            <w:r w:rsidRPr="007B6B22">
              <w:rPr>
                <w:rFonts w:ascii="Arial" w:hAnsi="Arial" w:cs="Arial"/>
                <w:color w:val="000000"/>
                <w:sz w:val="20"/>
                <w:szCs w:val="20"/>
              </w:rPr>
              <w:t>14.</w:t>
            </w:r>
            <w:r w:rsidR="008656C2">
              <w:rPr>
                <w:rFonts w:ascii="Arial" w:hAnsi="Arial" w:cs="Arial"/>
                <w:color w:val="000000"/>
                <w:sz w:val="20"/>
                <w:szCs w:val="20"/>
              </w:rPr>
              <w:t>3</w:t>
            </w:r>
          </w:p>
        </w:tc>
        <w:tc>
          <w:tcPr>
            <w:tcW w:w="1045" w:type="dxa"/>
            <w:tcBorders>
              <w:top w:val="single" w:sz="4" w:space="0" w:color="auto"/>
              <w:left w:val="nil"/>
              <w:bottom w:val="single" w:sz="4" w:space="0" w:color="auto"/>
              <w:right w:val="nil"/>
            </w:tcBorders>
            <w:shd w:val="clear" w:color="auto" w:fill="auto"/>
            <w:noWrap/>
            <w:vAlign w:val="center"/>
            <w:hideMark/>
          </w:tcPr>
          <w:p w14:paraId="51AEE33E" w14:textId="2C74FFDB" w:rsidR="007B6B22" w:rsidRPr="007B6B22" w:rsidRDefault="007B6B22" w:rsidP="000A3BC9">
            <w:pPr>
              <w:jc w:val="center"/>
              <w:rPr>
                <w:rFonts w:ascii="Arial" w:hAnsi="Arial" w:cs="Arial"/>
                <w:color w:val="000000"/>
                <w:sz w:val="20"/>
                <w:szCs w:val="20"/>
              </w:rPr>
            </w:pPr>
            <w:r w:rsidRPr="007B6B22">
              <w:rPr>
                <w:rFonts w:ascii="Arial" w:hAnsi="Arial" w:cs="Arial"/>
                <w:color w:val="000000"/>
                <w:sz w:val="20"/>
                <w:szCs w:val="20"/>
              </w:rPr>
              <w:t>12.</w:t>
            </w:r>
            <w:r w:rsidR="008656C2">
              <w:rPr>
                <w:rFonts w:ascii="Arial" w:hAnsi="Arial" w:cs="Arial"/>
                <w:color w:val="000000"/>
                <w:sz w:val="20"/>
                <w:szCs w:val="20"/>
              </w:rPr>
              <w:t>7</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3D50A3D4" w14:textId="4A76B943" w:rsidR="007B6B22" w:rsidRPr="007B6B22" w:rsidRDefault="007B6B22" w:rsidP="000A3BC9">
            <w:pPr>
              <w:jc w:val="center"/>
              <w:rPr>
                <w:rFonts w:ascii="Arial" w:hAnsi="Arial" w:cs="Arial"/>
                <w:color w:val="000000"/>
                <w:sz w:val="20"/>
                <w:szCs w:val="20"/>
              </w:rPr>
            </w:pPr>
            <w:r w:rsidRPr="007B6B22">
              <w:rPr>
                <w:rFonts w:ascii="Arial" w:hAnsi="Arial" w:cs="Arial"/>
                <w:color w:val="000000"/>
                <w:sz w:val="20"/>
                <w:szCs w:val="20"/>
              </w:rPr>
              <w:t>1</w:t>
            </w:r>
            <w:r w:rsidR="008656C2">
              <w:rPr>
                <w:rFonts w:ascii="Arial" w:hAnsi="Arial" w:cs="Arial"/>
                <w:color w:val="000000"/>
                <w:sz w:val="20"/>
                <w:szCs w:val="20"/>
              </w:rPr>
              <w:t>6.0</w:t>
            </w:r>
          </w:p>
        </w:tc>
      </w:tr>
      <w:tr w:rsidR="00E32B0A" w:rsidRPr="007B6B22" w14:paraId="42489FB3"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14:paraId="62E690A9" w14:textId="77777777" w:rsidR="00E32B0A" w:rsidRPr="007B6B22" w:rsidRDefault="00E32B0A" w:rsidP="00E32B0A">
            <w:pPr>
              <w:rPr>
                <w:rFonts w:ascii="Arial" w:eastAsia="Times New Roman" w:hAnsi="Arial" w:cs="Arial"/>
                <w:b/>
                <w:bCs/>
                <w:color w:val="000000"/>
                <w:sz w:val="20"/>
                <w:szCs w:val="20"/>
              </w:rPr>
            </w:pPr>
            <w:r w:rsidRPr="007B6B22">
              <w:rPr>
                <w:rFonts w:ascii="Arial" w:eastAsia="Times New Roman" w:hAnsi="Arial" w:cs="Arial"/>
                <w:b/>
                <w:bCs/>
                <w:color w:val="000000"/>
                <w:sz w:val="20"/>
                <w:szCs w:val="20"/>
              </w:rPr>
              <w:t>Intrapartum antibiotics given</w:t>
            </w:r>
          </w:p>
        </w:tc>
      </w:tr>
      <w:tr w:rsidR="00E32B0A" w:rsidRPr="00DC34FA" w14:paraId="56323831"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7237CFA"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nil"/>
              <w:left w:val="nil"/>
              <w:bottom w:val="single" w:sz="4" w:space="0" w:color="auto"/>
              <w:right w:val="nil"/>
            </w:tcBorders>
            <w:shd w:val="clear" w:color="auto" w:fill="auto"/>
            <w:noWrap/>
            <w:vAlign w:val="center"/>
            <w:hideMark/>
          </w:tcPr>
          <w:p w14:paraId="277E72B1" w14:textId="12874E1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42 (10</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5" w:type="dxa"/>
            <w:tcBorders>
              <w:top w:val="nil"/>
              <w:left w:val="nil"/>
              <w:bottom w:val="single" w:sz="4" w:space="0" w:color="auto"/>
              <w:right w:val="nil"/>
            </w:tcBorders>
            <w:shd w:val="clear" w:color="auto" w:fill="auto"/>
            <w:noWrap/>
            <w:vAlign w:val="center"/>
            <w:hideMark/>
          </w:tcPr>
          <w:p w14:paraId="3902AB1F" w14:textId="6BCADA82"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61 (11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6" w:type="dxa"/>
            <w:tcBorders>
              <w:top w:val="nil"/>
              <w:left w:val="nil"/>
              <w:bottom w:val="single" w:sz="4" w:space="0" w:color="auto"/>
              <w:right w:val="nil"/>
            </w:tcBorders>
            <w:shd w:val="clear" w:color="auto" w:fill="auto"/>
            <w:noWrap/>
            <w:vAlign w:val="center"/>
            <w:hideMark/>
          </w:tcPr>
          <w:p w14:paraId="366B8E4B" w14:textId="602DA27D"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65 (11</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5" w:type="dxa"/>
            <w:tcBorders>
              <w:top w:val="nil"/>
              <w:left w:val="nil"/>
              <w:bottom w:val="single" w:sz="4" w:space="0" w:color="auto"/>
              <w:right w:val="nil"/>
            </w:tcBorders>
            <w:shd w:val="clear" w:color="auto" w:fill="auto"/>
            <w:noWrap/>
            <w:vAlign w:val="center"/>
            <w:hideMark/>
          </w:tcPr>
          <w:p w14:paraId="573E9867" w14:textId="51BF7997"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71 (10</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5" w:type="dxa"/>
            <w:tcBorders>
              <w:top w:val="nil"/>
              <w:left w:val="nil"/>
              <w:bottom w:val="single" w:sz="4" w:space="0" w:color="auto"/>
              <w:right w:val="nil"/>
            </w:tcBorders>
            <w:shd w:val="clear" w:color="auto" w:fill="auto"/>
            <w:noWrap/>
            <w:vAlign w:val="center"/>
            <w:hideMark/>
          </w:tcPr>
          <w:p w14:paraId="17699A5C" w14:textId="39A86A13"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96 (12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6" w:type="dxa"/>
            <w:tcBorders>
              <w:top w:val="nil"/>
              <w:left w:val="nil"/>
              <w:bottom w:val="single" w:sz="4" w:space="0" w:color="auto"/>
              <w:right w:val="nil"/>
            </w:tcBorders>
            <w:shd w:val="clear" w:color="auto" w:fill="auto"/>
            <w:noWrap/>
            <w:vAlign w:val="center"/>
            <w:hideMark/>
          </w:tcPr>
          <w:p w14:paraId="49538753" w14:textId="0CFA3B0A"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66 (8</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6)</w:t>
            </w:r>
          </w:p>
        </w:tc>
        <w:tc>
          <w:tcPr>
            <w:tcW w:w="1045" w:type="dxa"/>
            <w:tcBorders>
              <w:top w:val="nil"/>
              <w:left w:val="nil"/>
              <w:bottom w:val="single" w:sz="4" w:space="0" w:color="auto"/>
              <w:right w:val="nil"/>
            </w:tcBorders>
            <w:shd w:val="clear" w:color="auto" w:fill="auto"/>
            <w:noWrap/>
            <w:vAlign w:val="center"/>
            <w:hideMark/>
          </w:tcPr>
          <w:p w14:paraId="247B5511" w14:textId="76B7A3D4"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80 (10</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9)</w:t>
            </w:r>
          </w:p>
        </w:tc>
        <w:tc>
          <w:tcPr>
            <w:tcW w:w="1046" w:type="dxa"/>
            <w:tcBorders>
              <w:top w:val="nil"/>
              <w:left w:val="nil"/>
              <w:bottom w:val="single" w:sz="4" w:space="0" w:color="auto"/>
              <w:right w:val="single" w:sz="4" w:space="0" w:color="auto"/>
            </w:tcBorders>
            <w:shd w:val="clear" w:color="auto" w:fill="auto"/>
            <w:noWrap/>
            <w:vAlign w:val="center"/>
            <w:hideMark/>
          </w:tcPr>
          <w:p w14:paraId="2A7B45D1" w14:textId="7E14FADE"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86 (12</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r>
      <w:tr w:rsidR="00E32B0A" w:rsidRPr="00E32B0A" w14:paraId="7D97BB6E" w14:textId="77777777" w:rsidTr="000A3BC9">
        <w:trPr>
          <w:trHeight w:val="340"/>
        </w:trPr>
        <w:tc>
          <w:tcPr>
            <w:tcW w:w="1034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A2A4C3" w14:textId="77777777" w:rsidR="00E32B0A" w:rsidRPr="00E32B0A" w:rsidRDefault="00E32B0A" w:rsidP="00E32B0A">
            <w:pPr>
              <w:rPr>
                <w:rFonts w:ascii="Arial" w:eastAsia="Times New Roman" w:hAnsi="Arial" w:cs="Arial"/>
                <w:b/>
                <w:bCs/>
                <w:color w:val="000000"/>
                <w:sz w:val="20"/>
                <w:szCs w:val="20"/>
              </w:rPr>
            </w:pPr>
            <w:r w:rsidRPr="00E32B0A">
              <w:rPr>
                <w:rFonts w:ascii="Arial" w:eastAsia="Times New Roman" w:hAnsi="Arial" w:cs="Arial"/>
                <w:b/>
                <w:bCs/>
                <w:color w:val="000000"/>
                <w:sz w:val="20"/>
                <w:szCs w:val="20"/>
              </w:rPr>
              <w:t>Maternal pyrexia in labour</w:t>
            </w:r>
          </w:p>
        </w:tc>
      </w:tr>
      <w:tr w:rsidR="00E32B0A" w:rsidRPr="00DC34FA" w14:paraId="25738703" w14:textId="77777777" w:rsidTr="000A3BC9">
        <w:trPr>
          <w:trHeight w:val="34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0FE6F0F" w14:textId="77777777" w:rsidR="00E32B0A" w:rsidRPr="00E32B0A" w:rsidRDefault="00E32B0A" w:rsidP="00E32B0A">
            <w:pPr>
              <w:rPr>
                <w:rFonts w:ascii="Arial" w:eastAsia="Times New Roman" w:hAnsi="Arial" w:cs="Arial"/>
                <w:color w:val="000000"/>
                <w:sz w:val="20"/>
                <w:szCs w:val="20"/>
              </w:rPr>
            </w:pPr>
            <w:r w:rsidRPr="00E32B0A">
              <w:rPr>
                <w:rFonts w:ascii="Arial" w:eastAsia="Times New Roman" w:hAnsi="Arial" w:cs="Arial"/>
                <w:color w:val="000000"/>
                <w:sz w:val="20"/>
                <w:szCs w:val="20"/>
              </w:rPr>
              <w:t>Count (%)</w:t>
            </w:r>
          </w:p>
        </w:tc>
        <w:tc>
          <w:tcPr>
            <w:tcW w:w="1045" w:type="dxa"/>
            <w:tcBorders>
              <w:top w:val="nil"/>
              <w:left w:val="nil"/>
              <w:bottom w:val="single" w:sz="4" w:space="0" w:color="auto"/>
              <w:right w:val="nil"/>
            </w:tcBorders>
            <w:shd w:val="clear" w:color="auto" w:fill="auto"/>
            <w:noWrap/>
            <w:vAlign w:val="center"/>
            <w:hideMark/>
          </w:tcPr>
          <w:p w14:paraId="7BF77547" w14:textId="05E9046C"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22 (5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5)</w:t>
            </w:r>
          </w:p>
        </w:tc>
        <w:tc>
          <w:tcPr>
            <w:tcW w:w="1045" w:type="dxa"/>
            <w:tcBorders>
              <w:top w:val="nil"/>
              <w:left w:val="nil"/>
              <w:bottom w:val="single" w:sz="4" w:space="0" w:color="auto"/>
              <w:right w:val="nil"/>
            </w:tcBorders>
            <w:shd w:val="clear" w:color="auto" w:fill="auto"/>
            <w:noWrap/>
            <w:vAlign w:val="center"/>
            <w:hideMark/>
          </w:tcPr>
          <w:p w14:paraId="5F5B1509" w14:textId="575B5AC1"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28 (5</w:t>
            </w:r>
            <w:r w:rsidR="00537E47">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6" w:type="dxa"/>
            <w:tcBorders>
              <w:top w:val="nil"/>
              <w:left w:val="nil"/>
              <w:bottom w:val="single" w:sz="4" w:space="0" w:color="auto"/>
              <w:right w:val="nil"/>
            </w:tcBorders>
            <w:shd w:val="clear" w:color="auto" w:fill="auto"/>
            <w:noWrap/>
            <w:vAlign w:val="center"/>
            <w:hideMark/>
          </w:tcPr>
          <w:p w14:paraId="4442D801" w14:textId="66B58ECE"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31 (5</w:t>
            </w:r>
            <w:r w:rsidR="00F07888">
              <w:rPr>
                <w:rFonts w:ascii="Arial" w:eastAsia="Times New Roman" w:hAnsi="Arial" w:cs="Arial"/>
                <w:color w:val="000000"/>
                <w:sz w:val="20"/>
                <w:szCs w:val="20"/>
              </w:rPr>
              <w:t>.</w:t>
            </w:r>
            <w:r w:rsidRPr="00E32B0A">
              <w:rPr>
                <w:rFonts w:ascii="Arial" w:eastAsia="Times New Roman" w:hAnsi="Arial" w:cs="Arial"/>
                <w:color w:val="000000"/>
                <w:sz w:val="20"/>
                <w:szCs w:val="20"/>
              </w:rPr>
              <w:t>4)</w:t>
            </w:r>
          </w:p>
        </w:tc>
        <w:tc>
          <w:tcPr>
            <w:tcW w:w="1045" w:type="dxa"/>
            <w:tcBorders>
              <w:top w:val="nil"/>
              <w:left w:val="nil"/>
              <w:bottom w:val="single" w:sz="4" w:space="0" w:color="auto"/>
              <w:right w:val="nil"/>
            </w:tcBorders>
            <w:shd w:val="clear" w:color="auto" w:fill="auto"/>
            <w:noWrap/>
            <w:vAlign w:val="center"/>
            <w:hideMark/>
          </w:tcPr>
          <w:p w14:paraId="5365811E" w14:textId="5E3455DE"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26 (3</w:t>
            </w:r>
            <w:r w:rsidR="00F07888">
              <w:rPr>
                <w:rFonts w:ascii="Arial" w:eastAsia="Times New Roman" w:hAnsi="Arial" w:cs="Arial"/>
                <w:color w:val="000000"/>
                <w:sz w:val="20"/>
                <w:szCs w:val="20"/>
              </w:rPr>
              <w:t>.</w:t>
            </w:r>
            <w:r w:rsidRPr="00E32B0A">
              <w:rPr>
                <w:rFonts w:ascii="Arial" w:eastAsia="Times New Roman" w:hAnsi="Arial" w:cs="Arial"/>
                <w:color w:val="000000"/>
                <w:sz w:val="20"/>
                <w:szCs w:val="20"/>
              </w:rPr>
              <w:t>8)</w:t>
            </w:r>
          </w:p>
        </w:tc>
        <w:tc>
          <w:tcPr>
            <w:tcW w:w="1045" w:type="dxa"/>
            <w:tcBorders>
              <w:top w:val="nil"/>
              <w:left w:val="nil"/>
              <w:bottom w:val="single" w:sz="4" w:space="0" w:color="auto"/>
              <w:right w:val="nil"/>
            </w:tcBorders>
            <w:shd w:val="clear" w:color="auto" w:fill="auto"/>
            <w:noWrap/>
            <w:vAlign w:val="center"/>
            <w:hideMark/>
          </w:tcPr>
          <w:p w14:paraId="7817452B" w14:textId="18CF081B"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53 (7</w:t>
            </w:r>
            <w:r w:rsidR="00F07888">
              <w:rPr>
                <w:rFonts w:ascii="Arial" w:eastAsia="Times New Roman" w:hAnsi="Arial" w:cs="Arial"/>
                <w:color w:val="000000"/>
                <w:sz w:val="20"/>
                <w:szCs w:val="20"/>
              </w:rPr>
              <w:t>.</w:t>
            </w:r>
            <w:r w:rsidRPr="00E32B0A">
              <w:rPr>
                <w:rFonts w:ascii="Arial" w:eastAsia="Times New Roman" w:hAnsi="Arial" w:cs="Arial"/>
                <w:color w:val="000000"/>
                <w:sz w:val="20"/>
                <w:szCs w:val="20"/>
              </w:rPr>
              <w:t>0)</w:t>
            </w:r>
          </w:p>
        </w:tc>
        <w:tc>
          <w:tcPr>
            <w:tcW w:w="1046" w:type="dxa"/>
            <w:tcBorders>
              <w:top w:val="nil"/>
              <w:left w:val="nil"/>
              <w:bottom w:val="single" w:sz="4" w:space="0" w:color="auto"/>
              <w:right w:val="nil"/>
            </w:tcBorders>
            <w:shd w:val="clear" w:color="auto" w:fill="auto"/>
            <w:noWrap/>
            <w:vAlign w:val="center"/>
            <w:hideMark/>
          </w:tcPr>
          <w:p w14:paraId="2FC58AB1" w14:textId="5976C135"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33 (4</w:t>
            </w:r>
            <w:r w:rsidR="00F07888">
              <w:rPr>
                <w:rFonts w:ascii="Arial" w:eastAsia="Times New Roman" w:hAnsi="Arial" w:cs="Arial"/>
                <w:color w:val="000000"/>
                <w:sz w:val="20"/>
                <w:szCs w:val="20"/>
              </w:rPr>
              <w:t>.</w:t>
            </w:r>
            <w:r w:rsidRPr="00E32B0A">
              <w:rPr>
                <w:rFonts w:ascii="Arial" w:eastAsia="Times New Roman" w:hAnsi="Arial" w:cs="Arial"/>
                <w:color w:val="000000"/>
                <w:sz w:val="20"/>
                <w:szCs w:val="20"/>
              </w:rPr>
              <w:t>3)</w:t>
            </w:r>
          </w:p>
        </w:tc>
        <w:tc>
          <w:tcPr>
            <w:tcW w:w="1045" w:type="dxa"/>
            <w:tcBorders>
              <w:top w:val="nil"/>
              <w:left w:val="nil"/>
              <w:bottom w:val="single" w:sz="4" w:space="0" w:color="auto"/>
              <w:right w:val="nil"/>
            </w:tcBorders>
            <w:shd w:val="clear" w:color="auto" w:fill="auto"/>
            <w:noWrap/>
            <w:vAlign w:val="center"/>
            <w:hideMark/>
          </w:tcPr>
          <w:p w14:paraId="48667CBF" w14:textId="3BDF0072"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28 (3</w:t>
            </w:r>
            <w:r w:rsidR="00F07888">
              <w:rPr>
                <w:rFonts w:ascii="Arial" w:eastAsia="Times New Roman" w:hAnsi="Arial" w:cs="Arial"/>
                <w:color w:val="000000"/>
                <w:sz w:val="20"/>
                <w:szCs w:val="20"/>
              </w:rPr>
              <w:t>.</w:t>
            </w:r>
            <w:r w:rsidRPr="00E32B0A">
              <w:rPr>
                <w:rFonts w:ascii="Arial" w:eastAsia="Times New Roman" w:hAnsi="Arial" w:cs="Arial"/>
                <w:color w:val="000000"/>
                <w:sz w:val="20"/>
                <w:szCs w:val="20"/>
              </w:rPr>
              <w:t>8)</w:t>
            </w:r>
          </w:p>
        </w:tc>
        <w:tc>
          <w:tcPr>
            <w:tcW w:w="1046" w:type="dxa"/>
            <w:tcBorders>
              <w:top w:val="nil"/>
              <w:left w:val="nil"/>
              <w:bottom w:val="single" w:sz="4" w:space="0" w:color="auto"/>
              <w:right w:val="single" w:sz="4" w:space="0" w:color="auto"/>
            </w:tcBorders>
            <w:shd w:val="clear" w:color="auto" w:fill="auto"/>
            <w:noWrap/>
            <w:vAlign w:val="center"/>
            <w:hideMark/>
          </w:tcPr>
          <w:p w14:paraId="1ECC7A10" w14:textId="7520E85B" w:rsidR="00E32B0A" w:rsidRPr="00E32B0A" w:rsidRDefault="00E32B0A" w:rsidP="000A3BC9">
            <w:pPr>
              <w:jc w:val="center"/>
              <w:rPr>
                <w:rFonts w:ascii="Arial" w:eastAsia="Times New Roman" w:hAnsi="Arial" w:cs="Arial"/>
                <w:color w:val="000000"/>
                <w:sz w:val="20"/>
                <w:szCs w:val="20"/>
              </w:rPr>
            </w:pPr>
            <w:r w:rsidRPr="00E32B0A">
              <w:rPr>
                <w:rFonts w:ascii="Arial" w:eastAsia="Times New Roman" w:hAnsi="Arial" w:cs="Arial"/>
                <w:color w:val="000000"/>
                <w:sz w:val="20"/>
                <w:szCs w:val="20"/>
              </w:rPr>
              <w:t>44 (6</w:t>
            </w:r>
            <w:r w:rsidR="00F07888">
              <w:rPr>
                <w:rFonts w:ascii="Arial" w:eastAsia="Times New Roman" w:hAnsi="Arial" w:cs="Arial"/>
                <w:color w:val="000000"/>
                <w:sz w:val="20"/>
                <w:szCs w:val="20"/>
              </w:rPr>
              <w:t>.</w:t>
            </w:r>
            <w:r w:rsidRPr="00E32B0A">
              <w:rPr>
                <w:rFonts w:ascii="Arial" w:eastAsia="Times New Roman" w:hAnsi="Arial" w:cs="Arial"/>
                <w:color w:val="000000"/>
                <w:sz w:val="20"/>
                <w:szCs w:val="20"/>
              </w:rPr>
              <w:t>1)</w:t>
            </w:r>
          </w:p>
        </w:tc>
      </w:tr>
    </w:tbl>
    <w:p w14:paraId="74D13878" w14:textId="77777777" w:rsidR="000742FD" w:rsidRDefault="000742FD" w:rsidP="000742FD">
      <w:pPr>
        <w:spacing w:line="480" w:lineRule="auto"/>
        <w:jc w:val="both"/>
        <w:rPr>
          <w:rFonts w:ascii="Arial" w:hAnsi="Arial" w:cs="Arial"/>
          <w:b/>
          <w:sz w:val="22"/>
          <w:szCs w:val="22"/>
        </w:rPr>
      </w:pPr>
    </w:p>
    <w:p w14:paraId="60DD4456" w14:textId="60F5A904" w:rsidR="000742FD" w:rsidRPr="00524137" w:rsidRDefault="000742FD" w:rsidP="000742FD">
      <w:pPr>
        <w:spacing w:line="480" w:lineRule="auto"/>
        <w:jc w:val="both"/>
        <w:rPr>
          <w:rFonts w:ascii="Arial" w:hAnsi="Arial" w:cs="Arial"/>
          <w:sz w:val="22"/>
          <w:szCs w:val="22"/>
          <w:u w:val="single"/>
        </w:rPr>
      </w:pPr>
      <w:r w:rsidRPr="00524137">
        <w:rPr>
          <w:rFonts w:ascii="Arial" w:hAnsi="Arial" w:cs="Arial"/>
          <w:sz w:val="22"/>
          <w:szCs w:val="22"/>
        </w:rPr>
        <w:t xml:space="preserve">Table 2. </w:t>
      </w:r>
      <w:r w:rsidR="000A40D1">
        <w:rPr>
          <w:rFonts w:ascii="Arial" w:hAnsi="Arial" w:cs="Arial"/>
          <w:sz w:val="22"/>
          <w:szCs w:val="22"/>
        </w:rPr>
        <w:t>Annual s</w:t>
      </w:r>
      <w:r w:rsidRPr="00524137">
        <w:rPr>
          <w:rFonts w:ascii="Arial" w:hAnsi="Arial" w:cs="Arial"/>
          <w:sz w:val="22"/>
          <w:szCs w:val="22"/>
        </w:rPr>
        <w:t>ummar</w:t>
      </w:r>
      <w:r w:rsidR="000A40D1">
        <w:rPr>
          <w:rFonts w:ascii="Arial" w:hAnsi="Arial" w:cs="Arial"/>
          <w:sz w:val="22"/>
          <w:szCs w:val="22"/>
        </w:rPr>
        <w:t xml:space="preserve">ies </w:t>
      </w:r>
      <w:r w:rsidRPr="00524137">
        <w:rPr>
          <w:rFonts w:ascii="Arial" w:hAnsi="Arial" w:cs="Arial"/>
          <w:sz w:val="22"/>
          <w:szCs w:val="22"/>
        </w:rPr>
        <w:t>of the descriptive characteristics of selected babies from 2010 to 2017. SD; standard deviation</w:t>
      </w:r>
    </w:p>
    <w:p w14:paraId="7E0C2030" w14:textId="1BB9341F" w:rsidR="0054614F" w:rsidRDefault="0054614F" w:rsidP="00515DE8">
      <w:pPr>
        <w:spacing w:line="480" w:lineRule="auto"/>
        <w:jc w:val="both"/>
        <w:rPr>
          <w:rFonts w:ascii="Arial" w:hAnsi="Arial" w:cs="Arial"/>
          <w:b/>
          <w:sz w:val="22"/>
          <w:szCs w:val="22"/>
          <w:u w:val="single"/>
        </w:rPr>
      </w:pPr>
    </w:p>
    <w:p w14:paraId="2B114C79" w14:textId="51AF952C" w:rsidR="00CF2EB5" w:rsidRDefault="00CF2EB5" w:rsidP="00515DE8">
      <w:pPr>
        <w:spacing w:line="480" w:lineRule="auto"/>
        <w:jc w:val="both"/>
        <w:rPr>
          <w:rFonts w:ascii="Arial" w:hAnsi="Arial" w:cs="Arial"/>
          <w:b/>
          <w:sz w:val="22"/>
          <w:szCs w:val="22"/>
          <w:u w:val="single"/>
        </w:rPr>
      </w:pPr>
    </w:p>
    <w:p w14:paraId="57FAA34E" w14:textId="4557DDDF" w:rsidR="00CF2EB5" w:rsidRDefault="00CF2EB5" w:rsidP="00515DE8">
      <w:pPr>
        <w:spacing w:line="480" w:lineRule="auto"/>
        <w:jc w:val="both"/>
        <w:rPr>
          <w:rFonts w:ascii="Arial" w:hAnsi="Arial" w:cs="Arial"/>
          <w:b/>
          <w:sz w:val="22"/>
          <w:szCs w:val="22"/>
          <w:u w:val="single"/>
        </w:rPr>
      </w:pPr>
    </w:p>
    <w:p w14:paraId="56E79B7D" w14:textId="77777777" w:rsidR="00CF2EB5" w:rsidRDefault="00CF2EB5" w:rsidP="00515DE8">
      <w:pPr>
        <w:spacing w:line="480" w:lineRule="auto"/>
        <w:jc w:val="both"/>
        <w:rPr>
          <w:rFonts w:ascii="Arial" w:hAnsi="Arial" w:cs="Arial"/>
          <w:b/>
          <w:sz w:val="22"/>
          <w:szCs w:val="22"/>
          <w:u w:val="single"/>
        </w:rPr>
      </w:pPr>
    </w:p>
    <w:p w14:paraId="44314A5A" w14:textId="3D39A0C3" w:rsidR="00B753EA" w:rsidRPr="002D4681" w:rsidRDefault="00B753EA" w:rsidP="00515DE8">
      <w:pPr>
        <w:spacing w:line="480" w:lineRule="auto"/>
        <w:jc w:val="both"/>
        <w:rPr>
          <w:rFonts w:ascii="Arial" w:hAnsi="Arial" w:cs="Arial"/>
          <w:b/>
          <w:sz w:val="22"/>
          <w:szCs w:val="22"/>
          <w:u w:val="single"/>
        </w:rPr>
      </w:pPr>
    </w:p>
    <w:tbl>
      <w:tblPr>
        <w:tblW w:w="10431" w:type="dxa"/>
        <w:tblInd w:w="-431" w:type="dxa"/>
        <w:tblLook w:val="04A0" w:firstRow="1" w:lastRow="0" w:firstColumn="1" w:lastColumn="0" w:noHBand="0" w:noVBand="1"/>
      </w:tblPr>
      <w:tblGrid>
        <w:gridCol w:w="1836"/>
        <w:gridCol w:w="952"/>
        <w:gridCol w:w="953"/>
        <w:gridCol w:w="953"/>
        <w:gridCol w:w="953"/>
        <w:gridCol w:w="953"/>
        <w:gridCol w:w="953"/>
        <w:gridCol w:w="953"/>
        <w:gridCol w:w="954"/>
        <w:gridCol w:w="971"/>
      </w:tblGrid>
      <w:tr w:rsidR="009F3440" w:rsidRPr="00DC34FA" w14:paraId="4A5A8C65" w14:textId="77777777" w:rsidTr="00903106">
        <w:trPr>
          <w:trHeight w:val="273"/>
        </w:trPr>
        <w:tc>
          <w:tcPr>
            <w:tcW w:w="183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2D385E" w14:textId="77777777" w:rsidR="009F3440" w:rsidRPr="00B753EA" w:rsidRDefault="009F3440" w:rsidP="00903106">
            <w:pPr>
              <w:jc w:val="cente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lastRenderedPageBreak/>
              <w:t>Clinical characteristics</w:t>
            </w:r>
          </w:p>
        </w:tc>
        <w:tc>
          <w:tcPr>
            <w:tcW w:w="7624" w:type="dxa"/>
            <w:gridSpan w:val="8"/>
            <w:tcBorders>
              <w:top w:val="single" w:sz="4" w:space="0" w:color="auto"/>
              <w:left w:val="nil"/>
              <w:bottom w:val="nil"/>
              <w:right w:val="single" w:sz="4" w:space="0" w:color="000000"/>
            </w:tcBorders>
            <w:shd w:val="clear" w:color="auto" w:fill="auto"/>
            <w:vAlign w:val="center"/>
            <w:hideMark/>
          </w:tcPr>
          <w:p w14:paraId="21D84764" w14:textId="77777777" w:rsidR="009F3440" w:rsidRPr="00B753EA" w:rsidRDefault="009F3440" w:rsidP="00903106">
            <w:pPr>
              <w:jc w:val="cente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Year</w:t>
            </w:r>
          </w:p>
        </w:tc>
        <w:tc>
          <w:tcPr>
            <w:tcW w:w="971" w:type="dxa"/>
            <w:vMerge w:val="restart"/>
            <w:tcBorders>
              <w:top w:val="single" w:sz="4" w:space="0" w:color="auto"/>
              <w:left w:val="single" w:sz="4" w:space="0" w:color="auto"/>
              <w:right w:val="single" w:sz="4" w:space="0" w:color="auto"/>
            </w:tcBorders>
            <w:shd w:val="clear" w:color="auto" w:fill="auto"/>
            <w:noWrap/>
            <w:vAlign w:val="center"/>
            <w:hideMark/>
          </w:tcPr>
          <w:p w14:paraId="70BDAD18" w14:textId="6190B10A" w:rsidR="009F3440" w:rsidRDefault="009F3440" w:rsidP="00903106">
            <w:pPr>
              <w:jc w:val="center"/>
              <w:rPr>
                <w:rFonts w:ascii="Arial" w:eastAsia="Times New Roman" w:hAnsi="Arial" w:cs="Arial"/>
                <w:b/>
                <w:bCs/>
                <w:color w:val="000000"/>
                <w:sz w:val="20"/>
                <w:szCs w:val="20"/>
              </w:rPr>
            </w:pPr>
            <w:r w:rsidRPr="00DC34FA">
              <w:rPr>
                <w:rFonts w:ascii="Arial" w:eastAsia="Times New Roman" w:hAnsi="Arial" w:cs="Arial"/>
                <w:b/>
                <w:bCs/>
                <w:color w:val="000000"/>
                <w:sz w:val="20"/>
                <w:szCs w:val="20"/>
              </w:rPr>
              <w:t>Mean</w:t>
            </w:r>
          </w:p>
          <w:p w14:paraId="0137879F" w14:textId="5F5C0AC2" w:rsidR="000A3BC9" w:rsidRPr="00B753EA" w:rsidRDefault="000A3BC9" w:rsidP="00903106">
            <w:pPr>
              <w:jc w:val="center"/>
              <w:rPr>
                <w:rFonts w:ascii="Arial" w:eastAsia="Times New Roman" w:hAnsi="Arial" w:cs="Arial"/>
                <w:b/>
                <w:bCs/>
                <w:color w:val="000000"/>
                <w:sz w:val="20"/>
                <w:szCs w:val="20"/>
              </w:rPr>
            </w:pPr>
            <w:r>
              <w:rPr>
                <w:rFonts w:ascii="Arial" w:eastAsia="Times New Roman" w:hAnsi="Arial" w:cs="Arial"/>
                <w:b/>
                <w:bCs/>
                <w:color w:val="000000"/>
                <w:sz w:val="20"/>
                <w:szCs w:val="20"/>
              </w:rPr>
              <w:t>(%)</w:t>
            </w:r>
          </w:p>
        </w:tc>
      </w:tr>
      <w:tr w:rsidR="009F3440" w:rsidRPr="00DC34FA" w14:paraId="583B581A" w14:textId="77777777" w:rsidTr="00903106">
        <w:trPr>
          <w:trHeight w:val="273"/>
        </w:trPr>
        <w:tc>
          <w:tcPr>
            <w:tcW w:w="1836" w:type="dxa"/>
            <w:vMerge/>
            <w:tcBorders>
              <w:top w:val="single" w:sz="4" w:space="0" w:color="auto"/>
              <w:left w:val="single" w:sz="4" w:space="0" w:color="auto"/>
              <w:bottom w:val="single" w:sz="4" w:space="0" w:color="000000"/>
              <w:right w:val="single" w:sz="4" w:space="0" w:color="auto"/>
            </w:tcBorders>
            <w:vAlign w:val="center"/>
            <w:hideMark/>
          </w:tcPr>
          <w:p w14:paraId="0EC8C9ED" w14:textId="77777777" w:rsidR="009F3440" w:rsidRPr="00B753EA" w:rsidRDefault="009F3440" w:rsidP="00903106">
            <w:pPr>
              <w:rPr>
                <w:rFonts w:ascii="Arial" w:eastAsia="Times New Roman" w:hAnsi="Arial" w:cs="Arial"/>
                <w:b/>
                <w:bCs/>
                <w:color w:val="000000"/>
                <w:sz w:val="20"/>
                <w:szCs w:val="20"/>
              </w:rPr>
            </w:pP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47F72FC3"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2010</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70F01B30"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2011</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464FE7FD"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2012</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0283AFF4"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2013</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1101CB5B"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2014</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0CE31FE1"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2015</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004ABF9A"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2016</w:t>
            </w:r>
          </w:p>
        </w:tc>
        <w:tc>
          <w:tcPr>
            <w:tcW w:w="954" w:type="dxa"/>
            <w:tcBorders>
              <w:top w:val="single" w:sz="4" w:space="0" w:color="auto"/>
              <w:left w:val="nil"/>
              <w:bottom w:val="single" w:sz="4" w:space="0" w:color="auto"/>
              <w:right w:val="single" w:sz="4" w:space="0" w:color="auto"/>
            </w:tcBorders>
            <w:shd w:val="clear" w:color="auto" w:fill="auto"/>
            <w:vAlign w:val="center"/>
            <w:hideMark/>
          </w:tcPr>
          <w:p w14:paraId="4EA527A6" w14:textId="77777777" w:rsidR="009F3440" w:rsidRPr="00B753EA" w:rsidRDefault="009F3440" w:rsidP="00903106">
            <w:pPr>
              <w:jc w:val="right"/>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2017</w:t>
            </w:r>
          </w:p>
        </w:tc>
        <w:tc>
          <w:tcPr>
            <w:tcW w:w="971" w:type="dxa"/>
            <w:vMerge/>
            <w:tcBorders>
              <w:left w:val="single" w:sz="4" w:space="0" w:color="auto"/>
              <w:right w:val="single" w:sz="4" w:space="0" w:color="auto"/>
            </w:tcBorders>
            <w:vAlign w:val="center"/>
            <w:hideMark/>
          </w:tcPr>
          <w:p w14:paraId="30EEE7B2" w14:textId="77777777" w:rsidR="009F3440" w:rsidRPr="00B753EA" w:rsidRDefault="009F3440" w:rsidP="00903106">
            <w:pPr>
              <w:jc w:val="right"/>
              <w:rPr>
                <w:rFonts w:ascii="Arial" w:eastAsia="Times New Roman" w:hAnsi="Arial" w:cs="Arial"/>
                <w:b/>
                <w:bCs/>
                <w:color w:val="000000"/>
                <w:sz w:val="20"/>
                <w:szCs w:val="20"/>
              </w:rPr>
            </w:pPr>
          </w:p>
        </w:tc>
      </w:tr>
      <w:tr w:rsidR="009F3440" w:rsidRPr="00DC34FA" w14:paraId="3B480688" w14:textId="77777777" w:rsidTr="00903106">
        <w:trPr>
          <w:trHeight w:val="273"/>
        </w:trPr>
        <w:tc>
          <w:tcPr>
            <w:tcW w:w="9460" w:type="dxa"/>
            <w:gridSpan w:val="9"/>
            <w:tcBorders>
              <w:top w:val="single" w:sz="4" w:space="0" w:color="auto"/>
              <w:left w:val="single" w:sz="4" w:space="0" w:color="auto"/>
              <w:bottom w:val="single" w:sz="4" w:space="0" w:color="auto"/>
              <w:right w:val="nil"/>
            </w:tcBorders>
            <w:shd w:val="clear" w:color="auto" w:fill="auto"/>
            <w:noWrap/>
            <w:vAlign w:val="center"/>
            <w:hideMark/>
          </w:tcPr>
          <w:p w14:paraId="77AFBF60" w14:textId="70F58AD1"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xml:space="preserve">Level of </w:t>
            </w:r>
            <w:r w:rsidR="000A40D1">
              <w:rPr>
                <w:rFonts w:ascii="Arial" w:eastAsia="Times New Roman" w:hAnsi="Arial" w:cs="Arial"/>
                <w:b/>
                <w:bCs/>
                <w:color w:val="000000"/>
                <w:sz w:val="20"/>
                <w:szCs w:val="20"/>
              </w:rPr>
              <w:t xml:space="preserve">arterial </w:t>
            </w:r>
            <w:r w:rsidR="00F9172B">
              <w:rPr>
                <w:rFonts w:ascii="Arial" w:eastAsia="Times New Roman" w:hAnsi="Arial" w:cs="Arial"/>
                <w:b/>
                <w:bCs/>
                <w:color w:val="000000"/>
                <w:sz w:val="20"/>
                <w:szCs w:val="20"/>
              </w:rPr>
              <w:t xml:space="preserve">umbilical </w:t>
            </w:r>
            <w:r w:rsidR="000A40D1">
              <w:rPr>
                <w:rFonts w:ascii="Arial" w:eastAsia="Times New Roman" w:hAnsi="Arial" w:cs="Arial"/>
                <w:b/>
                <w:bCs/>
                <w:color w:val="000000"/>
                <w:sz w:val="20"/>
                <w:szCs w:val="20"/>
              </w:rPr>
              <w:t xml:space="preserve">blood </w:t>
            </w:r>
            <w:r w:rsidRPr="00B753EA">
              <w:rPr>
                <w:rFonts w:ascii="Arial" w:eastAsia="Times New Roman" w:hAnsi="Arial" w:cs="Arial"/>
                <w:b/>
                <w:bCs/>
                <w:color w:val="000000"/>
                <w:sz w:val="20"/>
                <w:szCs w:val="20"/>
              </w:rPr>
              <w:t>pH</w:t>
            </w:r>
            <w:r>
              <w:rPr>
                <w:rFonts w:ascii="Arial" w:eastAsia="Times New Roman" w:hAnsi="Arial" w:cs="Arial"/>
                <w:bCs/>
                <w:color w:val="000000"/>
                <w:sz w:val="20"/>
                <w:szCs w:val="20"/>
              </w:rPr>
              <w:t>,</w:t>
            </w:r>
            <w:r>
              <w:rPr>
                <w:rFonts w:ascii="Arial" w:eastAsia="Times New Roman" w:hAnsi="Arial" w:cs="Arial"/>
                <w:b/>
                <w:bCs/>
                <w:color w:val="000000"/>
                <w:sz w:val="20"/>
                <w:szCs w:val="20"/>
              </w:rPr>
              <w:t xml:space="preserve"> </w:t>
            </w:r>
            <w:r w:rsidRPr="00C174A1">
              <w:rPr>
                <w:rFonts w:ascii="Arial" w:eastAsia="Times New Roman" w:hAnsi="Arial" w:cs="Arial"/>
                <w:bCs/>
                <w:color w:val="000000"/>
                <w:sz w:val="20"/>
                <w:szCs w:val="20"/>
              </w:rPr>
              <w:t>c</w:t>
            </w:r>
            <w:r w:rsidRPr="00DC34FA">
              <w:rPr>
                <w:rFonts w:ascii="Arial" w:eastAsia="Times New Roman" w:hAnsi="Arial" w:cs="Arial"/>
                <w:bCs/>
                <w:color w:val="000000"/>
                <w:sz w:val="20"/>
                <w:szCs w:val="20"/>
              </w:rPr>
              <w:t>ount (%)</w:t>
            </w:r>
          </w:p>
        </w:tc>
        <w:tc>
          <w:tcPr>
            <w:tcW w:w="971" w:type="dxa"/>
            <w:vMerge/>
            <w:tcBorders>
              <w:left w:val="single" w:sz="4" w:space="0" w:color="auto"/>
              <w:bottom w:val="single" w:sz="4" w:space="0" w:color="auto"/>
              <w:right w:val="single" w:sz="4" w:space="0" w:color="auto"/>
            </w:tcBorders>
            <w:shd w:val="clear" w:color="auto" w:fill="auto"/>
            <w:noWrap/>
            <w:vAlign w:val="center"/>
            <w:hideMark/>
          </w:tcPr>
          <w:p w14:paraId="2C4DAF3A" w14:textId="77777777" w:rsidR="009F3440" w:rsidRPr="00B753EA" w:rsidRDefault="009F3440" w:rsidP="00903106">
            <w:pPr>
              <w:jc w:val="right"/>
              <w:rPr>
                <w:rFonts w:ascii="Arial" w:eastAsia="Times New Roman" w:hAnsi="Arial" w:cs="Arial"/>
                <w:b/>
                <w:bCs/>
                <w:color w:val="000000"/>
                <w:sz w:val="20"/>
                <w:szCs w:val="20"/>
              </w:rPr>
            </w:pPr>
          </w:p>
        </w:tc>
      </w:tr>
      <w:tr w:rsidR="009F3440" w:rsidRPr="00DC34FA" w14:paraId="74A72338" w14:textId="77777777" w:rsidTr="00746A71">
        <w:trPr>
          <w:trHeight w:val="460"/>
        </w:trPr>
        <w:tc>
          <w:tcPr>
            <w:tcW w:w="1836" w:type="dxa"/>
            <w:tcBorders>
              <w:top w:val="single" w:sz="4" w:space="0" w:color="auto"/>
              <w:left w:val="single" w:sz="4" w:space="0" w:color="auto"/>
              <w:bottom w:val="nil"/>
              <w:right w:val="single" w:sz="4" w:space="0" w:color="auto"/>
            </w:tcBorders>
            <w:shd w:val="clear" w:color="auto" w:fill="auto"/>
            <w:noWrap/>
            <w:vAlign w:val="center"/>
            <w:hideMark/>
          </w:tcPr>
          <w:p w14:paraId="552F6DAA"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&lt; 6.9</w:t>
            </w:r>
          </w:p>
        </w:tc>
        <w:tc>
          <w:tcPr>
            <w:tcW w:w="952" w:type="dxa"/>
            <w:tcBorders>
              <w:top w:val="nil"/>
              <w:left w:val="nil"/>
              <w:bottom w:val="nil"/>
              <w:right w:val="nil"/>
            </w:tcBorders>
            <w:shd w:val="clear" w:color="auto" w:fill="auto"/>
            <w:vAlign w:val="center"/>
            <w:hideMark/>
          </w:tcPr>
          <w:p w14:paraId="178EFFE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121 (30.0)</w:t>
            </w:r>
          </w:p>
        </w:tc>
        <w:tc>
          <w:tcPr>
            <w:tcW w:w="953" w:type="dxa"/>
            <w:tcBorders>
              <w:top w:val="nil"/>
              <w:left w:val="nil"/>
              <w:bottom w:val="nil"/>
              <w:right w:val="nil"/>
            </w:tcBorders>
            <w:shd w:val="clear" w:color="auto" w:fill="auto"/>
            <w:vAlign w:val="center"/>
            <w:hideMark/>
          </w:tcPr>
          <w:p w14:paraId="63FD19E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147 (26.4)</w:t>
            </w:r>
          </w:p>
        </w:tc>
        <w:tc>
          <w:tcPr>
            <w:tcW w:w="953" w:type="dxa"/>
            <w:tcBorders>
              <w:top w:val="nil"/>
              <w:left w:val="nil"/>
              <w:bottom w:val="nil"/>
              <w:right w:val="nil"/>
            </w:tcBorders>
            <w:shd w:val="clear" w:color="auto" w:fill="auto"/>
            <w:vAlign w:val="center"/>
            <w:hideMark/>
          </w:tcPr>
          <w:p w14:paraId="7FD6FDC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159 (27.8)</w:t>
            </w:r>
          </w:p>
        </w:tc>
        <w:tc>
          <w:tcPr>
            <w:tcW w:w="953" w:type="dxa"/>
            <w:tcBorders>
              <w:top w:val="nil"/>
              <w:left w:val="nil"/>
              <w:bottom w:val="nil"/>
              <w:right w:val="nil"/>
            </w:tcBorders>
            <w:shd w:val="clear" w:color="auto" w:fill="auto"/>
            <w:vAlign w:val="center"/>
            <w:hideMark/>
          </w:tcPr>
          <w:p w14:paraId="75D336E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186 (27.4)</w:t>
            </w:r>
          </w:p>
        </w:tc>
        <w:tc>
          <w:tcPr>
            <w:tcW w:w="953" w:type="dxa"/>
            <w:tcBorders>
              <w:top w:val="nil"/>
              <w:left w:val="nil"/>
              <w:bottom w:val="nil"/>
              <w:right w:val="nil"/>
            </w:tcBorders>
            <w:shd w:val="clear" w:color="auto" w:fill="auto"/>
            <w:vAlign w:val="center"/>
            <w:hideMark/>
          </w:tcPr>
          <w:p w14:paraId="42EE13F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169 (22.2)</w:t>
            </w:r>
          </w:p>
        </w:tc>
        <w:tc>
          <w:tcPr>
            <w:tcW w:w="953" w:type="dxa"/>
            <w:tcBorders>
              <w:top w:val="nil"/>
              <w:left w:val="nil"/>
              <w:bottom w:val="nil"/>
              <w:right w:val="nil"/>
            </w:tcBorders>
            <w:shd w:val="clear" w:color="auto" w:fill="auto"/>
            <w:vAlign w:val="center"/>
            <w:hideMark/>
          </w:tcPr>
          <w:p w14:paraId="4280885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170 (22.1)</w:t>
            </w:r>
          </w:p>
        </w:tc>
        <w:tc>
          <w:tcPr>
            <w:tcW w:w="953" w:type="dxa"/>
            <w:tcBorders>
              <w:top w:val="nil"/>
              <w:left w:val="nil"/>
              <w:bottom w:val="nil"/>
              <w:right w:val="nil"/>
            </w:tcBorders>
            <w:shd w:val="clear" w:color="auto" w:fill="auto"/>
            <w:vAlign w:val="center"/>
            <w:hideMark/>
          </w:tcPr>
          <w:p w14:paraId="57FACEB0"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168 (22.9)</w:t>
            </w:r>
          </w:p>
        </w:tc>
        <w:tc>
          <w:tcPr>
            <w:tcW w:w="954" w:type="dxa"/>
            <w:tcBorders>
              <w:top w:val="nil"/>
              <w:left w:val="nil"/>
              <w:bottom w:val="nil"/>
              <w:right w:val="single" w:sz="4" w:space="0" w:color="auto"/>
            </w:tcBorders>
            <w:shd w:val="clear" w:color="auto" w:fill="auto"/>
            <w:vAlign w:val="center"/>
            <w:hideMark/>
          </w:tcPr>
          <w:p w14:paraId="4BD81D6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148 (21.1)</w:t>
            </w:r>
          </w:p>
        </w:tc>
        <w:tc>
          <w:tcPr>
            <w:tcW w:w="971" w:type="dxa"/>
            <w:tcBorders>
              <w:top w:val="single" w:sz="4" w:space="0" w:color="auto"/>
              <w:left w:val="nil"/>
              <w:bottom w:val="nil"/>
              <w:right w:val="single" w:sz="4" w:space="0" w:color="auto"/>
            </w:tcBorders>
            <w:shd w:val="clear" w:color="auto" w:fill="auto"/>
            <w:noWrap/>
            <w:vAlign w:val="center"/>
            <w:hideMark/>
          </w:tcPr>
          <w:p w14:paraId="3CED3F6E" w14:textId="6260C92D" w:rsidR="009F3440" w:rsidRPr="00B753EA" w:rsidRDefault="00A37BD4"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25.0</w:t>
            </w:r>
          </w:p>
        </w:tc>
      </w:tr>
      <w:tr w:rsidR="009F3440" w:rsidRPr="00DC34FA" w14:paraId="47634DB6" w14:textId="77777777" w:rsidTr="00746A71">
        <w:trPr>
          <w:trHeight w:val="460"/>
        </w:trPr>
        <w:tc>
          <w:tcPr>
            <w:tcW w:w="1836" w:type="dxa"/>
            <w:tcBorders>
              <w:top w:val="nil"/>
              <w:left w:val="single" w:sz="4" w:space="0" w:color="auto"/>
              <w:bottom w:val="nil"/>
              <w:right w:val="single" w:sz="4" w:space="0" w:color="auto"/>
            </w:tcBorders>
            <w:shd w:val="clear" w:color="auto" w:fill="auto"/>
            <w:noWrap/>
            <w:vAlign w:val="center"/>
            <w:hideMark/>
          </w:tcPr>
          <w:p w14:paraId="4AFF0764"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6.9-7.0</w:t>
            </w:r>
          </w:p>
        </w:tc>
        <w:tc>
          <w:tcPr>
            <w:tcW w:w="952" w:type="dxa"/>
            <w:tcBorders>
              <w:top w:val="nil"/>
              <w:left w:val="nil"/>
              <w:bottom w:val="nil"/>
              <w:right w:val="nil"/>
            </w:tcBorders>
            <w:shd w:val="clear" w:color="auto" w:fill="auto"/>
            <w:vAlign w:val="center"/>
            <w:hideMark/>
          </w:tcPr>
          <w:p w14:paraId="34CB5E7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68 (16.9)</w:t>
            </w:r>
          </w:p>
        </w:tc>
        <w:tc>
          <w:tcPr>
            <w:tcW w:w="953" w:type="dxa"/>
            <w:tcBorders>
              <w:top w:val="nil"/>
              <w:left w:val="nil"/>
              <w:bottom w:val="nil"/>
              <w:right w:val="nil"/>
            </w:tcBorders>
            <w:shd w:val="clear" w:color="auto" w:fill="auto"/>
            <w:vAlign w:val="center"/>
            <w:hideMark/>
          </w:tcPr>
          <w:p w14:paraId="78F404F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93 (16.7)</w:t>
            </w:r>
          </w:p>
        </w:tc>
        <w:tc>
          <w:tcPr>
            <w:tcW w:w="953" w:type="dxa"/>
            <w:tcBorders>
              <w:top w:val="nil"/>
              <w:left w:val="nil"/>
              <w:bottom w:val="nil"/>
              <w:right w:val="nil"/>
            </w:tcBorders>
            <w:shd w:val="clear" w:color="auto" w:fill="auto"/>
            <w:vAlign w:val="center"/>
            <w:hideMark/>
          </w:tcPr>
          <w:p w14:paraId="446EB29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103 (17.9)</w:t>
            </w:r>
          </w:p>
        </w:tc>
        <w:tc>
          <w:tcPr>
            <w:tcW w:w="953" w:type="dxa"/>
            <w:tcBorders>
              <w:top w:val="nil"/>
              <w:left w:val="nil"/>
              <w:bottom w:val="nil"/>
              <w:right w:val="nil"/>
            </w:tcBorders>
            <w:shd w:val="clear" w:color="auto" w:fill="auto"/>
            <w:vAlign w:val="center"/>
            <w:hideMark/>
          </w:tcPr>
          <w:p w14:paraId="65C5723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121 (17.8)</w:t>
            </w:r>
          </w:p>
        </w:tc>
        <w:tc>
          <w:tcPr>
            <w:tcW w:w="953" w:type="dxa"/>
            <w:tcBorders>
              <w:top w:val="nil"/>
              <w:left w:val="nil"/>
              <w:bottom w:val="nil"/>
              <w:right w:val="nil"/>
            </w:tcBorders>
            <w:shd w:val="clear" w:color="auto" w:fill="auto"/>
            <w:vAlign w:val="center"/>
            <w:hideMark/>
          </w:tcPr>
          <w:p w14:paraId="62BB866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144 (18.9)</w:t>
            </w:r>
          </w:p>
        </w:tc>
        <w:tc>
          <w:tcPr>
            <w:tcW w:w="953" w:type="dxa"/>
            <w:tcBorders>
              <w:top w:val="nil"/>
              <w:left w:val="nil"/>
              <w:bottom w:val="nil"/>
              <w:right w:val="nil"/>
            </w:tcBorders>
            <w:shd w:val="clear" w:color="auto" w:fill="auto"/>
            <w:vAlign w:val="center"/>
            <w:hideMark/>
          </w:tcPr>
          <w:p w14:paraId="4F1F7F1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121 (15.7)</w:t>
            </w:r>
          </w:p>
        </w:tc>
        <w:tc>
          <w:tcPr>
            <w:tcW w:w="953" w:type="dxa"/>
            <w:tcBorders>
              <w:top w:val="nil"/>
              <w:left w:val="nil"/>
              <w:bottom w:val="nil"/>
              <w:right w:val="nil"/>
            </w:tcBorders>
            <w:shd w:val="clear" w:color="auto" w:fill="auto"/>
            <w:vAlign w:val="center"/>
            <w:hideMark/>
          </w:tcPr>
          <w:p w14:paraId="065AC01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112 (15.2)</w:t>
            </w:r>
          </w:p>
        </w:tc>
        <w:tc>
          <w:tcPr>
            <w:tcW w:w="954" w:type="dxa"/>
            <w:tcBorders>
              <w:top w:val="nil"/>
              <w:left w:val="nil"/>
              <w:bottom w:val="nil"/>
              <w:right w:val="single" w:sz="4" w:space="0" w:color="auto"/>
            </w:tcBorders>
            <w:shd w:val="clear" w:color="auto" w:fill="auto"/>
            <w:vAlign w:val="center"/>
            <w:hideMark/>
          </w:tcPr>
          <w:p w14:paraId="6287F11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122 (17.4)</w:t>
            </w:r>
          </w:p>
        </w:tc>
        <w:tc>
          <w:tcPr>
            <w:tcW w:w="971" w:type="dxa"/>
            <w:tcBorders>
              <w:top w:val="nil"/>
              <w:left w:val="nil"/>
              <w:bottom w:val="nil"/>
              <w:right w:val="single" w:sz="4" w:space="0" w:color="auto"/>
            </w:tcBorders>
            <w:shd w:val="clear" w:color="auto" w:fill="auto"/>
            <w:noWrap/>
            <w:vAlign w:val="center"/>
            <w:hideMark/>
          </w:tcPr>
          <w:p w14:paraId="14381AA8" w14:textId="0C7B3189" w:rsidR="009F3440" w:rsidRPr="00B753EA" w:rsidRDefault="00A37BD4"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17.1</w:t>
            </w:r>
          </w:p>
        </w:tc>
      </w:tr>
      <w:tr w:rsidR="009F3440" w:rsidRPr="00DC34FA" w14:paraId="7E9977B8" w14:textId="77777777" w:rsidTr="00746A71">
        <w:trPr>
          <w:trHeight w:val="460"/>
        </w:trPr>
        <w:tc>
          <w:tcPr>
            <w:tcW w:w="1836" w:type="dxa"/>
            <w:tcBorders>
              <w:top w:val="nil"/>
              <w:left w:val="single" w:sz="4" w:space="0" w:color="auto"/>
              <w:right w:val="single" w:sz="4" w:space="0" w:color="auto"/>
            </w:tcBorders>
            <w:shd w:val="clear" w:color="auto" w:fill="auto"/>
            <w:noWrap/>
            <w:vAlign w:val="center"/>
            <w:hideMark/>
          </w:tcPr>
          <w:p w14:paraId="47A91F2D"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&gt; 7.0</w:t>
            </w:r>
          </w:p>
        </w:tc>
        <w:tc>
          <w:tcPr>
            <w:tcW w:w="952" w:type="dxa"/>
            <w:tcBorders>
              <w:top w:val="nil"/>
              <w:left w:val="nil"/>
              <w:right w:val="nil"/>
            </w:tcBorders>
            <w:shd w:val="clear" w:color="auto" w:fill="auto"/>
            <w:vAlign w:val="center"/>
            <w:hideMark/>
          </w:tcPr>
          <w:p w14:paraId="3E1DD5F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106 (26.3)</w:t>
            </w:r>
          </w:p>
        </w:tc>
        <w:tc>
          <w:tcPr>
            <w:tcW w:w="953" w:type="dxa"/>
            <w:tcBorders>
              <w:top w:val="nil"/>
              <w:left w:val="nil"/>
              <w:right w:val="nil"/>
            </w:tcBorders>
            <w:shd w:val="clear" w:color="auto" w:fill="auto"/>
            <w:vAlign w:val="center"/>
            <w:hideMark/>
          </w:tcPr>
          <w:p w14:paraId="19A55B2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166 (29.8)</w:t>
            </w:r>
          </w:p>
        </w:tc>
        <w:tc>
          <w:tcPr>
            <w:tcW w:w="953" w:type="dxa"/>
            <w:tcBorders>
              <w:top w:val="nil"/>
              <w:left w:val="nil"/>
              <w:right w:val="nil"/>
            </w:tcBorders>
            <w:shd w:val="clear" w:color="auto" w:fill="auto"/>
            <w:vAlign w:val="center"/>
            <w:hideMark/>
          </w:tcPr>
          <w:p w14:paraId="77A7213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172 (30.0)</w:t>
            </w:r>
          </w:p>
        </w:tc>
        <w:tc>
          <w:tcPr>
            <w:tcW w:w="953" w:type="dxa"/>
            <w:tcBorders>
              <w:top w:val="nil"/>
              <w:left w:val="nil"/>
              <w:right w:val="nil"/>
            </w:tcBorders>
            <w:shd w:val="clear" w:color="auto" w:fill="auto"/>
            <w:vAlign w:val="center"/>
            <w:hideMark/>
          </w:tcPr>
          <w:p w14:paraId="61B2155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210 (30.9)</w:t>
            </w:r>
          </w:p>
        </w:tc>
        <w:tc>
          <w:tcPr>
            <w:tcW w:w="953" w:type="dxa"/>
            <w:tcBorders>
              <w:top w:val="nil"/>
              <w:left w:val="nil"/>
              <w:right w:val="nil"/>
            </w:tcBorders>
            <w:shd w:val="clear" w:color="auto" w:fill="auto"/>
            <w:vAlign w:val="center"/>
            <w:hideMark/>
          </w:tcPr>
          <w:p w14:paraId="07E9AD3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252 (33.0)</w:t>
            </w:r>
          </w:p>
        </w:tc>
        <w:tc>
          <w:tcPr>
            <w:tcW w:w="953" w:type="dxa"/>
            <w:tcBorders>
              <w:top w:val="nil"/>
              <w:left w:val="nil"/>
              <w:right w:val="nil"/>
            </w:tcBorders>
            <w:shd w:val="clear" w:color="auto" w:fill="auto"/>
            <w:vAlign w:val="center"/>
            <w:hideMark/>
          </w:tcPr>
          <w:p w14:paraId="2AA694B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247 (32.0)</w:t>
            </w:r>
          </w:p>
        </w:tc>
        <w:tc>
          <w:tcPr>
            <w:tcW w:w="953" w:type="dxa"/>
            <w:tcBorders>
              <w:top w:val="nil"/>
              <w:left w:val="nil"/>
              <w:right w:val="nil"/>
            </w:tcBorders>
            <w:shd w:val="clear" w:color="auto" w:fill="auto"/>
            <w:vAlign w:val="center"/>
            <w:hideMark/>
          </w:tcPr>
          <w:p w14:paraId="53A4B8E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209 (28.4)</w:t>
            </w:r>
          </w:p>
        </w:tc>
        <w:tc>
          <w:tcPr>
            <w:tcW w:w="954" w:type="dxa"/>
            <w:tcBorders>
              <w:top w:val="nil"/>
              <w:left w:val="nil"/>
              <w:right w:val="single" w:sz="4" w:space="0" w:color="auto"/>
            </w:tcBorders>
            <w:shd w:val="clear" w:color="auto" w:fill="auto"/>
            <w:vAlign w:val="center"/>
            <w:hideMark/>
          </w:tcPr>
          <w:p w14:paraId="7156502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231 (32.9)</w:t>
            </w:r>
          </w:p>
        </w:tc>
        <w:tc>
          <w:tcPr>
            <w:tcW w:w="971" w:type="dxa"/>
            <w:tcBorders>
              <w:top w:val="nil"/>
              <w:left w:val="nil"/>
              <w:right w:val="single" w:sz="4" w:space="0" w:color="auto"/>
            </w:tcBorders>
            <w:shd w:val="clear" w:color="auto" w:fill="auto"/>
            <w:noWrap/>
            <w:vAlign w:val="center"/>
            <w:hideMark/>
          </w:tcPr>
          <w:p w14:paraId="174CF681" w14:textId="7408D617" w:rsidR="00A37BD4" w:rsidRPr="00B753EA" w:rsidRDefault="00A37BD4"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30.4</w:t>
            </w:r>
          </w:p>
        </w:tc>
      </w:tr>
      <w:tr w:rsidR="009F3440" w:rsidRPr="00DC34FA" w14:paraId="657E7593" w14:textId="77777777" w:rsidTr="00746A71">
        <w:trPr>
          <w:trHeight w:val="460"/>
        </w:trPr>
        <w:tc>
          <w:tcPr>
            <w:tcW w:w="1836" w:type="dxa"/>
            <w:tcBorders>
              <w:top w:val="nil"/>
              <w:left w:val="single" w:sz="4" w:space="0" w:color="auto"/>
              <w:bottom w:val="single" w:sz="4" w:space="0" w:color="auto"/>
              <w:right w:val="single" w:sz="4" w:space="0" w:color="auto"/>
            </w:tcBorders>
            <w:shd w:val="clear" w:color="auto" w:fill="auto"/>
            <w:noWrap/>
            <w:vAlign w:val="center"/>
            <w:hideMark/>
          </w:tcPr>
          <w:p w14:paraId="6092CB46"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missing data</w:t>
            </w:r>
          </w:p>
        </w:tc>
        <w:tc>
          <w:tcPr>
            <w:tcW w:w="952" w:type="dxa"/>
            <w:tcBorders>
              <w:top w:val="nil"/>
              <w:left w:val="single" w:sz="4" w:space="0" w:color="auto"/>
              <w:bottom w:val="nil"/>
            </w:tcBorders>
            <w:shd w:val="clear" w:color="auto" w:fill="auto"/>
            <w:vAlign w:val="center"/>
            <w:hideMark/>
          </w:tcPr>
          <w:p w14:paraId="7A8D18F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108 (26.8)</w:t>
            </w:r>
          </w:p>
        </w:tc>
        <w:tc>
          <w:tcPr>
            <w:tcW w:w="953" w:type="dxa"/>
            <w:tcBorders>
              <w:top w:val="nil"/>
              <w:bottom w:val="nil"/>
            </w:tcBorders>
            <w:shd w:val="clear" w:color="auto" w:fill="auto"/>
            <w:vAlign w:val="center"/>
            <w:hideMark/>
          </w:tcPr>
          <w:p w14:paraId="1203A21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151 (27.1)</w:t>
            </w:r>
          </w:p>
        </w:tc>
        <w:tc>
          <w:tcPr>
            <w:tcW w:w="953" w:type="dxa"/>
            <w:tcBorders>
              <w:top w:val="nil"/>
              <w:bottom w:val="nil"/>
            </w:tcBorders>
            <w:shd w:val="clear" w:color="auto" w:fill="auto"/>
            <w:vAlign w:val="center"/>
            <w:hideMark/>
          </w:tcPr>
          <w:p w14:paraId="306DDE4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139 (24.3)</w:t>
            </w:r>
          </w:p>
        </w:tc>
        <w:tc>
          <w:tcPr>
            <w:tcW w:w="953" w:type="dxa"/>
            <w:tcBorders>
              <w:top w:val="nil"/>
              <w:bottom w:val="nil"/>
            </w:tcBorders>
            <w:shd w:val="clear" w:color="auto" w:fill="auto"/>
            <w:vAlign w:val="center"/>
            <w:hideMark/>
          </w:tcPr>
          <w:p w14:paraId="01F499F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163 (23.9)</w:t>
            </w:r>
          </w:p>
        </w:tc>
        <w:tc>
          <w:tcPr>
            <w:tcW w:w="953" w:type="dxa"/>
            <w:tcBorders>
              <w:top w:val="nil"/>
              <w:bottom w:val="nil"/>
            </w:tcBorders>
            <w:shd w:val="clear" w:color="auto" w:fill="auto"/>
            <w:vAlign w:val="center"/>
            <w:hideMark/>
          </w:tcPr>
          <w:p w14:paraId="1FC45D1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198 (25.9)</w:t>
            </w:r>
          </w:p>
        </w:tc>
        <w:tc>
          <w:tcPr>
            <w:tcW w:w="953" w:type="dxa"/>
            <w:tcBorders>
              <w:top w:val="nil"/>
              <w:bottom w:val="nil"/>
            </w:tcBorders>
            <w:shd w:val="clear" w:color="auto" w:fill="auto"/>
            <w:vAlign w:val="center"/>
            <w:hideMark/>
          </w:tcPr>
          <w:p w14:paraId="4B3447E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233 (30.2)</w:t>
            </w:r>
          </w:p>
        </w:tc>
        <w:tc>
          <w:tcPr>
            <w:tcW w:w="953" w:type="dxa"/>
            <w:tcBorders>
              <w:top w:val="nil"/>
              <w:bottom w:val="nil"/>
            </w:tcBorders>
            <w:shd w:val="clear" w:color="auto" w:fill="auto"/>
            <w:vAlign w:val="center"/>
            <w:hideMark/>
          </w:tcPr>
          <w:p w14:paraId="2FB8104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246 (33.5)</w:t>
            </w:r>
          </w:p>
        </w:tc>
        <w:tc>
          <w:tcPr>
            <w:tcW w:w="954" w:type="dxa"/>
            <w:tcBorders>
              <w:top w:val="nil"/>
              <w:bottom w:val="nil"/>
              <w:right w:val="single" w:sz="4" w:space="0" w:color="auto"/>
            </w:tcBorders>
            <w:shd w:val="clear" w:color="auto" w:fill="auto"/>
            <w:vAlign w:val="center"/>
            <w:hideMark/>
          </w:tcPr>
          <w:p w14:paraId="43559B6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202 (28.7)</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14:paraId="4637CB48" w14:textId="05663253" w:rsidR="009F3440" w:rsidRPr="00B753EA" w:rsidRDefault="00A37BD4"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27.6</w:t>
            </w:r>
          </w:p>
        </w:tc>
      </w:tr>
      <w:tr w:rsidR="009F3440" w:rsidRPr="00B753EA" w14:paraId="009E1EFA"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71823C"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xml:space="preserve">Apgar score at </w:t>
            </w:r>
            <w:r w:rsidRPr="00DC34FA">
              <w:rPr>
                <w:rFonts w:ascii="Arial" w:eastAsia="Times New Roman" w:hAnsi="Arial" w:cs="Arial"/>
                <w:b/>
                <w:bCs/>
                <w:color w:val="000000"/>
                <w:sz w:val="20"/>
                <w:szCs w:val="20"/>
              </w:rPr>
              <w:t>1min</w:t>
            </w:r>
            <w:r>
              <w:rPr>
                <w:rFonts w:ascii="Arial" w:eastAsia="Times New Roman" w:hAnsi="Arial" w:cs="Arial"/>
                <w:bCs/>
                <w:color w:val="000000"/>
                <w:sz w:val="20"/>
                <w:szCs w:val="20"/>
              </w:rPr>
              <w:t>,</w:t>
            </w:r>
            <w:r>
              <w:rPr>
                <w:rFonts w:ascii="Arial" w:eastAsia="Times New Roman" w:hAnsi="Arial" w:cs="Arial"/>
                <w:b/>
                <w:bCs/>
                <w:color w:val="000000"/>
                <w:sz w:val="20"/>
                <w:szCs w:val="20"/>
              </w:rPr>
              <w:t xml:space="preserve"> </w:t>
            </w:r>
            <w:r w:rsidRPr="00A72FDC">
              <w:rPr>
                <w:rFonts w:ascii="Arial" w:eastAsia="Times New Roman" w:hAnsi="Arial" w:cs="Arial"/>
                <w:bCs/>
                <w:color w:val="000000"/>
                <w:sz w:val="20"/>
                <w:szCs w:val="20"/>
              </w:rPr>
              <w:t>c</w:t>
            </w:r>
            <w:r w:rsidRPr="00DC34FA">
              <w:rPr>
                <w:rFonts w:ascii="Arial" w:eastAsia="Times New Roman" w:hAnsi="Arial" w:cs="Arial"/>
                <w:bCs/>
                <w:color w:val="000000"/>
                <w:sz w:val="20"/>
                <w:szCs w:val="20"/>
              </w:rPr>
              <w:t>ount (%)</w:t>
            </w:r>
          </w:p>
        </w:tc>
      </w:tr>
      <w:tr w:rsidR="009F3440" w:rsidRPr="00DC34FA" w14:paraId="4772AA73" w14:textId="77777777" w:rsidTr="00746A71">
        <w:trPr>
          <w:trHeight w:val="460"/>
        </w:trPr>
        <w:tc>
          <w:tcPr>
            <w:tcW w:w="1836" w:type="dxa"/>
            <w:tcBorders>
              <w:top w:val="single" w:sz="4" w:space="0" w:color="auto"/>
              <w:left w:val="single" w:sz="4" w:space="0" w:color="auto"/>
              <w:bottom w:val="nil"/>
              <w:right w:val="single" w:sz="4" w:space="0" w:color="auto"/>
            </w:tcBorders>
            <w:shd w:val="clear" w:color="auto" w:fill="auto"/>
            <w:noWrap/>
            <w:vAlign w:val="center"/>
            <w:hideMark/>
          </w:tcPr>
          <w:p w14:paraId="4D1714DE"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[0-3]</w:t>
            </w:r>
          </w:p>
        </w:tc>
        <w:tc>
          <w:tcPr>
            <w:tcW w:w="952" w:type="dxa"/>
            <w:tcBorders>
              <w:top w:val="single" w:sz="4" w:space="0" w:color="auto"/>
              <w:left w:val="nil"/>
              <w:bottom w:val="nil"/>
              <w:right w:val="nil"/>
            </w:tcBorders>
            <w:shd w:val="clear" w:color="auto" w:fill="auto"/>
            <w:vAlign w:val="center"/>
            <w:hideMark/>
          </w:tcPr>
          <w:p w14:paraId="09885D6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320 (79.4)</w:t>
            </w:r>
          </w:p>
        </w:tc>
        <w:tc>
          <w:tcPr>
            <w:tcW w:w="953" w:type="dxa"/>
            <w:tcBorders>
              <w:top w:val="single" w:sz="4" w:space="0" w:color="auto"/>
              <w:left w:val="nil"/>
              <w:bottom w:val="nil"/>
              <w:right w:val="nil"/>
            </w:tcBorders>
            <w:shd w:val="clear" w:color="auto" w:fill="auto"/>
            <w:vAlign w:val="center"/>
            <w:hideMark/>
          </w:tcPr>
          <w:p w14:paraId="4F73BB5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440 (78.9)</w:t>
            </w:r>
          </w:p>
        </w:tc>
        <w:tc>
          <w:tcPr>
            <w:tcW w:w="953" w:type="dxa"/>
            <w:tcBorders>
              <w:top w:val="single" w:sz="4" w:space="0" w:color="auto"/>
              <w:left w:val="nil"/>
              <w:bottom w:val="nil"/>
              <w:right w:val="nil"/>
            </w:tcBorders>
            <w:shd w:val="clear" w:color="auto" w:fill="auto"/>
            <w:vAlign w:val="center"/>
            <w:hideMark/>
          </w:tcPr>
          <w:p w14:paraId="25E6D5AB"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442 (77.1)</w:t>
            </w:r>
          </w:p>
        </w:tc>
        <w:tc>
          <w:tcPr>
            <w:tcW w:w="953" w:type="dxa"/>
            <w:tcBorders>
              <w:top w:val="single" w:sz="4" w:space="0" w:color="auto"/>
              <w:left w:val="nil"/>
              <w:bottom w:val="nil"/>
              <w:right w:val="nil"/>
            </w:tcBorders>
            <w:shd w:val="clear" w:color="auto" w:fill="auto"/>
            <w:vAlign w:val="center"/>
            <w:hideMark/>
          </w:tcPr>
          <w:p w14:paraId="239FCB8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512 (75.3)</w:t>
            </w:r>
          </w:p>
        </w:tc>
        <w:tc>
          <w:tcPr>
            <w:tcW w:w="953" w:type="dxa"/>
            <w:tcBorders>
              <w:top w:val="single" w:sz="4" w:space="0" w:color="auto"/>
              <w:left w:val="nil"/>
              <w:bottom w:val="nil"/>
              <w:right w:val="nil"/>
            </w:tcBorders>
            <w:shd w:val="clear" w:color="auto" w:fill="auto"/>
            <w:vAlign w:val="center"/>
            <w:hideMark/>
          </w:tcPr>
          <w:p w14:paraId="444FBBA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587 (76.9)</w:t>
            </w:r>
          </w:p>
        </w:tc>
        <w:tc>
          <w:tcPr>
            <w:tcW w:w="953" w:type="dxa"/>
            <w:tcBorders>
              <w:top w:val="single" w:sz="4" w:space="0" w:color="auto"/>
              <w:left w:val="nil"/>
              <w:bottom w:val="nil"/>
              <w:right w:val="nil"/>
            </w:tcBorders>
            <w:shd w:val="clear" w:color="auto" w:fill="auto"/>
            <w:vAlign w:val="center"/>
            <w:hideMark/>
          </w:tcPr>
          <w:p w14:paraId="41DFE08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589 (76.4)</w:t>
            </w:r>
          </w:p>
        </w:tc>
        <w:tc>
          <w:tcPr>
            <w:tcW w:w="953" w:type="dxa"/>
            <w:tcBorders>
              <w:top w:val="single" w:sz="4" w:space="0" w:color="auto"/>
              <w:left w:val="nil"/>
              <w:bottom w:val="nil"/>
              <w:right w:val="nil"/>
            </w:tcBorders>
            <w:shd w:val="clear" w:color="auto" w:fill="auto"/>
            <w:vAlign w:val="center"/>
            <w:hideMark/>
          </w:tcPr>
          <w:p w14:paraId="44B628A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540 (73.5)</w:t>
            </w:r>
          </w:p>
        </w:tc>
        <w:tc>
          <w:tcPr>
            <w:tcW w:w="954" w:type="dxa"/>
            <w:tcBorders>
              <w:top w:val="single" w:sz="4" w:space="0" w:color="auto"/>
              <w:left w:val="nil"/>
              <w:bottom w:val="nil"/>
              <w:right w:val="single" w:sz="4" w:space="0" w:color="auto"/>
            </w:tcBorders>
            <w:shd w:val="clear" w:color="auto" w:fill="auto"/>
            <w:vAlign w:val="center"/>
            <w:hideMark/>
          </w:tcPr>
          <w:p w14:paraId="1B41BD8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528 (75.1)</w:t>
            </w:r>
          </w:p>
        </w:tc>
        <w:tc>
          <w:tcPr>
            <w:tcW w:w="971" w:type="dxa"/>
            <w:tcBorders>
              <w:top w:val="single" w:sz="4" w:space="0" w:color="auto"/>
              <w:left w:val="nil"/>
              <w:bottom w:val="nil"/>
              <w:right w:val="single" w:sz="4" w:space="0" w:color="auto"/>
            </w:tcBorders>
            <w:shd w:val="clear" w:color="auto" w:fill="auto"/>
            <w:noWrap/>
            <w:vAlign w:val="center"/>
            <w:hideMark/>
          </w:tcPr>
          <w:p w14:paraId="44107C05" w14:textId="5BCBB35B"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76.6</w:t>
            </w:r>
          </w:p>
        </w:tc>
      </w:tr>
      <w:tr w:rsidR="009F3440" w:rsidRPr="00DC34FA" w14:paraId="3FA30D5F" w14:textId="77777777" w:rsidTr="00746A71">
        <w:trPr>
          <w:trHeight w:val="460"/>
        </w:trPr>
        <w:tc>
          <w:tcPr>
            <w:tcW w:w="1836" w:type="dxa"/>
            <w:tcBorders>
              <w:top w:val="nil"/>
              <w:left w:val="single" w:sz="4" w:space="0" w:color="auto"/>
              <w:bottom w:val="nil"/>
              <w:right w:val="single" w:sz="4" w:space="0" w:color="auto"/>
            </w:tcBorders>
            <w:shd w:val="clear" w:color="auto" w:fill="auto"/>
            <w:noWrap/>
            <w:vAlign w:val="center"/>
            <w:hideMark/>
          </w:tcPr>
          <w:p w14:paraId="1501E76E"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[4-7]</w:t>
            </w:r>
          </w:p>
        </w:tc>
        <w:tc>
          <w:tcPr>
            <w:tcW w:w="952" w:type="dxa"/>
            <w:tcBorders>
              <w:top w:val="nil"/>
              <w:left w:val="nil"/>
              <w:bottom w:val="nil"/>
              <w:right w:val="nil"/>
            </w:tcBorders>
            <w:shd w:val="clear" w:color="auto" w:fill="auto"/>
            <w:vAlign w:val="center"/>
            <w:hideMark/>
          </w:tcPr>
          <w:p w14:paraId="05181EC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49 (12.2)</w:t>
            </w:r>
          </w:p>
        </w:tc>
        <w:tc>
          <w:tcPr>
            <w:tcW w:w="953" w:type="dxa"/>
            <w:tcBorders>
              <w:top w:val="nil"/>
              <w:left w:val="nil"/>
              <w:bottom w:val="nil"/>
              <w:right w:val="nil"/>
            </w:tcBorders>
            <w:shd w:val="clear" w:color="auto" w:fill="auto"/>
            <w:vAlign w:val="center"/>
            <w:hideMark/>
          </w:tcPr>
          <w:p w14:paraId="0961C4DD"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73 (13.1)</w:t>
            </w:r>
          </w:p>
        </w:tc>
        <w:tc>
          <w:tcPr>
            <w:tcW w:w="953" w:type="dxa"/>
            <w:tcBorders>
              <w:top w:val="nil"/>
              <w:left w:val="nil"/>
              <w:bottom w:val="nil"/>
              <w:right w:val="nil"/>
            </w:tcBorders>
            <w:shd w:val="clear" w:color="auto" w:fill="auto"/>
            <w:vAlign w:val="center"/>
            <w:hideMark/>
          </w:tcPr>
          <w:p w14:paraId="06C9FC7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78 (13.6)</w:t>
            </w:r>
          </w:p>
        </w:tc>
        <w:tc>
          <w:tcPr>
            <w:tcW w:w="953" w:type="dxa"/>
            <w:tcBorders>
              <w:top w:val="nil"/>
              <w:left w:val="nil"/>
              <w:bottom w:val="nil"/>
              <w:right w:val="nil"/>
            </w:tcBorders>
            <w:shd w:val="clear" w:color="auto" w:fill="auto"/>
            <w:vAlign w:val="center"/>
            <w:hideMark/>
          </w:tcPr>
          <w:p w14:paraId="0DE76B8D"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102 (15.0)</w:t>
            </w:r>
          </w:p>
        </w:tc>
        <w:tc>
          <w:tcPr>
            <w:tcW w:w="953" w:type="dxa"/>
            <w:tcBorders>
              <w:top w:val="nil"/>
              <w:left w:val="nil"/>
              <w:bottom w:val="nil"/>
              <w:right w:val="nil"/>
            </w:tcBorders>
            <w:shd w:val="clear" w:color="auto" w:fill="auto"/>
            <w:vAlign w:val="center"/>
            <w:hideMark/>
          </w:tcPr>
          <w:p w14:paraId="0215BF8B"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100 (13.1)</w:t>
            </w:r>
          </w:p>
        </w:tc>
        <w:tc>
          <w:tcPr>
            <w:tcW w:w="953" w:type="dxa"/>
            <w:tcBorders>
              <w:top w:val="nil"/>
              <w:left w:val="nil"/>
              <w:bottom w:val="nil"/>
              <w:right w:val="nil"/>
            </w:tcBorders>
            <w:shd w:val="clear" w:color="auto" w:fill="auto"/>
            <w:vAlign w:val="center"/>
            <w:hideMark/>
          </w:tcPr>
          <w:p w14:paraId="1761D74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95 (12.3)</w:t>
            </w:r>
          </w:p>
        </w:tc>
        <w:tc>
          <w:tcPr>
            <w:tcW w:w="953" w:type="dxa"/>
            <w:tcBorders>
              <w:top w:val="nil"/>
              <w:left w:val="nil"/>
              <w:bottom w:val="nil"/>
              <w:right w:val="nil"/>
            </w:tcBorders>
            <w:shd w:val="clear" w:color="auto" w:fill="auto"/>
            <w:vAlign w:val="center"/>
            <w:hideMark/>
          </w:tcPr>
          <w:p w14:paraId="1F8C262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99 (13.5)</w:t>
            </w:r>
          </w:p>
        </w:tc>
        <w:tc>
          <w:tcPr>
            <w:tcW w:w="954" w:type="dxa"/>
            <w:tcBorders>
              <w:top w:val="nil"/>
              <w:left w:val="nil"/>
              <w:bottom w:val="nil"/>
              <w:right w:val="single" w:sz="4" w:space="0" w:color="auto"/>
            </w:tcBorders>
            <w:shd w:val="clear" w:color="auto" w:fill="auto"/>
            <w:vAlign w:val="center"/>
            <w:hideMark/>
          </w:tcPr>
          <w:p w14:paraId="5EA02D2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93 (13.2)</w:t>
            </w:r>
          </w:p>
        </w:tc>
        <w:tc>
          <w:tcPr>
            <w:tcW w:w="971" w:type="dxa"/>
            <w:tcBorders>
              <w:top w:val="nil"/>
              <w:left w:val="nil"/>
              <w:bottom w:val="nil"/>
              <w:right w:val="single" w:sz="4" w:space="0" w:color="auto"/>
            </w:tcBorders>
            <w:shd w:val="clear" w:color="auto" w:fill="auto"/>
            <w:noWrap/>
            <w:vAlign w:val="center"/>
            <w:hideMark/>
          </w:tcPr>
          <w:p w14:paraId="41F06D6F" w14:textId="145932B7"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13.3</w:t>
            </w:r>
          </w:p>
        </w:tc>
      </w:tr>
      <w:tr w:rsidR="009F3440" w:rsidRPr="00DC34FA" w14:paraId="75031687" w14:textId="77777777" w:rsidTr="00746A71">
        <w:trPr>
          <w:trHeight w:val="460"/>
        </w:trPr>
        <w:tc>
          <w:tcPr>
            <w:tcW w:w="1836" w:type="dxa"/>
            <w:tcBorders>
              <w:top w:val="nil"/>
              <w:left w:val="single" w:sz="4" w:space="0" w:color="auto"/>
              <w:right w:val="single" w:sz="4" w:space="0" w:color="auto"/>
            </w:tcBorders>
            <w:shd w:val="clear" w:color="auto" w:fill="auto"/>
            <w:noWrap/>
            <w:vAlign w:val="center"/>
            <w:hideMark/>
          </w:tcPr>
          <w:p w14:paraId="6D44CB61"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[8-10]</w:t>
            </w:r>
          </w:p>
        </w:tc>
        <w:tc>
          <w:tcPr>
            <w:tcW w:w="952" w:type="dxa"/>
            <w:tcBorders>
              <w:top w:val="nil"/>
              <w:left w:val="nil"/>
              <w:right w:val="nil"/>
            </w:tcBorders>
            <w:shd w:val="clear" w:color="auto" w:fill="auto"/>
            <w:vAlign w:val="center"/>
            <w:hideMark/>
          </w:tcPr>
          <w:p w14:paraId="033B283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 (1.2)</w:t>
            </w:r>
          </w:p>
        </w:tc>
        <w:tc>
          <w:tcPr>
            <w:tcW w:w="953" w:type="dxa"/>
            <w:tcBorders>
              <w:top w:val="nil"/>
              <w:left w:val="nil"/>
              <w:right w:val="nil"/>
            </w:tcBorders>
            <w:shd w:val="clear" w:color="auto" w:fill="auto"/>
            <w:vAlign w:val="center"/>
            <w:hideMark/>
          </w:tcPr>
          <w:p w14:paraId="0F82E06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8 (1.4)</w:t>
            </w:r>
          </w:p>
        </w:tc>
        <w:tc>
          <w:tcPr>
            <w:tcW w:w="953" w:type="dxa"/>
            <w:tcBorders>
              <w:top w:val="nil"/>
              <w:left w:val="nil"/>
              <w:right w:val="nil"/>
            </w:tcBorders>
            <w:shd w:val="clear" w:color="auto" w:fill="auto"/>
            <w:vAlign w:val="center"/>
            <w:hideMark/>
          </w:tcPr>
          <w:p w14:paraId="2AE7DD7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 (3.1)</w:t>
            </w:r>
          </w:p>
        </w:tc>
        <w:tc>
          <w:tcPr>
            <w:tcW w:w="953" w:type="dxa"/>
            <w:tcBorders>
              <w:top w:val="nil"/>
              <w:left w:val="nil"/>
              <w:right w:val="nil"/>
            </w:tcBorders>
            <w:shd w:val="clear" w:color="auto" w:fill="auto"/>
            <w:vAlign w:val="center"/>
            <w:hideMark/>
          </w:tcPr>
          <w:p w14:paraId="1C28B78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 (2.7)</w:t>
            </w:r>
          </w:p>
        </w:tc>
        <w:tc>
          <w:tcPr>
            <w:tcW w:w="953" w:type="dxa"/>
            <w:tcBorders>
              <w:top w:val="nil"/>
              <w:left w:val="nil"/>
              <w:right w:val="nil"/>
            </w:tcBorders>
            <w:shd w:val="clear" w:color="auto" w:fill="auto"/>
            <w:vAlign w:val="center"/>
            <w:hideMark/>
          </w:tcPr>
          <w:p w14:paraId="6114F1C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20 (2.6)</w:t>
            </w:r>
          </w:p>
        </w:tc>
        <w:tc>
          <w:tcPr>
            <w:tcW w:w="953" w:type="dxa"/>
            <w:tcBorders>
              <w:top w:val="nil"/>
              <w:left w:val="nil"/>
              <w:right w:val="nil"/>
            </w:tcBorders>
            <w:shd w:val="clear" w:color="auto" w:fill="auto"/>
            <w:vAlign w:val="center"/>
            <w:hideMark/>
          </w:tcPr>
          <w:p w14:paraId="7B8C73A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 (2.3)</w:t>
            </w:r>
          </w:p>
        </w:tc>
        <w:tc>
          <w:tcPr>
            <w:tcW w:w="953" w:type="dxa"/>
            <w:tcBorders>
              <w:top w:val="nil"/>
              <w:left w:val="nil"/>
              <w:right w:val="nil"/>
            </w:tcBorders>
            <w:shd w:val="clear" w:color="auto" w:fill="auto"/>
            <w:vAlign w:val="center"/>
            <w:hideMark/>
          </w:tcPr>
          <w:p w14:paraId="563D9A0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31 (4.2)</w:t>
            </w:r>
          </w:p>
        </w:tc>
        <w:tc>
          <w:tcPr>
            <w:tcW w:w="954" w:type="dxa"/>
            <w:tcBorders>
              <w:top w:val="nil"/>
              <w:left w:val="nil"/>
              <w:right w:val="single" w:sz="4" w:space="0" w:color="auto"/>
            </w:tcBorders>
            <w:shd w:val="clear" w:color="auto" w:fill="auto"/>
            <w:vAlign w:val="center"/>
            <w:hideMark/>
          </w:tcPr>
          <w:p w14:paraId="144A8F4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22 (3.1)</w:t>
            </w:r>
          </w:p>
        </w:tc>
        <w:tc>
          <w:tcPr>
            <w:tcW w:w="971" w:type="dxa"/>
            <w:tcBorders>
              <w:top w:val="nil"/>
              <w:left w:val="nil"/>
              <w:right w:val="single" w:sz="4" w:space="0" w:color="auto"/>
            </w:tcBorders>
            <w:shd w:val="clear" w:color="auto" w:fill="auto"/>
            <w:noWrap/>
            <w:vAlign w:val="center"/>
            <w:hideMark/>
          </w:tcPr>
          <w:p w14:paraId="0B667780" w14:textId="5285649A"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2.6</w:t>
            </w:r>
          </w:p>
        </w:tc>
      </w:tr>
      <w:tr w:rsidR="009F3440" w:rsidRPr="00DC34FA" w14:paraId="17C97A0C" w14:textId="77777777" w:rsidTr="00746A71">
        <w:trPr>
          <w:trHeight w:val="460"/>
        </w:trPr>
        <w:tc>
          <w:tcPr>
            <w:tcW w:w="1836" w:type="dxa"/>
            <w:tcBorders>
              <w:top w:val="nil"/>
              <w:left w:val="single" w:sz="4" w:space="0" w:color="auto"/>
              <w:bottom w:val="single" w:sz="4" w:space="0" w:color="auto"/>
              <w:right w:val="single" w:sz="4" w:space="0" w:color="auto"/>
            </w:tcBorders>
            <w:shd w:val="clear" w:color="auto" w:fill="auto"/>
            <w:noWrap/>
            <w:vAlign w:val="center"/>
            <w:hideMark/>
          </w:tcPr>
          <w:p w14:paraId="12843F9E"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missing data</w:t>
            </w:r>
          </w:p>
        </w:tc>
        <w:tc>
          <w:tcPr>
            <w:tcW w:w="952" w:type="dxa"/>
            <w:tcBorders>
              <w:top w:val="nil"/>
              <w:left w:val="single" w:sz="4" w:space="0" w:color="auto"/>
              <w:bottom w:val="single" w:sz="4" w:space="0" w:color="auto"/>
            </w:tcBorders>
            <w:shd w:val="clear" w:color="auto" w:fill="auto"/>
            <w:vAlign w:val="center"/>
            <w:hideMark/>
          </w:tcPr>
          <w:p w14:paraId="76894C90"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29 (7.2)</w:t>
            </w:r>
          </w:p>
        </w:tc>
        <w:tc>
          <w:tcPr>
            <w:tcW w:w="953" w:type="dxa"/>
            <w:tcBorders>
              <w:top w:val="nil"/>
              <w:bottom w:val="single" w:sz="4" w:space="0" w:color="auto"/>
            </w:tcBorders>
            <w:shd w:val="clear" w:color="auto" w:fill="auto"/>
            <w:vAlign w:val="center"/>
            <w:hideMark/>
          </w:tcPr>
          <w:p w14:paraId="0C4B2B0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36 (6.5)</w:t>
            </w:r>
          </w:p>
        </w:tc>
        <w:tc>
          <w:tcPr>
            <w:tcW w:w="953" w:type="dxa"/>
            <w:tcBorders>
              <w:top w:val="nil"/>
              <w:bottom w:val="single" w:sz="4" w:space="0" w:color="auto"/>
            </w:tcBorders>
            <w:shd w:val="clear" w:color="auto" w:fill="auto"/>
            <w:vAlign w:val="center"/>
            <w:hideMark/>
          </w:tcPr>
          <w:p w14:paraId="3ABF333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35 (6.1)</w:t>
            </w:r>
          </w:p>
        </w:tc>
        <w:tc>
          <w:tcPr>
            <w:tcW w:w="953" w:type="dxa"/>
            <w:tcBorders>
              <w:top w:val="nil"/>
              <w:bottom w:val="single" w:sz="4" w:space="0" w:color="auto"/>
            </w:tcBorders>
            <w:shd w:val="clear" w:color="auto" w:fill="auto"/>
            <w:vAlign w:val="center"/>
            <w:hideMark/>
          </w:tcPr>
          <w:p w14:paraId="541CA63D"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48 (7.1)</w:t>
            </w:r>
          </w:p>
        </w:tc>
        <w:tc>
          <w:tcPr>
            <w:tcW w:w="953" w:type="dxa"/>
            <w:tcBorders>
              <w:top w:val="nil"/>
              <w:bottom w:val="single" w:sz="4" w:space="0" w:color="auto"/>
            </w:tcBorders>
            <w:shd w:val="clear" w:color="auto" w:fill="auto"/>
            <w:vAlign w:val="center"/>
            <w:hideMark/>
          </w:tcPr>
          <w:p w14:paraId="6A22432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56 (7.3)</w:t>
            </w:r>
          </w:p>
        </w:tc>
        <w:tc>
          <w:tcPr>
            <w:tcW w:w="953" w:type="dxa"/>
            <w:tcBorders>
              <w:top w:val="nil"/>
              <w:bottom w:val="single" w:sz="4" w:space="0" w:color="auto"/>
            </w:tcBorders>
            <w:shd w:val="clear" w:color="auto" w:fill="auto"/>
            <w:vAlign w:val="center"/>
            <w:hideMark/>
          </w:tcPr>
          <w:p w14:paraId="3F773CE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69 (8.9)</w:t>
            </w:r>
          </w:p>
        </w:tc>
        <w:tc>
          <w:tcPr>
            <w:tcW w:w="953" w:type="dxa"/>
            <w:tcBorders>
              <w:top w:val="nil"/>
              <w:bottom w:val="single" w:sz="4" w:space="0" w:color="auto"/>
            </w:tcBorders>
            <w:shd w:val="clear" w:color="auto" w:fill="auto"/>
            <w:vAlign w:val="center"/>
            <w:hideMark/>
          </w:tcPr>
          <w:p w14:paraId="5C6969C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65 (8.8)</w:t>
            </w:r>
          </w:p>
        </w:tc>
        <w:tc>
          <w:tcPr>
            <w:tcW w:w="954" w:type="dxa"/>
            <w:tcBorders>
              <w:top w:val="nil"/>
              <w:bottom w:val="single" w:sz="4" w:space="0" w:color="auto"/>
              <w:right w:val="single" w:sz="4" w:space="0" w:color="auto"/>
            </w:tcBorders>
            <w:shd w:val="clear" w:color="auto" w:fill="auto"/>
            <w:vAlign w:val="center"/>
            <w:hideMark/>
          </w:tcPr>
          <w:p w14:paraId="530BBFA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60 (8.5)</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14:paraId="04C51529" w14:textId="293B10A7"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7.6</w:t>
            </w:r>
          </w:p>
        </w:tc>
      </w:tr>
      <w:tr w:rsidR="009F3440" w:rsidRPr="00B753EA" w14:paraId="0AFAB47C"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5BE205" w14:textId="77777777" w:rsidR="009F3440" w:rsidRPr="00B753EA" w:rsidRDefault="009F3440" w:rsidP="00903106">
            <w:pPr>
              <w:rPr>
                <w:rFonts w:ascii="Arial" w:eastAsia="Times New Roman" w:hAnsi="Arial" w:cs="Arial"/>
                <w:bCs/>
                <w:color w:val="000000"/>
                <w:sz w:val="20"/>
                <w:szCs w:val="20"/>
              </w:rPr>
            </w:pPr>
            <w:r w:rsidRPr="00B753EA">
              <w:rPr>
                <w:rFonts w:ascii="Arial" w:eastAsia="Times New Roman" w:hAnsi="Arial" w:cs="Arial"/>
                <w:b/>
                <w:bCs/>
                <w:color w:val="000000"/>
                <w:sz w:val="20"/>
                <w:szCs w:val="20"/>
              </w:rPr>
              <w:t xml:space="preserve">Apgar score at </w:t>
            </w:r>
            <w:r w:rsidRPr="00DC34FA">
              <w:rPr>
                <w:rFonts w:ascii="Arial" w:eastAsia="Times New Roman" w:hAnsi="Arial" w:cs="Arial"/>
                <w:b/>
                <w:bCs/>
                <w:color w:val="000000"/>
                <w:sz w:val="20"/>
                <w:szCs w:val="20"/>
              </w:rPr>
              <w:t>5min</w:t>
            </w:r>
            <w:r>
              <w:rPr>
                <w:rFonts w:ascii="Arial" w:eastAsia="Times New Roman" w:hAnsi="Arial" w:cs="Arial"/>
                <w:bCs/>
                <w:color w:val="000000"/>
                <w:sz w:val="20"/>
                <w:szCs w:val="20"/>
              </w:rPr>
              <w:t>,</w:t>
            </w:r>
            <w:r>
              <w:rPr>
                <w:rFonts w:ascii="Arial" w:eastAsia="Times New Roman" w:hAnsi="Arial" w:cs="Arial"/>
                <w:b/>
                <w:bCs/>
                <w:color w:val="000000"/>
                <w:sz w:val="20"/>
                <w:szCs w:val="20"/>
              </w:rPr>
              <w:t xml:space="preserve"> </w:t>
            </w:r>
            <w:r w:rsidRPr="00A72FDC">
              <w:rPr>
                <w:rFonts w:ascii="Arial" w:eastAsia="Times New Roman" w:hAnsi="Arial" w:cs="Arial"/>
                <w:bCs/>
                <w:color w:val="000000"/>
                <w:sz w:val="20"/>
                <w:szCs w:val="20"/>
              </w:rPr>
              <w:t>c</w:t>
            </w:r>
            <w:r w:rsidRPr="00DC34FA">
              <w:rPr>
                <w:rFonts w:ascii="Arial" w:eastAsia="Times New Roman" w:hAnsi="Arial" w:cs="Arial"/>
                <w:bCs/>
                <w:color w:val="000000"/>
                <w:sz w:val="20"/>
                <w:szCs w:val="20"/>
              </w:rPr>
              <w:t>ount (%)</w:t>
            </w:r>
          </w:p>
        </w:tc>
      </w:tr>
      <w:tr w:rsidR="009F3440" w:rsidRPr="00DC34FA" w14:paraId="2344FDCF" w14:textId="77777777" w:rsidTr="00746A71">
        <w:trPr>
          <w:trHeight w:val="460"/>
        </w:trPr>
        <w:tc>
          <w:tcPr>
            <w:tcW w:w="1836" w:type="dxa"/>
            <w:tcBorders>
              <w:top w:val="single" w:sz="4" w:space="0" w:color="auto"/>
              <w:left w:val="single" w:sz="4" w:space="0" w:color="auto"/>
              <w:bottom w:val="nil"/>
              <w:right w:val="single" w:sz="4" w:space="0" w:color="auto"/>
            </w:tcBorders>
            <w:shd w:val="clear" w:color="auto" w:fill="auto"/>
            <w:noWrap/>
            <w:vAlign w:val="center"/>
            <w:hideMark/>
          </w:tcPr>
          <w:p w14:paraId="4EEAA448"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[0-3]</w:t>
            </w:r>
          </w:p>
        </w:tc>
        <w:tc>
          <w:tcPr>
            <w:tcW w:w="952" w:type="dxa"/>
            <w:tcBorders>
              <w:top w:val="nil"/>
              <w:left w:val="single" w:sz="4" w:space="0" w:color="auto"/>
              <w:bottom w:val="nil"/>
              <w:right w:val="nil"/>
            </w:tcBorders>
            <w:shd w:val="clear" w:color="auto" w:fill="auto"/>
            <w:vAlign w:val="center"/>
            <w:hideMark/>
          </w:tcPr>
          <w:p w14:paraId="1AAD309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162 (40.2)</w:t>
            </w:r>
          </w:p>
        </w:tc>
        <w:tc>
          <w:tcPr>
            <w:tcW w:w="953" w:type="dxa"/>
            <w:tcBorders>
              <w:top w:val="nil"/>
              <w:left w:val="nil"/>
              <w:bottom w:val="nil"/>
              <w:right w:val="nil"/>
            </w:tcBorders>
            <w:shd w:val="clear" w:color="auto" w:fill="auto"/>
            <w:vAlign w:val="center"/>
            <w:hideMark/>
          </w:tcPr>
          <w:p w14:paraId="012D701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241 (43.3)</w:t>
            </w:r>
          </w:p>
        </w:tc>
        <w:tc>
          <w:tcPr>
            <w:tcW w:w="953" w:type="dxa"/>
            <w:tcBorders>
              <w:top w:val="nil"/>
              <w:left w:val="nil"/>
              <w:bottom w:val="nil"/>
              <w:right w:val="nil"/>
            </w:tcBorders>
            <w:shd w:val="clear" w:color="auto" w:fill="auto"/>
            <w:vAlign w:val="center"/>
            <w:hideMark/>
          </w:tcPr>
          <w:p w14:paraId="4732D3E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218 (38.1)</w:t>
            </w:r>
          </w:p>
        </w:tc>
        <w:tc>
          <w:tcPr>
            <w:tcW w:w="953" w:type="dxa"/>
            <w:tcBorders>
              <w:top w:val="nil"/>
              <w:left w:val="nil"/>
              <w:bottom w:val="nil"/>
              <w:right w:val="nil"/>
            </w:tcBorders>
            <w:shd w:val="clear" w:color="auto" w:fill="auto"/>
            <w:vAlign w:val="center"/>
            <w:hideMark/>
          </w:tcPr>
          <w:p w14:paraId="03F8878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272 (40.0)</w:t>
            </w:r>
          </w:p>
        </w:tc>
        <w:tc>
          <w:tcPr>
            <w:tcW w:w="953" w:type="dxa"/>
            <w:tcBorders>
              <w:top w:val="nil"/>
              <w:left w:val="nil"/>
              <w:bottom w:val="nil"/>
              <w:right w:val="nil"/>
            </w:tcBorders>
            <w:shd w:val="clear" w:color="auto" w:fill="auto"/>
            <w:vAlign w:val="center"/>
            <w:hideMark/>
          </w:tcPr>
          <w:p w14:paraId="707360D0"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282 (36.9)</w:t>
            </w:r>
          </w:p>
        </w:tc>
        <w:tc>
          <w:tcPr>
            <w:tcW w:w="953" w:type="dxa"/>
            <w:tcBorders>
              <w:top w:val="nil"/>
              <w:left w:val="nil"/>
              <w:bottom w:val="nil"/>
              <w:right w:val="nil"/>
            </w:tcBorders>
            <w:shd w:val="clear" w:color="auto" w:fill="auto"/>
            <w:vAlign w:val="center"/>
            <w:hideMark/>
          </w:tcPr>
          <w:p w14:paraId="1555FC8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287 (37.2)</w:t>
            </w:r>
          </w:p>
        </w:tc>
        <w:tc>
          <w:tcPr>
            <w:tcW w:w="953" w:type="dxa"/>
            <w:tcBorders>
              <w:top w:val="nil"/>
              <w:left w:val="nil"/>
              <w:bottom w:val="nil"/>
              <w:right w:val="nil"/>
            </w:tcBorders>
            <w:shd w:val="clear" w:color="auto" w:fill="auto"/>
            <w:vAlign w:val="center"/>
            <w:hideMark/>
          </w:tcPr>
          <w:p w14:paraId="1EC6AA2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272 (37.0)</w:t>
            </w:r>
          </w:p>
        </w:tc>
        <w:tc>
          <w:tcPr>
            <w:tcW w:w="954" w:type="dxa"/>
            <w:tcBorders>
              <w:top w:val="nil"/>
              <w:left w:val="nil"/>
              <w:bottom w:val="nil"/>
              <w:right w:val="single" w:sz="4" w:space="0" w:color="auto"/>
            </w:tcBorders>
            <w:shd w:val="clear" w:color="auto" w:fill="auto"/>
            <w:vAlign w:val="center"/>
            <w:hideMark/>
          </w:tcPr>
          <w:p w14:paraId="467985F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261 (37.1)</w:t>
            </w:r>
          </w:p>
        </w:tc>
        <w:tc>
          <w:tcPr>
            <w:tcW w:w="971" w:type="dxa"/>
            <w:tcBorders>
              <w:top w:val="single" w:sz="4" w:space="0" w:color="auto"/>
              <w:left w:val="single" w:sz="4" w:space="0" w:color="auto"/>
              <w:bottom w:val="nil"/>
              <w:right w:val="single" w:sz="4" w:space="0" w:color="auto"/>
            </w:tcBorders>
            <w:shd w:val="clear" w:color="auto" w:fill="auto"/>
            <w:noWrap/>
            <w:vAlign w:val="center"/>
            <w:hideMark/>
          </w:tcPr>
          <w:p w14:paraId="3F14FD44" w14:textId="5645DF17"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38.7</w:t>
            </w:r>
          </w:p>
        </w:tc>
      </w:tr>
      <w:tr w:rsidR="009F3440" w:rsidRPr="00DC34FA" w14:paraId="1AEBAED1" w14:textId="77777777" w:rsidTr="00746A71">
        <w:trPr>
          <w:trHeight w:val="460"/>
        </w:trPr>
        <w:tc>
          <w:tcPr>
            <w:tcW w:w="1836" w:type="dxa"/>
            <w:tcBorders>
              <w:top w:val="nil"/>
              <w:left w:val="single" w:sz="4" w:space="0" w:color="auto"/>
              <w:right w:val="single" w:sz="4" w:space="0" w:color="auto"/>
            </w:tcBorders>
            <w:shd w:val="clear" w:color="auto" w:fill="auto"/>
            <w:noWrap/>
            <w:vAlign w:val="center"/>
            <w:hideMark/>
          </w:tcPr>
          <w:p w14:paraId="28C9BB74"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[4-7]</w:t>
            </w:r>
          </w:p>
        </w:tc>
        <w:tc>
          <w:tcPr>
            <w:tcW w:w="952" w:type="dxa"/>
            <w:tcBorders>
              <w:top w:val="nil"/>
              <w:left w:val="single" w:sz="4" w:space="0" w:color="auto"/>
              <w:bottom w:val="nil"/>
              <w:right w:val="nil"/>
            </w:tcBorders>
            <w:shd w:val="clear" w:color="auto" w:fill="auto"/>
            <w:vAlign w:val="center"/>
            <w:hideMark/>
          </w:tcPr>
          <w:p w14:paraId="5E290F0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193 (47.9)</w:t>
            </w:r>
          </w:p>
        </w:tc>
        <w:tc>
          <w:tcPr>
            <w:tcW w:w="953" w:type="dxa"/>
            <w:tcBorders>
              <w:top w:val="nil"/>
              <w:left w:val="nil"/>
              <w:bottom w:val="nil"/>
              <w:right w:val="nil"/>
            </w:tcBorders>
            <w:shd w:val="clear" w:color="auto" w:fill="auto"/>
            <w:vAlign w:val="center"/>
            <w:hideMark/>
          </w:tcPr>
          <w:p w14:paraId="6832811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253 (45.4)</w:t>
            </w:r>
          </w:p>
        </w:tc>
        <w:tc>
          <w:tcPr>
            <w:tcW w:w="953" w:type="dxa"/>
            <w:tcBorders>
              <w:top w:val="nil"/>
              <w:left w:val="nil"/>
              <w:bottom w:val="nil"/>
              <w:right w:val="nil"/>
            </w:tcBorders>
            <w:shd w:val="clear" w:color="auto" w:fill="auto"/>
            <w:vAlign w:val="center"/>
            <w:hideMark/>
          </w:tcPr>
          <w:p w14:paraId="748F51B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275 (47.9)</w:t>
            </w:r>
          </w:p>
        </w:tc>
        <w:tc>
          <w:tcPr>
            <w:tcW w:w="953" w:type="dxa"/>
            <w:tcBorders>
              <w:top w:val="nil"/>
              <w:left w:val="nil"/>
              <w:bottom w:val="nil"/>
              <w:right w:val="nil"/>
            </w:tcBorders>
            <w:shd w:val="clear" w:color="auto" w:fill="auto"/>
            <w:vAlign w:val="center"/>
            <w:hideMark/>
          </w:tcPr>
          <w:p w14:paraId="393F4ED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307 (45.2)</w:t>
            </w:r>
          </w:p>
        </w:tc>
        <w:tc>
          <w:tcPr>
            <w:tcW w:w="953" w:type="dxa"/>
            <w:tcBorders>
              <w:top w:val="nil"/>
              <w:left w:val="nil"/>
              <w:bottom w:val="nil"/>
              <w:right w:val="nil"/>
            </w:tcBorders>
            <w:shd w:val="clear" w:color="auto" w:fill="auto"/>
            <w:vAlign w:val="center"/>
            <w:hideMark/>
          </w:tcPr>
          <w:p w14:paraId="4CC1960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368 (48.2)</w:t>
            </w:r>
          </w:p>
        </w:tc>
        <w:tc>
          <w:tcPr>
            <w:tcW w:w="953" w:type="dxa"/>
            <w:tcBorders>
              <w:top w:val="nil"/>
              <w:left w:val="nil"/>
              <w:bottom w:val="nil"/>
              <w:right w:val="nil"/>
            </w:tcBorders>
            <w:shd w:val="clear" w:color="auto" w:fill="auto"/>
            <w:vAlign w:val="center"/>
            <w:hideMark/>
          </w:tcPr>
          <w:p w14:paraId="39A6772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359 (46.6)</w:t>
            </w:r>
          </w:p>
        </w:tc>
        <w:tc>
          <w:tcPr>
            <w:tcW w:w="953" w:type="dxa"/>
            <w:tcBorders>
              <w:top w:val="nil"/>
              <w:left w:val="nil"/>
              <w:bottom w:val="nil"/>
              <w:right w:val="nil"/>
            </w:tcBorders>
            <w:shd w:val="clear" w:color="auto" w:fill="auto"/>
            <w:vAlign w:val="center"/>
            <w:hideMark/>
          </w:tcPr>
          <w:p w14:paraId="42359B0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352 (47.9)</w:t>
            </w:r>
          </w:p>
        </w:tc>
        <w:tc>
          <w:tcPr>
            <w:tcW w:w="954" w:type="dxa"/>
            <w:tcBorders>
              <w:top w:val="nil"/>
              <w:left w:val="nil"/>
              <w:bottom w:val="nil"/>
              <w:right w:val="single" w:sz="4" w:space="0" w:color="auto"/>
            </w:tcBorders>
            <w:shd w:val="clear" w:color="auto" w:fill="auto"/>
            <w:vAlign w:val="center"/>
            <w:hideMark/>
          </w:tcPr>
          <w:p w14:paraId="1D8984E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320 (45.5)</w:t>
            </w:r>
          </w:p>
        </w:tc>
        <w:tc>
          <w:tcPr>
            <w:tcW w:w="971" w:type="dxa"/>
            <w:tcBorders>
              <w:top w:val="nil"/>
              <w:left w:val="single" w:sz="4" w:space="0" w:color="auto"/>
              <w:bottom w:val="nil"/>
              <w:right w:val="single" w:sz="4" w:space="0" w:color="auto"/>
            </w:tcBorders>
            <w:shd w:val="clear" w:color="auto" w:fill="auto"/>
            <w:noWrap/>
            <w:vAlign w:val="center"/>
            <w:hideMark/>
          </w:tcPr>
          <w:p w14:paraId="3FBB990F" w14:textId="1A801439"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46.8</w:t>
            </w:r>
          </w:p>
        </w:tc>
      </w:tr>
      <w:tr w:rsidR="009F3440" w:rsidRPr="00DC34FA" w14:paraId="37F50E01" w14:textId="77777777" w:rsidTr="00746A71">
        <w:trPr>
          <w:trHeight w:val="460"/>
        </w:trPr>
        <w:tc>
          <w:tcPr>
            <w:tcW w:w="1836" w:type="dxa"/>
            <w:tcBorders>
              <w:top w:val="nil"/>
              <w:left w:val="single" w:sz="4" w:space="0" w:color="auto"/>
              <w:right w:val="single" w:sz="4" w:space="0" w:color="auto"/>
            </w:tcBorders>
            <w:shd w:val="clear" w:color="auto" w:fill="auto"/>
            <w:noWrap/>
            <w:vAlign w:val="center"/>
            <w:hideMark/>
          </w:tcPr>
          <w:p w14:paraId="5E9E3DA6"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[8-10]</w:t>
            </w:r>
          </w:p>
        </w:tc>
        <w:tc>
          <w:tcPr>
            <w:tcW w:w="952" w:type="dxa"/>
            <w:tcBorders>
              <w:top w:val="nil"/>
              <w:left w:val="single" w:sz="4" w:space="0" w:color="auto"/>
              <w:bottom w:val="nil"/>
              <w:right w:val="nil"/>
            </w:tcBorders>
            <w:shd w:val="clear" w:color="auto" w:fill="auto"/>
            <w:vAlign w:val="center"/>
            <w:hideMark/>
          </w:tcPr>
          <w:p w14:paraId="77AFEC3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 (4.2)</w:t>
            </w:r>
          </w:p>
        </w:tc>
        <w:tc>
          <w:tcPr>
            <w:tcW w:w="953" w:type="dxa"/>
            <w:tcBorders>
              <w:top w:val="nil"/>
              <w:left w:val="nil"/>
              <w:bottom w:val="nil"/>
              <w:right w:val="nil"/>
            </w:tcBorders>
            <w:shd w:val="clear" w:color="auto" w:fill="auto"/>
            <w:vAlign w:val="center"/>
            <w:hideMark/>
          </w:tcPr>
          <w:p w14:paraId="3305A47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26 (4.7)</w:t>
            </w:r>
          </w:p>
        </w:tc>
        <w:tc>
          <w:tcPr>
            <w:tcW w:w="953" w:type="dxa"/>
            <w:tcBorders>
              <w:top w:val="nil"/>
              <w:left w:val="nil"/>
              <w:bottom w:val="nil"/>
              <w:right w:val="nil"/>
            </w:tcBorders>
            <w:shd w:val="clear" w:color="auto" w:fill="auto"/>
            <w:vAlign w:val="center"/>
            <w:hideMark/>
          </w:tcPr>
          <w:p w14:paraId="7A8342C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44 (7.7)</w:t>
            </w:r>
          </w:p>
        </w:tc>
        <w:tc>
          <w:tcPr>
            <w:tcW w:w="953" w:type="dxa"/>
            <w:tcBorders>
              <w:top w:val="nil"/>
              <w:left w:val="nil"/>
              <w:bottom w:val="nil"/>
              <w:right w:val="nil"/>
            </w:tcBorders>
            <w:shd w:val="clear" w:color="auto" w:fill="auto"/>
            <w:vAlign w:val="center"/>
            <w:hideMark/>
          </w:tcPr>
          <w:p w14:paraId="18A55BBB"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55 (8.1)</w:t>
            </w:r>
          </w:p>
        </w:tc>
        <w:tc>
          <w:tcPr>
            <w:tcW w:w="953" w:type="dxa"/>
            <w:tcBorders>
              <w:top w:val="nil"/>
              <w:left w:val="nil"/>
              <w:bottom w:val="nil"/>
              <w:right w:val="nil"/>
            </w:tcBorders>
            <w:shd w:val="clear" w:color="auto" w:fill="auto"/>
            <w:vAlign w:val="center"/>
            <w:hideMark/>
          </w:tcPr>
          <w:p w14:paraId="1ABCD89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61 (7.9)</w:t>
            </w:r>
          </w:p>
        </w:tc>
        <w:tc>
          <w:tcPr>
            <w:tcW w:w="953" w:type="dxa"/>
            <w:tcBorders>
              <w:top w:val="nil"/>
              <w:left w:val="nil"/>
              <w:bottom w:val="nil"/>
              <w:right w:val="nil"/>
            </w:tcBorders>
            <w:shd w:val="clear" w:color="auto" w:fill="auto"/>
            <w:vAlign w:val="center"/>
            <w:hideMark/>
          </w:tcPr>
          <w:p w14:paraId="59CE19E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56 (7.3)</w:t>
            </w:r>
          </w:p>
        </w:tc>
        <w:tc>
          <w:tcPr>
            <w:tcW w:w="953" w:type="dxa"/>
            <w:tcBorders>
              <w:top w:val="nil"/>
              <w:left w:val="nil"/>
              <w:bottom w:val="nil"/>
              <w:right w:val="nil"/>
            </w:tcBorders>
            <w:shd w:val="clear" w:color="auto" w:fill="auto"/>
            <w:vAlign w:val="center"/>
            <w:hideMark/>
          </w:tcPr>
          <w:p w14:paraId="52C3C4B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54 (7.4)</w:t>
            </w:r>
          </w:p>
        </w:tc>
        <w:tc>
          <w:tcPr>
            <w:tcW w:w="954" w:type="dxa"/>
            <w:tcBorders>
              <w:top w:val="nil"/>
              <w:left w:val="nil"/>
              <w:bottom w:val="nil"/>
              <w:right w:val="single" w:sz="4" w:space="0" w:color="auto"/>
            </w:tcBorders>
            <w:shd w:val="clear" w:color="auto" w:fill="auto"/>
            <w:vAlign w:val="center"/>
            <w:hideMark/>
          </w:tcPr>
          <w:p w14:paraId="3B5DD97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60 (8.5)</w:t>
            </w:r>
          </w:p>
        </w:tc>
        <w:tc>
          <w:tcPr>
            <w:tcW w:w="971" w:type="dxa"/>
            <w:tcBorders>
              <w:top w:val="nil"/>
              <w:left w:val="single" w:sz="4" w:space="0" w:color="auto"/>
              <w:right w:val="single" w:sz="4" w:space="0" w:color="auto"/>
            </w:tcBorders>
            <w:shd w:val="clear" w:color="auto" w:fill="auto"/>
            <w:noWrap/>
            <w:vAlign w:val="center"/>
            <w:hideMark/>
          </w:tcPr>
          <w:p w14:paraId="1A6BE320" w14:textId="0D4E63E7"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7.0</w:t>
            </w:r>
          </w:p>
        </w:tc>
      </w:tr>
      <w:tr w:rsidR="009F3440" w:rsidRPr="00DC34FA" w14:paraId="1D1A47A1" w14:textId="77777777" w:rsidTr="00746A71">
        <w:trPr>
          <w:trHeight w:val="460"/>
        </w:trPr>
        <w:tc>
          <w:tcPr>
            <w:tcW w:w="1836" w:type="dxa"/>
            <w:tcBorders>
              <w:left w:val="single" w:sz="4" w:space="0" w:color="auto"/>
              <w:bottom w:val="nil"/>
              <w:right w:val="single" w:sz="4" w:space="0" w:color="auto"/>
            </w:tcBorders>
            <w:shd w:val="clear" w:color="auto" w:fill="auto"/>
            <w:noWrap/>
            <w:vAlign w:val="center"/>
            <w:hideMark/>
          </w:tcPr>
          <w:p w14:paraId="4F270BDD" w14:textId="77777777" w:rsidR="009F3440" w:rsidRPr="00B753EA" w:rsidRDefault="009F3440" w:rsidP="00903106">
            <w:pPr>
              <w:jc w:val="right"/>
              <w:rPr>
                <w:rFonts w:ascii="Arial" w:eastAsia="Times New Roman" w:hAnsi="Arial" w:cs="Arial"/>
                <w:color w:val="000000"/>
                <w:sz w:val="20"/>
                <w:szCs w:val="20"/>
              </w:rPr>
            </w:pPr>
            <w:r w:rsidRPr="00B753EA">
              <w:rPr>
                <w:rFonts w:ascii="Arial" w:eastAsia="Times New Roman" w:hAnsi="Arial" w:cs="Arial"/>
                <w:color w:val="000000"/>
                <w:sz w:val="20"/>
                <w:szCs w:val="20"/>
              </w:rPr>
              <w:t>missing data</w:t>
            </w:r>
          </w:p>
        </w:tc>
        <w:tc>
          <w:tcPr>
            <w:tcW w:w="952" w:type="dxa"/>
            <w:tcBorders>
              <w:top w:val="nil"/>
              <w:left w:val="single" w:sz="4" w:space="0" w:color="auto"/>
              <w:bottom w:val="nil"/>
              <w:right w:val="nil"/>
            </w:tcBorders>
            <w:shd w:val="clear" w:color="auto" w:fill="auto"/>
            <w:vAlign w:val="center"/>
            <w:hideMark/>
          </w:tcPr>
          <w:p w14:paraId="27FEEC6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31 (7.7)</w:t>
            </w:r>
          </w:p>
        </w:tc>
        <w:tc>
          <w:tcPr>
            <w:tcW w:w="953" w:type="dxa"/>
            <w:tcBorders>
              <w:top w:val="nil"/>
              <w:left w:val="nil"/>
              <w:bottom w:val="nil"/>
              <w:right w:val="nil"/>
            </w:tcBorders>
            <w:shd w:val="clear" w:color="auto" w:fill="auto"/>
            <w:vAlign w:val="center"/>
            <w:hideMark/>
          </w:tcPr>
          <w:p w14:paraId="79C04AC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37 (6.6)</w:t>
            </w:r>
          </w:p>
        </w:tc>
        <w:tc>
          <w:tcPr>
            <w:tcW w:w="953" w:type="dxa"/>
            <w:tcBorders>
              <w:top w:val="nil"/>
              <w:left w:val="nil"/>
              <w:bottom w:val="nil"/>
              <w:right w:val="nil"/>
            </w:tcBorders>
            <w:shd w:val="clear" w:color="auto" w:fill="auto"/>
            <w:vAlign w:val="center"/>
            <w:hideMark/>
          </w:tcPr>
          <w:p w14:paraId="61020EA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36 (6.3)</w:t>
            </w:r>
          </w:p>
        </w:tc>
        <w:tc>
          <w:tcPr>
            <w:tcW w:w="953" w:type="dxa"/>
            <w:tcBorders>
              <w:top w:val="nil"/>
              <w:left w:val="nil"/>
              <w:bottom w:val="nil"/>
              <w:right w:val="nil"/>
            </w:tcBorders>
            <w:shd w:val="clear" w:color="auto" w:fill="auto"/>
            <w:vAlign w:val="center"/>
            <w:hideMark/>
          </w:tcPr>
          <w:p w14:paraId="26F8426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46 (6.8)</w:t>
            </w:r>
          </w:p>
        </w:tc>
        <w:tc>
          <w:tcPr>
            <w:tcW w:w="953" w:type="dxa"/>
            <w:tcBorders>
              <w:top w:val="nil"/>
              <w:left w:val="nil"/>
              <w:bottom w:val="nil"/>
              <w:right w:val="nil"/>
            </w:tcBorders>
            <w:shd w:val="clear" w:color="auto" w:fill="auto"/>
            <w:vAlign w:val="center"/>
            <w:hideMark/>
          </w:tcPr>
          <w:p w14:paraId="1D1761CD"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52 (6.8)</w:t>
            </w:r>
          </w:p>
        </w:tc>
        <w:tc>
          <w:tcPr>
            <w:tcW w:w="953" w:type="dxa"/>
            <w:tcBorders>
              <w:top w:val="nil"/>
              <w:left w:val="nil"/>
              <w:bottom w:val="nil"/>
              <w:right w:val="nil"/>
            </w:tcBorders>
            <w:shd w:val="clear" w:color="auto" w:fill="auto"/>
            <w:vAlign w:val="center"/>
            <w:hideMark/>
          </w:tcPr>
          <w:p w14:paraId="250FB1CB"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69 (8.9)</w:t>
            </w:r>
          </w:p>
        </w:tc>
        <w:tc>
          <w:tcPr>
            <w:tcW w:w="953" w:type="dxa"/>
            <w:tcBorders>
              <w:top w:val="nil"/>
              <w:left w:val="nil"/>
              <w:bottom w:val="nil"/>
              <w:right w:val="nil"/>
            </w:tcBorders>
            <w:shd w:val="clear" w:color="auto" w:fill="auto"/>
            <w:vAlign w:val="center"/>
            <w:hideMark/>
          </w:tcPr>
          <w:p w14:paraId="662474B0"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57 (7.8)</w:t>
            </w:r>
          </w:p>
        </w:tc>
        <w:tc>
          <w:tcPr>
            <w:tcW w:w="954" w:type="dxa"/>
            <w:tcBorders>
              <w:top w:val="nil"/>
              <w:left w:val="nil"/>
              <w:bottom w:val="nil"/>
              <w:right w:val="single" w:sz="4" w:space="0" w:color="auto"/>
            </w:tcBorders>
            <w:shd w:val="clear" w:color="auto" w:fill="auto"/>
            <w:vAlign w:val="center"/>
            <w:hideMark/>
          </w:tcPr>
          <w:p w14:paraId="1F9D69C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62 (8.8)</w:t>
            </w:r>
          </w:p>
        </w:tc>
        <w:tc>
          <w:tcPr>
            <w:tcW w:w="971" w:type="dxa"/>
            <w:tcBorders>
              <w:left w:val="single" w:sz="4" w:space="0" w:color="auto"/>
              <w:bottom w:val="single" w:sz="4" w:space="0" w:color="auto"/>
              <w:right w:val="single" w:sz="4" w:space="0" w:color="auto"/>
            </w:tcBorders>
            <w:shd w:val="clear" w:color="auto" w:fill="auto"/>
            <w:noWrap/>
            <w:vAlign w:val="center"/>
            <w:hideMark/>
          </w:tcPr>
          <w:p w14:paraId="74EF5845" w14:textId="70ED8E45"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7.5</w:t>
            </w:r>
          </w:p>
        </w:tc>
      </w:tr>
      <w:tr w:rsidR="009F3440" w:rsidRPr="00B753EA" w14:paraId="29726A13"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3AA902"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xml:space="preserve">Intubation at </w:t>
            </w:r>
            <w:r>
              <w:rPr>
                <w:rFonts w:ascii="Arial" w:eastAsia="Times New Roman" w:hAnsi="Arial" w:cs="Arial"/>
                <w:b/>
                <w:bCs/>
                <w:color w:val="000000"/>
                <w:sz w:val="20"/>
                <w:szCs w:val="20"/>
              </w:rPr>
              <w:t>delivery</w:t>
            </w:r>
          </w:p>
        </w:tc>
      </w:tr>
      <w:tr w:rsidR="009F3440" w:rsidRPr="00DC34FA" w14:paraId="01E945B2" w14:textId="77777777" w:rsidTr="00746A71">
        <w:trPr>
          <w:trHeight w:val="273"/>
        </w:trPr>
        <w:tc>
          <w:tcPr>
            <w:tcW w:w="1836" w:type="dxa"/>
            <w:tcBorders>
              <w:top w:val="nil"/>
              <w:left w:val="single" w:sz="4" w:space="0" w:color="auto"/>
              <w:bottom w:val="nil"/>
              <w:right w:val="nil"/>
            </w:tcBorders>
            <w:shd w:val="clear" w:color="auto" w:fill="auto"/>
            <w:noWrap/>
            <w:vAlign w:val="center"/>
            <w:hideMark/>
          </w:tcPr>
          <w:p w14:paraId="255C2529" w14:textId="77777777" w:rsidR="009F3440" w:rsidRPr="00B753EA" w:rsidRDefault="009F3440" w:rsidP="00903106">
            <w:pPr>
              <w:rPr>
                <w:rFonts w:ascii="Arial" w:eastAsia="Times New Roman" w:hAnsi="Arial" w:cs="Arial"/>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5B0A499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283 (70.2)</w:t>
            </w:r>
          </w:p>
        </w:tc>
        <w:tc>
          <w:tcPr>
            <w:tcW w:w="953" w:type="dxa"/>
            <w:tcBorders>
              <w:top w:val="nil"/>
              <w:left w:val="nil"/>
              <w:bottom w:val="single" w:sz="4" w:space="0" w:color="auto"/>
              <w:right w:val="nil"/>
            </w:tcBorders>
            <w:shd w:val="clear" w:color="auto" w:fill="auto"/>
            <w:vAlign w:val="center"/>
            <w:hideMark/>
          </w:tcPr>
          <w:p w14:paraId="34B632C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405 (72.7)</w:t>
            </w:r>
          </w:p>
        </w:tc>
        <w:tc>
          <w:tcPr>
            <w:tcW w:w="953" w:type="dxa"/>
            <w:tcBorders>
              <w:top w:val="nil"/>
              <w:left w:val="nil"/>
              <w:bottom w:val="single" w:sz="4" w:space="0" w:color="auto"/>
              <w:right w:val="nil"/>
            </w:tcBorders>
            <w:shd w:val="clear" w:color="auto" w:fill="auto"/>
            <w:vAlign w:val="center"/>
            <w:hideMark/>
          </w:tcPr>
          <w:p w14:paraId="4CC7892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400 (69.8)</w:t>
            </w:r>
          </w:p>
        </w:tc>
        <w:tc>
          <w:tcPr>
            <w:tcW w:w="953" w:type="dxa"/>
            <w:tcBorders>
              <w:top w:val="nil"/>
              <w:left w:val="nil"/>
              <w:bottom w:val="single" w:sz="4" w:space="0" w:color="auto"/>
              <w:right w:val="nil"/>
            </w:tcBorders>
            <w:shd w:val="clear" w:color="auto" w:fill="auto"/>
            <w:vAlign w:val="center"/>
            <w:hideMark/>
          </w:tcPr>
          <w:p w14:paraId="1DE4D31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446 (65.6)</w:t>
            </w:r>
          </w:p>
        </w:tc>
        <w:tc>
          <w:tcPr>
            <w:tcW w:w="953" w:type="dxa"/>
            <w:tcBorders>
              <w:top w:val="nil"/>
              <w:left w:val="nil"/>
              <w:bottom w:val="single" w:sz="4" w:space="0" w:color="auto"/>
              <w:right w:val="nil"/>
            </w:tcBorders>
            <w:shd w:val="clear" w:color="auto" w:fill="auto"/>
            <w:vAlign w:val="center"/>
            <w:hideMark/>
          </w:tcPr>
          <w:p w14:paraId="6E81F45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498 (65.3)</w:t>
            </w:r>
          </w:p>
        </w:tc>
        <w:tc>
          <w:tcPr>
            <w:tcW w:w="953" w:type="dxa"/>
            <w:tcBorders>
              <w:top w:val="nil"/>
              <w:left w:val="nil"/>
              <w:bottom w:val="single" w:sz="4" w:space="0" w:color="auto"/>
              <w:right w:val="nil"/>
            </w:tcBorders>
            <w:shd w:val="clear" w:color="auto" w:fill="auto"/>
            <w:vAlign w:val="center"/>
            <w:hideMark/>
          </w:tcPr>
          <w:p w14:paraId="0A886EAD" w14:textId="4833A53F"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510 (66.2)</w:t>
            </w:r>
          </w:p>
        </w:tc>
        <w:tc>
          <w:tcPr>
            <w:tcW w:w="953" w:type="dxa"/>
            <w:tcBorders>
              <w:top w:val="nil"/>
              <w:left w:val="nil"/>
              <w:bottom w:val="single" w:sz="4" w:space="0" w:color="auto"/>
              <w:right w:val="nil"/>
            </w:tcBorders>
            <w:shd w:val="clear" w:color="auto" w:fill="auto"/>
            <w:vAlign w:val="center"/>
            <w:hideMark/>
          </w:tcPr>
          <w:p w14:paraId="2F0AA310"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471 (64.1)</w:t>
            </w:r>
          </w:p>
        </w:tc>
        <w:tc>
          <w:tcPr>
            <w:tcW w:w="954" w:type="dxa"/>
            <w:tcBorders>
              <w:top w:val="nil"/>
              <w:left w:val="nil"/>
              <w:bottom w:val="single" w:sz="4" w:space="0" w:color="auto"/>
              <w:right w:val="single" w:sz="4" w:space="0" w:color="auto"/>
            </w:tcBorders>
            <w:shd w:val="clear" w:color="auto" w:fill="auto"/>
            <w:vAlign w:val="center"/>
            <w:hideMark/>
          </w:tcPr>
          <w:p w14:paraId="461E69D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420 (59.7)</w:t>
            </w:r>
          </w:p>
        </w:tc>
        <w:tc>
          <w:tcPr>
            <w:tcW w:w="971" w:type="dxa"/>
            <w:tcBorders>
              <w:top w:val="nil"/>
              <w:left w:val="nil"/>
              <w:bottom w:val="single" w:sz="4" w:space="0" w:color="auto"/>
              <w:right w:val="single" w:sz="4" w:space="0" w:color="auto"/>
            </w:tcBorders>
            <w:shd w:val="clear" w:color="auto" w:fill="auto"/>
            <w:noWrap/>
            <w:vAlign w:val="center"/>
            <w:hideMark/>
          </w:tcPr>
          <w:p w14:paraId="17CF2C75" w14:textId="5B105FD1"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66.7</w:t>
            </w:r>
          </w:p>
        </w:tc>
      </w:tr>
      <w:tr w:rsidR="009F3440" w:rsidRPr="00B753EA" w14:paraId="03E081F2"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237230"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Chest compressions</w:t>
            </w:r>
            <w:r w:rsidRPr="00DC34FA">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at delivery</w:t>
            </w:r>
          </w:p>
        </w:tc>
      </w:tr>
      <w:tr w:rsidR="009F3440" w:rsidRPr="00DC34FA" w14:paraId="7DB5A01E" w14:textId="77777777" w:rsidTr="00746A71">
        <w:trPr>
          <w:trHeight w:val="273"/>
        </w:trPr>
        <w:tc>
          <w:tcPr>
            <w:tcW w:w="1836" w:type="dxa"/>
            <w:tcBorders>
              <w:top w:val="nil"/>
              <w:left w:val="single" w:sz="4" w:space="0" w:color="auto"/>
              <w:bottom w:val="nil"/>
              <w:right w:val="nil"/>
            </w:tcBorders>
            <w:shd w:val="clear" w:color="auto" w:fill="auto"/>
            <w:noWrap/>
            <w:vAlign w:val="center"/>
            <w:hideMark/>
          </w:tcPr>
          <w:p w14:paraId="56E5D7B0"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4A904C4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177 (43.92)</w:t>
            </w:r>
          </w:p>
        </w:tc>
        <w:tc>
          <w:tcPr>
            <w:tcW w:w="953" w:type="dxa"/>
            <w:tcBorders>
              <w:top w:val="nil"/>
              <w:left w:val="nil"/>
              <w:bottom w:val="single" w:sz="4" w:space="0" w:color="auto"/>
              <w:right w:val="nil"/>
            </w:tcBorders>
            <w:shd w:val="clear" w:color="auto" w:fill="auto"/>
            <w:vAlign w:val="center"/>
            <w:hideMark/>
          </w:tcPr>
          <w:p w14:paraId="1CCC569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257 (46.1)</w:t>
            </w:r>
          </w:p>
        </w:tc>
        <w:tc>
          <w:tcPr>
            <w:tcW w:w="953" w:type="dxa"/>
            <w:tcBorders>
              <w:top w:val="nil"/>
              <w:left w:val="nil"/>
              <w:bottom w:val="single" w:sz="4" w:space="0" w:color="auto"/>
              <w:right w:val="nil"/>
            </w:tcBorders>
            <w:shd w:val="clear" w:color="auto" w:fill="auto"/>
            <w:vAlign w:val="center"/>
            <w:hideMark/>
          </w:tcPr>
          <w:p w14:paraId="66224A7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253 (44.2)</w:t>
            </w:r>
          </w:p>
        </w:tc>
        <w:tc>
          <w:tcPr>
            <w:tcW w:w="953" w:type="dxa"/>
            <w:tcBorders>
              <w:top w:val="nil"/>
              <w:left w:val="nil"/>
              <w:bottom w:val="single" w:sz="4" w:space="0" w:color="auto"/>
              <w:right w:val="nil"/>
            </w:tcBorders>
            <w:shd w:val="clear" w:color="auto" w:fill="auto"/>
            <w:vAlign w:val="center"/>
            <w:hideMark/>
          </w:tcPr>
          <w:p w14:paraId="4C8FF49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253 (37.2)</w:t>
            </w:r>
          </w:p>
        </w:tc>
        <w:tc>
          <w:tcPr>
            <w:tcW w:w="953" w:type="dxa"/>
            <w:tcBorders>
              <w:top w:val="nil"/>
              <w:left w:val="nil"/>
              <w:bottom w:val="single" w:sz="4" w:space="0" w:color="auto"/>
              <w:right w:val="nil"/>
            </w:tcBorders>
            <w:shd w:val="clear" w:color="auto" w:fill="auto"/>
            <w:vAlign w:val="center"/>
            <w:hideMark/>
          </w:tcPr>
          <w:p w14:paraId="49A6857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268 (35.1)</w:t>
            </w:r>
          </w:p>
        </w:tc>
        <w:tc>
          <w:tcPr>
            <w:tcW w:w="953" w:type="dxa"/>
            <w:tcBorders>
              <w:top w:val="nil"/>
              <w:left w:val="nil"/>
              <w:bottom w:val="single" w:sz="4" w:space="0" w:color="auto"/>
              <w:right w:val="nil"/>
            </w:tcBorders>
            <w:shd w:val="clear" w:color="auto" w:fill="auto"/>
            <w:vAlign w:val="center"/>
            <w:hideMark/>
          </w:tcPr>
          <w:p w14:paraId="145B0CC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292 (37.9)</w:t>
            </w:r>
          </w:p>
        </w:tc>
        <w:tc>
          <w:tcPr>
            <w:tcW w:w="953" w:type="dxa"/>
            <w:tcBorders>
              <w:top w:val="nil"/>
              <w:left w:val="nil"/>
              <w:bottom w:val="single" w:sz="4" w:space="0" w:color="auto"/>
              <w:right w:val="nil"/>
            </w:tcBorders>
            <w:shd w:val="clear" w:color="auto" w:fill="auto"/>
            <w:vAlign w:val="center"/>
            <w:hideMark/>
          </w:tcPr>
          <w:p w14:paraId="04072E3B"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280 (38.1)</w:t>
            </w:r>
          </w:p>
        </w:tc>
        <w:tc>
          <w:tcPr>
            <w:tcW w:w="954" w:type="dxa"/>
            <w:tcBorders>
              <w:top w:val="nil"/>
              <w:left w:val="nil"/>
              <w:bottom w:val="single" w:sz="4" w:space="0" w:color="auto"/>
              <w:right w:val="single" w:sz="4" w:space="0" w:color="auto"/>
            </w:tcBorders>
            <w:shd w:val="clear" w:color="auto" w:fill="auto"/>
            <w:vAlign w:val="center"/>
            <w:hideMark/>
          </w:tcPr>
          <w:p w14:paraId="2285366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224 (31.9)</w:t>
            </w:r>
          </w:p>
        </w:tc>
        <w:tc>
          <w:tcPr>
            <w:tcW w:w="971" w:type="dxa"/>
            <w:tcBorders>
              <w:top w:val="nil"/>
              <w:left w:val="nil"/>
              <w:bottom w:val="single" w:sz="4" w:space="0" w:color="auto"/>
              <w:right w:val="single" w:sz="4" w:space="0" w:color="auto"/>
            </w:tcBorders>
            <w:shd w:val="clear" w:color="auto" w:fill="auto"/>
            <w:noWrap/>
            <w:vAlign w:val="center"/>
            <w:hideMark/>
          </w:tcPr>
          <w:p w14:paraId="6B858E6B" w14:textId="6BD3F65D"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39.3</w:t>
            </w:r>
          </w:p>
        </w:tc>
      </w:tr>
      <w:tr w:rsidR="009F3440" w:rsidRPr="00B753EA" w14:paraId="35E92435"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CCABD7"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Resuscitation drugs</w:t>
            </w:r>
            <w:r w:rsidRPr="00DC34FA">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at delivery</w:t>
            </w:r>
          </w:p>
        </w:tc>
      </w:tr>
      <w:tr w:rsidR="009F3440" w:rsidRPr="00DC34FA" w14:paraId="557BDCCC" w14:textId="77777777" w:rsidTr="00746A71">
        <w:trPr>
          <w:trHeight w:val="273"/>
        </w:trPr>
        <w:tc>
          <w:tcPr>
            <w:tcW w:w="1836" w:type="dxa"/>
            <w:tcBorders>
              <w:top w:val="nil"/>
              <w:left w:val="single" w:sz="4" w:space="0" w:color="auto"/>
              <w:bottom w:val="nil"/>
              <w:right w:val="nil"/>
            </w:tcBorders>
            <w:shd w:val="clear" w:color="auto" w:fill="auto"/>
            <w:noWrap/>
            <w:vAlign w:val="center"/>
            <w:hideMark/>
          </w:tcPr>
          <w:p w14:paraId="4C1EDB92"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56DA537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89 (22.1)</w:t>
            </w:r>
          </w:p>
        </w:tc>
        <w:tc>
          <w:tcPr>
            <w:tcW w:w="953" w:type="dxa"/>
            <w:tcBorders>
              <w:top w:val="nil"/>
              <w:left w:val="nil"/>
              <w:bottom w:val="single" w:sz="4" w:space="0" w:color="auto"/>
              <w:right w:val="nil"/>
            </w:tcBorders>
            <w:shd w:val="clear" w:color="auto" w:fill="auto"/>
            <w:vAlign w:val="center"/>
            <w:hideMark/>
          </w:tcPr>
          <w:p w14:paraId="10C0FDD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108 (19.4)</w:t>
            </w:r>
          </w:p>
        </w:tc>
        <w:tc>
          <w:tcPr>
            <w:tcW w:w="953" w:type="dxa"/>
            <w:tcBorders>
              <w:top w:val="nil"/>
              <w:left w:val="nil"/>
              <w:bottom w:val="single" w:sz="4" w:space="0" w:color="auto"/>
              <w:right w:val="nil"/>
            </w:tcBorders>
            <w:shd w:val="clear" w:color="auto" w:fill="auto"/>
            <w:vAlign w:val="center"/>
            <w:hideMark/>
          </w:tcPr>
          <w:p w14:paraId="56D79D8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108 (18.9)</w:t>
            </w:r>
          </w:p>
        </w:tc>
        <w:tc>
          <w:tcPr>
            <w:tcW w:w="953" w:type="dxa"/>
            <w:tcBorders>
              <w:top w:val="nil"/>
              <w:left w:val="nil"/>
              <w:bottom w:val="single" w:sz="4" w:space="0" w:color="auto"/>
              <w:right w:val="nil"/>
            </w:tcBorders>
            <w:shd w:val="clear" w:color="auto" w:fill="auto"/>
            <w:vAlign w:val="center"/>
            <w:hideMark/>
          </w:tcPr>
          <w:p w14:paraId="28C38EF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107 (15.7)</w:t>
            </w:r>
          </w:p>
        </w:tc>
        <w:tc>
          <w:tcPr>
            <w:tcW w:w="953" w:type="dxa"/>
            <w:tcBorders>
              <w:top w:val="nil"/>
              <w:left w:val="nil"/>
              <w:bottom w:val="single" w:sz="4" w:space="0" w:color="auto"/>
              <w:right w:val="nil"/>
            </w:tcBorders>
            <w:shd w:val="clear" w:color="auto" w:fill="auto"/>
            <w:vAlign w:val="center"/>
            <w:hideMark/>
          </w:tcPr>
          <w:p w14:paraId="714FD59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101 (13.2)</w:t>
            </w:r>
          </w:p>
        </w:tc>
        <w:tc>
          <w:tcPr>
            <w:tcW w:w="953" w:type="dxa"/>
            <w:tcBorders>
              <w:top w:val="nil"/>
              <w:left w:val="nil"/>
              <w:bottom w:val="single" w:sz="4" w:space="0" w:color="auto"/>
              <w:right w:val="nil"/>
            </w:tcBorders>
            <w:shd w:val="clear" w:color="auto" w:fill="auto"/>
            <w:vAlign w:val="center"/>
            <w:hideMark/>
          </w:tcPr>
          <w:p w14:paraId="1EC30A5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112 (14.5)</w:t>
            </w:r>
          </w:p>
        </w:tc>
        <w:tc>
          <w:tcPr>
            <w:tcW w:w="953" w:type="dxa"/>
            <w:tcBorders>
              <w:top w:val="nil"/>
              <w:left w:val="nil"/>
              <w:bottom w:val="single" w:sz="4" w:space="0" w:color="auto"/>
              <w:right w:val="nil"/>
            </w:tcBorders>
            <w:shd w:val="clear" w:color="auto" w:fill="auto"/>
            <w:vAlign w:val="center"/>
            <w:hideMark/>
          </w:tcPr>
          <w:p w14:paraId="3B70232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123 (16.7)</w:t>
            </w:r>
          </w:p>
        </w:tc>
        <w:tc>
          <w:tcPr>
            <w:tcW w:w="954" w:type="dxa"/>
            <w:tcBorders>
              <w:top w:val="nil"/>
              <w:left w:val="nil"/>
              <w:bottom w:val="single" w:sz="4" w:space="0" w:color="auto"/>
              <w:right w:val="single" w:sz="4" w:space="0" w:color="auto"/>
            </w:tcBorders>
            <w:shd w:val="clear" w:color="auto" w:fill="auto"/>
            <w:vAlign w:val="center"/>
            <w:hideMark/>
          </w:tcPr>
          <w:p w14:paraId="5800E1C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95 (13.5)</w:t>
            </w:r>
          </w:p>
        </w:tc>
        <w:tc>
          <w:tcPr>
            <w:tcW w:w="971" w:type="dxa"/>
            <w:tcBorders>
              <w:top w:val="nil"/>
              <w:left w:val="nil"/>
              <w:bottom w:val="single" w:sz="4" w:space="0" w:color="auto"/>
              <w:right w:val="single" w:sz="4" w:space="0" w:color="auto"/>
            </w:tcBorders>
            <w:shd w:val="clear" w:color="auto" w:fill="auto"/>
            <w:noWrap/>
            <w:vAlign w:val="center"/>
            <w:hideMark/>
          </w:tcPr>
          <w:p w14:paraId="34E1CCD5" w14:textId="693F3583"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16.8</w:t>
            </w:r>
          </w:p>
        </w:tc>
      </w:tr>
      <w:tr w:rsidR="009F3440" w:rsidRPr="00B753EA" w14:paraId="1FEC524C"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BD25AA6"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xml:space="preserve">Seizures </w:t>
            </w:r>
            <w:r w:rsidRPr="00DC34FA">
              <w:rPr>
                <w:rFonts w:ascii="Arial" w:eastAsia="Times New Roman" w:hAnsi="Arial" w:cs="Arial"/>
                <w:b/>
                <w:bCs/>
                <w:color w:val="000000"/>
                <w:sz w:val="20"/>
                <w:szCs w:val="20"/>
              </w:rPr>
              <w:t>on day 1</w:t>
            </w:r>
          </w:p>
        </w:tc>
      </w:tr>
      <w:tr w:rsidR="009F3440" w:rsidRPr="00DC34FA" w14:paraId="73725025" w14:textId="77777777" w:rsidTr="00746A71">
        <w:trPr>
          <w:trHeight w:val="273"/>
        </w:trPr>
        <w:tc>
          <w:tcPr>
            <w:tcW w:w="1836" w:type="dxa"/>
            <w:tcBorders>
              <w:top w:val="nil"/>
              <w:left w:val="single" w:sz="4" w:space="0" w:color="auto"/>
              <w:bottom w:val="nil"/>
              <w:right w:val="nil"/>
            </w:tcBorders>
            <w:shd w:val="clear" w:color="auto" w:fill="auto"/>
            <w:noWrap/>
            <w:vAlign w:val="center"/>
            <w:hideMark/>
          </w:tcPr>
          <w:p w14:paraId="481DE5BB"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3E0312A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176 (43.7)</w:t>
            </w:r>
          </w:p>
        </w:tc>
        <w:tc>
          <w:tcPr>
            <w:tcW w:w="953" w:type="dxa"/>
            <w:tcBorders>
              <w:top w:val="nil"/>
              <w:left w:val="nil"/>
              <w:bottom w:val="single" w:sz="4" w:space="0" w:color="auto"/>
              <w:right w:val="nil"/>
            </w:tcBorders>
            <w:shd w:val="clear" w:color="auto" w:fill="auto"/>
            <w:vAlign w:val="center"/>
            <w:hideMark/>
          </w:tcPr>
          <w:p w14:paraId="16EF2A5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205 (36.8)</w:t>
            </w:r>
          </w:p>
        </w:tc>
        <w:tc>
          <w:tcPr>
            <w:tcW w:w="953" w:type="dxa"/>
            <w:tcBorders>
              <w:top w:val="nil"/>
              <w:left w:val="nil"/>
              <w:bottom w:val="single" w:sz="4" w:space="0" w:color="auto"/>
              <w:right w:val="nil"/>
            </w:tcBorders>
            <w:shd w:val="clear" w:color="auto" w:fill="auto"/>
            <w:vAlign w:val="center"/>
            <w:hideMark/>
          </w:tcPr>
          <w:p w14:paraId="70393D9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211 (36.8)</w:t>
            </w:r>
          </w:p>
        </w:tc>
        <w:tc>
          <w:tcPr>
            <w:tcW w:w="953" w:type="dxa"/>
            <w:tcBorders>
              <w:top w:val="nil"/>
              <w:left w:val="nil"/>
              <w:bottom w:val="single" w:sz="4" w:space="0" w:color="auto"/>
              <w:right w:val="nil"/>
            </w:tcBorders>
            <w:shd w:val="clear" w:color="auto" w:fill="auto"/>
            <w:vAlign w:val="center"/>
            <w:hideMark/>
          </w:tcPr>
          <w:p w14:paraId="5EFD148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226 (33.2)</w:t>
            </w:r>
          </w:p>
        </w:tc>
        <w:tc>
          <w:tcPr>
            <w:tcW w:w="953" w:type="dxa"/>
            <w:tcBorders>
              <w:top w:val="nil"/>
              <w:left w:val="nil"/>
              <w:bottom w:val="single" w:sz="4" w:space="0" w:color="auto"/>
              <w:right w:val="nil"/>
            </w:tcBorders>
            <w:shd w:val="clear" w:color="auto" w:fill="auto"/>
            <w:vAlign w:val="center"/>
            <w:hideMark/>
          </w:tcPr>
          <w:p w14:paraId="2E09B2A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214 (28.1)</w:t>
            </w:r>
          </w:p>
        </w:tc>
        <w:tc>
          <w:tcPr>
            <w:tcW w:w="953" w:type="dxa"/>
            <w:tcBorders>
              <w:top w:val="nil"/>
              <w:left w:val="nil"/>
              <w:bottom w:val="single" w:sz="4" w:space="0" w:color="auto"/>
              <w:right w:val="nil"/>
            </w:tcBorders>
            <w:shd w:val="clear" w:color="auto" w:fill="auto"/>
            <w:vAlign w:val="center"/>
            <w:hideMark/>
          </w:tcPr>
          <w:p w14:paraId="45174CD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222 (28.8)</w:t>
            </w:r>
          </w:p>
        </w:tc>
        <w:tc>
          <w:tcPr>
            <w:tcW w:w="953" w:type="dxa"/>
            <w:tcBorders>
              <w:top w:val="nil"/>
              <w:left w:val="nil"/>
              <w:bottom w:val="single" w:sz="4" w:space="0" w:color="auto"/>
              <w:right w:val="nil"/>
            </w:tcBorders>
            <w:shd w:val="clear" w:color="auto" w:fill="auto"/>
            <w:vAlign w:val="center"/>
            <w:hideMark/>
          </w:tcPr>
          <w:p w14:paraId="29EBB95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186 (25.3)</w:t>
            </w:r>
          </w:p>
        </w:tc>
        <w:tc>
          <w:tcPr>
            <w:tcW w:w="954" w:type="dxa"/>
            <w:tcBorders>
              <w:top w:val="nil"/>
              <w:left w:val="nil"/>
              <w:bottom w:val="single" w:sz="4" w:space="0" w:color="auto"/>
              <w:right w:val="single" w:sz="4" w:space="0" w:color="auto"/>
            </w:tcBorders>
            <w:shd w:val="clear" w:color="auto" w:fill="auto"/>
            <w:vAlign w:val="center"/>
            <w:hideMark/>
          </w:tcPr>
          <w:p w14:paraId="5331DAED"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180 (25.6)</w:t>
            </w:r>
          </w:p>
        </w:tc>
        <w:tc>
          <w:tcPr>
            <w:tcW w:w="971" w:type="dxa"/>
            <w:tcBorders>
              <w:top w:val="nil"/>
              <w:left w:val="nil"/>
              <w:bottom w:val="single" w:sz="4" w:space="0" w:color="auto"/>
              <w:right w:val="single" w:sz="4" w:space="0" w:color="auto"/>
            </w:tcBorders>
            <w:shd w:val="clear" w:color="auto" w:fill="auto"/>
            <w:noWrap/>
            <w:vAlign w:val="center"/>
            <w:hideMark/>
          </w:tcPr>
          <w:p w14:paraId="3AA8A943" w14:textId="069BA03C"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32.3</w:t>
            </w:r>
          </w:p>
        </w:tc>
      </w:tr>
      <w:tr w:rsidR="009F3440" w:rsidRPr="00B753EA" w14:paraId="697D6FE5"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3798F5C"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Use of inotropes</w:t>
            </w:r>
            <w:r w:rsidRPr="00DC34FA">
              <w:rPr>
                <w:rFonts w:ascii="Arial" w:eastAsia="Times New Roman" w:hAnsi="Arial" w:cs="Arial"/>
                <w:b/>
                <w:bCs/>
                <w:color w:val="000000"/>
                <w:sz w:val="20"/>
                <w:szCs w:val="20"/>
              </w:rPr>
              <w:t xml:space="preserve"> on day 1</w:t>
            </w:r>
          </w:p>
        </w:tc>
      </w:tr>
      <w:tr w:rsidR="009F3440" w:rsidRPr="00DC34FA" w14:paraId="171E1B7D" w14:textId="77777777" w:rsidTr="00746A71">
        <w:trPr>
          <w:trHeight w:val="273"/>
        </w:trPr>
        <w:tc>
          <w:tcPr>
            <w:tcW w:w="1836" w:type="dxa"/>
            <w:tcBorders>
              <w:top w:val="nil"/>
              <w:left w:val="single" w:sz="4" w:space="0" w:color="auto"/>
              <w:bottom w:val="nil"/>
              <w:right w:val="nil"/>
            </w:tcBorders>
            <w:shd w:val="clear" w:color="auto" w:fill="auto"/>
            <w:noWrap/>
            <w:vAlign w:val="center"/>
            <w:hideMark/>
          </w:tcPr>
          <w:p w14:paraId="0C3A9C3B"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3F883676"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136 (33.8)</w:t>
            </w:r>
          </w:p>
        </w:tc>
        <w:tc>
          <w:tcPr>
            <w:tcW w:w="953" w:type="dxa"/>
            <w:tcBorders>
              <w:top w:val="nil"/>
              <w:left w:val="nil"/>
              <w:bottom w:val="single" w:sz="4" w:space="0" w:color="auto"/>
              <w:right w:val="nil"/>
            </w:tcBorders>
            <w:shd w:val="clear" w:color="auto" w:fill="auto"/>
            <w:vAlign w:val="center"/>
            <w:hideMark/>
          </w:tcPr>
          <w:p w14:paraId="679E1B17"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172 (30.9)</w:t>
            </w:r>
          </w:p>
        </w:tc>
        <w:tc>
          <w:tcPr>
            <w:tcW w:w="953" w:type="dxa"/>
            <w:tcBorders>
              <w:top w:val="nil"/>
              <w:left w:val="nil"/>
              <w:bottom w:val="single" w:sz="4" w:space="0" w:color="auto"/>
              <w:right w:val="nil"/>
            </w:tcBorders>
            <w:shd w:val="clear" w:color="auto" w:fill="auto"/>
            <w:vAlign w:val="center"/>
            <w:hideMark/>
          </w:tcPr>
          <w:p w14:paraId="37823379"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157 (27.4)</w:t>
            </w:r>
          </w:p>
        </w:tc>
        <w:tc>
          <w:tcPr>
            <w:tcW w:w="953" w:type="dxa"/>
            <w:tcBorders>
              <w:top w:val="nil"/>
              <w:left w:val="nil"/>
              <w:bottom w:val="single" w:sz="4" w:space="0" w:color="auto"/>
              <w:right w:val="nil"/>
            </w:tcBorders>
            <w:shd w:val="clear" w:color="auto" w:fill="auto"/>
            <w:vAlign w:val="center"/>
            <w:hideMark/>
          </w:tcPr>
          <w:p w14:paraId="18FD74F0"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173 (25.4)</w:t>
            </w:r>
          </w:p>
        </w:tc>
        <w:tc>
          <w:tcPr>
            <w:tcW w:w="953" w:type="dxa"/>
            <w:tcBorders>
              <w:top w:val="nil"/>
              <w:left w:val="nil"/>
              <w:bottom w:val="single" w:sz="4" w:space="0" w:color="auto"/>
              <w:right w:val="nil"/>
            </w:tcBorders>
            <w:shd w:val="clear" w:color="auto" w:fill="auto"/>
            <w:vAlign w:val="center"/>
            <w:hideMark/>
          </w:tcPr>
          <w:p w14:paraId="4E7BD5B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183 (23.9)</w:t>
            </w:r>
          </w:p>
        </w:tc>
        <w:tc>
          <w:tcPr>
            <w:tcW w:w="953" w:type="dxa"/>
            <w:tcBorders>
              <w:top w:val="nil"/>
              <w:left w:val="nil"/>
              <w:bottom w:val="single" w:sz="4" w:space="0" w:color="auto"/>
              <w:right w:val="nil"/>
            </w:tcBorders>
            <w:shd w:val="clear" w:color="auto" w:fill="auto"/>
            <w:vAlign w:val="center"/>
            <w:hideMark/>
          </w:tcPr>
          <w:p w14:paraId="7FC2554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162 (21.0)</w:t>
            </w:r>
          </w:p>
        </w:tc>
        <w:tc>
          <w:tcPr>
            <w:tcW w:w="953" w:type="dxa"/>
            <w:tcBorders>
              <w:top w:val="nil"/>
              <w:left w:val="nil"/>
              <w:bottom w:val="single" w:sz="4" w:space="0" w:color="auto"/>
              <w:right w:val="nil"/>
            </w:tcBorders>
            <w:shd w:val="clear" w:color="auto" w:fill="auto"/>
            <w:vAlign w:val="center"/>
            <w:hideMark/>
          </w:tcPr>
          <w:p w14:paraId="5D4E3412"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180 (24.5)</w:t>
            </w:r>
          </w:p>
        </w:tc>
        <w:tc>
          <w:tcPr>
            <w:tcW w:w="954" w:type="dxa"/>
            <w:tcBorders>
              <w:top w:val="nil"/>
              <w:left w:val="nil"/>
              <w:bottom w:val="single" w:sz="4" w:space="0" w:color="auto"/>
              <w:right w:val="single" w:sz="4" w:space="0" w:color="auto"/>
            </w:tcBorders>
            <w:shd w:val="clear" w:color="auto" w:fill="auto"/>
            <w:vAlign w:val="center"/>
            <w:hideMark/>
          </w:tcPr>
          <w:p w14:paraId="1C30880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143 (20.3)</w:t>
            </w:r>
          </w:p>
        </w:tc>
        <w:tc>
          <w:tcPr>
            <w:tcW w:w="971" w:type="dxa"/>
            <w:tcBorders>
              <w:top w:val="nil"/>
              <w:left w:val="nil"/>
              <w:bottom w:val="single" w:sz="4" w:space="0" w:color="auto"/>
              <w:right w:val="single" w:sz="4" w:space="0" w:color="auto"/>
            </w:tcBorders>
            <w:shd w:val="clear" w:color="auto" w:fill="auto"/>
            <w:noWrap/>
            <w:vAlign w:val="center"/>
            <w:hideMark/>
          </w:tcPr>
          <w:p w14:paraId="0CE0620C" w14:textId="1A8FBA87"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25.9</w:t>
            </w:r>
          </w:p>
        </w:tc>
      </w:tr>
      <w:tr w:rsidR="009F3440" w:rsidRPr="00B753EA" w14:paraId="2440ED7E"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113591"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Nitric oxide administered</w:t>
            </w:r>
            <w:r w:rsidRPr="00DC34FA">
              <w:rPr>
                <w:rFonts w:ascii="Arial" w:eastAsia="Times New Roman" w:hAnsi="Arial" w:cs="Arial"/>
                <w:b/>
                <w:bCs/>
                <w:color w:val="000000"/>
                <w:sz w:val="20"/>
                <w:szCs w:val="20"/>
              </w:rPr>
              <w:t xml:space="preserve"> on day 1</w:t>
            </w:r>
          </w:p>
        </w:tc>
      </w:tr>
      <w:tr w:rsidR="009F3440" w:rsidRPr="00DC34FA" w14:paraId="11B17CDF" w14:textId="77777777" w:rsidTr="00746A71">
        <w:trPr>
          <w:trHeight w:val="273"/>
        </w:trPr>
        <w:tc>
          <w:tcPr>
            <w:tcW w:w="1836" w:type="dxa"/>
            <w:tcBorders>
              <w:top w:val="nil"/>
              <w:left w:val="single" w:sz="4" w:space="0" w:color="auto"/>
              <w:bottom w:val="nil"/>
              <w:right w:val="nil"/>
            </w:tcBorders>
            <w:shd w:val="clear" w:color="auto" w:fill="auto"/>
            <w:noWrap/>
            <w:vAlign w:val="center"/>
            <w:hideMark/>
          </w:tcPr>
          <w:p w14:paraId="69E3D150"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63E1E265"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15 (3.7)</w:t>
            </w:r>
          </w:p>
        </w:tc>
        <w:tc>
          <w:tcPr>
            <w:tcW w:w="953" w:type="dxa"/>
            <w:tcBorders>
              <w:top w:val="nil"/>
              <w:left w:val="nil"/>
              <w:bottom w:val="single" w:sz="4" w:space="0" w:color="auto"/>
              <w:right w:val="nil"/>
            </w:tcBorders>
            <w:shd w:val="clear" w:color="auto" w:fill="auto"/>
            <w:vAlign w:val="center"/>
            <w:hideMark/>
          </w:tcPr>
          <w:p w14:paraId="6BB731F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26 (4.7)</w:t>
            </w:r>
          </w:p>
        </w:tc>
        <w:tc>
          <w:tcPr>
            <w:tcW w:w="953" w:type="dxa"/>
            <w:tcBorders>
              <w:top w:val="nil"/>
              <w:left w:val="nil"/>
              <w:bottom w:val="single" w:sz="4" w:space="0" w:color="auto"/>
              <w:right w:val="nil"/>
            </w:tcBorders>
            <w:shd w:val="clear" w:color="auto" w:fill="auto"/>
            <w:vAlign w:val="center"/>
            <w:hideMark/>
          </w:tcPr>
          <w:p w14:paraId="6E0441BE"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25 (4.4)</w:t>
            </w:r>
          </w:p>
        </w:tc>
        <w:tc>
          <w:tcPr>
            <w:tcW w:w="953" w:type="dxa"/>
            <w:tcBorders>
              <w:top w:val="nil"/>
              <w:left w:val="nil"/>
              <w:bottom w:val="single" w:sz="4" w:space="0" w:color="auto"/>
              <w:right w:val="nil"/>
            </w:tcBorders>
            <w:shd w:val="clear" w:color="auto" w:fill="auto"/>
            <w:vAlign w:val="center"/>
            <w:hideMark/>
          </w:tcPr>
          <w:p w14:paraId="345B09A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31 (4.6)</w:t>
            </w:r>
          </w:p>
        </w:tc>
        <w:tc>
          <w:tcPr>
            <w:tcW w:w="953" w:type="dxa"/>
            <w:tcBorders>
              <w:top w:val="nil"/>
              <w:left w:val="nil"/>
              <w:bottom w:val="single" w:sz="4" w:space="0" w:color="auto"/>
              <w:right w:val="nil"/>
            </w:tcBorders>
            <w:shd w:val="clear" w:color="auto" w:fill="auto"/>
            <w:vAlign w:val="center"/>
            <w:hideMark/>
          </w:tcPr>
          <w:p w14:paraId="238D968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35 (4.6)</w:t>
            </w:r>
          </w:p>
        </w:tc>
        <w:tc>
          <w:tcPr>
            <w:tcW w:w="953" w:type="dxa"/>
            <w:tcBorders>
              <w:top w:val="nil"/>
              <w:left w:val="nil"/>
              <w:bottom w:val="single" w:sz="4" w:space="0" w:color="auto"/>
              <w:right w:val="nil"/>
            </w:tcBorders>
            <w:shd w:val="clear" w:color="auto" w:fill="auto"/>
            <w:vAlign w:val="center"/>
            <w:hideMark/>
          </w:tcPr>
          <w:p w14:paraId="09D534A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38 (4.9)</w:t>
            </w:r>
          </w:p>
        </w:tc>
        <w:tc>
          <w:tcPr>
            <w:tcW w:w="953" w:type="dxa"/>
            <w:tcBorders>
              <w:top w:val="nil"/>
              <w:left w:val="nil"/>
              <w:bottom w:val="single" w:sz="4" w:space="0" w:color="auto"/>
              <w:right w:val="nil"/>
            </w:tcBorders>
            <w:shd w:val="clear" w:color="auto" w:fill="auto"/>
            <w:vAlign w:val="center"/>
            <w:hideMark/>
          </w:tcPr>
          <w:p w14:paraId="5351C28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32 (4.4)</w:t>
            </w:r>
          </w:p>
        </w:tc>
        <w:tc>
          <w:tcPr>
            <w:tcW w:w="954" w:type="dxa"/>
            <w:tcBorders>
              <w:top w:val="nil"/>
              <w:left w:val="nil"/>
              <w:bottom w:val="single" w:sz="4" w:space="0" w:color="auto"/>
              <w:right w:val="single" w:sz="4" w:space="0" w:color="auto"/>
            </w:tcBorders>
            <w:shd w:val="clear" w:color="auto" w:fill="auto"/>
            <w:vAlign w:val="center"/>
            <w:hideMark/>
          </w:tcPr>
          <w:p w14:paraId="02A1C444"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38 (5.4)</w:t>
            </w:r>
          </w:p>
        </w:tc>
        <w:tc>
          <w:tcPr>
            <w:tcW w:w="971" w:type="dxa"/>
            <w:tcBorders>
              <w:top w:val="nil"/>
              <w:left w:val="nil"/>
              <w:bottom w:val="single" w:sz="4" w:space="0" w:color="auto"/>
              <w:right w:val="single" w:sz="4" w:space="0" w:color="auto"/>
            </w:tcBorders>
            <w:shd w:val="clear" w:color="auto" w:fill="auto"/>
            <w:noWrap/>
            <w:vAlign w:val="center"/>
            <w:hideMark/>
          </w:tcPr>
          <w:p w14:paraId="12F30FCA" w14:textId="5C507A38"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4.6</w:t>
            </w:r>
          </w:p>
        </w:tc>
      </w:tr>
      <w:tr w:rsidR="009F3440" w:rsidRPr="00B753EA" w14:paraId="47CA0616" w14:textId="77777777" w:rsidTr="00903106">
        <w:trPr>
          <w:trHeight w:val="273"/>
        </w:trPr>
        <w:tc>
          <w:tcPr>
            <w:tcW w:w="10431"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10423D"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Invasive ventilation</w:t>
            </w:r>
            <w:r w:rsidRPr="00DC34FA">
              <w:rPr>
                <w:rFonts w:ascii="Arial" w:eastAsia="Times New Roman" w:hAnsi="Arial" w:cs="Arial"/>
                <w:b/>
                <w:bCs/>
                <w:color w:val="000000"/>
                <w:sz w:val="20"/>
                <w:szCs w:val="20"/>
              </w:rPr>
              <w:t xml:space="preserve"> on day 1</w:t>
            </w:r>
          </w:p>
        </w:tc>
      </w:tr>
      <w:tr w:rsidR="009F3440" w:rsidRPr="00DC34FA" w14:paraId="1EBB5F6F" w14:textId="77777777" w:rsidTr="00746A71">
        <w:trPr>
          <w:trHeight w:val="273"/>
        </w:trPr>
        <w:tc>
          <w:tcPr>
            <w:tcW w:w="1836" w:type="dxa"/>
            <w:tcBorders>
              <w:top w:val="nil"/>
              <w:left w:val="single" w:sz="4" w:space="0" w:color="auto"/>
              <w:bottom w:val="single" w:sz="4" w:space="0" w:color="auto"/>
              <w:right w:val="nil"/>
            </w:tcBorders>
            <w:shd w:val="clear" w:color="auto" w:fill="auto"/>
            <w:noWrap/>
            <w:vAlign w:val="center"/>
            <w:hideMark/>
          </w:tcPr>
          <w:p w14:paraId="2C58515C" w14:textId="77777777" w:rsidR="009F3440" w:rsidRPr="00B753EA" w:rsidRDefault="009F3440" w:rsidP="00903106">
            <w:pPr>
              <w:rPr>
                <w:rFonts w:ascii="Arial" w:eastAsia="Times New Roman" w:hAnsi="Arial" w:cs="Arial"/>
                <w:b/>
                <w:bCs/>
                <w:color w:val="000000"/>
                <w:sz w:val="20"/>
                <w:szCs w:val="20"/>
              </w:rPr>
            </w:pPr>
            <w:r w:rsidRPr="00B753EA">
              <w:rPr>
                <w:rFonts w:ascii="Arial" w:eastAsia="Times New Roman" w:hAnsi="Arial" w:cs="Arial"/>
                <w:b/>
                <w:bCs/>
                <w:color w:val="000000"/>
                <w:sz w:val="20"/>
                <w:szCs w:val="20"/>
              </w:rPr>
              <w:t>  </w:t>
            </w:r>
            <w:r w:rsidRPr="00DC34FA">
              <w:rPr>
                <w:rFonts w:ascii="Arial" w:eastAsia="Times New Roman" w:hAnsi="Arial" w:cs="Arial"/>
                <w:bCs/>
                <w:color w:val="000000"/>
                <w:sz w:val="20"/>
                <w:szCs w:val="20"/>
              </w:rPr>
              <w:t>Count (%)</w:t>
            </w:r>
          </w:p>
        </w:tc>
        <w:tc>
          <w:tcPr>
            <w:tcW w:w="952" w:type="dxa"/>
            <w:tcBorders>
              <w:top w:val="nil"/>
              <w:left w:val="single" w:sz="4" w:space="0" w:color="auto"/>
              <w:bottom w:val="single" w:sz="4" w:space="0" w:color="auto"/>
              <w:right w:val="nil"/>
            </w:tcBorders>
            <w:shd w:val="clear" w:color="auto" w:fill="auto"/>
            <w:vAlign w:val="center"/>
            <w:hideMark/>
          </w:tcPr>
          <w:p w14:paraId="5336085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336 (83.4)</w:t>
            </w:r>
          </w:p>
        </w:tc>
        <w:tc>
          <w:tcPr>
            <w:tcW w:w="953" w:type="dxa"/>
            <w:tcBorders>
              <w:top w:val="nil"/>
              <w:left w:val="nil"/>
              <w:bottom w:val="single" w:sz="4" w:space="0" w:color="auto"/>
              <w:right w:val="nil"/>
            </w:tcBorders>
            <w:shd w:val="clear" w:color="auto" w:fill="auto"/>
            <w:vAlign w:val="center"/>
            <w:hideMark/>
          </w:tcPr>
          <w:p w14:paraId="5AE9F9B8"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468 (84.0)</w:t>
            </w:r>
          </w:p>
        </w:tc>
        <w:tc>
          <w:tcPr>
            <w:tcW w:w="953" w:type="dxa"/>
            <w:tcBorders>
              <w:top w:val="nil"/>
              <w:left w:val="nil"/>
              <w:bottom w:val="single" w:sz="4" w:space="0" w:color="auto"/>
              <w:right w:val="nil"/>
            </w:tcBorders>
            <w:shd w:val="clear" w:color="auto" w:fill="auto"/>
            <w:vAlign w:val="center"/>
            <w:hideMark/>
          </w:tcPr>
          <w:p w14:paraId="5D1DF011"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467 (81.5)</w:t>
            </w:r>
          </w:p>
        </w:tc>
        <w:tc>
          <w:tcPr>
            <w:tcW w:w="953" w:type="dxa"/>
            <w:tcBorders>
              <w:top w:val="nil"/>
              <w:left w:val="nil"/>
              <w:bottom w:val="single" w:sz="4" w:space="0" w:color="auto"/>
              <w:right w:val="nil"/>
            </w:tcBorders>
            <w:shd w:val="clear" w:color="auto" w:fill="auto"/>
            <w:vAlign w:val="center"/>
            <w:hideMark/>
          </w:tcPr>
          <w:p w14:paraId="608FAF6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538 (79.1)</w:t>
            </w:r>
          </w:p>
        </w:tc>
        <w:tc>
          <w:tcPr>
            <w:tcW w:w="953" w:type="dxa"/>
            <w:tcBorders>
              <w:top w:val="nil"/>
              <w:left w:val="nil"/>
              <w:bottom w:val="single" w:sz="4" w:space="0" w:color="auto"/>
              <w:right w:val="nil"/>
            </w:tcBorders>
            <w:shd w:val="clear" w:color="auto" w:fill="auto"/>
            <w:vAlign w:val="center"/>
            <w:hideMark/>
          </w:tcPr>
          <w:p w14:paraId="03495D4A"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612 (80.2)</w:t>
            </w:r>
          </w:p>
        </w:tc>
        <w:tc>
          <w:tcPr>
            <w:tcW w:w="953" w:type="dxa"/>
            <w:tcBorders>
              <w:top w:val="nil"/>
              <w:left w:val="nil"/>
              <w:bottom w:val="single" w:sz="4" w:space="0" w:color="auto"/>
              <w:right w:val="nil"/>
            </w:tcBorders>
            <w:shd w:val="clear" w:color="auto" w:fill="auto"/>
            <w:vAlign w:val="center"/>
            <w:hideMark/>
          </w:tcPr>
          <w:p w14:paraId="308C82F3"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601 (77.9)</w:t>
            </w:r>
          </w:p>
        </w:tc>
        <w:tc>
          <w:tcPr>
            <w:tcW w:w="953" w:type="dxa"/>
            <w:tcBorders>
              <w:top w:val="nil"/>
              <w:left w:val="nil"/>
              <w:bottom w:val="single" w:sz="4" w:space="0" w:color="auto"/>
              <w:right w:val="nil"/>
            </w:tcBorders>
            <w:shd w:val="clear" w:color="auto" w:fill="auto"/>
            <w:vAlign w:val="center"/>
            <w:hideMark/>
          </w:tcPr>
          <w:p w14:paraId="19887E6C"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585 (79.6)</w:t>
            </w:r>
          </w:p>
        </w:tc>
        <w:tc>
          <w:tcPr>
            <w:tcW w:w="954" w:type="dxa"/>
            <w:tcBorders>
              <w:top w:val="nil"/>
              <w:left w:val="nil"/>
              <w:bottom w:val="single" w:sz="4" w:space="0" w:color="auto"/>
              <w:right w:val="single" w:sz="4" w:space="0" w:color="auto"/>
            </w:tcBorders>
            <w:shd w:val="clear" w:color="auto" w:fill="auto"/>
            <w:vAlign w:val="center"/>
            <w:hideMark/>
          </w:tcPr>
          <w:p w14:paraId="2466AD0F" w14:textId="77777777" w:rsidR="009F3440" w:rsidRPr="00B753EA" w:rsidRDefault="009F3440" w:rsidP="00746A71">
            <w:pPr>
              <w:jc w:val="center"/>
              <w:rPr>
                <w:rFonts w:ascii="Arial" w:eastAsia="Times New Roman" w:hAnsi="Arial" w:cs="Arial"/>
                <w:color w:val="000000"/>
                <w:sz w:val="20"/>
                <w:szCs w:val="20"/>
              </w:rPr>
            </w:pPr>
            <w:r w:rsidRPr="00B753EA">
              <w:rPr>
                <w:rFonts w:ascii="Arial" w:eastAsia="Times New Roman" w:hAnsi="Arial" w:cs="Arial"/>
                <w:color w:val="000000"/>
                <w:sz w:val="20"/>
                <w:szCs w:val="20"/>
              </w:rPr>
              <w:t>545 (77.5)</w:t>
            </w:r>
          </w:p>
        </w:tc>
        <w:tc>
          <w:tcPr>
            <w:tcW w:w="971" w:type="dxa"/>
            <w:tcBorders>
              <w:top w:val="nil"/>
              <w:left w:val="nil"/>
              <w:bottom w:val="single" w:sz="4" w:space="0" w:color="auto"/>
              <w:right w:val="single" w:sz="4" w:space="0" w:color="auto"/>
            </w:tcBorders>
            <w:shd w:val="clear" w:color="auto" w:fill="auto"/>
            <w:noWrap/>
            <w:vAlign w:val="center"/>
            <w:hideMark/>
          </w:tcPr>
          <w:p w14:paraId="1209D84B" w14:textId="52209CFE" w:rsidR="009F3440" w:rsidRPr="00B753EA" w:rsidRDefault="00746A71" w:rsidP="00746A71">
            <w:pPr>
              <w:jc w:val="center"/>
              <w:rPr>
                <w:rFonts w:ascii="Arial" w:eastAsia="Times New Roman" w:hAnsi="Arial" w:cs="Arial"/>
                <w:color w:val="000000"/>
                <w:sz w:val="20"/>
                <w:szCs w:val="20"/>
              </w:rPr>
            </w:pPr>
            <w:r>
              <w:rPr>
                <w:rFonts w:ascii="Arial" w:eastAsia="Times New Roman" w:hAnsi="Arial" w:cs="Arial"/>
                <w:color w:val="000000"/>
                <w:sz w:val="20"/>
                <w:szCs w:val="20"/>
              </w:rPr>
              <w:t>80.4</w:t>
            </w:r>
          </w:p>
        </w:tc>
      </w:tr>
    </w:tbl>
    <w:p w14:paraId="2C2749FB" w14:textId="77777777" w:rsidR="00FD07C7" w:rsidRDefault="00FD07C7" w:rsidP="00515DE8">
      <w:pPr>
        <w:spacing w:line="480" w:lineRule="auto"/>
        <w:jc w:val="both"/>
        <w:rPr>
          <w:rFonts w:ascii="Arial" w:hAnsi="Arial" w:cs="Arial"/>
          <w:b/>
          <w:sz w:val="22"/>
          <w:szCs w:val="22"/>
        </w:rPr>
      </w:pPr>
    </w:p>
    <w:p w14:paraId="507EE962" w14:textId="3DDB9FBD" w:rsidR="00F07888" w:rsidRDefault="000742FD" w:rsidP="00515DE8">
      <w:pPr>
        <w:spacing w:line="480" w:lineRule="auto"/>
        <w:jc w:val="both"/>
        <w:rPr>
          <w:rFonts w:ascii="Arial" w:hAnsi="Arial" w:cs="Arial"/>
          <w:sz w:val="22"/>
          <w:szCs w:val="22"/>
        </w:rPr>
      </w:pPr>
      <w:r w:rsidRPr="00524137">
        <w:rPr>
          <w:rFonts w:ascii="Arial" w:hAnsi="Arial" w:cs="Arial"/>
          <w:sz w:val="22"/>
          <w:szCs w:val="22"/>
        </w:rPr>
        <w:t xml:space="preserve">Table 3. </w:t>
      </w:r>
      <w:r w:rsidR="000A40D1">
        <w:rPr>
          <w:rFonts w:ascii="Arial" w:hAnsi="Arial" w:cs="Arial"/>
          <w:sz w:val="22"/>
          <w:szCs w:val="22"/>
        </w:rPr>
        <w:t>Annual s</w:t>
      </w:r>
      <w:r w:rsidRPr="00524137">
        <w:rPr>
          <w:rFonts w:ascii="Arial" w:hAnsi="Arial" w:cs="Arial"/>
          <w:sz w:val="22"/>
          <w:szCs w:val="22"/>
        </w:rPr>
        <w:t>ummar</w:t>
      </w:r>
      <w:r w:rsidR="000A40D1">
        <w:rPr>
          <w:rFonts w:ascii="Arial" w:hAnsi="Arial" w:cs="Arial"/>
          <w:sz w:val="22"/>
          <w:szCs w:val="22"/>
        </w:rPr>
        <w:t>ies</w:t>
      </w:r>
      <w:r w:rsidRPr="00524137">
        <w:rPr>
          <w:rFonts w:ascii="Arial" w:hAnsi="Arial" w:cs="Arial"/>
          <w:sz w:val="22"/>
          <w:szCs w:val="22"/>
        </w:rPr>
        <w:t xml:space="preserve"> of the clinical characteristics of selected babies from 2010 to</w:t>
      </w:r>
      <w:r w:rsidRPr="002D4681">
        <w:rPr>
          <w:rFonts w:ascii="Arial" w:hAnsi="Arial" w:cs="Arial"/>
          <w:b/>
          <w:sz w:val="22"/>
          <w:szCs w:val="22"/>
        </w:rPr>
        <w:t xml:space="preserve"> </w:t>
      </w:r>
      <w:r w:rsidRPr="00524137">
        <w:rPr>
          <w:rFonts w:ascii="Arial" w:hAnsi="Arial" w:cs="Arial"/>
          <w:sz w:val="22"/>
          <w:szCs w:val="22"/>
        </w:rPr>
        <w:t xml:space="preserve">2017. </w:t>
      </w:r>
    </w:p>
    <w:p w14:paraId="2CAC403B" w14:textId="77777777" w:rsidR="006C425A" w:rsidRPr="002D4681" w:rsidRDefault="006C425A" w:rsidP="00515DE8">
      <w:pPr>
        <w:spacing w:line="480" w:lineRule="auto"/>
        <w:jc w:val="both"/>
        <w:rPr>
          <w:rFonts w:ascii="Arial" w:hAnsi="Arial" w:cs="Arial"/>
          <w:sz w:val="22"/>
          <w:szCs w:val="22"/>
        </w:rPr>
      </w:pPr>
    </w:p>
    <w:p w14:paraId="0E9246CA" w14:textId="77777777" w:rsidR="00A6784D" w:rsidRPr="00EB2533" w:rsidRDefault="00A6784D" w:rsidP="00515DE8">
      <w:pPr>
        <w:spacing w:line="480" w:lineRule="auto"/>
        <w:jc w:val="both"/>
        <w:rPr>
          <w:rFonts w:ascii="Arial" w:hAnsi="Arial" w:cs="Arial"/>
          <w:b/>
          <w:sz w:val="22"/>
          <w:szCs w:val="22"/>
        </w:rPr>
      </w:pPr>
    </w:p>
    <w:p w14:paraId="1561DCBA" w14:textId="67E12C31" w:rsidR="00EE76E4" w:rsidRPr="00086178" w:rsidRDefault="00524137" w:rsidP="00515DE8">
      <w:pPr>
        <w:spacing w:line="480" w:lineRule="auto"/>
        <w:jc w:val="both"/>
        <w:rPr>
          <w:rFonts w:ascii="Arial" w:hAnsi="Arial" w:cs="Arial"/>
          <w:b/>
          <w:sz w:val="22"/>
          <w:szCs w:val="22"/>
        </w:rPr>
      </w:pPr>
      <w:r w:rsidRPr="00086178">
        <w:rPr>
          <w:rFonts w:ascii="Arial" w:hAnsi="Arial" w:cs="Arial"/>
          <w:b/>
          <w:sz w:val="22"/>
          <w:szCs w:val="22"/>
        </w:rPr>
        <w:lastRenderedPageBreak/>
        <w:t>initial condition at birth</w:t>
      </w:r>
    </w:p>
    <w:p w14:paraId="14EBA56E" w14:textId="2229F812" w:rsidR="0067669F" w:rsidRPr="002D4681" w:rsidRDefault="00C77D27" w:rsidP="00F9172B">
      <w:pPr>
        <w:spacing w:line="480" w:lineRule="auto"/>
        <w:jc w:val="both"/>
        <w:rPr>
          <w:rFonts w:ascii="Arial" w:hAnsi="Arial" w:cs="Arial"/>
          <w:sz w:val="22"/>
          <w:szCs w:val="22"/>
        </w:rPr>
      </w:pPr>
      <w:r>
        <w:rPr>
          <w:rFonts w:ascii="Arial" w:hAnsi="Arial" w:cs="Arial"/>
          <w:sz w:val="22"/>
          <w:szCs w:val="22"/>
        </w:rPr>
        <w:t xml:space="preserve">First </w:t>
      </w:r>
      <w:r w:rsidR="00F9172B">
        <w:rPr>
          <w:rFonts w:ascii="Arial" w:hAnsi="Arial" w:cs="Arial"/>
          <w:sz w:val="22"/>
          <w:szCs w:val="22"/>
        </w:rPr>
        <w:t xml:space="preserve">analyses examined the temporal trends across multiple </w:t>
      </w:r>
      <w:r w:rsidR="00F9172B" w:rsidRPr="002D4681">
        <w:rPr>
          <w:rFonts w:ascii="Arial" w:hAnsi="Arial" w:cs="Arial"/>
          <w:sz w:val="22"/>
          <w:szCs w:val="22"/>
        </w:rPr>
        <w:t>clinical characteristics</w:t>
      </w:r>
      <w:r w:rsidR="00F9172B">
        <w:rPr>
          <w:rFonts w:ascii="Arial" w:hAnsi="Arial" w:cs="Arial"/>
          <w:sz w:val="22"/>
          <w:szCs w:val="22"/>
        </w:rPr>
        <w:t xml:space="preserve"> related to severity of HIE in</w:t>
      </w:r>
      <w:r w:rsidR="00F9172B" w:rsidRPr="002D4681">
        <w:rPr>
          <w:rFonts w:ascii="Arial" w:hAnsi="Arial" w:cs="Arial"/>
          <w:sz w:val="22"/>
          <w:szCs w:val="22"/>
        </w:rPr>
        <w:t xml:space="preserve"> babies who received therapeutic hypothermia in the UK</w:t>
      </w:r>
      <w:r w:rsidR="00F9172B">
        <w:rPr>
          <w:rFonts w:ascii="Arial" w:hAnsi="Arial" w:cs="Arial"/>
          <w:sz w:val="22"/>
          <w:szCs w:val="22"/>
        </w:rPr>
        <w:t xml:space="preserve"> over the study period. </w:t>
      </w:r>
      <w:r w:rsidR="003A2B1C" w:rsidRPr="000024CE">
        <w:rPr>
          <w:rFonts w:ascii="Arial" w:hAnsi="Arial" w:cs="Arial"/>
          <w:sz w:val="22"/>
          <w:szCs w:val="22"/>
        </w:rPr>
        <w:t>O</w:t>
      </w:r>
      <w:r w:rsidR="00D86E6C" w:rsidRPr="000024CE">
        <w:rPr>
          <w:rFonts w:ascii="Arial" w:hAnsi="Arial" w:cs="Arial"/>
          <w:sz w:val="22"/>
          <w:szCs w:val="22"/>
        </w:rPr>
        <w:t>ver the study period</w:t>
      </w:r>
      <w:r w:rsidR="00530998" w:rsidRPr="000024CE">
        <w:rPr>
          <w:rFonts w:ascii="Arial" w:hAnsi="Arial" w:cs="Arial"/>
          <w:sz w:val="22"/>
          <w:szCs w:val="22"/>
        </w:rPr>
        <w:t xml:space="preserve">, </w:t>
      </w:r>
      <w:r w:rsidR="000024CE" w:rsidRPr="00C174A1">
        <w:rPr>
          <w:rFonts w:ascii="Arial" w:hAnsi="Arial" w:cs="Arial"/>
          <w:sz w:val="22"/>
          <w:szCs w:val="22"/>
        </w:rPr>
        <w:t>we found evidence of an increasing trend in umbilical arterial cord pH</w:t>
      </w:r>
      <w:r w:rsidR="00F07888">
        <w:rPr>
          <w:rFonts w:ascii="Arial" w:hAnsi="Arial" w:cs="Arial"/>
          <w:sz w:val="22"/>
          <w:szCs w:val="22"/>
        </w:rPr>
        <w:t xml:space="preserve"> over time</w:t>
      </w:r>
      <w:r w:rsidR="000024CE" w:rsidRPr="00C174A1">
        <w:rPr>
          <w:rFonts w:ascii="Arial" w:hAnsi="Arial" w:cs="Arial"/>
          <w:sz w:val="22"/>
          <w:szCs w:val="22"/>
        </w:rPr>
        <w:t xml:space="preserve"> (Spearman rank correlation test, p</w:t>
      </w:r>
      <w:r w:rsidR="000024CE" w:rsidRPr="000024CE">
        <w:rPr>
          <w:rFonts w:ascii="Arial" w:hAnsi="Arial" w:cs="Arial"/>
          <w:sz w:val="22"/>
          <w:szCs w:val="22"/>
        </w:rPr>
        <w:t xml:space="preserve">≤0.001). Results from the linear regression analysis indicated an average increase of </w:t>
      </w:r>
      <w:r w:rsidR="000024CE" w:rsidRPr="0054614F">
        <w:rPr>
          <w:rFonts w:ascii="Arial" w:hAnsi="Arial" w:cs="Arial"/>
          <w:sz w:val="22"/>
          <w:szCs w:val="22"/>
        </w:rPr>
        <w:t>0.005</w:t>
      </w:r>
      <w:r w:rsidR="000A40D1">
        <w:rPr>
          <w:rFonts w:ascii="Arial" w:hAnsi="Arial" w:cs="Arial"/>
          <w:sz w:val="22"/>
          <w:szCs w:val="22"/>
        </w:rPr>
        <w:t xml:space="preserve"> units</w:t>
      </w:r>
      <w:r w:rsidR="000024CE" w:rsidRPr="000024CE">
        <w:rPr>
          <w:rFonts w:ascii="Arial" w:hAnsi="Arial" w:cs="Arial"/>
          <w:sz w:val="22"/>
          <w:szCs w:val="22"/>
        </w:rPr>
        <w:t xml:space="preserve"> in umbilical arterial cord pH per year of the study period (coefficient of 0.005, </w:t>
      </w:r>
      <w:r w:rsidR="00E11EE9" w:rsidRPr="00C174A1">
        <w:rPr>
          <w:rFonts w:ascii="Arial" w:hAnsi="Arial" w:cs="Arial"/>
          <w:sz w:val="22"/>
          <w:szCs w:val="22"/>
        </w:rPr>
        <w:t>p</w:t>
      </w:r>
      <w:r w:rsidR="00E11EE9" w:rsidRPr="000024CE">
        <w:rPr>
          <w:rFonts w:ascii="Arial" w:hAnsi="Arial" w:cs="Arial"/>
          <w:sz w:val="22"/>
          <w:szCs w:val="22"/>
        </w:rPr>
        <w:t>≤0.001</w:t>
      </w:r>
      <w:r w:rsidR="000024CE" w:rsidRPr="000024CE">
        <w:rPr>
          <w:rFonts w:ascii="Arial" w:hAnsi="Arial" w:cs="Arial"/>
          <w:sz w:val="22"/>
          <w:szCs w:val="22"/>
        </w:rPr>
        <w:t xml:space="preserve">). </w:t>
      </w:r>
      <w:r w:rsidR="00872E3B" w:rsidRPr="000024CE">
        <w:rPr>
          <w:rFonts w:ascii="Arial" w:hAnsi="Arial" w:cs="Arial"/>
          <w:sz w:val="22"/>
          <w:szCs w:val="22"/>
        </w:rPr>
        <w:t>T</w:t>
      </w:r>
      <w:r w:rsidR="00DE5F6E" w:rsidRPr="000024CE">
        <w:rPr>
          <w:rFonts w:ascii="Arial" w:hAnsi="Arial" w:cs="Arial"/>
          <w:sz w:val="22"/>
          <w:szCs w:val="22"/>
        </w:rPr>
        <w:t xml:space="preserve">he proportion </w:t>
      </w:r>
      <w:r w:rsidR="00B07395" w:rsidRPr="000024CE">
        <w:rPr>
          <w:rFonts w:ascii="Arial" w:hAnsi="Arial" w:cs="Arial"/>
          <w:sz w:val="22"/>
          <w:szCs w:val="22"/>
        </w:rPr>
        <w:t xml:space="preserve">and number </w:t>
      </w:r>
      <w:r w:rsidR="00DE5F6E" w:rsidRPr="000024CE">
        <w:rPr>
          <w:rFonts w:ascii="Arial" w:hAnsi="Arial" w:cs="Arial"/>
          <w:sz w:val="22"/>
          <w:szCs w:val="22"/>
        </w:rPr>
        <w:t xml:space="preserve">of babies </w:t>
      </w:r>
      <w:r w:rsidR="00B07395" w:rsidRPr="000024CE">
        <w:rPr>
          <w:rFonts w:ascii="Arial" w:hAnsi="Arial" w:cs="Arial"/>
          <w:sz w:val="22"/>
          <w:szCs w:val="22"/>
        </w:rPr>
        <w:t>with an</w:t>
      </w:r>
      <w:r w:rsidR="00B07395" w:rsidRPr="002D4681">
        <w:rPr>
          <w:rFonts w:ascii="Arial" w:hAnsi="Arial" w:cs="Arial"/>
          <w:sz w:val="22"/>
          <w:szCs w:val="22"/>
        </w:rPr>
        <w:t xml:space="preserve"> umbilical arterial cord pH greater than 7.0 </w:t>
      </w:r>
      <w:r w:rsidR="00DE5F6E" w:rsidRPr="002D4681">
        <w:rPr>
          <w:rFonts w:ascii="Arial" w:hAnsi="Arial" w:cs="Arial"/>
          <w:sz w:val="22"/>
          <w:szCs w:val="22"/>
        </w:rPr>
        <w:t>who received therapeutic hypothermia for HIE increased</w:t>
      </w:r>
      <w:r w:rsidR="00872E3B">
        <w:rPr>
          <w:rFonts w:ascii="Arial" w:hAnsi="Arial" w:cs="Arial"/>
          <w:sz w:val="22"/>
          <w:szCs w:val="22"/>
        </w:rPr>
        <w:t xml:space="preserve">, </w:t>
      </w:r>
      <w:r w:rsidR="00DE5F6E" w:rsidRPr="002D4681">
        <w:rPr>
          <w:rFonts w:ascii="Arial" w:hAnsi="Arial" w:cs="Arial"/>
          <w:sz w:val="22"/>
          <w:szCs w:val="22"/>
        </w:rPr>
        <w:t xml:space="preserve">whilst the proportion </w:t>
      </w:r>
      <w:r w:rsidR="00B07395" w:rsidRPr="002D4681">
        <w:rPr>
          <w:rFonts w:ascii="Arial" w:hAnsi="Arial" w:cs="Arial"/>
          <w:sz w:val="22"/>
          <w:szCs w:val="22"/>
        </w:rPr>
        <w:t xml:space="preserve">and number of babies </w:t>
      </w:r>
      <w:r w:rsidR="00DE5F6E" w:rsidRPr="002D4681">
        <w:rPr>
          <w:rFonts w:ascii="Arial" w:hAnsi="Arial" w:cs="Arial"/>
          <w:sz w:val="22"/>
          <w:szCs w:val="22"/>
        </w:rPr>
        <w:t xml:space="preserve">with an umbilical </w:t>
      </w:r>
      <w:r w:rsidR="00B07395" w:rsidRPr="002D4681">
        <w:rPr>
          <w:rFonts w:ascii="Arial" w:hAnsi="Arial" w:cs="Arial"/>
          <w:sz w:val="22"/>
          <w:szCs w:val="22"/>
        </w:rPr>
        <w:t xml:space="preserve">arterial cord </w:t>
      </w:r>
      <w:r w:rsidR="00DE5F6E" w:rsidRPr="002D4681">
        <w:rPr>
          <w:rFonts w:ascii="Arial" w:hAnsi="Arial" w:cs="Arial"/>
          <w:sz w:val="22"/>
          <w:szCs w:val="22"/>
        </w:rPr>
        <w:t xml:space="preserve">pH </w:t>
      </w:r>
      <w:r w:rsidR="00B07395" w:rsidRPr="002D4681">
        <w:rPr>
          <w:rFonts w:ascii="Arial" w:hAnsi="Arial" w:cs="Arial"/>
          <w:sz w:val="22"/>
          <w:szCs w:val="22"/>
        </w:rPr>
        <w:t xml:space="preserve">of less than </w:t>
      </w:r>
      <w:r w:rsidR="00DE5F6E" w:rsidRPr="002D4681">
        <w:rPr>
          <w:rFonts w:ascii="Arial" w:hAnsi="Arial" w:cs="Arial"/>
          <w:sz w:val="22"/>
          <w:szCs w:val="22"/>
        </w:rPr>
        <w:t>6.9 decreased</w:t>
      </w:r>
      <w:r w:rsidR="00872E3B">
        <w:rPr>
          <w:rFonts w:ascii="Arial" w:hAnsi="Arial" w:cs="Arial"/>
          <w:sz w:val="22"/>
          <w:szCs w:val="22"/>
        </w:rPr>
        <w:t xml:space="preserve"> </w:t>
      </w:r>
      <w:r w:rsidR="00DE5F6E" w:rsidRPr="002D4681">
        <w:rPr>
          <w:rFonts w:ascii="Arial" w:hAnsi="Arial" w:cs="Arial"/>
          <w:sz w:val="22"/>
          <w:szCs w:val="22"/>
        </w:rPr>
        <w:t>(</w:t>
      </w:r>
      <w:r w:rsidR="00B07395" w:rsidRPr="002D4681">
        <w:rPr>
          <w:rFonts w:ascii="Arial" w:hAnsi="Arial" w:cs="Arial"/>
          <w:b/>
          <w:sz w:val="22"/>
          <w:szCs w:val="22"/>
        </w:rPr>
        <w:t>Table 3</w:t>
      </w:r>
      <w:r w:rsidR="00B07395" w:rsidRPr="002D4681">
        <w:rPr>
          <w:rFonts w:ascii="Arial" w:hAnsi="Arial" w:cs="Arial"/>
          <w:sz w:val="22"/>
          <w:szCs w:val="22"/>
        </w:rPr>
        <w:t xml:space="preserve"> and </w:t>
      </w:r>
      <w:r w:rsidR="00DE5F6E" w:rsidRPr="002D4681">
        <w:rPr>
          <w:rFonts w:ascii="Arial" w:hAnsi="Arial" w:cs="Arial"/>
          <w:b/>
          <w:sz w:val="22"/>
          <w:szCs w:val="22"/>
        </w:rPr>
        <w:t xml:space="preserve">Figure </w:t>
      </w:r>
      <w:r w:rsidR="00F9172B">
        <w:rPr>
          <w:rFonts w:ascii="Arial" w:hAnsi="Arial" w:cs="Arial"/>
          <w:b/>
          <w:sz w:val="22"/>
          <w:szCs w:val="22"/>
        </w:rPr>
        <w:t>2</w:t>
      </w:r>
      <w:r w:rsidR="00DE5F6E" w:rsidRPr="002D4681">
        <w:rPr>
          <w:rFonts w:ascii="Arial" w:hAnsi="Arial" w:cs="Arial"/>
          <w:sz w:val="22"/>
          <w:szCs w:val="22"/>
        </w:rPr>
        <w:t xml:space="preserve">). </w:t>
      </w:r>
    </w:p>
    <w:p w14:paraId="78FF9A0C" w14:textId="3F1E8EA6" w:rsidR="000024CE" w:rsidRDefault="00D86E6C" w:rsidP="00515DE8">
      <w:pPr>
        <w:spacing w:line="480" w:lineRule="auto"/>
        <w:jc w:val="both"/>
        <w:rPr>
          <w:rFonts w:ascii="Arial" w:hAnsi="Arial" w:cs="Arial"/>
          <w:sz w:val="22"/>
          <w:szCs w:val="22"/>
        </w:rPr>
      </w:pPr>
      <w:r w:rsidRPr="002D4681">
        <w:rPr>
          <w:rFonts w:ascii="Arial" w:hAnsi="Arial" w:cs="Arial"/>
          <w:sz w:val="22"/>
          <w:szCs w:val="22"/>
        </w:rPr>
        <w:t>Over the study period</w:t>
      </w:r>
      <w:r w:rsidR="00872E3B">
        <w:rPr>
          <w:rFonts w:ascii="Arial" w:hAnsi="Arial" w:cs="Arial"/>
          <w:sz w:val="22"/>
          <w:szCs w:val="22"/>
        </w:rPr>
        <w:t xml:space="preserve">, </w:t>
      </w:r>
      <w:r w:rsidR="000024CE">
        <w:rPr>
          <w:rFonts w:ascii="Arial" w:hAnsi="Arial" w:cs="Arial"/>
          <w:sz w:val="22"/>
          <w:szCs w:val="22"/>
        </w:rPr>
        <w:t>we found an increas</w:t>
      </w:r>
      <w:r w:rsidR="009B61F3">
        <w:rPr>
          <w:rFonts w:ascii="Arial" w:hAnsi="Arial" w:cs="Arial"/>
          <w:sz w:val="22"/>
          <w:szCs w:val="22"/>
        </w:rPr>
        <w:t>e</w:t>
      </w:r>
      <w:r w:rsidR="000024CE">
        <w:rPr>
          <w:rFonts w:ascii="Arial" w:hAnsi="Arial" w:cs="Arial"/>
          <w:sz w:val="22"/>
          <w:szCs w:val="22"/>
        </w:rPr>
        <w:t xml:space="preserve"> in </w:t>
      </w:r>
      <w:r w:rsidR="00530998">
        <w:rPr>
          <w:rFonts w:ascii="Arial" w:hAnsi="Arial" w:cs="Arial"/>
          <w:sz w:val="22"/>
          <w:szCs w:val="22"/>
        </w:rPr>
        <w:t xml:space="preserve">the recorded Apgar scores at 1 minute and at 5 minutes </w:t>
      </w:r>
      <w:r w:rsidR="00530998" w:rsidRPr="002D4681">
        <w:rPr>
          <w:rFonts w:ascii="Arial" w:hAnsi="Arial" w:cs="Arial"/>
          <w:sz w:val="22"/>
          <w:szCs w:val="22"/>
        </w:rPr>
        <w:t>(</w:t>
      </w:r>
      <w:r w:rsidR="00530998">
        <w:rPr>
          <w:rFonts w:ascii="Arial" w:hAnsi="Arial" w:cs="Arial"/>
          <w:sz w:val="22"/>
          <w:szCs w:val="22"/>
        </w:rPr>
        <w:t xml:space="preserve">Spearman correlation test, </w:t>
      </w:r>
      <w:r w:rsidR="00530998" w:rsidRPr="002D4681">
        <w:rPr>
          <w:rFonts w:ascii="Arial" w:hAnsi="Arial" w:cs="Arial"/>
          <w:sz w:val="22"/>
          <w:szCs w:val="22"/>
        </w:rPr>
        <w:t>p=0.007 and p=0.009 respectively</w:t>
      </w:r>
      <w:r w:rsidR="001D639D">
        <w:rPr>
          <w:rFonts w:ascii="Arial" w:hAnsi="Arial" w:cs="Arial"/>
          <w:sz w:val="22"/>
          <w:szCs w:val="22"/>
        </w:rPr>
        <w:t>)</w:t>
      </w:r>
      <w:r w:rsidR="005F0AA8" w:rsidRPr="002D4681">
        <w:rPr>
          <w:rFonts w:ascii="Arial" w:hAnsi="Arial" w:cs="Arial"/>
          <w:sz w:val="22"/>
          <w:szCs w:val="22"/>
        </w:rPr>
        <w:t xml:space="preserve"> of babies </w:t>
      </w:r>
      <w:r w:rsidRPr="002D4681">
        <w:rPr>
          <w:rFonts w:ascii="Arial" w:hAnsi="Arial" w:cs="Arial"/>
          <w:sz w:val="22"/>
          <w:szCs w:val="22"/>
        </w:rPr>
        <w:t xml:space="preserve">with HIE who received therapeutic hypothermia </w:t>
      </w:r>
      <w:r w:rsidR="00384B64" w:rsidRPr="002D4681">
        <w:rPr>
          <w:rFonts w:ascii="Arial" w:hAnsi="Arial" w:cs="Arial"/>
          <w:sz w:val="22"/>
          <w:szCs w:val="22"/>
        </w:rPr>
        <w:t>(</w:t>
      </w:r>
      <w:r w:rsidR="00E82CBD" w:rsidRPr="002D4681">
        <w:rPr>
          <w:rFonts w:ascii="Arial" w:hAnsi="Arial" w:cs="Arial"/>
          <w:b/>
          <w:sz w:val="22"/>
          <w:szCs w:val="22"/>
        </w:rPr>
        <w:t>Table 3</w:t>
      </w:r>
      <w:r w:rsidR="00E82CBD" w:rsidRPr="002D4681">
        <w:rPr>
          <w:rFonts w:ascii="Arial" w:hAnsi="Arial" w:cs="Arial"/>
          <w:sz w:val="22"/>
          <w:szCs w:val="22"/>
        </w:rPr>
        <w:t xml:space="preserve"> and </w:t>
      </w:r>
      <w:r w:rsidR="00384B64" w:rsidRPr="002D4681">
        <w:rPr>
          <w:rFonts w:ascii="Arial" w:hAnsi="Arial" w:cs="Arial"/>
          <w:b/>
          <w:sz w:val="22"/>
          <w:szCs w:val="22"/>
        </w:rPr>
        <w:t xml:space="preserve">Figure </w:t>
      </w:r>
      <w:r w:rsidR="00F9172B">
        <w:rPr>
          <w:rFonts w:ascii="Arial" w:hAnsi="Arial" w:cs="Arial"/>
          <w:b/>
          <w:sz w:val="22"/>
          <w:szCs w:val="22"/>
        </w:rPr>
        <w:t>3</w:t>
      </w:r>
      <w:r w:rsidR="00E603A5">
        <w:rPr>
          <w:rFonts w:ascii="Arial" w:hAnsi="Arial" w:cs="Arial"/>
          <w:sz w:val="22"/>
          <w:szCs w:val="22"/>
        </w:rPr>
        <w:t>)</w:t>
      </w:r>
      <w:r w:rsidR="00872E3B">
        <w:rPr>
          <w:rFonts w:ascii="Arial" w:hAnsi="Arial" w:cs="Arial"/>
          <w:sz w:val="22"/>
          <w:szCs w:val="22"/>
        </w:rPr>
        <w:t>.</w:t>
      </w:r>
    </w:p>
    <w:p w14:paraId="3E7F9CCD" w14:textId="77777777" w:rsidR="000024CE" w:rsidRDefault="000024CE" w:rsidP="00515DE8">
      <w:pPr>
        <w:spacing w:line="480" w:lineRule="auto"/>
        <w:jc w:val="both"/>
        <w:rPr>
          <w:rFonts w:ascii="Arial" w:hAnsi="Arial" w:cs="Arial"/>
          <w:sz w:val="22"/>
          <w:szCs w:val="22"/>
        </w:rPr>
      </w:pPr>
    </w:p>
    <w:p w14:paraId="5300C562" w14:textId="2D8BED07" w:rsidR="001D40FB" w:rsidRPr="00086178" w:rsidRDefault="00524137" w:rsidP="00515DE8">
      <w:pPr>
        <w:spacing w:line="480" w:lineRule="auto"/>
        <w:jc w:val="both"/>
        <w:rPr>
          <w:rFonts w:ascii="Arial" w:hAnsi="Arial" w:cs="Arial"/>
          <w:b/>
          <w:sz w:val="22"/>
          <w:szCs w:val="22"/>
        </w:rPr>
      </w:pPr>
      <w:r w:rsidRPr="00086178">
        <w:rPr>
          <w:rFonts w:ascii="Arial" w:hAnsi="Arial" w:cs="Arial"/>
          <w:b/>
          <w:sz w:val="22"/>
          <w:szCs w:val="22"/>
        </w:rPr>
        <w:t xml:space="preserve">resuscitation and condition </w:t>
      </w:r>
      <w:r w:rsidR="000A40D1">
        <w:rPr>
          <w:rFonts w:ascii="Arial" w:hAnsi="Arial" w:cs="Arial"/>
          <w:b/>
          <w:sz w:val="22"/>
          <w:szCs w:val="22"/>
        </w:rPr>
        <w:t>on the</w:t>
      </w:r>
      <w:r w:rsidRPr="00086178">
        <w:rPr>
          <w:rFonts w:ascii="Arial" w:hAnsi="Arial" w:cs="Arial"/>
          <w:b/>
          <w:sz w:val="22"/>
          <w:szCs w:val="22"/>
        </w:rPr>
        <w:t xml:space="preserve"> first day of admission</w:t>
      </w:r>
    </w:p>
    <w:p w14:paraId="444A8256" w14:textId="00356003" w:rsidR="00E82CBD" w:rsidRDefault="00D86E6C" w:rsidP="00E82CBD">
      <w:pPr>
        <w:spacing w:line="480" w:lineRule="auto"/>
        <w:jc w:val="both"/>
        <w:rPr>
          <w:rFonts w:ascii="Arial" w:hAnsi="Arial" w:cs="Arial"/>
          <w:sz w:val="22"/>
          <w:szCs w:val="22"/>
        </w:rPr>
      </w:pPr>
      <w:r w:rsidRPr="002D4681">
        <w:rPr>
          <w:rFonts w:ascii="Arial" w:hAnsi="Arial" w:cs="Arial"/>
          <w:sz w:val="22"/>
          <w:szCs w:val="22"/>
        </w:rPr>
        <w:t>Over the study period</w:t>
      </w:r>
      <w:r w:rsidR="00530998">
        <w:rPr>
          <w:rFonts w:ascii="Arial" w:hAnsi="Arial" w:cs="Arial"/>
          <w:sz w:val="22"/>
          <w:szCs w:val="22"/>
        </w:rPr>
        <w:t>,</w:t>
      </w:r>
      <w:r w:rsidRPr="002D4681">
        <w:rPr>
          <w:rFonts w:ascii="Arial" w:hAnsi="Arial" w:cs="Arial"/>
          <w:sz w:val="22"/>
          <w:szCs w:val="22"/>
        </w:rPr>
        <w:t xml:space="preserve"> the </w:t>
      </w:r>
      <w:r w:rsidR="00EB45A1" w:rsidRPr="002D4681">
        <w:rPr>
          <w:rFonts w:ascii="Arial" w:hAnsi="Arial" w:cs="Arial"/>
          <w:sz w:val="22"/>
          <w:szCs w:val="22"/>
        </w:rPr>
        <w:t>proportion</w:t>
      </w:r>
      <w:r w:rsidR="00ED71BA" w:rsidRPr="002D4681">
        <w:rPr>
          <w:rFonts w:ascii="Arial" w:hAnsi="Arial" w:cs="Arial"/>
          <w:sz w:val="22"/>
          <w:szCs w:val="22"/>
        </w:rPr>
        <w:t xml:space="preserve"> of babies </w:t>
      </w:r>
      <w:r w:rsidRPr="002D4681">
        <w:rPr>
          <w:rFonts w:ascii="Arial" w:hAnsi="Arial" w:cs="Arial"/>
          <w:sz w:val="22"/>
          <w:szCs w:val="22"/>
        </w:rPr>
        <w:t xml:space="preserve">with HIE who received therapeutic hypothermia </w:t>
      </w:r>
      <w:r w:rsidR="00E82CBD" w:rsidRPr="002D4681">
        <w:rPr>
          <w:rFonts w:ascii="Arial" w:hAnsi="Arial" w:cs="Arial"/>
          <w:sz w:val="22"/>
          <w:szCs w:val="22"/>
        </w:rPr>
        <w:t>or died</w:t>
      </w:r>
      <w:r w:rsidR="007D6718">
        <w:rPr>
          <w:rFonts w:ascii="Arial" w:hAnsi="Arial" w:cs="Arial"/>
          <w:sz w:val="22"/>
          <w:szCs w:val="22"/>
        </w:rPr>
        <w:t xml:space="preserve"> and </w:t>
      </w:r>
      <w:r w:rsidR="00ED71BA" w:rsidRPr="002D4681">
        <w:rPr>
          <w:rFonts w:ascii="Arial" w:hAnsi="Arial" w:cs="Arial"/>
          <w:sz w:val="22"/>
          <w:szCs w:val="22"/>
        </w:rPr>
        <w:t xml:space="preserve">who </w:t>
      </w:r>
      <w:r w:rsidR="007B72EC" w:rsidRPr="002D4681">
        <w:rPr>
          <w:rFonts w:ascii="Arial" w:hAnsi="Arial" w:cs="Arial"/>
          <w:sz w:val="22"/>
          <w:szCs w:val="22"/>
        </w:rPr>
        <w:t xml:space="preserve">were intubated, received drugs </w:t>
      </w:r>
      <w:r w:rsidR="00E82CBD" w:rsidRPr="002D4681">
        <w:rPr>
          <w:rFonts w:ascii="Arial" w:hAnsi="Arial" w:cs="Arial"/>
          <w:sz w:val="22"/>
          <w:szCs w:val="22"/>
        </w:rPr>
        <w:t xml:space="preserve">or </w:t>
      </w:r>
      <w:r w:rsidR="007B72EC" w:rsidRPr="002D4681">
        <w:rPr>
          <w:rFonts w:ascii="Arial" w:hAnsi="Arial" w:cs="Arial"/>
          <w:sz w:val="22"/>
          <w:szCs w:val="22"/>
        </w:rPr>
        <w:t xml:space="preserve">chest compressions </w:t>
      </w:r>
      <w:r w:rsidR="00EB45A1" w:rsidRPr="002D4681">
        <w:rPr>
          <w:rFonts w:ascii="Arial" w:hAnsi="Arial" w:cs="Arial"/>
          <w:sz w:val="22"/>
          <w:szCs w:val="22"/>
        </w:rPr>
        <w:t xml:space="preserve">as part of </w:t>
      </w:r>
      <w:r w:rsidR="00E82CBD" w:rsidRPr="002D4681">
        <w:rPr>
          <w:rFonts w:ascii="Arial" w:hAnsi="Arial" w:cs="Arial"/>
          <w:sz w:val="22"/>
          <w:szCs w:val="22"/>
        </w:rPr>
        <w:t xml:space="preserve">newborn </w:t>
      </w:r>
      <w:r w:rsidR="00EB45A1" w:rsidRPr="002D4681">
        <w:rPr>
          <w:rFonts w:ascii="Arial" w:hAnsi="Arial" w:cs="Arial"/>
          <w:sz w:val="22"/>
          <w:szCs w:val="22"/>
        </w:rPr>
        <w:t xml:space="preserve">resuscitation </w:t>
      </w:r>
      <w:r w:rsidR="00ED71BA" w:rsidRPr="002D4681">
        <w:rPr>
          <w:rFonts w:ascii="Arial" w:hAnsi="Arial" w:cs="Arial"/>
          <w:sz w:val="22"/>
          <w:szCs w:val="22"/>
        </w:rPr>
        <w:t>decrease</w:t>
      </w:r>
      <w:r w:rsidR="00EB45A1" w:rsidRPr="002D4681">
        <w:rPr>
          <w:rFonts w:ascii="Arial" w:hAnsi="Arial" w:cs="Arial"/>
          <w:sz w:val="22"/>
          <w:szCs w:val="22"/>
        </w:rPr>
        <w:t xml:space="preserve">d </w:t>
      </w:r>
      <w:r w:rsidR="00E82CBD" w:rsidRPr="002D4681">
        <w:rPr>
          <w:rFonts w:ascii="Arial" w:hAnsi="Arial" w:cs="Arial"/>
          <w:sz w:val="22"/>
          <w:szCs w:val="22"/>
        </w:rPr>
        <w:t>(chi-square</w:t>
      </w:r>
      <w:r w:rsidR="000A40D1">
        <w:rPr>
          <w:rFonts w:ascii="Arial" w:hAnsi="Arial" w:cs="Arial"/>
          <w:sz w:val="22"/>
          <w:szCs w:val="22"/>
        </w:rPr>
        <w:t>d</w:t>
      </w:r>
      <w:r w:rsidR="00E82CBD" w:rsidRPr="002D4681">
        <w:rPr>
          <w:rFonts w:ascii="Arial" w:hAnsi="Arial" w:cs="Arial"/>
          <w:sz w:val="22"/>
          <w:szCs w:val="22"/>
        </w:rPr>
        <w:t xml:space="preserve"> test for trend, </w:t>
      </w:r>
      <w:r w:rsidR="00E11EE9" w:rsidRPr="00C174A1">
        <w:rPr>
          <w:rFonts w:ascii="Arial" w:hAnsi="Arial" w:cs="Arial"/>
          <w:sz w:val="22"/>
          <w:szCs w:val="22"/>
        </w:rPr>
        <w:t>p</w:t>
      </w:r>
      <w:r w:rsidR="00E11EE9" w:rsidRPr="000024CE">
        <w:rPr>
          <w:rFonts w:ascii="Arial" w:hAnsi="Arial" w:cs="Arial"/>
          <w:sz w:val="22"/>
          <w:szCs w:val="22"/>
        </w:rPr>
        <w:t>≤0.001</w:t>
      </w:r>
      <w:r w:rsidR="00E82CBD" w:rsidRPr="002D4681">
        <w:rPr>
          <w:rFonts w:ascii="Arial" w:hAnsi="Arial" w:cs="Arial"/>
          <w:sz w:val="22"/>
          <w:szCs w:val="22"/>
        </w:rPr>
        <w:t>)</w:t>
      </w:r>
      <w:r w:rsidR="00ED71BA" w:rsidRPr="002D4681">
        <w:rPr>
          <w:rFonts w:ascii="Arial" w:hAnsi="Arial" w:cs="Arial"/>
          <w:sz w:val="22"/>
          <w:szCs w:val="22"/>
        </w:rPr>
        <w:t>.</w:t>
      </w:r>
      <w:r w:rsidR="00E82CBD" w:rsidRPr="002D4681">
        <w:rPr>
          <w:rFonts w:ascii="Arial" w:hAnsi="Arial" w:cs="Arial"/>
          <w:sz w:val="22"/>
          <w:szCs w:val="22"/>
        </w:rPr>
        <w:t xml:space="preserve"> There was also </w:t>
      </w:r>
      <w:r w:rsidR="00DF00C4">
        <w:rPr>
          <w:rFonts w:ascii="Arial" w:hAnsi="Arial" w:cs="Arial"/>
          <w:sz w:val="22"/>
          <w:szCs w:val="22"/>
        </w:rPr>
        <w:t xml:space="preserve">a </w:t>
      </w:r>
      <w:r w:rsidR="00E82CBD" w:rsidRPr="002D4681">
        <w:rPr>
          <w:rFonts w:ascii="Arial" w:hAnsi="Arial" w:cs="Arial"/>
          <w:sz w:val="22"/>
          <w:szCs w:val="22"/>
        </w:rPr>
        <w:t>decreas</w:t>
      </w:r>
      <w:r w:rsidR="009B61F3">
        <w:rPr>
          <w:rFonts w:ascii="Arial" w:hAnsi="Arial" w:cs="Arial"/>
          <w:sz w:val="22"/>
          <w:szCs w:val="22"/>
        </w:rPr>
        <w:t xml:space="preserve">e </w:t>
      </w:r>
      <w:r w:rsidR="00E82CBD" w:rsidRPr="002D4681">
        <w:rPr>
          <w:rFonts w:ascii="Arial" w:hAnsi="Arial" w:cs="Arial"/>
          <w:sz w:val="22"/>
          <w:szCs w:val="22"/>
        </w:rPr>
        <w:t>in the proportion of babies who had seizures recorded</w:t>
      </w:r>
      <w:r w:rsidR="00DF00C4">
        <w:rPr>
          <w:rFonts w:ascii="Arial" w:hAnsi="Arial" w:cs="Arial"/>
          <w:sz w:val="22"/>
          <w:szCs w:val="22"/>
        </w:rPr>
        <w:t xml:space="preserve"> (</w:t>
      </w:r>
      <w:r w:rsidR="00E11EE9" w:rsidRPr="00C174A1">
        <w:rPr>
          <w:rFonts w:ascii="Arial" w:hAnsi="Arial" w:cs="Arial"/>
          <w:sz w:val="22"/>
          <w:szCs w:val="22"/>
        </w:rPr>
        <w:t>p</w:t>
      </w:r>
      <w:r w:rsidR="00E11EE9" w:rsidRPr="000024CE">
        <w:rPr>
          <w:rFonts w:ascii="Arial" w:hAnsi="Arial" w:cs="Arial"/>
          <w:sz w:val="22"/>
          <w:szCs w:val="22"/>
        </w:rPr>
        <w:t>≤0.001</w:t>
      </w:r>
      <w:r w:rsidR="00DF00C4">
        <w:rPr>
          <w:rFonts w:ascii="Arial" w:hAnsi="Arial" w:cs="Arial"/>
          <w:sz w:val="22"/>
          <w:szCs w:val="22"/>
        </w:rPr>
        <w:t>)</w:t>
      </w:r>
      <w:r w:rsidR="00E82CBD" w:rsidRPr="002D4681">
        <w:rPr>
          <w:rFonts w:ascii="Arial" w:hAnsi="Arial" w:cs="Arial"/>
          <w:sz w:val="22"/>
          <w:szCs w:val="22"/>
        </w:rPr>
        <w:t xml:space="preserve"> or </w:t>
      </w:r>
      <w:r w:rsidR="001F1E50">
        <w:rPr>
          <w:rFonts w:ascii="Arial" w:hAnsi="Arial" w:cs="Arial"/>
          <w:sz w:val="22"/>
          <w:szCs w:val="22"/>
        </w:rPr>
        <w:t xml:space="preserve">who received </w:t>
      </w:r>
      <w:r w:rsidR="00E82CBD" w:rsidRPr="002D4681">
        <w:rPr>
          <w:rFonts w:ascii="Arial" w:hAnsi="Arial" w:cs="Arial"/>
          <w:sz w:val="22"/>
          <w:szCs w:val="22"/>
        </w:rPr>
        <w:t>inotropes</w:t>
      </w:r>
      <w:r w:rsidR="00DF00C4">
        <w:rPr>
          <w:rFonts w:ascii="Arial" w:hAnsi="Arial" w:cs="Arial"/>
          <w:sz w:val="22"/>
          <w:szCs w:val="22"/>
        </w:rPr>
        <w:t xml:space="preserve"> (</w:t>
      </w:r>
      <w:r w:rsidR="00E11EE9" w:rsidRPr="00C174A1">
        <w:rPr>
          <w:rFonts w:ascii="Arial" w:hAnsi="Arial" w:cs="Arial"/>
          <w:sz w:val="22"/>
          <w:szCs w:val="22"/>
        </w:rPr>
        <w:t>p</w:t>
      </w:r>
      <w:r w:rsidR="00E11EE9" w:rsidRPr="000024CE">
        <w:rPr>
          <w:rFonts w:ascii="Arial" w:hAnsi="Arial" w:cs="Arial"/>
          <w:sz w:val="22"/>
          <w:szCs w:val="22"/>
        </w:rPr>
        <w:t>≤0.001</w:t>
      </w:r>
      <w:r w:rsidR="00DF00C4">
        <w:rPr>
          <w:rFonts w:ascii="Arial" w:hAnsi="Arial" w:cs="Arial"/>
          <w:sz w:val="22"/>
          <w:szCs w:val="22"/>
        </w:rPr>
        <w:t>)</w:t>
      </w:r>
      <w:r w:rsidR="00E82CBD" w:rsidRPr="002D4681">
        <w:rPr>
          <w:rFonts w:ascii="Arial" w:hAnsi="Arial" w:cs="Arial"/>
          <w:sz w:val="22"/>
          <w:szCs w:val="22"/>
        </w:rPr>
        <w:t xml:space="preserve"> or invasive ventilation</w:t>
      </w:r>
      <w:r w:rsidR="00DF00C4">
        <w:rPr>
          <w:rFonts w:ascii="Arial" w:hAnsi="Arial" w:cs="Arial"/>
          <w:sz w:val="22"/>
          <w:szCs w:val="22"/>
        </w:rPr>
        <w:t xml:space="preserve"> (</w:t>
      </w:r>
      <w:r w:rsidR="00E11EE9" w:rsidRPr="00C174A1">
        <w:rPr>
          <w:rFonts w:ascii="Arial" w:hAnsi="Arial" w:cs="Arial"/>
          <w:sz w:val="22"/>
          <w:szCs w:val="22"/>
        </w:rPr>
        <w:t>p</w:t>
      </w:r>
      <w:r w:rsidR="00E11EE9" w:rsidRPr="000024CE">
        <w:rPr>
          <w:rFonts w:ascii="Arial" w:hAnsi="Arial" w:cs="Arial"/>
          <w:sz w:val="22"/>
          <w:szCs w:val="22"/>
        </w:rPr>
        <w:t>≤0.001</w:t>
      </w:r>
      <w:r w:rsidR="00DF00C4">
        <w:rPr>
          <w:rFonts w:ascii="Arial" w:hAnsi="Arial" w:cs="Arial"/>
          <w:sz w:val="22"/>
          <w:szCs w:val="22"/>
        </w:rPr>
        <w:t>)</w:t>
      </w:r>
      <w:r w:rsidR="00DF00C4" w:rsidRPr="002D4681">
        <w:rPr>
          <w:rFonts w:ascii="Arial" w:hAnsi="Arial" w:cs="Arial"/>
          <w:sz w:val="22"/>
          <w:szCs w:val="22"/>
        </w:rPr>
        <w:t xml:space="preserve"> </w:t>
      </w:r>
      <w:r w:rsidR="00E82CBD" w:rsidRPr="002D4681">
        <w:rPr>
          <w:rFonts w:ascii="Arial" w:hAnsi="Arial" w:cs="Arial"/>
          <w:sz w:val="22"/>
          <w:szCs w:val="22"/>
        </w:rPr>
        <w:t xml:space="preserve">on the first day. </w:t>
      </w:r>
      <w:r w:rsidR="004417BF" w:rsidRPr="002D4681">
        <w:rPr>
          <w:rFonts w:ascii="Arial" w:hAnsi="Arial" w:cs="Arial"/>
          <w:sz w:val="22"/>
          <w:szCs w:val="22"/>
        </w:rPr>
        <w:t>T</w:t>
      </w:r>
      <w:r w:rsidR="00E82CBD" w:rsidRPr="002D4681">
        <w:rPr>
          <w:rFonts w:ascii="Arial" w:hAnsi="Arial" w:cs="Arial"/>
          <w:sz w:val="22"/>
          <w:szCs w:val="22"/>
        </w:rPr>
        <w:t xml:space="preserve">he proportion of babies that received inhaled nitric oxide on the first day </w:t>
      </w:r>
      <w:r w:rsidR="001F1E50">
        <w:rPr>
          <w:rFonts w:ascii="Arial" w:hAnsi="Arial" w:cs="Arial"/>
          <w:sz w:val="22"/>
          <w:szCs w:val="22"/>
        </w:rPr>
        <w:t xml:space="preserve">was low and </w:t>
      </w:r>
      <w:r w:rsidR="004417BF" w:rsidRPr="002D4681">
        <w:rPr>
          <w:rFonts w:ascii="Arial" w:hAnsi="Arial" w:cs="Arial"/>
          <w:sz w:val="22"/>
          <w:szCs w:val="22"/>
        </w:rPr>
        <w:t>remained stable</w:t>
      </w:r>
      <w:r w:rsidR="000A40D1">
        <w:rPr>
          <w:rFonts w:ascii="Arial" w:hAnsi="Arial" w:cs="Arial"/>
          <w:sz w:val="22"/>
          <w:szCs w:val="22"/>
        </w:rPr>
        <w:t xml:space="preserve"> throughout the study period</w:t>
      </w:r>
      <w:r w:rsidR="004417BF" w:rsidRPr="002D4681">
        <w:rPr>
          <w:rFonts w:ascii="Arial" w:hAnsi="Arial" w:cs="Arial"/>
          <w:sz w:val="22"/>
          <w:szCs w:val="22"/>
        </w:rPr>
        <w:t xml:space="preserve"> </w:t>
      </w:r>
      <w:r w:rsidR="00E82CBD" w:rsidRPr="002D4681">
        <w:rPr>
          <w:rFonts w:ascii="Arial" w:hAnsi="Arial" w:cs="Arial"/>
          <w:sz w:val="22"/>
          <w:szCs w:val="22"/>
        </w:rPr>
        <w:t>(chi-squared test for trend p=0.28) (</w:t>
      </w:r>
      <w:r w:rsidR="00E82CBD" w:rsidRPr="002D4681">
        <w:rPr>
          <w:rFonts w:ascii="Arial" w:hAnsi="Arial" w:cs="Arial"/>
          <w:b/>
          <w:sz w:val="22"/>
          <w:szCs w:val="22"/>
        </w:rPr>
        <w:t>Table 3</w:t>
      </w:r>
      <w:r w:rsidR="00E82CBD" w:rsidRPr="002D4681">
        <w:rPr>
          <w:rFonts w:ascii="Arial" w:hAnsi="Arial" w:cs="Arial"/>
          <w:sz w:val="22"/>
          <w:szCs w:val="22"/>
        </w:rPr>
        <w:t xml:space="preserve"> and </w:t>
      </w:r>
      <w:r w:rsidR="00E82CBD" w:rsidRPr="002D4681">
        <w:rPr>
          <w:rFonts w:ascii="Arial" w:hAnsi="Arial" w:cs="Arial"/>
          <w:b/>
          <w:sz w:val="22"/>
          <w:szCs w:val="22"/>
        </w:rPr>
        <w:t xml:space="preserve">Figure </w:t>
      </w:r>
      <w:r w:rsidR="00E603A5">
        <w:rPr>
          <w:rFonts w:ascii="Arial" w:hAnsi="Arial" w:cs="Arial"/>
          <w:b/>
          <w:sz w:val="22"/>
          <w:szCs w:val="22"/>
        </w:rPr>
        <w:t>3</w:t>
      </w:r>
      <w:r w:rsidR="00E82CBD" w:rsidRPr="002D4681">
        <w:rPr>
          <w:rFonts w:ascii="Arial" w:hAnsi="Arial" w:cs="Arial"/>
          <w:sz w:val="22"/>
          <w:szCs w:val="22"/>
        </w:rPr>
        <w:t>).</w:t>
      </w:r>
    </w:p>
    <w:p w14:paraId="2364BEFF" w14:textId="029E6369" w:rsidR="006C425A" w:rsidRPr="002D4681" w:rsidRDefault="006C425A" w:rsidP="00E82CBD">
      <w:pPr>
        <w:spacing w:line="480" w:lineRule="auto"/>
        <w:jc w:val="both"/>
        <w:rPr>
          <w:rFonts w:ascii="Arial" w:hAnsi="Arial" w:cs="Arial"/>
          <w:sz w:val="22"/>
          <w:szCs w:val="22"/>
        </w:rPr>
      </w:pPr>
    </w:p>
    <w:p w14:paraId="6B8A3F99" w14:textId="2A1957AB" w:rsidR="008F01B2" w:rsidRPr="00086178" w:rsidRDefault="00524137" w:rsidP="00515DE8">
      <w:pPr>
        <w:spacing w:line="480" w:lineRule="auto"/>
        <w:jc w:val="both"/>
        <w:rPr>
          <w:rFonts w:ascii="Arial" w:hAnsi="Arial" w:cs="Arial"/>
          <w:b/>
          <w:sz w:val="22"/>
          <w:szCs w:val="22"/>
        </w:rPr>
      </w:pPr>
      <w:r w:rsidRPr="00086178">
        <w:rPr>
          <w:rFonts w:ascii="Arial" w:hAnsi="Arial" w:cs="Arial"/>
          <w:b/>
          <w:sz w:val="22"/>
          <w:szCs w:val="22"/>
        </w:rPr>
        <w:t xml:space="preserve">quantification of </w:t>
      </w:r>
      <w:r>
        <w:rPr>
          <w:rFonts w:ascii="Arial" w:hAnsi="Arial" w:cs="Arial"/>
          <w:b/>
          <w:sz w:val="22"/>
          <w:szCs w:val="22"/>
        </w:rPr>
        <w:t xml:space="preserve">HIE </w:t>
      </w:r>
      <w:r w:rsidRPr="00086178">
        <w:rPr>
          <w:rFonts w:ascii="Arial" w:hAnsi="Arial" w:cs="Arial"/>
          <w:b/>
          <w:sz w:val="22"/>
          <w:szCs w:val="22"/>
        </w:rPr>
        <w:t>grades</w:t>
      </w:r>
    </w:p>
    <w:p w14:paraId="67F352CA" w14:textId="004338EE" w:rsidR="007823C2" w:rsidRDefault="00F9172B" w:rsidP="00515DE8">
      <w:pPr>
        <w:spacing w:line="480" w:lineRule="auto"/>
        <w:jc w:val="both"/>
        <w:rPr>
          <w:rFonts w:ascii="Arial" w:hAnsi="Arial" w:cs="Arial"/>
          <w:sz w:val="22"/>
          <w:szCs w:val="22"/>
        </w:rPr>
      </w:pPr>
      <w:r>
        <w:rPr>
          <w:rFonts w:ascii="Arial" w:hAnsi="Arial" w:cs="Arial"/>
          <w:sz w:val="22"/>
          <w:szCs w:val="22"/>
        </w:rPr>
        <w:t>Secondary analyses examined the temporal trends in</w:t>
      </w:r>
      <w:r w:rsidRPr="002D4681">
        <w:rPr>
          <w:rFonts w:ascii="Arial" w:hAnsi="Arial" w:cs="Arial"/>
          <w:sz w:val="22"/>
          <w:szCs w:val="22"/>
        </w:rPr>
        <w:t xml:space="preserve"> </w:t>
      </w:r>
      <w:r>
        <w:rPr>
          <w:rFonts w:ascii="Arial" w:hAnsi="Arial" w:cs="Arial"/>
          <w:sz w:val="22"/>
          <w:szCs w:val="22"/>
        </w:rPr>
        <w:t>the recorded HIE grade of</w:t>
      </w:r>
      <w:r w:rsidRPr="002D4681">
        <w:rPr>
          <w:rFonts w:ascii="Arial" w:hAnsi="Arial" w:cs="Arial"/>
          <w:sz w:val="22"/>
          <w:szCs w:val="22"/>
        </w:rPr>
        <w:t xml:space="preserve"> babies who received therapeutic hypothermia in the UK</w:t>
      </w:r>
      <w:r>
        <w:rPr>
          <w:rFonts w:ascii="Arial" w:hAnsi="Arial" w:cs="Arial"/>
          <w:sz w:val="22"/>
          <w:szCs w:val="22"/>
        </w:rPr>
        <w:t>.</w:t>
      </w:r>
      <w:r w:rsidRPr="002D4681">
        <w:rPr>
          <w:rFonts w:ascii="Arial" w:hAnsi="Arial" w:cs="Arial"/>
          <w:sz w:val="22"/>
          <w:szCs w:val="22"/>
        </w:rPr>
        <w:t xml:space="preserve"> </w:t>
      </w:r>
      <w:r w:rsidR="00A87DC6" w:rsidRPr="002D4681">
        <w:rPr>
          <w:rFonts w:ascii="Arial" w:hAnsi="Arial" w:cs="Arial"/>
          <w:sz w:val="22"/>
          <w:szCs w:val="22"/>
        </w:rPr>
        <w:t>Over the study period</w:t>
      </w:r>
      <w:r w:rsidR="00A10BD2">
        <w:rPr>
          <w:rFonts w:ascii="Arial" w:hAnsi="Arial" w:cs="Arial"/>
          <w:sz w:val="22"/>
          <w:szCs w:val="22"/>
        </w:rPr>
        <w:t xml:space="preserve">, </w:t>
      </w:r>
      <w:r w:rsidR="000024CE">
        <w:rPr>
          <w:rFonts w:ascii="Arial" w:hAnsi="Arial" w:cs="Arial"/>
          <w:sz w:val="22"/>
          <w:szCs w:val="22"/>
        </w:rPr>
        <w:t xml:space="preserve">we found evidence of a decreasing trend in </w:t>
      </w:r>
      <w:r w:rsidR="00A10BD2">
        <w:rPr>
          <w:rFonts w:ascii="Arial" w:hAnsi="Arial" w:cs="Arial"/>
          <w:sz w:val="22"/>
          <w:szCs w:val="22"/>
        </w:rPr>
        <w:t xml:space="preserve">the </w:t>
      </w:r>
      <w:r w:rsidR="000024CE">
        <w:rPr>
          <w:rFonts w:ascii="Arial" w:hAnsi="Arial" w:cs="Arial"/>
          <w:sz w:val="22"/>
          <w:szCs w:val="22"/>
        </w:rPr>
        <w:t xml:space="preserve">recorded </w:t>
      </w:r>
      <w:r w:rsidR="001F1E50">
        <w:rPr>
          <w:rFonts w:ascii="Arial" w:hAnsi="Arial" w:cs="Arial"/>
          <w:sz w:val="22"/>
          <w:szCs w:val="22"/>
        </w:rPr>
        <w:t xml:space="preserve">grade of </w:t>
      </w:r>
      <w:r w:rsidR="00A10BD2">
        <w:rPr>
          <w:rFonts w:ascii="Arial" w:hAnsi="Arial" w:cs="Arial"/>
          <w:sz w:val="22"/>
          <w:szCs w:val="22"/>
        </w:rPr>
        <w:t xml:space="preserve">HIE </w:t>
      </w:r>
      <w:r w:rsidR="001F1E50">
        <w:rPr>
          <w:rFonts w:ascii="Arial" w:hAnsi="Arial" w:cs="Arial"/>
          <w:sz w:val="22"/>
          <w:szCs w:val="22"/>
        </w:rPr>
        <w:t xml:space="preserve">among babies in the study cohort </w:t>
      </w:r>
      <w:r w:rsidR="00A10BD2" w:rsidRPr="002D4681">
        <w:rPr>
          <w:rFonts w:ascii="Arial" w:hAnsi="Arial" w:cs="Arial"/>
          <w:sz w:val="22"/>
          <w:szCs w:val="22"/>
        </w:rPr>
        <w:t xml:space="preserve">(Spearman correlation analysis, </w:t>
      </w:r>
      <w:r w:rsidR="00E11EE9" w:rsidRPr="00C174A1">
        <w:rPr>
          <w:rFonts w:ascii="Arial" w:hAnsi="Arial" w:cs="Arial"/>
          <w:sz w:val="22"/>
          <w:szCs w:val="22"/>
        </w:rPr>
        <w:t>p</w:t>
      </w:r>
      <w:r w:rsidR="00E11EE9" w:rsidRPr="000024CE">
        <w:rPr>
          <w:rFonts w:ascii="Arial" w:hAnsi="Arial" w:cs="Arial"/>
          <w:sz w:val="22"/>
          <w:szCs w:val="22"/>
        </w:rPr>
        <w:t>≤0.001</w:t>
      </w:r>
      <w:r w:rsidR="00A10BD2" w:rsidRPr="002D4681">
        <w:rPr>
          <w:rFonts w:ascii="Arial" w:hAnsi="Arial" w:cs="Arial"/>
          <w:sz w:val="22"/>
          <w:szCs w:val="22"/>
        </w:rPr>
        <w:t xml:space="preserve">). </w:t>
      </w:r>
      <w:r w:rsidR="00A10BD2">
        <w:rPr>
          <w:rFonts w:ascii="Arial" w:hAnsi="Arial" w:cs="Arial"/>
          <w:sz w:val="22"/>
          <w:szCs w:val="22"/>
        </w:rPr>
        <w:t>T</w:t>
      </w:r>
      <w:r w:rsidR="00A87DC6" w:rsidRPr="002D4681">
        <w:rPr>
          <w:rFonts w:ascii="Arial" w:hAnsi="Arial" w:cs="Arial"/>
          <w:sz w:val="22"/>
          <w:szCs w:val="22"/>
        </w:rPr>
        <w:t>he proportion</w:t>
      </w:r>
      <w:r w:rsidR="001F1E50">
        <w:rPr>
          <w:rFonts w:ascii="Arial" w:hAnsi="Arial" w:cs="Arial"/>
          <w:sz w:val="22"/>
          <w:szCs w:val="22"/>
        </w:rPr>
        <w:t>s</w:t>
      </w:r>
      <w:r w:rsidR="00A87DC6" w:rsidRPr="002D4681">
        <w:rPr>
          <w:rFonts w:ascii="Arial" w:hAnsi="Arial" w:cs="Arial"/>
          <w:sz w:val="22"/>
          <w:szCs w:val="22"/>
        </w:rPr>
        <w:t xml:space="preserve"> of babies who received therapeutic </w:t>
      </w:r>
      <w:r w:rsidR="00A87DC6" w:rsidRPr="002D4681">
        <w:rPr>
          <w:rFonts w:ascii="Arial" w:hAnsi="Arial" w:cs="Arial"/>
          <w:sz w:val="22"/>
          <w:szCs w:val="22"/>
        </w:rPr>
        <w:lastRenderedPageBreak/>
        <w:t>hypothermia or died</w:t>
      </w:r>
      <w:r w:rsidR="000A40D1">
        <w:rPr>
          <w:rFonts w:ascii="Arial" w:hAnsi="Arial" w:cs="Arial"/>
          <w:sz w:val="22"/>
          <w:szCs w:val="22"/>
        </w:rPr>
        <w:t xml:space="preserve"> who were</w:t>
      </w:r>
      <w:r w:rsidR="00A87DC6" w:rsidRPr="002D4681">
        <w:rPr>
          <w:rFonts w:ascii="Arial" w:hAnsi="Arial" w:cs="Arial"/>
          <w:sz w:val="22"/>
          <w:szCs w:val="22"/>
        </w:rPr>
        <w:t xml:space="preserve"> recorded as having moderate (grade 2) or severe (grade 3) HIE decreased</w:t>
      </w:r>
      <w:r w:rsidR="00E603A5">
        <w:rPr>
          <w:rFonts w:ascii="Arial" w:hAnsi="Arial" w:cs="Arial"/>
          <w:sz w:val="22"/>
          <w:szCs w:val="22"/>
        </w:rPr>
        <w:t xml:space="preserve">, </w:t>
      </w:r>
      <w:r w:rsidR="004417BF" w:rsidRPr="002D4681">
        <w:rPr>
          <w:rFonts w:ascii="Arial" w:hAnsi="Arial" w:cs="Arial"/>
          <w:sz w:val="22"/>
          <w:szCs w:val="22"/>
        </w:rPr>
        <w:t>while the proportion recorded as having mild (grade 1) HIE increased</w:t>
      </w:r>
      <w:r w:rsidR="00A10BD2">
        <w:rPr>
          <w:rFonts w:ascii="Arial" w:hAnsi="Arial" w:cs="Arial"/>
          <w:sz w:val="22"/>
          <w:szCs w:val="22"/>
        </w:rPr>
        <w:t xml:space="preserve"> </w:t>
      </w:r>
      <w:r w:rsidR="00A87DC6" w:rsidRPr="002D4681">
        <w:rPr>
          <w:rFonts w:ascii="Arial" w:hAnsi="Arial" w:cs="Arial"/>
          <w:sz w:val="22"/>
          <w:szCs w:val="22"/>
        </w:rPr>
        <w:t>(</w:t>
      </w:r>
      <w:r w:rsidR="00A87DC6" w:rsidRPr="002D4681">
        <w:rPr>
          <w:rFonts w:ascii="Arial" w:hAnsi="Arial" w:cs="Arial"/>
          <w:b/>
          <w:sz w:val="22"/>
          <w:szCs w:val="22"/>
        </w:rPr>
        <w:t xml:space="preserve">Figure </w:t>
      </w:r>
      <w:r w:rsidR="007876D8" w:rsidRPr="001D639D">
        <w:rPr>
          <w:rFonts w:ascii="Arial" w:hAnsi="Arial" w:cs="Arial"/>
          <w:b/>
          <w:sz w:val="22"/>
          <w:szCs w:val="22"/>
        </w:rPr>
        <w:t>4</w:t>
      </w:r>
      <w:r w:rsidR="0056142B" w:rsidRPr="001C0EAF">
        <w:rPr>
          <w:rFonts w:ascii="Arial" w:hAnsi="Arial" w:cs="Arial"/>
          <w:b/>
          <w:sz w:val="22"/>
          <w:szCs w:val="22"/>
        </w:rPr>
        <w:t xml:space="preserve"> </w:t>
      </w:r>
      <w:r w:rsidR="001D639D" w:rsidRPr="001C0EAF">
        <w:rPr>
          <w:rFonts w:ascii="Arial" w:hAnsi="Arial" w:cs="Arial"/>
          <w:b/>
          <w:sz w:val="22"/>
          <w:szCs w:val="22"/>
        </w:rPr>
        <w:t xml:space="preserve">and </w:t>
      </w:r>
      <w:r w:rsidR="00A10BD2" w:rsidRPr="001D639D">
        <w:rPr>
          <w:rFonts w:ascii="Arial" w:hAnsi="Arial" w:cs="Arial"/>
          <w:b/>
          <w:sz w:val="22"/>
          <w:szCs w:val="22"/>
        </w:rPr>
        <w:t>S</w:t>
      </w:r>
      <w:r w:rsidR="0056142B" w:rsidRPr="001D639D">
        <w:rPr>
          <w:rFonts w:ascii="Arial" w:hAnsi="Arial" w:cs="Arial"/>
          <w:b/>
          <w:sz w:val="22"/>
          <w:szCs w:val="22"/>
        </w:rPr>
        <w:t>upplemental</w:t>
      </w:r>
      <w:r w:rsidR="0056142B" w:rsidRPr="002D4681">
        <w:rPr>
          <w:rFonts w:ascii="Arial" w:hAnsi="Arial" w:cs="Arial"/>
          <w:b/>
          <w:sz w:val="22"/>
          <w:szCs w:val="22"/>
        </w:rPr>
        <w:t xml:space="preserve"> table </w:t>
      </w:r>
      <w:r w:rsidR="002C3434">
        <w:rPr>
          <w:rFonts w:ascii="Arial" w:hAnsi="Arial" w:cs="Arial"/>
          <w:b/>
          <w:sz w:val="22"/>
          <w:szCs w:val="22"/>
        </w:rPr>
        <w:t>4</w:t>
      </w:r>
      <w:r w:rsidR="0056142B" w:rsidRPr="002D4681">
        <w:rPr>
          <w:rFonts w:ascii="Arial" w:hAnsi="Arial" w:cs="Arial"/>
          <w:sz w:val="22"/>
          <w:szCs w:val="22"/>
        </w:rPr>
        <w:t>).</w:t>
      </w:r>
    </w:p>
    <w:p w14:paraId="6D89D1BF" w14:textId="77777777" w:rsidR="00334FB3" w:rsidRPr="002D4681" w:rsidRDefault="00334FB3" w:rsidP="00515DE8">
      <w:pPr>
        <w:spacing w:line="480" w:lineRule="auto"/>
        <w:jc w:val="both"/>
        <w:rPr>
          <w:rFonts w:ascii="Arial" w:hAnsi="Arial" w:cs="Arial"/>
          <w:sz w:val="22"/>
          <w:szCs w:val="22"/>
        </w:rPr>
      </w:pPr>
    </w:p>
    <w:p w14:paraId="21EF850D" w14:textId="2E7D02FF" w:rsidR="003565AB" w:rsidRPr="00086178" w:rsidRDefault="00524137" w:rsidP="00514B79">
      <w:pPr>
        <w:spacing w:line="480" w:lineRule="auto"/>
        <w:jc w:val="both"/>
        <w:rPr>
          <w:rFonts w:ascii="Arial" w:hAnsi="Arial" w:cs="Arial"/>
          <w:b/>
          <w:sz w:val="22"/>
          <w:szCs w:val="22"/>
        </w:rPr>
      </w:pPr>
      <w:r w:rsidRPr="00086178">
        <w:rPr>
          <w:rFonts w:ascii="Arial" w:hAnsi="Arial" w:cs="Arial"/>
          <w:b/>
          <w:sz w:val="22"/>
          <w:szCs w:val="22"/>
        </w:rPr>
        <w:t>sensitivity analyses</w:t>
      </w:r>
    </w:p>
    <w:p w14:paraId="4BBEAAF3" w14:textId="3D9B90FB" w:rsidR="002C3434" w:rsidRDefault="00DE5F6E" w:rsidP="00436F6D">
      <w:pPr>
        <w:spacing w:line="480" w:lineRule="auto"/>
        <w:jc w:val="both"/>
        <w:rPr>
          <w:rFonts w:ascii="Arial" w:hAnsi="Arial" w:cs="Arial"/>
          <w:b/>
          <w:sz w:val="22"/>
          <w:szCs w:val="22"/>
        </w:rPr>
      </w:pPr>
      <w:r w:rsidRPr="002D4681">
        <w:rPr>
          <w:rFonts w:ascii="Arial" w:hAnsi="Arial" w:cs="Arial"/>
          <w:sz w:val="22"/>
          <w:szCs w:val="22"/>
        </w:rPr>
        <w:t>Over the study period</w:t>
      </w:r>
      <w:r w:rsidR="00A87DC6" w:rsidRPr="002D4681">
        <w:rPr>
          <w:rFonts w:ascii="Arial" w:hAnsi="Arial" w:cs="Arial"/>
          <w:sz w:val="22"/>
          <w:szCs w:val="22"/>
        </w:rPr>
        <w:t xml:space="preserve"> </w:t>
      </w:r>
      <w:r w:rsidR="002040BA">
        <w:rPr>
          <w:rFonts w:ascii="Arial" w:hAnsi="Arial" w:cs="Arial"/>
          <w:sz w:val="22"/>
          <w:szCs w:val="22"/>
        </w:rPr>
        <w:t>830</w:t>
      </w:r>
      <w:r w:rsidRPr="002D4681">
        <w:rPr>
          <w:rFonts w:ascii="Arial" w:hAnsi="Arial" w:cs="Arial"/>
          <w:sz w:val="22"/>
          <w:szCs w:val="22"/>
        </w:rPr>
        <w:t xml:space="preserve"> babies received therapeutic hypothermia but </w:t>
      </w:r>
      <w:r w:rsidR="0056142B" w:rsidRPr="002D4681">
        <w:rPr>
          <w:rFonts w:ascii="Arial" w:hAnsi="Arial" w:cs="Arial"/>
          <w:sz w:val="22"/>
          <w:szCs w:val="22"/>
        </w:rPr>
        <w:t>did not have a recorded diagnosis of HIE</w:t>
      </w:r>
      <w:r w:rsidRPr="002D4681">
        <w:rPr>
          <w:rFonts w:ascii="Arial" w:hAnsi="Arial" w:cs="Arial"/>
          <w:sz w:val="22"/>
          <w:szCs w:val="22"/>
        </w:rPr>
        <w:t xml:space="preserve">. </w:t>
      </w:r>
      <w:r w:rsidR="0056142B" w:rsidRPr="002D4681">
        <w:rPr>
          <w:rFonts w:ascii="Arial" w:hAnsi="Arial" w:cs="Arial"/>
          <w:sz w:val="22"/>
          <w:szCs w:val="22"/>
        </w:rPr>
        <w:t xml:space="preserve">The recorded diagnoses for these babies are presented in </w:t>
      </w:r>
      <w:r w:rsidR="0056142B" w:rsidRPr="002D4681">
        <w:rPr>
          <w:rFonts w:ascii="Arial" w:hAnsi="Arial" w:cs="Arial"/>
          <w:b/>
          <w:sz w:val="22"/>
          <w:szCs w:val="22"/>
        </w:rPr>
        <w:t xml:space="preserve">Supplemental table </w:t>
      </w:r>
      <w:r w:rsidR="002C3434">
        <w:rPr>
          <w:rFonts w:ascii="Arial" w:hAnsi="Arial" w:cs="Arial"/>
          <w:b/>
          <w:sz w:val="22"/>
          <w:szCs w:val="22"/>
        </w:rPr>
        <w:t>5</w:t>
      </w:r>
      <w:r w:rsidR="0056142B" w:rsidRPr="002D4681">
        <w:rPr>
          <w:rFonts w:ascii="Arial" w:hAnsi="Arial" w:cs="Arial"/>
          <w:sz w:val="22"/>
          <w:szCs w:val="22"/>
        </w:rPr>
        <w:t>.</w:t>
      </w:r>
      <w:r w:rsidR="00415793">
        <w:rPr>
          <w:rFonts w:ascii="Arial" w:hAnsi="Arial" w:cs="Arial"/>
          <w:sz w:val="22"/>
          <w:szCs w:val="22"/>
        </w:rPr>
        <w:t xml:space="preserve"> Next, we wanted to assess</w:t>
      </w:r>
      <w:r w:rsidR="00415793" w:rsidRPr="00415793">
        <w:rPr>
          <w:rFonts w:ascii="Arial" w:hAnsi="Arial" w:cs="Arial"/>
          <w:sz w:val="22"/>
          <w:szCs w:val="22"/>
        </w:rPr>
        <w:t xml:space="preserve"> </w:t>
      </w:r>
      <w:r w:rsidR="00415793" w:rsidRPr="002D4681">
        <w:rPr>
          <w:rFonts w:ascii="Arial" w:hAnsi="Arial" w:cs="Arial"/>
          <w:sz w:val="22"/>
          <w:szCs w:val="22"/>
        </w:rPr>
        <w:t>whether changes in classification of babies over time explained temporal trends in the population of babies that received therapeutic hypothermia for HIE</w:t>
      </w:r>
      <w:r w:rsidR="00415793">
        <w:rPr>
          <w:rFonts w:ascii="Arial" w:hAnsi="Arial" w:cs="Arial"/>
          <w:sz w:val="22"/>
          <w:szCs w:val="22"/>
        </w:rPr>
        <w:t xml:space="preserve">; </w:t>
      </w:r>
      <w:r w:rsidR="00415793" w:rsidRPr="002D4681">
        <w:rPr>
          <w:rFonts w:ascii="Arial" w:hAnsi="Arial" w:cs="Arial"/>
          <w:sz w:val="22"/>
          <w:szCs w:val="22"/>
        </w:rPr>
        <w:t>for example</w:t>
      </w:r>
      <w:r w:rsidR="00415793">
        <w:rPr>
          <w:rFonts w:ascii="Arial" w:hAnsi="Arial" w:cs="Arial"/>
          <w:sz w:val="22"/>
          <w:szCs w:val="22"/>
        </w:rPr>
        <w:t>,</w:t>
      </w:r>
      <w:r w:rsidR="00415793" w:rsidRPr="002D4681">
        <w:rPr>
          <w:rFonts w:ascii="Arial" w:hAnsi="Arial" w:cs="Arial"/>
          <w:sz w:val="22"/>
          <w:szCs w:val="22"/>
        </w:rPr>
        <w:t xml:space="preserve"> if mildly affected infants were increasingly classified as HIE rather than as other non-HIE diagnosis in later years</w:t>
      </w:r>
      <w:r w:rsidR="00415793">
        <w:rPr>
          <w:rFonts w:ascii="Arial" w:hAnsi="Arial" w:cs="Arial"/>
          <w:sz w:val="22"/>
          <w:szCs w:val="22"/>
        </w:rPr>
        <w:t>. In order to do so,</w:t>
      </w:r>
      <w:r w:rsidR="0056142B" w:rsidRPr="002D4681">
        <w:rPr>
          <w:rFonts w:ascii="Arial" w:hAnsi="Arial" w:cs="Arial"/>
          <w:sz w:val="22"/>
          <w:szCs w:val="22"/>
        </w:rPr>
        <w:t xml:space="preserve"> </w:t>
      </w:r>
      <w:r w:rsidR="00415793">
        <w:rPr>
          <w:rFonts w:ascii="Arial" w:hAnsi="Arial" w:cs="Arial"/>
          <w:sz w:val="22"/>
          <w:szCs w:val="22"/>
        </w:rPr>
        <w:t>the described analyses w</w:t>
      </w:r>
      <w:r w:rsidR="00C77D27">
        <w:rPr>
          <w:rFonts w:ascii="Arial" w:hAnsi="Arial" w:cs="Arial"/>
          <w:sz w:val="22"/>
          <w:szCs w:val="22"/>
        </w:rPr>
        <w:t>ere</w:t>
      </w:r>
      <w:r w:rsidR="00415793">
        <w:rPr>
          <w:rFonts w:ascii="Arial" w:hAnsi="Arial" w:cs="Arial"/>
          <w:sz w:val="22"/>
          <w:szCs w:val="22"/>
        </w:rPr>
        <w:t xml:space="preserve"> repeated on this cohort of babies </w:t>
      </w:r>
      <w:r w:rsidR="0056142B" w:rsidRPr="002D4681">
        <w:rPr>
          <w:rFonts w:ascii="Arial" w:hAnsi="Arial" w:cs="Arial"/>
          <w:sz w:val="22"/>
          <w:szCs w:val="22"/>
        </w:rPr>
        <w:t>(</w:t>
      </w:r>
      <w:r w:rsidR="0056142B" w:rsidRPr="002D4681">
        <w:rPr>
          <w:rFonts w:ascii="Arial" w:hAnsi="Arial" w:cs="Arial"/>
          <w:b/>
          <w:sz w:val="22"/>
          <w:szCs w:val="22"/>
        </w:rPr>
        <w:t xml:space="preserve">Supplemental tables </w:t>
      </w:r>
      <w:r w:rsidR="002C3434">
        <w:rPr>
          <w:rFonts w:ascii="Arial" w:hAnsi="Arial" w:cs="Arial"/>
          <w:b/>
          <w:sz w:val="22"/>
          <w:szCs w:val="22"/>
        </w:rPr>
        <w:t>6</w:t>
      </w:r>
      <w:r w:rsidR="0056142B" w:rsidRPr="002D4681">
        <w:rPr>
          <w:rFonts w:ascii="Arial" w:hAnsi="Arial" w:cs="Arial"/>
          <w:b/>
          <w:sz w:val="22"/>
          <w:szCs w:val="22"/>
        </w:rPr>
        <w:t xml:space="preserve"> and </w:t>
      </w:r>
      <w:r w:rsidR="00C77D27">
        <w:rPr>
          <w:rFonts w:ascii="Arial" w:hAnsi="Arial" w:cs="Arial"/>
          <w:b/>
          <w:sz w:val="22"/>
          <w:szCs w:val="22"/>
        </w:rPr>
        <w:t>F</w:t>
      </w:r>
      <w:r w:rsidR="0056142B" w:rsidRPr="002D4681">
        <w:rPr>
          <w:rFonts w:ascii="Arial" w:hAnsi="Arial" w:cs="Arial"/>
          <w:b/>
          <w:sz w:val="22"/>
          <w:szCs w:val="22"/>
        </w:rPr>
        <w:t>igure</w:t>
      </w:r>
      <w:r w:rsidR="002C3434">
        <w:rPr>
          <w:rFonts w:ascii="Arial" w:hAnsi="Arial" w:cs="Arial"/>
          <w:b/>
          <w:sz w:val="22"/>
          <w:szCs w:val="22"/>
        </w:rPr>
        <w:t xml:space="preserve"> 3</w:t>
      </w:r>
      <w:r w:rsidR="0056142B" w:rsidRPr="002D4681">
        <w:rPr>
          <w:rFonts w:ascii="Arial" w:hAnsi="Arial" w:cs="Arial"/>
          <w:sz w:val="22"/>
          <w:szCs w:val="22"/>
        </w:rPr>
        <w:t>). B</w:t>
      </w:r>
      <w:r w:rsidRPr="002D4681">
        <w:rPr>
          <w:rFonts w:ascii="Arial" w:hAnsi="Arial" w:cs="Arial"/>
          <w:sz w:val="22"/>
          <w:szCs w:val="22"/>
        </w:rPr>
        <w:t xml:space="preserve">abies </w:t>
      </w:r>
      <w:r w:rsidR="0056142B" w:rsidRPr="002D4681">
        <w:rPr>
          <w:rFonts w:ascii="Arial" w:hAnsi="Arial" w:cs="Arial"/>
          <w:sz w:val="22"/>
          <w:szCs w:val="22"/>
        </w:rPr>
        <w:t>that received therapeutic hypothermia for three days or died during this period without a diagnosis of</w:t>
      </w:r>
      <w:r w:rsidRPr="002D4681">
        <w:rPr>
          <w:rFonts w:ascii="Arial" w:hAnsi="Arial" w:cs="Arial"/>
          <w:sz w:val="22"/>
          <w:szCs w:val="22"/>
        </w:rPr>
        <w:t xml:space="preserve"> HIE had </w:t>
      </w:r>
      <w:r w:rsidR="00503EA3" w:rsidRPr="002D4681">
        <w:rPr>
          <w:rFonts w:ascii="Arial" w:hAnsi="Arial" w:cs="Arial"/>
          <w:sz w:val="22"/>
          <w:szCs w:val="22"/>
        </w:rPr>
        <w:t>less severe markers of hypoxia ischaemia when compared to the study population with a diagnosis of HIE. The</w:t>
      </w:r>
      <w:r w:rsidRPr="002D4681">
        <w:rPr>
          <w:rFonts w:ascii="Arial" w:hAnsi="Arial" w:cs="Arial"/>
          <w:sz w:val="22"/>
          <w:szCs w:val="22"/>
        </w:rPr>
        <w:t xml:space="preserve"> temporal trends seen in this </w:t>
      </w:r>
      <w:r w:rsidR="00503EA3" w:rsidRPr="002D4681">
        <w:rPr>
          <w:rFonts w:ascii="Arial" w:hAnsi="Arial" w:cs="Arial"/>
          <w:sz w:val="22"/>
          <w:szCs w:val="22"/>
        </w:rPr>
        <w:t xml:space="preserve">non-HIE </w:t>
      </w:r>
      <w:r w:rsidRPr="002D4681">
        <w:rPr>
          <w:rFonts w:ascii="Arial" w:hAnsi="Arial" w:cs="Arial"/>
          <w:sz w:val="22"/>
          <w:szCs w:val="22"/>
        </w:rPr>
        <w:t xml:space="preserve">group </w:t>
      </w:r>
      <w:r w:rsidR="00503EA3" w:rsidRPr="002D4681">
        <w:rPr>
          <w:rFonts w:ascii="Arial" w:hAnsi="Arial" w:cs="Arial"/>
          <w:sz w:val="22"/>
          <w:szCs w:val="22"/>
        </w:rPr>
        <w:t xml:space="preserve">are </w:t>
      </w:r>
      <w:r w:rsidRPr="002D4681">
        <w:rPr>
          <w:rFonts w:ascii="Arial" w:hAnsi="Arial" w:cs="Arial"/>
          <w:sz w:val="22"/>
          <w:szCs w:val="22"/>
        </w:rPr>
        <w:t xml:space="preserve">in the same </w:t>
      </w:r>
      <w:r w:rsidR="00C77D27" w:rsidRPr="002D4681">
        <w:rPr>
          <w:rFonts w:ascii="Arial" w:hAnsi="Arial" w:cs="Arial"/>
          <w:sz w:val="22"/>
          <w:szCs w:val="22"/>
        </w:rPr>
        <w:t xml:space="preserve">direction and </w:t>
      </w:r>
      <w:r w:rsidR="00C77D27">
        <w:rPr>
          <w:rFonts w:ascii="Arial" w:hAnsi="Arial" w:cs="Arial"/>
          <w:sz w:val="22"/>
          <w:szCs w:val="22"/>
        </w:rPr>
        <w:t xml:space="preserve">of the same order of </w:t>
      </w:r>
      <w:r w:rsidR="00C77D27" w:rsidRPr="002D4681">
        <w:rPr>
          <w:rFonts w:ascii="Arial" w:hAnsi="Arial" w:cs="Arial"/>
          <w:sz w:val="22"/>
          <w:szCs w:val="22"/>
        </w:rPr>
        <w:t xml:space="preserve">magnitude </w:t>
      </w:r>
      <w:r w:rsidR="00C77D27">
        <w:rPr>
          <w:rFonts w:ascii="Arial" w:hAnsi="Arial" w:cs="Arial"/>
          <w:sz w:val="22"/>
          <w:szCs w:val="22"/>
        </w:rPr>
        <w:t>as</w:t>
      </w:r>
      <w:r w:rsidR="00C77D27" w:rsidRPr="002D4681">
        <w:rPr>
          <w:rFonts w:ascii="Arial" w:hAnsi="Arial" w:cs="Arial"/>
          <w:sz w:val="22"/>
          <w:szCs w:val="22"/>
        </w:rPr>
        <w:t xml:space="preserve"> those seen in the primary analyses, indicating </w:t>
      </w:r>
      <w:r w:rsidR="00C77D27">
        <w:rPr>
          <w:rFonts w:ascii="Arial" w:hAnsi="Arial" w:cs="Arial"/>
          <w:sz w:val="22"/>
          <w:szCs w:val="22"/>
        </w:rPr>
        <w:t xml:space="preserve">that </w:t>
      </w:r>
      <w:r w:rsidR="00C77D27" w:rsidRPr="002D4681">
        <w:rPr>
          <w:rFonts w:ascii="Arial" w:hAnsi="Arial" w:cs="Arial"/>
          <w:sz w:val="22"/>
          <w:szCs w:val="22"/>
        </w:rPr>
        <w:t xml:space="preserve">changing diagnostic </w:t>
      </w:r>
      <w:r w:rsidR="00503EA3" w:rsidRPr="002D4681">
        <w:rPr>
          <w:rFonts w:ascii="Arial" w:hAnsi="Arial" w:cs="Arial"/>
          <w:sz w:val="22"/>
          <w:szCs w:val="22"/>
        </w:rPr>
        <w:t>classification is unlikely to account for our findings.</w:t>
      </w:r>
      <w:r w:rsidR="006C425A">
        <w:rPr>
          <w:rFonts w:ascii="Arial" w:hAnsi="Arial" w:cs="Arial"/>
          <w:b/>
          <w:sz w:val="22"/>
          <w:szCs w:val="22"/>
        </w:rPr>
        <w:br w:type="page"/>
      </w:r>
    </w:p>
    <w:p w14:paraId="09B82901" w14:textId="01BD45CB" w:rsidR="00DE5F6E" w:rsidRPr="002C3434" w:rsidRDefault="0000733F" w:rsidP="003A2B1C">
      <w:pPr>
        <w:spacing w:line="480" w:lineRule="auto"/>
        <w:jc w:val="both"/>
        <w:rPr>
          <w:rFonts w:ascii="Arial" w:hAnsi="Arial" w:cs="Arial"/>
          <w:b/>
          <w:sz w:val="22"/>
          <w:szCs w:val="22"/>
        </w:rPr>
      </w:pPr>
      <w:r w:rsidRPr="002D4681">
        <w:rPr>
          <w:rFonts w:ascii="Arial" w:hAnsi="Arial" w:cs="Arial"/>
          <w:b/>
          <w:sz w:val="22"/>
          <w:szCs w:val="22"/>
        </w:rPr>
        <w:lastRenderedPageBreak/>
        <w:t>DISCUSSION</w:t>
      </w:r>
    </w:p>
    <w:p w14:paraId="4319E4BE" w14:textId="4362C2E5" w:rsidR="00722CB6" w:rsidRPr="002D4681" w:rsidRDefault="00722CB6" w:rsidP="00515DE8">
      <w:pPr>
        <w:spacing w:after="100" w:afterAutospacing="1" w:line="480" w:lineRule="auto"/>
        <w:contextualSpacing/>
        <w:jc w:val="both"/>
        <w:rPr>
          <w:rFonts w:ascii="Arial" w:hAnsi="Arial" w:cs="Arial"/>
          <w:sz w:val="22"/>
          <w:szCs w:val="22"/>
        </w:rPr>
      </w:pPr>
      <w:r w:rsidRPr="002D4681">
        <w:rPr>
          <w:rFonts w:ascii="Arial" w:hAnsi="Arial" w:cs="Arial"/>
          <w:sz w:val="22"/>
          <w:szCs w:val="22"/>
        </w:rPr>
        <w:t>W</w:t>
      </w:r>
      <w:r w:rsidR="005E2CE2" w:rsidRPr="002D4681">
        <w:rPr>
          <w:rFonts w:ascii="Arial" w:hAnsi="Arial" w:cs="Arial"/>
          <w:sz w:val="22"/>
          <w:szCs w:val="22"/>
        </w:rPr>
        <w:t xml:space="preserve">e show a </w:t>
      </w:r>
      <w:r w:rsidR="004417BF" w:rsidRPr="002D4681">
        <w:rPr>
          <w:rFonts w:ascii="Arial" w:hAnsi="Arial" w:cs="Arial"/>
          <w:sz w:val="22"/>
          <w:szCs w:val="22"/>
        </w:rPr>
        <w:t xml:space="preserve">temporal </w:t>
      </w:r>
      <w:r w:rsidR="005E2CE2" w:rsidRPr="002D4681">
        <w:rPr>
          <w:rFonts w:ascii="Arial" w:hAnsi="Arial" w:cs="Arial"/>
          <w:sz w:val="22"/>
          <w:szCs w:val="22"/>
        </w:rPr>
        <w:t xml:space="preserve">change in the clinical characteristics and </w:t>
      </w:r>
      <w:r w:rsidRPr="002D4681">
        <w:rPr>
          <w:rFonts w:ascii="Arial" w:hAnsi="Arial" w:cs="Arial"/>
          <w:sz w:val="22"/>
          <w:szCs w:val="22"/>
        </w:rPr>
        <w:t xml:space="preserve">recorded </w:t>
      </w:r>
      <w:r w:rsidR="005E2CE2" w:rsidRPr="002D4681">
        <w:rPr>
          <w:rFonts w:ascii="Arial" w:hAnsi="Arial" w:cs="Arial"/>
          <w:sz w:val="22"/>
          <w:szCs w:val="22"/>
        </w:rPr>
        <w:t xml:space="preserve">severity of HIE in babies who received therapeutic hypothermia </w:t>
      </w:r>
      <w:r w:rsidR="004417BF" w:rsidRPr="002D4681">
        <w:rPr>
          <w:rFonts w:ascii="Arial" w:hAnsi="Arial" w:cs="Arial"/>
          <w:sz w:val="22"/>
          <w:szCs w:val="22"/>
        </w:rPr>
        <w:t xml:space="preserve">in the UK </w:t>
      </w:r>
      <w:r w:rsidR="005E2CE2" w:rsidRPr="002D4681">
        <w:rPr>
          <w:rFonts w:ascii="Arial" w:hAnsi="Arial" w:cs="Arial"/>
          <w:sz w:val="22"/>
          <w:szCs w:val="22"/>
        </w:rPr>
        <w:t>between 2010 and 201</w:t>
      </w:r>
      <w:r w:rsidRPr="002D4681">
        <w:rPr>
          <w:rFonts w:ascii="Arial" w:hAnsi="Arial" w:cs="Arial"/>
          <w:sz w:val="22"/>
          <w:szCs w:val="22"/>
        </w:rPr>
        <w:t>7</w:t>
      </w:r>
      <w:r w:rsidR="00DF7C2B">
        <w:rPr>
          <w:rFonts w:ascii="Arial" w:hAnsi="Arial" w:cs="Arial"/>
          <w:sz w:val="22"/>
          <w:szCs w:val="22"/>
        </w:rPr>
        <w:t xml:space="preserve"> </w:t>
      </w:r>
      <w:r w:rsidR="00F9172B">
        <w:rPr>
          <w:rFonts w:ascii="Arial" w:hAnsi="Arial" w:cs="Arial"/>
          <w:sz w:val="22"/>
          <w:szCs w:val="22"/>
        </w:rPr>
        <w:t>despite there being no change to the clinical guidance for initiation and duration of neonatal therapeutic hypothermia over this period</w:t>
      </w:r>
      <w:r w:rsidR="00041EA5">
        <w:rPr>
          <w:rFonts w:ascii="Arial" w:hAnsi="Arial" w:cs="Arial"/>
          <w:sz w:val="22"/>
          <w:szCs w:val="22"/>
        </w:rPr>
        <w:t xml:space="preserve"> </w:t>
      </w:r>
      <w:r w:rsidR="00DF7C2B">
        <w:rPr>
          <w:rFonts w:ascii="Arial" w:hAnsi="Arial" w:cs="Arial"/>
          <w:sz w:val="22"/>
          <w:szCs w:val="22"/>
        </w:rPr>
        <w:fldChar w:fldCharType="begin"/>
      </w:r>
      <w:r w:rsidR="00593781">
        <w:rPr>
          <w:rFonts w:ascii="Arial" w:hAnsi="Arial" w:cs="Arial"/>
          <w:sz w:val="22"/>
          <w:szCs w:val="22"/>
        </w:rPr>
        <w:instrText xml:space="preserve"> ADDIN ZOTERO_ITEM CSL_CITATION {"citationID":"jDHuLTny","properties":{"formattedCitation":"[5]","plainCitation":"[5]","noteIndex":0},"citationItems":[{"id":716,"uris":["http://zotero.org/users/5728505/items/KCIFMG8U"],"uri":["http://zotero.org/users/5728505/items/KCIFMG8U"],"itemData":{"id":716,"type":"webpage","language":"eng","title":"Therapeutic hypothermia with intracorporeal temperature monitoring for hypoxic perinatal brain injury | Guidance | NICE","URL":"https://www.nice.org.uk/guidance/ipg347/chapter/2-The-procedure","author":[{"family":"National Institute for Health and Clinical Excellence","given":""}],"accessed":{"date-parts":[["2019",5,9]]},"issued":{"date-parts":[["2010"]]}}}],"schema":"https://github.com/citation-style-language/schema/raw/master/csl-citation.json"} </w:instrText>
      </w:r>
      <w:r w:rsidR="00DF7C2B">
        <w:rPr>
          <w:rFonts w:ascii="Arial" w:hAnsi="Arial" w:cs="Arial"/>
          <w:sz w:val="22"/>
          <w:szCs w:val="22"/>
        </w:rPr>
        <w:fldChar w:fldCharType="separate"/>
      </w:r>
      <w:r w:rsidR="00593781">
        <w:rPr>
          <w:rFonts w:ascii="Arial" w:hAnsi="Arial" w:cs="Arial"/>
          <w:sz w:val="22"/>
          <w:lang w:val="en-US"/>
        </w:rPr>
        <w:t>[5]</w:t>
      </w:r>
      <w:r w:rsidR="00DF7C2B">
        <w:rPr>
          <w:rFonts w:ascii="Arial" w:hAnsi="Arial" w:cs="Arial"/>
          <w:sz w:val="22"/>
          <w:szCs w:val="22"/>
        </w:rPr>
        <w:fldChar w:fldCharType="end"/>
      </w:r>
      <w:r w:rsidRPr="002D4681">
        <w:rPr>
          <w:rFonts w:ascii="Arial" w:hAnsi="Arial" w:cs="Arial"/>
          <w:sz w:val="22"/>
          <w:szCs w:val="22"/>
        </w:rPr>
        <w:t xml:space="preserve">: </w:t>
      </w:r>
      <w:r w:rsidR="005E2CE2" w:rsidRPr="002D4681">
        <w:rPr>
          <w:rFonts w:ascii="Arial" w:hAnsi="Arial" w:cs="Arial"/>
          <w:sz w:val="22"/>
          <w:szCs w:val="22"/>
        </w:rPr>
        <w:t xml:space="preserve">a greater proportion </w:t>
      </w:r>
      <w:r w:rsidR="004417BF" w:rsidRPr="002D4681">
        <w:rPr>
          <w:rFonts w:ascii="Arial" w:hAnsi="Arial" w:cs="Arial"/>
          <w:sz w:val="22"/>
          <w:szCs w:val="22"/>
        </w:rPr>
        <w:t xml:space="preserve">of these babies </w:t>
      </w:r>
      <w:r w:rsidRPr="002D4681">
        <w:rPr>
          <w:rFonts w:ascii="Arial" w:hAnsi="Arial" w:cs="Arial"/>
          <w:sz w:val="22"/>
          <w:szCs w:val="22"/>
        </w:rPr>
        <w:t xml:space="preserve">have less severe clinical characteristics of hypoxia ischaemia </w:t>
      </w:r>
      <w:r w:rsidR="004417BF" w:rsidRPr="002D4681">
        <w:rPr>
          <w:rFonts w:ascii="Arial" w:hAnsi="Arial" w:cs="Arial"/>
          <w:sz w:val="22"/>
          <w:szCs w:val="22"/>
        </w:rPr>
        <w:t>or</w:t>
      </w:r>
      <w:r w:rsidRPr="002D4681">
        <w:rPr>
          <w:rFonts w:ascii="Arial" w:hAnsi="Arial" w:cs="Arial"/>
          <w:sz w:val="22"/>
          <w:szCs w:val="22"/>
        </w:rPr>
        <w:t xml:space="preserve"> are recorded as having mild </w:t>
      </w:r>
      <w:r w:rsidR="001F1E50">
        <w:rPr>
          <w:rFonts w:ascii="Arial" w:hAnsi="Arial" w:cs="Arial"/>
          <w:sz w:val="22"/>
          <w:szCs w:val="22"/>
        </w:rPr>
        <w:t xml:space="preserve">(or grade 1) </w:t>
      </w:r>
      <w:r w:rsidRPr="002D4681">
        <w:rPr>
          <w:rFonts w:ascii="Arial" w:hAnsi="Arial" w:cs="Arial"/>
          <w:sz w:val="22"/>
          <w:szCs w:val="22"/>
        </w:rPr>
        <w:t>HIE</w:t>
      </w:r>
      <w:r w:rsidR="005E2CE2" w:rsidRPr="002D4681">
        <w:rPr>
          <w:rFonts w:ascii="Arial" w:hAnsi="Arial" w:cs="Arial"/>
          <w:sz w:val="22"/>
          <w:szCs w:val="22"/>
        </w:rPr>
        <w:t xml:space="preserve">. </w:t>
      </w:r>
      <w:r w:rsidRPr="002D4681">
        <w:rPr>
          <w:rFonts w:ascii="Arial" w:hAnsi="Arial" w:cs="Arial"/>
          <w:sz w:val="22"/>
          <w:szCs w:val="22"/>
        </w:rPr>
        <w:t>This pattern is</w:t>
      </w:r>
      <w:r w:rsidR="005E2CE2" w:rsidRPr="002D4681">
        <w:rPr>
          <w:rFonts w:ascii="Arial" w:hAnsi="Arial" w:cs="Arial"/>
          <w:sz w:val="22"/>
          <w:szCs w:val="22"/>
        </w:rPr>
        <w:t xml:space="preserve"> consistent across </w:t>
      </w:r>
      <w:r w:rsidR="0003266E">
        <w:rPr>
          <w:rFonts w:ascii="Arial" w:hAnsi="Arial" w:cs="Arial"/>
          <w:sz w:val="22"/>
          <w:szCs w:val="22"/>
        </w:rPr>
        <w:t>several</w:t>
      </w:r>
      <w:r w:rsidRPr="002D4681">
        <w:rPr>
          <w:rFonts w:ascii="Arial" w:hAnsi="Arial" w:cs="Arial"/>
          <w:sz w:val="22"/>
          <w:szCs w:val="22"/>
        </w:rPr>
        <w:t xml:space="preserve"> </w:t>
      </w:r>
      <w:r w:rsidR="005E2CE2" w:rsidRPr="002D4681">
        <w:rPr>
          <w:rFonts w:ascii="Arial" w:hAnsi="Arial" w:cs="Arial"/>
          <w:sz w:val="22"/>
          <w:szCs w:val="22"/>
        </w:rPr>
        <w:t xml:space="preserve">markers </w:t>
      </w:r>
      <w:r w:rsidR="00FC070D" w:rsidRPr="002D4681">
        <w:rPr>
          <w:rFonts w:ascii="Arial" w:hAnsi="Arial" w:cs="Arial"/>
          <w:sz w:val="22"/>
          <w:szCs w:val="22"/>
        </w:rPr>
        <w:t xml:space="preserve">of hypoxia ischaemia </w:t>
      </w:r>
      <w:r w:rsidRPr="002D4681">
        <w:rPr>
          <w:rFonts w:ascii="Arial" w:hAnsi="Arial" w:cs="Arial"/>
          <w:sz w:val="22"/>
          <w:szCs w:val="22"/>
        </w:rPr>
        <w:t>comprising initial clinical assessment, resuscitation, biochemical markers, seizures and initial treatment</w:t>
      </w:r>
      <w:r w:rsidR="00FC070D" w:rsidRPr="002D4681">
        <w:rPr>
          <w:rFonts w:ascii="Arial" w:hAnsi="Arial" w:cs="Arial"/>
          <w:sz w:val="22"/>
          <w:szCs w:val="22"/>
        </w:rPr>
        <w:t>,</w:t>
      </w:r>
      <w:r w:rsidRPr="002D4681">
        <w:rPr>
          <w:rFonts w:ascii="Arial" w:hAnsi="Arial" w:cs="Arial"/>
          <w:sz w:val="22"/>
          <w:szCs w:val="22"/>
        </w:rPr>
        <w:t xml:space="preserve"> </w:t>
      </w:r>
      <w:r w:rsidR="001F1E50">
        <w:rPr>
          <w:rFonts w:ascii="Arial" w:hAnsi="Arial" w:cs="Arial"/>
          <w:sz w:val="22"/>
          <w:szCs w:val="22"/>
        </w:rPr>
        <w:t>as well as</w:t>
      </w:r>
      <w:r w:rsidR="001F1E50" w:rsidRPr="002D4681">
        <w:rPr>
          <w:rFonts w:ascii="Arial" w:hAnsi="Arial" w:cs="Arial"/>
          <w:sz w:val="22"/>
          <w:szCs w:val="22"/>
        </w:rPr>
        <w:t xml:space="preserve"> </w:t>
      </w:r>
      <w:r w:rsidRPr="002D4681">
        <w:rPr>
          <w:rFonts w:ascii="Arial" w:hAnsi="Arial" w:cs="Arial"/>
          <w:sz w:val="22"/>
          <w:szCs w:val="22"/>
        </w:rPr>
        <w:t>in recorded grade of HIE. These data indicate that an increasing proportion of infants receiving therapeutic hypothermia in the UK have mild HI</w:t>
      </w:r>
      <w:r w:rsidR="00FC070D" w:rsidRPr="002D4681">
        <w:rPr>
          <w:rFonts w:ascii="Arial" w:hAnsi="Arial" w:cs="Arial"/>
          <w:sz w:val="22"/>
          <w:szCs w:val="22"/>
        </w:rPr>
        <w:t>E</w:t>
      </w:r>
      <w:r w:rsidR="00296501">
        <w:rPr>
          <w:rFonts w:ascii="Arial" w:hAnsi="Arial" w:cs="Arial"/>
          <w:sz w:val="22"/>
          <w:szCs w:val="22"/>
        </w:rPr>
        <w:t xml:space="preserve"> </w:t>
      </w:r>
      <w:r w:rsidR="00F9172B">
        <w:rPr>
          <w:rFonts w:ascii="Arial" w:hAnsi="Arial" w:cs="Arial"/>
          <w:sz w:val="22"/>
          <w:szCs w:val="22"/>
        </w:rPr>
        <w:t>and we find that a large number of infants are receiving therapeutic hypothermia without a principal or primary diagnosis of HIE</w:t>
      </w:r>
      <w:r w:rsidR="00C77D27">
        <w:rPr>
          <w:rFonts w:ascii="Arial" w:hAnsi="Arial" w:cs="Arial"/>
          <w:sz w:val="22"/>
          <w:szCs w:val="22"/>
        </w:rPr>
        <w:t>.</w:t>
      </w:r>
      <w:r w:rsidR="00296501">
        <w:rPr>
          <w:rFonts w:ascii="Arial" w:hAnsi="Arial" w:cs="Arial"/>
          <w:sz w:val="22"/>
          <w:szCs w:val="22"/>
        </w:rPr>
        <w:t xml:space="preserve"> </w:t>
      </w:r>
      <w:r w:rsidR="00C77D27">
        <w:rPr>
          <w:rFonts w:ascii="Arial" w:hAnsi="Arial" w:cs="Arial"/>
          <w:sz w:val="22"/>
          <w:szCs w:val="22"/>
        </w:rPr>
        <w:t>T</w:t>
      </w:r>
      <w:r w:rsidR="00296501">
        <w:rPr>
          <w:rFonts w:ascii="Arial" w:hAnsi="Arial" w:cs="Arial"/>
          <w:sz w:val="22"/>
          <w:szCs w:val="22"/>
        </w:rPr>
        <w:t xml:space="preserve">hese infants are </w:t>
      </w:r>
      <w:r w:rsidR="004417BF" w:rsidRPr="002D4681">
        <w:rPr>
          <w:rFonts w:ascii="Arial" w:hAnsi="Arial" w:cs="Arial"/>
          <w:sz w:val="22"/>
          <w:szCs w:val="22"/>
        </w:rPr>
        <w:t>therefore</w:t>
      </w:r>
      <w:r w:rsidR="00FC070D" w:rsidRPr="002D4681">
        <w:rPr>
          <w:rFonts w:ascii="Arial" w:hAnsi="Arial" w:cs="Arial"/>
          <w:sz w:val="22"/>
          <w:szCs w:val="22"/>
        </w:rPr>
        <w:t xml:space="preserve"> </w:t>
      </w:r>
      <w:r w:rsidRPr="002D4681">
        <w:rPr>
          <w:rFonts w:ascii="Arial" w:hAnsi="Arial" w:cs="Arial"/>
          <w:sz w:val="22"/>
          <w:szCs w:val="22"/>
        </w:rPr>
        <w:t>receiving this therapy outside</w:t>
      </w:r>
      <w:r w:rsidR="0003266E">
        <w:rPr>
          <w:rFonts w:ascii="Arial" w:hAnsi="Arial" w:cs="Arial"/>
          <w:sz w:val="22"/>
          <w:szCs w:val="22"/>
        </w:rPr>
        <w:t xml:space="preserve"> the scope of</w:t>
      </w:r>
      <w:r w:rsidRPr="002D4681">
        <w:rPr>
          <w:rFonts w:ascii="Arial" w:hAnsi="Arial" w:cs="Arial"/>
          <w:sz w:val="22"/>
          <w:szCs w:val="22"/>
        </w:rPr>
        <w:t xml:space="preserve"> high-quality</w:t>
      </w:r>
      <w:r w:rsidR="00667E41" w:rsidRPr="002D4681">
        <w:rPr>
          <w:rFonts w:ascii="Arial" w:hAnsi="Arial" w:cs="Arial"/>
          <w:sz w:val="22"/>
          <w:szCs w:val="22"/>
        </w:rPr>
        <w:t xml:space="preserve"> randomised </w:t>
      </w:r>
      <w:r w:rsidRPr="002D4681">
        <w:rPr>
          <w:rFonts w:ascii="Arial" w:hAnsi="Arial" w:cs="Arial"/>
          <w:sz w:val="22"/>
          <w:szCs w:val="22"/>
        </w:rPr>
        <w:t>evidence</w:t>
      </w:r>
      <w:r w:rsidR="00041EA5">
        <w:rPr>
          <w:rFonts w:ascii="Arial" w:hAnsi="Arial" w:cs="Arial"/>
          <w:sz w:val="22"/>
          <w:szCs w:val="22"/>
        </w:rPr>
        <w:t xml:space="preserve"> </w:t>
      </w:r>
      <w:r w:rsidR="00532620">
        <w:rPr>
          <w:rFonts w:ascii="Arial" w:hAnsi="Arial" w:cs="Arial"/>
          <w:sz w:val="22"/>
          <w:szCs w:val="22"/>
        </w:rPr>
        <w:fldChar w:fldCharType="begin"/>
      </w:r>
      <w:r w:rsidR="00593781">
        <w:rPr>
          <w:rFonts w:ascii="Arial" w:hAnsi="Arial" w:cs="Arial"/>
          <w:sz w:val="22"/>
          <w:szCs w:val="22"/>
        </w:rPr>
        <w:instrText xml:space="preserve"> ADDIN ZOTERO_ITEM CSL_CITATION {"citationID":"nHsuFVr9","properties":{"unsorted":true,"formattedCitation":"[8]","plainCitation":"[8]","noteIndex":0},"citationItems":[{"id":621,"uris":["http://zotero.org/users/5728505/items/FVD4PFL7"],"uri":["http://zotero.org/users/5728505/items/FVD4PFL7"],"itemData":{"id":621,"type":"article-journal","abstract":"Objectives  To examine if therapeutic hypothermia reduces the composite outcome of death, moderate or severe disability at 18 months or more after mild neonatal encephalopathy (NE). Data source  MEDLINE, Cochrane database, Scopus and ISI Web of Knowledge databases, using ’hypoxic ischaemic encephalopathy’, ’newborn’ and ’hypothermia’, and ’clinical trials’ as medical subject headings and terms. Manual search of the reference lists of all eligible articles and major review articles and additional data from the corresponding authors of selected articles. Study selection  Randomised and quasirandomised controlled trials comparing therapeutic hypothermia with usual care. Data extraction  Safety and efficacy data extracted independently by two reviewers and analysed.\nResults  We included the data on 117 babies with mild NE inadvertently recruited to five cooling trials (two whole-body cooling and three selective head cooling) of moderate and severe NE, in the meta-analysis. Adverse outcomes occurred in 11/56 (19.6%) of the cooled babies and 12/61 (19.7%) of the usual care babies (risk ratio 1.11 (95% CIs 0.55 to 2.25)).\nConclusions  Current evidence is insufficient to recommend routine therapeutic hypothermia for babies with mild encephalopathy and significant benefits or harm cannot be excluded.","container-title":"Archives of Disease in Childhood - Fetal and Neonatal Edition","DOI":"10.1136/archdischild-2018-315711","ISSN":"1359-2998, 1468-2052","language":"en","page":"fetalneonatal-2018-315711","source":"Crossref","title":"Therapeutic hypothermia for mild neonatal encephalopathy: a systematic review and meta-analysis","title-short":"Therapeutic hypothermia for mild neonatal encephalopathy","author":[{"family":"Kariholu","given":"Ujwal"},{"family":"Montaldo","given":"Paolo"},{"family":"Markati","given":"Theodora"},{"family":"Lally","given":"Peter J"},{"family":"Pryce","given":"Russell"},{"family":"Teiserskas","given":"Justinas"},{"family":"Liow","given":"Natasha"},{"family":"Oliveira","given":"Vânia"},{"family":"Soe","given":"Aung"},{"family":"Shankaran","given":"Seetha"},{"family":"Thayyil","given":"Sudhin"}],"issued":{"date-parts":[["2018",12,19]]}}}],"schema":"https://github.com/citation-style-language/schema/raw/master/csl-citation.json"} </w:instrText>
      </w:r>
      <w:r w:rsidR="00532620">
        <w:rPr>
          <w:rFonts w:ascii="Arial" w:hAnsi="Arial" w:cs="Arial"/>
          <w:sz w:val="22"/>
          <w:szCs w:val="22"/>
        </w:rPr>
        <w:fldChar w:fldCharType="separate"/>
      </w:r>
      <w:r w:rsidR="00593781">
        <w:rPr>
          <w:rFonts w:ascii="Arial" w:hAnsi="Arial" w:cs="Arial"/>
          <w:sz w:val="22"/>
          <w:lang w:val="en-US"/>
        </w:rPr>
        <w:t>[8]</w:t>
      </w:r>
      <w:r w:rsidR="00532620">
        <w:rPr>
          <w:rFonts w:ascii="Arial" w:hAnsi="Arial" w:cs="Arial"/>
          <w:sz w:val="22"/>
          <w:szCs w:val="22"/>
        </w:rPr>
        <w:fldChar w:fldCharType="end"/>
      </w:r>
      <w:r w:rsidRPr="002D4681">
        <w:rPr>
          <w:rFonts w:ascii="Arial" w:hAnsi="Arial" w:cs="Arial"/>
          <w:sz w:val="22"/>
          <w:szCs w:val="22"/>
        </w:rPr>
        <w:t xml:space="preserve"> and guidelines</w:t>
      </w:r>
      <w:r w:rsidR="00041EA5">
        <w:rPr>
          <w:rFonts w:ascii="Arial" w:hAnsi="Arial" w:cs="Arial"/>
          <w:sz w:val="22"/>
          <w:szCs w:val="22"/>
        </w:rPr>
        <w:t xml:space="preserve"> </w:t>
      </w:r>
      <w:r w:rsidR="00532620">
        <w:rPr>
          <w:rFonts w:ascii="Arial" w:hAnsi="Arial" w:cs="Arial"/>
          <w:sz w:val="22"/>
          <w:szCs w:val="22"/>
        </w:rPr>
        <w:fldChar w:fldCharType="begin"/>
      </w:r>
      <w:r w:rsidR="00593781">
        <w:rPr>
          <w:rFonts w:ascii="Arial" w:hAnsi="Arial" w:cs="Arial"/>
          <w:sz w:val="22"/>
          <w:szCs w:val="22"/>
        </w:rPr>
        <w:instrText xml:space="preserve"> ADDIN ZOTERO_ITEM CSL_CITATION {"citationID":"Njg8D2Pa","properties":{"formattedCitation":"[5]","plainCitation":"[5]","noteIndex":0},"citationItems":[{"id":716,"uris":["http://zotero.org/users/5728505/items/KCIFMG8U"],"uri":["http://zotero.org/users/5728505/items/KCIFMG8U"],"itemData":{"id":716,"type":"webpage","language":"eng","title":"Therapeutic hypothermia with intracorporeal temperature monitoring for hypoxic perinatal brain injury | Guidance | NICE","URL":"https://www.nice.org.uk/guidance/ipg347/chapter/2-The-procedure","author":[{"family":"National Institute for Health and Clinical Excellence","given":""}],"accessed":{"date-parts":[["2019",5,9]]},"issued":{"date-parts":[["2010"]]}}}],"schema":"https://github.com/citation-style-language/schema/raw/master/csl-citation.json"} </w:instrText>
      </w:r>
      <w:r w:rsidR="00532620">
        <w:rPr>
          <w:rFonts w:ascii="Arial" w:hAnsi="Arial" w:cs="Arial"/>
          <w:sz w:val="22"/>
          <w:szCs w:val="22"/>
        </w:rPr>
        <w:fldChar w:fldCharType="separate"/>
      </w:r>
      <w:r w:rsidR="00593781">
        <w:rPr>
          <w:rFonts w:ascii="Arial" w:hAnsi="Arial" w:cs="Arial"/>
          <w:sz w:val="22"/>
          <w:lang w:val="en-US"/>
        </w:rPr>
        <w:t>[5]</w:t>
      </w:r>
      <w:r w:rsidR="00532620">
        <w:rPr>
          <w:rFonts w:ascii="Arial" w:hAnsi="Arial" w:cs="Arial"/>
          <w:sz w:val="22"/>
          <w:szCs w:val="22"/>
        </w:rPr>
        <w:fldChar w:fldCharType="end"/>
      </w:r>
      <w:r w:rsidR="00532620">
        <w:rPr>
          <w:rFonts w:ascii="Arial" w:hAnsi="Arial" w:cs="Arial"/>
          <w:sz w:val="22"/>
          <w:szCs w:val="22"/>
        </w:rPr>
        <w:t>.</w:t>
      </w:r>
      <w:r w:rsidR="00296501">
        <w:rPr>
          <w:rFonts w:ascii="Arial" w:hAnsi="Arial" w:cs="Arial"/>
          <w:sz w:val="22"/>
          <w:szCs w:val="22"/>
        </w:rPr>
        <w:t xml:space="preserve"> </w:t>
      </w:r>
    </w:p>
    <w:p w14:paraId="067A41A3" w14:textId="5F48B77A" w:rsidR="00722CB6" w:rsidRPr="002D4681" w:rsidRDefault="00722CB6" w:rsidP="00515DE8">
      <w:pPr>
        <w:spacing w:after="100" w:afterAutospacing="1" w:line="480" w:lineRule="auto"/>
        <w:contextualSpacing/>
        <w:jc w:val="both"/>
        <w:rPr>
          <w:rFonts w:ascii="Arial" w:hAnsi="Arial" w:cs="Arial"/>
          <w:sz w:val="22"/>
          <w:szCs w:val="22"/>
        </w:rPr>
      </w:pPr>
    </w:p>
    <w:p w14:paraId="7BD51842" w14:textId="7669F0B7" w:rsidR="00FC070D" w:rsidRPr="002D4681" w:rsidRDefault="00667E41" w:rsidP="00515DE8">
      <w:pPr>
        <w:spacing w:after="100" w:afterAutospacing="1" w:line="480" w:lineRule="auto"/>
        <w:jc w:val="both"/>
        <w:rPr>
          <w:rFonts w:ascii="Arial" w:hAnsi="Arial" w:cs="Arial"/>
          <w:sz w:val="22"/>
          <w:szCs w:val="22"/>
        </w:rPr>
      </w:pPr>
      <w:r w:rsidRPr="002D4681">
        <w:rPr>
          <w:rFonts w:ascii="Arial" w:hAnsi="Arial" w:cs="Arial"/>
          <w:sz w:val="22"/>
          <w:szCs w:val="22"/>
        </w:rPr>
        <w:t>Th</w:t>
      </w:r>
      <w:r w:rsidR="004417BF" w:rsidRPr="002D4681">
        <w:rPr>
          <w:rFonts w:ascii="Arial" w:hAnsi="Arial" w:cs="Arial"/>
          <w:sz w:val="22"/>
          <w:szCs w:val="22"/>
        </w:rPr>
        <w:t>is</w:t>
      </w:r>
      <w:r w:rsidRPr="002D4681">
        <w:rPr>
          <w:rFonts w:ascii="Arial" w:hAnsi="Arial" w:cs="Arial"/>
          <w:sz w:val="22"/>
          <w:szCs w:val="22"/>
        </w:rPr>
        <w:t xml:space="preserve"> “therapeutic creep” towards treatment of mild HIE with therapeutic hypothermia</w:t>
      </w:r>
      <w:r w:rsidR="004417BF" w:rsidRPr="002D4681">
        <w:rPr>
          <w:rFonts w:ascii="Arial" w:hAnsi="Arial" w:cs="Arial"/>
          <w:sz w:val="22"/>
          <w:szCs w:val="22"/>
        </w:rPr>
        <w:t xml:space="preserve"> that we document in the UK</w:t>
      </w:r>
      <w:r w:rsidRPr="002D4681">
        <w:rPr>
          <w:rFonts w:ascii="Arial" w:hAnsi="Arial" w:cs="Arial"/>
          <w:sz w:val="22"/>
          <w:szCs w:val="22"/>
        </w:rPr>
        <w:t xml:space="preserve"> is in keeping with findings from </w:t>
      </w:r>
      <w:r w:rsidR="00BE200D">
        <w:rPr>
          <w:rFonts w:ascii="Arial" w:hAnsi="Arial" w:cs="Arial"/>
          <w:sz w:val="22"/>
          <w:szCs w:val="22"/>
        </w:rPr>
        <w:t>North America</w:t>
      </w:r>
      <w:r w:rsidR="00041EA5">
        <w:rPr>
          <w:rFonts w:ascii="Arial" w:hAnsi="Arial" w:cs="Arial"/>
          <w:sz w:val="22"/>
          <w:szCs w:val="22"/>
        </w:rPr>
        <w:t xml:space="preserve"> </w:t>
      </w:r>
      <w:r w:rsidRPr="002D4681">
        <w:rPr>
          <w:rFonts w:ascii="Arial" w:hAnsi="Arial" w:cs="Arial"/>
          <w:sz w:val="22"/>
          <w:szCs w:val="22"/>
        </w:rPr>
        <w:fldChar w:fldCharType="begin"/>
      </w:r>
      <w:r w:rsidR="00F212EE">
        <w:rPr>
          <w:rFonts w:ascii="Arial" w:hAnsi="Arial" w:cs="Arial"/>
          <w:sz w:val="22"/>
          <w:szCs w:val="22"/>
        </w:rPr>
        <w:instrText xml:space="preserve"> ADDIN ZOTERO_ITEM CSL_CITATION {"citationID":"tjCA5NrR","properties":{"formattedCitation":"[13]","plainCitation":"[13]","dontUpdate":true,"noteIndex":0},"citationItems":[{"id":672,"uris":["http://zotero.org/users/5728505/items/VKYT32IQ"],"uri":["http://zotero.org/users/5728505/items/VKYT32IQ"],"itemData":{"id":672,"type":"article-journal","abstract":"Objective\nTo characterize the implementation of hypothermia for neonatal hypoxic ischemic encephalopathy (HIE) in a population-based cohort.\nStudy design\nUsing the California Perinatal Quality Care Collaborative and California Perinatal Transport System linked 2010-2012 datasets, we categorized infants ≥36 weeks' gestation with HIE as receiving hypothermia or normothermia. Sociodemographic and clinical factors were compared, and multivariable logistic regression was used to determine factors associated with hypothermia therapy.\nResults\nThere were 238 reported encephalopathy cases in 2010, 280 in 2011, and 311 in 2012. Hypothermia therapy use in newborns with HIE increased from 59% to 73% across the study period, mainly occurring in newborns with mild or moderate encephalopathy. A total of 36 centers provided hypothermia and cared for 94% of infants, with the remaining 6% being cared for at one of 25 other centers. Of the centers providing hypothermia, 12 centers performed hypothermia therapy to more than 20 patients during the 3-year study period, and 24 centers cared for &lt;20 patients receiving hypothermia. In-hospital mortality was 13%, which primarily was associated with the severity of encephalopathy.\nConclusions\nOur findings highlight an opportunity to explore practice-site variation and to develop quality improvement interventions to assure consistent evidence-based care of term infants with HIE and appropriate application of hypothermia therapy for eligible newborns.","container-title":"The Journal of Pediatrics","DOI":"10.1016/j.jpeds.2014.04.052","ISSN":"0022-3476","issue":"2","journalAbbreviation":"The Journal of Pediatrics","page":"267-273","source":"ScienceDirect","title":"Hypothermia Therapy for Neonatal Hypoxic Ischemic Encephalopathy in the State of California","volume":"165","author":[{"family":"Kracer","given":"Bernardo"},{"family":"Hintz","given":"Susan R."},{"family":"Van Meurs","given":"Krisa P."},{"family":"Lee","given":"Henry C."}],"issued":{"date-parts":[["2014",8,1]]}}}],"schema":"https://github.com/citation-style-language/schema/raw/master/csl-citation.json"} </w:instrText>
      </w:r>
      <w:r w:rsidRPr="002D4681">
        <w:rPr>
          <w:rFonts w:ascii="Arial" w:hAnsi="Arial" w:cs="Arial"/>
          <w:sz w:val="22"/>
          <w:szCs w:val="22"/>
        </w:rPr>
        <w:fldChar w:fldCharType="separate"/>
      </w:r>
      <w:r w:rsidR="00B4374B">
        <w:rPr>
          <w:rFonts w:ascii="Arial" w:hAnsi="Arial" w:cs="Arial"/>
          <w:sz w:val="22"/>
          <w:lang w:val="en-US"/>
        </w:rPr>
        <w:t>[13</w:t>
      </w:r>
      <w:r w:rsidRPr="002D4681">
        <w:rPr>
          <w:rFonts w:ascii="Arial" w:hAnsi="Arial" w:cs="Arial"/>
          <w:sz w:val="22"/>
          <w:szCs w:val="22"/>
        </w:rPr>
        <w:fldChar w:fldCharType="end"/>
      </w:r>
      <w:r w:rsidR="00636C14">
        <w:rPr>
          <w:rFonts w:ascii="Arial" w:hAnsi="Arial" w:cs="Arial"/>
          <w:sz w:val="22"/>
          <w:szCs w:val="22"/>
        </w:rPr>
        <w:t>,</w:t>
      </w:r>
      <w:r w:rsidRPr="002D4681">
        <w:rPr>
          <w:rFonts w:ascii="Arial" w:hAnsi="Arial" w:cs="Arial"/>
          <w:sz w:val="22"/>
          <w:szCs w:val="22"/>
        </w:rPr>
        <w:fldChar w:fldCharType="begin"/>
      </w:r>
      <w:r w:rsidR="00F212EE">
        <w:rPr>
          <w:rFonts w:ascii="Arial" w:hAnsi="Arial" w:cs="Arial"/>
          <w:sz w:val="22"/>
          <w:szCs w:val="22"/>
        </w:rPr>
        <w:instrText xml:space="preserve"> ADDIN ZOTERO_ITEM CSL_CITATION {"citationID":"KN2IdHLm","properties":{"formattedCitation":"[21]","plainCitation":"[21]","dontUpdate":true,"noteIndex":0},"citationItems":[{"id":814,"uris":["http://zotero.org/users/5728505/items/Y2S5EFES"],"uri":["http://zotero.org/users/5728505/items/Y2S5EFES"],"itemData":{"id":814,"type":"article-journal","abstract":"Objective\nTo assess and contrast the incidence and severity of abnormalities on cerebral magnetic resonance imaging (MRI) between infants with mild, moderate, and severe neonatal encephalopathy who received therapeutic hypothermia.\nStudy design\nThis retrospective cohort studied infants with mild, moderate, and severe neonatal encephalopathy who received therapeutic hypothermia at a single tertiary neonatal intensive care unit between 2013 and 2015. Two neuroradiologists masked to the clinical condition evaluated brain MRIs for cerebral injury after therapeutic hypothermia using the Barkovich classification system. Additional abnormalities not included in this classification system were also noted. The rate, pattern, and severity of abnormalities/injury were compared across the grades of neonatal encephalopathy.\nResults\nEighty-nine infants received therapeutic hypothermia and met study criteria, 48 with mild neonatal encephalopathy, 35 with moderate neonatal encephalopathy, and 6 with severe neonatal encephalopathy. Forty-eight infants (54%) had an abnormality on MRI. There was no difference in the rate of overall MRI abnormalities by grade of neonatal encephalopathy (mild neonatal encephalopathy 54%, moderate neonatal encephalopathy 54%, and severe neonatal encephalopathy 50%; P = .89). Basal ganglia/thalamic injury was more common in those with severe neonatal encephalopathy (mild neonatal encephalopathy 4%, moderate neonatal encephalopathy 9%, severe neonatal encephalopathy 34%; P = .03). In contrast, watershed injury did not differ between neonatal encephalopathy grades (mild neonatal encephalopathy 36%, moderate neonatal encephalopathy 32%, severe neonatal encephalopathy 50%; P = .3).\nConclusion\nMild neonatal encephalopathy is commonly associated with MRI abnormalities after therapeutic hypothermia. The grade of neonatal encephalopathy during the first hours of life may not discriminate adequately between infants with and without cerebral injury noted on MRI after therapeutic hypothermia.","container-title":"The Journal of Pediatrics","DOI":"10.1016/j.jpeds.2017.03.065","ISSN":"0022-3476","journalAbbreviation":"The Journal of Pediatrics","page":"26-33.e1","source":"ScienceDirect","title":"The Frequency and Severity of Magnetic Resonance Imaging Abnormalities in Infants with Mild Neonatal Encephalopathy","volume":"187","author":[{"family":"Walsh","given":"Brian H."},{"family":"Neil","given":"Jeffrey"},{"family":"Morey","given":"JoAnn"},{"family":"Yang","given":"Edward"},{"family":"Silvera","given":"Michelle V."},{"family":"Inder","given":"Terrie E."},{"family":"Ortinau","given":"Cynthia"}],"issued":{"date-parts":[["2017",8,1]]}}}],"schema":"https://github.com/citation-style-language/schema/raw/master/csl-citation.json"} </w:instrText>
      </w:r>
      <w:r w:rsidRPr="002D4681">
        <w:rPr>
          <w:rFonts w:ascii="Arial" w:hAnsi="Arial" w:cs="Arial"/>
          <w:sz w:val="22"/>
          <w:szCs w:val="22"/>
        </w:rPr>
        <w:fldChar w:fldCharType="separate"/>
      </w:r>
      <w:r w:rsidR="00B4374B">
        <w:rPr>
          <w:rFonts w:ascii="Arial" w:hAnsi="Arial" w:cs="Arial"/>
          <w:sz w:val="22"/>
          <w:lang w:val="en-US"/>
        </w:rPr>
        <w:t>21</w:t>
      </w:r>
      <w:r w:rsidRPr="002D4681">
        <w:rPr>
          <w:rFonts w:ascii="Arial" w:hAnsi="Arial" w:cs="Arial"/>
          <w:sz w:val="22"/>
          <w:szCs w:val="22"/>
        </w:rPr>
        <w:fldChar w:fldCharType="end"/>
      </w:r>
      <w:r w:rsidR="00041EA5">
        <w:rPr>
          <w:rFonts w:ascii="Arial" w:hAnsi="Arial" w:cs="Arial"/>
          <w:sz w:val="22"/>
          <w:szCs w:val="22"/>
        </w:rPr>
        <w:t>,</w:t>
      </w:r>
      <w:r w:rsidR="00BE200D" w:rsidRPr="002D4681">
        <w:rPr>
          <w:rFonts w:ascii="Arial" w:hAnsi="Arial" w:cs="Arial"/>
          <w:sz w:val="22"/>
          <w:szCs w:val="22"/>
        </w:rPr>
        <w:fldChar w:fldCharType="begin"/>
      </w:r>
      <w:r w:rsidR="00F212EE">
        <w:rPr>
          <w:rFonts w:ascii="Arial" w:hAnsi="Arial" w:cs="Arial"/>
          <w:sz w:val="22"/>
          <w:szCs w:val="22"/>
        </w:rPr>
        <w:instrText xml:space="preserve"> ADDIN ZOTERO_ITEM CSL_CITATION {"citationID":"YuM4MAiV","properties":{"formattedCitation":"[22]","plainCitation":"[22]","dontUpdate":true,"noteIndex":0},"citationItems":[{"id":818,"uris":["http://zotero.org/users/5728505/items/YYN8LQ6A"],"uri":["http://zotero.org/users/5728505/items/YYN8LQ6A"],"itemData":{"id":818,"type":"article-journal","abstract":"Hypoxic ischemic encephalopathy (HIE) remains a significant cause of mortality and long-term disability in late preterm and term infants. Mild therapeutic hypothermia to a rectal temperature of 34±0.5°C initiated as soon as possible within the first 6 h of life decreases mortality and severe long-term neurodevelopmental disabilities in infants with moderate HIE who are ≥36 weeks’ gestational age. There are minimal side effects, and the incidence of disability in survivors is not increased. Infants with severe encephalopathy are less likely to benefit from treatment. Cooling may be achieved by either total body or selective head cooling. As cooling is now considered a standard of care, infants ≥36 weeks’ gestational age who are depressed at birth should be assessed to determine whether they meet the criteria for cooling. There is currently no evidence that therapeutic hypothermia offers any benefit to infants &lt;36 weeks’ gestational age.","container-title":"Paediatrics &amp; Child Health","ISSN":"1205-7088","issue":"1","journalAbbreviation":"Paediatr Child Health","note":"PMID: 23277757\nPMCID: PMC3276531","page":"41-43","source":"PubMed Central","title":"Hypothermia for newborns with hypoxic ischemic encephalopathy","volume":"17","author":[{"family":"Peliowski-Davidovich","given":"Abraham"}],"issued":{"date-parts":[["2012",1]]}}}],"schema":"https://github.com/citation-style-language/schema/raw/master/csl-citation.json"} </w:instrText>
      </w:r>
      <w:r w:rsidR="00BE200D" w:rsidRPr="002D4681">
        <w:rPr>
          <w:rFonts w:ascii="Arial" w:hAnsi="Arial" w:cs="Arial"/>
          <w:sz w:val="22"/>
          <w:szCs w:val="22"/>
        </w:rPr>
        <w:fldChar w:fldCharType="separate"/>
      </w:r>
      <w:r w:rsidR="00B4374B">
        <w:rPr>
          <w:rFonts w:ascii="Arial" w:hAnsi="Arial" w:cs="Arial"/>
          <w:sz w:val="22"/>
          <w:lang w:val="en-US"/>
        </w:rPr>
        <w:t>22]</w:t>
      </w:r>
      <w:r w:rsidR="00BE200D" w:rsidRPr="002D4681">
        <w:rPr>
          <w:rFonts w:ascii="Arial" w:hAnsi="Arial" w:cs="Arial"/>
          <w:sz w:val="22"/>
          <w:szCs w:val="22"/>
        </w:rPr>
        <w:fldChar w:fldCharType="end"/>
      </w:r>
      <w:r w:rsidR="004417BF" w:rsidRPr="002D4681">
        <w:rPr>
          <w:rFonts w:ascii="Arial" w:hAnsi="Arial" w:cs="Arial"/>
          <w:sz w:val="22"/>
          <w:szCs w:val="22"/>
        </w:rPr>
        <w:t xml:space="preserve">, </w:t>
      </w:r>
      <w:r w:rsidRPr="002D4681">
        <w:rPr>
          <w:rFonts w:ascii="Arial" w:hAnsi="Arial" w:cs="Arial"/>
          <w:sz w:val="22"/>
          <w:szCs w:val="22"/>
        </w:rPr>
        <w:t xml:space="preserve">where in some healthcare systems over </w:t>
      </w:r>
      <w:r w:rsidR="0003266E">
        <w:rPr>
          <w:rFonts w:ascii="Arial" w:hAnsi="Arial" w:cs="Arial"/>
          <w:sz w:val="22"/>
          <w:szCs w:val="22"/>
        </w:rPr>
        <w:t>75%</w:t>
      </w:r>
      <w:r w:rsidRPr="002D4681">
        <w:rPr>
          <w:rFonts w:ascii="Arial" w:hAnsi="Arial" w:cs="Arial"/>
          <w:sz w:val="22"/>
          <w:szCs w:val="22"/>
        </w:rPr>
        <w:t xml:space="preserve"> of infants with mild HIE received therapeutic hypothermia</w:t>
      </w:r>
      <w:r w:rsidR="00041EA5">
        <w:rPr>
          <w:rFonts w:ascii="Arial" w:hAnsi="Arial" w:cs="Arial"/>
          <w:sz w:val="22"/>
          <w:szCs w:val="22"/>
        </w:rPr>
        <w:t xml:space="preserve"> </w:t>
      </w:r>
      <w:r w:rsidRPr="002D4681">
        <w:rPr>
          <w:rFonts w:ascii="Arial" w:hAnsi="Arial" w:cs="Arial"/>
          <w:sz w:val="22"/>
          <w:szCs w:val="22"/>
        </w:rPr>
        <w:fldChar w:fldCharType="begin"/>
      </w:r>
      <w:r w:rsidR="00B4374B">
        <w:rPr>
          <w:rFonts w:ascii="Arial" w:hAnsi="Arial" w:cs="Arial"/>
          <w:sz w:val="22"/>
          <w:szCs w:val="22"/>
        </w:rPr>
        <w:instrText xml:space="preserve"> ADDIN ZOTERO_ITEM CSL_CITATION {"citationID":"L7RTAzyR","properties":{"formattedCitation":"[23]","plainCitation":"[23]","noteIndex":0},"citationItems":[{"id":669,"uris":["http://zotero.org/users/5728505/items/M6TGCJFX"],"uri":["http://zotero.org/users/5728505/items/M6TGCJFX"],"itemData":{"id":669,"type":"article-journal","abstract":"Objective:To characterize infants affected with perinatal hypoxic ischemic encephalopathy (HIE) who were referred to regional neonatal intensive care units (NICUs) and their related short-term outcomes.Study Design:This is a descriptive study evaluating the data collected prospectively in the Children’s Hospital Neonatal Database, comprised of 27 regional NICUs within their associated children’s hospitals. A consecutive sample of 945 referred infants born </w:instrText>
      </w:r>
      <w:r w:rsidR="00B4374B">
        <w:rPr>
          <w:rFonts w:ascii="Arial" w:hAnsi="Arial" w:cs="Arial" w:hint="eastAsia"/>
          <w:sz w:val="22"/>
          <w:szCs w:val="22"/>
        </w:rPr>
        <w:instrText></w:instrText>
      </w:r>
      <w:r w:rsidR="00B4374B">
        <w:rPr>
          <w:rFonts w:ascii="Arial" w:hAnsi="Arial" w:cs="Arial"/>
          <w:sz w:val="22"/>
          <w:szCs w:val="22"/>
        </w:rPr>
        <w:instrText xml:space="preserve">36 weeks’ gestation with perinatal HIE in the first 3 days of life over approximately 3 years (2010–July 2013) were included. Maternal and infant characteristics are described. Short-term outcomes were evaluated including medical comorbidities, mortality and status of survivors at discharge.Result:High relative frequencies of maternal predisposing conditions, cesarean and operative vaginal deliveries were observed. Low Apgar scores, profound metabolic acidosis, extensive resuscitation in the delivery room, clinical and electroencephalographic (EEG) seizures, abnormal EEG background and brain imaging directly correlated with the severity of HIE. Therapeutic hypothermia was provided to 85% of infants, 15% of whom were classified as having mild HIE. Electrographic seizures were observed in 26% of the infants. Rates of complications and morbidities were similar to those reported in prior clinical trials and overall mortality was 15%.Conclusion:Within this large contemporary cohort of newborns with perinatal HIE, the application of therapeutic hypothermia and associated neurodiagnostic studies appear to have expanded relative to reported clinical trials. Although seizure incidence and mortality were lower compared with those reported in the trials, it is unclear whether this represented improved outcomes or therapeutic drift with the treatment of milder disease.","container-title":"Journal of Perinatology","DOI":"10.1038/jp.2014.190","ISSN":"1476-5543","issue":"4","language":"en","page":"290-296","source":"www.nature.com","title":"Short-term outcomes after perinatal hypoxic ischemic encephalopathy: a report from the Children’s Hospitals Neonatal Consortium HIE focus group","title-short":"Short-term outcomes after perinatal hypoxic ischemic encephalopathy","volume":"35","author":[{"family":"Massaro","given":"A. N."},{"family":"Murthy","given":"K."},{"family":"Zaniletti","given":"I."},{"family":"Cook","given":"N."},{"family":"DiGeronimo","given":"R."},{"family":"Dizon","given":"M."},{"family":"Hamrick","given":"S. E. G."},{"family":"McKay","given":"V. J."},{"family":"Natarajan","given":"G."},{"family":"Rao","given":"R."},{"family":"Smith","given":"D."},{"family":"Telesco","given":"R."},{"family":"Wadhawan","given":"R."},{"family":"Asselin","given":"J. M."},{"family":"Durand","given":"D. J."},{"family":"Evans","given":"J. R."},{"family":"Dykes","given":"F."},{"family":"Reber","given":"K. M."},{"family":"Padula","given":"M. A."},{"family":"Pallotto","given":"E. K."},{"family":"Short","given":"B. L."},{"family":"Mathur","given":"A. M."}],"issued":{"date-parts":[["2015",4]]}}}],"schema":"https://github.com/citation-style-language/schema/raw/master/csl-citation.json"} </w:instrText>
      </w:r>
      <w:r w:rsidRPr="002D4681">
        <w:rPr>
          <w:rFonts w:ascii="Arial" w:hAnsi="Arial" w:cs="Arial"/>
          <w:sz w:val="22"/>
          <w:szCs w:val="22"/>
        </w:rPr>
        <w:fldChar w:fldCharType="separate"/>
      </w:r>
      <w:r w:rsidR="00B4374B">
        <w:rPr>
          <w:rFonts w:ascii="Arial" w:hAnsi="Arial" w:cs="Arial"/>
          <w:sz w:val="22"/>
          <w:lang w:val="en-US"/>
        </w:rPr>
        <w:t>[23]</w:t>
      </w:r>
      <w:r w:rsidRPr="002D4681">
        <w:rPr>
          <w:rFonts w:ascii="Arial" w:hAnsi="Arial" w:cs="Arial"/>
          <w:sz w:val="22"/>
          <w:szCs w:val="22"/>
        </w:rPr>
        <w:fldChar w:fldCharType="end"/>
      </w:r>
      <w:r w:rsidR="009800C0">
        <w:rPr>
          <w:rFonts w:ascii="Arial" w:hAnsi="Arial" w:cs="Arial"/>
          <w:sz w:val="22"/>
          <w:szCs w:val="22"/>
        </w:rPr>
        <w:t xml:space="preserve"> </w:t>
      </w:r>
      <w:r w:rsidR="00A97529">
        <w:rPr>
          <w:rFonts w:ascii="Arial" w:hAnsi="Arial" w:cs="Arial"/>
          <w:sz w:val="22"/>
          <w:szCs w:val="22"/>
        </w:rPr>
        <w:t xml:space="preserve">and national data from the Canadian Neonatal Network where the rate of treatment also appears to be increasing. </w:t>
      </w:r>
      <w:r w:rsidR="00254394">
        <w:rPr>
          <w:rFonts w:ascii="Arial" w:hAnsi="Arial" w:cs="Arial"/>
          <w:sz w:val="22"/>
          <w:szCs w:val="22"/>
        </w:rPr>
        <w:t>A similar pattern is seen internationally: a</w:t>
      </w:r>
      <w:r w:rsidR="00905CBA">
        <w:rPr>
          <w:rFonts w:ascii="Arial" w:hAnsi="Arial" w:cs="Arial"/>
          <w:sz w:val="22"/>
          <w:szCs w:val="22"/>
        </w:rPr>
        <w:t xml:space="preserve"> recent meta-analyses </w:t>
      </w:r>
      <w:r w:rsidR="00254394">
        <w:rPr>
          <w:rFonts w:ascii="Arial" w:hAnsi="Arial" w:cs="Arial"/>
          <w:sz w:val="22"/>
          <w:szCs w:val="22"/>
        </w:rPr>
        <w:t xml:space="preserve">including studies from 7 high-income countries </w:t>
      </w:r>
      <w:r w:rsidR="00905CBA">
        <w:rPr>
          <w:rFonts w:ascii="Arial" w:hAnsi="Arial" w:cs="Arial"/>
          <w:sz w:val="22"/>
          <w:szCs w:val="22"/>
        </w:rPr>
        <w:t>found that 22% of infants who underwent therapeutic hypothermia only had mild HIE</w:t>
      </w:r>
      <w:r w:rsidR="009800C0">
        <w:rPr>
          <w:rFonts w:ascii="Arial" w:hAnsi="Arial" w:cs="Arial"/>
          <w:sz w:val="22"/>
          <w:szCs w:val="22"/>
        </w:rPr>
        <w:t xml:space="preserve"> </w:t>
      </w:r>
      <w:r w:rsidR="007F54EA">
        <w:rPr>
          <w:rFonts w:ascii="Arial" w:hAnsi="Arial" w:cs="Arial"/>
          <w:sz w:val="22"/>
          <w:szCs w:val="22"/>
        </w:rPr>
        <w:fldChar w:fldCharType="begin"/>
      </w:r>
      <w:r w:rsidR="007F54EA">
        <w:rPr>
          <w:rFonts w:ascii="Arial" w:hAnsi="Arial" w:cs="Arial"/>
          <w:sz w:val="22"/>
          <w:szCs w:val="22"/>
        </w:rPr>
        <w:instrText xml:space="preserve"> ADDIN ZOTERO_ITEM CSL_CITATION {"citationID":"OI8RGahP","properties":{"formattedCitation":"[24]","plainCitation":"[24]","noteIndex":0},"citationItems":[{"id":1189,"uris":["http://zotero.org/users/5728505/items/2MUJKRVN"],"uri":["http://zotero.org/users/5728505/items/2MUJKRVN"],"itemData":{"id":1189,"type":"article-journal","abstract":"Context:Therapeutic hypothermia is the recommended treatment for neonates with moderate or severe hypoxic ischemic encephalopathy (HIE). There is an increasing trend to use therapeutic hypothermia even in infants with mild hypoxic ischemic encephalopathy, even though there is little evidence to support/refute this.Objective:To estimate the incidences of mild hypoxic ischemic encephalopathy among infants who received therapeutic hypothermia, and its short- and long-term outcomes.Data Sources and Study Selection:PubMed, Embase, CINAHL, and Cochrane library were searched to identify observational studies reporting on therapeutic hypothermia in term and near-term infants with mild hypoxic ischemic encephalopathy. The JBI (Joanna Briggs Institute) tools were used to assess the risk of bias in the included studies. Random effects meta-analysis was conducted to find out the percentage of cooled infants who had only mild hypoxic ischemic encephalopathy.Results:A total of 3590 citations were screened, of which 13 were included. Of the 2783 infants who received therapeutic hypothermia, 573 had mild hypoxic ischemic encephalopathy. Meta-analysis found that 22% of the infants who underwent therapeutic hypothermia had only mild hypoxic ischemic encephalopathy (95% confidence interval: 16%-27%; I2 statistic = 90.5%). Five studies provided information on adverse effects of therapeutic hypothermia in mild hypoxic ischemic encephalopathy. The reported adverse effects were extreme hypothermia, bradycardia, hypoglycemia, sepsis, skin necrosis, pulmonary hypertension, and systemic hypotension. Limitation: The limitations included relatively small sample size and the lack of data for short- and long-term neurodevelopmental outcome.Conclusions:A significant proportion of infants who received therapeutic hypothermia had mild hypoxic ischemic encephalopathy. Randomized trials are urgently needed to evaluate the efficacy and safety of therapeutic hypothermia in infants with mild hypoxic ischemic encephalopathy.","container-title":"Journal of Child Neurology","DOI":"10.1177/0883073819828625","ISSN":"0883-0738","issue":"7","journalAbbreviation":"J Child Neurol","language":"en","note":"publisher: SAGE Publications Inc","page":"402-409","source":"SAGE Journals","title":"Current Practice of Therapeutic Hypothermia for Mild Hypoxic Ischemic Encephalopathy","volume":"34","author":[{"family":"Saw","given":"Chia L."},{"family":"Rakshasbhuvankar","given":"Abhijeet"},{"family":"Rao","given":"Shripada"},{"family":"Bulsara","given":"M"},{"family":"Patole","given":"Sanjay"}],"issued":{"date-parts":[["2019",6,1]]}}}],"schema":"https://github.com/citation-style-language/schema/raw/master/csl-citation.json"} </w:instrText>
      </w:r>
      <w:r w:rsidR="007F54EA">
        <w:rPr>
          <w:rFonts w:ascii="Arial" w:hAnsi="Arial" w:cs="Arial"/>
          <w:sz w:val="22"/>
          <w:szCs w:val="22"/>
        </w:rPr>
        <w:fldChar w:fldCharType="separate"/>
      </w:r>
      <w:r w:rsidR="007F54EA">
        <w:rPr>
          <w:rFonts w:ascii="Arial" w:hAnsi="Arial" w:cs="Arial"/>
          <w:noProof/>
          <w:sz w:val="22"/>
          <w:szCs w:val="22"/>
        </w:rPr>
        <w:t>[24]</w:t>
      </w:r>
      <w:r w:rsidR="007F54EA">
        <w:rPr>
          <w:rFonts w:ascii="Arial" w:hAnsi="Arial" w:cs="Arial"/>
          <w:sz w:val="22"/>
          <w:szCs w:val="22"/>
        </w:rPr>
        <w:fldChar w:fldCharType="end"/>
      </w:r>
      <w:r w:rsidR="007F54EA">
        <w:rPr>
          <w:rFonts w:ascii="Arial" w:hAnsi="Arial" w:cs="Arial"/>
          <w:sz w:val="22"/>
          <w:szCs w:val="22"/>
        </w:rPr>
        <w:t>.</w:t>
      </w:r>
      <w:r w:rsidRPr="002D4681">
        <w:rPr>
          <w:rFonts w:ascii="Arial" w:hAnsi="Arial" w:cs="Arial"/>
          <w:sz w:val="22"/>
          <w:szCs w:val="22"/>
        </w:rPr>
        <w:t xml:space="preserve"> Babies with mild HIE were excluded from the</w:t>
      </w:r>
      <w:r w:rsidR="004417BF" w:rsidRPr="002D4681">
        <w:rPr>
          <w:rFonts w:ascii="Arial" w:hAnsi="Arial" w:cs="Arial"/>
          <w:sz w:val="22"/>
          <w:szCs w:val="22"/>
        </w:rPr>
        <w:t xml:space="preserve"> </w:t>
      </w:r>
      <w:r w:rsidR="00BE200D">
        <w:rPr>
          <w:rFonts w:ascii="Arial" w:hAnsi="Arial" w:cs="Arial"/>
          <w:sz w:val="22"/>
          <w:szCs w:val="22"/>
        </w:rPr>
        <w:t>original</w:t>
      </w:r>
      <w:r w:rsidR="00BE200D" w:rsidRPr="002D4681">
        <w:rPr>
          <w:rFonts w:ascii="Arial" w:hAnsi="Arial" w:cs="Arial"/>
          <w:sz w:val="22"/>
          <w:szCs w:val="22"/>
        </w:rPr>
        <w:t xml:space="preserve"> </w:t>
      </w:r>
      <w:r w:rsidR="004417BF" w:rsidRPr="002D4681">
        <w:rPr>
          <w:rFonts w:ascii="Arial" w:hAnsi="Arial" w:cs="Arial"/>
          <w:sz w:val="22"/>
          <w:szCs w:val="22"/>
        </w:rPr>
        <w:t>hypothermia</w:t>
      </w:r>
      <w:r w:rsidRPr="002D4681">
        <w:rPr>
          <w:rFonts w:ascii="Arial" w:hAnsi="Arial" w:cs="Arial"/>
          <w:sz w:val="22"/>
          <w:szCs w:val="22"/>
        </w:rPr>
        <w:t xml:space="preserve"> trials in part because </w:t>
      </w:r>
      <w:r w:rsidR="003B16A6" w:rsidRPr="002D4681">
        <w:rPr>
          <w:rFonts w:ascii="Arial" w:hAnsi="Arial" w:cs="Arial"/>
          <w:sz w:val="22"/>
          <w:szCs w:val="22"/>
        </w:rPr>
        <w:t xml:space="preserve">adverse </w:t>
      </w:r>
      <w:r w:rsidRPr="002D4681">
        <w:rPr>
          <w:rFonts w:ascii="Arial" w:hAnsi="Arial" w:cs="Arial"/>
          <w:sz w:val="22"/>
          <w:szCs w:val="22"/>
        </w:rPr>
        <w:t xml:space="preserve">outcomes were thought to be </w:t>
      </w:r>
      <w:r w:rsidR="003B16A6" w:rsidRPr="002D4681">
        <w:rPr>
          <w:rFonts w:ascii="Arial" w:hAnsi="Arial" w:cs="Arial"/>
          <w:sz w:val="22"/>
          <w:szCs w:val="22"/>
        </w:rPr>
        <w:t>rare in these babies</w:t>
      </w:r>
      <w:r w:rsidR="00041EA5">
        <w:rPr>
          <w:rFonts w:ascii="Arial" w:hAnsi="Arial" w:cs="Arial"/>
          <w:sz w:val="22"/>
          <w:szCs w:val="22"/>
        </w:rPr>
        <w:t xml:space="preserve"> </w:t>
      </w:r>
      <w:r w:rsidR="00532620">
        <w:rPr>
          <w:rFonts w:ascii="Arial" w:hAnsi="Arial" w:cs="Arial"/>
          <w:sz w:val="22"/>
          <w:szCs w:val="22"/>
        </w:rPr>
        <w:fldChar w:fldCharType="begin"/>
      </w:r>
      <w:r w:rsidR="007F54EA">
        <w:rPr>
          <w:rFonts w:ascii="Arial" w:hAnsi="Arial" w:cs="Arial"/>
          <w:sz w:val="22"/>
          <w:szCs w:val="22"/>
        </w:rPr>
        <w:instrText xml:space="preserve"> ADDIN ZOTERO_ITEM CSL_CITATION {"citationID":"Ip0elHc3","properties":{"formattedCitation":"[25,26]","plainCitation":"[25,26]","noteIndex":0},"citationItems":[{"id":796,"uris":["http://zotero.org/users/5728505/items/6HY3274G"],"uri":["http://zotero.org/users/5728505/items/6HY3274G"],"itemData":{"id":796,"type":"article-journal","abstract":"Perinatal asphyxial encephalopathy is associated with a high risk of death or early neurodevelopmental impairment. Among survivors, cerebral palsy, functional disability, and cognitive impairment often develop later in childhood. The cost of this condition to patients, their families, and society is high. In several randomized, controlled trials involving infants with clear evidence of asphyxial encephalopathy, moderate hypothermia (33 to 34°C) for 72 hours, initiated within 6 hours after delivery, has been shown to reduce the risk of death or disability at 18 to 24 months of age and to increase the rate of survival free of disability.1 The observation that . . .","container-title":"New England Journal of Medicine","DOI":"10.1056/NEJMoa1315788","ISSN":"0028-4793","issue":"2","note":"PMID: 25006720","page":"140-149","source":"Taylor and Francis+NEJM","title":"Effects of Hypothermia for Perinatal Asphyxia on Childhood Outcomes","volume":"371","author":[{"family":"Azzopardi","given":"Denis"},{"family":"Strohm","given":"Brenda"},{"family":"Marlow","given":"Neil"},{"family":"Brocklehurst","given":"Peter"},{"family":"Deierl","given":"Aniko"},{"family":"Eddama","given":"Oya"},{"family":"Goodwin","given":"Julia"},{"family":"Halliday","given":"Henry L."},{"family":"Juszczak","given":"Edmund"},{"family":"Kapellou","given":"Olga"},{"family":"Levene","given":"Malcolm"},{"family":"Linsell","given":"Louise"},{"family":"Omar","given":"Omar"},{"family":"Thoresen","given":"Marianne"},{"family":"Tusor","given":"Nora"},{"family":"Whitelaw","given":"Andrew"},{"family":"Edwards","given":"A. David"}],"issued":{"date-parts":[["2014",7,10]]}}},{"id":636,"uris":["http://zotero.org/users/5728505/items/T7HN79R8"],"uri":["http://zotero.org/users/5728505/items/T7HN79R8"],"itemData":{"id":636,"type":"article-journal","abstract":"BACKGROUND—We previously reported early results of a randomized trial of whole-body hypothermia for neonatal hypoxic–ischemic encephalopathy showing a significant reduction in the rate of death or moderate or severe disability at 18 to 22 months of age. Long-term outcomes are now available.\nMETHODS—In the original trial, we assigned infants with moderate or severe encephalopathy to usual care (the control group) or whole-body cooling to an esophageal temperature of 33.5°C for 72 hours, followed by slow rewarming (the hypothermia group). We evaluated cognitive, attention and executive, and visuospatial function; neurologic outcomes; and physical and psychosocial health among participants at 6 to 7 years of age. The primary outcome of the present analyses was death or an IQ score below 70.\nRESULTS—Of the 208 trial participants, primary outcome data were available for 190. Of the 97 children in the hypothermia group and the 93 children in the control group, death or an IQ score below 70 occurred in 46 (47%) and 58 (62%), respectively (P = 0.06); death occurred in 27 (28%) and 41 (44%) (P = 0.04); and death or severe disability occurred in 38 (41%) and 53 (60%) (P = 0.03). Other outcome data were available for the 122 surviving children, 70 in the hypothermia group and 52 in the control group. Moderate or severe disability occurred in 24 of 69 children (35%) and 19 of 50 children (38%), respectively (P = 0.87). Attention–executive dysfunction occurred in 4% and 13%, respectively, of children receiving hypothermia and those receiving usual care (P = 0.19), and visuospatial dysfunction occurred in 4% and 3% (P = 0.80).\nCONCLUSIONS—The rate of the combined end point of death or an IQ score of less than 70 at 6 to 7 years of age was lower among children undergoing whole-body hypothermia than among those undergoing usual care, but the differences were not significant. However, hypothermia","container-title":"New England Journal of Medicine","DOI":"10.1056/NEJMoa1112066","ISSN":"0028-4793, 1533-4406","issue":"22","language":"en","page":"2085-2092","source":"Crossref","title":"Childhood Outcomes after Hypothermia for Neonatal Encephalopathy","volume":"366","author":[{"family":"Shankaran","given":"Seetha"},{"family":"Pappas","given":"Athina"},{"family":"McDonald","given":"Scott A."},{"family":"Vohr","given":"Betty R."},{"family":"Hintz","given":"Susan R."},{"family":"Yolton","given":"Kimberly"},{"family":"Gustafson","given":"Kathryn E."},{"family":"Leach","given":"Theresa M."},{"family":"Green","given":"Charles"},{"family":"Bara","given":"Rebecca"},{"family":"Huitema","given":"Carolyn M. Petrie"},{"family":"Ehrenkranz","given":"Richard A."},{"family":"Tyson","given":"Jon E."},{"family":"Das","given":"Abhik"},{"family":"Hammond","given":"Jane"},{"family":"Peralta-Carcelen","given":"Myriam"},{"family":"Evans","given":"Patricia W."},{"family":"Heyne","given":"Roy J."},{"family":"Wilson-Costello","given":"Deanne E."},{"family":"Vaucher","given":"Yvonne E."},{"family":"Bauer","given":"Charles R."},{"family":"Dusick","given":"Anna M."},{"family":"Adams-Chapman","given":"Ira"},{"family":"Goldstein","given":"Ricki F."},{"family":"Guillet","given":"Ronnie"},{"family":"Papile","given":"Lu-Ann"},{"family":"Higgins","given":"Rosemary D."}],"issued":{"date-parts":[["2012",5,31]]}}}],"schema":"https://github.com/citation-style-language/schema/raw/master/csl-citation.json"} </w:instrText>
      </w:r>
      <w:r w:rsidR="00532620">
        <w:rPr>
          <w:rFonts w:ascii="Arial" w:hAnsi="Arial" w:cs="Arial"/>
          <w:sz w:val="22"/>
          <w:szCs w:val="22"/>
        </w:rPr>
        <w:fldChar w:fldCharType="separate"/>
      </w:r>
      <w:r w:rsidR="007F54EA">
        <w:rPr>
          <w:rFonts w:ascii="Arial" w:hAnsi="Arial" w:cs="Arial"/>
          <w:sz w:val="22"/>
          <w:lang w:val="en-US"/>
        </w:rPr>
        <w:t>[25,26]</w:t>
      </w:r>
      <w:r w:rsidR="00532620">
        <w:rPr>
          <w:rFonts w:ascii="Arial" w:hAnsi="Arial" w:cs="Arial"/>
          <w:sz w:val="22"/>
          <w:szCs w:val="22"/>
        </w:rPr>
        <w:fldChar w:fldCharType="end"/>
      </w:r>
      <w:r w:rsidRPr="002D4681">
        <w:rPr>
          <w:rFonts w:ascii="Arial" w:hAnsi="Arial" w:cs="Arial"/>
          <w:sz w:val="22"/>
          <w:szCs w:val="22"/>
        </w:rPr>
        <w:t xml:space="preserve">. </w:t>
      </w:r>
      <w:r w:rsidR="00426724" w:rsidRPr="002D4681">
        <w:rPr>
          <w:rFonts w:ascii="Arial" w:hAnsi="Arial" w:cs="Arial"/>
          <w:sz w:val="22"/>
          <w:szCs w:val="22"/>
        </w:rPr>
        <w:t>More recent</w:t>
      </w:r>
      <w:r w:rsidR="003B16A6" w:rsidRPr="002D4681">
        <w:rPr>
          <w:rFonts w:ascii="Arial" w:hAnsi="Arial" w:cs="Arial"/>
          <w:sz w:val="22"/>
          <w:szCs w:val="22"/>
        </w:rPr>
        <w:t xml:space="preserve"> data </w:t>
      </w:r>
      <w:r w:rsidR="00091E99" w:rsidRPr="002D4681">
        <w:rPr>
          <w:rFonts w:ascii="Arial" w:hAnsi="Arial" w:cs="Arial"/>
          <w:sz w:val="22"/>
          <w:szCs w:val="22"/>
        </w:rPr>
        <w:t>however</w:t>
      </w:r>
      <w:r w:rsidR="004417BF" w:rsidRPr="002D4681">
        <w:rPr>
          <w:rFonts w:ascii="Arial" w:hAnsi="Arial" w:cs="Arial"/>
          <w:sz w:val="22"/>
          <w:szCs w:val="22"/>
        </w:rPr>
        <w:t>,</w:t>
      </w:r>
      <w:r w:rsidR="00091E99" w:rsidRPr="002D4681">
        <w:rPr>
          <w:rFonts w:ascii="Arial" w:hAnsi="Arial" w:cs="Arial"/>
          <w:sz w:val="22"/>
          <w:szCs w:val="22"/>
        </w:rPr>
        <w:t xml:space="preserve"> </w:t>
      </w:r>
      <w:r w:rsidR="00426724" w:rsidRPr="002D4681">
        <w:rPr>
          <w:rFonts w:ascii="Arial" w:hAnsi="Arial" w:cs="Arial"/>
          <w:sz w:val="22"/>
          <w:szCs w:val="22"/>
        </w:rPr>
        <w:t xml:space="preserve">suggests </w:t>
      </w:r>
      <w:r w:rsidR="003B16A6" w:rsidRPr="002D4681">
        <w:rPr>
          <w:rFonts w:ascii="Arial" w:hAnsi="Arial" w:cs="Arial"/>
          <w:sz w:val="22"/>
          <w:szCs w:val="22"/>
        </w:rPr>
        <w:t xml:space="preserve">that </w:t>
      </w:r>
      <w:r w:rsidR="00426724" w:rsidRPr="002D4681">
        <w:rPr>
          <w:rFonts w:ascii="Arial" w:hAnsi="Arial" w:cs="Arial"/>
          <w:sz w:val="22"/>
          <w:szCs w:val="22"/>
        </w:rPr>
        <w:t xml:space="preserve">adverse neurodevelopmental outcomes may be </w:t>
      </w:r>
      <w:r w:rsidR="00091E99" w:rsidRPr="002D4681">
        <w:rPr>
          <w:rFonts w:ascii="Arial" w:hAnsi="Arial" w:cs="Arial"/>
          <w:sz w:val="22"/>
          <w:szCs w:val="22"/>
        </w:rPr>
        <w:t>more common</w:t>
      </w:r>
      <w:r w:rsidR="00426724" w:rsidRPr="002D4681">
        <w:rPr>
          <w:rFonts w:ascii="Arial" w:hAnsi="Arial" w:cs="Arial"/>
          <w:sz w:val="22"/>
          <w:szCs w:val="22"/>
        </w:rPr>
        <w:t xml:space="preserve"> than previously documented</w:t>
      </w:r>
      <w:r w:rsidR="00535670">
        <w:rPr>
          <w:rFonts w:ascii="Arial" w:hAnsi="Arial" w:cs="Arial"/>
          <w:sz w:val="22"/>
          <w:szCs w:val="22"/>
        </w:rPr>
        <w:t xml:space="preserve"> </w:t>
      </w:r>
      <w:r w:rsidR="00426724" w:rsidRPr="002D4681">
        <w:rPr>
          <w:rFonts w:ascii="Arial" w:hAnsi="Arial" w:cs="Arial"/>
          <w:sz w:val="22"/>
          <w:szCs w:val="22"/>
        </w:rPr>
        <w:fldChar w:fldCharType="begin"/>
      </w:r>
      <w:r w:rsidR="00202D4F">
        <w:rPr>
          <w:rFonts w:ascii="Arial" w:hAnsi="Arial" w:cs="Arial"/>
          <w:sz w:val="22"/>
          <w:szCs w:val="22"/>
        </w:rPr>
        <w:instrText xml:space="preserve"> ADDIN ZOTERO_ITEM CSL_CITATION {"citationID":"vegtpByT","properties":{"formattedCitation":"[10]","plainCitation":"[10]","noteIndex":0},"citationItems":[{"id":821,"uris":["http://zotero.org/users/5728505/items/UX4G5YZM"],"uri":["http://zotero.org/users/5728505/items/UX4G5YZM"],"itemData":{"id":821,"type":"article-journal","abstract":"Studies of early childhood outcomes of mild hypoxic-ischemic encephalopathy (HIE) identified in the first 6 h of life are lacking. To evaluate neurodevelopmental outcomes at 18–22 months of PRIME study. Multicenter, prospective study of mild HIE defined as ≥1 abnormality using the modified Sarnat within 6 h of birth and not meeting cooling criteria. Primary outcome was disability with mild: Bayley III cognitive 70–84 or ≥85 and either Gross Motor Function Classification System (GMFCS) 1 or 2, seizures, or hearing deficit; moderate: cognitive 70–84 and either GMFCS 2, seizures, or hearing deficit; severe: cognitive &lt;70, GMFCS 3–5. Of the 63 infants enrolled, 51 (81%) were evaluated at 19 ± 2 months and 43 (68%) completed Bayley III. Of the 43 infants, 7 (16%) were diagnosed with disability, including 1 cerebral palsy and 2 autism. Bayley scores &lt; 85 in either cognition, motor, or language were detected in 17 (40%): 14 (32%) language, 7 (16%) cognitive, and 6 (14%) motor domain. Infants with disability had more abnormalities on discharge examination and brain MRI, with longer hospital stay (p &lt; 0.001). In this contemporary untreated cohort of mild HIE, disability occurred in 16% of infants at 18–22 months.","container-title":"Pediatric Research","DOI":"10.1038/s41390-018-0174-x","ISSN":"1530-0447","issue":"6","journalAbbreviation":"Pediatr Res","language":"en","page":"861-868","source":"www.nature.com","title":"Prospective research in infants with mild encephalopathy identified in the first six hours of life: neurodevelopmental outcomes at 18–22 months","title-short":"Prospective research in infants with mild encephalopathy identified in the first six hours of life","volume":"84","author":[{"family":"Chalak","given":"Lina F."},{"family":"Nguyen","given":"Kim-Anh"},{"family":"Prempunpong","given":"Chatchay"},{"family":"Heyne","given":"Roy"},{"family":"Thayyil","given":"Sudhin"},{"family":"Shankaran","given":"Seetha"},{"family":"Laptook","given":"Abbot R."},{"family":"Rollins","given":"Nancy"},{"family":"Pappas","given":"Athina"},{"family":"Koclas","given":"Louise"},{"family":"Shah","given":"Birju"},{"family":"Montaldo","given":"Paolo"},{"family":"Techasaensiri","given":"Benyachalee"},{"family":"Sánchez","given":"Pablo J."},{"family":"Sant’Anna","given":"Guilherme"}],"issued":{"date-parts":[["2018",12]]}}}],"schema":"https://github.com/citation-style-language/schema/raw/master/csl-citation.json"} </w:instrText>
      </w:r>
      <w:r w:rsidR="00426724" w:rsidRPr="002D4681">
        <w:rPr>
          <w:rFonts w:ascii="Arial" w:hAnsi="Arial" w:cs="Arial"/>
          <w:sz w:val="22"/>
          <w:szCs w:val="22"/>
        </w:rPr>
        <w:fldChar w:fldCharType="separate"/>
      </w:r>
      <w:r w:rsidR="00202D4F">
        <w:rPr>
          <w:rFonts w:ascii="Arial" w:hAnsi="Arial" w:cs="Arial"/>
          <w:sz w:val="22"/>
          <w:lang w:val="en-US"/>
        </w:rPr>
        <w:t>[10]</w:t>
      </w:r>
      <w:r w:rsidR="00426724" w:rsidRPr="002D4681">
        <w:rPr>
          <w:rFonts w:ascii="Arial" w:hAnsi="Arial" w:cs="Arial"/>
          <w:sz w:val="22"/>
          <w:szCs w:val="22"/>
        </w:rPr>
        <w:fldChar w:fldCharType="end"/>
      </w:r>
      <w:r w:rsidR="00426724" w:rsidRPr="002D4681">
        <w:rPr>
          <w:rFonts w:ascii="Arial" w:hAnsi="Arial" w:cs="Arial"/>
          <w:sz w:val="22"/>
          <w:szCs w:val="22"/>
        </w:rPr>
        <w:t xml:space="preserve">: </w:t>
      </w:r>
      <w:r w:rsidR="00EB5639">
        <w:rPr>
          <w:rFonts w:ascii="Arial" w:hAnsi="Arial" w:cs="Arial"/>
          <w:sz w:val="22"/>
          <w:szCs w:val="22"/>
        </w:rPr>
        <w:t xml:space="preserve">an international </w:t>
      </w:r>
      <w:r w:rsidR="00426724" w:rsidRPr="002D4681">
        <w:rPr>
          <w:rFonts w:ascii="Arial" w:hAnsi="Arial" w:cs="Arial"/>
          <w:sz w:val="22"/>
          <w:szCs w:val="22"/>
        </w:rPr>
        <w:t>prospective multi-centre</w:t>
      </w:r>
      <w:r w:rsidRPr="002D4681">
        <w:rPr>
          <w:rFonts w:ascii="Arial" w:hAnsi="Arial" w:cs="Arial"/>
          <w:sz w:val="22"/>
          <w:szCs w:val="22"/>
        </w:rPr>
        <w:t xml:space="preserve"> </w:t>
      </w:r>
      <w:r w:rsidR="00426724" w:rsidRPr="002D4681">
        <w:rPr>
          <w:rFonts w:ascii="Arial" w:hAnsi="Arial" w:cs="Arial"/>
          <w:sz w:val="22"/>
          <w:szCs w:val="22"/>
        </w:rPr>
        <w:t>study follow up</w:t>
      </w:r>
      <w:r w:rsidR="00EB5639">
        <w:rPr>
          <w:rFonts w:ascii="Arial" w:hAnsi="Arial" w:cs="Arial"/>
          <w:sz w:val="22"/>
          <w:szCs w:val="22"/>
        </w:rPr>
        <w:t xml:space="preserve"> of 43 </w:t>
      </w:r>
      <w:r w:rsidR="00426724" w:rsidRPr="002D4681">
        <w:rPr>
          <w:rFonts w:ascii="Arial" w:hAnsi="Arial" w:cs="Arial"/>
          <w:sz w:val="22"/>
          <w:szCs w:val="22"/>
        </w:rPr>
        <w:t xml:space="preserve"> infants with mild HIE found that</w:t>
      </w:r>
      <w:r w:rsidR="003B16A6" w:rsidRPr="002D4681">
        <w:rPr>
          <w:rFonts w:ascii="Arial" w:hAnsi="Arial" w:cs="Arial"/>
          <w:sz w:val="22"/>
          <w:szCs w:val="22"/>
        </w:rPr>
        <w:t xml:space="preserve"> 16% </w:t>
      </w:r>
      <w:r w:rsidR="00426724" w:rsidRPr="002D4681">
        <w:rPr>
          <w:rFonts w:ascii="Arial" w:hAnsi="Arial" w:cs="Arial"/>
          <w:sz w:val="22"/>
          <w:szCs w:val="22"/>
        </w:rPr>
        <w:t>had</w:t>
      </w:r>
      <w:r w:rsidR="003B16A6" w:rsidRPr="002D4681">
        <w:rPr>
          <w:rFonts w:ascii="Arial" w:hAnsi="Arial" w:cs="Arial"/>
          <w:sz w:val="22"/>
          <w:szCs w:val="22"/>
        </w:rPr>
        <w:t xml:space="preserve"> disability </w:t>
      </w:r>
      <w:r w:rsidR="00EB5639" w:rsidRPr="002D4681">
        <w:rPr>
          <w:rFonts w:ascii="Arial" w:hAnsi="Arial" w:cs="Arial"/>
          <w:sz w:val="22"/>
          <w:szCs w:val="22"/>
        </w:rPr>
        <w:t>at 18 to 22 months</w:t>
      </w:r>
      <w:r w:rsidR="00EB5639">
        <w:rPr>
          <w:rFonts w:ascii="Arial" w:hAnsi="Arial" w:cs="Arial"/>
          <w:sz w:val="22"/>
          <w:szCs w:val="22"/>
        </w:rPr>
        <w:t>, and follow up of 55 infants with mild HIE in Ireland and Sweden found significantly lower cognitive composite scores at 2 years when compared to healthy controls</w:t>
      </w:r>
      <w:r w:rsidR="003B16A6" w:rsidRPr="002D4681">
        <w:rPr>
          <w:rFonts w:ascii="Arial" w:hAnsi="Arial" w:cs="Arial"/>
          <w:sz w:val="22"/>
          <w:szCs w:val="22"/>
        </w:rPr>
        <w:t xml:space="preserve">. </w:t>
      </w:r>
      <w:r w:rsidR="00091E99" w:rsidRPr="002D4681">
        <w:rPr>
          <w:rFonts w:ascii="Arial" w:hAnsi="Arial" w:cs="Arial"/>
          <w:sz w:val="22"/>
          <w:szCs w:val="22"/>
        </w:rPr>
        <w:t>Whether</w:t>
      </w:r>
      <w:r w:rsidR="00426724" w:rsidRPr="002D4681">
        <w:rPr>
          <w:rFonts w:ascii="Arial" w:hAnsi="Arial" w:cs="Arial"/>
          <w:sz w:val="22"/>
          <w:szCs w:val="22"/>
        </w:rPr>
        <w:t xml:space="preserve"> therapeutic hypothermia </w:t>
      </w:r>
      <w:r w:rsidR="00091E99" w:rsidRPr="002D4681">
        <w:rPr>
          <w:rFonts w:ascii="Arial" w:hAnsi="Arial" w:cs="Arial"/>
          <w:sz w:val="22"/>
          <w:szCs w:val="22"/>
        </w:rPr>
        <w:t>is effective in</w:t>
      </w:r>
      <w:r w:rsidR="00426724" w:rsidRPr="002D4681">
        <w:rPr>
          <w:rFonts w:ascii="Arial" w:hAnsi="Arial" w:cs="Arial"/>
          <w:sz w:val="22"/>
          <w:szCs w:val="22"/>
        </w:rPr>
        <w:t xml:space="preserve"> improv</w:t>
      </w:r>
      <w:r w:rsidR="00091E99" w:rsidRPr="002D4681">
        <w:rPr>
          <w:rFonts w:ascii="Arial" w:hAnsi="Arial" w:cs="Arial"/>
          <w:sz w:val="22"/>
          <w:szCs w:val="22"/>
        </w:rPr>
        <w:t>ing</w:t>
      </w:r>
      <w:r w:rsidR="00426724" w:rsidRPr="002D4681">
        <w:rPr>
          <w:rFonts w:ascii="Arial" w:hAnsi="Arial" w:cs="Arial"/>
          <w:sz w:val="22"/>
          <w:szCs w:val="22"/>
        </w:rPr>
        <w:t xml:space="preserve"> neurodevelopmental </w:t>
      </w:r>
      <w:r w:rsidR="00426724" w:rsidRPr="002D4681">
        <w:rPr>
          <w:rFonts w:ascii="Arial" w:hAnsi="Arial" w:cs="Arial"/>
          <w:sz w:val="22"/>
          <w:szCs w:val="22"/>
        </w:rPr>
        <w:lastRenderedPageBreak/>
        <w:t xml:space="preserve">outcomes in babies with mild HIE </w:t>
      </w:r>
      <w:r w:rsidR="00091E99" w:rsidRPr="002D4681">
        <w:rPr>
          <w:rFonts w:ascii="Arial" w:hAnsi="Arial" w:cs="Arial"/>
          <w:sz w:val="22"/>
          <w:szCs w:val="22"/>
        </w:rPr>
        <w:t>is however unclear</w:t>
      </w:r>
      <w:r w:rsidR="001D04B3" w:rsidRPr="002D4681">
        <w:rPr>
          <w:rFonts w:ascii="Arial" w:hAnsi="Arial" w:cs="Arial"/>
          <w:sz w:val="22"/>
          <w:szCs w:val="22"/>
        </w:rPr>
        <w:t xml:space="preserve">. </w:t>
      </w:r>
      <w:r w:rsidR="00254394">
        <w:rPr>
          <w:rFonts w:ascii="Arial" w:hAnsi="Arial" w:cs="Arial"/>
          <w:sz w:val="22"/>
          <w:szCs w:val="22"/>
        </w:rPr>
        <w:t>Data from a non-randomised cohort study of 47 babies, found improved magnetic resonance spectroscopy biomarkers in babies who received therapeutic hypothermia, however a s</w:t>
      </w:r>
      <w:r w:rsidR="001D04B3" w:rsidRPr="002D4681">
        <w:rPr>
          <w:rFonts w:ascii="Arial" w:hAnsi="Arial" w:cs="Arial"/>
          <w:sz w:val="22"/>
          <w:szCs w:val="22"/>
        </w:rPr>
        <w:t>ystematic review and meta-analysis of 117 babies with mild HIE inadvertently recruited into trials targeting babies with moderate to severe HIE did not find evidence of benefit from therapeutic hypothermia</w:t>
      </w:r>
      <w:r w:rsidR="009B2EDD">
        <w:rPr>
          <w:rFonts w:ascii="Arial" w:hAnsi="Arial" w:cs="Arial"/>
          <w:sz w:val="22"/>
          <w:szCs w:val="22"/>
        </w:rPr>
        <w:t>;</w:t>
      </w:r>
      <w:r w:rsidR="001D04B3" w:rsidRPr="002D4681">
        <w:rPr>
          <w:rFonts w:ascii="Arial" w:hAnsi="Arial" w:cs="Arial"/>
          <w:sz w:val="22"/>
          <w:szCs w:val="22"/>
        </w:rPr>
        <w:t xml:space="preserve"> although low numbers meant that important benefit or harm could not be excluded</w:t>
      </w:r>
      <w:r w:rsidR="00041EA5">
        <w:rPr>
          <w:rFonts w:ascii="Arial" w:hAnsi="Arial" w:cs="Arial"/>
          <w:sz w:val="22"/>
          <w:szCs w:val="22"/>
        </w:rPr>
        <w:t xml:space="preserve"> </w:t>
      </w:r>
      <w:r w:rsidRPr="002D4681">
        <w:rPr>
          <w:rFonts w:ascii="Arial" w:hAnsi="Arial" w:cs="Arial"/>
          <w:sz w:val="22"/>
          <w:szCs w:val="22"/>
        </w:rPr>
        <w:fldChar w:fldCharType="begin"/>
      </w:r>
      <w:r w:rsidR="00593781">
        <w:rPr>
          <w:rFonts w:ascii="Arial" w:hAnsi="Arial" w:cs="Arial"/>
          <w:sz w:val="22"/>
          <w:szCs w:val="22"/>
        </w:rPr>
        <w:instrText xml:space="preserve"> ADDIN ZOTERO_ITEM CSL_CITATION {"citationID":"5orNBLy8","properties":{"formattedCitation":"[8]","plainCitation":"[8]","noteIndex":0},"citationItems":[{"id":621,"uris":["http://zotero.org/users/5728505/items/FVD4PFL7"],"uri":["http://zotero.org/users/5728505/items/FVD4PFL7"],"itemData":{"id":621,"type":"article-journal","abstract":"Objectives  To examine if therapeutic hypothermia reduces the composite outcome of death, moderate or severe disability at 18 months or more after mild neonatal encephalopathy (NE). Data source  MEDLINE, Cochrane database, Scopus and ISI Web of Knowledge databases, using ’hypoxic ischaemic encephalopathy’, ’newborn’ and ’hypothermia’, and ’clinical trials’ as medical subject headings and terms. Manual search of the reference lists of all eligible articles and major review articles and additional data from the corresponding authors of selected articles. Study selection  Randomised and quasirandomised controlled trials comparing therapeutic hypothermia with usual care. Data extraction  Safety and efficacy data extracted independently by two reviewers and analysed.\nResults  We included the data on 117 babies with mild NE inadvertently recruited to five cooling trials (two whole-body cooling and three selective head cooling) of moderate and severe NE, in the meta-analysis. Adverse outcomes occurred in 11/56 (19.6%) of the cooled babies and 12/61 (19.7%) of the usual care babies (risk ratio 1.11 (95% CIs 0.55 to 2.25)).\nConclusions  Current evidence is insufficient to recommend routine therapeutic hypothermia for babies with mild encephalopathy and significant benefits or harm cannot be excluded.","container-title":"Archives of Disease in Childhood - Fetal and Neonatal Edition","DOI":"10.1136/archdischild-2018-315711","ISSN":"1359-2998, 1468-2052","language":"en","page":"fetalneonatal-2018-315711","source":"Crossref","title":"Therapeutic hypothermia for mild neonatal encephalopathy: a systematic review and meta-analysis","title-short":"Therapeutic hypothermia for mild neonatal encephalopathy","author":[{"family":"Kariholu","given":"Ujwal"},{"family":"Montaldo","given":"Paolo"},{"family":"Markati","given":"Theodora"},{"family":"Lally","given":"Peter J"},{"family":"Pryce","given":"Russell"},{"family":"Teiserskas","given":"Justinas"},{"family":"Liow","given":"Natasha"},{"family":"Oliveira","given":"Vânia"},{"family":"Soe","given":"Aung"},{"family":"Shankaran","given":"Seetha"},{"family":"Thayyil","given":"Sudhin"}],"issued":{"date-parts":[["2018",12,19]]}}}],"schema":"https://github.com/citation-style-language/schema/raw/master/csl-citation.json"} </w:instrText>
      </w:r>
      <w:r w:rsidRPr="002D4681">
        <w:rPr>
          <w:rFonts w:ascii="Arial" w:hAnsi="Arial" w:cs="Arial"/>
          <w:sz w:val="22"/>
          <w:szCs w:val="22"/>
        </w:rPr>
        <w:fldChar w:fldCharType="separate"/>
      </w:r>
      <w:r w:rsidR="00593781">
        <w:rPr>
          <w:rFonts w:ascii="Arial" w:hAnsi="Arial" w:cs="Arial"/>
          <w:sz w:val="22"/>
          <w:lang w:val="en-US"/>
        </w:rPr>
        <w:t>[8]</w:t>
      </w:r>
      <w:r w:rsidRPr="002D4681">
        <w:rPr>
          <w:rFonts w:ascii="Arial" w:hAnsi="Arial" w:cs="Arial"/>
          <w:sz w:val="22"/>
          <w:szCs w:val="22"/>
        </w:rPr>
        <w:fldChar w:fldCharType="end"/>
      </w:r>
      <w:r w:rsidRPr="002D4681">
        <w:rPr>
          <w:rFonts w:ascii="Arial" w:hAnsi="Arial" w:cs="Arial"/>
          <w:sz w:val="22"/>
          <w:szCs w:val="22"/>
        </w:rPr>
        <w:t xml:space="preserve">. </w:t>
      </w:r>
      <w:r w:rsidR="00F9172B">
        <w:rPr>
          <w:rFonts w:ascii="Arial" w:hAnsi="Arial" w:cs="Arial"/>
          <w:sz w:val="22"/>
          <w:szCs w:val="22"/>
        </w:rPr>
        <w:t>We also find a sizable number of babies received therapeutic hypothermia without a principal or primary diagnosis of HIE.</w:t>
      </w:r>
      <w:r w:rsidR="008973BA">
        <w:rPr>
          <w:rFonts w:ascii="Arial" w:hAnsi="Arial" w:cs="Arial"/>
          <w:sz w:val="22"/>
          <w:szCs w:val="22"/>
        </w:rPr>
        <w:t xml:space="preserve"> </w:t>
      </w:r>
      <w:r w:rsidR="001D04B3" w:rsidRPr="002D4681">
        <w:rPr>
          <w:rFonts w:ascii="Arial" w:hAnsi="Arial" w:cs="Arial"/>
          <w:sz w:val="22"/>
          <w:szCs w:val="22"/>
        </w:rPr>
        <w:t>Administration of therapeutic hypothermia is not without adverse consequences</w:t>
      </w:r>
      <w:r w:rsidR="00041EA5">
        <w:rPr>
          <w:rFonts w:ascii="Arial" w:hAnsi="Arial" w:cs="Arial"/>
          <w:sz w:val="22"/>
          <w:szCs w:val="22"/>
        </w:rPr>
        <w:t xml:space="preserve"> </w:t>
      </w:r>
      <w:r w:rsidR="00F373F9">
        <w:rPr>
          <w:rFonts w:ascii="Arial" w:hAnsi="Arial" w:cs="Arial"/>
          <w:sz w:val="22"/>
          <w:szCs w:val="22"/>
        </w:rPr>
        <w:fldChar w:fldCharType="begin"/>
      </w:r>
      <w:r w:rsidR="007F54EA">
        <w:rPr>
          <w:rFonts w:ascii="Arial" w:hAnsi="Arial" w:cs="Arial"/>
          <w:sz w:val="22"/>
          <w:szCs w:val="22"/>
        </w:rPr>
        <w:instrText xml:space="preserve"> ADDIN ZOTERO_ITEM CSL_CITATION {"citationID":"jNThlVFH","properties":{"formattedCitation":"[27]","plainCitation":"[27]","noteIndex":0},"citationItems":[{"id":950,"uris":["http://zotero.org/users/5728505/items/4GHEHA6H"],"uri":["http://zotero.org/users/5728505/items/4GHEHA6H"],"itemData":{"id":950,"type":"article-journal","abstract":"Therapeutic moderate hypothermia in newborns with hypoxic-ischemic encephalopathy is rapidly becoming standard clinical practice. We report here 12 cases of subcutaneous fat necrosis among 1239 cases registered with a national registry of newborns treated with moderate whole-body hypothermia. All the infants suffered from perinatal asphyxia and hypoxic-ischemic encephalopathy. Moderate-to-severe hypercalcemia was identified in 8 of 10 infants with blood calcium measurements. In all cases the skin lesions appeared after completion of the cooling treatment. Our data suggest that prolonged moderate hypothermia is an actual risk factor for subcutaneous fat necrosis. Because the lesions often develop several days after birth, physicians need to be aware of this condition as a possible complication in infants treated with moderate hypothermia after asphyxia. Blood calcium levels need to be monitored in affected infants.","container-title":"Pediatrics","DOI":"10.1542/peds.2010-3508","ISSN":"1098-4275","issue":"2","journalAbbreviation":"Pediatrics","language":"eng","note":"PMID: 21727110","page":"e450-452","source":"PubMed","title":"Subcutaneous fat necrosis after moderate therapeutic hypothermia in neonates","volume":"128","author":[{"family":"Strohm","given":"Brenda"},{"family":"Hobson","given":"Anna"},{"family":"Brocklehurst","given":"Peter"},{"family":"Edwards","given":"A. David"},{"family":"Azzopardi","given":"Denis"},{"literal":"UK TOBY Cooling Register"}],"issued":{"date-parts":[["2011",8]]}}}],"schema":"https://github.com/citation-style-language/schema/raw/master/csl-citation.json"} </w:instrText>
      </w:r>
      <w:r w:rsidR="00F373F9">
        <w:rPr>
          <w:rFonts w:ascii="Arial" w:hAnsi="Arial" w:cs="Arial"/>
          <w:sz w:val="22"/>
          <w:szCs w:val="22"/>
        </w:rPr>
        <w:fldChar w:fldCharType="separate"/>
      </w:r>
      <w:r w:rsidR="007F54EA">
        <w:rPr>
          <w:rFonts w:ascii="Arial" w:hAnsi="Arial" w:cs="Arial"/>
          <w:sz w:val="22"/>
          <w:lang w:val="en-US"/>
        </w:rPr>
        <w:t>[27]</w:t>
      </w:r>
      <w:r w:rsidR="00F373F9">
        <w:rPr>
          <w:rFonts w:ascii="Arial" w:hAnsi="Arial" w:cs="Arial"/>
          <w:sz w:val="22"/>
          <w:szCs w:val="22"/>
        </w:rPr>
        <w:fldChar w:fldCharType="end"/>
      </w:r>
      <w:r w:rsidR="001D04B3" w:rsidRPr="002D4681">
        <w:rPr>
          <w:rFonts w:ascii="Arial" w:hAnsi="Arial" w:cs="Arial"/>
          <w:sz w:val="22"/>
          <w:szCs w:val="22"/>
        </w:rPr>
        <w:t xml:space="preserve"> such as subcutaneous fat necrosis</w:t>
      </w:r>
      <w:r w:rsidR="00091E99" w:rsidRPr="002D4681">
        <w:rPr>
          <w:rFonts w:ascii="Arial" w:hAnsi="Arial" w:cs="Arial"/>
          <w:sz w:val="22"/>
          <w:szCs w:val="22"/>
        </w:rPr>
        <w:t xml:space="preserve"> and impaired</w:t>
      </w:r>
      <w:r w:rsidR="001D04B3" w:rsidRPr="002D4681">
        <w:rPr>
          <w:rFonts w:ascii="Arial" w:hAnsi="Arial" w:cs="Arial"/>
          <w:sz w:val="22"/>
          <w:szCs w:val="22"/>
        </w:rPr>
        <w:t xml:space="preserve"> mother</w:t>
      </w:r>
      <w:r w:rsidR="00091E99" w:rsidRPr="002D4681">
        <w:rPr>
          <w:rFonts w:ascii="Arial" w:hAnsi="Arial" w:cs="Arial"/>
          <w:sz w:val="22"/>
          <w:szCs w:val="22"/>
        </w:rPr>
        <w:t>-</w:t>
      </w:r>
      <w:r w:rsidR="001D04B3" w:rsidRPr="002D4681">
        <w:rPr>
          <w:rFonts w:ascii="Arial" w:hAnsi="Arial" w:cs="Arial"/>
          <w:sz w:val="22"/>
          <w:szCs w:val="22"/>
        </w:rPr>
        <w:t xml:space="preserve">infant bonding </w:t>
      </w:r>
      <w:r w:rsidR="00091E99" w:rsidRPr="002D4681">
        <w:rPr>
          <w:rFonts w:ascii="Arial" w:hAnsi="Arial" w:cs="Arial"/>
          <w:sz w:val="22"/>
          <w:szCs w:val="22"/>
        </w:rPr>
        <w:t xml:space="preserve">(particularly following postnatal transfer), </w:t>
      </w:r>
      <w:r w:rsidR="001D04B3" w:rsidRPr="002D4681">
        <w:rPr>
          <w:rFonts w:ascii="Arial" w:hAnsi="Arial" w:cs="Arial"/>
          <w:sz w:val="22"/>
          <w:szCs w:val="22"/>
        </w:rPr>
        <w:t>and</w:t>
      </w:r>
      <w:r w:rsidR="00091E99" w:rsidRPr="002D4681">
        <w:rPr>
          <w:rFonts w:ascii="Arial" w:hAnsi="Arial" w:cs="Arial"/>
          <w:sz w:val="22"/>
          <w:szCs w:val="22"/>
        </w:rPr>
        <w:t xml:space="preserve"> has</w:t>
      </w:r>
      <w:r w:rsidR="001D04B3" w:rsidRPr="002D4681">
        <w:rPr>
          <w:rFonts w:ascii="Arial" w:hAnsi="Arial" w:cs="Arial"/>
          <w:sz w:val="22"/>
          <w:szCs w:val="22"/>
        </w:rPr>
        <w:t xml:space="preserve"> health</w:t>
      </w:r>
      <w:r w:rsidR="0003266E">
        <w:rPr>
          <w:rFonts w:ascii="Arial" w:hAnsi="Arial" w:cs="Arial"/>
          <w:sz w:val="22"/>
          <w:szCs w:val="22"/>
        </w:rPr>
        <w:t>-</w:t>
      </w:r>
      <w:r w:rsidR="00091E99" w:rsidRPr="002D4681">
        <w:rPr>
          <w:rFonts w:ascii="Arial" w:hAnsi="Arial" w:cs="Arial"/>
          <w:sz w:val="22"/>
          <w:szCs w:val="22"/>
        </w:rPr>
        <w:t>economic implications</w:t>
      </w:r>
      <w:r w:rsidR="00326172">
        <w:rPr>
          <w:rFonts w:ascii="Arial" w:hAnsi="Arial" w:cs="Arial"/>
          <w:sz w:val="22"/>
          <w:szCs w:val="22"/>
        </w:rPr>
        <w:t>;</w:t>
      </w:r>
      <w:r w:rsidR="00DA39CC">
        <w:rPr>
          <w:rFonts w:ascii="Arial" w:hAnsi="Arial" w:cs="Arial"/>
          <w:sz w:val="22"/>
          <w:szCs w:val="22"/>
        </w:rPr>
        <w:t xml:space="preserve"> </w:t>
      </w:r>
      <w:r w:rsidR="00326172">
        <w:rPr>
          <w:rFonts w:ascii="Arial" w:hAnsi="Arial" w:cs="Arial"/>
          <w:sz w:val="22"/>
          <w:szCs w:val="22"/>
        </w:rPr>
        <w:t xml:space="preserve">therefore, there are </w:t>
      </w:r>
      <w:r w:rsidR="00DA39CC">
        <w:rPr>
          <w:rFonts w:ascii="Arial" w:hAnsi="Arial" w:cs="Arial"/>
          <w:sz w:val="22"/>
          <w:szCs w:val="22"/>
        </w:rPr>
        <w:t xml:space="preserve">ethical </w:t>
      </w:r>
      <w:r w:rsidR="00326172">
        <w:rPr>
          <w:rFonts w:ascii="Arial" w:hAnsi="Arial" w:cs="Arial"/>
          <w:sz w:val="22"/>
          <w:szCs w:val="22"/>
        </w:rPr>
        <w:t xml:space="preserve">and practical </w:t>
      </w:r>
      <w:r w:rsidR="00DA39CC">
        <w:rPr>
          <w:rFonts w:ascii="Arial" w:hAnsi="Arial" w:cs="Arial"/>
          <w:sz w:val="22"/>
          <w:szCs w:val="22"/>
        </w:rPr>
        <w:t xml:space="preserve">considerations </w:t>
      </w:r>
      <w:r w:rsidR="00326172">
        <w:rPr>
          <w:rFonts w:ascii="Arial" w:hAnsi="Arial" w:cs="Arial"/>
          <w:sz w:val="22"/>
          <w:szCs w:val="22"/>
        </w:rPr>
        <w:t>to</w:t>
      </w:r>
      <w:r w:rsidR="00DA39CC">
        <w:rPr>
          <w:rFonts w:ascii="Arial" w:hAnsi="Arial" w:cs="Arial"/>
          <w:sz w:val="22"/>
          <w:szCs w:val="22"/>
        </w:rPr>
        <w:t xml:space="preserve"> </w:t>
      </w:r>
      <w:r w:rsidR="00326172">
        <w:rPr>
          <w:rFonts w:ascii="Arial" w:hAnsi="Arial" w:cs="Arial"/>
          <w:sz w:val="22"/>
          <w:szCs w:val="22"/>
        </w:rPr>
        <w:t>administering such a treatment outside robust, evidence-based guidance</w:t>
      </w:r>
      <w:r w:rsidR="00091E99" w:rsidRPr="002D4681">
        <w:rPr>
          <w:rFonts w:ascii="Arial" w:hAnsi="Arial" w:cs="Arial"/>
          <w:sz w:val="22"/>
          <w:szCs w:val="22"/>
        </w:rPr>
        <w:t>. Data presented here indicate that infants with mild HIE are increasingly receiving therapeutic hypothermia in the UK, despite an absence of high</w:t>
      </w:r>
      <w:r w:rsidR="00B63961" w:rsidRPr="002D4681">
        <w:rPr>
          <w:rFonts w:ascii="Arial" w:hAnsi="Arial" w:cs="Arial"/>
          <w:sz w:val="22"/>
          <w:szCs w:val="22"/>
        </w:rPr>
        <w:t>-</w:t>
      </w:r>
      <w:r w:rsidR="00091E99" w:rsidRPr="002D4681">
        <w:rPr>
          <w:rFonts w:ascii="Arial" w:hAnsi="Arial" w:cs="Arial"/>
          <w:sz w:val="22"/>
          <w:szCs w:val="22"/>
        </w:rPr>
        <w:t xml:space="preserve">quality data supporting its use. </w:t>
      </w:r>
      <w:r w:rsidR="00091E99" w:rsidRPr="00636C14">
        <w:rPr>
          <w:rFonts w:ascii="Arial" w:hAnsi="Arial" w:cs="Arial"/>
          <w:sz w:val="22"/>
          <w:szCs w:val="22"/>
        </w:rPr>
        <w:t xml:space="preserve">This </w:t>
      </w:r>
      <w:r w:rsidR="001D04B3" w:rsidRPr="00636C14">
        <w:rPr>
          <w:rFonts w:ascii="Arial" w:hAnsi="Arial" w:cs="Arial"/>
          <w:sz w:val="22"/>
          <w:szCs w:val="22"/>
        </w:rPr>
        <w:t>highlight</w:t>
      </w:r>
      <w:r w:rsidR="00091E99" w:rsidRPr="00636C14">
        <w:rPr>
          <w:rFonts w:ascii="Arial" w:hAnsi="Arial" w:cs="Arial"/>
          <w:sz w:val="22"/>
          <w:szCs w:val="22"/>
        </w:rPr>
        <w:t>s</w:t>
      </w:r>
      <w:r w:rsidR="001D04B3" w:rsidRPr="00636C14">
        <w:rPr>
          <w:rFonts w:ascii="Arial" w:hAnsi="Arial" w:cs="Arial"/>
          <w:sz w:val="22"/>
          <w:szCs w:val="22"/>
        </w:rPr>
        <w:t xml:space="preserve"> the importance of</w:t>
      </w:r>
      <w:r w:rsidR="00B63961" w:rsidRPr="00636C14">
        <w:rPr>
          <w:rFonts w:ascii="Arial" w:hAnsi="Arial" w:cs="Arial"/>
          <w:sz w:val="22"/>
          <w:szCs w:val="22"/>
        </w:rPr>
        <w:t xml:space="preserve"> undertaking</w:t>
      </w:r>
      <w:r w:rsidR="001D04B3" w:rsidRPr="00636C14">
        <w:rPr>
          <w:rFonts w:ascii="Arial" w:hAnsi="Arial" w:cs="Arial"/>
          <w:sz w:val="22"/>
          <w:szCs w:val="22"/>
        </w:rPr>
        <w:t xml:space="preserve"> large</w:t>
      </w:r>
      <w:r w:rsidR="00091E99" w:rsidRPr="00636C14">
        <w:rPr>
          <w:rFonts w:ascii="Arial" w:hAnsi="Arial" w:cs="Arial"/>
          <w:sz w:val="22"/>
          <w:szCs w:val="22"/>
        </w:rPr>
        <w:t xml:space="preserve"> </w:t>
      </w:r>
      <w:r w:rsidR="00B63961" w:rsidRPr="00636C14">
        <w:rPr>
          <w:rFonts w:ascii="Arial" w:hAnsi="Arial" w:cs="Arial"/>
          <w:sz w:val="22"/>
          <w:szCs w:val="22"/>
        </w:rPr>
        <w:t xml:space="preserve">methodologically </w:t>
      </w:r>
      <w:r w:rsidR="001D04B3" w:rsidRPr="00636C14">
        <w:rPr>
          <w:rFonts w:ascii="Arial" w:hAnsi="Arial" w:cs="Arial"/>
          <w:sz w:val="22"/>
          <w:szCs w:val="22"/>
        </w:rPr>
        <w:t xml:space="preserve">robust trials </w:t>
      </w:r>
      <w:r w:rsidR="00091E99" w:rsidRPr="00636C14">
        <w:rPr>
          <w:rFonts w:ascii="Arial" w:hAnsi="Arial" w:cs="Arial"/>
          <w:sz w:val="22"/>
          <w:szCs w:val="22"/>
        </w:rPr>
        <w:t xml:space="preserve">to determine the risks and benefits of </w:t>
      </w:r>
      <w:r w:rsidR="001D04B3" w:rsidRPr="00636C14">
        <w:rPr>
          <w:rFonts w:ascii="Arial" w:hAnsi="Arial" w:cs="Arial"/>
          <w:sz w:val="22"/>
          <w:szCs w:val="22"/>
        </w:rPr>
        <w:t xml:space="preserve">therapeutic hypothermia in </w:t>
      </w:r>
      <w:r w:rsidR="00091E99" w:rsidRPr="00636C14">
        <w:rPr>
          <w:rFonts w:ascii="Arial" w:hAnsi="Arial" w:cs="Arial"/>
          <w:sz w:val="22"/>
          <w:szCs w:val="22"/>
        </w:rPr>
        <w:t>babies with mild HIE</w:t>
      </w:r>
      <w:r w:rsidR="00041EA5">
        <w:rPr>
          <w:rFonts w:ascii="Arial" w:hAnsi="Arial" w:cs="Arial"/>
          <w:sz w:val="22"/>
          <w:szCs w:val="22"/>
        </w:rPr>
        <w:t xml:space="preserve"> </w:t>
      </w:r>
      <w:r w:rsidR="00636C14">
        <w:rPr>
          <w:rFonts w:ascii="Arial" w:hAnsi="Arial" w:cs="Arial"/>
          <w:sz w:val="22"/>
          <w:szCs w:val="22"/>
        </w:rPr>
        <w:fldChar w:fldCharType="begin"/>
      </w:r>
      <w:r w:rsidR="007F54EA">
        <w:rPr>
          <w:rFonts w:ascii="Arial" w:hAnsi="Arial" w:cs="Arial"/>
          <w:sz w:val="22"/>
          <w:szCs w:val="22"/>
        </w:rPr>
        <w:instrText xml:space="preserve"> ADDIN ZOTERO_ITEM CSL_CITATION {"citationID":"Zw3ekLg1","properties":{"formattedCitation":"[28,29]","plainCitation":"[28,29]","noteIndex":0},"citationItems":[{"id":1185,"uris":["http://zotero.org/users/5728505/items/XNZYC8MA"],"uri":["http://zotero.org/users/5728505/items/XNZYC8MA"],"itemData":{"id":1185,"type":"article-journal","container-title":"The Journal of Pediatrics","DOI":"10.1016/j.jpeds.2019.11.030","ISSN":"1097-6833","journalAbbreviation":"J. Pediatr.","language":"eng","note":"PMID: 31952851","page":"241-244","source":"PubMed","title":"Is It Time for a Randomized Controlled Trial of Hypothermia for Mild Hypoxic-Ischemic Encephalopathy?","volume":"220","author":[{"family":"Chawla","given":"Sanjay"},{"family":"Bates","given":"Sara V."},{"family":"Shankaran","given":"Seetha"}],"issued":{"date-parts":[["2020",5]]}}},{"id":1187,"uris":["http://zotero.org/users/5728505/items/MXTSVZTA"],"uri":["http://zotero.org/users/5728505/items/MXTSVZTA"],"itemData":{"id":1187,"type":"article-journal","abstract":"Aims\nHypoxic ischaemic encephalopathy (HIE) remains a significant cause of long term neurodisability despite therapeutic hypothermia (TH). Infants with mild HIE, representing 50% of those with HIE, are perceived as low risk and are currently not eligible for TH [1]. This review examines the available evidence of outcome in term infants with mild HIE.\nMethods\nMedline, Embase and Cochrane Clinical Trials databases were searched in March 2017. Studies with well-defined HIE grading at birth and standardised neurodevelopmental assessment at ≥18 months were included. Abnormal outcome was defined as death, cerebral palsy or standardised neurodevelopmental test score more than 1 standard deviation below the mean.\nResult\nTwenty studies were included. Abnormal outcome was reported in 86/341 (25%) of infants. There was insufficient evidence to examine the effect of TH on outcome.\nConclusion\nA significant proportion of infants with mild HIE have abnormal outcome at follow up.","container-title":"Early Human Development","DOI":"10.1016/j.earlhumdev.2018.02.007","ISSN":"0378-3782","journalAbbreviation":"Early Human Development","language":"en","page":"80-87","source":"ScienceDirect","title":"Mild hypoxic ischaemic encephalopathy and long term neurodevelopmental outcome - A systematic review","volume":"120","author":[{"family":"Conway","given":"J. M."},{"family":"Walsh","given":"B. H."},{"family":"Boylan","given":"G. B."},{"family":"Murray","given":"D. M."}],"issued":{"date-parts":[["2018",5,1]]}}}],"schema":"https://github.com/citation-style-language/schema/raw/master/csl-citation.json"} </w:instrText>
      </w:r>
      <w:r w:rsidR="00636C14">
        <w:rPr>
          <w:rFonts w:ascii="Arial" w:hAnsi="Arial" w:cs="Arial"/>
          <w:sz w:val="22"/>
          <w:szCs w:val="22"/>
        </w:rPr>
        <w:fldChar w:fldCharType="separate"/>
      </w:r>
      <w:r w:rsidR="007F54EA">
        <w:rPr>
          <w:rFonts w:ascii="Arial" w:hAnsi="Arial" w:cs="Arial"/>
          <w:noProof/>
          <w:sz w:val="22"/>
          <w:szCs w:val="22"/>
        </w:rPr>
        <w:t>[28,29]</w:t>
      </w:r>
      <w:r w:rsidR="00636C14">
        <w:rPr>
          <w:rFonts w:ascii="Arial" w:hAnsi="Arial" w:cs="Arial"/>
          <w:sz w:val="22"/>
          <w:szCs w:val="22"/>
        </w:rPr>
        <w:fldChar w:fldCharType="end"/>
      </w:r>
      <w:r w:rsidR="00091E99" w:rsidRPr="002D4681">
        <w:rPr>
          <w:rFonts w:ascii="Arial" w:hAnsi="Arial" w:cs="Arial"/>
          <w:sz w:val="22"/>
          <w:szCs w:val="22"/>
        </w:rPr>
        <w:t>.</w:t>
      </w:r>
      <w:r w:rsidR="00296501">
        <w:rPr>
          <w:rFonts w:ascii="Arial" w:hAnsi="Arial" w:cs="Arial"/>
          <w:sz w:val="22"/>
          <w:szCs w:val="22"/>
        </w:rPr>
        <w:t xml:space="preserve"> </w:t>
      </w:r>
    </w:p>
    <w:p w14:paraId="33C399B2" w14:textId="6EF3665E" w:rsidR="005E2CE2" w:rsidRPr="002D4681" w:rsidRDefault="00B63961" w:rsidP="00515DE8">
      <w:pPr>
        <w:spacing w:after="100" w:afterAutospacing="1" w:line="480" w:lineRule="auto"/>
        <w:contextualSpacing/>
        <w:jc w:val="both"/>
        <w:rPr>
          <w:rFonts w:ascii="Arial" w:hAnsi="Arial" w:cs="Arial"/>
          <w:sz w:val="22"/>
          <w:szCs w:val="22"/>
        </w:rPr>
      </w:pPr>
      <w:r w:rsidRPr="002D4681">
        <w:rPr>
          <w:rFonts w:ascii="Arial" w:hAnsi="Arial" w:cs="Arial"/>
          <w:sz w:val="22"/>
          <w:szCs w:val="22"/>
        </w:rPr>
        <w:t xml:space="preserve">Data from the NNRD are used </w:t>
      </w:r>
      <w:r w:rsidR="009705FD" w:rsidRPr="002D4681">
        <w:rPr>
          <w:rFonts w:ascii="Arial" w:hAnsi="Arial" w:cs="Arial"/>
          <w:sz w:val="22"/>
          <w:szCs w:val="22"/>
        </w:rPr>
        <w:t xml:space="preserve">for national and regional reporting of </w:t>
      </w:r>
      <w:r w:rsidR="009705FD" w:rsidRPr="002D4681">
        <w:rPr>
          <w:rFonts w:ascii="Arial" w:hAnsi="Arial" w:cs="Arial"/>
          <w:i/>
          <w:sz w:val="22"/>
          <w:szCs w:val="22"/>
        </w:rPr>
        <w:t>brain injuries occurring at or soon after birth</w:t>
      </w:r>
      <w:r w:rsidR="009705FD" w:rsidRPr="002D4681" w:rsidDel="00722CB6">
        <w:rPr>
          <w:rFonts w:ascii="Arial" w:hAnsi="Arial" w:cs="Arial"/>
          <w:i/>
          <w:sz w:val="22"/>
          <w:szCs w:val="22"/>
        </w:rPr>
        <w:t xml:space="preserve"> </w:t>
      </w:r>
      <w:r w:rsidR="009705FD" w:rsidRPr="002D4681">
        <w:rPr>
          <w:rFonts w:ascii="Arial" w:hAnsi="Arial" w:cs="Arial"/>
          <w:sz w:val="22"/>
          <w:szCs w:val="22"/>
        </w:rPr>
        <w:t>in England as part of a national maternity ambition to make England the safest place in the world to give birth. Moderate to severe HIE is an important component of</w:t>
      </w:r>
      <w:r w:rsidR="0012470B" w:rsidRPr="002D4681">
        <w:rPr>
          <w:rFonts w:ascii="Arial" w:hAnsi="Arial" w:cs="Arial"/>
          <w:sz w:val="22"/>
          <w:szCs w:val="22"/>
        </w:rPr>
        <w:t>,</w:t>
      </w:r>
      <w:r w:rsidR="009705FD" w:rsidRPr="002D4681">
        <w:rPr>
          <w:rFonts w:ascii="Arial" w:hAnsi="Arial" w:cs="Arial"/>
          <w:sz w:val="22"/>
          <w:szCs w:val="22"/>
        </w:rPr>
        <w:t xml:space="preserve"> and sizable contributor to</w:t>
      </w:r>
      <w:r w:rsidR="0012470B" w:rsidRPr="002D4681">
        <w:rPr>
          <w:rFonts w:ascii="Arial" w:hAnsi="Arial" w:cs="Arial"/>
          <w:sz w:val="22"/>
          <w:szCs w:val="22"/>
        </w:rPr>
        <w:t>,</w:t>
      </w:r>
      <w:r w:rsidR="009705FD" w:rsidRPr="002D4681">
        <w:rPr>
          <w:rFonts w:ascii="Arial" w:hAnsi="Arial" w:cs="Arial"/>
          <w:sz w:val="22"/>
          <w:szCs w:val="22"/>
        </w:rPr>
        <w:t xml:space="preserve"> such brain injuries nationall</w:t>
      </w:r>
      <w:r w:rsidR="0012470B" w:rsidRPr="002D4681">
        <w:rPr>
          <w:rFonts w:ascii="Arial" w:hAnsi="Arial" w:cs="Arial"/>
          <w:sz w:val="22"/>
          <w:szCs w:val="22"/>
        </w:rPr>
        <w:t>y</w:t>
      </w:r>
      <w:r w:rsidR="009705FD" w:rsidRPr="002D4681">
        <w:rPr>
          <w:rFonts w:ascii="Arial" w:hAnsi="Arial" w:cs="Arial"/>
          <w:sz w:val="22"/>
          <w:szCs w:val="22"/>
        </w:rPr>
        <w:t xml:space="preserve"> and is currently defined for this purpose in part by receipt of therapeutic hypothermia</w:t>
      </w:r>
      <w:r w:rsidR="00041EA5">
        <w:rPr>
          <w:rFonts w:ascii="Arial" w:hAnsi="Arial" w:cs="Arial"/>
          <w:sz w:val="22"/>
          <w:szCs w:val="22"/>
        </w:rPr>
        <w:t xml:space="preserve"> </w:t>
      </w:r>
      <w:r w:rsidR="00891499">
        <w:rPr>
          <w:rFonts w:ascii="Arial" w:hAnsi="Arial" w:cs="Arial"/>
          <w:sz w:val="22"/>
          <w:szCs w:val="22"/>
        </w:rPr>
        <w:fldChar w:fldCharType="begin"/>
      </w:r>
      <w:r w:rsidR="00593781">
        <w:rPr>
          <w:rFonts w:ascii="Arial" w:hAnsi="Arial" w:cs="Arial"/>
          <w:sz w:val="22"/>
          <w:szCs w:val="22"/>
        </w:rPr>
        <w:instrText xml:space="preserve"> ADDIN ZOTERO_ITEM CSL_CITATION {"citationID":"BH4aPqdW","properties":{"formattedCitation":"[2]","plainCitation":"[2]","noteIndex":0},"citationItems":[{"id":637,"uris":["http://zotero.org/users/5728505/items/FSWFI2XF"],"uri":["http://zotero.org/users/5728505/items/FSWFI2XF"],"itemData":{"id":637,"type":"article-journal","abstract":"Objective  In 2015, the Department of Health in England announced an ambition to reduce ’brain injuries occurring during or soon after birth’. We describe the development of a pragmatic case definition and present annual incidence rates. Design  Retrospective cohort study using data held in the National Neonatal Research Database (NNRD) extracted from neonatal electronic patient records from all National Health Service (NHS) neonatal units in England, Wales and Scotland. In 2010–2011, population coverage in the NNRD was incomplete, hence rate estimates are presented as a range; from 2012, population coverage is complete, and rates (95% CIs) are presented. Rates are per 1000 live births. Setting  NHS neonatal units in England. Patients  Infants admitted for neonatal care; denominator: live births in England. Main outcome measure  ’Brain injuries occurring at or soon after birth’ defined as infants with seizures, hypoxic-ischaemic encephalopathy, stroke, intracranial haemorrhage, central nervous system infection and kernicterus and preterm infants with cystic periventricular leucomalacia.\nResults  In 2010, the lower estimate of the rate of ’Brain injuries occurring at or soon after birth’ in England was 4.53 and the upper estimate was 5.19; in 2015, the rate was 5.14 (4.97, 5.32). For preterm infants, the population incidence in 2015 was 25.88 (24.51, 27.33) and 3.47 (3.33, 3.62) for term infants. Hypoxic-ischaemic encephalopathy was the largest contributor to term brain injury, and intraventricular/periventricular haemorrhage was the largest contributor to preterm brain injury.\nConclusions  Annual incidence rates for brain injuries can be estimated from data held in the NNRD; rates for individual conditions are consistent with published rates. Routinely recorded clinical data can be used for national surveillance, offering efficiencies over traditional approaches.","container-title":"Archives of Disease in Childhood - Fetal and Neonatal Edition","DOI":"10.1136/archdischild-2017-313707","ISSN":"1359-2998, 1468-2052","issue":"4","language":"en","page":"F301-F306","source":"Crossref","title":"Neonatal brain injuries in England: population-based incidence derived from routinely recorded clinical data held in the National Neonatal Research Database","title-short":"Neonatal brain injuries in England","volume":"103","author":[{"family":"Gale","given":"Chris"},{"family":"Statnikov","given":"Yevgeniy"},{"family":"Jawad","given":"Sena"},{"family":"Uthaya","given":"Sabita N"},{"family":"Modi","given":"Neena"}],"issued":{"date-parts":[["2018",7]]}}}],"schema":"https://github.com/citation-style-language/schema/raw/master/csl-citation.json"} </w:instrText>
      </w:r>
      <w:r w:rsidR="00891499">
        <w:rPr>
          <w:rFonts w:ascii="Arial" w:hAnsi="Arial" w:cs="Arial"/>
          <w:sz w:val="22"/>
          <w:szCs w:val="22"/>
        </w:rPr>
        <w:fldChar w:fldCharType="separate"/>
      </w:r>
      <w:r w:rsidR="00593781">
        <w:rPr>
          <w:rFonts w:ascii="Arial" w:hAnsi="Arial" w:cs="Arial"/>
          <w:sz w:val="22"/>
          <w:lang w:val="en-US"/>
        </w:rPr>
        <w:t>[2]</w:t>
      </w:r>
      <w:r w:rsidR="00891499">
        <w:rPr>
          <w:rFonts w:ascii="Arial" w:hAnsi="Arial" w:cs="Arial"/>
          <w:sz w:val="22"/>
          <w:szCs w:val="22"/>
        </w:rPr>
        <w:fldChar w:fldCharType="end"/>
      </w:r>
      <w:r w:rsidR="009705FD" w:rsidRPr="002D4681">
        <w:rPr>
          <w:rFonts w:ascii="Arial" w:hAnsi="Arial" w:cs="Arial"/>
          <w:sz w:val="22"/>
          <w:szCs w:val="22"/>
        </w:rPr>
        <w:t>. The increasing application of therapeutic hypothermia to babies with mild HIE document</w:t>
      </w:r>
      <w:r w:rsidR="00BE200D">
        <w:rPr>
          <w:rFonts w:ascii="Arial" w:hAnsi="Arial" w:cs="Arial"/>
          <w:sz w:val="22"/>
          <w:szCs w:val="22"/>
        </w:rPr>
        <w:t>ed</w:t>
      </w:r>
      <w:r w:rsidR="009705FD" w:rsidRPr="002D4681">
        <w:rPr>
          <w:rFonts w:ascii="Arial" w:hAnsi="Arial" w:cs="Arial"/>
          <w:sz w:val="22"/>
          <w:szCs w:val="22"/>
        </w:rPr>
        <w:t xml:space="preserve"> here means that many such babies </w:t>
      </w:r>
      <w:r w:rsidR="0003266E">
        <w:rPr>
          <w:rFonts w:ascii="Arial" w:hAnsi="Arial" w:cs="Arial"/>
          <w:sz w:val="22"/>
          <w:szCs w:val="22"/>
        </w:rPr>
        <w:t>are</w:t>
      </w:r>
      <w:r w:rsidR="009705FD" w:rsidRPr="002D4681">
        <w:rPr>
          <w:rFonts w:ascii="Arial" w:hAnsi="Arial" w:cs="Arial"/>
          <w:sz w:val="22"/>
          <w:szCs w:val="22"/>
        </w:rPr>
        <w:t xml:space="preserve"> incorrectly </w:t>
      </w:r>
      <w:r w:rsidR="0003266E" w:rsidRPr="002D4681">
        <w:rPr>
          <w:rFonts w:ascii="Arial" w:hAnsi="Arial" w:cs="Arial"/>
          <w:sz w:val="22"/>
          <w:szCs w:val="22"/>
        </w:rPr>
        <w:t>c</w:t>
      </w:r>
      <w:r w:rsidR="0003266E">
        <w:rPr>
          <w:rFonts w:ascii="Arial" w:hAnsi="Arial" w:cs="Arial"/>
          <w:sz w:val="22"/>
          <w:szCs w:val="22"/>
        </w:rPr>
        <w:t>lassified</w:t>
      </w:r>
      <w:r w:rsidR="0003266E" w:rsidRPr="002D4681">
        <w:rPr>
          <w:rFonts w:ascii="Arial" w:hAnsi="Arial" w:cs="Arial"/>
          <w:sz w:val="22"/>
          <w:szCs w:val="22"/>
        </w:rPr>
        <w:t xml:space="preserve"> </w:t>
      </w:r>
      <w:r w:rsidR="009705FD" w:rsidRPr="002D4681">
        <w:rPr>
          <w:rFonts w:ascii="Arial" w:hAnsi="Arial" w:cs="Arial"/>
          <w:sz w:val="22"/>
          <w:szCs w:val="22"/>
        </w:rPr>
        <w:t xml:space="preserve">as </w:t>
      </w:r>
      <w:r w:rsidR="009705FD" w:rsidRPr="002D4681">
        <w:rPr>
          <w:rFonts w:ascii="Arial" w:hAnsi="Arial" w:cs="Arial"/>
          <w:i/>
          <w:sz w:val="22"/>
          <w:szCs w:val="22"/>
        </w:rPr>
        <w:t>brain injuries occurring at or soon after birth.</w:t>
      </w:r>
      <w:r w:rsidR="009705FD" w:rsidRPr="002D4681">
        <w:rPr>
          <w:rFonts w:ascii="Arial" w:hAnsi="Arial" w:cs="Arial"/>
          <w:sz w:val="22"/>
          <w:szCs w:val="22"/>
        </w:rPr>
        <w:t xml:space="preserve"> This </w:t>
      </w:r>
      <w:r w:rsidR="002D7CF3" w:rsidRPr="002D4681">
        <w:rPr>
          <w:rFonts w:ascii="Arial" w:hAnsi="Arial" w:cs="Arial"/>
          <w:sz w:val="22"/>
          <w:szCs w:val="22"/>
        </w:rPr>
        <w:t>has the potential to mask improvements in maternity care aimed at reducing the incidence of moderate to severe HIE</w:t>
      </w:r>
      <w:r w:rsidR="00041EA5">
        <w:rPr>
          <w:rFonts w:ascii="Arial" w:hAnsi="Arial" w:cs="Arial"/>
          <w:sz w:val="22"/>
          <w:szCs w:val="22"/>
        </w:rPr>
        <w:t xml:space="preserve"> </w:t>
      </w:r>
      <w:r w:rsidR="00891499">
        <w:rPr>
          <w:rFonts w:ascii="Arial" w:hAnsi="Arial" w:cs="Arial"/>
          <w:sz w:val="22"/>
          <w:szCs w:val="22"/>
        </w:rPr>
        <w:fldChar w:fldCharType="begin"/>
      </w:r>
      <w:r w:rsidR="007F54EA">
        <w:rPr>
          <w:rFonts w:ascii="Arial" w:hAnsi="Arial" w:cs="Arial"/>
          <w:sz w:val="22"/>
          <w:szCs w:val="22"/>
        </w:rPr>
        <w:instrText xml:space="preserve"> ADDIN ZOTERO_ITEM CSL_CITATION {"citationID":"UaS9bwFi","properties":{"formattedCitation":"[30]","plainCitation":"[30]","noteIndex":0},"citationItems":[{"id":952,"uris":["http://zotero.org/users/5728505/items/R35HCZS6"],"uri":["http://zotero.org/users/5728505/items/R35HCZS6"],"itemData":{"id":952,"type":"webpage","abstract":"Each Baby Counts is the RCOG’s national quality improvement programme to reduce the number of babies who die or are left severely disabled as a result of incidents occurring during term labour.","container-title":"Royal College of Obstetricians &amp;amp; Gynaecologists","language":"en-US","title":"Each Baby Counts","URL":"https://www.rcog.org.uk/en/guidelines-research-services/audit-quality-improvement/each-baby-counts/","accessed":{"date-parts":[["2020",2,26]]}}}],"schema":"https://github.com/citation-style-language/schema/raw/master/csl-citation.json"} </w:instrText>
      </w:r>
      <w:r w:rsidR="00891499">
        <w:rPr>
          <w:rFonts w:ascii="Arial" w:hAnsi="Arial" w:cs="Arial"/>
          <w:sz w:val="22"/>
          <w:szCs w:val="22"/>
        </w:rPr>
        <w:fldChar w:fldCharType="separate"/>
      </w:r>
      <w:r w:rsidR="007F54EA">
        <w:rPr>
          <w:rFonts w:ascii="Arial" w:hAnsi="Arial" w:cs="Arial"/>
          <w:sz w:val="22"/>
          <w:lang w:val="en-US"/>
        </w:rPr>
        <w:t>[30]</w:t>
      </w:r>
      <w:r w:rsidR="00891499">
        <w:rPr>
          <w:rFonts w:ascii="Arial" w:hAnsi="Arial" w:cs="Arial"/>
          <w:sz w:val="22"/>
          <w:szCs w:val="22"/>
        </w:rPr>
        <w:fldChar w:fldCharType="end"/>
      </w:r>
      <w:r w:rsidR="002D7CF3" w:rsidRPr="002D4681">
        <w:rPr>
          <w:rFonts w:ascii="Arial" w:hAnsi="Arial" w:cs="Arial"/>
          <w:sz w:val="22"/>
          <w:szCs w:val="22"/>
        </w:rPr>
        <w:t xml:space="preserve">. In light of these findings we suggest that the definition of moderate to severe HIE used when reporting of </w:t>
      </w:r>
      <w:r w:rsidR="002D7CF3" w:rsidRPr="002D4681">
        <w:rPr>
          <w:rFonts w:ascii="Arial" w:hAnsi="Arial" w:cs="Arial"/>
          <w:i/>
          <w:sz w:val="22"/>
          <w:szCs w:val="22"/>
        </w:rPr>
        <w:t>brain injuries occurring at or soon after birth</w:t>
      </w:r>
      <w:r w:rsidR="002D7CF3" w:rsidRPr="002D4681" w:rsidDel="00722CB6">
        <w:rPr>
          <w:rFonts w:ascii="Arial" w:hAnsi="Arial" w:cs="Arial"/>
          <w:i/>
          <w:sz w:val="22"/>
          <w:szCs w:val="22"/>
        </w:rPr>
        <w:t xml:space="preserve"> </w:t>
      </w:r>
      <w:r w:rsidR="002D7CF3" w:rsidRPr="002D4681">
        <w:rPr>
          <w:rFonts w:ascii="Arial" w:hAnsi="Arial" w:cs="Arial"/>
          <w:sz w:val="22"/>
          <w:szCs w:val="22"/>
        </w:rPr>
        <w:t>in England be revisited.</w:t>
      </w:r>
      <w:r w:rsidR="009705FD" w:rsidRPr="002D4681">
        <w:rPr>
          <w:rFonts w:ascii="Arial" w:hAnsi="Arial" w:cs="Arial"/>
          <w:sz w:val="22"/>
          <w:szCs w:val="22"/>
        </w:rPr>
        <w:t xml:space="preserve"> </w:t>
      </w:r>
    </w:p>
    <w:p w14:paraId="56C8D647" w14:textId="77777777" w:rsidR="00EF7BEF" w:rsidRPr="002D4681" w:rsidRDefault="00EF7BEF" w:rsidP="00515DE8">
      <w:pPr>
        <w:spacing w:line="480" w:lineRule="auto"/>
        <w:jc w:val="both"/>
        <w:rPr>
          <w:rFonts w:ascii="Arial" w:hAnsi="Arial" w:cs="Arial"/>
          <w:i/>
          <w:sz w:val="22"/>
          <w:szCs w:val="22"/>
        </w:rPr>
      </w:pPr>
    </w:p>
    <w:p w14:paraId="67691E12" w14:textId="0E24BA44" w:rsidR="00F9172B" w:rsidRPr="002D4681" w:rsidRDefault="002D7CF3" w:rsidP="00F9172B">
      <w:pPr>
        <w:spacing w:line="480" w:lineRule="auto"/>
        <w:jc w:val="both"/>
        <w:rPr>
          <w:rFonts w:ascii="Arial" w:hAnsi="Arial" w:cs="Arial"/>
          <w:sz w:val="22"/>
          <w:szCs w:val="22"/>
        </w:rPr>
      </w:pPr>
      <w:r w:rsidRPr="002D4681">
        <w:rPr>
          <w:rFonts w:ascii="Arial" w:hAnsi="Arial" w:cs="Arial"/>
          <w:sz w:val="22"/>
          <w:szCs w:val="22"/>
        </w:rPr>
        <w:lastRenderedPageBreak/>
        <w:t>S</w:t>
      </w:r>
      <w:r w:rsidR="005E2CE2" w:rsidRPr="002D4681">
        <w:rPr>
          <w:rFonts w:ascii="Arial" w:hAnsi="Arial" w:cs="Arial"/>
          <w:sz w:val="22"/>
          <w:szCs w:val="22"/>
        </w:rPr>
        <w:t xml:space="preserve">trengths of this study </w:t>
      </w:r>
      <w:r w:rsidRPr="002D4681">
        <w:rPr>
          <w:rFonts w:ascii="Arial" w:hAnsi="Arial" w:cs="Arial"/>
          <w:sz w:val="22"/>
          <w:szCs w:val="22"/>
        </w:rPr>
        <w:t>include the</w:t>
      </w:r>
      <w:r w:rsidR="005E2CE2" w:rsidRPr="002D4681">
        <w:rPr>
          <w:rFonts w:ascii="Arial" w:hAnsi="Arial" w:cs="Arial"/>
          <w:sz w:val="22"/>
          <w:szCs w:val="22"/>
        </w:rPr>
        <w:t xml:space="preserve"> </w:t>
      </w:r>
      <w:r w:rsidRPr="002D4681">
        <w:rPr>
          <w:rFonts w:ascii="Arial" w:hAnsi="Arial" w:cs="Arial"/>
          <w:sz w:val="22"/>
          <w:szCs w:val="22"/>
        </w:rPr>
        <w:t xml:space="preserve">national, population-level coverage afforded by </w:t>
      </w:r>
      <w:r w:rsidR="0003266E">
        <w:rPr>
          <w:rFonts w:ascii="Arial" w:hAnsi="Arial" w:cs="Arial"/>
          <w:sz w:val="22"/>
          <w:szCs w:val="22"/>
        </w:rPr>
        <w:t>the</w:t>
      </w:r>
      <w:r w:rsidR="0003266E" w:rsidRPr="002D4681">
        <w:rPr>
          <w:rFonts w:ascii="Arial" w:hAnsi="Arial" w:cs="Arial"/>
          <w:sz w:val="22"/>
          <w:szCs w:val="22"/>
        </w:rPr>
        <w:t xml:space="preserve"> </w:t>
      </w:r>
      <w:r w:rsidRPr="002D4681">
        <w:rPr>
          <w:rFonts w:ascii="Arial" w:hAnsi="Arial" w:cs="Arial"/>
          <w:sz w:val="22"/>
          <w:szCs w:val="22"/>
        </w:rPr>
        <w:t>data held in</w:t>
      </w:r>
      <w:r w:rsidR="005E2CE2" w:rsidRPr="002D4681">
        <w:rPr>
          <w:rFonts w:ascii="Arial" w:hAnsi="Arial" w:cs="Arial"/>
          <w:sz w:val="22"/>
          <w:szCs w:val="22"/>
        </w:rPr>
        <w:t xml:space="preserve"> the NNRD</w:t>
      </w:r>
      <w:r w:rsidRPr="002D4681">
        <w:rPr>
          <w:rFonts w:ascii="Arial" w:hAnsi="Arial" w:cs="Arial"/>
          <w:sz w:val="22"/>
          <w:szCs w:val="22"/>
        </w:rPr>
        <w:t xml:space="preserve">, in contrast </w:t>
      </w:r>
      <w:r w:rsidR="0003266E">
        <w:rPr>
          <w:rFonts w:ascii="Arial" w:hAnsi="Arial" w:cs="Arial"/>
          <w:sz w:val="22"/>
          <w:szCs w:val="22"/>
        </w:rPr>
        <w:t>to</w:t>
      </w:r>
      <w:r w:rsidR="0003266E" w:rsidRPr="002D4681">
        <w:rPr>
          <w:rFonts w:ascii="Arial" w:hAnsi="Arial" w:cs="Arial"/>
          <w:sz w:val="22"/>
          <w:szCs w:val="22"/>
        </w:rPr>
        <w:t xml:space="preserve"> </w:t>
      </w:r>
      <w:r w:rsidRPr="002D4681">
        <w:rPr>
          <w:rFonts w:ascii="Arial" w:hAnsi="Arial" w:cs="Arial"/>
          <w:sz w:val="22"/>
          <w:szCs w:val="22"/>
        </w:rPr>
        <w:t>many international</w:t>
      </w:r>
      <w:r w:rsidR="005E2CE2" w:rsidRPr="002D4681">
        <w:rPr>
          <w:rFonts w:ascii="Arial" w:hAnsi="Arial" w:cs="Arial"/>
          <w:sz w:val="22"/>
          <w:szCs w:val="22"/>
        </w:rPr>
        <w:t xml:space="preserve"> </w:t>
      </w:r>
      <w:r w:rsidRPr="002D4681">
        <w:rPr>
          <w:rFonts w:ascii="Arial" w:hAnsi="Arial" w:cs="Arial"/>
          <w:sz w:val="22"/>
          <w:szCs w:val="22"/>
        </w:rPr>
        <w:t>studies that</w:t>
      </w:r>
      <w:r w:rsidR="0012470B" w:rsidRPr="002D4681">
        <w:rPr>
          <w:rFonts w:ascii="Arial" w:hAnsi="Arial" w:cs="Arial"/>
          <w:sz w:val="22"/>
          <w:szCs w:val="22"/>
        </w:rPr>
        <w:t xml:space="preserve"> have</w:t>
      </w:r>
      <w:r w:rsidRPr="002D4681">
        <w:rPr>
          <w:rFonts w:ascii="Arial" w:hAnsi="Arial" w:cs="Arial"/>
          <w:sz w:val="22"/>
          <w:szCs w:val="22"/>
        </w:rPr>
        <w:t xml:space="preserve"> report</w:t>
      </w:r>
      <w:r w:rsidR="0012470B" w:rsidRPr="002D4681">
        <w:rPr>
          <w:rFonts w:ascii="Arial" w:hAnsi="Arial" w:cs="Arial"/>
          <w:sz w:val="22"/>
          <w:szCs w:val="22"/>
        </w:rPr>
        <w:t>ed</w:t>
      </w:r>
      <w:r w:rsidRPr="002D4681">
        <w:rPr>
          <w:rFonts w:ascii="Arial" w:hAnsi="Arial" w:cs="Arial"/>
          <w:sz w:val="22"/>
          <w:szCs w:val="22"/>
        </w:rPr>
        <w:t xml:space="preserve"> trends within</w:t>
      </w:r>
      <w:r w:rsidR="005E2CE2" w:rsidRPr="002D4681">
        <w:rPr>
          <w:rFonts w:ascii="Arial" w:hAnsi="Arial" w:cs="Arial"/>
          <w:sz w:val="22"/>
          <w:szCs w:val="22"/>
        </w:rPr>
        <w:t xml:space="preserve"> single</w:t>
      </w:r>
      <w:r w:rsidR="0003266E">
        <w:rPr>
          <w:rFonts w:ascii="Arial" w:hAnsi="Arial" w:cs="Arial"/>
          <w:sz w:val="22"/>
          <w:szCs w:val="22"/>
        </w:rPr>
        <w:t xml:space="preserve"> </w:t>
      </w:r>
      <w:r w:rsidR="005E2CE2" w:rsidRPr="002D4681">
        <w:rPr>
          <w:rFonts w:ascii="Arial" w:hAnsi="Arial" w:cs="Arial"/>
          <w:sz w:val="22"/>
          <w:szCs w:val="22"/>
        </w:rPr>
        <w:t>network</w:t>
      </w:r>
      <w:r w:rsidRPr="002D4681">
        <w:rPr>
          <w:rFonts w:ascii="Arial" w:hAnsi="Arial" w:cs="Arial"/>
          <w:sz w:val="22"/>
          <w:szCs w:val="22"/>
        </w:rPr>
        <w:t>s</w:t>
      </w:r>
      <w:r w:rsidR="005E2CE2" w:rsidRPr="002D4681">
        <w:rPr>
          <w:rFonts w:ascii="Arial" w:hAnsi="Arial" w:cs="Arial"/>
          <w:sz w:val="22"/>
          <w:szCs w:val="22"/>
        </w:rPr>
        <w:t xml:space="preserve">. </w:t>
      </w:r>
      <w:r w:rsidRPr="002D4681">
        <w:rPr>
          <w:rFonts w:ascii="Arial" w:hAnsi="Arial" w:cs="Arial"/>
          <w:sz w:val="22"/>
          <w:szCs w:val="22"/>
        </w:rPr>
        <w:t>T</w:t>
      </w:r>
      <w:r w:rsidR="005E2CE2" w:rsidRPr="002D4681">
        <w:rPr>
          <w:rFonts w:ascii="Arial" w:hAnsi="Arial" w:cs="Arial"/>
          <w:sz w:val="22"/>
          <w:szCs w:val="22"/>
        </w:rPr>
        <w:t xml:space="preserve">o </w:t>
      </w:r>
      <w:r w:rsidR="0012470B" w:rsidRPr="002D4681">
        <w:rPr>
          <w:rFonts w:ascii="Arial" w:hAnsi="Arial" w:cs="Arial"/>
          <w:sz w:val="22"/>
          <w:szCs w:val="22"/>
        </w:rPr>
        <w:t xml:space="preserve">reduce </w:t>
      </w:r>
      <w:r w:rsidRPr="002D4681">
        <w:rPr>
          <w:rFonts w:ascii="Arial" w:hAnsi="Arial" w:cs="Arial"/>
          <w:sz w:val="22"/>
          <w:szCs w:val="22"/>
        </w:rPr>
        <w:t xml:space="preserve">classification </w:t>
      </w:r>
      <w:r w:rsidR="005E2CE2" w:rsidRPr="002D4681">
        <w:rPr>
          <w:rFonts w:ascii="Arial" w:hAnsi="Arial" w:cs="Arial"/>
          <w:sz w:val="22"/>
          <w:szCs w:val="22"/>
        </w:rPr>
        <w:t xml:space="preserve">bias due to subjectivity of </w:t>
      </w:r>
      <w:r w:rsidR="0012470B" w:rsidRPr="002D4681">
        <w:rPr>
          <w:rFonts w:ascii="Arial" w:hAnsi="Arial" w:cs="Arial"/>
          <w:sz w:val="22"/>
          <w:szCs w:val="22"/>
        </w:rPr>
        <w:t xml:space="preserve">HIE </w:t>
      </w:r>
      <w:r w:rsidR="005E2CE2" w:rsidRPr="002D4681">
        <w:rPr>
          <w:rFonts w:ascii="Arial" w:hAnsi="Arial" w:cs="Arial"/>
          <w:sz w:val="22"/>
          <w:szCs w:val="22"/>
        </w:rPr>
        <w:t>staging systems</w:t>
      </w:r>
      <w:r w:rsidRPr="002D4681">
        <w:rPr>
          <w:rFonts w:ascii="Arial" w:hAnsi="Arial" w:cs="Arial"/>
          <w:sz w:val="22"/>
          <w:szCs w:val="22"/>
        </w:rPr>
        <w:t xml:space="preserve"> we used </w:t>
      </w:r>
      <w:r w:rsidR="005E2CE2" w:rsidRPr="002D4681">
        <w:rPr>
          <w:rFonts w:ascii="Arial" w:hAnsi="Arial" w:cs="Arial"/>
          <w:sz w:val="22"/>
          <w:szCs w:val="22"/>
        </w:rPr>
        <w:t xml:space="preserve">clinical markers </w:t>
      </w:r>
      <w:r w:rsidRPr="002D4681">
        <w:rPr>
          <w:rFonts w:ascii="Arial" w:hAnsi="Arial" w:cs="Arial"/>
          <w:sz w:val="22"/>
          <w:szCs w:val="22"/>
        </w:rPr>
        <w:t>of hypoxia ischaemia</w:t>
      </w:r>
      <w:r w:rsidR="005E2CE2" w:rsidRPr="002D4681">
        <w:rPr>
          <w:rFonts w:ascii="Arial" w:hAnsi="Arial" w:cs="Arial"/>
          <w:sz w:val="22"/>
          <w:szCs w:val="22"/>
        </w:rPr>
        <w:t xml:space="preserve"> in addition to </w:t>
      </w:r>
      <w:r w:rsidRPr="002D4681">
        <w:rPr>
          <w:rFonts w:ascii="Arial" w:hAnsi="Arial" w:cs="Arial"/>
          <w:sz w:val="22"/>
          <w:szCs w:val="22"/>
        </w:rPr>
        <w:t>recorded</w:t>
      </w:r>
      <w:r w:rsidR="005E2CE2" w:rsidRPr="002D4681">
        <w:rPr>
          <w:rFonts w:ascii="Arial" w:hAnsi="Arial" w:cs="Arial"/>
          <w:sz w:val="22"/>
          <w:szCs w:val="22"/>
        </w:rPr>
        <w:t xml:space="preserve"> HIE</w:t>
      </w:r>
      <w:r w:rsidR="0012470B" w:rsidRPr="002D4681">
        <w:rPr>
          <w:rFonts w:ascii="Arial" w:hAnsi="Arial" w:cs="Arial"/>
          <w:sz w:val="22"/>
          <w:szCs w:val="22"/>
        </w:rPr>
        <w:t xml:space="preserve"> grade</w:t>
      </w:r>
      <w:r w:rsidR="009B61F3">
        <w:rPr>
          <w:rFonts w:ascii="Arial" w:hAnsi="Arial" w:cs="Arial"/>
          <w:sz w:val="22"/>
          <w:szCs w:val="22"/>
        </w:rPr>
        <w:t xml:space="preserve"> with results that were consistent across both measures</w:t>
      </w:r>
      <w:r w:rsidR="005E2CE2" w:rsidRPr="002D4681">
        <w:rPr>
          <w:rFonts w:ascii="Arial" w:hAnsi="Arial" w:cs="Arial"/>
          <w:sz w:val="22"/>
          <w:szCs w:val="22"/>
        </w:rPr>
        <w:t>.</w:t>
      </w:r>
      <w:r w:rsidR="00F50931" w:rsidRPr="002D4681">
        <w:rPr>
          <w:rFonts w:ascii="Arial" w:hAnsi="Arial" w:cs="Arial"/>
          <w:sz w:val="22"/>
          <w:szCs w:val="22"/>
        </w:rPr>
        <w:t xml:space="preserve"> </w:t>
      </w:r>
      <w:r w:rsidR="0003266E">
        <w:rPr>
          <w:rFonts w:ascii="Arial" w:hAnsi="Arial" w:cs="Arial"/>
          <w:sz w:val="22"/>
          <w:szCs w:val="22"/>
        </w:rPr>
        <w:t>We also</w:t>
      </w:r>
      <w:r w:rsidRPr="002D4681">
        <w:rPr>
          <w:rFonts w:ascii="Arial" w:hAnsi="Arial" w:cs="Arial"/>
          <w:sz w:val="22"/>
          <w:szCs w:val="22"/>
        </w:rPr>
        <w:t xml:space="preserve"> performed sensitivity analyses of babies</w:t>
      </w:r>
      <w:r w:rsidR="005E2CE2" w:rsidRPr="002D4681">
        <w:rPr>
          <w:rFonts w:ascii="Arial" w:hAnsi="Arial" w:cs="Arial"/>
          <w:sz w:val="22"/>
          <w:szCs w:val="22"/>
        </w:rPr>
        <w:t xml:space="preserve"> </w:t>
      </w:r>
      <w:r w:rsidRPr="002D4681">
        <w:rPr>
          <w:rFonts w:ascii="Arial" w:hAnsi="Arial" w:cs="Arial"/>
          <w:sz w:val="22"/>
          <w:szCs w:val="22"/>
        </w:rPr>
        <w:t>treated with</w:t>
      </w:r>
      <w:r w:rsidR="005E2CE2" w:rsidRPr="002D4681">
        <w:rPr>
          <w:rFonts w:ascii="Arial" w:hAnsi="Arial" w:cs="Arial"/>
          <w:sz w:val="22"/>
          <w:szCs w:val="22"/>
        </w:rPr>
        <w:t xml:space="preserve"> therapeutic hypothermia but not diagnosed with HIE </w:t>
      </w:r>
      <w:r w:rsidRPr="002D4681">
        <w:rPr>
          <w:rFonts w:ascii="Arial" w:hAnsi="Arial" w:cs="Arial"/>
          <w:sz w:val="22"/>
          <w:szCs w:val="22"/>
        </w:rPr>
        <w:t xml:space="preserve">and found similar trends in clinical characteristics indicating that our findings are </w:t>
      </w:r>
      <w:r w:rsidR="0012470B" w:rsidRPr="002D4681">
        <w:rPr>
          <w:rFonts w:ascii="Arial" w:hAnsi="Arial" w:cs="Arial"/>
          <w:sz w:val="22"/>
          <w:szCs w:val="22"/>
        </w:rPr>
        <w:t>unlikely to be explained by</w:t>
      </w:r>
      <w:r w:rsidRPr="002D4681">
        <w:rPr>
          <w:rFonts w:ascii="Arial" w:hAnsi="Arial" w:cs="Arial"/>
          <w:sz w:val="22"/>
          <w:szCs w:val="22"/>
        </w:rPr>
        <w:t xml:space="preserve"> changing patterns of diagnosis</w:t>
      </w:r>
      <w:r w:rsidR="005E2CE2" w:rsidRPr="002D4681">
        <w:rPr>
          <w:rFonts w:ascii="Arial" w:hAnsi="Arial" w:cs="Arial"/>
          <w:sz w:val="22"/>
          <w:szCs w:val="22"/>
        </w:rPr>
        <w:t xml:space="preserve">. </w:t>
      </w:r>
      <w:r w:rsidRPr="002D4681">
        <w:rPr>
          <w:rFonts w:ascii="Arial" w:hAnsi="Arial" w:cs="Arial"/>
          <w:sz w:val="22"/>
          <w:szCs w:val="22"/>
        </w:rPr>
        <w:t>L</w:t>
      </w:r>
      <w:r w:rsidR="003B1205" w:rsidRPr="002D4681">
        <w:rPr>
          <w:rFonts w:ascii="Arial" w:hAnsi="Arial" w:cs="Arial"/>
          <w:sz w:val="22"/>
          <w:szCs w:val="22"/>
        </w:rPr>
        <w:t xml:space="preserve">imitations include missing data, </w:t>
      </w:r>
      <w:r w:rsidR="0003266E">
        <w:rPr>
          <w:rFonts w:ascii="Arial" w:hAnsi="Arial" w:cs="Arial"/>
          <w:sz w:val="22"/>
          <w:szCs w:val="22"/>
        </w:rPr>
        <w:t>although</w:t>
      </w:r>
      <w:r w:rsidR="0003266E" w:rsidRPr="002D4681">
        <w:rPr>
          <w:rFonts w:ascii="Arial" w:hAnsi="Arial" w:cs="Arial"/>
          <w:sz w:val="22"/>
          <w:szCs w:val="22"/>
        </w:rPr>
        <w:t xml:space="preserve"> </w:t>
      </w:r>
      <w:r w:rsidR="003B1205" w:rsidRPr="002D4681">
        <w:rPr>
          <w:rFonts w:ascii="Arial" w:hAnsi="Arial" w:cs="Arial"/>
          <w:sz w:val="22"/>
          <w:szCs w:val="22"/>
        </w:rPr>
        <w:t xml:space="preserve">the proportion of missing data </w:t>
      </w:r>
      <w:r w:rsidR="00C77D27">
        <w:rPr>
          <w:rFonts w:ascii="Arial" w:hAnsi="Arial" w:cs="Arial"/>
          <w:sz w:val="22"/>
          <w:szCs w:val="22"/>
        </w:rPr>
        <w:t>was</w:t>
      </w:r>
      <w:r w:rsidR="003B1205" w:rsidRPr="002D4681">
        <w:rPr>
          <w:rFonts w:ascii="Arial" w:hAnsi="Arial" w:cs="Arial"/>
          <w:sz w:val="22"/>
          <w:szCs w:val="22"/>
        </w:rPr>
        <w:t xml:space="preserve"> low</w:t>
      </w:r>
      <w:r w:rsidRPr="002D4681">
        <w:rPr>
          <w:rFonts w:ascii="Arial" w:hAnsi="Arial" w:cs="Arial"/>
          <w:sz w:val="22"/>
          <w:szCs w:val="22"/>
        </w:rPr>
        <w:t xml:space="preserve">, and that </w:t>
      </w:r>
      <w:r w:rsidR="0003266E">
        <w:rPr>
          <w:rFonts w:ascii="Arial" w:hAnsi="Arial" w:cs="Arial"/>
          <w:sz w:val="22"/>
          <w:szCs w:val="22"/>
        </w:rPr>
        <w:t xml:space="preserve">using </w:t>
      </w:r>
      <w:r w:rsidRPr="002D4681">
        <w:rPr>
          <w:rFonts w:ascii="Arial" w:hAnsi="Arial" w:cs="Arial"/>
          <w:sz w:val="22"/>
          <w:szCs w:val="22"/>
        </w:rPr>
        <w:t xml:space="preserve">routinely recorded clinical data meant that </w:t>
      </w:r>
      <w:r w:rsidR="001725C1" w:rsidRPr="002D4681">
        <w:rPr>
          <w:rFonts w:ascii="Arial" w:hAnsi="Arial" w:cs="Arial"/>
          <w:sz w:val="22"/>
          <w:szCs w:val="22"/>
        </w:rPr>
        <w:t xml:space="preserve">existing </w:t>
      </w:r>
      <w:r w:rsidRPr="002D4681">
        <w:rPr>
          <w:rFonts w:ascii="Arial" w:hAnsi="Arial" w:cs="Arial"/>
          <w:sz w:val="22"/>
          <w:szCs w:val="22"/>
        </w:rPr>
        <w:t xml:space="preserve">HIE grading systems </w:t>
      </w:r>
      <w:r w:rsidR="0012470B" w:rsidRPr="002D4681">
        <w:rPr>
          <w:rFonts w:ascii="Arial" w:hAnsi="Arial" w:cs="Arial"/>
          <w:sz w:val="22"/>
          <w:szCs w:val="22"/>
        </w:rPr>
        <w:t xml:space="preserve">could </w:t>
      </w:r>
      <w:r w:rsidR="001725C1" w:rsidRPr="002D4681">
        <w:rPr>
          <w:rFonts w:ascii="Arial" w:hAnsi="Arial" w:cs="Arial"/>
          <w:sz w:val="22"/>
          <w:szCs w:val="22"/>
        </w:rPr>
        <w:t xml:space="preserve">not be applied retrospectively </w:t>
      </w:r>
      <w:r w:rsidR="0012470B" w:rsidRPr="002D4681">
        <w:rPr>
          <w:rFonts w:ascii="Arial" w:hAnsi="Arial" w:cs="Arial"/>
          <w:sz w:val="22"/>
          <w:szCs w:val="22"/>
        </w:rPr>
        <w:t>from NNRD</w:t>
      </w:r>
      <w:r w:rsidR="001725C1" w:rsidRPr="002D4681">
        <w:rPr>
          <w:rFonts w:ascii="Arial" w:hAnsi="Arial" w:cs="Arial"/>
          <w:sz w:val="22"/>
          <w:szCs w:val="22"/>
        </w:rPr>
        <w:t xml:space="preserve"> data </w:t>
      </w:r>
      <w:r w:rsidR="0012470B" w:rsidRPr="002D4681">
        <w:rPr>
          <w:rFonts w:ascii="Arial" w:hAnsi="Arial" w:cs="Arial"/>
          <w:sz w:val="22"/>
          <w:szCs w:val="22"/>
        </w:rPr>
        <w:t>due to the absence of</w:t>
      </w:r>
      <w:r w:rsidR="001725C1" w:rsidRPr="002D4681">
        <w:rPr>
          <w:rFonts w:ascii="Arial" w:hAnsi="Arial" w:cs="Arial"/>
          <w:sz w:val="22"/>
          <w:szCs w:val="22"/>
        </w:rPr>
        <w:t xml:space="preserve"> key data fields</w:t>
      </w:r>
      <w:r w:rsidR="0012470B" w:rsidRPr="002D4681">
        <w:rPr>
          <w:rFonts w:ascii="Arial" w:hAnsi="Arial" w:cs="Arial"/>
          <w:sz w:val="22"/>
          <w:szCs w:val="22"/>
        </w:rPr>
        <w:t xml:space="preserve"> for HIE grading</w:t>
      </w:r>
      <w:r w:rsidR="001725C1" w:rsidRPr="002D4681">
        <w:rPr>
          <w:rFonts w:ascii="Arial" w:hAnsi="Arial" w:cs="Arial"/>
          <w:sz w:val="22"/>
          <w:szCs w:val="22"/>
        </w:rPr>
        <w:t>. We therefore used recorded HIE grade; the quality of this and other diagnoses, including n</w:t>
      </w:r>
      <w:r w:rsidR="003B1205" w:rsidRPr="002D4681">
        <w:rPr>
          <w:rFonts w:ascii="Arial" w:hAnsi="Arial" w:cs="Arial"/>
          <w:sz w:val="22"/>
          <w:szCs w:val="22"/>
        </w:rPr>
        <w:t>eonatal seizures</w:t>
      </w:r>
      <w:r w:rsidR="001725C1" w:rsidRPr="002D4681">
        <w:rPr>
          <w:rFonts w:ascii="Arial" w:hAnsi="Arial" w:cs="Arial"/>
          <w:sz w:val="22"/>
          <w:szCs w:val="22"/>
        </w:rPr>
        <w:t>,</w:t>
      </w:r>
      <w:r w:rsidR="003B1205" w:rsidRPr="002D4681">
        <w:rPr>
          <w:rFonts w:ascii="Arial" w:hAnsi="Arial" w:cs="Arial"/>
          <w:sz w:val="22"/>
          <w:szCs w:val="22"/>
        </w:rPr>
        <w:t xml:space="preserve"> may vary between </w:t>
      </w:r>
      <w:r w:rsidR="001725C1" w:rsidRPr="002D4681">
        <w:rPr>
          <w:rFonts w:ascii="Arial" w:hAnsi="Arial" w:cs="Arial"/>
          <w:sz w:val="22"/>
          <w:szCs w:val="22"/>
        </w:rPr>
        <w:t xml:space="preserve">and within </w:t>
      </w:r>
      <w:r w:rsidR="003B1205" w:rsidRPr="002D4681">
        <w:rPr>
          <w:rFonts w:ascii="Arial" w:hAnsi="Arial" w:cs="Arial"/>
          <w:sz w:val="22"/>
          <w:szCs w:val="22"/>
        </w:rPr>
        <w:t xml:space="preserve">neonatal units. </w:t>
      </w:r>
      <w:r w:rsidR="001725C1" w:rsidRPr="002D4681">
        <w:rPr>
          <w:rFonts w:ascii="Arial" w:hAnsi="Arial" w:cs="Arial"/>
          <w:sz w:val="22"/>
          <w:szCs w:val="22"/>
        </w:rPr>
        <w:t>There is however no reason to suggest that the quality of such diagnostic reporting would change systematically over time within a</w:t>
      </w:r>
      <w:r w:rsidR="009B61F3">
        <w:rPr>
          <w:rFonts w:ascii="Arial" w:hAnsi="Arial" w:cs="Arial"/>
          <w:sz w:val="22"/>
          <w:szCs w:val="22"/>
        </w:rPr>
        <w:t>n</w:t>
      </w:r>
      <w:r w:rsidR="001725C1" w:rsidRPr="002D4681">
        <w:rPr>
          <w:rFonts w:ascii="Arial" w:hAnsi="Arial" w:cs="Arial"/>
          <w:sz w:val="22"/>
          <w:szCs w:val="22"/>
        </w:rPr>
        <w:t xml:space="preserve"> </w:t>
      </w:r>
      <w:r w:rsidR="009B61F3">
        <w:rPr>
          <w:rFonts w:ascii="Arial" w:hAnsi="Arial" w:cs="Arial"/>
          <w:sz w:val="22"/>
          <w:szCs w:val="22"/>
        </w:rPr>
        <w:t>established</w:t>
      </w:r>
      <w:r w:rsidR="009B61F3" w:rsidRPr="002D4681">
        <w:rPr>
          <w:rFonts w:ascii="Arial" w:hAnsi="Arial" w:cs="Arial"/>
          <w:sz w:val="22"/>
          <w:szCs w:val="22"/>
        </w:rPr>
        <w:t xml:space="preserve"> </w:t>
      </w:r>
      <w:r w:rsidR="001725C1" w:rsidRPr="002D4681">
        <w:rPr>
          <w:rFonts w:ascii="Arial" w:hAnsi="Arial" w:cs="Arial"/>
          <w:sz w:val="22"/>
          <w:szCs w:val="22"/>
        </w:rPr>
        <w:t>database such as the NNRD</w:t>
      </w:r>
      <w:r w:rsidR="003B1205" w:rsidRPr="002D4681">
        <w:rPr>
          <w:rFonts w:ascii="Arial" w:hAnsi="Arial" w:cs="Arial"/>
          <w:sz w:val="22"/>
          <w:szCs w:val="22"/>
        </w:rPr>
        <w:t>.</w:t>
      </w:r>
      <w:r w:rsidR="00115BBB">
        <w:rPr>
          <w:rFonts w:ascii="Arial" w:hAnsi="Arial" w:cs="Arial"/>
          <w:sz w:val="22"/>
          <w:szCs w:val="22"/>
        </w:rPr>
        <w:t xml:space="preserve"> All NHS neonatal units contributed to the NNRD from 2012 in England, and 2015 in Scotland and Wales, resulting in a higher proportion of missing data, particularly prior to 2012. This may explain the lower numbers of babies recorded as receiving therapeutic hypothermia in 2010 and 2011.</w:t>
      </w:r>
      <w:r w:rsidR="00B55E21">
        <w:rPr>
          <w:rFonts w:ascii="Arial" w:hAnsi="Arial" w:cs="Arial"/>
          <w:sz w:val="22"/>
          <w:szCs w:val="22"/>
        </w:rPr>
        <w:t xml:space="preserve"> </w:t>
      </w:r>
      <w:r w:rsidR="00F9172B">
        <w:rPr>
          <w:rFonts w:ascii="Arial" w:hAnsi="Arial" w:cs="Arial"/>
          <w:sz w:val="22"/>
          <w:szCs w:val="22"/>
        </w:rPr>
        <w:t>Magnetic resonance imaging data could also have been used to evaluate severity of HIE in babies receiving therapeutic hypothermia</w:t>
      </w:r>
      <w:r w:rsidR="00C77D27">
        <w:rPr>
          <w:rFonts w:ascii="Arial" w:hAnsi="Arial" w:cs="Arial"/>
          <w:sz w:val="22"/>
          <w:szCs w:val="22"/>
        </w:rPr>
        <w:t>.</w:t>
      </w:r>
      <w:r w:rsidR="00DA39CC">
        <w:rPr>
          <w:rFonts w:ascii="Arial" w:hAnsi="Arial" w:cs="Arial"/>
          <w:sz w:val="22"/>
          <w:szCs w:val="22"/>
        </w:rPr>
        <w:t xml:space="preserve"> </w:t>
      </w:r>
      <w:r w:rsidR="00C77D27">
        <w:rPr>
          <w:rFonts w:ascii="Arial" w:hAnsi="Arial" w:cs="Arial"/>
          <w:sz w:val="22"/>
          <w:szCs w:val="22"/>
        </w:rPr>
        <w:t>H</w:t>
      </w:r>
      <w:r w:rsidR="00DA39CC">
        <w:rPr>
          <w:rFonts w:ascii="Arial" w:hAnsi="Arial" w:cs="Arial"/>
          <w:sz w:val="22"/>
          <w:szCs w:val="22"/>
        </w:rPr>
        <w:t xml:space="preserve">owever </w:t>
      </w:r>
      <w:r w:rsidR="00F9172B">
        <w:rPr>
          <w:rFonts w:ascii="Arial" w:hAnsi="Arial" w:cs="Arial"/>
          <w:sz w:val="22"/>
          <w:szCs w:val="22"/>
        </w:rPr>
        <w:t>data from these investigations are not held by the NNRD, hence our reliance of clinical markers of severity and diagnostic grading.</w:t>
      </w:r>
      <w:r w:rsidR="00A932DE">
        <w:rPr>
          <w:rFonts w:ascii="Arial" w:hAnsi="Arial" w:cs="Arial"/>
          <w:sz w:val="22"/>
          <w:szCs w:val="22"/>
        </w:rPr>
        <w:t xml:space="preserve"> This study did not seek to examine neurodevelopmental outcomes of included babies.</w:t>
      </w:r>
    </w:p>
    <w:p w14:paraId="0F3D2452" w14:textId="77777777" w:rsidR="003B1205" w:rsidRPr="002D4681" w:rsidRDefault="003B1205" w:rsidP="00C024B7">
      <w:pPr>
        <w:spacing w:line="480" w:lineRule="auto"/>
        <w:jc w:val="both"/>
        <w:rPr>
          <w:rFonts w:ascii="Arial" w:hAnsi="Arial" w:cs="Arial"/>
          <w:i/>
          <w:sz w:val="22"/>
          <w:szCs w:val="22"/>
        </w:rPr>
      </w:pPr>
    </w:p>
    <w:p w14:paraId="5AD9D0DB" w14:textId="3442251A" w:rsidR="0067669F" w:rsidRPr="002D4681" w:rsidRDefault="001725C1" w:rsidP="00515DE8">
      <w:pPr>
        <w:spacing w:line="480" w:lineRule="auto"/>
        <w:jc w:val="both"/>
        <w:rPr>
          <w:rFonts w:ascii="Arial" w:hAnsi="Arial" w:cs="Arial"/>
          <w:sz w:val="22"/>
          <w:szCs w:val="22"/>
        </w:rPr>
      </w:pPr>
      <w:r w:rsidRPr="002D4681">
        <w:rPr>
          <w:rFonts w:ascii="Arial" w:hAnsi="Arial" w:cs="Arial"/>
          <w:sz w:val="22"/>
          <w:szCs w:val="22"/>
        </w:rPr>
        <w:t xml:space="preserve">We demonstrate that an increasing proportion of </w:t>
      </w:r>
      <w:r w:rsidR="00DE5F6E" w:rsidRPr="002D4681">
        <w:rPr>
          <w:rFonts w:ascii="Arial" w:hAnsi="Arial" w:cs="Arial"/>
          <w:sz w:val="22"/>
          <w:szCs w:val="22"/>
        </w:rPr>
        <w:t xml:space="preserve">infants who received therapeutic hypothermia for HIE </w:t>
      </w:r>
      <w:r w:rsidRPr="002D4681">
        <w:rPr>
          <w:rFonts w:ascii="Arial" w:hAnsi="Arial" w:cs="Arial"/>
          <w:sz w:val="22"/>
          <w:szCs w:val="22"/>
        </w:rPr>
        <w:t>between</w:t>
      </w:r>
      <w:r w:rsidR="00DE5F6E" w:rsidRPr="002D4681">
        <w:rPr>
          <w:rFonts w:ascii="Arial" w:hAnsi="Arial" w:cs="Arial"/>
          <w:sz w:val="22"/>
          <w:szCs w:val="22"/>
        </w:rPr>
        <w:t xml:space="preserve"> 2010 </w:t>
      </w:r>
      <w:r w:rsidR="00D6797A">
        <w:rPr>
          <w:rFonts w:ascii="Arial" w:hAnsi="Arial" w:cs="Arial"/>
          <w:sz w:val="22"/>
          <w:szCs w:val="22"/>
        </w:rPr>
        <w:t xml:space="preserve">and </w:t>
      </w:r>
      <w:r w:rsidR="00DE5F6E" w:rsidRPr="002D4681">
        <w:rPr>
          <w:rFonts w:ascii="Arial" w:hAnsi="Arial" w:cs="Arial"/>
          <w:sz w:val="22"/>
          <w:szCs w:val="22"/>
        </w:rPr>
        <w:t>2017 in England, Wales and Scotland</w:t>
      </w:r>
      <w:r w:rsidRPr="002D4681">
        <w:rPr>
          <w:rFonts w:ascii="Arial" w:hAnsi="Arial" w:cs="Arial"/>
          <w:sz w:val="22"/>
          <w:szCs w:val="22"/>
        </w:rPr>
        <w:t xml:space="preserve"> had mild HIE or less severe clinical markers of hypoxia ischaemia. This indicates </w:t>
      </w:r>
      <w:r w:rsidR="00607B95">
        <w:rPr>
          <w:rFonts w:ascii="Arial" w:hAnsi="Arial" w:cs="Arial"/>
          <w:sz w:val="22"/>
          <w:szCs w:val="22"/>
        </w:rPr>
        <w:t xml:space="preserve">a </w:t>
      </w:r>
      <w:r w:rsidRPr="002D4681">
        <w:rPr>
          <w:rFonts w:ascii="Arial" w:hAnsi="Arial" w:cs="Arial"/>
          <w:sz w:val="22"/>
          <w:szCs w:val="22"/>
        </w:rPr>
        <w:t xml:space="preserve">“therapeutic creep” in the UK in relation to </w:t>
      </w:r>
      <w:r w:rsidR="00E12F78">
        <w:rPr>
          <w:rFonts w:ascii="Arial" w:hAnsi="Arial" w:cs="Arial"/>
          <w:sz w:val="22"/>
          <w:szCs w:val="22"/>
        </w:rPr>
        <w:t xml:space="preserve">increased </w:t>
      </w:r>
      <w:r w:rsidRPr="002D4681">
        <w:rPr>
          <w:rFonts w:ascii="Arial" w:hAnsi="Arial" w:cs="Arial"/>
          <w:sz w:val="22"/>
          <w:szCs w:val="22"/>
        </w:rPr>
        <w:t xml:space="preserve">therapeutic hypothermia for mild </w:t>
      </w:r>
      <w:r w:rsidRPr="00E12F78">
        <w:rPr>
          <w:rFonts w:ascii="Arial" w:hAnsi="Arial" w:cs="Arial"/>
          <w:sz w:val="22"/>
          <w:szCs w:val="22"/>
        </w:rPr>
        <w:t>HIE</w:t>
      </w:r>
      <w:r w:rsidR="00E12F78" w:rsidRPr="00E12F78">
        <w:rPr>
          <w:rFonts w:ascii="Arial" w:hAnsi="Arial" w:cs="Arial"/>
          <w:sz w:val="22"/>
          <w:szCs w:val="22"/>
        </w:rPr>
        <w:t xml:space="preserve"> </w:t>
      </w:r>
      <w:r w:rsidR="00E12F78" w:rsidRPr="00E84AA4">
        <w:rPr>
          <w:rFonts w:ascii="Arial" w:eastAsia="Times New Roman" w:hAnsi="Arial" w:cs="Arial"/>
          <w:sz w:val="22"/>
          <w:szCs w:val="22"/>
          <w:lang w:val="en-US"/>
        </w:rPr>
        <w:t>outside its evidence base</w:t>
      </w:r>
      <w:r w:rsidR="00DE5F6E" w:rsidRPr="002D4681">
        <w:rPr>
          <w:rFonts w:ascii="Arial" w:hAnsi="Arial" w:cs="Arial"/>
          <w:sz w:val="22"/>
          <w:szCs w:val="22"/>
        </w:rPr>
        <w:t xml:space="preserve">. </w:t>
      </w:r>
      <w:r w:rsidR="00A876B9" w:rsidRPr="002D4681">
        <w:rPr>
          <w:rFonts w:ascii="Arial" w:hAnsi="Arial" w:cs="Arial"/>
          <w:sz w:val="22"/>
          <w:szCs w:val="22"/>
        </w:rPr>
        <w:t xml:space="preserve">This has implications for national reporting of </w:t>
      </w:r>
      <w:r w:rsidR="00A876B9" w:rsidRPr="002D4681">
        <w:rPr>
          <w:rFonts w:ascii="Arial" w:hAnsi="Arial" w:cs="Arial"/>
          <w:i/>
          <w:sz w:val="22"/>
          <w:szCs w:val="22"/>
        </w:rPr>
        <w:t>brain injuries occurring at or soon after birth</w:t>
      </w:r>
      <w:r w:rsidR="00A876B9" w:rsidRPr="002D4681">
        <w:rPr>
          <w:rFonts w:ascii="Arial" w:hAnsi="Arial" w:cs="Arial"/>
          <w:sz w:val="22"/>
          <w:szCs w:val="22"/>
        </w:rPr>
        <w:t xml:space="preserve"> </w:t>
      </w:r>
      <w:r w:rsidR="00F9172B">
        <w:rPr>
          <w:rFonts w:ascii="Arial" w:hAnsi="Arial" w:cs="Arial"/>
          <w:sz w:val="22"/>
          <w:szCs w:val="22"/>
        </w:rPr>
        <w:t>as r</w:t>
      </w:r>
      <w:r w:rsidR="00F9172B" w:rsidRPr="00C836C5">
        <w:rPr>
          <w:rFonts w:ascii="Arial" w:hAnsi="Arial" w:cs="Arial"/>
          <w:sz w:val="22"/>
          <w:szCs w:val="22"/>
        </w:rPr>
        <w:t xml:space="preserve">eceipt of therapeutic hypothermia is unlikely to be a useful marker for assessing changes in </w:t>
      </w:r>
      <w:r w:rsidR="00F9172B">
        <w:rPr>
          <w:rFonts w:ascii="Arial" w:hAnsi="Arial" w:cs="Arial"/>
          <w:sz w:val="22"/>
          <w:szCs w:val="22"/>
        </w:rPr>
        <w:t xml:space="preserve">the </w:t>
      </w:r>
      <w:r w:rsidR="00F9172B">
        <w:rPr>
          <w:rFonts w:ascii="Arial" w:hAnsi="Arial" w:cs="Arial"/>
          <w:sz w:val="22"/>
          <w:szCs w:val="22"/>
        </w:rPr>
        <w:lastRenderedPageBreak/>
        <w:t xml:space="preserve">incidence of </w:t>
      </w:r>
      <w:r w:rsidR="00F9172B" w:rsidRPr="00C836C5">
        <w:rPr>
          <w:rFonts w:ascii="Arial" w:hAnsi="Arial" w:cs="Arial"/>
          <w:sz w:val="22"/>
          <w:szCs w:val="22"/>
        </w:rPr>
        <w:t>brain injury over time</w:t>
      </w:r>
      <w:r w:rsidR="00F9172B">
        <w:rPr>
          <w:rFonts w:ascii="Arial" w:hAnsi="Arial" w:cs="Arial"/>
          <w:sz w:val="22"/>
          <w:szCs w:val="22"/>
        </w:rPr>
        <w:t>.</w:t>
      </w:r>
      <w:r w:rsidR="00535B9F">
        <w:rPr>
          <w:rFonts w:ascii="Arial" w:hAnsi="Arial" w:cs="Arial"/>
          <w:sz w:val="22"/>
          <w:szCs w:val="22"/>
        </w:rPr>
        <w:t xml:space="preserve"> </w:t>
      </w:r>
      <w:r w:rsidR="00E12F78">
        <w:rPr>
          <w:rFonts w:ascii="Arial" w:hAnsi="Arial" w:cs="Arial"/>
          <w:sz w:val="22"/>
          <w:szCs w:val="22"/>
        </w:rPr>
        <w:t xml:space="preserve">The capture of additional daily data items describing neurological condition within the NNRD would facilitate more accurate national monitoring of severity of HIE and treatment. </w:t>
      </w:r>
      <w:r w:rsidR="00535B9F">
        <w:rPr>
          <w:rFonts w:ascii="Arial" w:hAnsi="Arial" w:cs="Arial"/>
          <w:sz w:val="22"/>
          <w:szCs w:val="22"/>
        </w:rPr>
        <w:t>There is a need for</w:t>
      </w:r>
      <w:r w:rsidR="00535B9F" w:rsidRPr="002D4681">
        <w:rPr>
          <w:rFonts w:ascii="Arial" w:hAnsi="Arial" w:cs="Arial"/>
          <w:sz w:val="22"/>
          <w:szCs w:val="22"/>
        </w:rPr>
        <w:t xml:space="preserve"> adequately powered clinical trials</w:t>
      </w:r>
      <w:r w:rsidR="00535B9F">
        <w:rPr>
          <w:rFonts w:ascii="Arial" w:hAnsi="Arial" w:cs="Arial"/>
          <w:sz w:val="22"/>
          <w:szCs w:val="22"/>
        </w:rPr>
        <w:t xml:space="preserve"> </w:t>
      </w:r>
      <w:r w:rsidR="00535B9F" w:rsidRPr="002D4681">
        <w:rPr>
          <w:rFonts w:ascii="Arial" w:hAnsi="Arial" w:cs="Arial"/>
          <w:sz w:val="22"/>
          <w:szCs w:val="22"/>
        </w:rPr>
        <w:t>to evaluate the effectiveness</w:t>
      </w:r>
      <w:r w:rsidR="007F54EA">
        <w:rPr>
          <w:rFonts w:ascii="Arial" w:hAnsi="Arial" w:cs="Arial"/>
          <w:sz w:val="22"/>
          <w:szCs w:val="22"/>
        </w:rPr>
        <w:t xml:space="preserve"> and safety</w:t>
      </w:r>
      <w:r w:rsidR="00535B9F" w:rsidRPr="002D4681">
        <w:rPr>
          <w:rFonts w:ascii="Arial" w:hAnsi="Arial" w:cs="Arial"/>
          <w:sz w:val="22"/>
          <w:szCs w:val="22"/>
        </w:rPr>
        <w:t xml:space="preserve"> of hypothermia in this sizable group of babies</w:t>
      </w:r>
      <w:r w:rsidR="00535B9F">
        <w:rPr>
          <w:rFonts w:ascii="Arial" w:hAnsi="Arial" w:cs="Arial"/>
          <w:sz w:val="22"/>
          <w:szCs w:val="22"/>
        </w:rPr>
        <w:t>.</w:t>
      </w:r>
      <w:r w:rsidR="00F9172B">
        <w:rPr>
          <w:rFonts w:ascii="Arial" w:hAnsi="Arial" w:cs="Arial"/>
          <w:sz w:val="22"/>
          <w:szCs w:val="22"/>
        </w:rPr>
        <w:t xml:space="preserve"> </w:t>
      </w:r>
    </w:p>
    <w:p w14:paraId="65DDD2F5" w14:textId="689637DA" w:rsidR="00011311" w:rsidRDefault="00011311">
      <w:pPr>
        <w:rPr>
          <w:rFonts w:ascii="Arial" w:hAnsi="Arial" w:cs="Arial"/>
          <w:b/>
          <w:sz w:val="22"/>
          <w:szCs w:val="22"/>
          <w:lang w:val="en-US"/>
        </w:rPr>
      </w:pPr>
    </w:p>
    <w:p w14:paraId="334993F3" w14:textId="1BA9A979" w:rsidR="00011311" w:rsidRDefault="00011311" w:rsidP="00011311">
      <w:pPr>
        <w:spacing w:line="480" w:lineRule="auto"/>
        <w:rPr>
          <w:rFonts w:ascii="Arial" w:hAnsi="Arial" w:cs="Arial"/>
          <w:sz w:val="22"/>
          <w:szCs w:val="22"/>
          <w:lang w:val="en-US"/>
        </w:rPr>
      </w:pPr>
      <w:r w:rsidRPr="00BF77B4">
        <w:rPr>
          <w:rFonts w:ascii="Arial" w:hAnsi="Arial" w:cs="Arial"/>
          <w:b/>
          <w:sz w:val="22"/>
          <w:szCs w:val="22"/>
          <w:lang w:val="en-US"/>
        </w:rPr>
        <w:t xml:space="preserve">Acknowledgements: </w:t>
      </w:r>
      <w:r w:rsidRPr="00BF77B4">
        <w:rPr>
          <w:rFonts w:ascii="Arial" w:hAnsi="Arial" w:cs="Arial"/>
          <w:sz w:val="22"/>
          <w:szCs w:val="22"/>
          <w:lang w:val="en-US"/>
        </w:rPr>
        <w:t>We are grateful to all the families that agreed to the inclusion of their baby’s data in the NNRD, the health professionals who recorded data</w:t>
      </w:r>
      <w:r>
        <w:rPr>
          <w:rFonts w:ascii="Arial" w:hAnsi="Arial" w:cs="Arial"/>
          <w:sz w:val="22"/>
          <w:szCs w:val="22"/>
          <w:lang w:val="en-US"/>
        </w:rPr>
        <w:t>,</w:t>
      </w:r>
      <w:r w:rsidRPr="00BF77B4">
        <w:rPr>
          <w:rFonts w:ascii="Arial" w:hAnsi="Arial" w:cs="Arial"/>
          <w:sz w:val="22"/>
          <w:szCs w:val="22"/>
          <w:lang w:val="en-US"/>
        </w:rPr>
        <w:t xml:space="preserve"> and the NDAU team</w:t>
      </w:r>
      <w:r w:rsidR="002065BC">
        <w:rPr>
          <w:rFonts w:ascii="Arial" w:hAnsi="Arial" w:cs="Arial"/>
          <w:sz w:val="22"/>
          <w:szCs w:val="22"/>
          <w:lang w:val="en-US"/>
        </w:rPr>
        <w:t>, in particular Kayleigh Ougham.</w:t>
      </w:r>
    </w:p>
    <w:p w14:paraId="0E3CCFC2" w14:textId="77777777" w:rsidR="00011311" w:rsidRPr="00BF77B4" w:rsidRDefault="00011311" w:rsidP="00011311">
      <w:pPr>
        <w:spacing w:line="480" w:lineRule="auto"/>
        <w:jc w:val="both"/>
        <w:rPr>
          <w:rStyle w:val="Hyperlink"/>
          <w:rFonts w:ascii="Arial" w:hAnsi="Arial" w:cs="Arial"/>
          <w:iCs/>
          <w:color w:val="000000" w:themeColor="text1"/>
          <w:sz w:val="22"/>
          <w:szCs w:val="22"/>
        </w:rPr>
      </w:pPr>
    </w:p>
    <w:p w14:paraId="3D4C7484" w14:textId="32A46BED" w:rsidR="00011311" w:rsidRDefault="00011311" w:rsidP="00011311">
      <w:pPr>
        <w:spacing w:line="480" w:lineRule="auto"/>
        <w:jc w:val="both"/>
        <w:rPr>
          <w:rFonts w:ascii="Arial" w:hAnsi="Arial" w:cs="Arial"/>
          <w:b/>
          <w:sz w:val="22"/>
          <w:szCs w:val="22"/>
        </w:rPr>
      </w:pPr>
      <w:r w:rsidRPr="00BF77B4">
        <w:rPr>
          <w:rFonts w:ascii="Arial" w:hAnsi="Arial" w:cs="Arial"/>
          <w:b/>
          <w:sz w:val="22"/>
          <w:szCs w:val="22"/>
        </w:rPr>
        <w:t>Competing interests</w:t>
      </w:r>
    </w:p>
    <w:p w14:paraId="4DFAEEB0" w14:textId="12F6F2D8" w:rsidR="00011311" w:rsidRDefault="00011311" w:rsidP="00011311">
      <w:pPr>
        <w:spacing w:line="480" w:lineRule="auto"/>
        <w:jc w:val="both"/>
        <w:rPr>
          <w:rFonts w:ascii="Arial" w:hAnsi="Arial" w:cs="Arial"/>
          <w:sz w:val="22"/>
          <w:szCs w:val="22"/>
        </w:rPr>
      </w:pPr>
      <w:r>
        <w:rPr>
          <w:rFonts w:ascii="Arial" w:hAnsi="Arial" w:cs="Arial"/>
          <w:sz w:val="22"/>
          <w:szCs w:val="22"/>
        </w:rPr>
        <w:t>Lory Hage has no</w:t>
      </w:r>
      <w:r w:rsidRPr="00BF77B4">
        <w:rPr>
          <w:rFonts w:ascii="Arial" w:hAnsi="Arial" w:cs="Arial"/>
          <w:sz w:val="22"/>
          <w:szCs w:val="22"/>
        </w:rPr>
        <w:t>thing to d</w:t>
      </w:r>
      <w:r w:rsidR="006779F0">
        <w:rPr>
          <w:rFonts w:ascii="Arial" w:hAnsi="Arial" w:cs="Arial"/>
          <w:sz w:val="22"/>
          <w:szCs w:val="22"/>
        </w:rPr>
        <w:t>is</w:t>
      </w:r>
      <w:r w:rsidRPr="00BF77B4">
        <w:rPr>
          <w:rFonts w:ascii="Arial" w:hAnsi="Arial" w:cs="Arial"/>
          <w:sz w:val="22"/>
          <w:szCs w:val="22"/>
        </w:rPr>
        <w:t>cl</w:t>
      </w:r>
      <w:r w:rsidR="006779F0">
        <w:rPr>
          <w:rFonts w:ascii="Arial" w:hAnsi="Arial" w:cs="Arial"/>
          <w:sz w:val="22"/>
          <w:szCs w:val="22"/>
        </w:rPr>
        <w:t>os</w:t>
      </w:r>
      <w:r w:rsidRPr="00BF77B4">
        <w:rPr>
          <w:rFonts w:ascii="Arial" w:hAnsi="Arial" w:cs="Arial"/>
          <w:sz w:val="22"/>
          <w:szCs w:val="22"/>
        </w:rPr>
        <w:t>e.</w:t>
      </w:r>
    </w:p>
    <w:p w14:paraId="584635AC" w14:textId="52DF8CEA" w:rsidR="006779F0" w:rsidRDefault="006779F0" w:rsidP="00011311">
      <w:pPr>
        <w:spacing w:line="480" w:lineRule="auto"/>
        <w:jc w:val="both"/>
        <w:rPr>
          <w:rFonts w:asciiTheme="minorBidi" w:hAnsiTheme="minorBidi"/>
          <w:color w:val="000000"/>
          <w:sz w:val="22"/>
          <w:szCs w:val="22"/>
          <w:lang w:val="en-US"/>
        </w:rPr>
      </w:pPr>
      <w:r w:rsidRPr="009C414E">
        <w:rPr>
          <w:rFonts w:ascii="Arial" w:eastAsia="Times New Roman" w:hAnsi="Arial" w:cs="Arial"/>
          <w:color w:val="000000" w:themeColor="text1"/>
          <w:sz w:val="22"/>
          <w:szCs w:val="22"/>
          <w:shd w:val="clear" w:color="auto" w:fill="FFFFFF"/>
        </w:rPr>
        <w:t>Dusha Jeyakumaran</w:t>
      </w:r>
      <w:r w:rsidR="009C414E" w:rsidRPr="009C414E">
        <w:rPr>
          <w:rFonts w:ascii="Arial" w:eastAsia="Times New Roman" w:hAnsi="Arial" w:cs="Arial"/>
          <w:color w:val="000000" w:themeColor="text1"/>
          <w:sz w:val="22"/>
          <w:szCs w:val="22"/>
          <w:shd w:val="clear" w:color="auto" w:fill="FFFFFF"/>
        </w:rPr>
        <w:t xml:space="preserve"> has nothing to disclose.</w:t>
      </w:r>
    </w:p>
    <w:p w14:paraId="700E48C7" w14:textId="570A802A" w:rsidR="006779F0" w:rsidRDefault="006779F0" w:rsidP="00011311">
      <w:pPr>
        <w:spacing w:line="480" w:lineRule="auto"/>
        <w:jc w:val="both"/>
        <w:rPr>
          <w:rFonts w:asciiTheme="minorBidi" w:hAnsiTheme="minorBidi"/>
          <w:color w:val="000000"/>
          <w:sz w:val="22"/>
          <w:szCs w:val="22"/>
          <w:lang w:val="en-US"/>
        </w:rPr>
      </w:pPr>
      <w:r>
        <w:rPr>
          <w:rFonts w:asciiTheme="minorBidi" w:hAnsiTheme="minorBidi"/>
          <w:color w:val="000000"/>
          <w:sz w:val="22"/>
          <w:szCs w:val="22"/>
          <w:lang w:val="en-US"/>
        </w:rPr>
        <w:t>Jon</w:t>
      </w:r>
      <w:r w:rsidRPr="006779F0">
        <w:rPr>
          <w:rFonts w:asciiTheme="minorBidi" w:hAnsiTheme="minorBidi"/>
          <w:color w:val="000000"/>
          <w:sz w:val="22"/>
          <w:szCs w:val="22"/>
          <w:lang w:val="en-US"/>
        </w:rPr>
        <w:t xml:space="preserve"> Dorling reports grants from NIHR,  during the conduct of the study and grants from NIHR, outside the submitted work. JD was a member of the NIHR HTA General Board (from 2017 to 2018) and the NIHR HTA Maternity, Newborn and Child Health Panel (from 2013 to 2018). JD was also funded by Nutrinia in 2017 and 2018 for part of his salary to work as an expert advisor on a trial of enteral insulin.</w:t>
      </w:r>
    </w:p>
    <w:p w14:paraId="629766DA" w14:textId="77777777" w:rsidR="006779F0" w:rsidRPr="006779F0" w:rsidRDefault="006779F0" w:rsidP="006779F0">
      <w:pPr>
        <w:spacing w:line="480" w:lineRule="auto"/>
        <w:jc w:val="both"/>
        <w:rPr>
          <w:rFonts w:asciiTheme="minorBidi" w:hAnsiTheme="minorBidi"/>
          <w:sz w:val="22"/>
          <w:szCs w:val="22"/>
        </w:rPr>
      </w:pPr>
      <w:r>
        <w:rPr>
          <w:rFonts w:ascii="Arial" w:hAnsi="Arial" w:cs="Arial"/>
          <w:sz w:val="22"/>
          <w:szCs w:val="22"/>
        </w:rPr>
        <w:t xml:space="preserve">Shalini Ojha reports grants from the National Institute of Health Research, Medical Research </w:t>
      </w:r>
      <w:r w:rsidRPr="006779F0">
        <w:rPr>
          <w:rFonts w:asciiTheme="minorBidi" w:hAnsiTheme="minorBidi"/>
          <w:sz w:val="22"/>
          <w:szCs w:val="22"/>
        </w:rPr>
        <w:t>Council, and the Derby Hospitals Charity.</w:t>
      </w:r>
    </w:p>
    <w:p w14:paraId="48E3B4AF" w14:textId="789CBD02" w:rsidR="006779F0" w:rsidRPr="00722C4A" w:rsidRDefault="006779F0" w:rsidP="00011311">
      <w:pPr>
        <w:spacing w:line="480" w:lineRule="auto"/>
        <w:jc w:val="both"/>
        <w:rPr>
          <w:rFonts w:asciiTheme="minorBidi" w:eastAsia="Times New Roman" w:hAnsiTheme="minorBidi"/>
          <w:color w:val="000000" w:themeColor="text1"/>
          <w:sz w:val="22"/>
          <w:szCs w:val="22"/>
          <w:shd w:val="clear" w:color="auto" w:fill="FFFFFF"/>
        </w:rPr>
      </w:pPr>
      <w:r w:rsidRPr="00722C4A">
        <w:rPr>
          <w:rFonts w:asciiTheme="minorBidi" w:eastAsia="Times New Roman" w:hAnsiTheme="minorBidi"/>
          <w:color w:val="000000" w:themeColor="text1"/>
          <w:sz w:val="22"/>
          <w:szCs w:val="22"/>
          <w:shd w:val="clear" w:color="auto" w:fill="FFFFFF"/>
        </w:rPr>
        <w:t>Don Sharkey</w:t>
      </w:r>
      <w:r w:rsidR="00722C4A" w:rsidRPr="00722C4A">
        <w:rPr>
          <w:rFonts w:asciiTheme="minorBidi" w:hAnsiTheme="minorBidi"/>
          <w:color w:val="000000"/>
          <w:sz w:val="22"/>
          <w:szCs w:val="22"/>
          <w:lang w:val="en-US"/>
        </w:rPr>
        <w:t xml:space="preserve"> </w:t>
      </w:r>
      <w:r w:rsidR="00722C4A" w:rsidRPr="00722C4A">
        <w:rPr>
          <w:rFonts w:ascii="Arial" w:hAnsi="Arial" w:cs="Arial"/>
          <w:sz w:val="22"/>
          <w:szCs w:val="22"/>
        </w:rPr>
        <w:t>reports grants from National Institute for Health Research, Medical Research</w:t>
      </w:r>
      <w:r w:rsidR="00722C4A">
        <w:rPr>
          <w:rFonts w:ascii="Arial" w:hAnsi="Arial" w:cs="Arial"/>
          <w:sz w:val="22"/>
          <w:szCs w:val="22"/>
        </w:rPr>
        <w:t xml:space="preserve"> Council, Engineering and Physical Sciences Research Council outside the submitted works.  He is also a committee member of the NIHR Research for Patient Benefit East Midlands Regional Assessment Panel and a non-executive director of SurePulse Medical Ltd.</w:t>
      </w:r>
    </w:p>
    <w:p w14:paraId="0DB5ECC6" w14:textId="4D289A87" w:rsidR="006779F0" w:rsidRDefault="006779F0" w:rsidP="006779F0">
      <w:pPr>
        <w:spacing w:line="480" w:lineRule="auto"/>
        <w:jc w:val="both"/>
        <w:rPr>
          <w:rFonts w:asciiTheme="minorBidi" w:hAnsiTheme="minorBidi"/>
          <w:color w:val="000000"/>
          <w:sz w:val="22"/>
          <w:szCs w:val="22"/>
          <w:lang w:val="en-US"/>
        </w:rPr>
      </w:pPr>
      <w:r w:rsidRPr="006779F0">
        <w:rPr>
          <w:rFonts w:asciiTheme="minorBidi" w:hAnsiTheme="minorBidi"/>
          <w:color w:val="000000"/>
          <w:sz w:val="22"/>
          <w:szCs w:val="22"/>
          <w:lang w:val="en-US"/>
        </w:rPr>
        <w:t>Nic</w:t>
      </w:r>
      <w:r>
        <w:rPr>
          <w:rFonts w:asciiTheme="minorBidi" w:hAnsiTheme="minorBidi"/>
          <w:color w:val="000000"/>
          <w:sz w:val="22"/>
          <w:szCs w:val="22"/>
          <w:lang w:val="en-US"/>
        </w:rPr>
        <w:t>k</w:t>
      </w:r>
      <w:r w:rsidRPr="006779F0">
        <w:rPr>
          <w:rFonts w:asciiTheme="minorBidi" w:hAnsiTheme="minorBidi"/>
          <w:color w:val="000000"/>
          <w:sz w:val="22"/>
          <w:szCs w:val="22"/>
          <w:lang w:val="en-US"/>
        </w:rPr>
        <w:t xml:space="preserve"> Longford has nothing to disclose.</w:t>
      </w:r>
    </w:p>
    <w:p w14:paraId="7AD5116E" w14:textId="77777777" w:rsidR="00CC31C2" w:rsidRPr="006779F0" w:rsidRDefault="00CC31C2" w:rsidP="00CC31C2">
      <w:pPr>
        <w:spacing w:line="480" w:lineRule="auto"/>
        <w:jc w:val="both"/>
        <w:rPr>
          <w:rFonts w:asciiTheme="minorBidi" w:hAnsiTheme="minorBidi"/>
          <w:color w:val="000000"/>
          <w:sz w:val="22"/>
          <w:szCs w:val="22"/>
          <w:lang w:val="en-US"/>
        </w:rPr>
      </w:pPr>
      <w:r w:rsidRPr="00741942">
        <w:rPr>
          <w:rFonts w:ascii="Arial" w:eastAsia="Times New Roman" w:hAnsi="Arial" w:cs="Arial"/>
          <w:color w:val="000000" w:themeColor="text1"/>
          <w:sz w:val="22"/>
          <w:szCs w:val="22"/>
          <w:shd w:val="clear" w:color="auto" w:fill="FFFFFF"/>
        </w:rPr>
        <w:t>Neena Modi</w:t>
      </w:r>
      <w:r w:rsidRPr="00741942">
        <w:t xml:space="preserve"> </w:t>
      </w:r>
      <w:r w:rsidRPr="00741942">
        <w:rPr>
          <w:rFonts w:ascii="Arial" w:eastAsia="Times New Roman" w:hAnsi="Arial" w:cs="Arial"/>
          <w:color w:val="000000" w:themeColor="text1"/>
          <w:sz w:val="22"/>
          <w:szCs w:val="22"/>
          <w:shd w:val="clear" w:color="auto" w:fill="FFFFFF"/>
        </w:rPr>
        <w:t xml:space="preserve">reports grants from </w:t>
      </w:r>
      <w:r>
        <w:rPr>
          <w:rFonts w:ascii="Arial" w:eastAsia="Times New Roman" w:hAnsi="Arial" w:cs="Arial"/>
          <w:color w:val="000000" w:themeColor="text1"/>
          <w:sz w:val="22"/>
          <w:szCs w:val="22"/>
          <w:shd w:val="clear" w:color="auto" w:fill="FFFFFF"/>
        </w:rPr>
        <w:t xml:space="preserve">the </w:t>
      </w:r>
      <w:r w:rsidRPr="00741942">
        <w:rPr>
          <w:rFonts w:ascii="Arial" w:eastAsia="Times New Roman" w:hAnsi="Arial" w:cs="Arial"/>
          <w:color w:val="000000" w:themeColor="text1"/>
          <w:sz w:val="22"/>
          <w:szCs w:val="22"/>
          <w:shd w:val="clear" w:color="auto" w:fill="FFFFFF"/>
        </w:rPr>
        <w:t>Medical Research Council, National Institute of Health Research, March of Dimes, British Heart Foundation, HCA international, Health Data Research UK, Shire Pharmaceuticals</w:t>
      </w:r>
      <w:r>
        <w:rPr>
          <w:rFonts w:ascii="Arial" w:eastAsia="Times New Roman" w:hAnsi="Arial" w:cs="Arial"/>
          <w:color w:val="000000" w:themeColor="text1"/>
          <w:sz w:val="22"/>
          <w:szCs w:val="22"/>
          <w:shd w:val="clear" w:color="auto" w:fill="FFFFFF"/>
        </w:rPr>
        <w:t xml:space="preserve">, </w:t>
      </w:r>
      <w:r w:rsidRPr="00741942">
        <w:rPr>
          <w:rFonts w:ascii="Arial" w:eastAsia="Times New Roman" w:hAnsi="Arial" w:cs="Arial"/>
          <w:color w:val="000000" w:themeColor="text1"/>
          <w:sz w:val="22"/>
          <w:szCs w:val="22"/>
          <w:shd w:val="clear" w:color="auto" w:fill="FFFFFF"/>
        </w:rPr>
        <w:t>Chiesi Pharmaceuticals</w:t>
      </w:r>
      <w:r>
        <w:rPr>
          <w:rFonts w:ascii="Arial" w:eastAsia="Times New Roman" w:hAnsi="Arial" w:cs="Arial"/>
          <w:color w:val="000000" w:themeColor="text1"/>
          <w:sz w:val="22"/>
          <w:szCs w:val="22"/>
          <w:shd w:val="clear" w:color="auto" w:fill="FFFFFF"/>
        </w:rPr>
        <w:t xml:space="preserve">, </w:t>
      </w:r>
      <w:r w:rsidRPr="00741942">
        <w:rPr>
          <w:rFonts w:ascii="Arial" w:eastAsia="Times New Roman" w:hAnsi="Arial" w:cs="Arial"/>
          <w:color w:val="000000" w:themeColor="text1"/>
          <w:sz w:val="22"/>
          <w:szCs w:val="22"/>
          <w:shd w:val="clear" w:color="auto" w:fill="FFFFFF"/>
        </w:rPr>
        <w:t>Prolacta Life Sciences</w:t>
      </w:r>
      <w:r>
        <w:rPr>
          <w:rFonts w:ascii="Arial" w:eastAsia="Times New Roman" w:hAnsi="Arial" w:cs="Arial"/>
          <w:color w:val="000000" w:themeColor="text1"/>
          <w:sz w:val="22"/>
          <w:szCs w:val="22"/>
          <w:shd w:val="clear" w:color="auto" w:fill="FFFFFF"/>
        </w:rPr>
        <w:t xml:space="preserve"> and Westminster Children’s Research Fund</w:t>
      </w:r>
      <w:r w:rsidRPr="00741942">
        <w:rPr>
          <w:rFonts w:ascii="Arial" w:eastAsia="Times New Roman" w:hAnsi="Arial" w:cs="Arial"/>
          <w:color w:val="000000" w:themeColor="text1"/>
          <w:sz w:val="22"/>
          <w:szCs w:val="22"/>
          <w:shd w:val="clear" w:color="auto" w:fill="FFFFFF"/>
        </w:rPr>
        <w:t>, outside the submitted work</w:t>
      </w:r>
      <w:r>
        <w:rPr>
          <w:rFonts w:ascii="Arial" w:eastAsia="Times New Roman" w:hAnsi="Arial" w:cs="Arial"/>
          <w:color w:val="000000" w:themeColor="text1"/>
          <w:sz w:val="22"/>
          <w:szCs w:val="22"/>
          <w:shd w:val="clear" w:color="auto" w:fill="FFFFFF"/>
        </w:rPr>
        <w:t xml:space="preserve">. She is a member of the scientific </w:t>
      </w:r>
      <w:r>
        <w:rPr>
          <w:rFonts w:ascii="Arial" w:eastAsia="Times New Roman" w:hAnsi="Arial" w:cs="Arial"/>
          <w:color w:val="000000" w:themeColor="text1"/>
          <w:sz w:val="22"/>
          <w:szCs w:val="22"/>
          <w:shd w:val="clear" w:color="auto" w:fill="FFFFFF"/>
        </w:rPr>
        <w:lastRenderedPageBreak/>
        <w:t xml:space="preserve">advisory board of </w:t>
      </w:r>
      <w:r w:rsidRPr="00741942">
        <w:rPr>
          <w:rFonts w:ascii="Arial" w:eastAsia="Times New Roman" w:hAnsi="Arial" w:cs="Arial"/>
          <w:color w:val="000000" w:themeColor="text1"/>
          <w:sz w:val="22"/>
          <w:szCs w:val="22"/>
          <w:shd w:val="clear" w:color="auto" w:fill="FFFFFF"/>
        </w:rPr>
        <w:t>Nestle</w:t>
      </w:r>
      <w:r>
        <w:rPr>
          <w:rFonts w:ascii="Arial" w:eastAsia="Times New Roman" w:hAnsi="Arial" w:cs="Arial"/>
          <w:color w:val="000000" w:themeColor="text1"/>
          <w:sz w:val="22"/>
          <w:szCs w:val="22"/>
          <w:shd w:val="clear" w:color="auto" w:fill="FFFFFF"/>
        </w:rPr>
        <w:t xml:space="preserve"> International. NM led the development of and directs, the </w:t>
      </w:r>
      <w:r w:rsidRPr="00011311">
        <w:rPr>
          <w:rFonts w:ascii="Arial" w:hAnsi="Arial" w:cs="Arial"/>
          <w:sz w:val="22"/>
          <w:szCs w:val="22"/>
        </w:rPr>
        <w:t>National Neonatal Research Database</w:t>
      </w:r>
      <w:r>
        <w:rPr>
          <w:rFonts w:ascii="Arial" w:eastAsia="Times New Roman" w:hAnsi="Arial" w:cs="Arial"/>
          <w:color w:val="000000" w:themeColor="text1"/>
          <w:sz w:val="22"/>
          <w:szCs w:val="22"/>
          <w:shd w:val="clear" w:color="auto" w:fill="FFFFFF"/>
        </w:rPr>
        <w:t>.</w:t>
      </w:r>
    </w:p>
    <w:p w14:paraId="2EA3AC08" w14:textId="4A18B554" w:rsidR="00011311" w:rsidRDefault="006779F0" w:rsidP="006779F0">
      <w:pPr>
        <w:spacing w:line="480" w:lineRule="auto"/>
        <w:jc w:val="both"/>
        <w:rPr>
          <w:rFonts w:ascii="Arial" w:hAnsi="Arial" w:cs="Arial"/>
          <w:sz w:val="22"/>
          <w:szCs w:val="22"/>
        </w:rPr>
      </w:pPr>
      <w:r>
        <w:rPr>
          <w:rFonts w:ascii="Arial" w:hAnsi="Arial" w:cs="Arial"/>
          <w:sz w:val="22"/>
          <w:szCs w:val="22"/>
        </w:rPr>
        <w:t xml:space="preserve">Chris </w:t>
      </w:r>
      <w:r w:rsidRPr="00011311">
        <w:rPr>
          <w:rFonts w:ascii="Arial" w:hAnsi="Arial" w:cs="Arial"/>
          <w:sz w:val="22"/>
          <w:szCs w:val="22"/>
        </w:rPr>
        <w:t xml:space="preserve">Gale reports grants from Medical Research Council, </w:t>
      </w:r>
      <w:r>
        <w:rPr>
          <w:rFonts w:ascii="Arial" w:hAnsi="Arial" w:cs="Arial"/>
          <w:sz w:val="22"/>
          <w:szCs w:val="22"/>
        </w:rPr>
        <w:t xml:space="preserve">the </w:t>
      </w:r>
      <w:r w:rsidRPr="00011311">
        <w:rPr>
          <w:rFonts w:ascii="Arial" w:hAnsi="Arial" w:cs="Arial"/>
          <w:sz w:val="22"/>
          <w:szCs w:val="22"/>
        </w:rPr>
        <w:t>National Institute for Health Research</w:t>
      </w:r>
      <w:r>
        <w:rPr>
          <w:rFonts w:ascii="Arial" w:hAnsi="Arial" w:cs="Arial"/>
          <w:sz w:val="22"/>
          <w:szCs w:val="22"/>
        </w:rPr>
        <w:t>, the</w:t>
      </w:r>
      <w:r w:rsidRPr="00011311">
        <w:rPr>
          <w:rFonts w:ascii="Arial" w:hAnsi="Arial" w:cs="Arial"/>
          <w:sz w:val="22"/>
          <w:szCs w:val="22"/>
        </w:rPr>
        <w:t xml:space="preserve"> Mason Medical Research Foundation</w:t>
      </w:r>
      <w:r>
        <w:rPr>
          <w:rFonts w:ascii="Arial" w:hAnsi="Arial" w:cs="Arial"/>
          <w:sz w:val="22"/>
          <w:szCs w:val="22"/>
        </w:rPr>
        <w:t>,</w:t>
      </w:r>
      <w:r w:rsidRPr="00011311">
        <w:rPr>
          <w:rFonts w:ascii="Arial" w:hAnsi="Arial" w:cs="Arial"/>
          <w:sz w:val="22"/>
          <w:szCs w:val="22"/>
        </w:rPr>
        <w:t xml:space="preserve"> Rosetrees Foundation</w:t>
      </w:r>
      <w:r>
        <w:rPr>
          <w:rFonts w:ascii="Arial" w:hAnsi="Arial" w:cs="Arial"/>
          <w:sz w:val="22"/>
          <w:szCs w:val="22"/>
        </w:rPr>
        <w:t xml:space="preserve"> and</w:t>
      </w:r>
      <w:r w:rsidRPr="00011311">
        <w:rPr>
          <w:rFonts w:ascii="Arial" w:hAnsi="Arial" w:cs="Arial"/>
          <w:sz w:val="22"/>
          <w:szCs w:val="22"/>
        </w:rPr>
        <w:t xml:space="preserve"> Canadian Institute for Health Research outside the submitted work; </w:t>
      </w:r>
      <w:r>
        <w:rPr>
          <w:rFonts w:ascii="Arial" w:hAnsi="Arial" w:cs="Arial"/>
          <w:sz w:val="22"/>
          <w:szCs w:val="22"/>
        </w:rPr>
        <w:t>and</w:t>
      </w:r>
      <w:r w:rsidRPr="00011311">
        <w:rPr>
          <w:rFonts w:ascii="Arial" w:hAnsi="Arial" w:cs="Arial"/>
          <w:sz w:val="22"/>
          <w:szCs w:val="22"/>
        </w:rPr>
        <w:t xml:space="preserve"> grants and personal fees </w:t>
      </w:r>
      <w:r>
        <w:rPr>
          <w:rFonts w:ascii="Arial" w:hAnsi="Arial" w:cs="Arial"/>
          <w:sz w:val="22"/>
          <w:szCs w:val="22"/>
        </w:rPr>
        <w:t xml:space="preserve">to attend an educational conference </w:t>
      </w:r>
      <w:r w:rsidRPr="00011311">
        <w:rPr>
          <w:rFonts w:ascii="Arial" w:hAnsi="Arial" w:cs="Arial"/>
          <w:sz w:val="22"/>
          <w:szCs w:val="22"/>
        </w:rPr>
        <w:t xml:space="preserve">from Chiesi Pharmaceuticals outside the submitted work;  </w:t>
      </w:r>
      <w:r>
        <w:rPr>
          <w:rFonts w:ascii="Arial" w:hAnsi="Arial" w:cs="Arial"/>
          <w:sz w:val="22"/>
          <w:szCs w:val="22"/>
        </w:rPr>
        <w:t>he is</w:t>
      </w:r>
      <w:r w:rsidRPr="00011311">
        <w:rPr>
          <w:rFonts w:ascii="Arial" w:hAnsi="Arial" w:cs="Arial"/>
          <w:sz w:val="22"/>
          <w:szCs w:val="22"/>
        </w:rPr>
        <w:t xml:space="preserve"> a voluntary, unremunerated member of the Neonatal Data Analysis Unit Steering Board, which oversees the National Neonatal Research Database (NNRD)</w:t>
      </w:r>
      <w:r>
        <w:rPr>
          <w:rFonts w:ascii="Arial" w:hAnsi="Arial" w:cs="Arial"/>
          <w:sz w:val="22"/>
          <w:szCs w:val="22"/>
        </w:rPr>
        <w:t xml:space="preserve">, and is </w:t>
      </w:r>
      <w:r w:rsidRPr="00011311">
        <w:rPr>
          <w:rFonts w:ascii="Arial" w:hAnsi="Arial" w:cs="Arial"/>
          <w:sz w:val="22"/>
          <w:szCs w:val="22"/>
        </w:rPr>
        <w:t>vice-chair of the NIHR Research for Patient Benefit London Regional Assessment Panel</w:t>
      </w:r>
      <w:r>
        <w:rPr>
          <w:rFonts w:ascii="Arial" w:hAnsi="Arial" w:cs="Arial"/>
          <w:sz w:val="22"/>
          <w:szCs w:val="22"/>
        </w:rPr>
        <w:t>.</w:t>
      </w:r>
    </w:p>
    <w:p w14:paraId="30F13EB1" w14:textId="77777777" w:rsidR="006779F0" w:rsidRPr="006779F0" w:rsidRDefault="006779F0" w:rsidP="006779F0">
      <w:pPr>
        <w:spacing w:line="480" w:lineRule="auto"/>
        <w:jc w:val="both"/>
        <w:rPr>
          <w:rFonts w:ascii="Arial" w:hAnsi="Arial" w:cs="Arial"/>
          <w:sz w:val="22"/>
          <w:szCs w:val="22"/>
        </w:rPr>
      </w:pPr>
    </w:p>
    <w:p w14:paraId="60A44ABD" w14:textId="364A2AFC" w:rsidR="00011311" w:rsidRDefault="00011311" w:rsidP="00011311">
      <w:pPr>
        <w:spacing w:line="480" w:lineRule="auto"/>
        <w:jc w:val="both"/>
        <w:rPr>
          <w:rFonts w:ascii="Arial" w:hAnsi="Arial" w:cs="Arial"/>
          <w:sz w:val="22"/>
          <w:szCs w:val="22"/>
        </w:rPr>
      </w:pPr>
      <w:r w:rsidRPr="00BF77B4">
        <w:rPr>
          <w:rFonts w:ascii="Arial" w:hAnsi="Arial" w:cs="Arial"/>
          <w:b/>
          <w:sz w:val="22"/>
          <w:szCs w:val="22"/>
        </w:rPr>
        <w:t xml:space="preserve">Contributors: </w:t>
      </w:r>
      <w:r w:rsidRPr="00011311">
        <w:rPr>
          <w:rFonts w:ascii="Arial" w:hAnsi="Arial" w:cs="Arial"/>
          <w:sz w:val="22"/>
          <w:szCs w:val="22"/>
        </w:rPr>
        <w:t xml:space="preserve">The research question for this study was conceived by CG and developed by CG, </w:t>
      </w:r>
      <w:r>
        <w:rPr>
          <w:rFonts w:ascii="Arial" w:hAnsi="Arial" w:cs="Arial"/>
          <w:sz w:val="22"/>
          <w:szCs w:val="22"/>
        </w:rPr>
        <w:t>JD, SO</w:t>
      </w:r>
      <w:r w:rsidR="00A33757">
        <w:rPr>
          <w:rFonts w:ascii="Arial" w:hAnsi="Arial" w:cs="Arial"/>
          <w:sz w:val="22"/>
          <w:szCs w:val="22"/>
        </w:rPr>
        <w:t>, CB and LH</w:t>
      </w:r>
      <w:r w:rsidRPr="00011311">
        <w:rPr>
          <w:rFonts w:ascii="Arial" w:hAnsi="Arial" w:cs="Arial"/>
          <w:sz w:val="22"/>
          <w:szCs w:val="22"/>
        </w:rPr>
        <w:t xml:space="preserve">. </w:t>
      </w:r>
      <w:r w:rsidR="00A33757">
        <w:rPr>
          <w:rFonts w:ascii="Arial" w:hAnsi="Arial" w:cs="Arial"/>
          <w:sz w:val="22"/>
          <w:szCs w:val="22"/>
        </w:rPr>
        <w:t>LH, DJ and CB</w:t>
      </w:r>
      <w:r w:rsidRPr="00011311">
        <w:rPr>
          <w:rFonts w:ascii="Arial" w:hAnsi="Arial" w:cs="Arial"/>
          <w:sz w:val="22"/>
          <w:szCs w:val="22"/>
        </w:rPr>
        <w:t xml:space="preserve"> undertook the data </w:t>
      </w:r>
      <w:r w:rsidR="00A33757">
        <w:rPr>
          <w:rFonts w:ascii="Arial" w:hAnsi="Arial" w:cs="Arial"/>
          <w:sz w:val="22"/>
          <w:szCs w:val="22"/>
        </w:rPr>
        <w:t>extraction; LH, DJ and NL under</w:t>
      </w:r>
      <w:r w:rsidRPr="00011311">
        <w:rPr>
          <w:rFonts w:ascii="Arial" w:hAnsi="Arial" w:cs="Arial"/>
          <w:sz w:val="22"/>
          <w:szCs w:val="22"/>
        </w:rPr>
        <w:t xml:space="preserve">took data analysis. </w:t>
      </w:r>
      <w:r w:rsidR="00CC31C2">
        <w:rPr>
          <w:rFonts w:ascii="Arial" w:hAnsi="Arial" w:cs="Arial"/>
          <w:sz w:val="22"/>
          <w:szCs w:val="22"/>
        </w:rPr>
        <w:t xml:space="preserve">NM leads the </w:t>
      </w:r>
      <w:r w:rsidR="00CC31C2" w:rsidRPr="00011311">
        <w:rPr>
          <w:rFonts w:ascii="Arial" w:hAnsi="Arial" w:cs="Arial"/>
          <w:sz w:val="22"/>
          <w:szCs w:val="22"/>
        </w:rPr>
        <w:t>National Neonatal Research Database</w:t>
      </w:r>
      <w:r w:rsidR="00CC31C2">
        <w:rPr>
          <w:rFonts w:ascii="Arial" w:hAnsi="Arial" w:cs="Arial"/>
          <w:sz w:val="22"/>
          <w:szCs w:val="22"/>
        </w:rPr>
        <w:t>.</w:t>
      </w:r>
      <w:r w:rsidR="00CC31C2" w:rsidRPr="00011311">
        <w:rPr>
          <w:rFonts w:ascii="Arial" w:hAnsi="Arial" w:cs="Arial"/>
          <w:sz w:val="22"/>
          <w:szCs w:val="22"/>
        </w:rPr>
        <w:t xml:space="preserve"> </w:t>
      </w:r>
      <w:r w:rsidR="00A33757">
        <w:rPr>
          <w:rFonts w:ascii="Arial" w:hAnsi="Arial" w:cs="Arial"/>
          <w:sz w:val="22"/>
          <w:szCs w:val="22"/>
        </w:rPr>
        <w:t>LH, DJ and CG</w:t>
      </w:r>
      <w:r w:rsidRPr="00011311">
        <w:rPr>
          <w:rFonts w:ascii="Arial" w:hAnsi="Arial" w:cs="Arial"/>
          <w:sz w:val="22"/>
          <w:szCs w:val="22"/>
        </w:rPr>
        <w:t xml:space="preserve"> drafted the </w:t>
      </w:r>
      <w:r w:rsidR="00A33757">
        <w:rPr>
          <w:rFonts w:ascii="Arial" w:hAnsi="Arial" w:cs="Arial"/>
          <w:sz w:val="22"/>
          <w:szCs w:val="22"/>
        </w:rPr>
        <w:t xml:space="preserve">first draft of the </w:t>
      </w:r>
      <w:r w:rsidRPr="00011311">
        <w:rPr>
          <w:rFonts w:ascii="Arial" w:hAnsi="Arial" w:cs="Arial"/>
          <w:sz w:val="22"/>
          <w:szCs w:val="22"/>
        </w:rPr>
        <w:t>manuscript</w:t>
      </w:r>
      <w:r w:rsidR="00A33757">
        <w:rPr>
          <w:rFonts w:ascii="Arial" w:hAnsi="Arial" w:cs="Arial"/>
          <w:sz w:val="22"/>
          <w:szCs w:val="22"/>
        </w:rPr>
        <w:t xml:space="preserve">. </w:t>
      </w:r>
      <w:r w:rsidRPr="00011311">
        <w:rPr>
          <w:rFonts w:ascii="Arial" w:hAnsi="Arial" w:cs="Arial"/>
          <w:sz w:val="22"/>
          <w:szCs w:val="22"/>
        </w:rPr>
        <w:t>All authors were involved in interpretation, review and revision of the draft manuscript and approval of the final version.</w:t>
      </w:r>
    </w:p>
    <w:p w14:paraId="51185C2B" w14:textId="77777777" w:rsidR="00011311" w:rsidRPr="00011311" w:rsidRDefault="00011311" w:rsidP="00011311">
      <w:pPr>
        <w:spacing w:line="480" w:lineRule="auto"/>
        <w:jc w:val="both"/>
        <w:rPr>
          <w:rFonts w:ascii="Arial" w:hAnsi="Arial" w:cs="Arial"/>
          <w:sz w:val="22"/>
          <w:szCs w:val="22"/>
        </w:rPr>
      </w:pPr>
    </w:p>
    <w:p w14:paraId="7464F4DC" w14:textId="0DF9D3CA" w:rsidR="00011311" w:rsidRPr="0053586D" w:rsidRDefault="00011311" w:rsidP="0053586D">
      <w:pPr>
        <w:spacing w:line="480" w:lineRule="auto"/>
        <w:jc w:val="both"/>
        <w:rPr>
          <w:rFonts w:ascii="Arial" w:hAnsi="Arial" w:cs="Arial"/>
          <w:i/>
          <w:color w:val="000000"/>
          <w:sz w:val="22"/>
          <w:szCs w:val="22"/>
        </w:rPr>
      </w:pPr>
      <w:r>
        <w:rPr>
          <w:rFonts w:ascii="Arial" w:hAnsi="Arial" w:cs="Arial"/>
          <w:sz w:val="22"/>
          <w:szCs w:val="22"/>
          <w:lang w:val="en-US"/>
        </w:rPr>
        <w:t>LH</w:t>
      </w:r>
      <w:r w:rsidRPr="00BF77B4">
        <w:rPr>
          <w:rFonts w:ascii="Arial" w:hAnsi="Arial" w:cs="Arial"/>
          <w:sz w:val="22"/>
          <w:szCs w:val="22"/>
          <w:lang w:val="en-US"/>
        </w:rPr>
        <w:t xml:space="preserve"> had full access to all the data in the study and take full responsibility for the </w:t>
      </w:r>
      <w:r w:rsidRPr="00BF77B4">
        <w:rPr>
          <w:rFonts w:ascii="Arial" w:hAnsi="Arial" w:cs="Arial"/>
          <w:color w:val="000000"/>
          <w:sz w:val="22"/>
          <w:szCs w:val="22"/>
        </w:rPr>
        <w:t xml:space="preserve">integrity of the data and accuracy of the data analysis. </w:t>
      </w:r>
      <w:r>
        <w:rPr>
          <w:rStyle w:val="Hyperlink"/>
          <w:rFonts w:ascii="Arial" w:hAnsi="Arial" w:cs="Arial"/>
          <w:iCs/>
          <w:color w:val="000000" w:themeColor="text1"/>
          <w:sz w:val="22"/>
          <w:szCs w:val="22"/>
          <w:u w:val="none"/>
        </w:rPr>
        <w:t>CG</w:t>
      </w:r>
      <w:r w:rsidRPr="00011311">
        <w:rPr>
          <w:rStyle w:val="Hyperlink"/>
          <w:rFonts w:ascii="Arial" w:hAnsi="Arial" w:cs="Arial"/>
          <w:iCs/>
          <w:color w:val="000000" w:themeColor="text1"/>
          <w:sz w:val="22"/>
          <w:szCs w:val="22"/>
          <w:u w:val="none"/>
        </w:rPr>
        <w:t xml:space="preserve"> is guarantor and affirms that the manuscript is an honest, accurate, and transparent account of the study being reported; that no important aspects of the study have been omitted; and that any discrepancies from the study as planned have been explained.</w:t>
      </w:r>
    </w:p>
    <w:p w14:paraId="4BD7CC96" w14:textId="77777777" w:rsidR="00011311" w:rsidRPr="00BF77B4" w:rsidRDefault="00011311" w:rsidP="00011311">
      <w:pPr>
        <w:spacing w:line="480" w:lineRule="auto"/>
        <w:jc w:val="both"/>
        <w:rPr>
          <w:rFonts w:ascii="Arial" w:hAnsi="Arial" w:cs="Arial"/>
          <w:sz w:val="22"/>
          <w:szCs w:val="22"/>
        </w:rPr>
      </w:pPr>
    </w:p>
    <w:p w14:paraId="30D0785A" w14:textId="169301C8" w:rsidR="00011311" w:rsidRPr="00011311" w:rsidRDefault="00011311" w:rsidP="00011311">
      <w:pPr>
        <w:spacing w:line="480" w:lineRule="auto"/>
        <w:jc w:val="both"/>
        <w:rPr>
          <w:rFonts w:ascii="Arial" w:hAnsi="Arial" w:cs="Arial"/>
          <w:bCs/>
          <w:sz w:val="22"/>
          <w:szCs w:val="22"/>
        </w:rPr>
      </w:pPr>
      <w:r w:rsidRPr="00BF77B4">
        <w:rPr>
          <w:rFonts w:ascii="Arial" w:hAnsi="Arial" w:cs="Arial"/>
          <w:b/>
          <w:sz w:val="22"/>
          <w:szCs w:val="22"/>
        </w:rPr>
        <w:t xml:space="preserve">Details of research ethics approval: </w:t>
      </w:r>
      <w:r w:rsidRPr="002D4681">
        <w:rPr>
          <w:rFonts w:ascii="Arial" w:hAnsi="Arial" w:cs="Arial"/>
          <w:sz w:val="22"/>
          <w:szCs w:val="22"/>
        </w:rPr>
        <w:t xml:space="preserve">Research ethics committee approval for the study was obtained from </w:t>
      </w:r>
      <w:r w:rsidRPr="002D4681">
        <w:rPr>
          <w:rFonts w:ascii="Arial" w:hAnsi="Arial" w:cs="Arial"/>
          <w:bCs/>
          <w:sz w:val="22"/>
          <w:szCs w:val="22"/>
        </w:rPr>
        <w:t>East Midlands-Leicester Central Research Ethics Committee (17/EM/0307) and approval for inclusion of their data in this study was obtained from all English, Scottish and Welsh neonatal units.</w:t>
      </w:r>
      <w:r>
        <w:rPr>
          <w:rFonts w:ascii="Arial" w:hAnsi="Arial" w:cs="Arial"/>
          <w:bCs/>
          <w:sz w:val="22"/>
          <w:szCs w:val="22"/>
        </w:rPr>
        <w:t xml:space="preserve"> </w:t>
      </w:r>
      <w:r w:rsidRPr="00BF77B4">
        <w:rPr>
          <w:rFonts w:ascii="Arial" w:hAnsi="Arial" w:cs="Arial"/>
          <w:sz w:val="22"/>
          <w:szCs w:val="22"/>
        </w:rPr>
        <w:t xml:space="preserve">The National Research Ethics Service has approved the National Neonatal Research Database </w:t>
      </w:r>
      <w:r>
        <w:rPr>
          <w:rFonts w:ascii="Arial" w:hAnsi="Arial" w:cs="Arial"/>
          <w:sz w:val="22"/>
          <w:szCs w:val="22"/>
        </w:rPr>
        <w:t>as a research database</w:t>
      </w:r>
      <w:r w:rsidRPr="00BF77B4">
        <w:rPr>
          <w:rFonts w:ascii="Arial" w:hAnsi="Arial" w:cs="Arial"/>
          <w:sz w:val="22"/>
          <w:szCs w:val="22"/>
        </w:rPr>
        <w:t xml:space="preserve"> (16/LO/1093)</w:t>
      </w:r>
      <w:r w:rsidR="00CC31C2">
        <w:rPr>
          <w:rFonts w:ascii="Arial" w:hAnsi="Arial" w:cs="Arial"/>
          <w:sz w:val="22"/>
          <w:szCs w:val="22"/>
        </w:rPr>
        <w:t>; NM is lead investigator.</w:t>
      </w:r>
      <w:r w:rsidRPr="00BF77B4">
        <w:rPr>
          <w:rFonts w:ascii="Arial" w:hAnsi="Arial" w:cs="Arial"/>
          <w:sz w:val="22"/>
          <w:szCs w:val="22"/>
        </w:rPr>
        <w:t xml:space="preserve"> </w:t>
      </w:r>
    </w:p>
    <w:p w14:paraId="48A5D0B6" w14:textId="77777777" w:rsidR="00011311" w:rsidRPr="00BF77B4" w:rsidRDefault="00011311" w:rsidP="00011311">
      <w:pPr>
        <w:spacing w:line="480" w:lineRule="auto"/>
        <w:jc w:val="both"/>
        <w:rPr>
          <w:rFonts w:ascii="Arial" w:hAnsi="Arial" w:cs="Arial"/>
          <w:sz w:val="22"/>
          <w:szCs w:val="22"/>
        </w:rPr>
      </w:pPr>
    </w:p>
    <w:p w14:paraId="1C44C2EA" w14:textId="20B81F50" w:rsidR="00011311" w:rsidRPr="00BF77B4" w:rsidRDefault="00011311" w:rsidP="00011311">
      <w:pPr>
        <w:spacing w:line="480" w:lineRule="auto"/>
        <w:jc w:val="both"/>
        <w:rPr>
          <w:rFonts w:ascii="Arial" w:hAnsi="Arial" w:cs="Arial"/>
          <w:sz w:val="22"/>
          <w:szCs w:val="22"/>
        </w:rPr>
      </w:pPr>
      <w:r w:rsidRPr="00BF77B4">
        <w:rPr>
          <w:rFonts w:ascii="Arial" w:hAnsi="Arial" w:cs="Arial"/>
          <w:b/>
          <w:sz w:val="22"/>
          <w:szCs w:val="22"/>
        </w:rPr>
        <w:lastRenderedPageBreak/>
        <w:t xml:space="preserve">Data sharing: </w:t>
      </w:r>
      <w:r w:rsidRPr="00BF77B4">
        <w:rPr>
          <w:rFonts w:ascii="Arial" w:hAnsi="Arial" w:cs="Arial"/>
          <w:sz w:val="22"/>
          <w:szCs w:val="22"/>
        </w:rPr>
        <w:t>Study data are held in the National Neonatal Research Database (NNRD)</w:t>
      </w:r>
      <w:r w:rsidR="00CC31C2">
        <w:rPr>
          <w:rFonts w:ascii="Arial" w:hAnsi="Arial" w:cs="Arial"/>
          <w:sz w:val="22"/>
          <w:szCs w:val="22"/>
        </w:rPr>
        <w:t xml:space="preserve">. </w:t>
      </w:r>
      <w:r w:rsidRPr="00BF77B4">
        <w:rPr>
          <w:rFonts w:ascii="Arial" w:hAnsi="Arial" w:cs="Arial"/>
          <w:sz w:val="22"/>
          <w:szCs w:val="22"/>
        </w:rPr>
        <w:t>Details of how to access the National Neonatal Research Database may be found at:</w:t>
      </w:r>
      <w:r>
        <w:rPr>
          <w:rFonts w:ascii="Arial" w:hAnsi="Arial" w:cs="Arial"/>
          <w:sz w:val="22"/>
          <w:szCs w:val="22"/>
        </w:rPr>
        <w:t xml:space="preserve"> </w:t>
      </w:r>
      <w:hyperlink r:id="rId12" w:history="1">
        <w:r w:rsidRPr="0048348C">
          <w:rPr>
            <w:rStyle w:val="Hyperlink"/>
            <w:rFonts w:ascii="Arial" w:hAnsi="Arial" w:cs="Arial"/>
            <w:sz w:val="22"/>
            <w:szCs w:val="22"/>
          </w:rPr>
          <w:t>https://www1.imperial.ac.uk/neonataldataanalysis/data/utilisingnnrd/</w:t>
        </w:r>
      </w:hyperlink>
      <w:r w:rsidRPr="00BF77B4">
        <w:rPr>
          <w:rFonts w:ascii="Arial" w:hAnsi="Arial" w:cs="Arial"/>
          <w:sz w:val="22"/>
          <w:szCs w:val="22"/>
        </w:rPr>
        <w:t xml:space="preserve"> </w:t>
      </w:r>
    </w:p>
    <w:p w14:paraId="14F65AF6" w14:textId="77777777" w:rsidR="00011311" w:rsidRPr="00BF77B4" w:rsidRDefault="00011311" w:rsidP="00011311">
      <w:pPr>
        <w:spacing w:line="480" w:lineRule="auto"/>
        <w:jc w:val="both"/>
        <w:rPr>
          <w:rFonts w:ascii="Arial" w:hAnsi="Arial" w:cs="Arial"/>
          <w:b/>
          <w:sz w:val="22"/>
          <w:szCs w:val="22"/>
        </w:rPr>
      </w:pPr>
    </w:p>
    <w:p w14:paraId="65567E58" w14:textId="3BC40A00" w:rsidR="00011311" w:rsidRDefault="00011311" w:rsidP="004423AC">
      <w:pPr>
        <w:spacing w:line="480" w:lineRule="auto"/>
        <w:jc w:val="both"/>
        <w:rPr>
          <w:rFonts w:ascii="Arial" w:hAnsi="Arial" w:cs="Arial"/>
          <w:sz w:val="22"/>
          <w:szCs w:val="22"/>
        </w:rPr>
      </w:pPr>
      <w:r w:rsidRPr="00BF77B4">
        <w:rPr>
          <w:rFonts w:ascii="Arial" w:hAnsi="Arial" w:cs="Arial"/>
          <w:b/>
          <w:sz w:val="22"/>
          <w:szCs w:val="22"/>
        </w:rPr>
        <w:t xml:space="preserve">Funding: </w:t>
      </w:r>
      <w:r w:rsidRPr="00BF77B4">
        <w:rPr>
          <w:rFonts w:ascii="Arial" w:hAnsi="Arial" w:cs="Arial"/>
          <w:sz w:val="22"/>
          <w:szCs w:val="22"/>
        </w:rPr>
        <w:t xml:space="preserve">This work was </w:t>
      </w:r>
      <w:r w:rsidR="00182228">
        <w:rPr>
          <w:rFonts w:ascii="Arial" w:hAnsi="Arial" w:cs="Arial"/>
          <w:sz w:val="22"/>
          <w:szCs w:val="22"/>
        </w:rPr>
        <w:t>supporte</w:t>
      </w:r>
      <w:r w:rsidRPr="00BF77B4">
        <w:rPr>
          <w:rFonts w:ascii="Arial" w:hAnsi="Arial" w:cs="Arial"/>
          <w:sz w:val="22"/>
          <w:szCs w:val="22"/>
        </w:rPr>
        <w:t>d by Imperial College London as part of a MRes project for Lory Hage</w:t>
      </w:r>
      <w:r>
        <w:rPr>
          <w:rFonts w:ascii="Arial" w:hAnsi="Arial" w:cs="Arial"/>
          <w:sz w:val="22"/>
          <w:szCs w:val="22"/>
        </w:rPr>
        <w:t>.</w:t>
      </w:r>
    </w:p>
    <w:p w14:paraId="443B6C71" w14:textId="77777777" w:rsidR="00011311" w:rsidRDefault="00011311" w:rsidP="00515DE8">
      <w:pPr>
        <w:spacing w:line="480" w:lineRule="auto"/>
        <w:rPr>
          <w:rFonts w:ascii="Arial" w:hAnsi="Arial" w:cs="Arial"/>
          <w:sz w:val="22"/>
          <w:szCs w:val="22"/>
        </w:rPr>
      </w:pPr>
    </w:p>
    <w:p w14:paraId="6285ACE7" w14:textId="4239F366" w:rsidR="003171C3" w:rsidRPr="00011311" w:rsidRDefault="003171C3" w:rsidP="00515DE8">
      <w:pPr>
        <w:spacing w:line="480" w:lineRule="auto"/>
        <w:rPr>
          <w:rFonts w:ascii="Arial" w:hAnsi="Arial" w:cs="Arial"/>
          <w:b/>
          <w:sz w:val="22"/>
          <w:szCs w:val="22"/>
        </w:rPr>
      </w:pPr>
      <w:r w:rsidRPr="00011311">
        <w:rPr>
          <w:rFonts w:ascii="Arial" w:hAnsi="Arial" w:cs="Arial"/>
          <w:b/>
          <w:sz w:val="22"/>
          <w:szCs w:val="22"/>
        </w:rPr>
        <w:t>FIGURE LEGENDS</w:t>
      </w:r>
    </w:p>
    <w:p w14:paraId="3D470032" w14:textId="77777777" w:rsidR="003171C3" w:rsidRPr="003171C3" w:rsidRDefault="003171C3" w:rsidP="003171C3">
      <w:pPr>
        <w:spacing w:line="480" w:lineRule="auto"/>
        <w:jc w:val="both"/>
        <w:rPr>
          <w:rFonts w:ascii="Arial" w:hAnsi="Arial" w:cs="Arial"/>
          <w:sz w:val="22"/>
          <w:szCs w:val="22"/>
        </w:rPr>
      </w:pPr>
      <w:r w:rsidRPr="003171C3">
        <w:rPr>
          <w:rFonts w:ascii="Arial" w:hAnsi="Arial" w:cs="Arial"/>
          <w:sz w:val="22"/>
          <w:szCs w:val="22"/>
        </w:rPr>
        <w:t xml:space="preserve">Figure 1. Study flow diagram describing the process of selection and analysis. </w:t>
      </w:r>
    </w:p>
    <w:p w14:paraId="1B61900D" w14:textId="77777777" w:rsidR="003171C3" w:rsidRPr="00CC7816" w:rsidRDefault="003171C3" w:rsidP="003171C3">
      <w:pPr>
        <w:spacing w:line="480" w:lineRule="auto"/>
        <w:jc w:val="both"/>
        <w:rPr>
          <w:rFonts w:ascii="Arial" w:hAnsi="Arial" w:cs="Arial"/>
          <w:sz w:val="22"/>
          <w:szCs w:val="22"/>
        </w:rPr>
      </w:pPr>
      <w:r w:rsidRPr="00CC7816">
        <w:rPr>
          <w:rFonts w:ascii="Arial" w:hAnsi="Arial" w:cs="Arial"/>
          <w:sz w:val="22"/>
          <w:szCs w:val="22"/>
        </w:rPr>
        <w:t xml:space="preserve">Figure 2. Bar charts of the proportion of babies that had a diagnosis of hypoxic ischaemic encephalopathy and received therapeutic hypothermia for 3 days or died during that period, by Apgar score at 1 minute (A) and 5 minutes (B), from 2010 to 2017. </w:t>
      </w:r>
    </w:p>
    <w:p w14:paraId="153F39D2" w14:textId="77777777" w:rsidR="003171C3" w:rsidRPr="00CC7816" w:rsidRDefault="003171C3" w:rsidP="003171C3">
      <w:pPr>
        <w:spacing w:line="480" w:lineRule="auto"/>
        <w:jc w:val="both"/>
        <w:rPr>
          <w:rFonts w:ascii="Arial" w:hAnsi="Arial" w:cs="Arial"/>
          <w:sz w:val="22"/>
          <w:szCs w:val="22"/>
        </w:rPr>
      </w:pPr>
      <w:r w:rsidRPr="00CC7816">
        <w:rPr>
          <w:rFonts w:ascii="Arial" w:hAnsi="Arial" w:cs="Arial"/>
          <w:sz w:val="22"/>
          <w:szCs w:val="22"/>
        </w:rPr>
        <w:t>Figure 3. Line chart of the proportion of babies that had a diagnosis of hypoxic ischaemic encephalopathy and received therapeutic hypothermia for 3 days or died during that period, by umbilical cord pH at birth (A), resuscitation characteristics and the condition on the first day of admission (B), from 2010 to 2017.</w:t>
      </w:r>
    </w:p>
    <w:p w14:paraId="407B0270" w14:textId="5A7F6DB7" w:rsidR="00AB7743" w:rsidRDefault="003171C3" w:rsidP="00436F6D">
      <w:pPr>
        <w:spacing w:line="480" w:lineRule="auto"/>
        <w:jc w:val="both"/>
        <w:rPr>
          <w:rFonts w:ascii="Arial" w:hAnsi="Arial" w:cs="Arial"/>
          <w:b/>
          <w:sz w:val="22"/>
          <w:szCs w:val="22"/>
        </w:rPr>
      </w:pPr>
      <w:r w:rsidRPr="00CC7816">
        <w:rPr>
          <w:rFonts w:ascii="Arial" w:hAnsi="Arial" w:cs="Arial"/>
          <w:sz w:val="22"/>
          <w:szCs w:val="22"/>
        </w:rPr>
        <w:t xml:space="preserve">Figure 4. Bar charts of the proportion of babies that had a diagnosis of hypoxic ischaemic encephalopathy and received therapeutic hypothermia for 3 days or died during that period, by recorded severity of hypoxic ischaemic encephalopathy, from 2010 to 2017. </w:t>
      </w:r>
    </w:p>
    <w:p w14:paraId="15A5C785" w14:textId="77777777" w:rsidR="004423AC" w:rsidRDefault="004423AC">
      <w:pPr>
        <w:rPr>
          <w:rFonts w:ascii="Arial" w:hAnsi="Arial" w:cs="Arial"/>
          <w:b/>
          <w:sz w:val="22"/>
          <w:szCs w:val="22"/>
        </w:rPr>
      </w:pPr>
      <w:r>
        <w:rPr>
          <w:rFonts w:ascii="Arial" w:hAnsi="Arial" w:cs="Arial"/>
          <w:b/>
          <w:sz w:val="22"/>
          <w:szCs w:val="22"/>
        </w:rPr>
        <w:br w:type="page"/>
      </w:r>
    </w:p>
    <w:p w14:paraId="4C9C3801" w14:textId="1FB59F1C" w:rsidR="00BF4F95" w:rsidRPr="00636C14" w:rsidRDefault="00BF4F95" w:rsidP="00515DE8">
      <w:pPr>
        <w:spacing w:line="480" w:lineRule="auto"/>
        <w:jc w:val="both"/>
        <w:rPr>
          <w:rFonts w:ascii="Arial" w:hAnsi="Arial" w:cs="Arial"/>
          <w:b/>
          <w:sz w:val="22"/>
          <w:szCs w:val="22"/>
          <w:lang w:val="fr-FR"/>
        </w:rPr>
      </w:pPr>
      <w:r w:rsidRPr="00636C14">
        <w:rPr>
          <w:rFonts w:ascii="Arial" w:hAnsi="Arial" w:cs="Arial"/>
          <w:b/>
          <w:sz w:val="22"/>
          <w:szCs w:val="22"/>
          <w:lang w:val="fr-FR"/>
        </w:rPr>
        <w:lastRenderedPageBreak/>
        <w:t>REFERENCES</w:t>
      </w:r>
    </w:p>
    <w:p w14:paraId="3F059CE3" w14:textId="556079BE" w:rsidR="00BF4F95" w:rsidRPr="00636C14" w:rsidRDefault="00BF4F95" w:rsidP="00515DE8">
      <w:pPr>
        <w:spacing w:line="480" w:lineRule="auto"/>
        <w:jc w:val="both"/>
        <w:rPr>
          <w:rFonts w:ascii="Arial" w:hAnsi="Arial" w:cs="Arial"/>
          <w:b/>
          <w:sz w:val="22"/>
          <w:szCs w:val="22"/>
          <w:lang w:val="fr-FR"/>
        </w:rPr>
      </w:pPr>
    </w:p>
    <w:p w14:paraId="34BA8731" w14:textId="77777777" w:rsidR="007F54EA" w:rsidRPr="007F54EA" w:rsidRDefault="00313560" w:rsidP="007F54EA">
      <w:pPr>
        <w:pStyle w:val="Bibliography"/>
        <w:rPr>
          <w:rFonts w:ascii="Arial" w:hAnsi="Arial" w:cs="Arial"/>
          <w:sz w:val="22"/>
          <w:lang w:val="en-US"/>
        </w:rPr>
      </w:pPr>
      <w:r w:rsidRPr="002D4681">
        <w:rPr>
          <w:rFonts w:ascii="Arial" w:hAnsi="Arial" w:cs="Arial"/>
          <w:sz w:val="22"/>
          <w:szCs w:val="22"/>
        </w:rPr>
        <w:fldChar w:fldCharType="begin"/>
      </w:r>
      <w:r w:rsidR="00593781" w:rsidRPr="00636C14">
        <w:rPr>
          <w:rFonts w:ascii="Arial" w:hAnsi="Arial" w:cs="Arial"/>
          <w:sz w:val="22"/>
          <w:szCs w:val="22"/>
          <w:lang w:val="fr-FR"/>
        </w:rPr>
        <w:instrText xml:space="preserve"> ADDIN ZOTERO_BIBL {"uncited":[],"omitted":[],"custom":[]} CSL_BIBLIOGRAPHY </w:instrText>
      </w:r>
      <w:r w:rsidRPr="002D4681">
        <w:rPr>
          <w:rFonts w:ascii="Arial" w:hAnsi="Arial" w:cs="Arial"/>
          <w:sz w:val="22"/>
          <w:szCs w:val="22"/>
        </w:rPr>
        <w:fldChar w:fldCharType="separate"/>
      </w:r>
      <w:r w:rsidR="007F54EA" w:rsidRPr="00E84AA4">
        <w:rPr>
          <w:rFonts w:ascii="Arial" w:hAnsi="Arial" w:cs="Arial"/>
          <w:sz w:val="22"/>
          <w:lang w:val="fr-FR"/>
        </w:rPr>
        <w:t xml:space="preserve">1 </w:t>
      </w:r>
      <w:r w:rsidR="007F54EA" w:rsidRPr="00E84AA4">
        <w:rPr>
          <w:rFonts w:ascii="Arial" w:hAnsi="Arial" w:cs="Arial"/>
          <w:sz w:val="22"/>
          <w:lang w:val="fr-FR"/>
        </w:rPr>
        <w:tab/>
        <w:t xml:space="preserve">Finer NN, Robertson CM, Richards RT, </w:t>
      </w:r>
      <w:r w:rsidR="007F54EA" w:rsidRPr="00E84AA4">
        <w:rPr>
          <w:rFonts w:ascii="Arial" w:hAnsi="Arial" w:cs="Arial"/>
          <w:i/>
          <w:iCs/>
          <w:sz w:val="22"/>
          <w:lang w:val="fr-FR"/>
        </w:rPr>
        <w:t>et al.</w:t>
      </w:r>
      <w:r w:rsidR="007F54EA" w:rsidRPr="00E84AA4">
        <w:rPr>
          <w:rFonts w:ascii="Arial" w:hAnsi="Arial" w:cs="Arial"/>
          <w:sz w:val="22"/>
          <w:lang w:val="fr-FR"/>
        </w:rPr>
        <w:t xml:space="preserve"> </w:t>
      </w:r>
      <w:r w:rsidR="007F54EA" w:rsidRPr="007F54EA">
        <w:rPr>
          <w:rFonts w:ascii="Arial" w:hAnsi="Arial" w:cs="Arial"/>
          <w:sz w:val="22"/>
          <w:lang w:val="en-US"/>
        </w:rPr>
        <w:t xml:space="preserve">Hypoxic-ischemic encephalopathy in term neonates: Perinatal factors and outcome. </w:t>
      </w:r>
      <w:r w:rsidR="007F54EA" w:rsidRPr="007F54EA">
        <w:rPr>
          <w:rFonts w:ascii="Arial" w:hAnsi="Arial" w:cs="Arial"/>
          <w:i/>
          <w:iCs/>
          <w:sz w:val="22"/>
          <w:lang w:val="en-US"/>
        </w:rPr>
        <w:t>The Journal of Pediatrics</w:t>
      </w:r>
      <w:r w:rsidR="007F54EA" w:rsidRPr="007F54EA">
        <w:rPr>
          <w:rFonts w:ascii="Arial" w:hAnsi="Arial" w:cs="Arial"/>
          <w:sz w:val="22"/>
          <w:lang w:val="en-US"/>
        </w:rPr>
        <w:t xml:space="preserve"> 1981;</w:t>
      </w:r>
      <w:r w:rsidR="007F54EA" w:rsidRPr="007F54EA">
        <w:rPr>
          <w:rFonts w:ascii="Arial" w:hAnsi="Arial" w:cs="Arial"/>
          <w:b/>
          <w:bCs/>
          <w:sz w:val="22"/>
          <w:lang w:val="en-US"/>
        </w:rPr>
        <w:t>98</w:t>
      </w:r>
      <w:r w:rsidR="007F54EA" w:rsidRPr="007F54EA">
        <w:rPr>
          <w:rFonts w:ascii="Arial" w:hAnsi="Arial" w:cs="Arial"/>
          <w:sz w:val="22"/>
          <w:lang w:val="en-US"/>
        </w:rPr>
        <w:t>:112–7. doi:10.1016/S0022-3476(81)80555-0</w:t>
      </w:r>
    </w:p>
    <w:p w14:paraId="72E12F99"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 </w:t>
      </w:r>
      <w:r w:rsidRPr="007F54EA">
        <w:rPr>
          <w:rFonts w:ascii="Arial" w:hAnsi="Arial" w:cs="Arial"/>
          <w:sz w:val="22"/>
          <w:lang w:val="en-US"/>
        </w:rPr>
        <w:tab/>
        <w:t xml:space="preserve">Gale C, Statnikov Y, Jawad S, </w:t>
      </w:r>
      <w:r w:rsidRPr="007F54EA">
        <w:rPr>
          <w:rFonts w:ascii="Arial" w:hAnsi="Arial" w:cs="Arial"/>
          <w:i/>
          <w:iCs/>
          <w:sz w:val="22"/>
          <w:lang w:val="en-US"/>
        </w:rPr>
        <w:t>et al.</w:t>
      </w:r>
      <w:r w:rsidRPr="007F54EA">
        <w:rPr>
          <w:rFonts w:ascii="Arial" w:hAnsi="Arial" w:cs="Arial"/>
          <w:sz w:val="22"/>
          <w:lang w:val="en-US"/>
        </w:rPr>
        <w:t xml:space="preserve"> Neonatal brain injuries in England: population-based incidence derived from routinely recorded clinical data held in the National Neonatal Research Database. </w:t>
      </w:r>
      <w:r w:rsidRPr="007F54EA">
        <w:rPr>
          <w:rFonts w:ascii="Arial" w:hAnsi="Arial" w:cs="Arial"/>
          <w:i/>
          <w:iCs/>
          <w:sz w:val="22"/>
          <w:lang w:val="en-US"/>
        </w:rPr>
        <w:t>Archives of Disease in Childhood - Fetal and Neonatal Edition</w:t>
      </w:r>
      <w:r w:rsidRPr="007F54EA">
        <w:rPr>
          <w:rFonts w:ascii="Arial" w:hAnsi="Arial" w:cs="Arial"/>
          <w:sz w:val="22"/>
          <w:lang w:val="en-US"/>
        </w:rPr>
        <w:t xml:space="preserve"> 2018;</w:t>
      </w:r>
      <w:r w:rsidRPr="007F54EA">
        <w:rPr>
          <w:rFonts w:ascii="Arial" w:hAnsi="Arial" w:cs="Arial"/>
          <w:b/>
          <w:bCs/>
          <w:sz w:val="22"/>
          <w:lang w:val="en-US"/>
        </w:rPr>
        <w:t>103</w:t>
      </w:r>
      <w:r w:rsidRPr="007F54EA">
        <w:rPr>
          <w:rFonts w:ascii="Arial" w:hAnsi="Arial" w:cs="Arial"/>
          <w:sz w:val="22"/>
          <w:lang w:val="en-US"/>
        </w:rPr>
        <w:t>:F301–6. doi:10.1136/archdischild-2017-313707</w:t>
      </w:r>
    </w:p>
    <w:p w14:paraId="43EC07C1" w14:textId="77777777" w:rsidR="007F54EA" w:rsidRPr="007F54EA" w:rsidRDefault="007F54EA" w:rsidP="007F54EA">
      <w:pPr>
        <w:pStyle w:val="Bibliography"/>
        <w:rPr>
          <w:rFonts w:ascii="Arial" w:hAnsi="Arial" w:cs="Arial"/>
          <w:sz w:val="22"/>
          <w:lang w:val="en-US"/>
        </w:rPr>
      </w:pPr>
      <w:r w:rsidRPr="00E84AA4">
        <w:rPr>
          <w:rFonts w:ascii="Arial" w:hAnsi="Arial" w:cs="Arial"/>
          <w:sz w:val="22"/>
          <w:lang w:val="fr-FR"/>
        </w:rPr>
        <w:t xml:space="preserve">3 </w:t>
      </w:r>
      <w:r w:rsidRPr="00E84AA4">
        <w:rPr>
          <w:rFonts w:ascii="Arial" w:hAnsi="Arial" w:cs="Arial"/>
          <w:sz w:val="22"/>
          <w:lang w:val="fr-FR"/>
        </w:rPr>
        <w:tab/>
        <w:t xml:space="preserve">Jacobs SE, Berg M, Hunt R, </w:t>
      </w:r>
      <w:r w:rsidRPr="00E84AA4">
        <w:rPr>
          <w:rFonts w:ascii="Arial" w:hAnsi="Arial" w:cs="Arial"/>
          <w:i/>
          <w:iCs/>
          <w:sz w:val="22"/>
          <w:lang w:val="fr-FR"/>
        </w:rPr>
        <w:t>et al.</w:t>
      </w:r>
      <w:r w:rsidRPr="00E84AA4">
        <w:rPr>
          <w:rFonts w:ascii="Arial" w:hAnsi="Arial" w:cs="Arial"/>
          <w:sz w:val="22"/>
          <w:lang w:val="fr-FR"/>
        </w:rPr>
        <w:t xml:space="preserve"> </w:t>
      </w:r>
      <w:r w:rsidRPr="007F54EA">
        <w:rPr>
          <w:rFonts w:ascii="Arial" w:hAnsi="Arial" w:cs="Arial"/>
          <w:sz w:val="22"/>
          <w:lang w:val="en-US"/>
        </w:rPr>
        <w:t xml:space="preserve">Cooling for newborns with hypoxic ischaemic encephalopathy. </w:t>
      </w:r>
      <w:r w:rsidRPr="007F54EA">
        <w:rPr>
          <w:rFonts w:ascii="Arial" w:hAnsi="Arial" w:cs="Arial"/>
          <w:i/>
          <w:iCs/>
          <w:sz w:val="22"/>
          <w:lang w:val="en-US"/>
        </w:rPr>
        <w:t>Cochrane Database Syst Rev</w:t>
      </w:r>
      <w:r w:rsidRPr="007F54EA">
        <w:rPr>
          <w:rFonts w:ascii="Arial" w:hAnsi="Arial" w:cs="Arial"/>
          <w:sz w:val="22"/>
          <w:lang w:val="en-US"/>
        </w:rPr>
        <w:t xml:space="preserve"> 2013;:CD003311. doi:10.1002/14651858.CD003311.pub3</w:t>
      </w:r>
    </w:p>
    <w:p w14:paraId="50F244AA"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4 </w:t>
      </w:r>
      <w:r w:rsidRPr="007F54EA">
        <w:rPr>
          <w:rFonts w:ascii="Arial" w:hAnsi="Arial" w:cs="Arial"/>
          <w:sz w:val="22"/>
          <w:lang w:val="en-US"/>
        </w:rPr>
        <w:tab/>
        <w:t>Position Statement on Therapeutic Cooling for Neonatal Encephalopathy (2010) | British Association of Perinatal Medicine. https://www.bapm.org/resources/28-position-statement-on-therapeutic-cooling-for-neonatal-encephalopathy-2010 (accessed 10 Sep 2020).</w:t>
      </w:r>
    </w:p>
    <w:p w14:paraId="79410785"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5 </w:t>
      </w:r>
      <w:r w:rsidRPr="007F54EA">
        <w:rPr>
          <w:rFonts w:ascii="Arial" w:hAnsi="Arial" w:cs="Arial"/>
          <w:sz w:val="22"/>
          <w:lang w:val="en-US"/>
        </w:rPr>
        <w:tab/>
        <w:t>National Institute for Health and Clinical Excellence. Therapeutic hypothermia with intracorporeal temperature monitoring for hypoxic perinatal brain injury | Guidance | NICE. 2010.https://www.nice.org.uk/guidance/ipg347/chapter/2-The-procedure (accessed 9 May 2019).</w:t>
      </w:r>
    </w:p>
    <w:p w14:paraId="4ECA6A62"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6 </w:t>
      </w:r>
      <w:r w:rsidRPr="007F54EA">
        <w:rPr>
          <w:rFonts w:ascii="Arial" w:hAnsi="Arial" w:cs="Arial"/>
          <w:sz w:val="22"/>
          <w:lang w:val="en-US"/>
        </w:rPr>
        <w:tab/>
        <w:t xml:space="preserve">Chalak L, Latremouille S, Mir I, </w:t>
      </w:r>
      <w:r w:rsidRPr="007F54EA">
        <w:rPr>
          <w:rFonts w:ascii="Arial" w:hAnsi="Arial" w:cs="Arial"/>
          <w:i/>
          <w:iCs/>
          <w:sz w:val="22"/>
          <w:lang w:val="en-US"/>
        </w:rPr>
        <w:t>et al.</w:t>
      </w:r>
      <w:r w:rsidRPr="007F54EA">
        <w:rPr>
          <w:rFonts w:ascii="Arial" w:hAnsi="Arial" w:cs="Arial"/>
          <w:sz w:val="22"/>
          <w:lang w:val="en-US"/>
        </w:rPr>
        <w:t xml:space="preserve"> A review of the conundrum of mild hypoxic-ischemic encephalopathy: Current challenges and moving forward. </w:t>
      </w:r>
      <w:r w:rsidRPr="007F54EA">
        <w:rPr>
          <w:rFonts w:ascii="Arial" w:hAnsi="Arial" w:cs="Arial"/>
          <w:i/>
          <w:iCs/>
          <w:sz w:val="22"/>
          <w:lang w:val="en-US"/>
        </w:rPr>
        <w:t>Early Human Development</w:t>
      </w:r>
      <w:r w:rsidRPr="007F54EA">
        <w:rPr>
          <w:rFonts w:ascii="Arial" w:hAnsi="Arial" w:cs="Arial"/>
          <w:sz w:val="22"/>
          <w:lang w:val="en-US"/>
        </w:rPr>
        <w:t xml:space="preserve"> 2018;</w:t>
      </w:r>
      <w:r w:rsidRPr="007F54EA">
        <w:rPr>
          <w:rFonts w:ascii="Arial" w:hAnsi="Arial" w:cs="Arial"/>
          <w:b/>
          <w:bCs/>
          <w:sz w:val="22"/>
          <w:lang w:val="en-US"/>
        </w:rPr>
        <w:t>120</w:t>
      </w:r>
      <w:r w:rsidRPr="007F54EA">
        <w:rPr>
          <w:rFonts w:ascii="Arial" w:hAnsi="Arial" w:cs="Arial"/>
          <w:sz w:val="22"/>
          <w:lang w:val="en-US"/>
        </w:rPr>
        <w:t>:88–94. doi:10.1016/j.earlhumdev.2018.02.008</w:t>
      </w:r>
    </w:p>
    <w:p w14:paraId="46600F30"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7 </w:t>
      </w:r>
      <w:r w:rsidRPr="007F54EA">
        <w:rPr>
          <w:rFonts w:ascii="Arial" w:hAnsi="Arial" w:cs="Arial"/>
          <w:sz w:val="22"/>
          <w:lang w:val="en-US"/>
        </w:rPr>
        <w:tab/>
        <w:t xml:space="preserve">Chalak LF, Sánchez PJ, Adams-Huet B, </w:t>
      </w:r>
      <w:r w:rsidRPr="007F54EA">
        <w:rPr>
          <w:rFonts w:ascii="Arial" w:hAnsi="Arial" w:cs="Arial"/>
          <w:i/>
          <w:iCs/>
          <w:sz w:val="22"/>
          <w:lang w:val="en-US"/>
        </w:rPr>
        <w:t>et al.</w:t>
      </w:r>
      <w:r w:rsidRPr="007F54EA">
        <w:rPr>
          <w:rFonts w:ascii="Arial" w:hAnsi="Arial" w:cs="Arial"/>
          <w:sz w:val="22"/>
          <w:lang w:val="en-US"/>
        </w:rPr>
        <w:t xml:space="preserve"> Biomarkers for Severity of Neonatal Hypoxic-Ischemic Encephalopathy and Outcomes in Newborns Receiving Hypothermia Therapy. </w:t>
      </w:r>
      <w:r w:rsidRPr="007F54EA">
        <w:rPr>
          <w:rFonts w:ascii="Arial" w:hAnsi="Arial" w:cs="Arial"/>
          <w:i/>
          <w:iCs/>
          <w:sz w:val="22"/>
          <w:lang w:val="en-US"/>
        </w:rPr>
        <w:t>The Journal of Pediatrics</w:t>
      </w:r>
      <w:r w:rsidRPr="007F54EA">
        <w:rPr>
          <w:rFonts w:ascii="Arial" w:hAnsi="Arial" w:cs="Arial"/>
          <w:sz w:val="22"/>
          <w:lang w:val="en-US"/>
        </w:rPr>
        <w:t xml:space="preserve"> 2014;</w:t>
      </w:r>
      <w:r w:rsidRPr="007F54EA">
        <w:rPr>
          <w:rFonts w:ascii="Arial" w:hAnsi="Arial" w:cs="Arial"/>
          <w:b/>
          <w:bCs/>
          <w:sz w:val="22"/>
          <w:lang w:val="en-US"/>
        </w:rPr>
        <w:t>164</w:t>
      </w:r>
      <w:r w:rsidRPr="007F54EA">
        <w:rPr>
          <w:rFonts w:ascii="Arial" w:hAnsi="Arial" w:cs="Arial"/>
          <w:sz w:val="22"/>
          <w:lang w:val="en-US"/>
        </w:rPr>
        <w:t>:468-474.e1. doi:10.1016/j.jpeds.2013.10.067</w:t>
      </w:r>
    </w:p>
    <w:p w14:paraId="6E337941"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8 </w:t>
      </w:r>
      <w:r w:rsidRPr="007F54EA">
        <w:rPr>
          <w:rFonts w:ascii="Arial" w:hAnsi="Arial" w:cs="Arial"/>
          <w:sz w:val="22"/>
          <w:lang w:val="en-US"/>
        </w:rPr>
        <w:tab/>
        <w:t xml:space="preserve">Kariholu U, Montaldo P, Markati T, </w:t>
      </w:r>
      <w:r w:rsidRPr="007F54EA">
        <w:rPr>
          <w:rFonts w:ascii="Arial" w:hAnsi="Arial" w:cs="Arial"/>
          <w:i/>
          <w:iCs/>
          <w:sz w:val="22"/>
          <w:lang w:val="en-US"/>
        </w:rPr>
        <w:t>et al.</w:t>
      </w:r>
      <w:r w:rsidRPr="007F54EA">
        <w:rPr>
          <w:rFonts w:ascii="Arial" w:hAnsi="Arial" w:cs="Arial"/>
          <w:sz w:val="22"/>
          <w:lang w:val="en-US"/>
        </w:rPr>
        <w:t xml:space="preserve"> Therapeutic hypothermia for mild neonatal encephalopathy: a systematic review and meta-analysis. </w:t>
      </w:r>
      <w:r w:rsidRPr="007F54EA">
        <w:rPr>
          <w:rFonts w:ascii="Arial" w:hAnsi="Arial" w:cs="Arial"/>
          <w:i/>
          <w:iCs/>
          <w:sz w:val="22"/>
          <w:lang w:val="en-US"/>
        </w:rPr>
        <w:t>Archives of Disease in Childhood - Fetal and Neonatal Edition</w:t>
      </w:r>
      <w:r w:rsidRPr="007F54EA">
        <w:rPr>
          <w:rFonts w:ascii="Arial" w:hAnsi="Arial" w:cs="Arial"/>
          <w:sz w:val="22"/>
          <w:lang w:val="en-US"/>
        </w:rPr>
        <w:t xml:space="preserve"> 2018;:fetalneonatal-2018-315711. doi:10.1136/archdischild-2018-315711</w:t>
      </w:r>
    </w:p>
    <w:p w14:paraId="47BFA421" w14:textId="77777777" w:rsidR="007F54EA" w:rsidRPr="007F54EA" w:rsidRDefault="007F54EA" w:rsidP="007F54EA">
      <w:pPr>
        <w:pStyle w:val="Bibliography"/>
        <w:rPr>
          <w:rFonts w:ascii="Arial" w:hAnsi="Arial" w:cs="Arial"/>
          <w:sz w:val="22"/>
          <w:lang w:val="en-US"/>
        </w:rPr>
      </w:pPr>
      <w:r w:rsidRPr="00E84AA4">
        <w:rPr>
          <w:rFonts w:ascii="Arial" w:hAnsi="Arial" w:cs="Arial"/>
          <w:sz w:val="22"/>
          <w:lang w:val="fr-FR"/>
        </w:rPr>
        <w:t xml:space="preserve">9 </w:t>
      </w:r>
      <w:r w:rsidRPr="00E84AA4">
        <w:rPr>
          <w:rFonts w:ascii="Arial" w:hAnsi="Arial" w:cs="Arial"/>
          <w:sz w:val="22"/>
          <w:lang w:val="fr-FR"/>
        </w:rPr>
        <w:tab/>
        <w:t xml:space="preserve">El-Dib M, Inder TE, Chalak LF, </w:t>
      </w:r>
      <w:r w:rsidRPr="00E84AA4">
        <w:rPr>
          <w:rFonts w:ascii="Arial" w:hAnsi="Arial" w:cs="Arial"/>
          <w:i/>
          <w:iCs/>
          <w:sz w:val="22"/>
          <w:lang w:val="fr-FR"/>
        </w:rPr>
        <w:t>et al.</w:t>
      </w:r>
      <w:r w:rsidRPr="00E84AA4">
        <w:rPr>
          <w:rFonts w:ascii="Arial" w:hAnsi="Arial" w:cs="Arial"/>
          <w:sz w:val="22"/>
          <w:lang w:val="fr-FR"/>
        </w:rPr>
        <w:t xml:space="preserve"> </w:t>
      </w:r>
      <w:r w:rsidRPr="007F54EA">
        <w:rPr>
          <w:rFonts w:ascii="Arial" w:hAnsi="Arial" w:cs="Arial"/>
          <w:sz w:val="22"/>
          <w:lang w:val="en-US"/>
        </w:rPr>
        <w:t xml:space="preserve">Should therapeutic hypothermia be offered to babies with mild neonatal encephalopathy in the first 6 h after birth? </w:t>
      </w:r>
      <w:r w:rsidRPr="007F54EA">
        <w:rPr>
          <w:rFonts w:ascii="Arial" w:hAnsi="Arial" w:cs="Arial"/>
          <w:i/>
          <w:iCs/>
          <w:sz w:val="22"/>
          <w:lang w:val="en-US"/>
        </w:rPr>
        <w:t>Pediatric Research</w:t>
      </w:r>
      <w:r w:rsidRPr="007F54EA">
        <w:rPr>
          <w:rFonts w:ascii="Arial" w:hAnsi="Arial" w:cs="Arial"/>
          <w:sz w:val="22"/>
          <w:lang w:val="en-US"/>
        </w:rPr>
        <w:t xml:space="preserve"> 2019;</w:t>
      </w:r>
      <w:r w:rsidRPr="007F54EA">
        <w:rPr>
          <w:rFonts w:ascii="Arial" w:hAnsi="Arial" w:cs="Arial"/>
          <w:b/>
          <w:bCs/>
          <w:sz w:val="22"/>
          <w:lang w:val="en-US"/>
        </w:rPr>
        <w:t>85</w:t>
      </w:r>
      <w:r w:rsidRPr="007F54EA">
        <w:rPr>
          <w:rFonts w:ascii="Arial" w:hAnsi="Arial" w:cs="Arial"/>
          <w:sz w:val="22"/>
          <w:lang w:val="en-US"/>
        </w:rPr>
        <w:t>:442–8. doi:10.1038/s41390-019-0291-1</w:t>
      </w:r>
    </w:p>
    <w:p w14:paraId="1E086706"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10 </w:t>
      </w:r>
      <w:r w:rsidRPr="007F54EA">
        <w:rPr>
          <w:rFonts w:ascii="Arial" w:hAnsi="Arial" w:cs="Arial"/>
          <w:sz w:val="22"/>
          <w:lang w:val="en-US"/>
        </w:rPr>
        <w:tab/>
        <w:t xml:space="preserve">Chalak LF, Nguyen K-A, Prempunpong C, </w:t>
      </w:r>
      <w:r w:rsidRPr="007F54EA">
        <w:rPr>
          <w:rFonts w:ascii="Arial" w:hAnsi="Arial" w:cs="Arial"/>
          <w:i/>
          <w:iCs/>
          <w:sz w:val="22"/>
          <w:lang w:val="en-US"/>
        </w:rPr>
        <w:t>et al.</w:t>
      </w:r>
      <w:r w:rsidRPr="007F54EA">
        <w:rPr>
          <w:rFonts w:ascii="Arial" w:hAnsi="Arial" w:cs="Arial"/>
          <w:sz w:val="22"/>
          <w:lang w:val="en-US"/>
        </w:rPr>
        <w:t xml:space="preserve"> Prospective research in infants with mild encephalopathy identified in the first six hours of life: neurodevelopmental outcomes at 18–22 months. </w:t>
      </w:r>
      <w:r w:rsidRPr="007F54EA">
        <w:rPr>
          <w:rFonts w:ascii="Arial" w:hAnsi="Arial" w:cs="Arial"/>
          <w:i/>
          <w:iCs/>
          <w:sz w:val="22"/>
          <w:lang w:val="en-US"/>
        </w:rPr>
        <w:t>Pediatr Res</w:t>
      </w:r>
      <w:r w:rsidRPr="007F54EA">
        <w:rPr>
          <w:rFonts w:ascii="Arial" w:hAnsi="Arial" w:cs="Arial"/>
          <w:sz w:val="22"/>
          <w:lang w:val="en-US"/>
        </w:rPr>
        <w:t xml:space="preserve"> 2018;</w:t>
      </w:r>
      <w:r w:rsidRPr="007F54EA">
        <w:rPr>
          <w:rFonts w:ascii="Arial" w:hAnsi="Arial" w:cs="Arial"/>
          <w:b/>
          <w:bCs/>
          <w:sz w:val="22"/>
          <w:lang w:val="en-US"/>
        </w:rPr>
        <w:t>84</w:t>
      </w:r>
      <w:r w:rsidRPr="007F54EA">
        <w:rPr>
          <w:rFonts w:ascii="Arial" w:hAnsi="Arial" w:cs="Arial"/>
          <w:sz w:val="22"/>
          <w:lang w:val="en-US"/>
        </w:rPr>
        <w:t>:861–8. doi:10.1038/s41390-018-0174-x</w:t>
      </w:r>
    </w:p>
    <w:p w14:paraId="43650D46"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11 </w:t>
      </w:r>
      <w:r w:rsidRPr="007F54EA">
        <w:rPr>
          <w:rFonts w:ascii="Arial" w:hAnsi="Arial" w:cs="Arial"/>
          <w:sz w:val="22"/>
          <w:lang w:val="en-US"/>
        </w:rPr>
        <w:tab/>
        <w:t xml:space="preserve">Goswami IR, Whyte H, Wintermark P, </w:t>
      </w:r>
      <w:r w:rsidRPr="007F54EA">
        <w:rPr>
          <w:rFonts w:ascii="Arial" w:hAnsi="Arial" w:cs="Arial"/>
          <w:i/>
          <w:iCs/>
          <w:sz w:val="22"/>
          <w:lang w:val="en-US"/>
        </w:rPr>
        <w:t>et al.</w:t>
      </w:r>
      <w:r w:rsidRPr="007F54EA">
        <w:rPr>
          <w:rFonts w:ascii="Arial" w:hAnsi="Arial" w:cs="Arial"/>
          <w:sz w:val="22"/>
          <w:lang w:val="en-US"/>
        </w:rPr>
        <w:t xml:space="preserve"> Characteristics and short-term outcomes of neonates with mild hypoxic-ischemic encephalopathy treated with hypothermia. </w:t>
      </w:r>
      <w:r w:rsidRPr="007F54EA">
        <w:rPr>
          <w:rFonts w:ascii="Arial" w:hAnsi="Arial" w:cs="Arial"/>
          <w:i/>
          <w:iCs/>
          <w:sz w:val="22"/>
          <w:lang w:val="en-US"/>
        </w:rPr>
        <w:t>J Perinatol</w:t>
      </w:r>
      <w:r w:rsidRPr="007F54EA">
        <w:rPr>
          <w:rFonts w:ascii="Arial" w:hAnsi="Arial" w:cs="Arial"/>
          <w:sz w:val="22"/>
          <w:lang w:val="en-US"/>
        </w:rPr>
        <w:t xml:space="preserve"> 2020;</w:t>
      </w:r>
      <w:r w:rsidRPr="007F54EA">
        <w:rPr>
          <w:rFonts w:ascii="Arial" w:hAnsi="Arial" w:cs="Arial"/>
          <w:b/>
          <w:bCs/>
          <w:sz w:val="22"/>
          <w:lang w:val="en-US"/>
        </w:rPr>
        <w:t>40</w:t>
      </w:r>
      <w:r w:rsidRPr="007F54EA">
        <w:rPr>
          <w:rFonts w:ascii="Arial" w:hAnsi="Arial" w:cs="Arial"/>
          <w:sz w:val="22"/>
          <w:lang w:val="en-US"/>
        </w:rPr>
        <w:t>:275–83. doi:10.1038/s41372-019-0551-2</w:t>
      </w:r>
    </w:p>
    <w:p w14:paraId="16BB03D5"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12 </w:t>
      </w:r>
      <w:r w:rsidRPr="007F54EA">
        <w:rPr>
          <w:rFonts w:ascii="Arial" w:hAnsi="Arial" w:cs="Arial"/>
          <w:sz w:val="22"/>
          <w:lang w:val="en-US"/>
        </w:rPr>
        <w:tab/>
        <w:t xml:space="preserve">Rao R, Mietzsch U, DiGeronimo R, </w:t>
      </w:r>
      <w:r w:rsidRPr="007F54EA">
        <w:rPr>
          <w:rFonts w:ascii="Arial" w:hAnsi="Arial" w:cs="Arial"/>
          <w:i/>
          <w:iCs/>
          <w:sz w:val="22"/>
          <w:lang w:val="en-US"/>
        </w:rPr>
        <w:t>et al.</w:t>
      </w:r>
      <w:r w:rsidRPr="007F54EA">
        <w:rPr>
          <w:rFonts w:ascii="Arial" w:hAnsi="Arial" w:cs="Arial"/>
          <w:sz w:val="22"/>
          <w:lang w:val="en-US"/>
        </w:rPr>
        <w:t xml:space="preserve"> Utilization of Therapeutic Hypothermia and Neurological Injury in Neonates with Mild Hypoxic-Ischemic Encephalopathy: A Report </w:t>
      </w:r>
      <w:r w:rsidRPr="007F54EA">
        <w:rPr>
          <w:rFonts w:ascii="Arial" w:hAnsi="Arial" w:cs="Arial"/>
          <w:sz w:val="22"/>
          <w:lang w:val="en-US"/>
        </w:rPr>
        <w:lastRenderedPageBreak/>
        <w:t xml:space="preserve">from Children’s Hospital Neonatal Consortium. </w:t>
      </w:r>
      <w:r w:rsidRPr="007F54EA">
        <w:rPr>
          <w:rFonts w:ascii="Arial" w:hAnsi="Arial" w:cs="Arial"/>
          <w:i/>
          <w:iCs/>
          <w:sz w:val="22"/>
          <w:lang w:val="en-US"/>
        </w:rPr>
        <w:t>Am J Perinatol</w:t>
      </w:r>
      <w:r w:rsidRPr="007F54EA">
        <w:rPr>
          <w:rFonts w:ascii="Arial" w:hAnsi="Arial" w:cs="Arial"/>
          <w:sz w:val="22"/>
          <w:lang w:val="en-US"/>
        </w:rPr>
        <w:t xml:space="preserve"> Published Online First: 6 September 2020. doi:10.1055/s-0040-1716341</w:t>
      </w:r>
    </w:p>
    <w:p w14:paraId="1F8ECE35"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13 </w:t>
      </w:r>
      <w:r w:rsidRPr="007F54EA">
        <w:rPr>
          <w:rFonts w:ascii="Arial" w:hAnsi="Arial" w:cs="Arial"/>
          <w:sz w:val="22"/>
          <w:lang w:val="en-US"/>
        </w:rPr>
        <w:tab/>
        <w:t xml:space="preserve">Kracer B, Hintz SR, Van Meurs KP, </w:t>
      </w:r>
      <w:r w:rsidRPr="007F54EA">
        <w:rPr>
          <w:rFonts w:ascii="Arial" w:hAnsi="Arial" w:cs="Arial"/>
          <w:i/>
          <w:iCs/>
          <w:sz w:val="22"/>
          <w:lang w:val="en-US"/>
        </w:rPr>
        <w:t>et al.</w:t>
      </w:r>
      <w:r w:rsidRPr="007F54EA">
        <w:rPr>
          <w:rFonts w:ascii="Arial" w:hAnsi="Arial" w:cs="Arial"/>
          <w:sz w:val="22"/>
          <w:lang w:val="en-US"/>
        </w:rPr>
        <w:t xml:space="preserve"> Hypothermia Therapy for Neonatal Hypoxic Ischemic Encephalopathy in the State of California. </w:t>
      </w:r>
      <w:r w:rsidRPr="007F54EA">
        <w:rPr>
          <w:rFonts w:ascii="Arial" w:hAnsi="Arial" w:cs="Arial"/>
          <w:i/>
          <w:iCs/>
          <w:sz w:val="22"/>
          <w:lang w:val="en-US"/>
        </w:rPr>
        <w:t>The Journal of Pediatrics</w:t>
      </w:r>
      <w:r w:rsidRPr="007F54EA">
        <w:rPr>
          <w:rFonts w:ascii="Arial" w:hAnsi="Arial" w:cs="Arial"/>
          <w:sz w:val="22"/>
          <w:lang w:val="en-US"/>
        </w:rPr>
        <w:t xml:space="preserve"> 2014;</w:t>
      </w:r>
      <w:r w:rsidRPr="007F54EA">
        <w:rPr>
          <w:rFonts w:ascii="Arial" w:hAnsi="Arial" w:cs="Arial"/>
          <w:b/>
          <w:bCs/>
          <w:sz w:val="22"/>
          <w:lang w:val="en-US"/>
        </w:rPr>
        <w:t>165</w:t>
      </w:r>
      <w:r w:rsidRPr="007F54EA">
        <w:rPr>
          <w:rFonts w:ascii="Arial" w:hAnsi="Arial" w:cs="Arial"/>
          <w:sz w:val="22"/>
          <w:lang w:val="en-US"/>
        </w:rPr>
        <w:t>:267–73. doi:10.1016/j.jpeds.2014.04.052</w:t>
      </w:r>
    </w:p>
    <w:p w14:paraId="44899A33"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14 </w:t>
      </w:r>
      <w:r w:rsidRPr="007F54EA">
        <w:rPr>
          <w:rFonts w:ascii="Arial" w:hAnsi="Arial" w:cs="Arial"/>
          <w:sz w:val="22"/>
          <w:lang w:val="en-US"/>
        </w:rPr>
        <w:tab/>
        <w:t xml:space="preserve">Azzopardi D, Strohm B, Linsell L, </w:t>
      </w:r>
      <w:r w:rsidRPr="007F54EA">
        <w:rPr>
          <w:rFonts w:ascii="Arial" w:hAnsi="Arial" w:cs="Arial"/>
          <w:i/>
          <w:iCs/>
          <w:sz w:val="22"/>
          <w:lang w:val="en-US"/>
        </w:rPr>
        <w:t>et al.</w:t>
      </w:r>
      <w:r w:rsidRPr="007F54EA">
        <w:rPr>
          <w:rFonts w:ascii="Arial" w:hAnsi="Arial" w:cs="Arial"/>
          <w:sz w:val="22"/>
          <w:lang w:val="en-US"/>
        </w:rPr>
        <w:t xml:space="preserve"> Implementation and Conduct of Therapeutic Hypothermia for Perinatal Asphyxial Encephalopathy in the UK – Analysis of National Data. </w:t>
      </w:r>
      <w:r w:rsidRPr="007F54EA">
        <w:rPr>
          <w:rFonts w:ascii="Arial" w:hAnsi="Arial" w:cs="Arial"/>
          <w:i/>
          <w:iCs/>
          <w:sz w:val="22"/>
          <w:lang w:val="en-US"/>
        </w:rPr>
        <w:t>PLOS ONE</w:t>
      </w:r>
      <w:r w:rsidRPr="007F54EA">
        <w:rPr>
          <w:rFonts w:ascii="Arial" w:hAnsi="Arial" w:cs="Arial"/>
          <w:sz w:val="22"/>
          <w:lang w:val="en-US"/>
        </w:rPr>
        <w:t xml:space="preserve"> 2012;</w:t>
      </w:r>
      <w:r w:rsidRPr="007F54EA">
        <w:rPr>
          <w:rFonts w:ascii="Arial" w:hAnsi="Arial" w:cs="Arial"/>
          <w:b/>
          <w:bCs/>
          <w:sz w:val="22"/>
          <w:lang w:val="en-US"/>
        </w:rPr>
        <w:t>7</w:t>
      </w:r>
      <w:r w:rsidRPr="007F54EA">
        <w:rPr>
          <w:rFonts w:ascii="Arial" w:hAnsi="Arial" w:cs="Arial"/>
          <w:sz w:val="22"/>
          <w:lang w:val="en-US"/>
        </w:rPr>
        <w:t>:e38504. doi:10.1371/journal.pone.0038504</w:t>
      </w:r>
    </w:p>
    <w:p w14:paraId="6DED7349"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15 </w:t>
      </w:r>
      <w:r w:rsidRPr="007F54EA">
        <w:rPr>
          <w:rFonts w:ascii="Arial" w:hAnsi="Arial" w:cs="Arial"/>
          <w:sz w:val="22"/>
          <w:lang w:val="en-US"/>
        </w:rPr>
        <w:tab/>
        <w:t xml:space="preserve">Mehta S, Joshi A, Bajuk B, </w:t>
      </w:r>
      <w:r w:rsidRPr="007F54EA">
        <w:rPr>
          <w:rFonts w:ascii="Arial" w:hAnsi="Arial" w:cs="Arial"/>
          <w:i/>
          <w:iCs/>
          <w:sz w:val="22"/>
          <w:lang w:val="en-US"/>
        </w:rPr>
        <w:t>et al.</w:t>
      </w:r>
      <w:r w:rsidRPr="007F54EA">
        <w:rPr>
          <w:rFonts w:ascii="Arial" w:hAnsi="Arial" w:cs="Arial"/>
          <w:sz w:val="22"/>
          <w:lang w:val="en-US"/>
        </w:rPr>
        <w:t xml:space="preserve"> Eligibility criteria for therapeutic hypothermia: From trials to clinical practice. </w:t>
      </w:r>
      <w:r w:rsidRPr="007F54EA">
        <w:rPr>
          <w:rFonts w:ascii="Arial" w:hAnsi="Arial" w:cs="Arial"/>
          <w:i/>
          <w:iCs/>
          <w:sz w:val="22"/>
          <w:lang w:val="en-US"/>
        </w:rPr>
        <w:t>Journal of Paediatrics and Child Health</w:t>
      </w:r>
      <w:r w:rsidRPr="007F54EA">
        <w:rPr>
          <w:rFonts w:ascii="Arial" w:hAnsi="Arial" w:cs="Arial"/>
          <w:sz w:val="22"/>
          <w:lang w:val="en-US"/>
        </w:rPr>
        <w:t xml:space="preserve"> 2017;</w:t>
      </w:r>
      <w:r w:rsidRPr="007F54EA">
        <w:rPr>
          <w:rFonts w:ascii="Arial" w:hAnsi="Arial" w:cs="Arial"/>
          <w:b/>
          <w:bCs/>
          <w:sz w:val="22"/>
          <w:lang w:val="en-US"/>
        </w:rPr>
        <w:t>53</w:t>
      </w:r>
      <w:r w:rsidRPr="007F54EA">
        <w:rPr>
          <w:rFonts w:ascii="Arial" w:hAnsi="Arial" w:cs="Arial"/>
          <w:sz w:val="22"/>
          <w:lang w:val="en-US"/>
        </w:rPr>
        <w:t>:295–300. doi:10.1111/jpc.13378</w:t>
      </w:r>
    </w:p>
    <w:p w14:paraId="496CB2C7"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16 </w:t>
      </w:r>
      <w:r w:rsidRPr="007F54EA">
        <w:rPr>
          <w:rFonts w:ascii="Arial" w:hAnsi="Arial" w:cs="Arial"/>
          <w:sz w:val="22"/>
          <w:lang w:val="en-US"/>
        </w:rPr>
        <w:tab/>
        <w:t>Optimising the Duration of Cooling in Mild Encephalopathy - Full Text View - ClinicalTrials.gov. https://clinicaltrials.gov/ct2/show/NCT03409770 (accessed 18 Feb 2020).</w:t>
      </w:r>
    </w:p>
    <w:p w14:paraId="6A134E7D"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17 </w:t>
      </w:r>
      <w:r w:rsidRPr="007F54EA">
        <w:rPr>
          <w:rFonts w:ascii="Arial" w:hAnsi="Arial" w:cs="Arial"/>
          <w:sz w:val="22"/>
          <w:lang w:val="en-US"/>
        </w:rPr>
        <w:tab/>
        <w:t xml:space="preserve">Oliveira V, Singhvi DP, Montaldo P, </w:t>
      </w:r>
      <w:r w:rsidRPr="007F54EA">
        <w:rPr>
          <w:rFonts w:ascii="Arial" w:hAnsi="Arial" w:cs="Arial"/>
          <w:i/>
          <w:iCs/>
          <w:sz w:val="22"/>
          <w:lang w:val="en-US"/>
        </w:rPr>
        <w:t>et al.</w:t>
      </w:r>
      <w:r w:rsidRPr="007F54EA">
        <w:rPr>
          <w:rFonts w:ascii="Arial" w:hAnsi="Arial" w:cs="Arial"/>
          <w:sz w:val="22"/>
          <w:lang w:val="en-US"/>
        </w:rPr>
        <w:t xml:space="preserve"> Therapeutic hypothermia in mild neonatal encephalopathy: a national survey of practice in the UK. </w:t>
      </w:r>
      <w:r w:rsidRPr="007F54EA">
        <w:rPr>
          <w:rFonts w:ascii="Arial" w:hAnsi="Arial" w:cs="Arial"/>
          <w:i/>
          <w:iCs/>
          <w:sz w:val="22"/>
          <w:lang w:val="en-US"/>
        </w:rPr>
        <w:t>Archives of Disease in Childhood - Fetal and Neonatal Edition</w:t>
      </w:r>
      <w:r w:rsidRPr="007F54EA">
        <w:rPr>
          <w:rFonts w:ascii="Arial" w:hAnsi="Arial" w:cs="Arial"/>
          <w:sz w:val="22"/>
          <w:lang w:val="en-US"/>
        </w:rPr>
        <w:t xml:space="preserve"> 2018;</w:t>
      </w:r>
      <w:r w:rsidRPr="007F54EA">
        <w:rPr>
          <w:rFonts w:ascii="Arial" w:hAnsi="Arial" w:cs="Arial"/>
          <w:b/>
          <w:bCs/>
          <w:sz w:val="22"/>
          <w:lang w:val="en-US"/>
        </w:rPr>
        <w:t>103</w:t>
      </w:r>
      <w:r w:rsidRPr="007F54EA">
        <w:rPr>
          <w:rFonts w:ascii="Arial" w:hAnsi="Arial" w:cs="Arial"/>
          <w:sz w:val="22"/>
          <w:lang w:val="en-US"/>
        </w:rPr>
        <w:t>:F388–90. doi:10.1136/archdischild-2017-313320</w:t>
      </w:r>
    </w:p>
    <w:p w14:paraId="01B6F538"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18 </w:t>
      </w:r>
      <w:r w:rsidRPr="007F54EA">
        <w:rPr>
          <w:rFonts w:ascii="Arial" w:hAnsi="Arial" w:cs="Arial"/>
          <w:sz w:val="22"/>
          <w:lang w:val="en-US"/>
        </w:rPr>
        <w:tab/>
        <w:t xml:space="preserve">Lucke AM, Shetty AN, Hagan JL, </w:t>
      </w:r>
      <w:r w:rsidRPr="007F54EA">
        <w:rPr>
          <w:rFonts w:ascii="Arial" w:hAnsi="Arial" w:cs="Arial"/>
          <w:i/>
          <w:iCs/>
          <w:sz w:val="22"/>
          <w:lang w:val="en-US"/>
        </w:rPr>
        <w:t>et al.</w:t>
      </w:r>
      <w:r w:rsidRPr="007F54EA">
        <w:rPr>
          <w:rFonts w:ascii="Arial" w:hAnsi="Arial" w:cs="Arial"/>
          <w:sz w:val="22"/>
          <w:lang w:val="en-US"/>
        </w:rPr>
        <w:t xml:space="preserve"> Early proton magnetic resonance spectroscopy during and after therapeutic hypothermia in perinatal hypoxic–ischemic encephalopathy. </w:t>
      </w:r>
      <w:r w:rsidRPr="007F54EA">
        <w:rPr>
          <w:rFonts w:ascii="Arial" w:hAnsi="Arial" w:cs="Arial"/>
          <w:i/>
          <w:iCs/>
          <w:sz w:val="22"/>
          <w:lang w:val="en-US"/>
        </w:rPr>
        <w:t>Pediatric Radiology</w:t>
      </w:r>
      <w:r w:rsidRPr="007F54EA">
        <w:rPr>
          <w:rFonts w:ascii="Arial" w:hAnsi="Arial" w:cs="Arial"/>
          <w:sz w:val="22"/>
          <w:lang w:val="en-US"/>
        </w:rPr>
        <w:t xml:space="preserve"> Published Online First: 28 March 2019. doi:10.1007/s00247-019-04383-8</w:t>
      </w:r>
    </w:p>
    <w:p w14:paraId="62EA16B8"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19 </w:t>
      </w:r>
      <w:r w:rsidRPr="007F54EA">
        <w:rPr>
          <w:rFonts w:ascii="Arial" w:hAnsi="Arial" w:cs="Arial"/>
          <w:sz w:val="22"/>
          <w:lang w:val="en-US"/>
        </w:rPr>
        <w:tab/>
        <w:t xml:space="preserve">Battersby C, Statnikov Y, Santhakumaran S, </w:t>
      </w:r>
      <w:r w:rsidRPr="007F54EA">
        <w:rPr>
          <w:rFonts w:ascii="Arial" w:hAnsi="Arial" w:cs="Arial"/>
          <w:i/>
          <w:iCs/>
          <w:sz w:val="22"/>
          <w:lang w:val="en-US"/>
        </w:rPr>
        <w:t>et al.</w:t>
      </w:r>
      <w:r w:rsidRPr="007F54EA">
        <w:rPr>
          <w:rFonts w:ascii="Arial" w:hAnsi="Arial" w:cs="Arial"/>
          <w:sz w:val="22"/>
          <w:lang w:val="en-US"/>
        </w:rPr>
        <w:t xml:space="preserve"> The United Kingdom National Neonatal Research Database: A validation study. </w:t>
      </w:r>
      <w:r w:rsidRPr="007F54EA">
        <w:rPr>
          <w:rFonts w:ascii="Arial" w:hAnsi="Arial" w:cs="Arial"/>
          <w:i/>
          <w:iCs/>
          <w:sz w:val="22"/>
          <w:lang w:val="en-US"/>
        </w:rPr>
        <w:t>PLOS ONE</w:t>
      </w:r>
      <w:r w:rsidRPr="007F54EA">
        <w:rPr>
          <w:rFonts w:ascii="Arial" w:hAnsi="Arial" w:cs="Arial"/>
          <w:sz w:val="22"/>
          <w:lang w:val="en-US"/>
        </w:rPr>
        <w:t xml:space="preserve"> 2018;</w:t>
      </w:r>
      <w:r w:rsidRPr="007F54EA">
        <w:rPr>
          <w:rFonts w:ascii="Arial" w:hAnsi="Arial" w:cs="Arial"/>
          <w:b/>
          <w:bCs/>
          <w:sz w:val="22"/>
          <w:lang w:val="en-US"/>
        </w:rPr>
        <w:t>13</w:t>
      </w:r>
      <w:r w:rsidRPr="007F54EA">
        <w:rPr>
          <w:rFonts w:ascii="Arial" w:hAnsi="Arial" w:cs="Arial"/>
          <w:sz w:val="22"/>
          <w:lang w:val="en-US"/>
        </w:rPr>
        <w:t>:e0201815. doi:10.1371/journal.pone.0201815</w:t>
      </w:r>
    </w:p>
    <w:p w14:paraId="49768596"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20 </w:t>
      </w:r>
      <w:r w:rsidRPr="007F54EA">
        <w:rPr>
          <w:rFonts w:ascii="Arial" w:hAnsi="Arial" w:cs="Arial"/>
          <w:sz w:val="22"/>
          <w:lang w:val="en-US"/>
        </w:rPr>
        <w:tab/>
        <w:t>National Neonatal Data Set Overview. https://www.datadictionary.nhs.uk/web_site_content/navigation/national_neonatal_data_sets_menu.asp</w:t>
      </w:r>
    </w:p>
    <w:p w14:paraId="62EF95D2"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21 </w:t>
      </w:r>
      <w:r w:rsidRPr="007F54EA">
        <w:rPr>
          <w:rFonts w:ascii="Arial" w:hAnsi="Arial" w:cs="Arial"/>
          <w:sz w:val="22"/>
          <w:lang w:val="en-US"/>
        </w:rPr>
        <w:tab/>
        <w:t xml:space="preserve">Walsh BH, Neil J, Morey J, </w:t>
      </w:r>
      <w:r w:rsidRPr="007F54EA">
        <w:rPr>
          <w:rFonts w:ascii="Arial" w:hAnsi="Arial" w:cs="Arial"/>
          <w:i/>
          <w:iCs/>
          <w:sz w:val="22"/>
          <w:lang w:val="en-US"/>
        </w:rPr>
        <w:t>et al.</w:t>
      </w:r>
      <w:r w:rsidRPr="007F54EA">
        <w:rPr>
          <w:rFonts w:ascii="Arial" w:hAnsi="Arial" w:cs="Arial"/>
          <w:sz w:val="22"/>
          <w:lang w:val="en-US"/>
        </w:rPr>
        <w:t xml:space="preserve"> The Frequency and Severity of Magnetic Resonance Imaging Abnormalities in Infants with Mild Neonatal Encephalopathy. </w:t>
      </w:r>
      <w:r w:rsidRPr="007F54EA">
        <w:rPr>
          <w:rFonts w:ascii="Arial" w:hAnsi="Arial" w:cs="Arial"/>
          <w:i/>
          <w:iCs/>
          <w:sz w:val="22"/>
          <w:lang w:val="en-US"/>
        </w:rPr>
        <w:t>The Journal of Pediatrics</w:t>
      </w:r>
      <w:r w:rsidRPr="007F54EA">
        <w:rPr>
          <w:rFonts w:ascii="Arial" w:hAnsi="Arial" w:cs="Arial"/>
          <w:sz w:val="22"/>
          <w:lang w:val="en-US"/>
        </w:rPr>
        <w:t xml:space="preserve"> 2017;</w:t>
      </w:r>
      <w:r w:rsidRPr="007F54EA">
        <w:rPr>
          <w:rFonts w:ascii="Arial" w:hAnsi="Arial" w:cs="Arial"/>
          <w:b/>
          <w:bCs/>
          <w:sz w:val="22"/>
          <w:lang w:val="en-US"/>
        </w:rPr>
        <w:t>187</w:t>
      </w:r>
      <w:r w:rsidRPr="007F54EA">
        <w:rPr>
          <w:rFonts w:ascii="Arial" w:hAnsi="Arial" w:cs="Arial"/>
          <w:sz w:val="22"/>
          <w:lang w:val="en-US"/>
        </w:rPr>
        <w:t>:26-33.e1. doi:10.1016/j.jpeds.2017.03.065</w:t>
      </w:r>
    </w:p>
    <w:p w14:paraId="1C537A53"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22 </w:t>
      </w:r>
      <w:r w:rsidRPr="007F54EA">
        <w:rPr>
          <w:rFonts w:ascii="Arial" w:hAnsi="Arial" w:cs="Arial"/>
          <w:sz w:val="22"/>
          <w:lang w:val="en-US"/>
        </w:rPr>
        <w:tab/>
        <w:t xml:space="preserve">Peliowski-Davidovich A. Hypothermia for newborns with hypoxic ischemic encephalopathy. </w:t>
      </w:r>
      <w:r w:rsidRPr="007F54EA">
        <w:rPr>
          <w:rFonts w:ascii="Arial" w:hAnsi="Arial" w:cs="Arial"/>
          <w:i/>
          <w:iCs/>
          <w:sz w:val="22"/>
          <w:lang w:val="en-US"/>
        </w:rPr>
        <w:t>Paediatr Child Health</w:t>
      </w:r>
      <w:r w:rsidRPr="007F54EA">
        <w:rPr>
          <w:rFonts w:ascii="Arial" w:hAnsi="Arial" w:cs="Arial"/>
          <w:sz w:val="22"/>
          <w:lang w:val="en-US"/>
        </w:rPr>
        <w:t xml:space="preserve"> 2012;</w:t>
      </w:r>
      <w:r w:rsidRPr="007F54EA">
        <w:rPr>
          <w:rFonts w:ascii="Arial" w:hAnsi="Arial" w:cs="Arial"/>
          <w:b/>
          <w:bCs/>
          <w:sz w:val="22"/>
          <w:lang w:val="en-US"/>
        </w:rPr>
        <w:t>17</w:t>
      </w:r>
      <w:r w:rsidRPr="007F54EA">
        <w:rPr>
          <w:rFonts w:ascii="Arial" w:hAnsi="Arial" w:cs="Arial"/>
          <w:sz w:val="22"/>
          <w:lang w:val="en-US"/>
        </w:rPr>
        <w:t>:41–3.</w:t>
      </w:r>
    </w:p>
    <w:p w14:paraId="49887E3F"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23 </w:t>
      </w:r>
      <w:r w:rsidRPr="007F54EA">
        <w:rPr>
          <w:rFonts w:ascii="Arial" w:hAnsi="Arial" w:cs="Arial"/>
          <w:sz w:val="22"/>
          <w:lang w:val="en-US"/>
        </w:rPr>
        <w:tab/>
        <w:t xml:space="preserve">Massaro AN, Murthy K, Zaniletti I, </w:t>
      </w:r>
      <w:r w:rsidRPr="007F54EA">
        <w:rPr>
          <w:rFonts w:ascii="Arial" w:hAnsi="Arial" w:cs="Arial"/>
          <w:i/>
          <w:iCs/>
          <w:sz w:val="22"/>
          <w:lang w:val="en-US"/>
        </w:rPr>
        <w:t>et al.</w:t>
      </w:r>
      <w:r w:rsidRPr="007F54EA">
        <w:rPr>
          <w:rFonts w:ascii="Arial" w:hAnsi="Arial" w:cs="Arial"/>
          <w:sz w:val="22"/>
          <w:lang w:val="en-US"/>
        </w:rPr>
        <w:t xml:space="preserve"> Short-term outcomes after perinatal hypoxic ischemic encephalopathy: a report from the Children’s Hospitals Neonatal Consortium HIE focus group. </w:t>
      </w:r>
      <w:r w:rsidRPr="007F54EA">
        <w:rPr>
          <w:rFonts w:ascii="Arial" w:hAnsi="Arial" w:cs="Arial"/>
          <w:i/>
          <w:iCs/>
          <w:sz w:val="22"/>
          <w:lang w:val="en-US"/>
        </w:rPr>
        <w:t>Journal of Perinatology</w:t>
      </w:r>
      <w:r w:rsidRPr="007F54EA">
        <w:rPr>
          <w:rFonts w:ascii="Arial" w:hAnsi="Arial" w:cs="Arial"/>
          <w:sz w:val="22"/>
          <w:lang w:val="en-US"/>
        </w:rPr>
        <w:t xml:space="preserve"> 2015;</w:t>
      </w:r>
      <w:r w:rsidRPr="007F54EA">
        <w:rPr>
          <w:rFonts w:ascii="Arial" w:hAnsi="Arial" w:cs="Arial"/>
          <w:b/>
          <w:bCs/>
          <w:sz w:val="22"/>
          <w:lang w:val="en-US"/>
        </w:rPr>
        <w:t>35</w:t>
      </w:r>
      <w:r w:rsidRPr="007F54EA">
        <w:rPr>
          <w:rFonts w:ascii="Arial" w:hAnsi="Arial" w:cs="Arial"/>
          <w:sz w:val="22"/>
          <w:lang w:val="en-US"/>
        </w:rPr>
        <w:t>:290–6. doi:10.1038/jp.2014.190</w:t>
      </w:r>
    </w:p>
    <w:p w14:paraId="1460044A"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24 </w:t>
      </w:r>
      <w:r w:rsidRPr="007F54EA">
        <w:rPr>
          <w:rFonts w:ascii="Arial" w:hAnsi="Arial" w:cs="Arial"/>
          <w:sz w:val="22"/>
          <w:lang w:val="en-US"/>
        </w:rPr>
        <w:tab/>
        <w:t xml:space="preserve">Saw CL, Rakshasbhuvankar A, Rao S, </w:t>
      </w:r>
      <w:r w:rsidRPr="007F54EA">
        <w:rPr>
          <w:rFonts w:ascii="Arial" w:hAnsi="Arial" w:cs="Arial"/>
          <w:i/>
          <w:iCs/>
          <w:sz w:val="22"/>
          <w:lang w:val="en-US"/>
        </w:rPr>
        <w:t>et al.</w:t>
      </w:r>
      <w:r w:rsidRPr="007F54EA">
        <w:rPr>
          <w:rFonts w:ascii="Arial" w:hAnsi="Arial" w:cs="Arial"/>
          <w:sz w:val="22"/>
          <w:lang w:val="en-US"/>
        </w:rPr>
        <w:t xml:space="preserve"> Current Practice of Therapeutic Hypothermia for Mild Hypoxic Ischemic Encephalopathy. </w:t>
      </w:r>
      <w:r w:rsidRPr="007F54EA">
        <w:rPr>
          <w:rFonts w:ascii="Arial" w:hAnsi="Arial" w:cs="Arial"/>
          <w:i/>
          <w:iCs/>
          <w:sz w:val="22"/>
          <w:lang w:val="en-US"/>
        </w:rPr>
        <w:t>J Child Neurol</w:t>
      </w:r>
      <w:r w:rsidRPr="007F54EA">
        <w:rPr>
          <w:rFonts w:ascii="Arial" w:hAnsi="Arial" w:cs="Arial"/>
          <w:sz w:val="22"/>
          <w:lang w:val="en-US"/>
        </w:rPr>
        <w:t xml:space="preserve"> 2019;</w:t>
      </w:r>
      <w:r w:rsidRPr="007F54EA">
        <w:rPr>
          <w:rFonts w:ascii="Arial" w:hAnsi="Arial" w:cs="Arial"/>
          <w:b/>
          <w:bCs/>
          <w:sz w:val="22"/>
          <w:lang w:val="en-US"/>
        </w:rPr>
        <w:t>34</w:t>
      </w:r>
      <w:r w:rsidRPr="007F54EA">
        <w:rPr>
          <w:rFonts w:ascii="Arial" w:hAnsi="Arial" w:cs="Arial"/>
          <w:sz w:val="22"/>
          <w:lang w:val="en-US"/>
        </w:rPr>
        <w:t>:402–9. doi:10.1177/0883073819828625</w:t>
      </w:r>
    </w:p>
    <w:p w14:paraId="429156B6"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25 </w:t>
      </w:r>
      <w:r w:rsidRPr="007F54EA">
        <w:rPr>
          <w:rFonts w:ascii="Arial" w:hAnsi="Arial" w:cs="Arial"/>
          <w:sz w:val="22"/>
          <w:lang w:val="en-US"/>
        </w:rPr>
        <w:tab/>
        <w:t xml:space="preserve">Azzopardi D, Strohm B, Marlow N, </w:t>
      </w:r>
      <w:r w:rsidRPr="007F54EA">
        <w:rPr>
          <w:rFonts w:ascii="Arial" w:hAnsi="Arial" w:cs="Arial"/>
          <w:i/>
          <w:iCs/>
          <w:sz w:val="22"/>
          <w:lang w:val="en-US"/>
        </w:rPr>
        <w:t>et al.</w:t>
      </w:r>
      <w:r w:rsidRPr="007F54EA">
        <w:rPr>
          <w:rFonts w:ascii="Arial" w:hAnsi="Arial" w:cs="Arial"/>
          <w:sz w:val="22"/>
          <w:lang w:val="en-US"/>
        </w:rPr>
        <w:t xml:space="preserve"> Effects of Hypothermia for Perinatal Asphyxia on Childhood Outcomes. </w:t>
      </w:r>
      <w:r w:rsidRPr="007F54EA">
        <w:rPr>
          <w:rFonts w:ascii="Arial" w:hAnsi="Arial" w:cs="Arial"/>
          <w:i/>
          <w:iCs/>
          <w:sz w:val="22"/>
          <w:lang w:val="en-US"/>
        </w:rPr>
        <w:t>New England Journal of Medicine</w:t>
      </w:r>
      <w:r w:rsidRPr="007F54EA">
        <w:rPr>
          <w:rFonts w:ascii="Arial" w:hAnsi="Arial" w:cs="Arial"/>
          <w:sz w:val="22"/>
          <w:lang w:val="en-US"/>
        </w:rPr>
        <w:t xml:space="preserve"> 2014;</w:t>
      </w:r>
      <w:r w:rsidRPr="007F54EA">
        <w:rPr>
          <w:rFonts w:ascii="Arial" w:hAnsi="Arial" w:cs="Arial"/>
          <w:b/>
          <w:bCs/>
          <w:sz w:val="22"/>
          <w:lang w:val="en-US"/>
        </w:rPr>
        <w:t>371</w:t>
      </w:r>
      <w:r w:rsidRPr="007F54EA">
        <w:rPr>
          <w:rFonts w:ascii="Arial" w:hAnsi="Arial" w:cs="Arial"/>
          <w:sz w:val="22"/>
          <w:lang w:val="en-US"/>
        </w:rPr>
        <w:t>:140–9. doi:10.1056/NEJMoa1315788</w:t>
      </w:r>
    </w:p>
    <w:p w14:paraId="5CB85710"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lastRenderedPageBreak/>
        <w:t xml:space="preserve">26 </w:t>
      </w:r>
      <w:r w:rsidRPr="007F54EA">
        <w:rPr>
          <w:rFonts w:ascii="Arial" w:hAnsi="Arial" w:cs="Arial"/>
          <w:sz w:val="22"/>
          <w:lang w:val="en-US"/>
        </w:rPr>
        <w:tab/>
        <w:t xml:space="preserve">Shankaran S, Pappas A, McDonald SA, </w:t>
      </w:r>
      <w:r w:rsidRPr="007F54EA">
        <w:rPr>
          <w:rFonts w:ascii="Arial" w:hAnsi="Arial" w:cs="Arial"/>
          <w:i/>
          <w:iCs/>
          <w:sz w:val="22"/>
          <w:lang w:val="en-US"/>
        </w:rPr>
        <w:t>et al.</w:t>
      </w:r>
      <w:r w:rsidRPr="007F54EA">
        <w:rPr>
          <w:rFonts w:ascii="Arial" w:hAnsi="Arial" w:cs="Arial"/>
          <w:sz w:val="22"/>
          <w:lang w:val="en-US"/>
        </w:rPr>
        <w:t xml:space="preserve"> Childhood Outcomes after Hypothermia for Neonatal Encephalopathy. </w:t>
      </w:r>
      <w:r w:rsidRPr="007F54EA">
        <w:rPr>
          <w:rFonts w:ascii="Arial" w:hAnsi="Arial" w:cs="Arial"/>
          <w:i/>
          <w:iCs/>
          <w:sz w:val="22"/>
          <w:lang w:val="en-US"/>
        </w:rPr>
        <w:t>New England Journal of Medicine</w:t>
      </w:r>
      <w:r w:rsidRPr="007F54EA">
        <w:rPr>
          <w:rFonts w:ascii="Arial" w:hAnsi="Arial" w:cs="Arial"/>
          <w:sz w:val="22"/>
          <w:lang w:val="en-US"/>
        </w:rPr>
        <w:t xml:space="preserve"> 2012;</w:t>
      </w:r>
      <w:r w:rsidRPr="007F54EA">
        <w:rPr>
          <w:rFonts w:ascii="Arial" w:hAnsi="Arial" w:cs="Arial"/>
          <w:b/>
          <w:bCs/>
          <w:sz w:val="22"/>
          <w:lang w:val="en-US"/>
        </w:rPr>
        <w:t>366</w:t>
      </w:r>
      <w:r w:rsidRPr="007F54EA">
        <w:rPr>
          <w:rFonts w:ascii="Arial" w:hAnsi="Arial" w:cs="Arial"/>
          <w:sz w:val="22"/>
          <w:lang w:val="en-US"/>
        </w:rPr>
        <w:t>:2085–92. doi:10.1056/NEJMoa1112066</w:t>
      </w:r>
    </w:p>
    <w:p w14:paraId="26F0DD93"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27 </w:t>
      </w:r>
      <w:r w:rsidRPr="007F54EA">
        <w:rPr>
          <w:rFonts w:ascii="Arial" w:hAnsi="Arial" w:cs="Arial"/>
          <w:sz w:val="22"/>
          <w:lang w:val="en-US"/>
        </w:rPr>
        <w:tab/>
        <w:t xml:space="preserve">Strohm B, Hobson A, Brocklehurst P, </w:t>
      </w:r>
      <w:r w:rsidRPr="007F54EA">
        <w:rPr>
          <w:rFonts w:ascii="Arial" w:hAnsi="Arial" w:cs="Arial"/>
          <w:i/>
          <w:iCs/>
          <w:sz w:val="22"/>
          <w:lang w:val="en-US"/>
        </w:rPr>
        <w:t>et al.</w:t>
      </w:r>
      <w:r w:rsidRPr="007F54EA">
        <w:rPr>
          <w:rFonts w:ascii="Arial" w:hAnsi="Arial" w:cs="Arial"/>
          <w:sz w:val="22"/>
          <w:lang w:val="en-US"/>
        </w:rPr>
        <w:t xml:space="preserve"> Subcutaneous fat necrosis after moderate therapeutic hypothermia in neonates. </w:t>
      </w:r>
      <w:r w:rsidRPr="007F54EA">
        <w:rPr>
          <w:rFonts w:ascii="Arial" w:hAnsi="Arial" w:cs="Arial"/>
          <w:i/>
          <w:iCs/>
          <w:sz w:val="22"/>
          <w:lang w:val="en-US"/>
        </w:rPr>
        <w:t>Pediatrics</w:t>
      </w:r>
      <w:r w:rsidRPr="007F54EA">
        <w:rPr>
          <w:rFonts w:ascii="Arial" w:hAnsi="Arial" w:cs="Arial"/>
          <w:sz w:val="22"/>
          <w:lang w:val="en-US"/>
        </w:rPr>
        <w:t xml:space="preserve"> 2011;</w:t>
      </w:r>
      <w:r w:rsidRPr="007F54EA">
        <w:rPr>
          <w:rFonts w:ascii="Arial" w:hAnsi="Arial" w:cs="Arial"/>
          <w:b/>
          <w:bCs/>
          <w:sz w:val="22"/>
          <w:lang w:val="en-US"/>
        </w:rPr>
        <w:t>128</w:t>
      </w:r>
      <w:r w:rsidRPr="007F54EA">
        <w:rPr>
          <w:rFonts w:ascii="Arial" w:hAnsi="Arial" w:cs="Arial"/>
          <w:sz w:val="22"/>
          <w:lang w:val="en-US"/>
        </w:rPr>
        <w:t>:e450-452. doi:10.1542/peds.2010-3508</w:t>
      </w:r>
    </w:p>
    <w:p w14:paraId="0171254D"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28 </w:t>
      </w:r>
      <w:r w:rsidRPr="007F54EA">
        <w:rPr>
          <w:rFonts w:ascii="Arial" w:hAnsi="Arial" w:cs="Arial"/>
          <w:sz w:val="22"/>
          <w:lang w:val="en-US"/>
        </w:rPr>
        <w:tab/>
        <w:t xml:space="preserve">Chawla S, Bates SV, Shankaran S. Is It Time for a Randomized Controlled Trial of Hypothermia for Mild Hypoxic-Ischemic Encephalopathy? </w:t>
      </w:r>
      <w:r w:rsidRPr="007F54EA">
        <w:rPr>
          <w:rFonts w:ascii="Arial" w:hAnsi="Arial" w:cs="Arial"/>
          <w:i/>
          <w:iCs/>
          <w:sz w:val="22"/>
          <w:lang w:val="en-US"/>
        </w:rPr>
        <w:t>J Pediatr</w:t>
      </w:r>
      <w:r w:rsidRPr="007F54EA">
        <w:rPr>
          <w:rFonts w:ascii="Arial" w:hAnsi="Arial" w:cs="Arial"/>
          <w:sz w:val="22"/>
          <w:lang w:val="en-US"/>
        </w:rPr>
        <w:t xml:space="preserve"> 2020;</w:t>
      </w:r>
      <w:r w:rsidRPr="007F54EA">
        <w:rPr>
          <w:rFonts w:ascii="Arial" w:hAnsi="Arial" w:cs="Arial"/>
          <w:b/>
          <w:bCs/>
          <w:sz w:val="22"/>
          <w:lang w:val="en-US"/>
        </w:rPr>
        <w:t>220</w:t>
      </w:r>
      <w:r w:rsidRPr="007F54EA">
        <w:rPr>
          <w:rFonts w:ascii="Arial" w:hAnsi="Arial" w:cs="Arial"/>
          <w:sz w:val="22"/>
          <w:lang w:val="en-US"/>
        </w:rPr>
        <w:t>:241–4. doi:10.1016/j.jpeds.2019.11.030</w:t>
      </w:r>
    </w:p>
    <w:p w14:paraId="6CB0A6BA"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29 </w:t>
      </w:r>
      <w:r w:rsidRPr="007F54EA">
        <w:rPr>
          <w:rFonts w:ascii="Arial" w:hAnsi="Arial" w:cs="Arial"/>
          <w:sz w:val="22"/>
          <w:lang w:val="en-US"/>
        </w:rPr>
        <w:tab/>
        <w:t xml:space="preserve">Conway JM, Walsh BH, Boylan GB, </w:t>
      </w:r>
      <w:r w:rsidRPr="007F54EA">
        <w:rPr>
          <w:rFonts w:ascii="Arial" w:hAnsi="Arial" w:cs="Arial"/>
          <w:i/>
          <w:iCs/>
          <w:sz w:val="22"/>
          <w:lang w:val="en-US"/>
        </w:rPr>
        <w:t>et al.</w:t>
      </w:r>
      <w:r w:rsidRPr="007F54EA">
        <w:rPr>
          <w:rFonts w:ascii="Arial" w:hAnsi="Arial" w:cs="Arial"/>
          <w:sz w:val="22"/>
          <w:lang w:val="en-US"/>
        </w:rPr>
        <w:t xml:space="preserve"> Mild hypoxic ischaemic encephalopathy and long term neurodevelopmental outcome - A systematic review. </w:t>
      </w:r>
      <w:r w:rsidRPr="007F54EA">
        <w:rPr>
          <w:rFonts w:ascii="Arial" w:hAnsi="Arial" w:cs="Arial"/>
          <w:i/>
          <w:iCs/>
          <w:sz w:val="22"/>
          <w:lang w:val="en-US"/>
        </w:rPr>
        <w:t>Early Human Development</w:t>
      </w:r>
      <w:r w:rsidRPr="007F54EA">
        <w:rPr>
          <w:rFonts w:ascii="Arial" w:hAnsi="Arial" w:cs="Arial"/>
          <w:sz w:val="22"/>
          <w:lang w:val="en-US"/>
        </w:rPr>
        <w:t xml:space="preserve"> 2018;</w:t>
      </w:r>
      <w:r w:rsidRPr="007F54EA">
        <w:rPr>
          <w:rFonts w:ascii="Arial" w:hAnsi="Arial" w:cs="Arial"/>
          <w:b/>
          <w:bCs/>
          <w:sz w:val="22"/>
          <w:lang w:val="en-US"/>
        </w:rPr>
        <w:t>120</w:t>
      </w:r>
      <w:r w:rsidRPr="007F54EA">
        <w:rPr>
          <w:rFonts w:ascii="Arial" w:hAnsi="Arial" w:cs="Arial"/>
          <w:sz w:val="22"/>
          <w:lang w:val="en-US"/>
        </w:rPr>
        <w:t>:80–7. doi:10.1016/j.earlhumdev.2018.02.007</w:t>
      </w:r>
    </w:p>
    <w:p w14:paraId="4FF930C5" w14:textId="77777777" w:rsidR="007F54EA" w:rsidRPr="007F54EA" w:rsidRDefault="007F54EA" w:rsidP="007F54EA">
      <w:pPr>
        <w:pStyle w:val="Bibliography"/>
        <w:rPr>
          <w:rFonts w:ascii="Arial" w:hAnsi="Arial" w:cs="Arial"/>
          <w:sz w:val="22"/>
          <w:lang w:val="en-US"/>
        </w:rPr>
      </w:pPr>
      <w:r w:rsidRPr="007F54EA">
        <w:rPr>
          <w:rFonts w:ascii="Arial" w:hAnsi="Arial" w:cs="Arial"/>
          <w:sz w:val="22"/>
          <w:lang w:val="en-US"/>
        </w:rPr>
        <w:t xml:space="preserve">30 </w:t>
      </w:r>
      <w:r w:rsidRPr="007F54EA">
        <w:rPr>
          <w:rFonts w:ascii="Arial" w:hAnsi="Arial" w:cs="Arial"/>
          <w:sz w:val="22"/>
          <w:lang w:val="en-US"/>
        </w:rPr>
        <w:tab/>
        <w:t>Each Baby Counts. Royal College of Obstetricians &amp;amp; Gynaecologists. https://www.rcog.org.uk/en/guidelines-research-services/audit-quality-improvement/each-baby-counts/ (accessed 26 Feb 2020).</w:t>
      </w:r>
    </w:p>
    <w:p w14:paraId="4D953FEB" w14:textId="1A9997C4" w:rsidR="006A0B55" w:rsidRDefault="00313560" w:rsidP="009C4B25">
      <w:pPr>
        <w:spacing w:line="480" w:lineRule="auto"/>
        <w:jc w:val="both"/>
        <w:rPr>
          <w:rFonts w:ascii="Arial" w:hAnsi="Arial" w:cs="Arial"/>
          <w:sz w:val="22"/>
          <w:szCs w:val="22"/>
        </w:rPr>
      </w:pPr>
      <w:r w:rsidRPr="002D4681">
        <w:rPr>
          <w:rFonts w:ascii="Arial" w:hAnsi="Arial" w:cs="Arial"/>
          <w:sz w:val="22"/>
          <w:szCs w:val="22"/>
        </w:rPr>
        <w:fldChar w:fldCharType="end"/>
      </w:r>
    </w:p>
    <w:p w14:paraId="5F265555" w14:textId="77777777" w:rsidR="00793E03" w:rsidRDefault="00793E03" w:rsidP="00515DE8">
      <w:pPr>
        <w:spacing w:line="480" w:lineRule="auto"/>
        <w:jc w:val="both"/>
        <w:rPr>
          <w:rFonts w:ascii="Arial" w:hAnsi="Arial" w:cs="Arial"/>
          <w:sz w:val="22"/>
          <w:szCs w:val="22"/>
        </w:rPr>
      </w:pPr>
    </w:p>
    <w:p w14:paraId="304ED474" w14:textId="77777777" w:rsidR="00793E03" w:rsidRDefault="00793E03" w:rsidP="00515DE8">
      <w:pPr>
        <w:spacing w:line="480" w:lineRule="auto"/>
        <w:jc w:val="both"/>
        <w:rPr>
          <w:rFonts w:ascii="Arial" w:hAnsi="Arial" w:cs="Arial"/>
          <w:sz w:val="22"/>
          <w:szCs w:val="22"/>
        </w:rPr>
      </w:pPr>
    </w:p>
    <w:p w14:paraId="712B6096" w14:textId="4586AB26" w:rsidR="00BF4F95" w:rsidRPr="002D4681" w:rsidRDefault="00793E03" w:rsidP="00793E03">
      <w:pP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EN.REFLIST </w:instrText>
      </w:r>
      <w:r>
        <w:rPr>
          <w:rFonts w:ascii="Arial" w:hAnsi="Arial" w:cs="Arial"/>
          <w:sz w:val="22"/>
          <w:szCs w:val="22"/>
        </w:rPr>
        <w:fldChar w:fldCharType="end"/>
      </w:r>
    </w:p>
    <w:sectPr w:rsidR="00BF4F95" w:rsidRPr="002D4681" w:rsidSect="004A77AB">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A914E9" w14:textId="77777777" w:rsidR="00904BF9" w:rsidRDefault="00904BF9" w:rsidP="00BF0327">
      <w:r>
        <w:separator/>
      </w:r>
    </w:p>
  </w:endnote>
  <w:endnote w:type="continuationSeparator" w:id="0">
    <w:p w14:paraId="361E9750" w14:textId="77777777" w:rsidR="00904BF9" w:rsidRDefault="00904BF9" w:rsidP="00BF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36154877"/>
      <w:docPartObj>
        <w:docPartGallery w:val="Page Numbers (Bottom of Page)"/>
        <w:docPartUnique/>
      </w:docPartObj>
    </w:sdtPr>
    <w:sdtEndPr>
      <w:rPr>
        <w:rStyle w:val="PageNumber"/>
      </w:rPr>
    </w:sdtEndPr>
    <w:sdtContent>
      <w:p w14:paraId="2BC64414" w14:textId="418F7D05" w:rsidR="00E12F78" w:rsidRDefault="00E12F78" w:rsidP="009900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5EC23" w14:textId="77777777" w:rsidR="00E12F78" w:rsidRDefault="00E12F78" w:rsidP="00BF03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18267143"/>
      <w:docPartObj>
        <w:docPartGallery w:val="Page Numbers (Bottom of Page)"/>
        <w:docPartUnique/>
      </w:docPartObj>
    </w:sdtPr>
    <w:sdtEndPr>
      <w:rPr>
        <w:rStyle w:val="PageNumber"/>
      </w:rPr>
    </w:sdtEndPr>
    <w:sdtContent>
      <w:p w14:paraId="0C0EABF0" w14:textId="66C9908D" w:rsidR="00E12F78" w:rsidRDefault="00E12F78" w:rsidP="009900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BE20FCE" w14:textId="77777777" w:rsidR="00E12F78" w:rsidRDefault="00E12F78" w:rsidP="00BF03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C6560" w14:textId="77777777" w:rsidR="00904BF9" w:rsidRDefault="00904BF9" w:rsidP="00BF0327">
      <w:r>
        <w:separator/>
      </w:r>
    </w:p>
  </w:footnote>
  <w:footnote w:type="continuationSeparator" w:id="0">
    <w:p w14:paraId="4B704370" w14:textId="77777777" w:rsidR="00904BF9" w:rsidRDefault="00904BF9" w:rsidP="00BF0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F42FF"/>
    <w:multiLevelType w:val="hybridMultilevel"/>
    <w:tmpl w:val="D9BA54A6"/>
    <w:lvl w:ilvl="0" w:tplc="319A2B8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669FF"/>
    <w:multiLevelType w:val="hybridMultilevel"/>
    <w:tmpl w:val="E6FAB7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97A31"/>
    <w:multiLevelType w:val="hybridMultilevel"/>
    <w:tmpl w:val="3E246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F1A7D"/>
    <w:multiLevelType w:val="multilevel"/>
    <w:tmpl w:val="42D66D9C"/>
    <w:lvl w:ilvl="0">
      <w:start w:val="1"/>
      <w:numFmt w:val="decimal"/>
      <w:lvlText w:val="%1."/>
      <w:lvlJc w:val="left"/>
      <w:pPr>
        <w:ind w:left="720" w:hanging="360"/>
      </w:pPr>
      <w:rPr>
        <w:rFonts w:ascii="Arial" w:eastAsiaTheme="minorHAnsi"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2E3831"/>
    <w:multiLevelType w:val="hybridMultilevel"/>
    <w:tmpl w:val="7992731C"/>
    <w:lvl w:ilvl="0" w:tplc="04EE7D9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CE1C67"/>
    <w:multiLevelType w:val="hybridMultilevel"/>
    <w:tmpl w:val="BFBC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EB2EF5"/>
    <w:multiLevelType w:val="hybridMultilevel"/>
    <w:tmpl w:val="6F301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50270E"/>
    <w:multiLevelType w:val="hybridMultilevel"/>
    <w:tmpl w:val="C5CE0F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07470B"/>
    <w:multiLevelType w:val="hybridMultilevel"/>
    <w:tmpl w:val="0C2676E6"/>
    <w:lvl w:ilvl="0" w:tplc="5E928BA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393B2E"/>
    <w:multiLevelType w:val="multilevel"/>
    <w:tmpl w:val="23944E6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1"/>
  </w:num>
  <w:num w:numId="4">
    <w:abstractNumId w:val="2"/>
  </w:num>
  <w:num w:numId="5">
    <w:abstractNumId w:val="5"/>
  </w:num>
  <w:num w:numId="6">
    <w:abstractNumId w:val="0"/>
  </w:num>
  <w:num w:numId="7">
    <w:abstractNumId w:val="8"/>
  </w:num>
  <w:num w:numId="8">
    <w:abstractNumId w:val="4"/>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ediatri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29ts5frrzvzxet0f2xtxvtt5xst2e52e2a&quot;&gt;Infant feeding and adiposity-Converted&lt;record-ids&gt;&lt;item&gt;1950&lt;/item&gt;&lt;/record-ids&gt;&lt;/item&gt;&lt;/Libraries&gt;"/>
  </w:docVars>
  <w:rsids>
    <w:rsidRoot w:val="00817AF9"/>
    <w:rsid w:val="000024CE"/>
    <w:rsid w:val="00002785"/>
    <w:rsid w:val="00002C33"/>
    <w:rsid w:val="00006EB8"/>
    <w:rsid w:val="0000733F"/>
    <w:rsid w:val="00011311"/>
    <w:rsid w:val="00015730"/>
    <w:rsid w:val="000200AC"/>
    <w:rsid w:val="000272E6"/>
    <w:rsid w:val="00030FFC"/>
    <w:rsid w:val="0003266E"/>
    <w:rsid w:val="00032ECB"/>
    <w:rsid w:val="000330BF"/>
    <w:rsid w:val="000370AB"/>
    <w:rsid w:val="00037829"/>
    <w:rsid w:val="00041EA5"/>
    <w:rsid w:val="00042D46"/>
    <w:rsid w:val="00046D1E"/>
    <w:rsid w:val="000514CF"/>
    <w:rsid w:val="00067346"/>
    <w:rsid w:val="0007094A"/>
    <w:rsid w:val="00070ED3"/>
    <w:rsid w:val="00071F14"/>
    <w:rsid w:val="000742FD"/>
    <w:rsid w:val="00077546"/>
    <w:rsid w:val="00077EFD"/>
    <w:rsid w:val="0008189D"/>
    <w:rsid w:val="00083454"/>
    <w:rsid w:val="000850C5"/>
    <w:rsid w:val="0008553C"/>
    <w:rsid w:val="00086178"/>
    <w:rsid w:val="000874EF"/>
    <w:rsid w:val="00091E99"/>
    <w:rsid w:val="000944B4"/>
    <w:rsid w:val="000950E5"/>
    <w:rsid w:val="000A0BC1"/>
    <w:rsid w:val="000A3708"/>
    <w:rsid w:val="000A3BC9"/>
    <w:rsid w:val="000A40D1"/>
    <w:rsid w:val="000A7531"/>
    <w:rsid w:val="000B2195"/>
    <w:rsid w:val="000B3035"/>
    <w:rsid w:val="000B5B6A"/>
    <w:rsid w:val="000B7254"/>
    <w:rsid w:val="000D1D46"/>
    <w:rsid w:val="000D2144"/>
    <w:rsid w:val="000D776A"/>
    <w:rsid w:val="000E3030"/>
    <w:rsid w:val="000E5904"/>
    <w:rsid w:val="000F4AAF"/>
    <w:rsid w:val="000F7556"/>
    <w:rsid w:val="000F7A17"/>
    <w:rsid w:val="001117D9"/>
    <w:rsid w:val="00112145"/>
    <w:rsid w:val="00112DEB"/>
    <w:rsid w:val="00115BBB"/>
    <w:rsid w:val="001221A9"/>
    <w:rsid w:val="00122A7C"/>
    <w:rsid w:val="0012470B"/>
    <w:rsid w:val="001257D6"/>
    <w:rsid w:val="00127881"/>
    <w:rsid w:val="001367CC"/>
    <w:rsid w:val="00141BEF"/>
    <w:rsid w:val="001431B8"/>
    <w:rsid w:val="0015419F"/>
    <w:rsid w:val="001572EA"/>
    <w:rsid w:val="0016438C"/>
    <w:rsid w:val="001663A7"/>
    <w:rsid w:val="001670A7"/>
    <w:rsid w:val="00171024"/>
    <w:rsid w:val="001725C1"/>
    <w:rsid w:val="00176F7D"/>
    <w:rsid w:val="00177898"/>
    <w:rsid w:val="00181B86"/>
    <w:rsid w:val="00182228"/>
    <w:rsid w:val="00185446"/>
    <w:rsid w:val="00185D44"/>
    <w:rsid w:val="0018718A"/>
    <w:rsid w:val="00191EDE"/>
    <w:rsid w:val="0019775C"/>
    <w:rsid w:val="001A2270"/>
    <w:rsid w:val="001A232F"/>
    <w:rsid w:val="001A4371"/>
    <w:rsid w:val="001A4848"/>
    <w:rsid w:val="001A4D4A"/>
    <w:rsid w:val="001A7FAE"/>
    <w:rsid w:val="001B00FA"/>
    <w:rsid w:val="001B0829"/>
    <w:rsid w:val="001B715F"/>
    <w:rsid w:val="001B7558"/>
    <w:rsid w:val="001C0EAF"/>
    <w:rsid w:val="001C4206"/>
    <w:rsid w:val="001C697D"/>
    <w:rsid w:val="001C6EA3"/>
    <w:rsid w:val="001D04B3"/>
    <w:rsid w:val="001D1071"/>
    <w:rsid w:val="001D40FB"/>
    <w:rsid w:val="001D5973"/>
    <w:rsid w:val="001D5D4B"/>
    <w:rsid w:val="001D639D"/>
    <w:rsid w:val="001D6419"/>
    <w:rsid w:val="001E3211"/>
    <w:rsid w:val="001E7F21"/>
    <w:rsid w:val="001F048A"/>
    <w:rsid w:val="001F1945"/>
    <w:rsid w:val="001F1E50"/>
    <w:rsid w:val="001F296F"/>
    <w:rsid w:val="001F6449"/>
    <w:rsid w:val="00202D4F"/>
    <w:rsid w:val="0020402D"/>
    <w:rsid w:val="002040BA"/>
    <w:rsid w:val="00205924"/>
    <w:rsid w:val="002065BC"/>
    <w:rsid w:val="0021335B"/>
    <w:rsid w:val="00220B3B"/>
    <w:rsid w:val="00221A92"/>
    <w:rsid w:val="0022356A"/>
    <w:rsid w:val="00226204"/>
    <w:rsid w:val="00227168"/>
    <w:rsid w:val="00227EAC"/>
    <w:rsid w:val="00231311"/>
    <w:rsid w:val="00236BF5"/>
    <w:rsid w:val="0024291B"/>
    <w:rsid w:val="00246767"/>
    <w:rsid w:val="002517A1"/>
    <w:rsid w:val="00251890"/>
    <w:rsid w:val="00254394"/>
    <w:rsid w:val="00256F81"/>
    <w:rsid w:val="002578BD"/>
    <w:rsid w:val="00261726"/>
    <w:rsid w:val="00263945"/>
    <w:rsid w:val="00267CDC"/>
    <w:rsid w:val="00270E33"/>
    <w:rsid w:val="002712BF"/>
    <w:rsid w:val="00274496"/>
    <w:rsid w:val="00275AC7"/>
    <w:rsid w:val="00277271"/>
    <w:rsid w:val="002777C4"/>
    <w:rsid w:val="00281292"/>
    <w:rsid w:val="00283766"/>
    <w:rsid w:val="002932A6"/>
    <w:rsid w:val="00296501"/>
    <w:rsid w:val="002A0448"/>
    <w:rsid w:val="002A5AEB"/>
    <w:rsid w:val="002A7937"/>
    <w:rsid w:val="002B3255"/>
    <w:rsid w:val="002B440D"/>
    <w:rsid w:val="002B5B59"/>
    <w:rsid w:val="002C0DB7"/>
    <w:rsid w:val="002C2673"/>
    <w:rsid w:val="002C3434"/>
    <w:rsid w:val="002C64E1"/>
    <w:rsid w:val="002C6EBF"/>
    <w:rsid w:val="002D4681"/>
    <w:rsid w:val="002D59BD"/>
    <w:rsid w:val="002D7CF3"/>
    <w:rsid w:val="002E0193"/>
    <w:rsid w:val="002E22E5"/>
    <w:rsid w:val="002E4F7A"/>
    <w:rsid w:val="002E7D6C"/>
    <w:rsid w:val="002F1739"/>
    <w:rsid w:val="00300757"/>
    <w:rsid w:val="003037E7"/>
    <w:rsid w:val="00304BC4"/>
    <w:rsid w:val="00313560"/>
    <w:rsid w:val="00313CC7"/>
    <w:rsid w:val="00314E16"/>
    <w:rsid w:val="003171C3"/>
    <w:rsid w:val="00317F55"/>
    <w:rsid w:val="00326172"/>
    <w:rsid w:val="00327011"/>
    <w:rsid w:val="0033067E"/>
    <w:rsid w:val="00334FB3"/>
    <w:rsid w:val="00343171"/>
    <w:rsid w:val="003477B2"/>
    <w:rsid w:val="00355D25"/>
    <w:rsid w:val="003565AB"/>
    <w:rsid w:val="00370C30"/>
    <w:rsid w:val="00373B6A"/>
    <w:rsid w:val="00374E7E"/>
    <w:rsid w:val="0037570E"/>
    <w:rsid w:val="00376A45"/>
    <w:rsid w:val="00383A14"/>
    <w:rsid w:val="00384B64"/>
    <w:rsid w:val="00390D45"/>
    <w:rsid w:val="00391288"/>
    <w:rsid w:val="00391652"/>
    <w:rsid w:val="003946A1"/>
    <w:rsid w:val="003A2B1C"/>
    <w:rsid w:val="003B1205"/>
    <w:rsid w:val="003B16A6"/>
    <w:rsid w:val="003B7E00"/>
    <w:rsid w:val="003C2FDD"/>
    <w:rsid w:val="003D097C"/>
    <w:rsid w:val="003D346E"/>
    <w:rsid w:val="003D7133"/>
    <w:rsid w:val="003F0995"/>
    <w:rsid w:val="003F520D"/>
    <w:rsid w:val="003F76D7"/>
    <w:rsid w:val="00400EBA"/>
    <w:rsid w:val="00401B45"/>
    <w:rsid w:val="0040573A"/>
    <w:rsid w:val="0040643F"/>
    <w:rsid w:val="00411D0C"/>
    <w:rsid w:val="004141A6"/>
    <w:rsid w:val="00414ADA"/>
    <w:rsid w:val="00415793"/>
    <w:rsid w:val="00426724"/>
    <w:rsid w:val="00427890"/>
    <w:rsid w:val="0043027B"/>
    <w:rsid w:val="00430C71"/>
    <w:rsid w:val="00431937"/>
    <w:rsid w:val="00436F6D"/>
    <w:rsid w:val="004417BF"/>
    <w:rsid w:val="004423AC"/>
    <w:rsid w:val="00442FCF"/>
    <w:rsid w:val="004457A0"/>
    <w:rsid w:val="00450D63"/>
    <w:rsid w:val="00452F04"/>
    <w:rsid w:val="004536A0"/>
    <w:rsid w:val="00455DE7"/>
    <w:rsid w:val="004616C5"/>
    <w:rsid w:val="004616EE"/>
    <w:rsid w:val="004627EA"/>
    <w:rsid w:val="00465177"/>
    <w:rsid w:val="00465F8E"/>
    <w:rsid w:val="00466453"/>
    <w:rsid w:val="00467FE7"/>
    <w:rsid w:val="00471B76"/>
    <w:rsid w:val="00472FEC"/>
    <w:rsid w:val="0047367F"/>
    <w:rsid w:val="00476183"/>
    <w:rsid w:val="00482857"/>
    <w:rsid w:val="00483D6A"/>
    <w:rsid w:val="004860FF"/>
    <w:rsid w:val="0049638B"/>
    <w:rsid w:val="004970C6"/>
    <w:rsid w:val="004A26E5"/>
    <w:rsid w:val="004A77AB"/>
    <w:rsid w:val="004B0376"/>
    <w:rsid w:val="004B7D3B"/>
    <w:rsid w:val="004C12A5"/>
    <w:rsid w:val="004C48F7"/>
    <w:rsid w:val="004D087D"/>
    <w:rsid w:val="004E215C"/>
    <w:rsid w:val="004E24E1"/>
    <w:rsid w:val="004E4C67"/>
    <w:rsid w:val="004E628C"/>
    <w:rsid w:val="004F0901"/>
    <w:rsid w:val="004F4823"/>
    <w:rsid w:val="004F56FC"/>
    <w:rsid w:val="004F5DBF"/>
    <w:rsid w:val="00501CD2"/>
    <w:rsid w:val="00501D81"/>
    <w:rsid w:val="005036C3"/>
    <w:rsid w:val="00503EA3"/>
    <w:rsid w:val="00504AE1"/>
    <w:rsid w:val="005115C3"/>
    <w:rsid w:val="00513B00"/>
    <w:rsid w:val="00514B79"/>
    <w:rsid w:val="00515BC2"/>
    <w:rsid w:val="00515DE8"/>
    <w:rsid w:val="00520389"/>
    <w:rsid w:val="005207F6"/>
    <w:rsid w:val="005214F5"/>
    <w:rsid w:val="0052372C"/>
    <w:rsid w:val="00524137"/>
    <w:rsid w:val="0052710B"/>
    <w:rsid w:val="0053054A"/>
    <w:rsid w:val="00530998"/>
    <w:rsid w:val="00532620"/>
    <w:rsid w:val="00533AD2"/>
    <w:rsid w:val="00535670"/>
    <w:rsid w:val="0053586D"/>
    <w:rsid w:val="00535B9F"/>
    <w:rsid w:val="005361F2"/>
    <w:rsid w:val="00537A44"/>
    <w:rsid w:val="00537E47"/>
    <w:rsid w:val="00541A80"/>
    <w:rsid w:val="0054614F"/>
    <w:rsid w:val="00560516"/>
    <w:rsid w:val="0056142B"/>
    <w:rsid w:val="005619FA"/>
    <w:rsid w:val="00567479"/>
    <w:rsid w:val="005748B8"/>
    <w:rsid w:val="00574936"/>
    <w:rsid w:val="00582175"/>
    <w:rsid w:val="00582DCF"/>
    <w:rsid w:val="00593781"/>
    <w:rsid w:val="00594FB9"/>
    <w:rsid w:val="005A216E"/>
    <w:rsid w:val="005A2798"/>
    <w:rsid w:val="005A67C1"/>
    <w:rsid w:val="005B0A92"/>
    <w:rsid w:val="005B3573"/>
    <w:rsid w:val="005B3995"/>
    <w:rsid w:val="005B6285"/>
    <w:rsid w:val="005C00A8"/>
    <w:rsid w:val="005C0A11"/>
    <w:rsid w:val="005C583A"/>
    <w:rsid w:val="005D0A47"/>
    <w:rsid w:val="005D59A6"/>
    <w:rsid w:val="005E2CE2"/>
    <w:rsid w:val="005E5320"/>
    <w:rsid w:val="005F0AA8"/>
    <w:rsid w:val="005F7BB7"/>
    <w:rsid w:val="0060155B"/>
    <w:rsid w:val="00607B95"/>
    <w:rsid w:val="006103D4"/>
    <w:rsid w:val="0061100C"/>
    <w:rsid w:val="006117C1"/>
    <w:rsid w:val="00612B34"/>
    <w:rsid w:val="00616927"/>
    <w:rsid w:val="006279C8"/>
    <w:rsid w:val="00631EFD"/>
    <w:rsid w:val="00632944"/>
    <w:rsid w:val="00634716"/>
    <w:rsid w:val="00636C14"/>
    <w:rsid w:val="0063776C"/>
    <w:rsid w:val="00637894"/>
    <w:rsid w:val="00642F0C"/>
    <w:rsid w:val="00650849"/>
    <w:rsid w:val="00653223"/>
    <w:rsid w:val="00654E1E"/>
    <w:rsid w:val="00660F18"/>
    <w:rsid w:val="00664336"/>
    <w:rsid w:val="00664EB5"/>
    <w:rsid w:val="0066783D"/>
    <w:rsid w:val="006678E8"/>
    <w:rsid w:val="00667970"/>
    <w:rsid w:val="00667E41"/>
    <w:rsid w:val="00670358"/>
    <w:rsid w:val="0067669F"/>
    <w:rsid w:val="006779F0"/>
    <w:rsid w:val="006A0B55"/>
    <w:rsid w:val="006A3B13"/>
    <w:rsid w:val="006B640A"/>
    <w:rsid w:val="006C2C5B"/>
    <w:rsid w:val="006C425A"/>
    <w:rsid w:val="006C7417"/>
    <w:rsid w:val="006C79D4"/>
    <w:rsid w:val="006C7F3F"/>
    <w:rsid w:val="006E0B63"/>
    <w:rsid w:val="006E210B"/>
    <w:rsid w:val="006F0F75"/>
    <w:rsid w:val="006F3797"/>
    <w:rsid w:val="00700F69"/>
    <w:rsid w:val="0070440E"/>
    <w:rsid w:val="0070633D"/>
    <w:rsid w:val="007072DA"/>
    <w:rsid w:val="00711F55"/>
    <w:rsid w:val="007137C2"/>
    <w:rsid w:val="00717B25"/>
    <w:rsid w:val="00721082"/>
    <w:rsid w:val="00722C4A"/>
    <w:rsid w:val="00722CB6"/>
    <w:rsid w:val="00727C69"/>
    <w:rsid w:val="00732958"/>
    <w:rsid w:val="007329AF"/>
    <w:rsid w:val="00732F72"/>
    <w:rsid w:val="007401C9"/>
    <w:rsid w:val="00741942"/>
    <w:rsid w:val="00743508"/>
    <w:rsid w:val="007463D3"/>
    <w:rsid w:val="00746A71"/>
    <w:rsid w:val="00750ABA"/>
    <w:rsid w:val="00753DB1"/>
    <w:rsid w:val="00753FA7"/>
    <w:rsid w:val="00767E66"/>
    <w:rsid w:val="007703FB"/>
    <w:rsid w:val="00774E7B"/>
    <w:rsid w:val="007823C2"/>
    <w:rsid w:val="007876D8"/>
    <w:rsid w:val="00793E03"/>
    <w:rsid w:val="007A21D0"/>
    <w:rsid w:val="007B0CE4"/>
    <w:rsid w:val="007B1124"/>
    <w:rsid w:val="007B5A3E"/>
    <w:rsid w:val="007B6B22"/>
    <w:rsid w:val="007B72EC"/>
    <w:rsid w:val="007C1117"/>
    <w:rsid w:val="007C1CBB"/>
    <w:rsid w:val="007D4263"/>
    <w:rsid w:val="007D4551"/>
    <w:rsid w:val="007D6718"/>
    <w:rsid w:val="007D7F59"/>
    <w:rsid w:val="007E2AC3"/>
    <w:rsid w:val="007E7028"/>
    <w:rsid w:val="007E7152"/>
    <w:rsid w:val="007E76B3"/>
    <w:rsid w:val="007F02C7"/>
    <w:rsid w:val="007F1B26"/>
    <w:rsid w:val="007F5153"/>
    <w:rsid w:val="007F54EA"/>
    <w:rsid w:val="00800411"/>
    <w:rsid w:val="0080128A"/>
    <w:rsid w:val="00810893"/>
    <w:rsid w:val="00810B06"/>
    <w:rsid w:val="00812ECC"/>
    <w:rsid w:val="00813E58"/>
    <w:rsid w:val="00817AF9"/>
    <w:rsid w:val="00823008"/>
    <w:rsid w:val="008268FB"/>
    <w:rsid w:val="00831553"/>
    <w:rsid w:val="00831B6B"/>
    <w:rsid w:val="0083553C"/>
    <w:rsid w:val="008375B5"/>
    <w:rsid w:val="0083768A"/>
    <w:rsid w:val="0085118A"/>
    <w:rsid w:val="00852AED"/>
    <w:rsid w:val="008550BE"/>
    <w:rsid w:val="008564D2"/>
    <w:rsid w:val="00856B18"/>
    <w:rsid w:val="008610D9"/>
    <w:rsid w:val="008656C2"/>
    <w:rsid w:val="00865806"/>
    <w:rsid w:val="008708F6"/>
    <w:rsid w:val="00871C5B"/>
    <w:rsid w:val="00872E3B"/>
    <w:rsid w:val="00877120"/>
    <w:rsid w:val="00881B05"/>
    <w:rsid w:val="00887D0E"/>
    <w:rsid w:val="00891499"/>
    <w:rsid w:val="00895480"/>
    <w:rsid w:val="00895E7C"/>
    <w:rsid w:val="008973BA"/>
    <w:rsid w:val="008A7EE0"/>
    <w:rsid w:val="008C174F"/>
    <w:rsid w:val="008C3016"/>
    <w:rsid w:val="008C4692"/>
    <w:rsid w:val="008C7BD9"/>
    <w:rsid w:val="008D122E"/>
    <w:rsid w:val="008E767D"/>
    <w:rsid w:val="008F01B2"/>
    <w:rsid w:val="008F1E0B"/>
    <w:rsid w:val="009008CF"/>
    <w:rsid w:val="00903106"/>
    <w:rsid w:val="00904BF9"/>
    <w:rsid w:val="00905CBA"/>
    <w:rsid w:val="00911E2D"/>
    <w:rsid w:val="009131EA"/>
    <w:rsid w:val="00940553"/>
    <w:rsid w:val="009429C8"/>
    <w:rsid w:val="00950E5F"/>
    <w:rsid w:val="009515D4"/>
    <w:rsid w:val="00964366"/>
    <w:rsid w:val="009705FD"/>
    <w:rsid w:val="009779AB"/>
    <w:rsid w:val="009800C0"/>
    <w:rsid w:val="00981522"/>
    <w:rsid w:val="0098399F"/>
    <w:rsid w:val="00983A85"/>
    <w:rsid w:val="0099003E"/>
    <w:rsid w:val="00995984"/>
    <w:rsid w:val="009A0289"/>
    <w:rsid w:val="009A5ED8"/>
    <w:rsid w:val="009B24E9"/>
    <w:rsid w:val="009B2EDD"/>
    <w:rsid w:val="009B3159"/>
    <w:rsid w:val="009B57DE"/>
    <w:rsid w:val="009B61F3"/>
    <w:rsid w:val="009C12EE"/>
    <w:rsid w:val="009C414E"/>
    <w:rsid w:val="009C4B25"/>
    <w:rsid w:val="009C7537"/>
    <w:rsid w:val="009D5EEA"/>
    <w:rsid w:val="009D6029"/>
    <w:rsid w:val="009E0BB9"/>
    <w:rsid w:val="009F03CC"/>
    <w:rsid w:val="009F3440"/>
    <w:rsid w:val="00A018A6"/>
    <w:rsid w:val="00A02DF0"/>
    <w:rsid w:val="00A03331"/>
    <w:rsid w:val="00A05C67"/>
    <w:rsid w:val="00A0635C"/>
    <w:rsid w:val="00A06C22"/>
    <w:rsid w:val="00A10BD2"/>
    <w:rsid w:val="00A11512"/>
    <w:rsid w:val="00A12F84"/>
    <w:rsid w:val="00A20DFE"/>
    <w:rsid w:val="00A23328"/>
    <w:rsid w:val="00A2681A"/>
    <w:rsid w:val="00A26D90"/>
    <w:rsid w:val="00A33757"/>
    <w:rsid w:val="00A36C86"/>
    <w:rsid w:val="00A370F1"/>
    <w:rsid w:val="00A37BD4"/>
    <w:rsid w:val="00A442A5"/>
    <w:rsid w:val="00A53B86"/>
    <w:rsid w:val="00A55957"/>
    <w:rsid w:val="00A6784D"/>
    <w:rsid w:val="00A719CA"/>
    <w:rsid w:val="00A860DF"/>
    <w:rsid w:val="00A868BD"/>
    <w:rsid w:val="00A876B9"/>
    <w:rsid w:val="00A87CBD"/>
    <w:rsid w:val="00A87DC6"/>
    <w:rsid w:val="00A932DE"/>
    <w:rsid w:val="00A97529"/>
    <w:rsid w:val="00AA19F9"/>
    <w:rsid w:val="00AA50FA"/>
    <w:rsid w:val="00AB468D"/>
    <w:rsid w:val="00AB4C15"/>
    <w:rsid w:val="00AB5621"/>
    <w:rsid w:val="00AB5917"/>
    <w:rsid w:val="00AB7743"/>
    <w:rsid w:val="00AD2A72"/>
    <w:rsid w:val="00AD52CD"/>
    <w:rsid w:val="00AE055B"/>
    <w:rsid w:val="00AE22E2"/>
    <w:rsid w:val="00AE26F5"/>
    <w:rsid w:val="00AE6C99"/>
    <w:rsid w:val="00AF2186"/>
    <w:rsid w:val="00AF2469"/>
    <w:rsid w:val="00AF654A"/>
    <w:rsid w:val="00B008F7"/>
    <w:rsid w:val="00B05F53"/>
    <w:rsid w:val="00B06177"/>
    <w:rsid w:val="00B07395"/>
    <w:rsid w:val="00B07933"/>
    <w:rsid w:val="00B14D33"/>
    <w:rsid w:val="00B17653"/>
    <w:rsid w:val="00B20CC7"/>
    <w:rsid w:val="00B2443F"/>
    <w:rsid w:val="00B2764B"/>
    <w:rsid w:val="00B33726"/>
    <w:rsid w:val="00B3401F"/>
    <w:rsid w:val="00B4374B"/>
    <w:rsid w:val="00B43B90"/>
    <w:rsid w:val="00B529D9"/>
    <w:rsid w:val="00B546FA"/>
    <w:rsid w:val="00B55E21"/>
    <w:rsid w:val="00B63961"/>
    <w:rsid w:val="00B657C4"/>
    <w:rsid w:val="00B669B8"/>
    <w:rsid w:val="00B676FF"/>
    <w:rsid w:val="00B74388"/>
    <w:rsid w:val="00B753EA"/>
    <w:rsid w:val="00B840EC"/>
    <w:rsid w:val="00B8576B"/>
    <w:rsid w:val="00B85CA6"/>
    <w:rsid w:val="00B9771B"/>
    <w:rsid w:val="00BA325B"/>
    <w:rsid w:val="00BC4221"/>
    <w:rsid w:val="00BC517F"/>
    <w:rsid w:val="00BC77F1"/>
    <w:rsid w:val="00BD3169"/>
    <w:rsid w:val="00BD7EA0"/>
    <w:rsid w:val="00BE200D"/>
    <w:rsid w:val="00BE2E1F"/>
    <w:rsid w:val="00BF0327"/>
    <w:rsid w:val="00BF1BE9"/>
    <w:rsid w:val="00BF4305"/>
    <w:rsid w:val="00BF4F95"/>
    <w:rsid w:val="00BF77B4"/>
    <w:rsid w:val="00C024B7"/>
    <w:rsid w:val="00C03099"/>
    <w:rsid w:val="00C063B9"/>
    <w:rsid w:val="00C1093B"/>
    <w:rsid w:val="00C125A0"/>
    <w:rsid w:val="00C14502"/>
    <w:rsid w:val="00C174A1"/>
    <w:rsid w:val="00C3745A"/>
    <w:rsid w:val="00C4190D"/>
    <w:rsid w:val="00C45DCD"/>
    <w:rsid w:val="00C61E72"/>
    <w:rsid w:val="00C620F1"/>
    <w:rsid w:val="00C63C3D"/>
    <w:rsid w:val="00C63D77"/>
    <w:rsid w:val="00C74906"/>
    <w:rsid w:val="00C77D27"/>
    <w:rsid w:val="00C836C5"/>
    <w:rsid w:val="00C83D8E"/>
    <w:rsid w:val="00C873DB"/>
    <w:rsid w:val="00C92C21"/>
    <w:rsid w:val="00CA1139"/>
    <w:rsid w:val="00CA2724"/>
    <w:rsid w:val="00CA3359"/>
    <w:rsid w:val="00CA3649"/>
    <w:rsid w:val="00CA6863"/>
    <w:rsid w:val="00CA6AB0"/>
    <w:rsid w:val="00CA6E1D"/>
    <w:rsid w:val="00CB5FFA"/>
    <w:rsid w:val="00CB71E0"/>
    <w:rsid w:val="00CB7D90"/>
    <w:rsid w:val="00CC253F"/>
    <w:rsid w:val="00CC31C2"/>
    <w:rsid w:val="00CC7323"/>
    <w:rsid w:val="00CD0A1A"/>
    <w:rsid w:val="00CD577F"/>
    <w:rsid w:val="00CD5D4F"/>
    <w:rsid w:val="00CE04AF"/>
    <w:rsid w:val="00CE20B2"/>
    <w:rsid w:val="00CE23AE"/>
    <w:rsid w:val="00CF1AAA"/>
    <w:rsid w:val="00CF2EB5"/>
    <w:rsid w:val="00CF4F97"/>
    <w:rsid w:val="00D00C6A"/>
    <w:rsid w:val="00D015AC"/>
    <w:rsid w:val="00D10323"/>
    <w:rsid w:val="00D10DDB"/>
    <w:rsid w:val="00D164F8"/>
    <w:rsid w:val="00D17486"/>
    <w:rsid w:val="00D22277"/>
    <w:rsid w:val="00D337BD"/>
    <w:rsid w:val="00D34B87"/>
    <w:rsid w:val="00D360BE"/>
    <w:rsid w:val="00D368AD"/>
    <w:rsid w:val="00D41C08"/>
    <w:rsid w:val="00D45534"/>
    <w:rsid w:val="00D54F60"/>
    <w:rsid w:val="00D56340"/>
    <w:rsid w:val="00D6131E"/>
    <w:rsid w:val="00D6797A"/>
    <w:rsid w:val="00D76172"/>
    <w:rsid w:val="00D85E9A"/>
    <w:rsid w:val="00D86E6C"/>
    <w:rsid w:val="00D92582"/>
    <w:rsid w:val="00D92598"/>
    <w:rsid w:val="00D92736"/>
    <w:rsid w:val="00D966CD"/>
    <w:rsid w:val="00DA1B8B"/>
    <w:rsid w:val="00DA39CC"/>
    <w:rsid w:val="00DB1FA5"/>
    <w:rsid w:val="00DB3107"/>
    <w:rsid w:val="00DB4736"/>
    <w:rsid w:val="00DB4CC3"/>
    <w:rsid w:val="00DC34FA"/>
    <w:rsid w:val="00DD2876"/>
    <w:rsid w:val="00DD3B19"/>
    <w:rsid w:val="00DE232B"/>
    <w:rsid w:val="00DE4459"/>
    <w:rsid w:val="00DE5F6E"/>
    <w:rsid w:val="00DE6113"/>
    <w:rsid w:val="00DF00C4"/>
    <w:rsid w:val="00DF2F14"/>
    <w:rsid w:val="00DF7C2B"/>
    <w:rsid w:val="00E06D1A"/>
    <w:rsid w:val="00E07EDD"/>
    <w:rsid w:val="00E11EE9"/>
    <w:rsid w:val="00E12863"/>
    <w:rsid w:val="00E12F78"/>
    <w:rsid w:val="00E14545"/>
    <w:rsid w:val="00E20033"/>
    <w:rsid w:val="00E22CE4"/>
    <w:rsid w:val="00E25B96"/>
    <w:rsid w:val="00E30CD8"/>
    <w:rsid w:val="00E31408"/>
    <w:rsid w:val="00E32B0A"/>
    <w:rsid w:val="00E32BB5"/>
    <w:rsid w:val="00E40F52"/>
    <w:rsid w:val="00E45C6C"/>
    <w:rsid w:val="00E514B8"/>
    <w:rsid w:val="00E603A5"/>
    <w:rsid w:val="00E60A7D"/>
    <w:rsid w:val="00E6170D"/>
    <w:rsid w:val="00E629FA"/>
    <w:rsid w:val="00E66AF9"/>
    <w:rsid w:val="00E72F3E"/>
    <w:rsid w:val="00E768A4"/>
    <w:rsid w:val="00E81AEB"/>
    <w:rsid w:val="00E82CBD"/>
    <w:rsid w:val="00E84AA4"/>
    <w:rsid w:val="00E90E63"/>
    <w:rsid w:val="00E912E1"/>
    <w:rsid w:val="00E91A88"/>
    <w:rsid w:val="00EA2F9B"/>
    <w:rsid w:val="00EA65BF"/>
    <w:rsid w:val="00EB2533"/>
    <w:rsid w:val="00EB45A1"/>
    <w:rsid w:val="00EB5639"/>
    <w:rsid w:val="00EC2E2B"/>
    <w:rsid w:val="00ED2859"/>
    <w:rsid w:val="00ED510F"/>
    <w:rsid w:val="00ED585D"/>
    <w:rsid w:val="00ED71BA"/>
    <w:rsid w:val="00ED7CC4"/>
    <w:rsid w:val="00EE4B47"/>
    <w:rsid w:val="00EE5EE6"/>
    <w:rsid w:val="00EE76E4"/>
    <w:rsid w:val="00EE7BCD"/>
    <w:rsid w:val="00EF0597"/>
    <w:rsid w:val="00EF070A"/>
    <w:rsid w:val="00EF7BEF"/>
    <w:rsid w:val="00F00B1B"/>
    <w:rsid w:val="00F01DC2"/>
    <w:rsid w:val="00F025DC"/>
    <w:rsid w:val="00F06CA8"/>
    <w:rsid w:val="00F07888"/>
    <w:rsid w:val="00F12407"/>
    <w:rsid w:val="00F12869"/>
    <w:rsid w:val="00F212EE"/>
    <w:rsid w:val="00F22202"/>
    <w:rsid w:val="00F24EC0"/>
    <w:rsid w:val="00F373F9"/>
    <w:rsid w:val="00F460EB"/>
    <w:rsid w:val="00F46757"/>
    <w:rsid w:val="00F50931"/>
    <w:rsid w:val="00F55571"/>
    <w:rsid w:val="00F568D8"/>
    <w:rsid w:val="00F575C1"/>
    <w:rsid w:val="00F64D3A"/>
    <w:rsid w:val="00F77A72"/>
    <w:rsid w:val="00F87F7B"/>
    <w:rsid w:val="00F9172B"/>
    <w:rsid w:val="00F93FA5"/>
    <w:rsid w:val="00F972CF"/>
    <w:rsid w:val="00F97317"/>
    <w:rsid w:val="00FA1E21"/>
    <w:rsid w:val="00FB003A"/>
    <w:rsid w:val="00FB24F1"/>
    <w:rsid w:val="00FC070D"/>
    <w:rsid w:val="00FC4B06"/>
    <w:rsid w:val="00FC740C"/>
    <w:rsid w:val="00FD07C7"/>
    <w:rsid w:val="00FD1CE5"/>
    <w:rsid w:val="00FD2E4F"/>
    <w:rsid w:val="00FD6D11"/>
    <w:rsid w:val="00FE75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4837F"/>
  <w14:defaultImageDpi w14:val="32767"/>
  <w15:chartTrackingRefBased/>
  <w15:docId w15:val="{0FB725EA-3480-A54F-9A4E-C9308CBB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13B0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C5B"/>
    <w:pPr>
      <w:spacing w:after="160" w:line="259" w:lineRule="auto"/>
      <w:ind w:left="720"/>
      <w:contextualSpacing/>
    </w:pPr>
    <w:rPr>
      <w:sz w:val="22"/>
      <w:szCs w:val="22"/>
    </w:rPr>
  </w:style>
  <w:style w:type="table" w:styleId="PlainTable3">
    <w:name w:val="Plain Table 3"/>
    <w:basedOn w:val="TableNormal"/>
    <w:uiPriority w:val="43"/>
    <w:rsid w:val="00467FE7"/>
    <w:rPr>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467FE7"/>
    <w:rPr>
      <w:color w:val="0000FF"/>
      <w:u w:val="single"/>
    </w:rPr>
  </w:style>
  <w:style w:type="table" w:styleId="TableGrid">
    <w:name w:val="Table Grid"/>
    <w:basedOn w:val="TableNormal"/>
    <w:uiPriority w:val="39"/>
    <w:rsid w:val="00CE23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51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17F"/>
    <w:rPr>
      <w:rFonts w:ascii="Segoe UI" w:hAnsi="Segoe UI" w:cs="Segoe UI"/>
      <w:sz w:val="18"/>
      <w:szCs w:val="18"/>
    </w:rPr>
  </w:style>
  <w:style w:type="character" w:styleId="CommentReference">
    <w:name w:val="annotation reference"/>
    <w:basedOn w:val="DefaultParagraphFont"/>
    <w:uiPriority w:val="99"/>
    <w:semiHidden/>
    <w:unhideWhenUsed/>
    <w:rsid w:val="001C6EA3"/>
    <w:rPr>
      <w:sz w:val="16"/>
      <w:szCs w:val="16"/>
    </w:rPr>
  </w:style>
  <w:style w:type="paragraph" w:styleId="CommentText">
    <w:name w:val="annotation text"/>
    <w:basedOn w:val="Normal"/>
    <w:link w:val="CommentTextChar"/>
    <w:uiPriority w:val="99"/>
    <w:unhideWhenUsed/>
    <w:rsid w:val="001C6EA3"/>
    <w:rPr>
      <w:sz w:val="20"/>
      <w:szCs w:val="20"/>
    </w:rPr>
  </w:style>
  <w:style w:type="character" w:customStyle="1" w:styleId="CommentTextChar">
    <w:name w:val="Comment Text Char"/>
    <w:basedOn w:val="DefaultParagraphFont"/>
    <w:link w:val="CommentText"/>
    <w:uiPriority w:val="99"/>
    <w:rsid w:val="001C6EA3"/>
    <w:rPr>
      <w:sz w:val="20"/>
      <w:szCs w:val="20"/>
    </w:rPr>
  </w:style>
  <w:style w:type="paragraph" w:styleId="CommentSubject">
    <w:name w:val="annotation subject"/>
    <w:basedOn w:val="CommentText"/>
    <w:next w:val="CommentText"/>
    <w:link w:val="CommentSubjectChar"/>
    <w:uiPriority w:val="99"/>
    <w:semiHidden/>
    <w:unhideWhenUsed/>
    <w:rsid w:val="001C6EA3"/>
    <w:rPr>
      <w:b/>
      <w:bCs/>
    </w:rPr>
  </w:style>
  <w:style w:type="character" w:customStyle="1" w:styleId="CommentSubjectChar">
    <w:name w:val="Comment Subject Char"/>
    <w:basedOn w:val="CommentTextChar"/>
    <w:link w:val="CommentSubject"/>
    <w:uiPriority w:val="99"/>
    <w:semiHidden/>
    <w:rsid w:val="001C6EA3"/>
    <w:rPr>
      <w:b/>
      <w:bCs/>
      <w:sz w:val="20"/>
      <w:szCs w:val="20"/>
    </w:rPr>
  </w:style>
  <w:style w:type="paragraph" w:customStyle="1" w:styleId="EndNoteBibliographyTitle">
    <w:name w:val="EndNote Bibliography Title"/>
    <w:basedOn w:val="Normal"/>
    <w:link w:val="EndNoteBibliographyTitleChar"/>
    <w:rsid w:val="00383A14"/>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383A14"/>
    <w:rPr>
      <w:rFonts w:ascii="Calibri" w:hAnsi="Calibri" w:cs="Calibri"/>
      <w:lang w:val="en-US"/>
    </w:rPr>
  </w:style>
  <w:style w:type="paragraph" w:customStyle="1" w:styleId="EndNoteBibliography">
    <w:name w:val="EndNote Bibliography"/>
    <w:basedOn w:val="Normal"/>
    <w:link w:val="EndNoteBibliographyChar"/>
    <w:rsid w:val="00383A14"/>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383A14"/>
    <w:rPr>
      <w:rFonts w:ascii="Calibri" w:hAnsi="Calibri" w:cs="Calibri"/>
      <w:lang w:val="en-US"/>
    </w:rPr>
  </w:style>
  <w:style w:type="character" w:customStyle="1" w:styleId="UnresolvedMention1">
    <w:name w:val="Unresolved Mention1"/>
    <w:basedOn w:val="DefaultParagraphFont"/>
    <w:uiPriority w:val="99"/>
    <w:rsid w:val="00383A14"/>
    <w:rPr>
      <w:color w:val="605E5C"/>
      <w:shd w:val="clear" w:color="auto" w:fill="E1DFDD"/>
    </w:rPr>
  </w:style>
  <w:style w:type="paragraph" w:styleId="Revision">
    <w:name w:val="Revision"/>
    <w:hidden/>
    <w:uiPriority w:val="99"/>
    <w:semiHidden/>
    <w:rsid w:val="004616EE"/>
  </w:style>
  <w:style w:type="character" w:styleId="FollowedHyperlink">
    <w:name w:val="FollowedHyperlink"/>
    <w:basedOn w:val="DefaultParagraphFont"/>
    <w:uiPriority w:val="99"/>
    <w:semiHidden/>
    <w:unhideWhenUsed/>
    <w:rsid w:val="00BF4F95"/>
    <w:rPr>
      <w:color w:val="954F72" w:themeColor="followedHyperlink"/>
      <w:u w:val="single"/>
    </w:rPr>
  </w:style>
  <w:style w:type="paragraph" w:styleId="Bibliography">
    <w:name w:val="Bibliography"/>
    <w:basedOn w:val="Normal"/>
    <w:next w:val="Normal"/>
    <w:uiPriority w:val="37"/>
    <w:unhideWhenUsed/>
    <w:rsid w:val="00313560"/>
    <w:pPr>
      <w:tabs>
        <w:tab w:val="left" w:pos="380"/>
      </w:tabs>
      <w:spacing w:after="240"/>
      <w:ind w:left="384" w:hanging="384"/>
    </w:pPr>
  </w:style>
  <w:style w:type="paragraph" w:styleId="NormalWeb">
    <w:name w:val="Normal (Web)"/>
    <w:basedOn w:val="Normal"/>
    <w:uiPriority w:val="99"/>
    <w:unhideWhenUsed/>
    <w:rsid w:val="00D92736"/>
    <w:pPr>
      <w:spacing w:before="100" w:beforeAutospacing="1" w:after="100" w:afterAutospacing="1"/>
    </w:pPr>
    <w:rPr>
      <w:rFonts w:ascii="Times New Roman" w:eastAsia="Times New Roman" w:hAnsi="Times New Roman" w:cs="Times New Roman"/>
      <w:lang w:val="fr-FR"/>
    </w:rPr>
  </w:style>
  <w:style w:type="character" w:customStyle="1" w:styleId="Heading1Char">
    <w:name w:val="Heading 1 Char"/>
    <w:basedOn w:val="DefaultParagraphFont"/>
    <w:link w:val="Heading1"/>
    <w:uiPriority w:val="9"/>
    <w:rsid w:val="00513B00"/>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5B3573"/>
  </w:style>
  <w:style w:type="paragraph" w:styleId="Header">
    <w:name w:val="header"/>
    <w:basedOn w:val="Normal"/>
    <w:link w:val="HeaderChar"/>
    <w:uiPriority w:val="99"/>
    <w:unhideWhenUsed/>
    <w:rsid w:val="00BF0327"/>
    <w:pPr>
      <w:tabs>
        <w:tab w:val="center" w:pos="4703"/>
        <w:tab w:val="right" w:pos="9406"/>
      </w:tabs>
    </w:pPr>
  </w:style>
  <w:style w:type="character" w:customStyle="1" w:styleId="HeaderChar">
    <w:name w:val="Header Char"/>
    <w:basedOn w:val="DefaultParagraphFont"/>
    <w:link w:val="Header"/>
    <w:uiPriority w:val="99"/>
    <w:rsid w:val="00BF0327"/>
  </w:style>
  <w:style w:type="paragraph" w:styleId="Footer">
    <w:name w:val="footer"/>
    <w:basedOn w:val="Normal"/>
    <w:link w:val="FooterChar"/>
    <w:uiPriority w:val="99"/>
    <w:unhideWhenUsed/>
    <w:rsid w:val="00BF0327"/>
    <w:pPr>
      <w:tabs>
        <w:tab w:val="center" w:pos="4703"/>
        <w:tab w:val="right" w:pos="9406"/>
      </w:tabs>
    </w:pPr>
  </w:style>
  <w:style w:type="character" w:customStyle="1" w:styleId="FooterChar">
    <w:name w:val="Footer Char"/>
    <w:basedOn w:val="DefaultParagraphFont"/>
    <w:link w:val="Footer"/>
    <w:uiPriority w:val="99"/>
    <w:rsid w:val="00BF0327"/>
  </w:style>
  <w:style w:type="character" w:styleId="PageNumber">
    <w:name w:val="page number"/>
    <w:basedOn w:val="DefaultParagraphFont"/>
    <w:uiPriority w:val="99"/>
    <w:semiHidden/>
    <w:unhideWhenUsed/>
    <w:rsid w:val="00BF0327"/>
  </w:style>
  <w:style w:type="character" w:styleId="UnresolvedMention">
    <w:name w:val="Unresolved Mention"/>
    <w:basedOn w:val="DefaultParagraphFont"/>
    <w:uiPriority w:val="99"/>
    <w:semiHidden/>
    <w:unhideWhenUsed/>
    <w:rsid w:val="004536A0"/>
    <w:rPr>
      <w:color w:val="605E5C"/>
      <w:shd w:val="clear" w:color="auto" w:fill="E1DFDD"/>
    </w:rPr>
  </w:style>
  <w:style w:type="character" w:styleId="Strong">
    <w:name w:val="Strong"/>
    <w:basedOn w:val="DefaultParagraphFont"/>
    <w:uiPriority w:val="22"/>
    <w:qFormat/>
    <w:rsid w:val="00376A45"/>
    <w:rPr>
      <w:b/>
      <w:bCs/>
    </w:rPr>
  </w:style>
  <w:style w:type="character" w:customStyle="1" w:styleId="epub-state">
    <w:name w:val="epub-state"/>
    <w:basedOn w:val="DefaultParagraphFont"/>
    <w:rsid w:val="00632944"/>
  </w:style>
  <w:style w:type="character" w:customStyle="1" w:styleId="epub-date">
    <w:name w:val="epub-date"/>
    <w:basedOn w:val="DefaultParagraphFont"/>
    <w:rsid w:val="00632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0330">
      <w:bodyDiv w:val="1"/>
      <w:marLeft w:val="0"/>
      <w:marRight w:val="0"/>
      <w:marTop w:val="0"/>
      <w:marBottom w:val="0"/>
      <w:divBdr>
        <w:top w:val="none" w:sz="0" w:space="0" w:color="auto"/>
        <w:left w:val="none" w:sz="0" w:space="0" w:color="auto"/>
        <w:bottom w:val="none" w:sz="0" w:space="0" w:color="auto"/>
        <w:right w:val="none" w:sz="0" w:space="0" w:color="auto"/>
      </w:divBdr>
    </w:div>
    <w:div w:id="9068236">
      <w:bodyDiv w:val="1"/>
      <w:marLeft w:val="0"/>
      <w:marRight w:val="0"/>
      <w:marTop w:val="0"/>
      <w:marBottom w:val="0"/>
      <w:divBdr>
        <w:top w:val="none" w:sz="0" w:space="0" w:color="auto"/>
        <w:left w:val="none" w:sz="0" w:space="0" w:color="auto"/>
        <w:bottom w:val="none" w:sz="0" w:space="0" w:color="auto"/>
        <w:right w:val="none" w:sz="0" w:space="0" w:color="auto"/>
      </w:divBdr>
    </w:div>
    <w:div w:id="318316933">
      <w:bodyDiv w:val="1"/>
      <w:marLeft w:val="0"/>
      <w:marRight w:val="0"/>
      <w:marTop w:val="0"/>
      <w:marBottom w:val="0"/>
      <w:divBdr>
        <w:top w:val="none" w:sz="0" w:space="0" w:color="auto"/>
        <w:left w:val="none" w:sz="0" w:space="0" w:color="auto"/>
        <w:bottom w:val="none" w:sz="0" w:space="0" w:color="auto"/>
        <w:right w:val="none" w:sz="0" w:space="0" w:color="auto"/>
      </w:divBdr>
    </w:div>
    <w:div w:id="382289594">
      <w:bodyDiv w:val="1"/>
      <w:marLeft w:val="0"/>
      <w:marRight w:val="0"/>
      <w:marTop w:val="0"/>
      <w:marBottom w:val="0"/>
      <w:divBdr>
        <w:top w:val="none" w:sz="0" w:space="0" w:color="auto"/>
        <w:left w:val="none" w:sz="0" w:space="0" w:color="auto"/>
        <w:bottom w:val="none" w:sz="0" w:space="0" w:color="auto"/>
        <w:right w:val="none" w:sz="0" w:space="0" w:color="auto"/>
      </w:divBdr>
    </w:div>
    <w:div w:id="402723517">
      <w:bodyDiv w:val="1"/>
      <w:marLeft w:val="0"/>
      <w:marRight w:val="0"/>
      <w:marTop w:val="0"/>
      <w:marBottom w:val="0"/>
      <w:divBdr>
        <w:top w:val="none" w:sz="0" w:space="0" w:color="auto"/>
        <w:left w:val="none" w:sz="0" w:space="0" w:color="auto"/>
        <w:bottom w:val="none" w:sz="0" w:space="0" w:color="auto"/>
        <w:right w:val="none" w:sz="0" w:space="0" w:color="auto"/>
      </w:divBdr>
    </w:div>
    <w:div w:id="423839479">
      <w:bodyDiv w:val="1"/>
      <w:marLeft w:val="0"/>
      <w:marRight w:val="0"/>
      <w:marTop w:val="0"/>
      <w:marBottom w:val="0"/>
      <w:divBdr>
        <w:top w:val="none" w:sz="0" w:space="0" w:color="auto"/>
        <w:left w:val="none" w:sz="0" w:space="0" w:color="auto"/>
        <w:bottom w:val="none" w:sz="0" w:space="0" w:color="auto"/>
        <w:right w:val="none" w:sz="0" w:space="0" w:color="auto"/>
      </w:divBdr>
    </w:div>
    <w:div w:id="431239947">
      <w:bodyDiv w:val="1"/>
      <w:marLeft w:val="0"/>
      <w:marRight w:val="0"/>
      <w:marTop w:val="0"/>
      <w:marBottom w:val="0"/>
      <w:divBdr>
        <w:top w:val="none" w:sz="0" w:space="0" w:color="auto"/>
        <w:left w:val="none" w:sz="0" w:space="0" w:color="auto"/>
        <w:bottom w:val="none" w:sz="0" w:space="0" w:color="auto"/>
        <w:right w:val="none" w:sz="0" w:space="0" w:color="auto"/>
      </w:divBdr>
    </w:div>
    <w:div w:id="481235061">
      <w:bodyDiv w:val="1"/>
      <w:marLeft w:val="0"/>
      <w:marRight w:val="0"/>
      <w:marTop w:val="0"/>
      <w:marBottom w:val="0"/>
      <w:divBdr>
        <w:top w:val="none" w:sz="0" w:space="0" w:color="auto"/>
        <w:left w:val="none" w:sz="0" w:space="0" w:color="auto"/>
        <w:bottom w:val="none" w:sz="0" w:space="0" w:color="auto"/>
        <w:right w:val="none" w:sz="0" w:space="0" w:color="auto"/>
      </w:divBdr>
    </w:div>
    <w:div w:id="508103461">
      <w:bodyDiv w:val="1"/>
      <w:marLeft w:val="0"/>
      <w:marRight w:val="0"/>
      <w:marTop w:val="0"/>
      <w:marBottom w:val="0"/>
      <w:divBdr>
        <w:top w:val="none" w:sz="0" w:space="0" w:color="auto"/>
        <w:left w:val="none" w:sz="0" w:space="0" w:color="auto"/>
        <w:bottom w:val="none" w:sz="0" w:space="0" w:color="auto"/>
        <w:right w:val="none" w:sz="0" w:space="0" w:color="auto"/>
      </w:divBdr>
    </w:div>
    <w:div w:id="609969425">
      <w:bodyDiv w:val="1"/>
      <w:marLeft w:val="0"/>
      <w:marRight w:val="0"/>
      <w:marTop w:val="0"/>
      <w:marBottom w:val="0"/>
      <w:divBdr>
        <w:top w:val="none" w:sz="0" w:space="0" w:color="auto"/>
        <w:left w:val="none" w:sz="0" w:space="0" w:color="auto"/>
        <w:bottom w:val="none" w:sz="0" w:space="0" w:color="auto"/>
        <w:right w:val="none" w:sz="0" w:space="0" w:color="auto"/>
      </w:divBdr>
    </w:div>
    <w:div w:id="659651230">
      <w:bodyDiv w:val="1"/>
      <w:marLeft w:val="0"/>
      <w:marRight w:val="0"/>
      <w:marTop w:val="0"/>
      <w:marBottom w:val="0"/>
      <w:divBdr>
        <w:top w:val="none" w:sz="0" w:space="0" w:color="auto"/>
        <w:left w:val="none" w:sz="0" w:space="0" w:color="auto"/>
        <w:bottom w:val="none" w:sz="0" w:space="0" w:color="auto"/>
        <w:right w:val="none" w:sz="0" w:space="0" w:color="auto"/>
      </w:divBdr>
    </w:div>
    <w:div w:id="758672149">
      <w:bodyDiv w:val="1"/>
      <w:marLeft w:val="0"/>
      <w:marRight w:val="0"/>
      <w:marTop w:val="0"/>
      <w:marBottom w:val="0"/>
      <w:divBdr>
        <w:top w:val="none" w:sz="0" w:space="0" w:color="auto"/>
        <w:left w:val="none" w:sz="0" w:space="0" w:color="auto"/>
        <w:bottom w:val="none" w:sz="0" w:space="0" w:color="auto"/>
        <w:right w:val="none" w:sz="0" w:space="0" w:color="auto"/>
      </w:divBdr>
    </w:div>
    <w:div w:id="882253019">
      <w:bodyDiv w:val="1"/>
      <w:marLeft w:val="0"/>
      <w:marRight w:val="0"/>
      <w:marTop w:val="0"/>
      <w:marBottom w:val="0"/>
      <w:divBdr>
        <w:top w:val="none" w:sz="0" w:space="0" w:color="auto"/>
        <w:left w:val="none" w:sz="0" w:space="0" w:color="auto"/>
        <w:bottom w:val="none" w:sz="0" w:space="0" w:color="auto"/>
        <w:right w:val="none" w:sz="0" w:space="0" w:color="auto"/>
      </w:divBdr>
    </w:div>
    <w:div w:id="985744851">
      <w:bodyDiv w:val="1"/>
      <w:marLeft w:val="0"/>
      <w:marRight w:val="0"/>
      <w:marTop w:val="0"/>
      <w:marBottom w:val="0"/>
      <w:divBdr>
        <w:top w:val="none" w:sz="0" w:space="0" w:color="auto"/>
        <w:left w:val="none" w:sz="0" w:space="0" w:color="auto"/>
        <w:bottom w:val="none" w:sz="0" w:space="0" w:color="auto"/>
        <w:right w:val="none" w:sz="0" w:space="0" w:color="auto"/>
      </w:divBdr>
    </w:div>
    <w:div w:id="1039668544">
      <w:bodyDiv w:val="1"/>
      <w:marLeft w:val="0"/>
      <w:marRight w:val="0"/>
      <w:marTop w:val="0"/>
      <w:marBottom w:val="0"/>
      <w:divBdr>
        <w:top w:val="none" w:sz="0" w:space="0" w:color="auto"/>
        <w:left w:val="none" w:sz="0" w:space="0" w:color="auto"/>
        <w:bottom w:val="none" w:sz="0" w:space="0" w:color="auto"/>
        <w:right w:val="none" w:sz="0" w:space="0" w:color="auto"/>
      </w:divBdr>
    </w:div>
    <w:div w:id="1058554234">
      <w:bodyDiv w:val="1"/>
      <w:marLeft w:val="0"/>
      <w:marRight w:val="0"/>
      <w:marTop w:val="0"/>
      <w:marBottom w:val="0"/>
      <w:divBdr>
        <w:top w:val="none" w:sz="0" w:space="0" w:color="auto"/>
        <w:left w:val="none" w:sz="0" w:space="0" w:color="auto"/>
        <w:bottom w:val="none" w:sz="0" w:space="0" w:color="auto"/>
        <w:right w:val="none" w:sz="0" w:space="0" w:color="auto"/>
      </w:divBdr>
    </w:div>
    <w:div w:id="1092697490">
      <w:bodyDiv w:val="1"/>
      <w:marLeft w:val="0"/>
      <w:marRight w:val="0"/>
      <w:marTop w:val="0"/>
      <w:marBottom w:val="0"/>
      <w:divBdr>
        <w:top w:val="none" w:sz="0" w:space="0" w:color="auto"/>
        <w:left w:val="none" w:sz="0" w:space="0" w:color="auto"/>
        <w:bottom w:val="none" w:sz="0" w:space="0" w:color="auto"/>
        <w:right w:val="none" w:sz="0" w:space="0" w:color="auto"/>
      </w:divBdr>
    </w:div>
    <w:div w:id="1173641516">
      <w:bodyDiv w:val="1"/>
      <w:marLeft w:val="0"/>
      <w:marRight w:val="0"/>
      <w:marTop w:val="0"/>
      <w:marBottom w:val="0"/>
      <w:divBdr>
        <w:top w:val="none" w:sz="0" w:space="0" w:color="auto"/>
        <w:left w:val="none" w:sz="0" w:space="0" w:color="auto"/>
        <w:bottom w:val="none" w:sz="0" w:space="0" w:color="auto"/>
        <w:right w:val="none" w:sz="0" w:space="0" w:color="auto"/>
      </w:divBdr>
    </w:div>
    <w:div w:id="1200976584">
      <w:bodyDiv w:val="1"/>
      <w:marLeft w:val="0"/>
      <w:marRight w:val="0"/>
      <w:marTop w:val="0"/>
      <w:marBottom w:val="0"/>
      <w:divBdr>
        <w:top w:val="none" w:sz="0" w:space="0" w:color="auto"/>
        <w:left w:val="none" w:sz="0" w:space="0" w:color="auto"/>
        <w:bottom w:val="none" w:sz="0" w:space="0" w:color="auto"/>
        <w:right w:val="none" w:sz="0" w:space="0" w:color="auto"/>
      </w:divBdr>
    </w:div>
    <w:div w:id="1261643683">
      <w:bodyDiv w:val="1"/>
      <w:marLeft w:val="0"/>
      <w:marRight w:val="0"/>
      <w:marTop w:val="0"/>
      <w:marBottom w:val="0"/>
      <w:divBdr>
        <w:top w:val="none" w:sz="0" w:space="0" w:color="auto"/>
        <w:left w:val="none" w:sz="0" w:space="0" w:color="auto"/>
        <w:bottom w:val="none" w:sz="0" w:space="0" w:color="auto"/>
        <w:right w:val="none" w:sz="0" w:space="0" w:color="auto"/>
      </w:divBdr>
    </w:div>
    <w:div w:id="1306275978">
      <w:bodyDiv w:val="1"/>
      <w:marLeft w:val="0"/>
      <w:marRight w:val="0"/>
      <w:marTop w:val="0"/>
      <w:marBottom w:val="0"/>
      <w:divBdr>
        <w:top w:val="none" w:sz="0" w:space="0" w:color="auto"/>
        <w:left w:val="none" w:sz="0" w:space="0" w:color="auto"/>
        <w:bottom w:val="none" w:sz="0" w:space="0" w:color="auto"/>
        <w:right w:val="none" w:sz="0" w:space="0" w:color="auto"/>
      </w:divBdr>
    </w:div>
    <w:div w:id="1406535424">
      <w:bodyDiv w:val="1"/>
      <w:marLeft w:val="0"/>
      <w:marRight w:val="0"/>
      <w:marTop w:val="0"/>
      <w:marBottom w:val="0"/>
      <w:divBdr>
        <w:top w:val="none" w:sz="0" w:space="0" w:color="auto"/>
        <w:left w:val="none" w:sz="0" w:space="0" w:color="auto"/>
        <w:bottom w:val="none" w:sz="0" w:space="0" w:color="auto"/>
        <w:right w:val="none" w:sz="0" w:space="0" w:color="auto"/>
      </w:divBdr>
    </w:div>
    <w:div w:id="1464230380">
      <w:bodyDiv w:val="1"/>
      <w:marLeft w:val="0"/>
      <w:marRight w:val="0"/>
      <w:marTop w:val="0"/>
      <w:marBottom w:val="0"/>
      <w:divBdr>
        <w:top w:val="none" w:sz="0" w:space="0" w:color="auto"/>
        <w:left w:val="none" w:sz="0" w:space="0" w:color="auto"/>
        <w:bottom w:val="none" w:sz="0" w:space="0" w:color="auto"/>
        <w:right w:val="none" w:sz="0" w:space="0" w:color="auto"/>
      </w:divBdr>
    </w:div>
    <w:div w:id="1469518777">
      <w:bodyDiv w:val="1"/>
      <w:marLeft w:val="0"/>
      <w:marRight w:val="0"/>
      <w:marTop w:val="0"/>
      <w:marBottom w:val="0"/>
      <w:divBdr>
        <w:top w:val="none" w:sz="0" w:space="0" w:color="auto"/>
        <w:left w:val="none" w:sz="0" w:space="0" w:color="auto"/>
        <w:bottom w:val="none" w:sz="0" w:space="0" w:color="auto"/>
        <w:right w:val="none" w:sz="0" w:space="0" w:color="auto"/>
      </w:divBdr>
    </w:div>
    <w:div w:id="1482966029">
      <w:bodyDiv w:val="1"/>
      <w:marLeft w:val="0"/>
      <w:marRight w:val="0"/>
      <w:marTop w:val="0"/>
      <w:marBottom w:val="0"/>
      <w:divBdr>
        <w:top w:val="none" w:sz="0" w:space="0" w:color="auto"/>
        <w:left w:val="none" w:sz="0" w:space="0" w:color="auto"/>
        <w:bottom w:val="none" w:sz="0" w:space="0" w:color="auto"/>
        <w:right w:val="none" w:sz="0" w:space="0" w:color="auto"/>
      </w:divBdr>
    </w:div>
    <w:div w:id="1524856264">
      <w:bodyDiv w:val="1"/>
      <w:marLeft w:val="0"/>
      <w:marRight w:val="0"/>
      <w:marTop w:val="0"/>
      <w:marBottom w:val="0"/>
      <w:divBdr>
        <w:top w:val="none" w:sz="0" w:space="0" w:color="auto"/>
        <w:left w:val="none" w:sz="0" w:space="0" w:color="auto"/>
        <w:bottom w:val="none" w:sz="0" w:space="0" w:color="auto"/>
        <w:right w:val="none" w:sz="0" w:space="0" w:color="auto"/>
      </w:divBdr>
      <w:divsChild>
        <w:div w:id="1088650055">
          <w:marLeft w:val="0"/>
          <w:marRight w:val="0"/>
          <w:marTop w:val="0"/>
          <w:marBottom w:val="0"/>
          <w:divBdr>
            <w:top w:val="single" w:sz="6" w:space="0" w:color="5B616B"/>
            <w:left w:val="single" w:sz="6" w:space="0" w:color="5B616B"/>
            <w:bottom w:val="single" w:sz="6" w:space="0" w:color="5B616B"/>
            <w:right w:val="single" w:sz="6" w:space="0" w:color="5B616B"/>
          </w:divBdr>
        </w:div>
        <w:div w:id="301932241">
          <w:marLeft w:val="0"/>
          <w:marRight w:val="0"/>
          <w:marTop w:val="0"/>
          <w:marBottom w:val="0"/>
          <w:divBdr>
            <w:top w:val="none" w:sz="0" w:space="0" w:color="auto"/>
            <w:left w:val="none" w:sz="0" w:space="0" w:color="auto"/>
            <w:bottom w:val="none" w:sz="0" w:space="0" w:color="auto"/>
            <w:right w:val="none" w:sz="0" w:space="0" w:color="auto"/>
          </w:divBdr>
        </w:div>
      </w:divsChild>
    </w:div>
    <w:div w:id="1615093836">
      <w:bodyDiv w:val="1"/>
      <w:marLeft w:val="0"/>
      <w:marRight w:val="0"/>
      <w:marTop w:val="0"/>
      <w:marBottom w:val="0"/>
      <w:divBdr>
        <w:top w:val="none" w:sz="0" w:space="0" w:color="auto"/>
        <w:left w:val="none" w:sz="0" w:space="0" w:color="auto"/>
        <w:bottom w:val="none" w:sz="0" w:space="0" w:color="auto"/>
        <w:right w:val="none" w:sz="0" w:space="0" w:color="auto"/>
      </w:divBdr>
    </w:div>
    <w:div w:id="1623268553">
      <w:bodyDiv w:val="1"/>
      <w:marLeft w:val="0"/>
      <w:marRight w:val="0"/>
      <w:marTop w:val="0"/>
      <w:marBottom w:val="0"/>
      <w:divBdr>
        <w:top w:val="none" w:sz="0" w:space="0" w:color="auto"/>
        <w:left w:val="none" w:sz="0" w:space="0" w:color="auto"/>
        <w:bottom w:val="none" w:sz="0" w:space="0" w:color="auto"/>
        <w:right w:val="none" w:sz="0" w:space="0" w:color="auto"/>
      </w:divBdr>
    </w:div>
    <w:div w:id="1676297797">
      <w:bodyDiv w:val="1"/>
      <w:marLeft w:val="0"/>
      <w:marRight w:val="0"/>
      <w:marTop w:val="0"/>
      <w:marBottom w:val="0"/>
      <w:divBdr>
        <w:top w:val="none" w:sz="0" w:space="0" w:color="auto"/>
        <w:left w:val="none" w:sz="0" w:space="0" w:color="auto"/>
        <w:bottom w:val="none" w:sz="0" w:space="0" w:color="auto"/>
        <w:right w:val="none" w:sz="0" w:space="0" w:color="auto"/>
      </w:divBdr>
    </w:div>
    <w:div w:id="1743288161">
      <w:bodyDiv w:val="1"/>
      <w:marLeft w:val="0"/>
      <w:marRight w:val="0"/>
      <w:marTop w:val="0"/>
      <w:marBottom w:val="0"/>
      <w:divBdr>
        <w:top w:val="none" w:sz="0" w:space="0" w:color="auto"/>
        <w:left w:val="none" w:sz="0" w:space="0" w:color="auto"/>
        <w:bottom w:val="none" w:sz="0" w:space="0" w:color="auto"/>
        <w:right w:val="none" w:sz="0" w:space="0" w:color="auto"/>
      </w:divBdr>
    </w:div>
    <w:div w:id="1750497151">
      <w:bodyDiv w:val="1"/>
      <w:marLeft w:val="0"/>
      <w:marRight w:val="0"/>
      <w:marTop w:val="0"/>
      <w:marBottom w:val="0"/>
      <w:divBdr>
        <w:top w:val="none" w:sz="0" w:space="0" w:color="auto"/>
        <w:left w:val="none" w:sz="0" w:space="0" w:color="auto"/>
        <w:bottom w:val="none" w:sz="0" w:space="0" w:color="auto"/>
        <w:right w:val="none" w:sz="0" w:space="0" w:color="auto"/>
      </w:divBdr>
      <w:divsChild>
        <w:div w:id="2008169822">
          <w:marLeft w:val="0"/>
          <w:marRight w:val="0"/>
          <w:marTop w:val="0"/>
          <w:marBottom w:val="0"/>
          <w:divBdr>
            <w:top w:val="none" w:sz="0" w:space="0" w:color="auto"/>
            <w:left w:val="none" w:sz="0" w:space="0" w:color="auto"/>
            <w:bottom w:val="none" w:sz="0" w:space="0" w:color="auto"/>
            <w:right w:val="none" w:sz="0" w:space="0" w:color="auto"/>
          </w:divBdr>
          <w:divsChild>
            <w:div w:id="1906986723">
              <w:marLeft w:val="0"/>
              <w:marRight w:val="0"/>
              <w:marTop w:val="0"/>
              <w:marBottom w:val="0"/>
              <w:divBdr>
                <w:top w:val="none" w:sz="0" w:space="0" w:color="auto"/>
                <w:left w:val="none" w:sz="0" w:space="0" w:color="auto"/>
                <w:bottom w:val="none" w:sz="0" w:space="0" w:color="auto"/>
                <w:right w:val="none" w:sz="0" w:space="0" w:color="auto"/>
              </w:divBdr>
              <w:divsChild>
                <w:div w:id="152635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618242">
      <w:bodyDiv w:val="1"/>
      <w:marLeft w:val="0"/>
      <w:marRight w:val="0"/>
      <w:marTop w:val="0"/>
      <w:marBottom w:val="0"/>
      <w:divBdr>
        <w:top w:val="none" w:sz="0" w:space="0" w:color="auto"/>
        <w:left w:val="none" w:sz="0" w:space="0" w:color="auto"/>
        <w:bottom w:val="none" w:sz="0" w:space="0" w:color="auto"/>
        <w:right w:val="none" w:sz="0" w:space="0" w:color="auto"/>
      </w:divBdr>
    </w:div>
    <w:div w:id="1962760774">
      <w:bodyDiv w:val="1"/>
      <w:marLeft w:val="0"/>
      <w:marRight w:val="0"/>
      <w:marTop w:val="0"/>
      <w:marBottom w:val="0"/>
      <w:divBdr>
        <w:top w:val="none" w:sz="0" w:space="0" w:color="auto"/>
        <w:left w:val="none" w:sz="0" w:space="0" w:color="auto"/>
        <w:bottom w:val="none" w:sz="0" w:space="0" w:color="auto"/>
        <w:right w:val="none" w:sz="0" w:space="0" w:color="auto"/>
      </w:divBdr>
    </w:div>
    <w:div w:id="1964732150">
      <w:bodyDiv w:val="1"/>
      <w:marLeft w:val="0"/>
      <w:marRight w:val="0"/>
      <w:marTop w:val="0"/>
      <w:marBottom w:val="0"/>
      <w:divBdr>
        <w:top w:val="none" w:sz="0" w:space="0" w:color="auto"/>
        <w:left w:val="none" w:sz="0" w:space="0" w:color="auto"/>
        <w:bottom w:val="none" w:sz="0" w:space="0" w:color="auto"/>
        <w:right w:val="none" w:sz="0" w:space="0" w:color="auto"/>
      </w:divBdr>
    </w:div>
    <w:div w:id="1980919524">
      <w:bodyDiv w:val="1"/>
      <w:marLeft w:val="0"/>
      <w:marRight w:val="0"/>
      <w:marTop w:val="0"/>
      <w:marBottom w:val="0"/>
      <w:divBdr>
        <w:top w:val="none" w:sz="0" w:space="0" w:color="auto"/>
        <w:left w:val="none" w:sz="0" w:space="0" w:color="auto"/>
        <w:bottom w:val="none" w:sz="0" w:space="0" w:color="auto"/>
        <w:right w:val="none" w:sz="0" w:space="0" w:color="auto"/>
      </w:divBdr>
      <w:divsChild>
        <w:div w:id="1290547178">
          <w:marLeft w:val="0"/>
          <w:marRight w:val="0"/>
          <w:marTop w:val="225"/>
          <w:marBottom w:val="225"/>
          <w:divBdr>
            <w:top w:val="none" w:sz="0" w:space="0" w:color="auto"/>
            <w:left w:val="none" w:sz="0" w:space="0" w:color="auto"/>
            <w:bottom w:val="none" w:sz="0" w:space="0" w:color="auto"/>
            <w:right w:val="none" w:sz="0" w:space="0" w:color="auto"/>
          </w:divBdr>
          <w:divsChild>
            <w:div w:id="1568682473">
              <w:marLeft w:val="0"/>
              <w:marRight w:val="0"/>
              <w:marTop w:val="0"/>
              <w:marBottom w:val="0"/>
              <w:divBdr>
                <w:top w:val="none" w:sz="0" w:space="0" w:color="auto"/>
                <w:left w:val="none" w:sz="0" w:space="0" w:color="auto"/>
                <w:bottom w:val="none" w:sz="0" w:space="0" w:color="auto"/>
                <w:right w:val="none" w:sz="0" w:space="0" w:color="auto"/>
              </w:divBdr>
              <w:divsChild>
                <w:div w:id="771123083">
                  <w:marLeft w:val="0"/>
                  <w:marRight w:val="0"/>
                  <w:marTop w:val="0"/>
                  <w:marBottom w:val="0"/>
                  <w:divBdr>
                    <w:top w:val="none" w:sz="0" w:space="0" w:color="auto"/>
                    <w:left w:val="none" w:sz="0" w:space="0" w:color="auto"/>
                    <w:bottom w:val="none" w:sz="0" w:space="0" w:color="auto"/>
                    <w:right w:val="none" w:sz="0" w:space="0" w:color="auto"/>
                  </w:divBdr>
                  <w:divsChild>
                    <w:div w:id="1584143389">
                      <w:marLeft w:val="0"/>
                      <w:marRight w:val="0"/>
                      <w:marTop w:val="0"/>
                      <w:marBottom w:val="0"/>
                      <w:divBdr>
                        <w:top w:val="none" w:sz="0" w:space="0" w:color="auto"/>
                        <w:left w:val="none" w:sz="0" w:space="0" w:color="auto"/>
                        <w:bottom w:val="none" w:sz="0" w:space="0" w:color="auto"/>
                        <w:right w:val="none" w:sz="0" w:space="0" w:color="auto"/>
                      </w:divBdr>
                    </w:div>
                    <w:div w:id="172688634">
                      <w:marLeft w:val="0"/>
                      <w:marRight w:val="0"/>
                      <w:marTop w:val="0"/>
                      <w:marBottom w:val="0"/>
                      <w:divBdr>
                        <w:top w:val="none" w:sz="0" w:space="0" w:color="auto"/>
                        <w:left w:val="none" w:sz="0" w:space="0" w:color="auto"/>
                        <w:bottom w:val="none" w:sz="0" w:space="0" w:color="auto"/>
                        <w:right w:val="none" w:sz="0" w:space="0" w:color="auto"/>
                      </w:divBdr>
                    </w:div>
                    <w:div w:id="119617309">
                      <w:marLeft w:val="0"/>
                      <w:marRight w:val="0"/>
                      <w:marTop w:val="0"/>
                      <w:marBottom w:val="0"/>
                      <w:divBdr>
                        <w:top w:val="none" w:sz="0" w:space="0" w:color="auto"/>
                        <w:left w:val="none" w:sz="0" w:space="0" w:color="auto"/>
                        <w:bottom w:val="none" w:sz="0" w:space="0" w:color="auto"/>
                        <w:right w:val="none" w:sz="0" w:space="0" w:color="auto"/>
                      </w:divBdr>
                    </w:div>
                    <w:div w:id="1658538162">
                      <w:marLeft w:val="0"/>
                      <w:marRight w:val="0"/>
                      <w:marTop w:val="0"/>
                      <w:marBottom w:val="0"/>
                      <w:divBdr>
                        <w:top w:val="none" w:sz="0" w:space="0" w:color="auto"/>
                        <w:left w:val="none" w:sz="0" w:space="0" w:color="auto"/>
                        <w:bottom w:val="none" w:sz="0" w:space="0" w:color="auto"/>
                        <w:right w:val="none" w:sz="0" w:space="0" w:color="auto"/>
                      </w:divBdr>
                    </w:div>
                    <w:div w:id="1747799802">
                      <w:marLeft w:val="0"/>
                      <w:marRight w:val="0"/>
                      <w:marTop w:val="0"/>
                      <w:marBottom w:val="0"/>
                      <w:divBdr>
                        <w:top w:val="none" w:sz="0" w:space="0" w:color="auto"/>
                        <w:left w:val="none" w:sz="0" w:space="0" w:color="auto"/>
                        <w:bottom w:val="none" w:sz="0" w:space="0" w:color="auto"/>
                        <w:right w:val="none" w:sz="0" w:space="0" w:color="auto"/>
                      </w:divBdr>
                    </w:div>
                    <w:div w:id="2053573648">
                      <w:marLeft w:val="0"/>
                      <w:marRight w:val="0"/>
                      <w:marTop w:val="0"/>
                      <w:marBottom w:val="0"/>
                      <w:divBdr>
                        <w:top w:val="none" w:sz="0" w:space="0" w:color="auto"/>
                        <w:left w:val="none" w:sz="0" w:space="0" w:color="auto"/>
                        <w:bottom w:val="none" w:sz="0" w:space="0" w:color="auto"/>
                        <w:right w:val="none" w:sz="0" w:space="0" w:color="auto"/>
                      </w:divBdr>
                    </w:div>
                    <w:div w:id="14612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847746">
          <w:marLeft w:val="0"/>
          <w:marRight w:val="0"/>
          <w:marTop w:val="225"/>
          <w:marBottom w:val="225"/>
          <w:divBdr>
            <w:top w:val="none" w:sz="0" w:space="0" w:color="auto"/>
            <w:left w:val="none" w:sz="0" w:space="0" w:color="auto"/>
            <w:bottom w:val="none" w:sz="0" w:space="0" w:color="auto"/>
            <w:right w:val="none" w:sz="0" w:space="0" w:color="auto"/>
          </w:divBdr>
          <w:divsChild>
            <w:div w:id="841316366">
              <w:marLeft w:val="0"/>
              <w:marRight w:val="0"/>
              <w:marTop w:val="0"/>
              <w:marBottom w:val="0"/>
              <w:divBdr>
                <w:top w:val="none" w:sz="0" w:space="0" w:color="auto"/>
                <w:left w:val="none" w:sz="0" w:space="0" w:color="auto"/>
                <w:bottom w:val="none" w:sz="0" w:space="0" w:color="auto"/>
                <w:right w:val="none" w:sz="0" w:space="0" w:color="auto"/>
              </w:divBdr>
            </w:div>
            <w:div w:id="12602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1.imperial.ac.uk/neonataldataanalysis/data/utilisingnnr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modi@imperial.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7573F99DE79145B2C4B20841E12603" ma:contentTypeVersion="13" ma:contentTypeDescription="Create a new document." ma:contentTypeScope="" ma:versionID="591d8c45529a179a116341b8529f2a9e">
  <xsd:schema xmlns:xsd="http://www.w3.org/2001/XMLSchema" xmlns:xs="http://www.w3.org/2001/XMLSchema" xmlns:p="http://schemas.microsoft.com/office/2006/metadata/properties" xmlns:ns3="0c1e910d-4918-42f1-af2c-ed1101d63abc" xmlns:ns4="786e620f-b1da-4f59-878c-ef7546d25bf1" targetNamespace="http://schemas.microsoft.com/office/2006/metadata/properties" ma:root="true" ma:fieldsID="29554e8f717c230424052c18d1d66a40" ns3:_="" ns4:_="">
    <xsd:import namespace="0c1e910d-4918-42f1-af2c-ed1101d63abc"/>
    <xsd:import namespace="786e620f-b1da-4f59-878c-ef7546d25bf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e910d-4918-42f1-af2c-ed1101d63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6e620f-b1da-4f59-878c-ef7546d25bf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E5AAF6-07CF-2B4F-861D-1F9605F5BEB7}">
  <ds:schemaRefs>
    <ds:schemaRef ds:uri="http://schemas.openxmlformats.org/officeDocument/2006/bibliography"/>
  </ds:schemaRefs>
</ds:datastoreItem>
</file>

<file path=customXml/itemProps2.xml><?xml version="1.0" encoding="utf-8"?>
<ds:datastoreItem xmlns:ds="http://schemas.openxmlformats.org/officeDocument/2006/customXml" ds:itemID="{7F0CE2F1-74AF-45AA-9577-8640FBF1B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e910d-4918-42f1-af2c-ed1101d63abc"/>
    <ds:schemaRef ds:uri="786e620f-b1da-4f59-878c-ef7546d25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9AEB5B-DD9B-4581-A638-36A45E6CCF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4BBB77-EF2E-4688-B9BD-66EB8DDB3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21473</Words>
  <Characters>122402</Characters>
  <Application>Microsoft Office Word</Application>
  <DocSecurity>0</DocSecurity>
  <Lines>1020</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lory.hage@gmail.com</dc:creator>
  <cp:keywords/>
  <dc:description/>
  <cp:lastModifiedBy>Gale, Chris</cp:lastModifiedBy>
  <cp:revision>3</cp:revision>
  <dcterms:created xsi:type="dcterms:W3CDTF">2021-01-29T10:09:00Z</dcterms:created>
  <dcterms:modified xsi:type="dcterms:W3CDTF">2021-01-29T10:10:00Z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zotero-version="5.0.90"&gt;&lt;session id="KRbGv44F"/&gt;&lt;style id="http://www.zotero.org/styles/bmj" hasBibliography="1" bibliographyStyleHasBeenSet="1"/&gt;&lt;prefs&gt;&lt;pref name="fieldType" value="Field"/&gt;&lt;/prefs&gt;&lt;/data&gt;</vt:lpwstr>
  </property>
  <property fmtid="{D5CDD505-2E9C-101B-9397-08002B2CF9AE}" pid="3" name="ContentTypeId">
    <vt:lpwstr>0x010100F57573F99DE79145B2C4B20841E12603</vt:lpwstr>
  </property>
</Properties>
</file>