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ACEF5"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t>Histopathological Diagnosis of Tumour Deposits in Colorectal Cancer: A Delphi Consensus Study</w:t>
      </w:r>
    </w:p>
    <w:p w14:paraId="23E24BCC"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t>Running title: Tumour Deposits in Colorectal Cancer</w:t>
      </w:r>
    </w:p>
    <w:tbl>
      <w:tblPr>
        <w:tblStyle w:val="TableGrid"/>
        <w:tblW w:w="0" w:type="auto"/>
        <w:tblInd w:w="0" w:type="dxa"/>
        <w:tblLook w:val="04A0" w:firstRow="1" w:lastRow="0" w:firstColumn="1" w:lastColumn="0" w:noHBand="0" w:noVBand="1"/>
      </w:tblPr>
      <w:tblGrid>
        <w:gridCol w:w="3256"/>
        <w:gridCol w:w="5760"/>
      </w:tblGrid>
      <w:tr w:rsidR="00992F8E" w14:paraId="001771C1"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3B828CD4" w14:textId="77777777" w:rsidR="00992F8E" w:rsidRDefault="00992F8E">
            <w:pPr>
              <w:spacing w:line="240" w:lineRule="auto"/>
              <w:rPr>
                <w:rFonts w:ascii="Arial" w:hAnsi="Arial" w:cs="Arial"/>
                <w:sz w:val="24"/>
                <w:szCs w:val="24"/>
              </w:rPr>
            </w:pPr>
            <w:r>
              <w:rPr>
                <w:rFonts w:ascii="Arial" w:hAnsi="Arial" w:cs="Arial"/>
                <w:sz w:val="24"/>
                <w:szCs w:val="24"/>
              </w:rPr>
              <w:t>Ms Amy Lord (corresponding author)</w:t>
            </w:r>
          </w:p>
        </w:tc>
        <w:tc>
          <w:tcPr>
            <w:tcW w:w="5760" w:type="dxa"/>
            <w:tcBorders>
              <w:top w:val="single" w:sz="4" w:space="0" w:color="auto"/>
              <w:left w:val="single" w:sz="4" w:space="0" w:color="auto"/>
              <w:bottom w:val="single" w:sz="4" w:space="0" w:color="auto"/>
              <w:right w:val="single" w:sz="4" w:space="0" w:color="auto"/>
            </w:tcBorders>
            <w:hideMark/>
          </w:tcPr>
          <w:p w14:paraId="1A6171F1" w14:textId="77777777" w:rsidR="00992F8E" w:rsidRDefault="00992F8E">
            <w:pPr>
              <w:spacing w:line="240" w:lineRule="auto"/>
              <w:jc w:val="both"/>
              <w:rPr>
                <w:rFonts w:ascii="Arial" w:hAnsi="Arial" w:cs="Arial"/>
                <w:sz w:val="24"/>
                <w:szCs w:val="24"/>
              </w:rPr>
            </w:pPr>
            <w:r>
              <w:rPr>
                <w:rFonts w:ascii="Arial" w:hAnsi="Arial" w:cs="Arial"/>
                <w:sz w:val="24"/>
                <w:szCs w:val="24"/>
              </w:rPr>
              <w:t>Royal Marsden NHS Trust, Downs road, Sutton, London, SM2 5PT UK</w:t>
            </w:r>
          </w:p>
          <w:p w14:paraId="275CE49F" w14:textId="77777777" w:rsidR="00992F8E" w:rsidRDefault="00992F8E">
            <w:pPr>
              <w:spacing w:line="240" w:lineRule="auto"/>
              <w:jc w:val="both"/>
              <w:rPr>
                <w:rFonts w:ascii="Arial" w:hAnsi="Arial" w:cs="Arial"/>
                <w:sz w:val="24"/>
                <w:szCs w:val="24"/>
              </w:rPr>
            </w:pPr>
            <w:r>
              <w:rPr>
                <w:rFonts w:ascii="Arial" w:hAnsi="Arial" w:cs="Arial"/>
                <w:sz w:val="24"/>
                <w:szCs w:val="24"/>
              </w:rPr>
              <w:t>amylord@nhs.net</w:t>
            </w:r>
          </w:p>
          <w:p w14:paraId="31BB78D6" w14:textId="77777777" w:rsidR="00992F8E" w:rsidRDefault="00992F8E">
            <w:pPr>
              <w:spacing w:line="240" w:lineRule="auto"/>
              <w:jc w:val="both"/>
              <w:rPr>
                <w:rFonts w:ascii="Arial" w:hAnsi="Arial" w:cs="Arial"/>
                <w:sz w:val="24"/>
                <w:szCs w:val="24"/>
              </w:rPr>
            </w:pPr>
            <w:r>
              <w:rPr>
                <w:rFonts w:ascii="Arial" w:hAnsi="Arial" w:cs="Arial"/>
                <w:sz w:val="24"/>
                <w:szCs w:val="24"/>
              </w:rPr>
              <w:t>Croydon University Hospital, London, UK</w:t>
            </w:r>
          </w:p>
        </w:tc>
      </w:tr>
      <w:tr w:rsidR="00992F8E" w14:paraId="144BB2E4"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1E739B95" w14:textId="77777777" w:rsidR="00992F8E" w:rsidRDefault="00992F8E">
            <w:pPr>
              <w:spacing w:line="240" w:lineRule="auto"/>
              <w:jc w:val="both"/>
              <w:rPr>
                <w:rFonts w:ascii="Arial" w:hAnsi="Arial" w:cs="Arial"/>
                <w:sz w:val="24"/>
                <w:szCs w:val="24"/>
              </w:rPr>
            </w:pPr>
            <w:r>
              <w:rPr>
                <w:rFonts w:ascii="Arial" w:hAnsi="Arial" w:cs="Arial"/>
                <w:sz w:val="24"/>
                <w:szCs w:val="24"/>
              </w:rPr>
              <w:t>Professor Gina Brown</w:t>
            </w:r>
          </w:p>
        </w:tc>
        <w:tc>
          <w:tcPr>
            <w:tcW w:w="5760" w:type="dxa"/>
            <w:tcBorders>
              <w:top w:val="single" w:sz="4" w:space="0" w:color="auto"/>
              <w:left w:val="single" w:sz="4" w:space="0" w:color="auto"/>
              <w:bottom w:val="single" w:sz="4" w:space="0" w:color="auto"/>
              <w:right w:val="single" w:sz="4" w:space="0" w:color="auto"/>
            </w:tcBorders>
            <w:hideMark/>
          </w:tcPr>
          <w:p w14:paraId="54246BE2" w14:textId="77777777" w:rsidR="00992F8E" w:rsidRDefault="00992F8E">
            <w:pPr>
              <w:spacing w:line="240" w:lineRule="auto"/>
              <w:jc w:val="both"/>
              <w:rPr>
                <w:rFonts w:ascii="Arial" w:hAnsi="Arial" w:cs="Arial"/>
                <w:sz w:val="24"/>
                <w:szCs w:val="24"/>
              </w:rPr>
            </w:pPr>
            <w:r>
              <w:rPr>
                <w:rFonts w:ascii="Arial" w:hAnsi="Arial" w:cs="Arial"/>
                <w:sz w:val="24"/>
                <w:szCs w:val="24"/>
              </w:rPr>
              <w:t>Royal Marsden NHS Trust, London, UK</w:t>
            </w:r>
          </w:p>
        </w:tc>
      </w:tr>
      <w:tr w:rsidR="00992F8E" w14:paraId="4C6751F0"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371A9CFC"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Mr Muti Abulafi </w:t>
            </w:r>
          </w:p>
        </w:tc>
        <w:tc>
          <w:tcPr>
            <w:tcW w:w="5760" w:type="dxa"/>
            <w:tcBorders>
              <w:top w:val="single" w:sz="4" w:space="0" w:color="auto"/>
              <w:left w:val="single" w:sz="4" w:space="0" w:color="auto"/>
              <w:bottom w:val="single" w:sz="4" w:space="0" w:color="auto"/>
              <w:right w:val="single" w:sz="4" w:space="0" w:color="auto"/>
            </w:tcBorders>
            <w:hideMark/>
          </w:tcPr>
          <w:p w14:paraId="13054651" w14:textId="77777777" w:rsidR="00992F8E" w:rsidRDefault="00992F8E">
            <w:pPr>
              <w:spacing w:line="240" w:lineRule="auto"/>
              <w:jc w:val="both"/>
              <w:rPr>
                <w:rFonts w:ascii="Arial" w:hAnsi="Arial" w:cs="Arial"/>
                <w:sz w:val="24"/>
                <w:szCs w:val="24"/>
              </w:rPr>
            </w:pPr>
            <w:r>
              <w:rPr>
                <w:rFonts w:ascii="Arial" w:hAnsi="Arial" w:cs="Arial"/>
                <w:sz w:val="24"/>
                <w:szCs w:val="24"/>
              </w:rPr>
              <w:t>Croydon University Hospital, London, UK</w:t>
            </w:r>
          </w:p>
        </w:tc>
      </w:tr>
      <w:tr w:rsidR="00992F8E" w14:paraId="5E498F64"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32BF4D17" w14:textId="77777777" w:rsidR="00992F8E" w:rsidRDefault="00992F8E">
            <w:pPr>
              <w:spacing w:line="240" w:lineRule="auto"/>
              <w:rPr>
                <w:rFonts w:ascii="Arial" w:hAnsi="Arial" w:cs="Arial"/>
                <w:sz w:val="24"/>
                <w:szCs w:val="24"/>
              </w:rPr>
            </w:pPr>
            <w:r>
              <w:rPr>
                <w:rFonts w:ascii="Arial" w:hAnsi="Arial" w:cs="Arial"/>
                <w:sz w:val="24"/>
                <w:szCs w:val="24"/>
              </w:rPr>
              <w:t>Dr Adrian Bateman</w:t>
            </w:r>
          </w:p>
        </w:tc>
        <w:tc>
          <w:tcPr>
            <w:tcW w:w="5760" w:type="dxa"/>
            <w:tcBorders>
              <w:top w:val="single" w:sz="4" w:space="0" w:color="auto"/>
              <w:left w:val="single" w:sz="4" w:space="0" w:color="auto"/>
              <w:bottom w:val="single" w:sz="4" w:space="0" w:color="auto"/>
              <w:right w:val="single" w:sz="4" w:space="0" w:color="auto"/>
            </w:tcBorders>
            <w:hideMark/>
          </w:tcPr>
          <w:p w14:paraId="6FFD2A38" w14:textId="77777777" w:rsidR="00992F8E" w:rsidRDefault="00992F8E">
            <w:pPr>
              <w:spacing w:line="240" w:lineRule="auto"/>
              <w:jc w:val="both"/>
              <w:rPr>
                <w:rFonts w:ascii="Arial" w:hAnsi="Arial" w:cs="Arial"/>
                <w:sz w:val="24"/>
                <w:szCs w:val="24"/>
              </w:rPr>
            </w:pPr>
            <w:r>
              <w:rPr>
                <w:rFonts w:ascii="Arial" w:hAnsi="Arial" w:cs="Arial"/>
                <w:sz w:val="24"/>
                <w:szCs w:val="24"/>
              </w:rPr>
              <w:t>University Hospital Southampton, Southampton, UK</w:t>
            </w:r>
          </w:p>
        </w:tc>
      </w:tr>
      <w:tr w:rsidR="00992F8E" w14:paraId="6E8EE175"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470EE2A5" w14:textId="77777777" w:rsidR="00992F8E" w:rsidRDefault="00992F8E">
            <w:pPr>
              <w:spacing w:line="240" w:lineRule="auto"/>
              <w:rPr>
                <w:rFonts w:ascii="Arial" w:hAnsi="Arial" w:cs="Arial"/>
                <w:sz w:val="24"/>
                <w:szCs w:val="24"/>
              </w:rPr>
            </w:pPr>
            <w:r>
              <w:rPr>
                <w:rFonts w:ascii="Arial" w:hAnsi="Arial" w:cs="Arial"/>
                <w:sz w:val="24"/>
                <w:szCs w:val="24"/>
              </w:rPr>
              <w:t>Professor Wendy Frankel</w:t>
            </w:r>
          </w:p>
        </w:tc>
        <w:tc>
          <w:tcPr>
            <w:tcW w:w="5760" w:type="dxa"/>
            <w:tcBorders>
              <w:top w:val="single" w:sz="4" w:space="0" w:color="auto"/>
              <w:left w:val="single" w:sz="4" w:space="0" w:color="auto"/>
              <w:bottom w:val="single" w:sz="4" w:space="0" w:color="auto"/>
              <w:right w:val="single" w:sz="4" w:space="0" w:color="auto"/>
            </w:tcBorders>
            <w:hideMark/>
          </w:tcPr>
          <w:p w14:paraId="21199C53" w14:textId="77777777" w:rsidR="00992F8E" w:rsidRDefault="00992F8E">
            <w:pPr>
              <w:spacing w:line="240" w:lineRule="auto"/>
              <w:rPr>
                <w:rFonts w:ascii="Arial" w:hAnsi="Arial" w:cs="Arial"/>
                <w:sz w:val="24"/>
                <w:szCs w:val="24"/>
              </w:rPr>
            </w:pPr>
            <w:r>
              <w:rPr>
                <w:rFonts w:ascii="Arial" w:hAnsi="Arial" w:cs="Arial"/>
                <w:sz w:val="24"/>
                <w:szCs w:val="24"/>
              </w:rPr>
              <w:t>The Ohio State University Wexner Medical Centre, Ohio, USA</w:t>
            </w:r>
          </w:p>
        </w:tc>
      </w:tr>
      <w:tr w:rsidR="00992F8E" w14:paraId="4FD2A214"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7A6C4661" w14:textId="77777777" w:rsidR="00992F8E" w:rsidRDefault="00992F8E">
            <w:pPr>
              <w:spacing w:line="240" w:lineRule="auto"/>
              <w:rPr>
                <w:rFonts w:ascii="Arial" w:hAnsi="Arial" w:cs="Arial"/>
                <w:sz w:val="24"/>
                <w:szCs w:val="24"/>
              </w:rPr>
            </w:pPr>
            <w:r>
              <w:rPr>
                <w:rFonts w:ascii="Arial" w:hAnsi="Arial" w:cs="Arial"/>
                <w:sz w:val="24"/>
                <w:szCs w:val="24"/>
              </w:rPr>
              <w:t>Professor Robert Goldin</w:t>
            </w:r>
          </w:p>
        </w:tc>
        <w:tc>
          <w:tcPr>
            <w:tcW w:w="5760" w:type="dxa"/>
            <w:tcBorders>
              <w:top w:val="single" w:sz="4" w:space="0" w:color="auto"/>
              <w:left w:val="single" w:sz="4" w:space="0" w:color="auto"/>
              <w:bottom w:val="single" w:sz="4" w:space="0" w:color="auto"/>
              <w:right w:val="single" w:sz="4" w:space="0" w:color="auto"/>
            </w:tcBorders>
            <w:hideMark/>
          </w:tcPr>
          <w:p w14:paraId="26D4E144" w14:textId="77777777" w:rsidR="00992F8E" w:rsidRDefault="00992F8E">
            <w:pPr>
              <w:spacing w:line="240" w:lineRule="auto"/>
              <w:jc w:val="both"/>
              <w:rPr>
                <w:rFonts w:ascii="Arial" w:hAnsi="Arial" w:cs="Arial"/>
                <w:sz w:val="24"/>
                <w:szCs w:val="24"/>
              </w:rPr>
            </w:pPr>
            <w:r>
              <w:rPr>
                <w:rFonts w:ascii="Arial" w:hAnsi="Arial" w:cs="Arial"/>
                <w:sz w:val="24"/>
                <w:szCs w:val="24"/>
              </w:rPr>
              <w:t>Imperial College, London, UK</w:t>
            </w:r>
          </w:p>
        </w:tc>
      </w:tr>
      <w:tr w:rsidR="00992F8E" w14:paraId="1BB413EF"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5EA0B1D4" w14:textId="77777777" w:rsidR="00992F8E" w:rsidRDefault="00992F8E">
            <w:pPr>
              <w:spacing w:line="240" w:lineRule="auto"/>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Purva</w:t>
            </w:r>
            <w:proofErr w:type="spellEnd"/>
            <w:r>
              <w:rPr>
                <w:rFonts w:ascii="Arial" w:hAnsi="Arial" w:cs="Arial"/>
                <w:sz w:val="24"/>
                <w:szCs w:val="24"/>
              </w:rPr>
              <w:t xml:space="preserve"> Gopal</w:t>
            </w:r>
          </w:p>
        </w:tc>
        <w:tc>
          <w:tcPr>
            <w:tcW w:w="5760" w:type="dxa"/>
            <w:tcBorders>
              <w:top w:val="single" w:sz="4" w:space="0" w:color="auto"/>
              <w:left w:val="single" w:sz="4" w:space="0" w:color="auto"/>
              <w:bottom w:val="single" w:sz="4" w:space="0" w:color="auto"/>
              <w:right w:val="single" w:sz="4" w:space="0" w:color="auto"/>
            </w:tcBorders>
            <w:hideMark/>
          </w:tcPr>
          <w:p w14:paraId="55D306AE" w14:textId="77777777" w:rsidR="00992F8E" w:rsidRDefault="00992F8E">
            <w:pPr>
              <w:spacing w:line="240" w:lineRule="auto"/>
              <w:jc w:val="both"/>
              <w:rPr>
                <w:rFonts w:ascii="Arial" w:hAnsi="Arial" w:cs="Arial"/>
                <w:sz w:val="24"/>
                <w:szCs w:val="24"/>
              </w:rPr>
            </w:pPr>
            <w:r>
              <w:rPr>
                <w:rFonts w:ascii="Arial" w:hAnsi="Arial" w:cs="Arial"/>
                <w:sz w:val="24"/>
                <w:szCs w:val="24"/>
              </w:rPr>
              <w:t>University of Texas Southwestern Medical Centre, Dallas, USA</w:t>
            </w:r>
          </w:p>
        </w:tc>
      </w:tr>
      <w:tr w:rsidR="00992F8E" w14:paraId="44392797"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666D7FAE" w14:textId="77777777" w:rsidR="00992F8E" w:rsidRDefault="00992F8E">
            <w:pPr>
              <w:spacing w:line="240" w:lineRule="auto"/>
              <w:rPr>
                <w:rFonts w:ascii="Arial" w:hAnsi="Arial" w:cs="Arial"/>
                <w:sz w:val="24"/>
                <w:szCs w:val="24"/>
              </w:rPr>
            </w:pPr>
            <w:r>
              <w:rPr>
                <w:rFonts w:ascii="Arial" w:hAnsi="Arial" w:cs="Arial"/>
                <w:sz w:val="24"/>
                <w:szCs w:val="24"/>
              </w:rPr>
              <w:t xml:space="preserve">Dr Richard Kirsch </w:t>
            </w:r>
          </w:p>
        </w:tc>
        <w:tc>
          <w:tcPr>
            <w:tcW w:w="5760" w:type="dxa"/>
            <w:tcBorders>
              <w:top w:val="single" w:sz="4" w:space="0" w:color="auto"/>
              <w:left w:val="single" w:sz="4" w:space="0" w:color="auto"/>
              <w:bottom w:val="single" w:sz="4" w:space="0" w:color="auto"/>
              <w:right w:val="single" w:sz="4" w:space="0" w:color="auto"/>
            </w:tcBorders>
            <w:hideMark/>
          </w:tcPr>
          <w:p w14:paraId="11C81779" w14:textId="77777777" w:rsidR="00992F8E" w:rsidRDefault="00992F8E">
            <w:pPr>
              <w:spacing w:line="240" w:lineRule="auto"/>
              <w:jc w:val="both"/>
              <w:rPr>
                <w:rFonts w:ascii="Arial" w:hAnsi="Arial" w:cs="Arial"/>
                <w:sz w:val="24"/>
                <w:szCs w:val="24"/>
              </w:rPr>
            </w:pPr>
            <w:r>
              <w:rPr>
                <w:rFonts w:ascii="Arial" w:hAnsi="Arial" w:cs="Arial"/>
                <w:sz w:val="24"/>
                <w:szCs w:val="24"/>
              </w:rPr>
              <w:t>Mount Sinai Medical Centre, Toronto, Canada</w:t>
            </w:r>
          </w:p>
        </w:tc>
      </w:tr>
      <w:tr w:rsidR="00992F8E" w14:paraId="7371EDD7"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5FB0B341" w14:textId="77777777" w:rsidR="00992F8E" w:rsidRDefault="00992F8E">
            <w:pPr>
              <w:spacing w:line="240" w:lineRule="auto"/>
              <w:rPr>
                <w:rFonts w:ascii="Arial" w:hAnsi="Arial" w:cs="Arial"/>
                <w:sz w:val="24"/>
                <w:szCs w:val="24"/>
              </w:rPr>
            </w:pPr>
            <w:r>
              <w:rPr>
                <w:rFonts w:ascii="Arial" w:hAnsi="Arial" w:cs="Arial"/>
                <w:sz w:val="24"/>
                <w:szCs w:val="24"/>
              </w:rPr>
              <w:t xml:space="preserve">Professor Maurice </w:t>
            </w:r>
            <w:proofErr w:type="spellStart"/>
            <w:r>
              <w:rPr>
                <w:rFonts w:ascii="Arial" w:hAnsi="Arial" w:cs="Arial"/>
                <w:sz w:val="24"/>
                <w:szCs w:val="24"/>
              </w:rPr>
              <w:t>Loughrey</w:t>
            </w:r>
            <w:proofErr w:type="spellEnd"/>
            <w:r>
              <w:rPr>
                <w:rFonts w:ascii="Arial" w:hAnsi="Arial" w:cs="Arial"/>
                <w:sz w:val="24"/>
                <w:szCs w:val="24"/>
              </w:rPr>
              <w:t xml:space="preserve"> </w:t>
            </w:r>
          </w:p>
        </w:tc>
        <w:tc>
          <w:tcPr>
            <w:tcW w:w="5760" w:type="dxa"/>
            <w:tcBorders>
              <w:top w:val="single" w:sz="4" w:space="0" w:color="auto"/>
              <w:left w:val="single" w:sz="4" w:space="0" w:color="auto"/>
              <w:bottom w:val="single" w:sz="4" w:space="0" w:color="auto"/>
              <w:right w:val="single" w:sz="4" w:space="0" w:color="auto"/>
            </w:tcBorders>
            <w:hideMark/>
          </w:tcPr>
          <w:p w14:paraId="18D9B7EE" w14:textId="77777777" w:rsidR="00992F8E" w:rsidRDefault="00992F8E">
            <w:pPr>
              <w:spacing w:line="240" w:lineRule="auto"/>
              <w:jc w:val="both"/>
              <w:rPr>
                <w:rFonts w:ascii="Arial" w:hAnsi="Arial" w:cs="Arial"/>
                <w:sz w:val="24"/>
                <w:szCs w:val="24"/>
              </w:rPr>
            </w:pPr>
            <w:r>
              <w:rPr>
                <w:rFonts w:ascii="Arial" w:hAnsi="Arial" w:cs="Arial"/>
                <w:sz w:val="24"/>
                <w:szCs w:val="24"/>
              </w:rPr>
              <w:t>Royal Victoria Hospital, Belfast, UK</w:t>
            </w:r>
          </w:p>
        </w:tc>
      </w:tr>
      <w:tr w:rsidR="00992F8E" w14:paraId="2EE040CE"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74BE3CC6"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Dr Bruno </w:t>
            </w:r>
            <w:proofErr w:type="spellStart"/>
            <w:r>
              <w:rPr>
                <w:rFonts w:ascii="Arial" w:hAnsi="Arial" w:cs="Arial"/>
                <w:sz w:val="24"/>
                <w:szCs w:val="24"/>
              </w:rPr>
              <w:t>Märkl</w:t>
            </w:r>
            <w:proofErr w:type="spellEnd"/>
          </w:p>
        </w:tc>
        <w:tc>
          <w:tcPr>
            <w:tcW w:w="5760" w:type="dxa"/>
            <w:tcBorders>
              <w:top w:val="single" w:sz="4" w:space="0" w:color="auto"/>
              <w:left w:val="single" w:sz="4" w:space="0" w:color="auto"/>
              <w:bottom w:val="single" w:sz="4" w:space="0" w:color="auto"/>
              <w:right w:val="single" w:sz="4" w:space="0" w:color="auto"/>
            </w:tcBorders>
            <w:hideMark/>
          </w:tcPr>
          <w:p w14:paraId="412E78E2" w14:textId="77777777" w:rsidR="00992F8E" w:rsidRDefault="00992F8E">
            <w:pPr>
              <w:spacing w:line="240" w:lineRule="auto"/>
              <w:jc w:val="both"/>
              <w:rPr>
                <w:rFonts w:ascii="Arial" w:hAnsi="Arial" w:cs="Arial"/>
                <w:sz w:val="24"/>
                <w:szCs w:val="24"/>
              </w:rPr>
            </w:pPr>
            <w:proofErr w:type="spellStart"/>
            <w:r>
              <w:rPr>
                <w:rFonts w:ascii="Arial" w:hAnsi="Arial" w:cs="Arial"/>
                <w:sz w:val="24"/>
                <w:szCs w:val="24"/>
                <w:shd w:val="clear" w:color="auto" w:fill="FFFFFF"/>
              </w:rPr>
              <w:t>Klinikum</w:t>
            </w:r>
            <w:proofErr w:type="spellEnd"/>
            <w:r>
              <w:rPr>
                <w:rFonts w:ascii="Arial" w:hAnsi="Arial" w:cs="Arial"/>
                <w:sz w:val="24"/>
                <w:szCs w:val="24"/>
                <w:shd w:val="clear" w:color="auto" w:fill="FFFFFF"/>
              </w:rPr>
              <w:t> </w:t>
            </w:r>
            <w:r>
              <w:rPr>
                <w:rStyle w:val="Emphasis"/>
                <w:rFonts w:ascii="Arial" w:hAnsi="Arial" w:cs="Arial"/>
                <w:i w:val="0"/>
                <w:iCs w:val="0"/>
              </w:rPr>
              <w:t>Augsburg</w:t>
            </w:r>
            <w:r>
              <w:rPr>
                <w:rFonts w:cstheme="minorBidi"/>
              </w:rPr>
              <w:t>, </w:t>
            </w:r>
            <w:r>
              <w:rPr>
                <w:rStyle w:val="Emphasis"/>
                <w:rFonts w:ascii="Arial" w:hAnsi="Arial" w:cs="Arial"/>
                <w:i w:val="0"/>
                <w:iCs w:val="0"/>
              </w:rPr>
              <w:t>Augsburg</w:t>
            </w:r>
            <w:r>
              <w:rPr>
                <w:rFonts w:cstheme="minorBidi"/>
              </w:rPr>
              <w:t>, Germany</w:t>
            </w:r>
          </w:p>
        </w:tc>
      </w:tr>
      <w:tr w:rsidR="00992F8E" w14:paraId="146ECA6D"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6C22FC58"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Mr Brendan Moran </w:t>
            </w:r>
          </w:p>
        </w:tc>
        <w:tc>
          <w:tcPr>
            <w:tcW w:w="5760" w:type="dxa"/>
            <w:tcBorders>
              <w:top w:val="single" w:sz="4" w:space="0" w:color="auto"/>
              <w:left w:val="single" w:sz="4" w:space="0" w:color="auto"/>
              <w:bottom w:val="single" w:sz="4" w:space="0" w:color="auto"/>
              <w:right w:val="single" w:sz="4" w:space="0" w:color="auto"/>
            </w:tcBorders>
            <w:hideMark/>
          </w:tcPr>
          <w:p w14:paraId="1537B02F" w14:textId="77777777" w:rsidR="00992F8E" w:rsidRDefault="00992F8E">
            <w:pPr>
              <w:spacing w:line="240" w:lineRule="auto"/>
              <w:jc w:val="both"/>
              <w:rPr>
                <w:rFonts w:ascii="Arial" w:hAnsi="Arial" w:cs="Arial"/>
                <w:sz w:val="24"/>
                <w:szCs w:val="24"/>
              </w:rPr>
            </w:pPr>
            <w:r>
              <w:rPr>
                <w:rFonts w:ascii="Arial" w:hAnsi="Arial" w:cs="Arial"/>
                <w:sz w:val="24"/>
                <w:szCs w:val="24"/>
              </w:rPr>
              <w:t>North Hampshire Hospital, Basingstoke, UK</w:t>
            </w:r>
          </w:p>
        </w:tc>
      </w:tr>
      <w:tr w:rsidR="00992F8E" w14:paraId="79D057DB"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795878C8"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Dr Giacomo </w:t>
            </w:r>
            <w:proofErr w:type="spellStart"/>
            <w:r>
              <w:rPr>
                <w:rFonts w:ascii="Arial" w:hAnsi="Arial" w:cs="Arial"/>
                <w:sz w:val="24"/>
                <w:szCs w:val="24"/>
              </w:rPr>
              <w:t>Puppa</w:t>
            </w:r>
            <w:proofErr w:type="spellEnd"/>
            <w:r>
              <w:rPr>
                <w:rFonts w:ascii="Arial" w:hAnsi="Arial" w:cs="Arial"/>
                <w:sz w:val="24"/>
                <w:szCs w:val="24"/>
              </w:rPr>
              <w:t xml:space="preserve"> </w:t>
            </w:r>
          </w:p>
        </w:tc>
        <w:tc>
          <w:tcPr>
            <w:tcW w:w="5760" w:type="dxa"/>
            <w:tcBorders>
              <w:top w:val="single" w:sz="4" w:space="0" w:color="auto"/>
              <w:left w:val="single" w:sz="4" w:space="0" w:color="auto"/>
              <w:bottom w:val="single" w:sz="4" w:space="0" w:color="auto"/>
              <w:right w:val="single" w:sz="4" w:space="0" w:color="auto"/>
            </w:tcBorders>
            <w:hideMark/>
          </w:tcPr>
          <w:p w14:paraId="521E91E8" w14:textId="77777777" w:rsidR="00992F8E" w:rsidRDefault="00992F8E">
            <w:pPr>
              <w:spacing w:line="240" w:lineRule="auto"/>
              <w:jc w:val="both"/>
              <w:rPr>
                <w:rFonts w:ascii="Arial" w:hAnsi="Arial" w:cs="Arial"/>
                <w:sz w:val="24"/>
                <w:szCs w:val="24"/>
              </w:rPr>
            </w:pPr>
            <w:r>
              <w:rPr>
                <w:rFonts w:ascii="Arial" w:hAnsi="Arial" w:cs="Arial"/>
                <w:sz w:val="24"/>
                <w:szCs w:val="24"/>
              </w:rPr>
              <w:t>Geneva University Hospital, Geneva, Switzerland</w:t>
            </w:r>
          </w:p>
        </w:tc>
      </w:tr>
      <w:tr w:rsidR="006160E4" w14:paraId="613C6F78" w14:textId="77777777" w:rsidTr="006160E4">
        <w:tc>
          <w:tcPr>
            <w:tcW w:w="3256" w:type="dxa"/>
            <w:tcBorders>
              <w:top w:val="single" w:sz="4" w:space="0" w:color="auto"/>
              <w:left w:val="single" w:sz="4" w:space="0" w:color="auto"/>
              <w:bottom w:val="single" w:sz="4" w:space="0" w:color="auto"/>
              <w:right w:val="single" w:sz="4" w:space="0" w:color="auto"/>
            </w:tcBorders>
          </w:tcPr>
          <w:p w14:paraId="017B8DDE" w14:textId="13DD1360" w:rsidR="006160E4" w:rsidRDefault="006160E4">
            <w:pPr>
              <w:spacing w:line="240" w:lineRule="auto"/>
              <w:jc w:val="both"/>
              <w:rPr>
                <w:rFonts w:ascii="Arial" w:hAnsi="Arial" w:cs="Arial"/>
                <w:sz w:val="24"/>
                <w:szCs w:val="24"/>
              </w:rPr>
            </w:pPr>
            <w:r>
              <w:rPr>
                <w:rFonts w:ascii="Arial" w:hAnsi="Arial" w:cs="Arial"/>
                <w:sz w:val="24"/>
                <w:szCs w:val="24"/>
              </w:rPr>
              <w:t>Mr Shahnawaz Rasheed</w:t>
            </w:r>
          </w:p>
        </w:tc>
        <w:tc>
          <w:tcPr>
            <w:tcW w:w="5760" w:type="dxa"/>
            <w:tcBorders>
              <w:top w:val="single" w:sz="4" w:space="0" w:color="auto"/>
              <w:left w:val="single" w:sz="4" w:space="0" w:color="auto"/>
              <w:bottom w:val="single" w:sz="4" w:space="0" w:color="auto"/>
              <w:right w:val="single" w:sz="4" w:space="0" w:color="auto"/>
            </w:tcBorders>
          </w:tcPr>
          <w:p w14:paraId="7BFE2E20" w14:textId="04DD549C" w:rsidR="006160E4" w:rsidRDefault="006160E4">
            <w:pPr>
              <w:spacing w:line="240" w:lineRule="auto"/>
              <w:jc w:val="both"/>
              <w:rPr>
                <w:rFonts w:ascii="Arial" w:hAnsi="Arial" w:cs="Arial"/>
                <w:sz w:val="24"/>
                <w:szCs w:val="24"/>
              </w:rPr>
            </w:pPr>
            <w:r>
              <w:rPr>
                <w:rFonts w:ascii="Arial" w:hAnsi="Arial" w:cs="Arial"/>
                <w:sz w:val="24"/>
                <w:szCs w:val="24"/>
              </w:rPr>
              <w:t>Royal Marsden NHS Trust, London, UK</w:t>
            </w:r>
          </w:p>
        </w:tc>
      </w:tr>
      <w:tr w:rsidR="00992F8E" w14:paraId="23CA20BD" w14:textId="77777777" w:rsidTr="006160E4">
        <w:tc>
          <w:tcPr>
            <w:tcW w:w="3256" w:type="dxa"/>
            <w:tcBorders>
              <w:top w:val="single" w:sz="4" w:space="0" w:color="auto"/>
              <w:left w:val="single" w:sz="4" w:space="0" w:color="auto"/>
              <w:bottom w:val="single" w:sz="4" w:space="0" w:color="auto"/>
              <w:right w:val="single" w:sz="4" w:space="0" w:color="auto"/>
            </w:tcBorders>
          </w:tcPr>
          <w:p w14:paraId="48C75FF3"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Dr Yoshifumi Shimada </w:t>
            </w:r>
          </w:p>
          <w:p w14:paraId="23B8BCA1" w14:textId="77777777" w:rsidR="00992F8E" w:rsidRDefault="00992F8E">
            <w:pPr>
              <w:spacing w:line="240" w:lineRule="auto"/>
              <w:jc w:val="both"/>
              <w:rPr>
                <w:rFonts w:ascii="Arial" w:hAnsi="Arial" w:cs="Arial"/>
                <w:sz w:val="24"/>
                <w:szCs w:val="24"/>
              </w:rPr>
            </w:pPr>
          </w:p>
        </w:tc>
        <w:tc>
          <w:tcPr>
            <w:tcW w:w="5760" w:type="dxa"/>
            <w:tcBorders>
              <w:top w:val="single" w:sz="4" w:space="0" w:color="auto"/>
              <w:left w:val="single" w:sz="4" w:space="0" w:color="auto"/>
              <w:bottom w:val="single" w:sz="4" w:space="0" w:color="auto"/>
              <w:right w:val="single" w:sz="4" w:space="0" w:color="auto"/>
            </w:tcBorders>
            <w:hideMark/>
          </w:tcPr>
          <w:p w14:paraId="01292DAE" w14:textId="77777777" w:rsidR="00992F8E" w:rsidRDefault="00992F8E">
            <w:pPr>
              <w:spacing w:line="240" w:lineRule="auto"/>
              <w:jc w:val="both"/>
              <w:rPr>
                <w:rFonts w:ascii="Arial" w:hAnsi="Arial" w:cs="Arial"/>
                <w:sz w:val="24"/>
                <w:szCs w:val="24"/>
              </w:rPr>
            </w:pPr>
            <w:r>
              <w:rPr>
                <w:rFonts w:ascii="Arial" w:hAnsi="Arial" w:cs="Arial"/>
                <w:color w:val="212121"/>
                <w:sz w:val="24"/>
                <w:szCs w:val="24"/>
                <w:shd w:val="clear" w:color="auto" w:fill="FFFFFF"/>
              </w:rPr>
              <w:t>Niigata University Graduate School of Medical and Dental Sciences, Niigata, Japan</w:t>
            </w:r>
          </w:p>
        </w:tc>
      </w:tr>
      <w:tr w:rsidR="00992F8E" w14:paraId="7FD6F905"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1C56B2CD"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Dr </w:t>
            </w:r>
            <w:proofErr w:type="spellStart"/>
            <w:r>
              <w:rPr>
                <w:rFonts w:ascii="Arial" w:hAnsi="Arial" w:cs="Arial"/>
                <w:sz w:val="24"/>
                <w:szCs w:val="24"/>
              </w:rPr>
              <w:t>Petur</w:t>
            </w:r>
            <w:proofErr w:type="spellEnd"/>
            <w:r>
              <w:rPr>
                <w:rFonts w:ascii="Arial" w:hAnsi="Arial" w:cs="Arial"/>
                <w:sz w:val="24"/>
                <w:szCs w:val="24"/>
              </w:rPr>
              <w:t xml:space="preserve"> </w:t>
            </w:r>
            <w:proofErr w:type="spellStart"/>
            <w:r>
              <w:rPr>
                <w:rFonts w:ascii="Arial" w:hAnsi="Arial" w:cs="Arial"/>
                <w:sz w:val="24"/>
                <w:szCs w:val="24"/>
              </w:rPr>
              <w:t>Snaebjornsson</w:t>
            </w:r>
            <w:proofErr w:type="spellEnd"/>
            <w:r>
              <w:rPr>
                <w:rFonts w:ascii="Arial" w:hAnsi="Arial" w:cs="Arial"/>
                <w:sz w:val="24"/>
                <w:szCs w:val="24"/>
              </w:rPr>
              <w:t xml:space="preserve"> </w:t>
            </w:r>
          </w:p>
        </w:tc>
        <w:tc>
          <w:tcPr>
            <w:tcW w:w="5760" w:type="dxa"/>
            <w:tcBorders>
              <w:top w:val="single" w:sz="4" w:space="0" w:color="auto"/>
              <w:left w:val="single" w:sz="4" w:space="0" w:color="auto"/>
              <w:bottom w:val="single" w:sz="4" w:space="0" w:color="auto"/>
              <w:right w:val="single" w:sz="4" w:space="0" w:color="auto"/>
            </w:tcBorders>
            <w:hideMark/>
          </w:tcPr>
          <w:p w14:paraId="45163408" w14:textId="77777777" w:rsidR="00992F8E" w:rsidRDefault="00992F8E">
            <w:pPr>
              <w:spacing w:line="240" w:lineRule="auto"/>
              <w:jc w:val="both"/>
              <w:rPr>
                <w:rFonts w:ascii="Arial" w:hAnsi="Arial" w:cs="Arial"/>
                <w:color w:val="212121"/>
                <w:sz w:val="24"/>
                <w:szCs w:val="24"/>
                <w:shd w:val="clear" w:color="auto" w:fill="FFFFFF"/>
              </w:rPr>
            </w:pPr>
            <w:r>
              <w:rPr>
                <w:rFonts w:ascii="Arial" w:hAnsi="Arial" w:cs="Arial"/>
                <w:color w:val="212121"/>
                <w:sz w:val="24"/>
                <w:szCs w:val="24"/>
                <w:shd w:val="clear" w:color="auto" w:fill="FFFFFF"/>
              </w:rPr>
              <w:t>Netherlands Cancer Institute, Amsterdam, Netherlands</w:t>
            </w:r>
          </w:p>
        </w:tc>
      </w:tr>
      <w:tr w:rsidR="00992F8E" w14:paraId="1835509C"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751C42BA"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Dr Magali </w:t>
            </w:r>
            <w:proofErr w:type="spellStart"/>
            <w:r>
              <w:rPr>
                <w:rFonts w:ascii="Arial" w:hAnsi="Arial" w:cs="Arial"/>
                <w:sz w:val="24"/>
                <w:szCs w:val="24"/>
              </w:rPr>
              <w:t>Svrcek</w:t>
            </w:r>
            <w:proofErr w:type="spellEnd"/>
          </w:p>
        </w:tc>
        <w:tc>
          <w:tcPr>
            <w:tcW w:w="5760" w:type="dxa"/>
            <w:tcBorders>
              <w:top w:val="single" w:sz="4" w:space="0" w:color="auto"/>
              <w:left w:val="single" w:sz="4" w:space="0" w:color="auto"/>
              <w:bottom w:val="single" w:sz="4" w:space="0" w:color="auto"/>
              <w:right w:val="single" w:sz="4" w:space="0" w:color="auto"/>
            </w:tcBorders>
            <w:hideMark/>
          </w:tcPr>
          <w:p w14:paraId="5838DAF8" w14:textId="77777777" w:rsidR="00992F8E" w:rsidRDefault="00992F8E">
            <w:pPr>
              <w:spacing w:line="240" w:lineRule="auto"/>
              <w:jc w:val="both"/>
              <w:rPr>
                <w:rFonts w:ascii="Arial" w:hAnsi="Arial" w:cs="Arial"/>
                <w:color w:val="212121"/>
                <w:sz w:val="24"/>
                <w:szCs w:val="24"/>
                <w:shd w:val="clear" w:color="auto" w:fill="FFFFFF"/>
              </w:rPr>
            </w:pPr>
            <w:proofErr w:type="spellStart"/>
            <w:r>
              <w:rPr>
                <w:rFonts w:ascii="Arial" w:hAnsi="Arial" w:cs="Arial"/>
                <w:sz w:val="24"/>
                <w:szCs w:val="24"/>
                <w:shd w:val="clear" w:color="auto" w:fill="FFFFFF"/>
              </w:rPr>
              <w:t>Hôpital</w:t>
            </w:r>
            <w:proofErr w:type="spellEnd"/>
            <w:r>
              <w:rPr>
                <w:rFonts w:ascii="Arial" w:hAnsi="Arial" w:cs="Arial"/>
                <w:sz w:val="24"/>
                <w:szCs w:val="24"/>
                <w:shd w:val="clear" w:color="auto" w:fill="FFFFFF"/>
              </w:rPr>
              <w:t xml:space="preserve"> Saint-Antoine</w:t>
            </w:r>
            <w:r>
              <w:rPr>
                <w:rFonts w:cstheme="minorBidi"/>
              </w:rPr>
              <w:t xml:space="preserve">, </w:t>
            </w:r>
            <w:r w:rsidRPr="006160E4">
              <w:rPr>
                <w:rFonts w:ascii="Arial" w:hAnsi="Arial" w:cs="Arial"/>
                <w:sz w:val="24"/>
                <w:szCs w:val="24"/>
              </w:rPr>
              <w:t>Paris, France</w:t>
            </w:r>
          </w:p>
        </w:tc>
      </w:tr>
      <w:tr w:rsidR="00992F8E" w14:paraId="1F768975"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50623575" w14:textId="77777777" w:rsidR="00992F8E" w:rsidRDefault="00992F8E">
            <w:pPr>
              <w:spacing w:line="240" w:lineRule="auto"/>
              <w:jc w:val="both"/>
              <w:rPr>
                <w:rFonts w:ascii="Arial" w:hAnsi="Arial" w:cs="Arial"/>
                <w:sz w:val="24"/>
                <w:szCs w:val="24"/>
              </w:rPr>
            </w:pPr>
            <w:r>
              <w:rPr>
                <w:rFonts w:ascii="Arial" w:hAnsi="Arial" w:cs="Arial"/>
                <w:sz w:val="24"/>
                <w:szCs w:val="24"/>
              </w:rPr>
              <w:t>Dr Kay Washington</w:t>
            </w:r>
          </w:p>
        </w:tc>
        <w:tc>
          <w:tcPr>
            <w:tcW w:w="5760" w:type="dxa"/>
            <w:tcBorders>
              <w:top w:val="single" w:sz="4" w:space="0" w:color="auto"/>
              <w:left w:val="single" w:sz="4" w:space="0" w:color="auto"/>
              <w:bottom w:val="single" w:sz="4" w:space="0" w:color="auto"/>
              <w:right w:val="single" w:sz="4" w:space="0" w:color="auto"/>
            </w:tcBorders>
            <w:hideMark/>
          </w:tcPr>
          <w:p w14:paraId="62A9999A" w14:textId="77777777" w:rsidR="00992F8E" w:rsidRDefault="00992F8E">
            <w:pPr>
              <w:spacing w:line="240" w:lineRule="auto"/>
              <w:jc w:val="both"/>
              <w:rPr>
                <w:rFonts w:ascii="Arial" w:hAnsi="Arial" w:cs="Arial"/>
                <w:color w:val="212121"/>
                <w:sz w:val="24"/>
                <w:szCs w:val="24"/>
                <w:shd w:val="clear" w:color="auto" w:fill="FFFFFF"/>
              </w:rPr>
            </w:pPr>
            <w:r>
              <w:rPr>
                <w:rFonts w:ascii="Arial" w:hAnsi="Arial" w:cs="Arial"/>
                <w:color w:val="212121"/>
                <w:sz w:val="24"/>
                <w:szCs w:val="24"/>
                <w:shd w:val="clear" w:color="auto" w:fill="FFFFFF"/>
              </w:rPr>
              <w:t>Vanderbilt University Medical Centre, Nashville, USA</w:t>
            </w:r>
          </w:p>
        </w:tc>
      </w:tr>
      <w:tr w:rsidR="00992F8E" w14:paraId="66DDB392"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2183FF2F" w14:textId="77777777" w:rsidR="00992F8E" w:rsidRDefault="00992F8E">
            <w:pPr>
              <w:spacing w:line="240" w:lineRule="auto"/>
              <w:jc w:val="both"/>
              <w:rPr>
                <w:rFonts w:ascii="Arial" w:hAnsi="Arial" w:cs="Arial"/>
                <w:sz w:val="24"/>
                <w:szCs w:val="24"/>
              </w:rPr>
            </w:pPr>
            <w:r>
              <w:rPr>
                <w:rFonts w:ascii="Arial" w:hAnsi="Arial" w:cs="Arial"/>
                <w:sz w:val="24"/>
                <w:szCs w:val="24"/>
              </w:rPr>
              <w:t>Dr Nicholas West</w:t>
            </w:r>
          </w:p>
        </w:tc>
        <w:tc>
          <w:tcPr>
            <w:tcW w:w="5760" w:type="dxa"/>
            <w:tcBorders>
              <w:top w:val="single" w:sz="4" w:space="0" w:color="auto"/>
              <w:left w:val="single" w:sz="4" w:space="0" w:color="auto"/>
              <w:bottom w:val="single" w:sz="4" w:space="0" w:color="auto"/>
              <w:right w:val="single" w:sz="4" w:space="0" w:color="auto"/>
            </w:tcBorders>
            <w:hideMark/>
          </w:tcPr>
          <w:p w14:paraId="5FE171F5" w14:textId="77777777" w:rsidR="00992F8E" w:rsidRDefault="00992F8E">
            <w:pPr>
              <w:spacing w:line="240" w:lineRule="auto"/>
              <w:jc w:val="both"/>
              <w:rPr>
                <w:rFonts w:ascii="Arial" w:hAnsi="Arial" w:cs="Arial"/>
                <w:color w:val="212121"/>
                <w:sz w:val="24"/>
                <w:szCs w:val="24"/>
                <w:shd w:val="clear" w:color="auto" w:fill="FFFFFF"/>
              </w:rPr>
            </w:pPr>
            <w:r>
              <w:rPr>
                <w:rFonts w:ascii="Arial" w:hAnsi="Arial" w:cs="Arial"/>
                <w:color w:val="212121"/>
                <w:sz w:val="24"/>
                <w:szCs w:val="24"/>
                <w:shd w:val="clear" w:color="auto" w:fill="FFFFFF"/>
              </w:rPr>
              <w:t>University of Leeds, Leeds, UK</w:t>
            </w:r>
          </w:p>
        </w:tc>
      </w:tr>
      <w:tr w:rsidR="00992F8E" w14:paraId="714CEB9E"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623ED3A2" w14:textId="77777777" w:rsidR="00992F8E" w:rsidRDefault="00992F8E">
            <w:pPr>
              <w:spacing w:line="240" w:lineRule="auto"/>
              <w:jc w:val="both"/>
              <w:rPr>
                <w:rFonts w:ascii="Arial" w:hAnsi="Arial" w:cs="Arial"/>
                <w:sz w:val="24"/>
                <w:szCs w:val="24"/>
              </w:rPr>
            </w:pPr>
            <w:r>
              <w:rPr>
                <w:rFonts w:ascii="Arial" w:hAnsi="Arial" w:cs="Arial"/>
                <w:sz w:val="24"/>
                <w:szCs w:val="24"/>
              </w:rPr>
              <w:t>Dr Newton Wong</w:t>
            </w:r>
          </w:p>
        </w:tc>
        <w:tc>
          <w:tcPr>
            <w:tcW w:w="5760" w:type="dxa"/>
            <w:tcBorders>
              <w:top w:val="single" w:sz="4" w:space="0" w:color="auto"/>
              <w:left w:val="single" w:sz="4" w:space="0" w:color="auto"/>
              <w:bottom w:val="single" w:sz="4" w:space="0" w:color="auto"/>
              <w:right w:val="single" w:sz="4" w:space="0" w:color="auto"/>
            </w:tcBorders>
            <w:hideMark/>
          </w:tcPr>
          <w:p w14:paraId="1F49E7C3" w14:textId="77777777" w:rsidR="00992F8E" w:rsidRDefault="00992F8E">
            <w:pPr>
              <w:spacing w:line="240" w:lineRule="auto"/>
              <w:jc w:val="both"/>
              <w:rPr>
                <w:rFonts w:ascii="Arial" w:hAnsi="Arial" w:cs="Arial"/>
                <w:color w:val="212121"/>
                <w:sz w:val="24"/>
                <w:szCs w:val="24"/>
                <w:shd w:val="clear" w:color="auto" w:fill="FFFFFF"/>
              </w:rPr>
            </w:pPr>
            <w:r>
              <w:rPr>
                <w:rFonts w:ascii="Arial" w:hAnsi="Arial" w:cs="Arial"/>
                <w:color w:val="212121"/>
                <w:sz w:val="24"/>
                <w:szCs w:val="24"/>
                <w:shd w:val="clear" w:color="auto" w:fill="FFFFFF"/>
              </w:rPr>
              <w:t>University of Bristol, Bristol, UK</w:t>
            </w:r>
          </w:p>
        </w:tc>
      </w:tr>
      <w:tr w:rsidR="00992F8E" w14:paraId="56737F00" w14:textId="77777777" w:rsidTr="006160E4">
        <w:tc>
          <w:tcPr>
            <w:tcW w:w="3256" w:type="dxa"/>
            <w:tcBorders>
              <w:top w:val="single" w:sz="4" w:space="0" w:color="auto"/>
              <w:left w:val="single" w:sz="4" w:space="0" w:color="auto"/>
              <w:bottom w:val="single" w:sz="4" w:space="0" w:color="auto"/>
              <w:right w:val="single" w:sz="4" w:space="0" w:color="auto"/>
            </w:tcBorders>
            <w:hideMark/>
          </w:tcPr>
          <w:p w14:paraId="2EF80D0D" w14:textId="77777777" w:rsidR="00992F8E" w:rsidRDefault="00992F8E">
            <w:pPr>
              <w:spacing w:line="240" w:lineRule="auto"/>
              <w:jc w:val="both"/>
              <w:rPr>
                <w:rFonts w:ascii="Arial" w:hAnsi="Arial" w:cs="Arial"/>
                <w:sz w:val="24"/>
                <w:szCs w:val="24"/>
              </w:rPr>
            </w:pPr>
            <w:r>
              <w:rPr>
                <w:rFonts w:ascii="Arial" w:hAnsi="Arial" w:cs="Arial"/>
                <w:sz w:val="24"/>
                <w:szCs w:val="24"/>
              </w:rPr>
              <w:t xml:space="preserve">Professor Iris </w:t>
            </w:r>
            <w:proofErr w:type="spellStart"/>
            <w:r>
              <w:rPr>
                <w:rFonts w:ascii="Arial" w:hAnsi="Arial" w:cs="Arial"/>
                <w:sz w:val="24"/>
                <w:szCs w:val="24"/>
              </w:rPr>
              <w:t>Nagtegaal</w:t>
            </w:r>
            <w:proofErr w:type="spellEnd"/>
          </w:p>
        </w:tc>
        <w:tc>
          <w:tcPr>
            <w:tcW w:w="5760" w:type="dxa"/>
            <w:tcBorders>
              <w:top w:val="single" w:sz="4" w:space="0" w:color="auto"/>
              <w:left w:val="single" w:sz="4" w:space="0" w:color="auto"/>
              <w:bottom w:val="single" w:sz="4" w:space="0" w:color="auto"/>
              <w:right w:val="single" w:sz="4" w:space="0" w:color="auto"/>
            </w:tcBorders>
            <w:hideMark/>
          </w:tcPr>
          <w:p w14:paraId="7D1980EA" w14:textId="77777777" w:rsidR="00992F8E" w:rsidRDefault="00992F8E">
            <w:pPr>
              <w:spacing w:line="240" w:lineRule="auto"/>
              <w:jc w:val="both"/>
              <w:rPr>
                <w:rFonts w:ascii="Arial" w:hAnsi="Arial" w:cs="Arial"/>
                <w:color w:val="212121"/>
                <w:sz w:val="24"/>
                <w:szCs w:val="24"/>
                <w:shd w:val="clear" w:color="auto" w:fill="FFFFFF"/>
              </w:rPr>
            </w:pPr>
            <w:proofErr w:type="spellStart"/>
            <w:r>
              <w:rPr>
                <w:rFonts w:ascii="Arial" w:hAnsi="Arial" w:cs="Arial"/>
                <w:color w:val="212121"/>
                <w:sz w:val="24"/>
                <w:szCs w:val="24"/>
                <w:shd w:val="clear" w:color="auto" w:fill="FFFFFF"/>
              </w:rPr>
              <w:t>Radbound</w:t>
            </w:r>
            <w:proofErr w:type="spellEnd"/>
            <w:r>
              <w:rPr>
                <w:rFonts w:ascii="Arial" w:hAnsi="Arial" w:cs="Arial"/>
                <w:color w:val="212121"/>
                <w:sz w:val="24"/>
                <w:szCs w:val="24"/>
                <w:shd w:val="clear" w:color="auto" w:fill="FFFFFF"/>
              </w:rPr>
              <w:t xml:space="preserve"> University Medical Centre, Nijmegen, Netherlands</w:t>
            </w:r>
          </w:p>
        </w:tc>
      </w:tr>
    </w:tbl>
    <w:p w14:paraId="27DC15B8" w14:textId="77777777" w:rsidR="00992F8E" w:rsidRDefault="00992F8E" w:rsidP="00992F8E">
      <w:pPr>
        <w:spacing w:line="480" w:lineRule="auto"/>
        <w:jc w:val="both"/>
        <w:rPr>
          <w:rFonts w:ascii="Arial" w:hAnsi="Arial" w:cs="Arial"/>
          <w:sz w:val="24"/>
          <w:szCs w:val="24"/>
        </w:rPr>
      </w:pPr>
    </w:p>
    <w:p w14:paraId="4139EAD7" w14:textId="77777777" w:rsidR="00992F8E" w:rsidRDefault="00992F8E" w:rsidP="00992F8E">
      <w:pPr>
        <w:spacing w:line="480" w:lineRule="auto"/>
        <w:jc w:val="both"/>
        <w:rPr>
          <w:rFonts w:ascii="Arial" w:hAnsi="Arial" w:cs="Arial"/>
          <w:sz w:val="24"/>
          <w:szCs w:val="24"/>
        </w:rPr>
      </w:pPr>
    </w:p>
    <w:p w14:paraId="65F32061" w14:textId="77777777" w:rsidR="00992F8E" w:rsidRDefault="00992F8E" w:rsidP="00992F8E">
      <w:pPr>
        <w:spacing w:line="480" w:lineRule="auto"/>
        <w:jc w:val="both"/>
        <w:rPr>
          <w:rFonts w:ascii="Arial" w:hAnsi="Arial" w:cs="Arial"/>
          <w:sz w:val="24"/>
          <w:szCs w:val="24"/>
        </w:rPr>
      </w:pPr>
    </w:p>
    <w:p w14:paraId="3B2E271E" w14:textId="77777777" w:rsidR="00992F8E" w:rsidRDefault="00992F8E" w:rsidP="00992F8E">
      <w:pPr>
        <w:spacing w:line="480" w:lineRule="auto"/>
        <w:jc w:val="both"/>
        <w:rPr>
          <w:rFonts w:ascii="Arial" w:hAnsi="Arial" w:cs="Arial"/>
          <w:sz w:val="24"/>
          <w:szCs w:val="24"/>
        </w:rPr>
      </w:pPr>
    </w:p>
    <w:p w14:paraId="749F89BB" w14:textId="77777777" w:rsidR="00992F8E" w:rsidRDefault="00992F8E" w:rsidP="00992F8E">
      <w:pPr>
        <w:spacing w:line="480" w:lineRule="auto"/>
        <w:jc w:val="both"/>
        <w:rPr>
          <w:rFonts w:ascii="Arial" w:hAnsi="Arial" w:cs="Arial"/>
          <w:b/>
          <w:bCs/>
          <w:sz w:val="24"/>
          <w:szCs w:val="24"/>
        </w:rPr>
      </w:pPr>
    </w:p>
    <w:p w14:paraId="2773B0FD" w14:textId="77777777" w:rsidR="00992F8E" w:rsidRDefault="00992F8E" w:rsidP="00992F8E">
      <w:pPr>
        <w:spacing w:line="480" w:lineRule="auto"/>
        <w:jc w:val="both"/>
        <w:rPr>
          <w:rFonts w:ascii="Arial" w:hAnsi="Arial" w:cs="Arial"/>
          <w:b/>
          <w:bCs/>
          <w:sz w:val="24"/>
          <w:szCs w:val="24"/>
        </w:rPr>
      </w:pPr>
    </w:p>
    <w:p w14:paraId="1C599CAC"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lastRenderedPageBreak/>
        <w:t>Abstract</w:t>
      </w:r>
    </w:p>
    <w:p w14:paraId="34DC4641"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Tumour deposits (TDs) are an important prognostic marker in colorectal cancer but their classification and inclusion in staging has changed significantly in each TNM Edition since TNM 5, when they first appeared, and remains controversial.</w:t>
      </w:r>
      <w:r>
        <w:rPr>
          <w:rFonts w:ascii="Arial" w:hAnsi="Arial" w:cs="Arial"/>
          <w:i/>
          <w:iCs/>
          <w:sz w:val="24"/>
          <w:szCs w:val="24"/>
        </w:rPr>
        <w:t xml:space="preserve"> </w:t>
      </w:r>
      <w:r>
        <w:rPr>
          <w:rFonts w:ascii="Arial" w:hAnsi="Arial" w:cs="Arial"/>
          <w:sz w:val="24"/>
          <w:szCs w:val="24"/>
        </w:rPr>
        <w:t xml:space="preserve">Expert discussion and consensus </w:t>
      </w:r>
      <w:proofErr w:type="gramStart"/>
      <w:r>
        <w:rPr>
          <w:rFonts w:ascii="Arial" w:hAnsi="Arial" w:cs="Arial"/>
          <w:sz w:val="24"/>
          <w:szCs w:val="24"/>
        </w:rPr>
        <w:t>is</w:t>
      </w:r>
      <w:proofErr w:type="gramEnd"/>
      <w:r>
        <w:rPr>
          <w:rFonts w:ascii="Arial" w:hAnsi="Arial" w:cs="Arial"/>
          <w:sz w:val="24"/>
          <w:szCs w:val="24"/>
        </w:rPr>
        <w:t xml:space="preserve"> needed to help guide the future direction of staging.</w:t>
      </w:r>
    </w:p>
    <w:p w14:paraId="0180084E"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A modified Delphi consensus process was used. Statements were formulated after a literature review and sent out to participants as an online survey. Participants were asked to rate their agreement with each statement on a 5-point Likert scale </w:t>
      </w:r>
      <w:proofErr w:type="gramStart"/>
      <w:r>
        <w:rPr>
          <w:rFonts w:ascii="Arial" w:hAnsi="Arial" w:cs="Arial"/>
          <w:sz w:val="24"/>
          <w:szCs w:val="24"/>
        </w:rPr>
        <w:t>and also</w:t>
      </w:r>
      <w:proofErr w:type="gramEnd"/>
      <w:r>
        <w:rPr>
          <w:rFonts w:ascii="Arial" w:hAnsi="Arial" w:cs="Arial"/>
          <w:sz w:val="24"/>
          <w:szCs w:val="24"/>
        </w:rPr>
        <w:t xml:space="preserve"> to suggest additional statements for discussion. These responses were circulated along with anonymised comments and statements were modified prior to carrying out a second online round. Consensus was set at 70%.</w:t>
      </w:r>
    </w:p>
    <w:p w14:paraId="27CB3FE6"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32 statements reached consensus as part of the project. Overall, there were concerns that TDs were currently incorrectly placed in TNM and were being underestimated in their prognostic importance. There were concerns about interobserver variation and it was felt that a clearer, more reproducible definition of TDs was needed. </w:t>
      </w:r>
    </w:p>
    <w:p w14:paraId="3B5F30CD"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Current TNM staging is suboptimal in its definition of TDs </w:t>
      </w:r>
      <w:proofErr w:type="gramStart"/>
      <w:r>
        <w:rPr>
          <w:rFonts w:ascii="Arial" w:hAnsi="Arial" w:cs="Arial"/>
          <w:sz w:val="24"/>
          <w:szCs w:val="24"/>
        </w:rPr>
        <w:t>and also</w:t>
      </w:r>
      <w:proofErr w:type="gramEnd"/>
      <w:r>
        <w:rPr>
          <w:rFonts w:ascii="Arial" w:hAnsi="Arial" w:cs="Arial"/>
          <w:sz w:val="24"/>
          <w:szCs w:val="24"/>
        </w:rPr>
        <w:t xml:space="preserve"> the placement of the “pN1c” category which underestimates the prognostic effect of TDs. </w:t>
      </w:r>
      <w:proofErr w:type="gramStart"/>
      <w:r>
        <w:rPr>
          <w:rFonts w:ascii="Arial" w:hAnsi="Arial" w:cs="Arial"/>
          <w:sz w:val="24"/>
          <w:szCs w:val="24"/>
        </w:rPr>
        <w:t>A number of</w:t>
      </w:r>
      <w:proofErr w:type="gramEnd"/>
      <w:r>
        <w:rPr>
          <w:rFonts w:ascii="Arial" w:hAnsi="Arial" w:cs="Arial"/>
          <w:sz w:val="24"/>
          <w:szCs w:val="24"/>
        </w:rPr>
        <w:t xml:space="preserve"> suggestions from the experts included within this consensus project could be used to improve future staging.</w:t>
      </w:r>
    </w:p>
    <w:p w14:paraId="4DDFEA12" w14:textId="77777777" w:rsidR="00992F8E" w:rsidRDefault="00992F8E" w:rsidP="00992F8E">
      <w:pPr>
        <w:rPr>
          <w:rFonts w:ascii="Arial" w:hAnsi="Arial" w:cs="Arial"/>
          <w:b/>
          <w:bCs/>
          <w:sz w:val="24"/>
          <w:szCs w:val="24"/>
        </w:rPr>
      </w:pPr>
      <w:r>
        <w:rPr>
          <w:rFonts w:ascii="Arial" w:hAnsi="Arial" w:cs="Arial"/>
          <w:b/>
          <w:bCs/>
          <w:sz w:val="24"/>
          <w:szCs w:val="24"/>
        </w:rPr>
        <w:br w:type="page"/>
      </w:r>
    </w:p>
    <w:p w14:paraId="2223A289"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lastRenderedPageBreak/>
        <w:t>Introduction</w:t>
      </w:r>
    </w:p>
    <w:p w14:paraId="4C1F2E1F"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Tumour deposits (TDs) were first mentioned in 1932 by Gabriel et al.</w:t>
      </w:r>
      <w:r>
        <w:rPr>
          <w:rFonts w:ascii="Arial" w:hAnsi="Arial" w:cs="Arial"/>
          <w:sz w:val="24"/>
          <w:szCs w:val="24"/>
        </w:rPr>
        <w:fldChar w:fldCharType="begin" w:fldLock="1"/>
      </w:r>
      <w:r>
        <w:rPr>
          <w:rFonts w:ascii="Arial" w:hAnsi="Arial" w:cs="Arial"/>
          <w:sz w:val="24"/>
          <w:szCs w:val="24"/>
        </w:rPr>
        <w:instrText>ADDIN CSL_CITATION {"citationItems":[{"id":"ITEM-1","itemData":{"DOI":"10.1002/bjs.1800239017","ISSN":"00071323","author":[{"dropping-particle":"","family":"Gabriel","given":"W. B.","non-dropping-particle":"","parse-names":false,"suffix":""},{"dropping-particle":"","family":"Dukes","given":"Cuthbert","non-dropping-particle":"","parse-names":false,"suffix":""},{"dropping-particle":"","family":"Bussey","given":"H. J. R.","non-dropping-particle":"","parse-names":false,"suffix":""},{"dropping-particle":"","family":"et al.","given":"","non-dropping-particle":"","parse-names":false,"suffix":""}],"container-title":"British Journal of Surgery","id":"ITEM-1","issue":"23","issued":{"date-parts":[["1935","10"]]},"page":"395","title":"Lymphatic spread in cancer of the rectum.","type":"article-journal","volume":"1"},"uris":["http://www.mendeley.com/documents/?uuid=5d1d98dd-6069-4d0c-8b90-00b27ba6b98e"]}],"mendeley":{"formattedCitation":"&lt;sup&gt;1&lt;/sup&gt;","plainTextFormattedCitation":"1","previouslyFormattedCitation":"&lt;sup&gt;1&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1</w:t>
      </w:r>
      <w:r>
        <w:rPr>
          <w:rFonts w:ascii="Arial" w:hAnsi="Arial" w:cs="Arial"/>
          <w:sz w:val="24"/>
          <w:szCs w:val="24"/>
        </w:rPr>
        <w:fldChar w:fldCharType="end"/>
      </w:r>
      <w:r>
        <w:rPr>
          <w:rFonts w:ascii="Arial" w:hAnsi="Arial" w:cs="Arial"/>
          <w:sz w:val="24"/>
          <w:szCs w:val="24"/>
        </w:rPr>
        <w:t xml:space="preserve"> but not really pursued as an important part of colorectal cancer staging. Interest in them was reignited around the year 2000 when several papers were published showing that they had a significant effect on prognosis</w:t>
      </w:r>
      <w:r>
        <w:rPr>
          <w:rFonts w:ascii="Arial" w:hAnsi="Arial" w:cs="Arial"/>
          <w:sz w:val="24"/>
          <w:szCs w:val="24"/>
        </w:rPr>
        <w:fldChar w:fldCharType="begin" w:fldLock="1"/>
      </w:r>
      <w:r>
        <w:rPr>
          <w:rFonts w:ascii="Arial" w:hAnsi="Arial" w:cs="Arial"/>
          <w:sz w:val="24"/>
          <w:szCs w:val="24"/>
        </w:rPr>
        <w:instrText>ADDIN CSL_CITATION {"citationItems":[{"id":"ITEM-1","itemData":{"DOI":"10.1002/(SICI)1097-0142(20000515)88:10&lt;2228::AID-CNCR5&gt;3.0.CO;2-1","ISSN":"1097-0142","abstract":"BACKGROUND\nA pericolonic tumor deposit (PTD) is a grossly palpated adenocarcinomas within pericolonic adipose tissue not within a lymph node. The source and prognostic significance of PTDs has not been well defined.\nMETHODS\nThe authors studied 418 T3N+M0 colon adenocarcinomas to determine the frequency and significance of PTDs. They also step-sectioned 30 PTDs to determine their origin and assist in their optimum TNM classification.\nRESULTS\nSeventy-one (18%) of 400 consecutively examined cases had PTDs. The actuarial 1-, 2-, and 5-year disease free survival rates were significantly lower among patients with a PTD. PTDs, regardless of size, significantly impacted disease free survival. Increasing numbers of PTDs was associated with shorter disease free survival. Adenocarcinoma grade, a PTD, increasing numbers of PTDs, and number of lymph node metastases were independently associated with shorter disease free survival. The likelihood of extrahepatic abdominal failure was proportionally greater with increasing numbers of PTDs. Adenocarcinoma was observed in perineural, peri-large vessel, or intravascular locations in step-sectioned PTDs.\nCONCLUSIONS\nA PTD is a perineural, perivascular, or intravascular tumor extension beyond the muscularis propria. They are distinct from lymph node metastases and should not be considered their prognostic equivalent. The disease free survival impact of even small PTDs was significant, suggesting that PTDs of all sizes should be considered a single entity. TNM classification of PTDs as lymph node metastases or discontinuous tumor extension is probably not accurate. The number and greatest dimension of PTDs should be reported separately from lymph node metastases. Cancer 2000;88:2228–38. © 2000 American Cancer Society.","author":[{"dropping-particle":"","family":"Goldstein","given":"Neal S","non-dropping-particle":"","parse-names":false,"suffix":""},{"dropping-particle":"","family":"Turner","given":"Jerrold R","non-dropping-particle":"","parse-names":false,"suffix":""}],"container-title":"Cancer","id":"ITEM-1","issue":"10","issued":{"date-parts":[["2000","5"]]},"page":"2228-2238","title":"Pericolonic tumor deposits in patients with {T}3N+{M}0 colon adenocarcinomas","type":"article-journal","volume":"88"},"uris":["http://www.mendeley.com/documents/?uuid=9e128a13-466a-4b38-872b-899583502519"]},{"id":"ITEM-2","itemData":{"DOI":"10.1097/01.DCR.0000017585.54619.AE","author":[{"dropping-particle":"","family":"Ratto","given":"C","non-dropping-particle":"","parse-names":false,"suffix":""},{"dropping-particle":"","family":"Ricci","given":"R","non-dropping-particle":"","parse-names":false,"suffix":""},{"dropping-particle":"","family":"Rossi","given":"C","non-dropping-particle":"","parse-names":false,"suffix":""},{"dropping-particle":"","family":"Morelli","given":"U","non-dropping-particle":"","parse-names":false,"suffix":""},{"dropping-particle":"","family":"Vecchio","given":"F M","non-dropping-particle":"","parse-names":false,"suffix":""},{"dropping-particle":"","family":"Doglietto","given":"G B","non-dropping-particle":"","parse-names":false,"suffix":""}],"container-title":"Cancer","id":"ITEM-2","issue":"6","issued":{"date-parts":[["2002"]]},"page":"733-742","title":"Mesorectal Microfoci Adversely Affect the Prognosis of Patients With Rectal Cancer","type":"article-journal","volume":"45"},"uris":["http://www.mendeley.com/documents/?uuid=514d6b86-4ac7-4e7a-b7b6-6d8393508662"]},{"id":"ITEM-3","itemData":{"DOI":"10.1007/BF02236896","ISSN":"0012-3706, 1530-0358","PMID":"9510311","abstract":"PURPOSE: The most common recurrence after curative resection of rectal carcinoma originates from tiny, undetectable residual foci within the pelvic cavity. The significance and methods used to predict the presence of extramural and extranodal microscopic cancer foci discontinuous with the main lesion of rectal cancers were investigated. METHODS: Four hundred twenty-seven patients who underwent resection of rectal carcinoma were studied. All resected specimens were examined for histologic evidence of extramural cancer separate from the main lesion. RESULTS: Extramural cancers not in continuity with the main rectal lesion were classified as follows: 1) extranodal microscopic cancers; 2) large tumor nodules; 3) lymph node metastases. Each classification was found to influence long-term prognosis. Among them, microscopic cancer was thought to be especially relevant because, by virtue of its microscopic nature, it may be left in the pelvic cavity, causing local recurrence. The existence of large tumor nodules and metastatic lymph nodes correlated closely with the presence of microscopic cancer. Because large tumor nodules and lymph node metastases are possibly detectable during the operation by palpation and may be analyzed by microscopic frozen sections, they might be useful predictors of the presence of microscopic cancers. CONCLUSIONS: In cases with extensive local rectal cancer spread, the nerve-sparing rectal resection that omits lateral dissection may be insufficient for local control because of incomplete removal of occult microscopic cancer, resulting in local recurrence. Presence of microscopic cancer correlates closely with large tumor nodules and metastatic lymph nodes. Intraoperative frozen section investigations may, thus, help in deciding on extent of location resection.","author":[{"dropping-particle":"","family":"Ueno","given":"Hideki","non-dropping-particle":"","parse-names":false,"suffix":""},{"dropping-particle":"","family":"Mochizuki","given":"Hidetaka","non-dropping-particle":"","parse-names":false,"suffix":""},{"dropping-particle":"","family":"Tamakuma","given":"Shoetsu","non-dropping-particle":"","parse-names":false,"suffix":""}],"container-title":"Diseases of the Colon and Rectum","id":"ITEM-3","issue":"1","issued":{"date-parts":[["1998","1"]]},"page":"55-61","title":"Prognostic significance of extranodal microscopic foci discontinuous with primary lesion in rectal cancer","type":"article-journal","volume":"41"},"uris":["http://www.mendeley.com/documents/?uuid=66576618-3b15-404b-990d-26b8f0417b17"]},{"id":"ITEM-4","itemData":{"DOI":"10.1007/s10350-004-6809-5","ISBN":"0012-3706 (Print)\\r0012-3706 (Linking)","ISSN":"00123706","PMID":"14605575","abstract":"PURPOSE: Microscopic mesorectal soft tissue extranodal deposits discontinuous with the primary tumor are identified in many rectal adenocarcinomas. Current guidelines consider them to be involved lymph nodes. We studied the impact of these deposits on the outcome of patients with rectal cancer. METHODS: This was a retrospective study, in which histology slides were reviewed from 55 patients whose resection specimens for rectal cancer were staged as Dukes C or Dukes B with extranodal deposits. Twenty-nine patients had extranodal deposits (19 males), and 26 control patients had lymph node involvement only (14 males). Patient outcome was analyzed in terms of local and systemic control and survival. RESULTS: Distant metastases were diagnosed earlier in patients with extranodal deposits (mean, 14 months) compared with controls (mean, 37 months; P = 0.001). On follow-up, 31.03 percent (9/29) from the extranodal deposit group developed liver metastases compared with 11.5 percent (3/26) of the control group (P = 0.08). Local recurrence was seen in 17.2 percent of patients from the extranodal deposit group and 3.8 percent of the control group (P = not significant). Cancer-related mortality was higher in the extranodal deposit group (16 vs. 7 patients; P = 0.09). The three-year actuarial survival was 48.27 percent in patients with extranodal deposits and 65.38 percent in those without. A significant association was noted between the number of extranodal deposits and intramural vascular invasion (P = 0.017), extramural vascular invasion (P = 0.039), perineural invasion (P = 0.039), and lymph node involvement (P = 0.008). CONCLUSION: These data suggest that extranodal deposit is a distinct form of metastatic disease in patients with rectal cancer. The association with vascular invasion and earlier development of metastases probably infers that a significant proportion of extranodal deposits may represent blood-borne spread. These tumor foci should be considered as indicators of poor prognosis.","author":[{"dropping-particle":"","family":"Prabhudesai","given":"Ashish","non-dropping-particle":"","parse-names":false,"suffix":""},{"dropping-particle":"","family":"Arif","given":"S.","non-dropping-particle":"","parse-names":false,"suffix":""},{"dropping-particle":"","family":"Finlayson","given":"Caroline J.","non-dropping-particle":"","parse-names":false,"suffix":""},{"dropping-particle":"","family":"Kumar","given":"Devinder","non-dropping-particle":"","parse-names":false,"suffix":""}],"container-title":"Diseases of the Colon and Rectum","id":"ITEM-4","issue":"11","issued":{"date-parts":[["2003"]]},"page":"1531-1537","title":"Impact of Microscopic Extranodal Tumor Deposits on the Outcome of Patients with Rectal Cancer","type":"article-journal","volume":"46"},"uris":["http://www.mendeley.com/documents/?uuid=3c617991-a7f5-4112-a1dc-250d5e093127"]}],"mendeley":{"formattedCitation":"&lt;sup&gt;2–5&lt;/sup&gt;","plainTextFormattedCitation":"2–5","previouslyFormattedCitation":"&lt;sup&gt;2–5&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2–5</w:t>
      </w:r>
      <w:r>
        <w:rPr>
          <w:rFonts w:ascii="Arial" w:hAnsi="Arial" w:cs="Arial"/>
          <w:sz w:val="24"/>
          <w:szCs w:val="24"/>
        </w:rPr>
        <w:fldChar w:fldCharType="end"/>
      </w:r>
      <w:r>
        <w:rPr>
          <w:rFonts w:ascii="Arial" w:hAnsi="Arial" w:cs="Arial"/>
          <w:sz w:val="24"/>
          <w:szCs w:val="24"/>
        </w:rPr>
        <w:t>. They made their first appearance in the 5</w:t>
      </w:r>
      <w:r>
        <w:rPr>
          <w:rFonts w:ascii="Arial" w:hAnsi="Arial" w:cs="Arial"/>
          <w:sz w:val="24"/>
          <w:szCs w:val="24"/>
          <w:vertAlign w:val="superscript"/>
        </w:rPr>
        <w:t>th</w:t>
      </w:r>
      <w:r>
        <w:rPr>
          <w:rFonts w:ascii="Arial" w:hAnsi="Arial" w:cs="Arial"/>
          <w:sz w:val="24"/>
          <w:szCs w:val="24"/>
        </w:rPr>
        <w:t xml:space="preserve"> Edition of the AJCC/UICC TNM staging system where small TDs were distinguished from lymph node metastases (LNMs) </w:t>
      </w:r>
      <w:proofErr w:type="gramStart"/>
      <w:r>
        <w:rPr>
          <w:rFonts w:ascii="Arial" w:hAnsi="Arial" w:cs="Arial"/>
          <w:sz w:val="24"/>
          <w:szCs w:val="24"/>
        </w:rPr>
        <w:t>on the basis of</w:t>
      </w:r>
      <w:proofErr w:type="gramEnd"/>
      <w:r>
        <w:rPr>
          <w:rFonts w:ascii="Arial" w:hAnsi="Arial" w:cs="Arial"/>
          <w:sz w:val="24"/>
          <w:szCs w:val="24"/>
        </w:rPr>
        <w:t xml:space="preserve"> size.  All nodules of more than 3 mm in diameter were classified as LNMs and smaller nodules were included as part of the </w:t>
      </w:r>
      <w:proofErr w:type="spellStart"/>
      <w:r>
        <w:rPr>
          <w:rFonts w:ascii="Arial" w:hAnsi="Arial" w:cs="Arial"/>
          <w:sz w:val="24"/>
          <w:szCs w:val="24"/>
        </w:rPr>
        <w:t>pT</w:t>
      </w:r>
      <w:proofErr w:type="spellEnd"/>
      <w:r>
        <w:rPr>
          <w:rFonts w:ascii="Arial" w:hAnsi="Arial" w:cs="Arial"/>
          <w:sz w:val="24"/>
          <w:szCs w:val="24"/>
        </w:rPr>
        <w:t xml:space="preserve"> stage</w:t>
      </w:r>
      <w:r>
        <w:rPr>
          <w:rFonts w:ascii="Arial" w:hAnsi="Arial" w:cs="Arial"/>
          <w:sz w:val="24"/>
          <w:szCs w:val="24"/>
        </w:rPr>
        <w:fldChar w:fldCharType="begin" w:fldLock="1"/>
      </w:r>
      <w:r>
        <w:rPr>
          <w:rFonts w:ascii="Arial" w:hAnsi="Arial" w:cs="Arial"/>
          <w:sz w:val="24"/>
          <w:szCs w:val="24"/>
        </w:rPr>
        <w:instrText>ADDIN CSL_CITATION {"citationItems":[{"id":"ITEM-1","itemData":{"DOI":"10.1002/(SICI)1097-0142(19971101)80:9&lt;1803::AID-CNCR16&gt;3.0.CO;2-9","ISSN":"0008-543X","author":[{"dropping-particle":"","family":"Sobin","given":"Leslie H.","non-dropping-particle":"","parse-names":false,"suffix":""},{"dropping-particle":"","family":"Fleming","given":"Irvin D.","non-dropping-particle":"","parse-names":false,"suffix":""}],"container-title":"Cancer","id":"ITEM-1","issue":"9","issued":{"date-parts":[["1997","11","1"]]},"page":"1803-1804","publisher":"John Wiley &amp; Sons, Ltd","title":"TNM classification of malignant tumors, fifth edition (1997)","type":"article-journal","volume":"80"},"uris":["http://www.mendeley.com/documents/?uuid=278e4b08-0465-3988-a940-21a5ba6a351a"]}],"mendeley":{"formattedCitation":"&lt;sup&gt;6&lt;/sup&gt;","plainTextFormattedCitation":"6","previouslyFormattedCitation":"&lt;sup&gt;6&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6</w:t>
      </w:r>
      <w:r>
        <w:rPr>
          <w:rFonts w:ascii="Arial" w:hAnsi="Arial" w:cs="Arial"/>
          <w:sz w:val="24"/>
          <w:szCs w:val="24"/>
        </w:rPr>
        <w:fldChar w:fldCharType="end"/>
      </w:r>
      <w:r>
        <w:rPr>
          <w:rFonts w:ascii="Arial" w:hAnsi="Arial" w:cs="Arial"/>
          <w:sz w:val="24"/>
          <w:szCs w:val="24"/>
        </w:rPr>
        <w:t>. In the 6</w:t>
      </w:r>
      <w:r>
        <w:rPr>
          <w:rFonts w:ascii="Arial" w:hAnsi="Arial" w:cs="Arial"/>
          <w:sz w:val="24"/>
          <w:szCs w:val="24"/>
          <w:vertAlign w:val="superscript"/>
        </w:rPr>
        <w:t>th</w:t>
      </w:r>
      <w:r>
        <w:rPr>
          <w:rFonts w:ascii="Arial" w:hAnsi="Arial" w:cs="Arial"/>
          <w:sz w:val="24"/>
          <w:szCs w:val="24"/>
        </w:rPr>
        <w:t xml:space="preserve"> edition they were differentiated from LNMs on the basis of irregular contour , where irregular deposits were again included in the </w:t>
      </w:r>
      <w:proofErr w:type="spellStart"/>
      <w:r>
        <w:rPr>
          <w:rFonts w:ascii="Arial" w:hAnsi="Arial" w:cs="Arial"/>
          <w:sz w:val="24"/>
          <w:szCs w:val="24"/>
        </w:rPr>
        <w:t>pT</w:t>
      </w:r>
      <w:proofErr w:type="spellEnd"/>
      <w:r>
        <w:rPr>
          <w:rFonts w:ascii="Arial" w:hAnsi="Arial" w:cs="Arial"/>
          <w:sz w:val="24"/>
          <w:szCs w:val="24"/>
        </w:rPr>
        <w:t xml:space="preserve"> stage but also recorded as extramural venous invasion (EMVI)</w:t>
      </w:r>
      <w:r>
        <w:rPr>
          <w:rFonts w:ascii="Arial" w:hAnsi="Arial" w:cs="Arial"/>
          <w:sz w:val="24"/>
          <w:szCs w:val="24"/>
        </w:rPr>
        <w:fldChar w:fldCharType="begin" w:fldLock="1"/>
      </w:r>
      <w:r>
        <w:rPr>
          <w:rFonts w:ascii="Arial" w:hAnsi="Arial" w:cs="Arial"/>
          <w:sz w:val="24"/>
          <w:szCs w:val="24"/>
        </w:rPr>
        <w:instrText>ADDIN CSL_CITATION {"citationItems":[{"id":"ITEM-1","itemData":{"author":[{"dropping-particle":"","family":"Sobin LH","given":"Wittekind C (eds)","non-dropping-particle":"","parse-names":false,"suffix":""}],"id":"ITEM-1","issued":{"date-parts":[["2002"]]},"title":"International Union Against Cancer TNM Classification of Malig- nant Tumours (ed 6). Hoboken, NJ, John Wiley &amp; Sons","type":"article-journal"},"uris":["http://www.mendeley.com/documents/?uuid=80ffaebf-c617-43fa-ae82-3d8e128baf9a"]}],"mendeley":{"formattedCitation":"&lt;sup&gt;7&lt;/sup&gt;","plainTextFormattedCitation":"7","previouslyFormattedCitation":"&lt;sup&gt;7&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7</w:t>
      </w:r>
      <w:r>
        <w:rPr>
          <w:rFonts w:ascii="Arial" w:hAnsi="Arial" w:cs="Arial"/>
          <w:sz w:val="24"/>
          <w:szCs w:val="24"/>
        </w:rPr>
        <w:fldChar w:fldCharType="end"/>
      </w:r>
      <w:r>
        <w:rPr>
          <w:rFonts w:ascii="Arial" w:hAnsi="Arial" w:cs="Arial"/>
          <w:sz w:val="24"/>
          <w:szCs w:val="24"/>
        </w:rPr>
        <w:t>. This definition was heavily criticised both on the basis of the lack of evidence and biological rationale as well as the poor reproducibility</w:t>
      </w:r>
      <w:r>
        <w:rPr>
          <w:rFonts w:ascii="Arial" w:hAnsi="Arial" w:cs="Arial"/>
          <w:sz w:val="24"/>
          <w:szCs w:val="24"/>
        </w:rPr>
        <w:fldChar w:fldCharType="begin" w:fldLock="1"/>
      </w:r>
      <w:r>
        <w:rPr>
          <w:rFonts w:ascii="Arial" w:hAnsi="Arial" w:cs="Arial"/>
          <w:sz w:val="24"/>
          <w:szCs w:val="24"/>
        </w:rPr>
        <w:instrText>ADDIN CSL_CITATION {"citationItems":[{"id":"ITEM-1","itemData":{"DOI":"10.1200/JCO.2011.34.6429","ISSN":"0732-183X","author":[{"dropping-particle":"","family":"Nagtegaal","given":"I. D.","non-dropping-particle":"","parse-names":false,"suffix":""},{"dropping-particle":"","family":"Tot","given":"T.","non-dropping-particle":"","parse-names":false,"suffix":""},{"dropping-particle":"","family":"Jayne","given":"D. G.","non-dropping-particle":"","parse-names":false,"suffix":""},{"dropping-particle":"","family":"McShane","given":"P.","non-dropping-particle":"","parse-names":false,"suffix":""},{"dropping-particle":"","family":"Nihlberg","given":"A.","non-dropping-particle":"","parse-names":false,"suffix":""},{"dropping-particle":"","family":"Marshall","given":"H. C.","non-dropping-particle":"","parse-names":false,"suffix":""},{"dropping-particle":"","family":"Pahlman","given":"L.","non-dropping-particle":"","parse-names":false,"suffix":""},{"dropping-particle":"","family":"Brown","given":"J. M.","non-dropping-particle":"","parse-names":false,"suffix":""},{"dropping-particle":"","family":"Guillou","given":"P. J.","non-dropping-particle":"","parse-names":false,"suffix":""},{"dropping-particle":"","family":"Quirke","given":"P.","non-dropping-particle":"","parse-names":false,"suffix":""}],"container-title":"Journal of Clinical Oncology","id":"ITEM-1","issue":"18","issued":{"date-parts":[["2011","6","20"]]},"page":"2487-2492","title":"Lymph Nodes, Tumor Deposits, and TNM: Are We Getting Better?","type":"article-journal","volume":"29"},"uris":["http://www.mendeley.com/documents/?uuid=d83671a5-28fa-334d-bff8-7a70baac182d"]}],"mendeley":{"formattedCitation":"&lt;sup&gt;8&lt;/sup&gt;","plainTextFormattedCitation":"8","previouslyFormattedCitation":"&lt;sup&gt;8&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8</w:t>
      </w:r>
      <w:r>
        <w:rPr>
          <w:rFonts w:ascii="Arial" w:hAnsi="Arial" w:cs="Arial"/>
          <w:sz w:val="24"/>
          <w:szCs w:val="24"/>
        </w:rPr>
        <w:fldChar w:fldCharType="end"/>
      </w:r>
      <w:r>
        <w:rPr>
          <w:rFonts w:ascii="Arial" w:hAnsi="Arial" w:cs="Arial"/>
          <w:sz w:val="24"/>
          <w:szCs w:val="24"/>
        </w:rPr>
        <w:t>. In TNM 7 and 8 TDs were given their own sub-category: “pN1c”but other than describing TDs as nodules with no evidence of lymph node architecture, the definition in TNM 7 is not very clear</w:t>
      </w:r>
      <w:r>
        <w:rPr>
          <w:rFonts w:ascii="Arial" w:hAnsi="Arial" w:cs="Arial"/>
          <w:sz w:val="24"/>
          <w:szCs w:val="24"/>
        </w:rPr>
        <w:fldChar w:fldCharType="begin" w:fldLock="1"/>
      </w:r>
      <w:r>
        <w:rPr>
          <w:rFonts w:ascii="Arial" w:hAnsi="Arial" w:cs="Arial"/>
          <w:sz w:val="24"/>
          <w:szCs w:val="24"/>
        </w:rPr>
        <w:instrText>ADDIN CSL_CITATION {"citationItems":[{"id":"ITEM-1","itemData":{"ISBN":"978-1-4443-3241-4.","abstract":"TNM Classification of Malignant Tumours, 7th Edition provides the latest, internationally agreed-upon standards to describe and categorize cancer stages and progression. Published in affiliation with the International Union Against Cancer (UICC), this authoritative guide contains important updated organ-specific classifications that oncologists and other professionals who manage patients with cancer need to accurately classify tumours for staging, prognosis and treatment. The major alterations addressed in the 7th Edition concern carcinomas of the oesophagus and the gastroesophageal junction, stomach, lung, appendix, biliary tract, skin, and prostate. In addition, there are several entirely new classifications: gastrointestinal carcinoids (neuroendocrine tumours) gastrointestinal stromal tumour upper aerodigestive mucosal melanoma Merkel cell carcinoma uterine sarcomas intrahepatic cholangiocarcinoma adrenal cortical carcinoma. A new approach has also been adopted to separate anatomical stage groupings from prognostic groupings in which other prognostic factors are added to T, N, and M categories. These new prognostic groupings, as well as the traditional anatomical groupings, are presented for oesophageal and prostate carcinomas. Visit www.wileyanduicc.com for more information about the International Journal of Cancer and our other UICC book titles","author":[{"dropping-particle":"","family":"Sobin","given":"L. H.","non-dropping-particle":"","parse-names":false,"suffix":""},{"dropping-particle":"","family":"Gospodarowicz","given":"M. K.","non-dropping-particle":"","parse-names":false,"suffix":""},{"dropping-particle":"","family":"Wittekind","given":"Ch.","non-dropping-particle":"","parse-names":false,"suffix":""}],"id":"ITEM-1","issued":{"date-parts":[["2016"]]},"number-of-pages":"320","publisher":"Wiley-Blackwell","title":"TNM Classification of Malignant Tumours","type":"book"},"uris":["http://www.mendeley.com/documents/?uuid=456af1d4-6057-3c78-b0f0-c315ffaf6f80"]},{"id":"ITEM-2","itemData":{"author":[{"dropping-particle":"","family":"Sobin LH, Gospodarowicz M","given":"Wittekind C","non-dropping-particle":"","parse-names":false,"suffix":""},{"dropping-particle":"","family":"(eds)","given":"","non-dropping-particle":"","parse-names":false,"suffix":""}],"id":"ITEM-2","issued":{"date-parts":[["2009"]]},"title":"International Union Against Cancer TNM Clas- sification of Malignant Tumours (ed 7). Hoboken, NJ, Wiley-Blackwell","type":"book"},"uris":["http://www.mendeley.com/documents/?uuid=8fce6b4b-cc1c-4aea-bee3-507108bedf89"]}],"mendeley":{"formattedCitation":"&lt;sup&gt;9,10&lt;/sup&gt;","plainTextFormattedCitation":"9,10","previouslyFormattedCitation":"&lt;sup&gt;9,10&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9,10</w:t>
      </w:r>
      <w:r>
        <w:rPr>
          <w:rFonts w:ascii="Arial" w:hAnsi="Arial" w:cs="Arial"/>
          <w:sz w:val="24"/>
          <w:szCs w:val="24"/>
        </w:rPr>
        <w:fldChar w:fldCharType="end"/>
      </w:r>
      <w:r>
        <w:rPr>
          <w:rFonts w:ascii="Arial" w:hAnsi="Arial" w:cs="Arial"/>
          <w:sz w:val="24"/>
          <w:szCs w:val="24"/>
        </w:rPr>
        <w:t>. In a modification from TNM 7, in TNM 8, non-nodal deposits with evidence of associated EMVI, lymphatic invasion (LI) or perineural invasion (PNI) are also excluded from the pN1c category, despite research previously confirming that TDs may originate from a variety of origins and can often be seen to exhibit multiple histological associations</w:t>
      </w:r>
      <w:r>
        <w:rPr>
          <w:rFonts w:ascii="Arial" w:hAnsi="Arial" w:cs="Arial"/>
          <w:sz w:val="24"/>
          <w:szCs w:val="24"/>
        </w:rPr>
        <w:fldChar w:fldCharType="begin" w:fldLock="1"/>
      </w:r>
      <w:r>
        <w:rPr>
          <w:rFonts w:ascii="Arial" w:hAnsi="Arial" w:cs="Arial"/>
          <w:sz w:val="24"/>
          <w:szCs w:val="24"/>
        </w:rPr>
        <w:instrText>ADDIN CSL_CITATION {"citationItems":[{"id":"ITEM-1","itemData":{"DOI":"10.1097/SLA.0b013e31824b4839","ISBN":"1528-1140 (Electronic)\\n0003-4932 (Linking)","ISSN":"1528-1140","PMID":"22395093","abstract":"OBJECTIVE: This study aimed to determine the optimal categorization of extramural tumor deposits lacking residual lymph node (LN) structure (EX) in colorectal cancer staging.\\n\\nBACKGROUND: The TNM classification system categorizes EX on the basis of their contour characteristics (the contour rule).\\n\\nMETHODS: We conducted a multicenter, retrospective, pathological review of 1716 patients with stage I to III curatively resected colorectal cancer who were treated at 11 institutions (1994-1998). In addition, 2242 patients from 9 institutions (1999-2003) were enrolled as a second cohort for validating results. EX were classified as isolated foci confined to vascular or perineural spaces (ie, lymphatic, venous, or perineural invasion) or as tumor nodules (ND). N- and T-staging systems employing different categories for staging were compared in terms of their prognostic power. In addition, the diagnoses of extramural, discontinuously spreading lesions made by 11 observers from different institutions were assessed for interobserver agreement.\\n\\nRESULTS: EX were observed in 18.2% of patients in the first cohort. The method of categorization of EX in tumor staging has a stronger impact on N than T staging. The N-staging system in which all ND types were classified as N factor (the ND rule) could more effectively stratify the survival outcome than the contour rule (Akaike information criterion, 3040.8 vs 3059.5; the Harrell C-index, 0.7255 vs 0.7103). EX were observed in 16.9% of patients in the second cohort. Statistically, the ND rule was more informative than the contour rule for N staging. The Fleiss kappa coefficient for distinguishing LN metastases from EX (0.74) was lower than expected for complete agreement, and it decreased further to 0.51 when calculated for the judgment of ND with smooth contours.\\n\\nCONCLUSIONS: Classifying all ND types as N factors irrespective of contours can simplify the tumor staging system by enhancing diagnostic objectivity, resulting in improved prognostic accuracy.","author":[{"dropping-particle":"","family":"Ueno","given":"Hideki","non-dropping-particle":"","parse-names":false,"suffix":""},{"dropping-particle":"","family":"Mochizuki","given":"Hidetaka","non-dropping-particle":"","parse-names":false,"suffix":""},{"dropping-particle":"","family":"Shirouzu","given":"Kazuo","non-dropping-particle":"","parse-names":false,"suffix":""},{"dropping-particle":"","family":"Kusumi","given":"Takaya","non-dropping-particle":"","parse-names":false,"suffix":""},{"dropping-particle":"","family":"Yamada","given":"Kazutaka","non-dropping-particle":"","parse-names":false,"suffix":""},{"dropping-particle":"","family":"Ikegami","given":"Masahiro","non-dropping-particle":"","parse-names":false,"suffix":""},{"dropping-particle":"","family":"Kawachi","given":"Hiroshi","non-dropping-particle":"","parse-names":false,"suffix":""},{"dropping-particle":"","family":"Kameoka","given":"Shingo","non-dropping-particle":"","parse-names":false,"suffix":""},{"dropping-particle":"","family":"Ohkura","given":"Yasuo","non-dropping-particle":"","parse-names":false,"suffix":""},{"dropping-particle":"","family":"Masaki","given":"Tadahiko","non-dropping-particle":"","parse-names":false,"suffix":""},{"dropping-particle":"","family":"Kushima","given":"Ryoji","non-dropping-particle":"","parse-names":false,"suffix":""},{"dropping-particle":"","family":"Takahashi","given":"Keiichi","non-dropping-particle":"","parse-names":false,"suffix":""},{"dropping-particle":"","family":"Ajioka","given":"Yoichi","non-dropping-particle":"","parse-names":false,"suffix":""},{"dropping-particle":"","family":"Hase","given":"Kazuo","non-dropping-particle":"","parse-names":false,"suffix":""},{"dropping-particle":"","family":"Ochiai","given":"Atsushi","non-dropping-particle":"","parse-names":false,"suffix":""},{"dropping-particle":"","family":"Wada","given":"Ryo","non-dropping-particle":"","parse-names":false,"suffix":""},{"dropping-particle":"","family":"Iwaya","given":"Keiichi","non-dropping-particle":"","parse-names":false,"suffix":""},{"dropping-particle":"","family":"Nakamura","given":"Takahiro","non-dropping-particle":"","parse-names":false,"suffix":""},{"dropping-particle":"","family":"Sugihara","given":"Kenichi","non-dropping-particle":"","parse-names":false,"suffix":""}],"container-title":"Annals of surgery","id":"ITEM-1","issue":"4","issued":{"date-parts":[["2012"]]},"page":"739-46","title":"Multicenter study for optimal categorization of extramural tumor deposits for colorectal cancer staging.","type":"article-journal","volume":"255"},"uris":["http://www.mendeley.com/documents/?uuid=4ee1ad14-444d-45d9-be27-eebff53a0b14"]},{"id":"ITEM-2","itemData":{"DOI":"10.1309/ajcp51ywgjvxrzae","ISBN":"0002-9173","PMID":"21088165","author":[{"dropping-particle":"","family":"Puppa","given":"G","non-dropping-particle":"","parse-names":false,"suffix":""}],"container-title":"Am J Clin Pathol","edition":"2010/11/20","id":"ITEM-2","issue":"6","issued":{"date-parts":[["2010"]]},"language":"eng","note":"1943-7722\nPuppa, Giacomo\nComment\nLetter\nUnited States\nAm J Clin Pathol. 2010 Dec;134(6):1019-21. doi: 10.1309/AJCP51YWGJVXRZAE.","page":"1019-1021","title":"Enhanced pathologic analysis for pericolonic tumor deposits: is it worth it?","type":"article-journal","volume":"134"},"uris":["http://www.mendeley.com/documents/?uuid=296693ba-cf29-4b9c-bc4a-f522f3fafa17"]}],"mendeley":{"formattedCitation":"&lt;sup&gt;11,12&lt;/sup&gt;","plainTextFormattedCitation":"11,12","previouslyFormattedCitation":"&lt;sup&gt;11,12&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11,12</w:t>
      </w:r>
      <w:r>
        <w:rPr>
          <w:rFonts w:ascii="Arial" w:hAnsi="Arial" w:cs="Arial"/>
          <w:sz w:val="24"/>
          <w:szCs w:val="24"/>
        </w:rPr>
        <w:fldChar w:fldCharType="end"/>
      </w:r>
      <w:r>
        <w:rPr>
          <w:rFonts w:ascii="Arial" w:hAnsi="Arial" w:cs="Arial"/>
          <w:sz w:val="24"/>
          <w:szCs w:val="24"/>
        </w:rPr>
        <w:t>.</w:t>
      </w:r>
    </w:p>
    <w:p w14:paraId="6339389F"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Recently, a meta-analysis was carried out which showed that TDs have a significantly worse effect on prognosis than LNMs and the presence of both was additive</w:t>
      </w:r>
      <w:r>
        <w:rPr>
          <w:rFonts w:ascii="Arial" w:hAnsi="Arial" w:cs="Arial"/>
          <w:sz w:val="24"/>
          <w:szCs w:val="24"/>
        </w:rPr>
        <w:fldChar w:fldCharType="begin" w:fldLock="1"/>
      </w:r>
      <w:r>
        <w:rPr>
          <w:rFonts w:ascii="Arial" w:hAnsi="Arial" w:cs="Arial"/>
          <w:sz w:val="24"/>
          <w:szCs w:val="24"/>
        </w:rPr>
        <w:instrText>ADDIN CSL_CITATION {"citationItems":[{"id":"ITEM-1","itemData":{"DOI":"10.1200/JCO.2016.68.9091","ISSN":"0732-183X","PMID":"28029327","abstract":"Purpose Colorectal cancer (CRC) treatment is largely determined by tumor stage. Despite improvements made in the treatment of various types of metastatic disease, staging has not been refined. The role of tumor deposits (TDs) in staging remains debated. We have assessed the relation of TDs with metastatic pattern to evaluate whether TDs might add significant new information to staging. Methods We performed a systematic literature search that was focused on the role of TDs in CRC. Studies with neoadjuvant-treated patients were excluded. Data on stage, histologic factors, and outcome were extracted. Data from four large cohorts were analyzed for the relevance of the presence of TDs, lymph node metastases (LNMs), and extramural vascular invasion (EMVI) on the pattern of metastases and outcomes. Results Of 10,106 included patients with CRC, 22% presented with TDs. TDs are invariably associated with poor outcome. Presence of TDs was associated with presence of LNMs and EMVI. In a pairwise comparison, effects of TD were stronger than those of both LNMs and EMVI. In the logistic regression model, TDs in combination with LNMs is the strongest predictor for liver (odds ratio [OR], 5.5), lung (OR, 4.3) and peritoneal metastases (OR, 7.0). Presence of EMVI adds information for liver and lung metastases, but not for peritoneal metastases. Conclusion We have shown that TDs are not equal to LNMs or EMVI with respect to biology and outcome. We lose valuable prognostic information by allocating TDs into nodal category N1c and only considering TDs in the absence of LNMs. Therefore, we propose that the number of TDs should be added to the number of LNMs to derive a final N stage.","author":[{"dropping-particle":"","family":"Nagtegaal","given":"Iris D.","non-dropping-particle":"","parse-names":false,"suffix":""},{"dropping-particle":"","family":"Knijn","given":"Nikki","non-dropping-particle":"","parse-names":false,"suffix":""},{"dropping-particle":"","family":"Hugen","given":"Niek","non-dropping-particle":"","parse-names":false,"suffix":""},{"dropping-particle":"","family":"Marshall","given":"Helen C.","non-dropping-particle":"","parse-names":false,"suffix":""},{"dropping-particle":"","family":"Sugihara","given":"Kenichi","non-dropping-particle":"","parse-names":false,"suffix":""},{"dropping-particle":"","family":"Tot","given":"Tibor","non-dropping-particle":"","parse-names":false,"suffix":""},{"dropping-particle":"","family":"Ueno","given":"Hideki","non-dropping-particle":"","parse-names":false,"suffix":""},{"dropping-particle":"","family":"Quirke","given":"Philip","non-dropping-particle":"","parse-names":false,"suffix":""}],"container-title":"Journal of Clinical Oncology","id":"ITEM-1","issue":"10","issued":{"date-parts":[["2017","4","1"]]},"page":"1119-1127","title":"Tumor Deposits in Colorectal Cancer: Improving the Value of Modern Staging?A Systematic Review and Meta-Analysis","type":"article-journal","volume":"35"},"uris":["http://www.mendeley.com/documents/?uuid=83597398-5628-3d33-bcd6-d63871010aff"]}],"mendeley":{"formattedCitation":"&lt;sup&gt;13&lt;/sup&gt;","plainTextFormattedCitation":"13","previouslyFormattedCitation":"&lt;sup&gt;13&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13</w:t>
      </w:r>
      <w:r>
        <w:rPr>
          <w:rFonts w:ascii="Arial" w:hAnsi="Arial" w:cs="Arial"/>
          <w:sz w:val="24"/>
          <w:szCs w:val="24"/>
        </w:rPr>
        <w:fldChar w:fldCharType="end"/>
      </w:r>
      <w:r>
        <w:rPr>
          <w:rFonts w:ascii="Arial" w:hAnsi="Arial" w:cs="Arial"/>
          <w:sz w:val="24"/>
          <w:szCs w:val="24"/>
        </w:rPr>
        <w:t>. Furthermore, this appears to be true even when only considering patients who have undergone neoadjuvant therapy</w:t>
      </w:r>
      <w:r>
        <w:rPr>
          <w:rFonts w:ascii="Arial" w:hAnsi="Arial" w:cs="Arial"/>
          <w:sz w:val="24"/>
          <w:szCs w:val="24"/>
        </w:rPr>
        <w:fldChar w:fldCharType="begin" w:fldLock="1"/>
      </w:r>
      <w:r>
        <w:rPr>
          <w:rFonts w:ascii="Arial" w:hAnsi="Arial" w:cs="Arial"/>
          <w:sz w:val="24"/>
          <w:szCs w:val="24"/>
        </w:rPr>
        <w:instrText>ADDIN CSL_CITATION {"citationItems":[{"id":"ITEM-1","itemData":{"DOI":"10.1016/j.ejca.2019.08.020","ISSN":"18790852","abstract":"Background: Tumour deposits (TDs) are a poor prognostic marker in colorectal cancer, but their significance after neoadjuvant chemoradiotherapy is less certain because this group of patients is excluded in most studies. Post-treatment TD might even be a sign of tumour response. No previous reviews have assessed outcomes in this group. Materials and methods: A systematic review and meta-analysis was undertaken according to Preferred Reporting for Systematic Reviews and Meta-Analyses guidelines to determine the relevance of post-treatment TD. Inclusion criteria were studies assessing TD in patients who had undergone pre-operative treatment with radiotherapy and/or chemotherapy and reporting prevalence and survival outcomes. Studies that did not include histological review of cases were excluded. Results: Eight studies and 1283 patients were included in the review. Prevalence of TDs varied from 11.8% to 44.2% (mean 23.7%), similar to untreated patients. The presence of TDs after chemoradiotherapy was associated with invasion depth, lymph node involvement, perineural invasion and synchronous metastases. The pooled hazard ratio for 5-year adverse disease–free survival was 2.3 (95% confidence interval [CI]: 1.8–2.9), and that for overall survival was 2.5 (95% CI: 1.9–3.3). One study showed a survival benefit with adjuvant therapy in the TD-positive group. Conclusions: In analogy with untreated patients, the presence of TDs in patients with rectal cancer after neoadjuvant treatment is associated with advanced disease and a poor outcome.","author":[{"dropping-particle":"","family":"Lord","given":"A. C.","non-dropping-particle":"","parse-names":false,"suffix":""},{"dropping-particle":"","family":"Graham Martínez","given":"C.","non-dropping-particle":"","parse-names":false,"suffix":""},{"dropping-particle":"","family":"D'Souza","given":"N.","non-dropping-particle":"","parse-names":false,"suffix":""},{"dropping-particle":"","family":"Pucher","given":"P. H.","non-dropping-particle":"","parse-names":false,"suffix":""},{"dropping-particle":"","family":"Brown","given":"G.","non-dropping-particle":"","parse-names":false,"suffix":""},{"dropping-particle":"","family":"Nagtegaal","given":"I. D.","non-dropping-particle":"","parse-names":false,"suffix":""}],"container-title":"European Journal of Cancer","id":"ITEM-1","issued":{"date-parts":[["2019","11","1"]]},"page":"1-8","publisher":"Elsevier Ltd","title":"The significance of tumour deposits in rectal cancer after neoadjuvant therapy: a systematic review and meta-analysis","type":"article","volume":"122"},"uris":["http://www.mendeley.com/documents/?uuid=87abef65-329c-334d-ae25-822e2014fa80"]}],"mendeley":{"formattedCitation":"&lt;sup&gt;14&lt;/sup&gt;","plainTextFormattedCitation":"14","previouslyFormattedCitation":"&lt;sup&gt;14&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14</w:t>
      </w:r>
      <w:r>
        <w:rPr>
          <w:rFonts w:ascii="Arial" w:hAnsi="Arial" w:cs="Arial"/>
          <w:sz w:val="24"/>
          <w:szCs w:val="24"/>
        </w:rPr>
        <w:fldChar w:fldCharType="end"/>
      </w:r>
      <w:r>
        <w:rPr>
          <w:rFonts w:ascii="Arial" w:hAnsi="Arial" w:cs="Arial"/>
          <w:sz w:val="24"/>
          <w:szCs w:val="24"/>
        </w:rPr>
        <w:t xml:space="preserve">. Concerns have been raised that the pN1c category in TNM 8 does not adequately reflect the prognostic effect of TDs, firstly because they are only reported in the absence of LNMs (similar to TNM 7) and secondly because </w:t>
      </w:r>
      <w:r>
        <w:rPr>
          <w:rFonts w:ascii="Arial" w:hAnsi="Arial" w:cs="Arial"/>
          <w:sz w:val="24"/>
          <w:szCs w:val="24"/>
        </w:rPr>
        <w:lastRenderedPageBreak/>
        <w:t>the pN1c designation implies that they have a lesser prognostic effect than pN2 which is not in keeping with the available evidence. Given these findings and the controversy surrounding the recent changes in TNM, a survey of expert opinion is needed to assess where we should go from here in better classifying TDs, determining how they should affect staging and utilising this information in making treatment decisions. We aimed to carry out a Delphi Consensus study including experts in the field to develop recommendations which could help shape future staging.</w:t>
      </w:r>
    </w:p>
    <w:p w14:paraId="253E120A" w14:textId="77777777" w:rsidR="00992F8E" w:rsidRDefault="00992F8E" w:rsidP="00992F8E">
      <w:pPr>
        <w:rPr>
          <w:rFonts w:ascii="Arial" w:hAnsi="Arial" w:cs="Arial"/>
          <w:sz w:val="24"/>
          <w:szCs w:val="24"/>
        </w:rPr>
      </w:pPr>
      <w:r>
        <w:rPr>
          <w:rFonts w:ascii="Arial" w:hAnsi="Arial" w:cs="Arial"/>
          <w:sz w:val="24"/>
          <w:szCs w:val="24"/>
        </w:rPr>
        <w:br w:type="page"/>
      </w:r>
    </w:p>
    <w:p w14:paraId="5946E126" w14:textId="6B890B27" w:rsidR="00992F8E" w:rsidRDefault="00B73F5F" w:rsidP="00992F8E">
      <w:pPr>
        <w:spacing w:line="480" w:lineRule="auto"/>
        <w:jc w:val="both"/>
        <w:rPr>
          <w:rFonts w:ascii="Arial" w:hAnsi="Arial" w:cs="Arial"/>
          <w:b/>
          <w:bCs/>
          <w:sz w:val="24"/>
          <w:szCs w:val="24"/>
        </w:rPr>
      </w:pPr>
      <w:r>
        <w:rPr>
          <w:rFonts w:ascii="Arial" w:hAnsi="Arial" w:cs="Arial"/>
          <w:b/>
          <w:bCs/>
          <w:sz w:val="24"/>
          <w:szCs w:val="24"/>
        </w:rPr>
        <w:lastRenderedPageBreak/>
        <w:t xml:space="preserve">Materials and </w:t>
      </w:r>
      <w:r w:rsidR="00992F8E">
        <w:rPr>
          <w:rFonts w:ascii="Arial" w:hAnsi="Arial" w:cs="Arial"/>
          <w:b/>
          <w:bCs/>
          <w:sz w:val="24"/>
          <w:szCs w:val="24"/>
        </w:rPr>
        <w:t>Methods</w:t>
      </w:r>
    </w:p>
    <w:p w14:paraId="0F384EA4" w14:textId="77777777" w:rsidR="00992F8E" w:rsidRDefault="00992F8E" w:rsidP="00992F8E">
      <w:pPr>
        <w:spacing w:line="480" w:lineRule="auto"/>
        <w:jc w:val="both"/>
        <w:rPr>
          <w:rFonts w:ascii="Arial" w:hAnsi="Arial" w:cs="Arial"/>
          <w:i/>
          <w:iCs/>
          <w:sz w:val="24"/>
          <w:szCs w:val="24"/>
        </w:rPr>
      </w:pPr>
    </w:p>
    <w:p w14:paraId="7E2DA944" w14:textId="77777777" w:rsidR="00992F8E" w:rsidRDefault="00992F8E" w:rsidP="00992F8E">
      <w:pPr>
        <w:spacing w:line="480" w:lineRule="auto"/>
        <w:jc w:val="both"/>
        <w:rPr>
          <w:rFonts w:ascii="Arial" w:hAnsi="Arial" w:cs="Arial"/>
          <w:i/>
          <w:iCs/>
          <w:sz w:val="24"/>
          <w:szCs w:val="24"/>
        </w:rPr>
      </w:pPr>
      <w:r>
        <w:rPr>
          <w:rFonts w:ascii="Arial" w:hAnsi="Arial" w:cs="Arial"/>
          <w:i/>
          <w:iCs/>
          <w:sz w:val="24"/>
          <w:szCs w:val="24"/>
        </w:rPr>
        <w:t>Expert selection</w:t>
      </w:r>
    </w:p>
    <w:p w14:paraId="38C37EAE"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Pathologists who were known to be experts in the field and/or had previously published research on TDs were approached and asked to participate by email. 15 pathologists from 8 countries agreed to participate and were therefore included in the Delphi process. Following a detailed literature review, a summary of the latest evidence was compiled by the study organisers and sent out to all participants before starting the process to standardise knowledge and ensure participants were up to date with the latest published papers in the field</w:t>
      </w:r>
      <w:r>
        <w:rPr>
          <w:rFonts w:ascii="Arial" w:hAnsi="Arial" w:cs="Arial"/>
          <w:sz w:val="24"/>
          <w:szCs w:val="24"/>
        </w:rPr>
        <w:fldChar w:fldCharType="begin" w:fldLock="1"/>
      </w:r>
      <w:r>
        <w:rPr>
          <w:rFonts w:ascii="Arial" w:hAnsi="Arial" w:cs="Arial"/>
          <w:sz w:val="24"/>
          <w:szCs w:val="24"/>
        </w:rPr>
        <w:instrText>ADDIN CSL_CITATION {"citationItems":[{"id":"ITEM-1","itemData":{"DOI":"10.1200/JCO.2016.68.9091","ISSN":"0732-183X","PMID":"28029327","abstract":"Purpose Colorectal cancer (CRC) treatment is largely determined by tumor stage. Despite improvements made in the treatment of various types of metastatic disease, staging has not been refined. The role of tumor deposits (TDs) in staging remains debated. We have assessed the relation of TDs with metastatic pattern to evaluate whether TDs might add significant new information to staging. Methods We performed a systematic literature search that was focused on the role of TDs in CRC. Studies with neoadjuvant-treated patients were excluded. Data on stage, histologic factors, and outcome were extracted. Data from four large cohorts were analyzed for the relevance of the presence of TDs, lymph node metastases (LNMs), and extramural vascular invasion (EMVI) on the pattern of metastases and outcomes. Results Of 10,106 included patients with CRC, 22% presented with TDs. TDs are invariably associated with poor outcome. Presence of TDs was associated with presence of LNMs and EMVI. In a pairwise comparison, effects of TD were stronger than those of both LNMs and EMVI. In the logistic regression model, TDs in combination with LNMs is the strongest predictor for liver (odds ratio [OR], 5.5), lung (OR, 4.3) and peritoneal metastases (OR, 7.0). Presence of EMVI adds information for liver and lung metastases, but not for peritoneal metastases. Conclusion We have shown that TDs are not equal to LNMs or EMVI with respect to biology and outcome. We lose valuable prognostic information by allocating TDs into nodal category N1c and only considering TDs in the absence of LNMs. Therefore, we propose that the number of TDs should be added to the number of LNMs to derive a final N stage.","author":[{"dropping-particle":"","family":"Nagtegaal","given":"Iris D.","non-dropping-particle":"","parse-names":false,"suffix":""},{"dropping-particle":"","family":"Knijn","given":"Nikki","non-dropping-particle":"","parse-names":false,"suffix":""},{"dropping-particle":"","family":"Hugen","given":"Niek","non-dropping-particle":"","parse-names":false,"suffix":""},{"dropping-particle":"","family":"Marshall","given":"Helen C.","non-dropping-particle":"","parse-names":false,"suffix":""},{"dropping-particle":"","family":"Sugihara","given":"Kenichi","non-dropping-particle":"","parse-names":false,"suffix":""},{"dropping-particle":"","family":"Tot","given":"Tibor","non-dropping-particle":"","parse-names":false,"suffix":""},{"dropping-particle":"","family":"Ueno","given":"Hideki","non-dropping-particle":"","parse-names":false,"suffix":""},{"dropping-particle":"","family":"Quirke","given":"Philip","non-dropping-particle":"","parse-names":false,"suffix":""}],"container-title":"Journal of Clinical Oncology","id":"ITEM-1","issue":"10","issued":{"date-parts":[["2017","4","1"]]},"page":"1119-1127","title":"Tumor Deposits in Colorectal Cancer: Improving the Value of Modern Staging?A Systematic Review and Meta-Analysis","type":"article-journal","volume":"35"},"uris":["http://www.mendeley.com/documents/?uuid=83597398-5628-3d33-bcd6-d63871010aff"]},{"id":"ITEM-2","itemData":{"DOI":"10.1002/cam4.2034","ISSN":"20457634","PMID":"30790459","abstract":"Tumor deposit (TD) was associated with poor survival in colorectal cancer. However, its prognostic and staging value in locally advanced rectal cancer (LARC) patients following neoadjuvant chemoradiotherapy (neo-CRT) is controversial. Four hundred and ninety-five LARC patients following neo-CRT and surgery were retrospectively analyzed. Univariate and multivariate analyses were performed using Kaplan-Meier method and Cox proportional hazards regression in all lymph node (LN) -negative and LN-positive patients. Next, we used three methods to classify the counts of LNs and TDs (oN, only LN counts; n1N, counts according to the N1c standards; n2N, total counts of LNs and TDs) to evaluate the impact of TD on N staging. TD-positive patients were associated with more aggressive clinicopathological features. In multivariate analyses, TD was an independent poor prognostic factor of overall survival (OS), disease-free survival (DFS), and local recurrence-free survival in all patients. In LN-negative patients, TD was an independent poor prognostic factor of OS, DFS and distant metastasis-free survival (DMFS). In LN-positive patients, TD has poor prognostic value only in patients with one positive LN. Three multivariate analyses according to three N staging methods showed that oN was not an independent prognostic factor, whereas n1N and n2N were independently associated with poor survival in OS, DFS and DMFS. The n2N method seemed to be better than n1N method. TD is an independent poor prognostic factor in LARC patients following neo-CRT, especially in patients with no more than one positive LN. TD probably should be considered as one positive LN when performing N staging.","author":[{"dropping-particle":"","family":"Wang","given":"Yaqi","non-dropping-particle":"","parse-names":false,"suffix":""},{"dropping-particle":"","family":"Zhang","given":"Jing","non-dropping-particle":"","parse-names":false,"suffix":""},{"dropping-particle":"","family":"Zhou","given":"Menglong","non-dropping-particle":"","parse-names":false,"suffix":""},{"dropping-particle":"","family":"Yang","given":"Lifeng","non-dropping-particle":"","parse-names":false,"suffix":""},{"dropping-particle":"","family":"Wan","given":"Juefeng","non-dropping-particle":"","parse-names":false,"suffix":""},{"dropping-particle":"","family":"Shen","given":"Lijun","non-dropping-particle":"","parse-names":false,"suffix":""},{"dropping-particle":"","family":"Liang","given":"Liping","non-dropping-particle":"","parse-names":false,"suffix":""},{"dropping-particle":"","family":"Yao","given":"Ye","non-dropping-particle":"","parse-names":false,"suffix":""},{"dropping-particle":"","family":"Zhang","given":"Hui","non-dropping-particle":"","parse-names":false,"suffix":""},{"dropping-particle":"","family":"Zhang","given":"Zhen","non-dropping-particle":"","parse-names":false,"suffix":""}],"container-title":"Cancer Medicine","id":"ITEM-2","issued":{"date-parts":[["2019","2","21"]]},"title":"Poor prognostic and staging value of tumor deposit in locally advanced rectal cancer with neoadjuvant chemoradiotherapy","type":"article-journal"},"uris":["http://www.mendeley.com/documents/?uuid=a17f39a8-b892-37dc-8ea5-ac084d270db9"]},{"id":"ITEM-3","itemData":{"DOI":"10.18632/oncotarget.6656","ISBN":"1949-2553","ISSN":"1949-2553","PMID":"26695441","abstract":"BACKGROUND: Tumor deposits (TDs) were reported to be poor prognoses in colorectal carcinoma, but the significance in locally advanced rectal cancer (LARC) (T3-4/N+) following neoadjuvant chemoradiotherapy (neo-CRT) and surgery is unclear. Since adjuvant chemotherapy showed no benefit for LARC following neo-CRT, it is of great value to investigate whether TDs can identify the subgroup of patients who may benefit from adjuvant chemotherapy. METHODS: Between 2004 and 2012, 310 LARC patients following neo-CRT and surgery were retrospectively reviewed. Overall survival (OS), disease-free survival (DFS), distant metastasis free survival (DMFS) and local recurrence free survival (LRFS) were evaluated by Kaplan-Meier method, log-rank test and Cox models. RESULTS: TDs-positive patients showed adverse OS, DFS and DMFS (all P&lt;/=0.001), but not LRFS (P = 0.273). In multivariate analysis, TDs continued to be associated with poor OS (HR = 2.44, 95% CI 1.32-4.4, P = 0.004) and DFS (HR = 1.99, 95% CI 1.21-3.27, P = 0.007), but not DMFS (HR = 1.77, 95% CI 0.97-3.20, P = 0.061) or LRFS (HR = 1.85, 95% CI 0.58-5.85, P = 0.298). Among TDs-positive patients, adjuvant chemotherapy significantly improved OS (P = 0.045) and DMFS (P = 0.026), but not DFS (P = 0.127) or LRFS (P = 0.862). CONCLUSIONS: TDs are predictive of poor survival in LARC after neo-CRT. Fortunately, TDs-positive patients appear to benefit from adjuvant chemotherapy.","author":[{"dropping-particle":"","family":"Zhang","given":"Lu-Ning N","non-dropping-particle":"","parse-names":false,"suffix":""},{"dropping-particle":"","family":"Xiao","given":"Wei-Wei W","non-dropping-particle":"","parse-names":false,"suffix":""},{"dropping-particle":"","family":"Xi","given":"Shao-Yan Y","non-dropping-particle":"","parse-names":false,"suffix":""},{"dropping-particle":"","family":"OuYang","given":"Pu-Yun Y","non-dropping-particle":"","parse-names":false,"suffix":""},{"dropping-particle":"","family":"You","given":"Kai-Yun Y","non-dropping-particle":"","parse-names":false,"suffix":""},{"dropping-particle":"","family":"Zeng","given":"Zhi-Fan F","non-dropping-particle":"","parse-names":false,"suffix":""},{"dropping-particle":"","family":"Ding","given":"Pei-Rong R","non-dropping-particle":"","parse-names":false,"suffix":""},{"dropping-particle":"","family":"Zhang","given":"Hui-Zhong Z","non-dropping-particle":"","parse-names":false,"suffix":""},{"dropping-particle":"","family":"Pan","given":"Zhi-Zhong Z","non-dropping-particle":"","parse-names":false,"suffix":""},{"dropping-particle":"","family":"Xu","given":"Rui-Hua H","non-dropping-particle":"","parse-names":false,"suffix":""},{"dropping-particle":"","family":"Gao","given":"Yuan-Hong H","non-dropping-particle":"","parse-names":false,"suffix":""}],"container-title":"Oncotarget","edition":"2015/12/24","id":"ITEM-3","issue":"5","issued":{"date-parts":[["2016","2","2"]]},"language":"Eng","note":"From Duplicate 3 (Tumor deposits: markers of poor prognosis in patients with locally advanced rectal cancer following neoadjuvant chemoradiotherapy - Zhang, L N; Xiao, W W; Xi, S Y; OuYang, P Y; You, K Y; Zeng, Z F; Ding, P R; Zhang, H Z; Pan, Z Z; Xu, R H; Gao, Y H)\n\n1949-2553\nZhang, Lu-Ning\nXiao, Wei-Wei\nXi, Shao-Yan\nOuYang, Pu-Yun\nYou, Kai-Yun\nZeng, Zhi-Fan\nDing, Pei-Rong\nZhang, Hui-Zhong\nPan, Zhi-Zhong\nXu, Rui-Hua\nGao, Yuan-Hong\nJournal article\nOncotarget. 2015 Dec 18. doi: 10.18632/oncotarget.6656.","page":"6335-44","publisher":"Impact Journals, LLC","title":"Tumor deposits: markers of poor prognosis in patients with locally advanced rectal cancer following neoadjuvant chemoradiotherapy","title-short":"Tumor deposits","type":"article-journal","volume":"7"},"uris":["http://www.mendeley.com/documents/?uuid=803c9258-8682-40ab-b668-dedca499a5bd"]},{"id":"ITEM-4","itemData":{"DOI":"10.1007/s00428-015-1723-x","ISBN":"0945-6317","ISSN":"0945-6317","PMID":"25693669","abstract":"Most patients with rectal cancer receive neoadjuvant radiochemotherapy (RCT), causing a variable decrease in tumor mass. We evaluated the prognostic impact of pathologic parameters reflecting tumor response to RCT, either directly or indirectly. Seventy-six rectal cancer patients receiving neoadjuvant RCT between 2006 and 2009 were included. We studied the association between disease-free survival (DFS) and the \"classical\" clinicopathologic features as well as tumor deposits, circumferential resection margin (CRM), Dworak regression grade, and tumor and nodal downstaging. Patients with tumor downstaging had a longer DFS (p = 0.05), indicating a more favorable prognosis when regression was accompanied by a decrease in tumor infiltrative depth, referred to as tumor shrinkage. Moreover, tumor downstaging was significantly associated with larger CRM and nodal downstaging (p = 0.02), suggesting that shrinkage of the primary tumor was associated with a decreased nodal tumor load. Higher Dworak grade did not correlate with tumor downstaging, nor with higher CRM or prolonged DFS. This implies that tumor mass decrease was sometimes due to fragmentation rather than shrinkage of the primary tumor. Lastly, the presence of tumor deposits was clearly associated with reduced DFS (p = 0.01). Assessment of tumor shrinkage after RCT via tumor downstaging and CRM is a good way of predicting DFS in rectal cancer, and shrinkage of the primary tumor is associated with a decreased nodal tumor load. Assessing regression based on the amount of tumor in relation to stromal fibrosis does not accurately discern tumor fragmentation from tumor shrinkage, which is most likely the reason why Dworak grade had less prognostic relevance.","author":[{"dropping-particle":"","family":"Hav","given":"Monirath","non-dropping-particle":"","parse-names":false,"suffix":""},{"dropping-particle":"","family":"Libbrecht","given":"Louis","non-dropping-particle":"","parse-names":false,"suffix":""},{"dropping-particle":"","family":"Geboes","given":"Karen","non-dropping-particle":"","parse-names":false,"suffix":""},{"dropping-particle":"","family":"Ferdinande","given":"Liesbeth","non-dropping-particle":"","parse-names":false,"suffix":""},{"dropping-particle":"","family":"Boterberg","given":"Tom","non-dropping-particle":"","parse-names":false,"suffix":""},{"dropping-particle":"","family":"Ceelen","given":"Wim","non-dropping-particle":"","parse-names":false,"suffix":""},{"dropping-particle":"","family":"Pattyn","given":"Piet","non-dropping-particle":"","parse-names":false,"suffix":""},{"dropping-particle":"","family":"Cuvelier","given":"Claude","non-dropping-particle":"","parse-names":false,"suffix":""}],"container-title":"Virchows Arch","edition":"2015/02/20","id":"ITEM-4","issue":"5","issued":{"date-parts":[["2015","5","19"]]},"language":"eng","note":"From Duplicate 2 (Prognostic value of tumor shrinkage versus fragmentation following radiochemotherapy and surgery for rectal cancer - Hav, M; Libbrecht, L; Geboes, K; Ferdinande, L; Boterberg, T; Ceelen, W; Pattyn, P; Cuvelier, C)\n\n1432-2307\nHav, Monirath\nLibbrecht, Louis\nGeboes, Karen\nFerdinande, Liesbeth\nBoterberg, Tom\nCeelen, Wim\nPattyn, Piet\nCuvelier, Claude\nJournal Article\nGermany\nVirchows Arch. 2015 May;466(5):517-23. doi: 10.1007/s00428-015-1723-x. Epub 2015 Feb 19.","page":"517-523","publisher":"Springer Berlin Heidelberg","title":"Prognostic value of tumor shrinkage versus fragmentation following radiochemotherapy and surgery for rectal cancer","type":"article-journal","volume":"466"},"uris":["http://www.mendeley.com/documents/?uuid=abb24366-7ff8-4401-9741-1d5518386837"]},{"id":"ITEM-5","itemData":{"DOI":"10.1097/MPG.0b013e3181a15ae8.Screening","ISBN":"3143627344","ISSN":"1878-5832","PMID":"21959306","abstract":"Although tumor deposits have been associated with poor prognosis in colorectal carcinoma, the prevalence and clinical significance of tumor deposits in rectal adenocarcinoma following neoadjuvant chemoradiation are relatively unexplored. The aims of this study are to assess the clinical significance of tumor deposits in rectal adenocarcinoma patients, including those receiving neoadjuvant therapy. Pathology slides and medical records from 205 consecutive patients who underwent resection for rectal adenocarcinoma between 1990 and 2010 at a single tertiary care center were reviewed. Patients with tumor deposits had higher tumor grade (P=0.006) and worse tumor stage (P{&lt;}0.001) at presentation than patients without tumor deposits. Among 110 patients who underwent neoadjuvant chemoradiation, tumor deposits were associated with higher rates of lymph node involvement (P=0.035) and distant metastases (P=0.006), and decreased survival (P=0.027). These patients had a trend toward lower treatment response scores (P=0.285) and higher local recurrence (P=0.092). Of 52 patients with tumor deposits, those who underwent neoadjuvant chemoradiation had significantly worse pretreatment stage by endoscopic ultrasound (P{&lt;}0.001) but interestingly had significantly lower rates of lymphovascular invasion on resection (P{&lt;}0.001) compared with those who had not received neoadjuvant chemoradiation. Despite treatment with neoadjuvant chemoradiation, tumor deposits were present in over one-fifth of rectal adenocarcinoma patients. Overall, the outcome of patients with tumor deposits in treated and untreated patients were similar, however the association of tumor deposits with deeply invasive tumors and less tumor regression when comparing with treated patients without tumor deposits raises the possibility that these tumors could have a more aggressive biology, possibly explaining the association of tumor deposits with higher rates of recurrence and lower survival after neoadjuvant chemoradiation. Overall, tumor deposits appear to be a poor prognostic marker among rectal adenocarcinoma patients following neoadjuvant chemoradiation and may identify a subset of patients who require aggressive adjuvant therapy to prevent recurrence.","author":[{"dropping-particle":"","family":"Gopal","given":"Purva","non-dropping-particle":"","parse-names":false,"suffix":""},{"dropping-particle":"","family":"Lu","given":"Pengcheng","non-dropping-particle":"","parse-names":false,"suffix":""},{"dropping-particle":"","family":"Ayers","given":"Gregory D","non-dropping-particle":"","parse-names":false,"suffix":""},{"dropping-particle":"","family":"Herline","given":"Alan J","non-dropping-particle":"","parse-names":false,"suffix":""},{"dropping-particle":"","family":"Washington","given":"Mary K","non-dropping-particle":"","parse-names":false,"suffix":""},{"dropping-particle":"","family":"Gopal P, Lu P, Ayers G, Herline A","given":"Washington M","non-dropping-particle":"","parse-names":false,"suffix":""},{"dropping-particle":"","family":"Gopal","given":"Purva","non-dropping-particle":"","parse-names":false,"suffix":""},{"dropping-particle":"","family":"Lu","given":"Pengcheng","non-dropping-particle":"","parse-names":false,"suffix":""},{"dropping-particle":"","family":"Ayers","given":"Gregory D","non-dropping-particle":"","parse-names":false,"suffix":""},{"dropping-particle":"","family":"Herline","given":"Alan J","non-dropping-particle":"","parse-names":false,"suffix":""},{"dropping-particle":"","family":"Washington","given":"Mary K","non-dropping-particle":"","parse-names":false,"suffix":""}],"container-title":"Modern Pathology","id":"ITEM-5","issue":"9","issued":{"date-parts":[["2014","9"]]},"page":"1281-1287","title":"Tumor deposits in rectal adenocarcinoma after neoadjuvant chemoradiation are associated with poor prognosis","type":"article-journal","volume":"27"},"uris":["http://www.mendeley.com/documents/?uuid=16984b36-450d-41fe-b058-d08fc2f6918e"]},{"id":"ITEM-6","itemData":{"author":[{"dropping-particle":"","family":"Wunsch","given":"K","non-dropping-particle":"","parse-names":false,"suffix":""},{"dropping-particle":"","family":"Muller","given":"J","non-dropping-particle":"","parse-names":false,"suffix":""},{"dropping-particle":"","family":"Jahnig","given":"H","non-dropping-particle":"","parse-names":false,"suffix":""},{"dropping-particle":"","family":"Herrmann","given":"R A","non-dropping-particle":"","parse-names":false,"suffix":""},{"dropping-particle":"","family":"Arnholdt","given":"H M","non-dropping-particle":"","parse-names":false,"suffix":""},{"dropping-particle":"","family":"Markl","given":"B","non-dropping-particle":"","parse-names":false,"suffix":""}],"container-title":"American Journal of Clinical Pathology","id":"ITEM-6","issue":"3","issued":{"date-parts":[["2010"]]},"page":"388-394","title":"Shape is not associated with the origin of pericolonic tumor deposits","type":"article-journal","volume":"133"},"uris":["http://www.mendeley.com/documents/?uuid=f4973069-a289-4f8d-b217-4085d313e267"]},{"id":"ITEM-7","itemData":{"DOI":"10.1007/DCR.0b013e3181cf7fd8","ISSN":"0012-3706","author":[{"dropping-particle":"","family":"Shimada","given":"Yoshifumi","non-dropping-particle":"","parse-names":false,"suffix":""},{"dropping-particle":"","family":"Takii","given":"Yasumasa","non-dropping-particle":"","parse-names":false,"suffix":""}],"container-title":"Diseases of the Colon &amp; Rectum","id":"ITEM-7","issue":"5","issued":{"date-parts":[["2010"]]},"page":"771-778","title":"Clinical Impact of Mesorectal Extranodal Cancer Tissue in Rectal Cancer: Detailed Pathological Assessment Using Whole-Mount Sections","type":"article-journal","volume":"53"},"uris":["http://www.mendeley.com/documents/?uuid=bac8a377-b61a-42e4-a390-d7059e5d1159"]},{"id":"ITEM-8","itemData":{"DOI":"10.5858/arpa.2013-0166-OA.Debating","author":[{"dropping-particle":"","family":"Rock","given":"Jonathan B","non-dropping-particle":"","parse-names":false,"suffix":""},{"dropping-particle":"","family":"Washington","given":"Mary Kay","non-dropping-particle":"","parse-names":false,"suffix":""},{"dropping-particle":"","family":"Ph","given":"D","non-dropping-particle":"","parse-names":false,"suffix":""},{"dropping-particle":"","family":"Adsay","given":"Volkan","non-dropping-particle":"","parse-names":false,"suffix":""},{"dropping-particle":"","family":"Joel","given":"K","non-dropping-particle":"","parse-names":false,"suffix":""},{"dropping-particle":"","family":"Montgomery","given":"Elizabeth A","non-dropping-particle":"","parse-names":false,"suffix":""},{"dropping-particle":"","family":"Robert","given":"Marie E","non-dropping-particle":"","parse-names":false,"suffix":""},{"dropping-particle":"","family":"Rhonda","given":"K","non-dropping-particle":"","parse-names":false,"suffix":""},{"dropping-particle":"","family":"Lehman","given":"Amy M","non-dropping-particle":"","parse-names":false,"suffix":""},{"dropping-particle":"","family":"Frankel","given":"Wendy L","non-dropping-particle":"","parse-names":false,"suffix":""}],"id":"ITEM-8","issue":"5","issued":{"date-parts":[["2014"]]},"page":"636-642","title":"Debating Deposits: An inter-observer variability study of lymph nodes and pericolonic tumor deposits in colonic adenocarcinoma","type":"article-journal","volume":"138"},"uris":["http://www.mendeley.com/documents/?uuid=f409e8f6-ad37-48e2-9c42-9146994b8cad"]}],"mendeley":{"formattedCitation":"&lt;sup&gt;13,15–21&lt;/sup&gt;","plainTextFormattedCitation":"13,15–21","previouslyFormattedCitation":"&lt;sup&gt;13,15–21&lt;/sup&gt;"},"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13,15–21</w:t>
      </w:r>
      <w:r>
        <w:rPr>
          <w:rFonts w:ascii="Arial" w:hAnsi="Arial" w:cs="Arial"/>
          <w:sz w:val="24"/>
          <w:szCs w:val="24"/>
        </w:rPr>
        <w:fldChar w:fldCharType="end"/>
      </w:r>
      <w:r>
        <w:rPr>
          <w:rFonts w:ascii="Arial" w:hAnsi="Arial" w:cs="Arial"/>
          <w:sz w:val="24"/>
          <w:szCs w:val="24"/>
        </w:rPr>
        <w:t>.</w:t>
      </w:r>
    </w:p>
    <w:p w14:paraId="3EDF9F1F" w14:textId="77777777" w:rsidR="00992F8E" w:rsidRDefault="00992F8E" w:rsidP="00992F8E">
      <w:pPr>
        <w:spacing w:line="480" w:lineRule="auto"/>
        <w:jc w:val="both"/>
        <w:rPr>
          <w:rFonts w:ascii="Arial" w:hAnsi="Arial" w:cs="Arial"/>
          <w:b/>
          <w:bCs/>
          <w:sz w:val="24"/>
          <w:szCs w:val="24"/>
        </w:rPr>
      </w:pPr>
    </w:p>
    <w:p w14:paraId="23E82DCC" w14:textId="77777777" w:rsidR="00992F8E" w:rsidRDefault="00992F8E" w:rsidP="00992F8E">
      <w:pPr>
        <w:spacing w:line="480" w:lineRule="auto"/>
        <w:jc w:val="both"/>
        <w:rPr>
          <w:rFonts w:ascii="Arial" w:hAnsi="Arial" w:cs="Arial"/>
          <w:i/>
          <w:iCs/>
          <w:sz w:val="24"/>
          <w:szCs w:val="24"/>
        </w:rPr>
      </w:pPr>
      <w:r>
        <w:rPr>
          <w:rFonts w:ascii="Arial" w:hAnsi="Arial" w:cs="Arial"/>
          <w:i/>
          <w:iCs/>
          <w:sz w:val="24"/>
          <w:szCs w:val="24"/>
        </w:rPr>
        <w:t>Delphi Process</w:t>
      </w:r>
    </w:p>
    <w:p w14:paraId="1D31B42B"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A modified Delphi technique was used. The initial statements were formulated after a literature review and discussion between the primary authors. The statements were sent out as an online survey and participants were asked to rate their level of agreement with each statement on a 5-point Likert scale (ranging from strongly agree to strongly disagree). Participants were also encouraged to provide comments to justify their decision where appropriate. As part of round 1, there was an opportunity for participants to suggest further statements that they felt should be included in the round 2. The results were collated and circulated to all participants along with anonymised comments for each statement which had not reached consensus. Consensus was considered to have been reached if &gt;70% of participants selected strongly agree/agree (positive consensus) or strongly disagree/disagree (negative consensus). A second round was then carried out using the same methodology, </w:t>
      </w:r>
      <w:r>
        <w:rPr>
          <w:rFonts w:ascii="Arial" w:hAnsi="Arial" w:cs="Arial"/>
          <w:sz w:val="24"/>
          <w:szCs w:val="24"/>
        </w:rPr>
        <w:lastRenderedPageBreak/>
        <w:t xml:space="preserve">including those statements that did not achieve consensus in Round 1 and all new statements proposed by the participants. Some statements were re-worded </w:t>
      </w:r>
      <w:proofErr w:type="gramStart"/>
      <w:r>
        <w:rPr>
          <w:rFonts w:ascii="Arial" w:hAnsi="Arial" w:cs="Arial"/>
          <w:sz w:val="24"/>
          <w:szCs w:val="24"/>
        </w:rPr>
        <w:t>as a result of</w:t>
      </w:r>
      <w:proofErr w:type="gramEnd"/>
      <w:r>
        <w:rPr>
          <w:rFonts w:ascii="Arial" w:hAnsi="Arial" w:cs="Arial"/>
          <w:sz w:val="24"/>
          <w:szCs w:val="24"/>
        </w:rPr>
        <w:t xml:space="preserve"> feedback during round 1. This process is summarised in figure 1. </w:t>
      </w:r>
    </w:p>
    <w:p w14:paraId="16D98CEC" w14:textId="77777777" w:rsidR="00992F8E" w:rsidRDefault="00992F8E" w:rsidP="00992F8E">
      <w:pPr>
        <w:rPr>
          <w:rFonts w:ascii="Arial" w:hAnsi="Arial" w:cs="Arial"/>
          <w:sz w:val="24"/>
          <w:szCs w:val="24"/>
        </w:rPr>
      </w:pPr>
      <w:r>
        <w:rPr>
          <w:rFonts w:ascii="Arial" w:hAnsi="Arial" w:cs="Arial"/>
          <w:sz w:val="24"/>
          <w:szCs w:val="24"/>
        </w:rPr>
        <w:br w:type="page"/>
      </w:r>
    </w:p>
    <w:p w14:paraId="32FFEF29"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lastRenderedPageBreak/>
        <w:t>Results</w:t>
      </w:r>
    </w:p>
    <w:p w14:paraId="1F86BEEE"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In round 1, 35 statements were sent out to the participants. The statements were separated into the following categories: origin of TDs, classification in TNM and clinical application. 19 statements achieved consensus. The 16 statements which did not achieve consensus were sent out again in the second round along with 4 additional statements suggested during round 1. Of these 20 statements, 9 achieved consensus. </w:t>
      </w:r>
    </w:p>
    <w:p w14:paraId="0F576B6F"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Figure 2 shows the level of agreement with each of the statements that achieved consensus. Table 1 outlines </w:t>
      </w:r>
      <w:proofErr w:type="gramStart"/>
      <w:r>
        <w:rPr>
          <w:rFonts w:ascii="Arial" w:hAnsi="Arial" w:cs="Arial"/>
          <w:sz w:val="24"/>
          <w:szCs w:val="24"/>
        </w:rPr>
        <w:t>all of</w:t>
      </w:r>
      <w:proofErr w:type="gramEnd"/>
      <w:r>
        <w:rPr>
          <w:rFonts w:ascii="Arial" w:hAnsi="Arial" w:cs="Arial"/>
          <w:sz w:val="24"/>
          <w:szCs w:val="24"/>
        </w:rPr>
        <w:t xml:space="preserve"> the statements which achieved consensus during the Delphi Process, with statements achieving negative consensus reworded to improve clarity. The rewording was agreed by </w:t>
      </w:r>
      <w:proofErr w:type="gramStart"/>
      <w:r>
        <w:rPr>
          <w:rFonts w:ascii="Arial" w:hAnsi="Arial" w:cs="Arial"/>
          <w:sz w:val="24"/>
          <w:szCs w:val="24"/>
        </w:rPr>
        <w:t>all of</w:t>
      </w:r>
      <w:proofErr w:type="gramEnd"/>
      <w:r>
        <w:rPr>
          <w:rFonts w:ascii="Arial" w:hAnsi="Arial" w:cs="Arial"/>
          <w:sz w:val="24"/>
          <w:szCs w:val="24"/>
        </w:rPr>
        <w:t xml:space="preserve"> the participants. The statements which did not achieve consensus are listed in table 2. </w:t>
      </w:r>
    </w:p>
    <w:p w14:paraId="27C132EE"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 </w:t>
      </w:r>
    </w:p>
    <w:p w14:paraId="1FC980F1" w14:textId="77777777" w:rsidR="00992F8E" w:rsidRDefault="00992F8E" w:rsidP="00992F8E">
      <w:pPr>
        <w:spacing w:line="480" w:lineRule="auto"/>
        <w:jc w:val="both"/>
        <w:rPr>
          <w:rFonts w:ascii="Arial" w:hAnsi="Arial" w:cs="Arial"/>
          <w:i/>
          <w:sz w:val="24"/>
          <w:szCs w:val="24"/>
        </w:rPr>
      </w:pPr>
      <w:r>
        <w:rPr>
          <w:rFonts w:ascii="Arial" w:hAnsi="Arial" w:cs="Arial"/>
          <w:i/>
          <w:sz w:val="24"/>
          <w:szCs w:val="24"/>
        </w:rPr>
        <w:t>The origin of TDs</w:t>
      </w:r>
    </w:p>
    <w:p w14:paraId="10645CF1"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The origin of TDs is a topic of discussion. The panel agreed that TDs are a collection of different entities with different origins, but it is unclear whether the origin of TDs has impact on prognosis (#7). This is probably why the origin is not discussed at multidisciplinary team meetings at participants’ institutions (#24). The panel also thinks that the origin should thus not determine the inclusion in cancer staging at the present time based on current evidence (#12). There is a strong correlation of TDs with for example EMVI (#5), however, the panel thinks that once EMVI has outgrown the vessel to form a large TD, it may represent prognostically something beyond simple vascular invasion (#6). It is likely that outgrowth from the perineurium in PNI has a similar effect. From a scientific point of view, it is important to determine the origin of TDs to generate more refined evidence (#1), however there was no agreement on </w:t>
      </w:r>
      <w:r>
        <w:rPr>
          <w:rFonts w:ascii="Arial" w:hAnsi="Arial" w:cs="Arial"/>
          <w:sz w:val="24"/>
          <w:szCs w:val="24"/>
        </w:rPr>
        <w:lastRenderedPageBreak/>
        <w:t xml:space="preserve">whether there was any practical benefit to this currently (#30). The panel agreed that it might be informative to register both the presence of TDs and any discernible origin </w:t>
      </w:r>
      <w:proofErr w:type="gramStart"/>
      <w:r>
        <w:rPr>
          <w:rFonts w:ascii="Arial" w:hAnsi="Arial" w:cs="Arial"/>
          <w:sz w:val="24"/>
          <w:szCs w:val="24"/>
        </w:rPr>
        <w:t>in order to</w:t>
      </w:r>
      <w:proofErr w:type="gramEnd"/>
      <w:r>
        <w:rPr>
          <w:rFonts w:ascii="Arial" w:hAnsi="Arial" w:cs="Arial"/>
          <w:sz w:val="24"/>
          <w:szCs w:val="24"/>
        </w:rPr>
        <w:t xml:space="preserve"> obtain this information in the future (#8). There was consensus that the size of a TD is not associated with its origin (#4), however there was no agreement about whether the shape of a TD is of similar relevance (#31), and it is therefore likely that further research is needed.</w:t>
      </w:r>
    </w:p>
    <w:p w14:paraId="754E56A6" w14:textId="77777777" w:rsidR="00992F8E" w:rsidRDefault="00992F8E" w:rsidP="00992F8E">
      <w:pPr>
        <w:spacing w:line="480" w:lineRule="auto"/>
        <w:jc w:val="both"/>
        <w:rPr>
          <w:rFonts w:ascii="Arial" w:hAnsi="Arial" w:cs="Arial"/>
          <w:sz w:val="24"/>
          <w:szCs w:val="24"/>
        </w:rPr>
      </w:pPr>
    </w:p>
    <w:p w14:paraId="595F1AFC" w14:textId="77777777" w:rsidR="00992F8E" w:rsidRDefault="00992F8E" w:rsidP="00992F8E">
      <w:pPr>
        <w:spacing w:line="480" w:lineRule="auto"/>
        <w:jc w:val="both"/>
        <w:rPr>
          <w:rFonts w:ascii="Arial" w:hAnsi="Arial" w:cs="Arial"/>
          <w:i/>
          <w:sz w:val="24"/>
          <w:szCs w:val="24"/>
        </w:rPr>
      </w:pPr>
      <w:r>
        <w:rPr>
          <w:rFonts w:ascii="Arial" w:hAnsi="Arial" w:cs="Arial"/>
          <w:i/>
          <w:sz w:val="24"/>
          <w:szCs w:val="24"/>
        </w:rPr>
        <w:t>Classification of TDs</w:t>
      </w:r>
    </w:p>
    <w:p w14:paraId="309B18FA"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The expert panel of pathologists taking part in this Delphi process were critical of the current TNM staging system, agreeing that the current definition of TDs was unclear (#14, #16) and did not facilitate good reproducibility (#10, #14). They feel that pN1c is not the correct position for TDs within the TNM system and disagree with the current practice of ignoring TDs if LNMs are also present (#13). They feel that the precise number of TDs should be recorded (#11), as is currently done for LNMs, but that adding the number of TDs to the number of LNMs would not be advisable as this is not currently based on strong evidence (#21). They had concerns about excluding TDs with evidence of an origin from EMVI, LI or PNI from the pN1c category as although these pathological features could be recorded as “additional factors affecting clinical care”, they do not affect the stage grouping of a tumour and would be too easy to overlook in clinical decision making (#20). Overall, they felt that greater standardisation was needed in the definition of TDs (#18), even if this did mean sacrificing some precision about their origin (#19). The panel felt that the size and shape of TDs should not be used to determine their inclusion in TNM (#12, #17) as </w:t>
      </w:r>
      <w:r>
        <w:rPr>
          <w:rFonts w:ascii="Arial" w:hAnsi="Arial" w:cs="Arial"/>
          <w:sz w:val="24"/>
          <w:szCs w:val="24"/>
        </w:rPr>
        <w:lastRenderedPageBreak/>
        <w:t>this is not evidence based and indeed is counterintuitive given that lymph nodes, veins, nerves and lymphatics are of variable size.</w:t>
      </w:r>
    </w:p>
    <w:p w14:paraId="491A0A15"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Agreement was not reached as to whether any discontinuous tumour nodules in the mesenteric fat should be recorded as a TDs (#32). Some participants felt that clearly discontinuous EMVI and PNI should be recorded a TD, but others felt that discriminatory features such as whether the tumour was fully contained within a vessel were key. The panel did not reach consensus about whether the presence of TDs should lead to a tumour being classified as either AJCC stage II with high risk features (#37, #39) (as with features such as EMVI) or stage III (#38). Comments suggested that </w:t>
      </w:r>
      <w:proofErr w:type="gramStart"/>
      <w:r>
        <w:rPr>
          <w:rFonts w:ascii="Arial" w:hAnsi="Arial" w:cs="Arial"/>
          <w:sz w:val="24"/>
          <w:szCs w:val="24"/>
        </w:rPr>
        <w:t>both of these</w:t>
      </w:r>
      <w:proofErr w:type="gramEnd"/>
      <w:r>
        <w:rPr>
          <w:rFonts w:ascii="Arial" w:hAnsi="Arial" w:cs="Arial"/>
          <w:sz w:val="24"/>
          <w:szCs w:val="24"/>
        </w:rPr>
        <w:t xml:space="preserve"> categories underestimated prognosis and that a new category may be needed to separate LNMs from TDs to reflect their differing prognostic implications. Similarly, the panel did not agree whether TDs should be included in the </w:t>
      </w:r>
      <w:proofErr w:type="spellStart"/>
      <w:r>
        <w:rPr>
          <w:rFonts w:ascii="Arial" w:hAnsi="Arial" w:cs="Arial"/>
          <w:sz w:val="24"/>
          <w:szCs w:val="24"/>
        </w:rPr>
        <w:t>pN</w:t>
      </w:r>
      <w:proofErr w:type="spellEnd"/>
      <w:r>
        <w:rPr>
          <w:rFonts w:ascii="Arial" w:hAnsi="Arial" w:cs="Arial"/>
          <w:sz w:val="24"/>
          <w:szCs w:val="24"/>
        </w:rPr>
        <w:t xml:space="preserve"> category (#36). Some pathologists felt that adding a new category to TNM would be impossible and therefore the </w:t>
      </w:r>
      <w:proofErr w:type="spellStart"/>
      <w:r>
        <w:rPr>
          <w:rFonts w:ascii="Arial" w:hAnsi="Arial" w:cs="Arial"/>
          <w:sz w:val="24"/>
          <w:szCs w:val="24"/>
        </w:rPr>
        <w:t>pN</w:t>
      </w:r>
      <w:proofErr w:type="spellEnd"/>
      <w:r>
        <w:rPr>
          <w:rFonts w:ascii="Arial" w:hAnsi="Arial" w:cs="Arial"/>
          <w:sz w:val="24"/>
          <w:szCs w:val="24"/>
        </w:rPr>
        <w:t xml:space="preserve"> category was the most appropriate place to record TDs but several others argued that using the </w:t>
      </w:r>
      <w:proofErr w:type="spellStart"/>
      <w:r>
        <w:rPr>
          <w:rFonts w:ascii="Arial" w:hAnsi="Arial" w:cs="Arial"/>
          <w:sz w:val="24"/>
          <w:szCs w:val="24"/>
        </w:rPr>
        <w:t>pN</w:t>
      </w:r>
      <w:proofErr w:type="spellEnd"/>
      <w:r>
        <w:rPr>
          <w:rFonts w:ascii="Arial" w:hAnsi="Arial" w:cs="Arial"/>
          <w:sz w:val="24"/>
          <w:szCs w:val="24"/>
        </w:rPr>
        <w:t xml:space="preserve"> category made no sense due to differing origins and prognostic implications of TDs and LNMs. The panel could not agree on either a cut off for counting TDs (i.e. whether they should only be counted up to 5 or counted beyond this number)(#33) or on whether there should be a size cut off (#34) to aid standardisation. It was felt that these classification criteria should not be implemented until there is better evidence to support them. There was also not consensus about whether different criteria were needed to define TDs in treated and untreated patients, again due to lack of evidence to support this at present. This highlights important areas for future research.</w:t>
      </w:r>
    </w:p>
    <w:p w14:paraId="0701AA9D" w14:textId="77777777" w:rsidR="00992F8E" w:rsidRDefault="00992F8E" w:rsidP="00992F8E">
      <w:pPr>
        <w:spacing w:line="480" w:lineRule="auto"/>
        <w:jc w:val="both"/>
        <w:rPr>
          <w:rFonts w:ascii="Arial" w:hAnsi="Arial" w:cs="Arial"/>
          <w:sz w:val="24"/>
          <w:szCs w:val="24"/>
        </w:rPr>
      </w:pPr>
    </w:p>
    <w:p w14:paraId="65FAFA7C" w14:textId="77777777" w:rsidR="00992F8E" w:rsidRDefault="00992F8E" w:rsidP="00992F8E">
      <w:pPr>
        <w:spacing w:line="480" w:lineRule="auto"/>
        <w:jc w:val="both"/>
        <w:rPr>
          <w:rFonts w:ascii="Arial" w:hAnsi="Arial" w:cs="Arial"/>
          <w:i/>
          <w:sz w:val="24"/>
          <w:szCs w:val="24"/>
        </w:rPr>
      </w:pPr>
      <w:r>
        <w:rPr>
          <w:rFonts w:ascii="Arial" w:hAnsi="Arial" w:cs="Arial"/>
          <w:i/>
          <w:sz w:val="24"/>
          <w:szCs w:val="24"/>
        </w:rPr>
        <w:lastRenderedPageBreak/>
        <w:t>Clinical impact of TDs</w:t>
      </w:r>
    </w:p>
    <w:p w14:paraId="686862C0"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In terms of clinical application, participants felt that TDs were a clear marker of poor prognosis in both patients undergoing primary surgery and those who had been previously treated with neoadjuvant therapy (#22, #23), and that they were a strong indication for the use of adjuvant chemotherapy (#28), although they felt that a clinical trial was needed to provide further evidence of the benefits of adjuvant therapy in this population (#29) as well as neoadjuvant therapy if their identification on imaging could be validated (#25). Participants agreed that TDs were a worse prognostic marker than LNMs (#27) but felt that LNMs in the absence of TDs were still important (#26). There was no consensus as to whether TDs resulting from tumour regression in </w:t>
      </w:r>
      <w:proofErr w:type="spellStart"/>
      <w:r>
        <w:rPr>
          <w:rFonts w:ascii="Arial" w:hAnsi="Arial" w:cs="Arial"/>
          <w:sz w:val="24"/>
          <w:szCs w:val="24"/>
        </w:rPr>
        <w:t>neoadjuvantly</w:t>
      </w:r>
      <w:proofErr w:type="spellEnd"/>
      <w:r>
        <w:rPr>
          <w:rFonts w:ascii="Arial" w:hAnsi="Arial" w:cs="Arial"/>
          <w:sz w:val="24"/>
          <w:szCs w:val="24"/>
        </w:rPr>
        <w:t xml:space="preserve"> treated patients would still confer a poor prognosis (#40) and further research in this area is necessary, which will most likely need to involve correlating imaging and pathology findings.</w:t>
      </w:r>
    </w:p>
    <w:p w14:paraId="07A15BAF" w14:textId="77777777" w:rsidR="00992F8E" w:rsidRDefault="00992F8E" w:rsidP="00992F8E">
      <w:pPr>
        <w:rPr>
          <w:rFonts w:ascii="Arial" w:hAnsi="Arial" w:cs="Arial"/>
          <w:sz w:val="24"/>
          <w:szCs w:val="24"/>
        </w:rPr>
      </w:pPr>
      <w:r>
        <w:rPr>
          <w:rFonts w:ascii="Arial" w:hAnsi="Arial" w:cs="Arial"/>
          <w:sz w:val="24"/>
          <w:szCs w:val="24"/>
        </w:rPr>
        <w:br w:type="page"/>
      </w:r>
    </w:p>
    <w:p w14:paraId="54470CAF"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lastRenderedPageBreak/>
        <w:t>Discussion</w:t>
      </w:r>
    </w:p>
    <w:p w14:paraId="44BE73AF"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There are inherent problems with the current definition of TDs in the TNM system. The majority of the expert pathologists in this study did not support practices such as excluding nodules with evidence of underlying EMVI, LI or PNI from the pN1c category and thus downstaging a patient from stage III to stage II if reclassifying them according to the TNM 8 rather than the TNM 7 edition. Furthermore, there was strong disagreement with the requirement to only report TDs in the absence of LNMs. Indeed, in the UK, the Royal College of Pathologists modified the 4</w:t>
      </w:r>
      <w:r>
        <w:rPr>
          <w:rFonts w:ascii="Arial" w:hAnsi="Arial" w:cs="Arial"/>
          <w:sz w:val="24"/>
          <w:szCs w:val="24"/>
          <w:vertAlign w:val="superscript"/>
        </w:rPr>
        <w:t>th</w:t>
      </w:r>
      <w:r>
        <w:rPr>
          <w:rFonts w:ascii="Arial" w:hAnsi="Arial" w:cs="Arial"/>
          <w:sz w:val="24"/>
          <w:szCs w:val="24"/>
        </w:rPr>
        <w:t xml:space="preserve"> Edition of their Colorectal Cancer Reporting Dataset</w:t>
      </w:r>
      <w:r>
        <w:rPr>
          <w:rFonts w:ascii="Arial" w:hAnsi="Arial" w:cs="Arial"/>
          <w:sz w:val="24"/>
          <w:szCs w:val="24"/>
        </w:rPr>
        <w:fldChar w:fldCharType="begin" w:fldLock="1"/>
      </w:r>
      <w:r>
        <w:rPr>
          <w:rFonts w:ascii="Arial" w:hAnsi="Arial" w:cs="Arial"/>
          <w:sz w:val="24"/>
          <w:szCs w:val="24"/>
        </w:rPr>
        <w:instrText>ADDIN CSL_CITATION {"citationItems":[{"id":"ITEM-1","itemData":{"abstract":"Unique document number G049 Document name Dataset for histopathological reporting of colorectal cancer Version number 4","author":[{"dropping-particle":"","family":"Wilkins","given":"Bridget","non-dropping-particle":"","parse-names":false,"suffix":""}],"id":"ITEM-1","issued":{"date-parts":[["2018"]]},"title":"Standards and datasets for reporting cancers Dataset for histopathological reporting of colorectal cancer","type":"report"},"uris":["http://www.mendeley.com/documents/?uuid=93ff4781-e9d8-388c-b1e3-ceb8e03a935b"]}],"mendeley":{"formattedCitation":"&lt;sup&gt;22&lt;/sup&gt;","plainTextFormattedCitation":"22"},"properties":{"noteIndex":0},"schema":"https://github.com/citation-style-language/schema/raw/master/csl-citation.json"}</w:instrText>
      </w:r>
      <w:r>
        <w:rPr>
          <w:rFonts w:ascii="Arial" w:hAnsi="Arial" w:cs="Arial"/>
          <w:sz w:val="24"/>
          <w:szCs w:val="24"/>
        </w:rPr>
        <w:fldChar w:fldCharType="separate"/>
      </w:r>
      <w:r>
        <w:rPr>
          <w:rFonts w:ascii="Arial" w:hAnsi="Arial" w:cs="Arial"/>
          <w:noProof/>
          <w:sz w:val="24"/>
          <w:szCs w:val="24"/>
          <w:vertAlign w:val="superscript"/>
        </w:rPr>
        <w:t>22</w:t>
      </w:r>
      <w:r>
        <w:rPr>
          <w:rFonts w:ascii="Arial" w:hAnsi="Arial" w:cs="Arial"/>
          <w:sz w:val="24"/>
          <w:szCs w:val="24"/>
        </w:rPr>
        <w:fldChar w:fldCharType="end"/>
      </w:r>
      <w:r>
        <w:rPr>
          <w:rFonts w:ascii="Arial" w:hAnsi="Arial" w:cs="Arial"/>
          <w:sz w:val="24"/>
          <w:szCs w:val="24"/>
        </w:rPr>
        <w:t xml:space="preserve"> to include the recording of both LNMs and TDs in all cases in a deliberate move away from TNM 8. Pathologists did not feel that adding TDs and LNMs together was the appropriate action either but instead recommended that the precise number of TDs should be recorded in the pathology report in order to use this information to better understand their prognostic effect through future research.</w:t>
      </w:r>
    </w:p>
    <w:p w14:paraId="5968DFCF"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The participants felt that there were significant problems with an unclear and poorly reproducible definition of TDs in current staging, and we would strongly recommend that this needs further refinement in the next edition of TNM. It may be that some precision needs to be sacrificed </w:t>
      </w:r>
      <w:proofErr w:type="gramStart"/>
      <w:r>
        <w:rPr>
          <w:rFonts w:ascii="Arial" w:hAnsi="Arial" w:cs="Arial"/>
          <w:sz w:val="24"/>
          <w:szCs w:val="24"/>
        </w:rPr>
        <w:t>in order to</w:t>
      </w:r>
      <w:proofErr w:type="gramEnd"/>
      <w:r>
        <w:rPr>
          <w:rFonts w:ascii="Arial" w:hAnsi="Arial" w:cs="Arial"/>
          <w:sz w:val="24"/>
          <w:szCs w:val="24"/>
        </w:rPr>
        <w:t xml:space="preserve"> reduce complexity and improve agreement and the pathologists in this study felt that this would be preferable. Currently poor reproducibility is likely to be resulting in patients being placed into a multitude of staging categories and receiving different treatment strategies as a result. It is of paramount importance that staging is reproducible in order to accurately stratify patients in clinical trials and population </w:t>
      </w:r>
      <w:proofErr w:type="gramStart"/>
      <w:r>
        <w:rPr>
          <w:rFonts w:ascii="Arial" w:hAnsi="Arial" w:cs="Arial"/>
          <w:sz w:val="24"/>
          <w:szCs w:val="24"/>
        </w:rPr>
        <w:t>datasets, and</w:t>
      </w:r>
      <w:proofErr w:type="gramEnd"/>
      <w:r>
        <w:rPr>
          <w:rFonts w:ascii="Arial" w:hAnsi="Arial" w:cs="Arial"/>
          <w:sz w:val="24"/>
          <w:szCs w:val="24"/>
        </w:rPr>
        <w:t xml:space="preserve"> determine the best treatment for each homogenous group. It is essential therefore that clinical trial protocols include additional guidance for pathologists reporting trial specimens to ensure that TDs are reported reproducibly across different trial centres.</w:t>
      </w:r>
    </w:p>
    <w:p w14:paraId="275EDCDF"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lastRenderedPageBreak/>
        <w:t xml:space="preserve">The main limitation of this study is the relatively small number of participants. In addition, although 8 different countries were represented, these were all developed countries which may have led to a lack of diversity in the opinions represented in this study. Our approach of predominantly inviting experts who had previously published on this subject was the limiting factor in both the numbers involved and in geography and we would defend this as we feel it has led to a true expert consensus. </w:t>
      </w:r>
    </w:p>
    <w:p w14:paraId="7D4C143A"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 xml:space="preserve">There are difficulties with making any major changes to the TNM system. This method of staging is well accepted due to its simplicity and consistency across multiple tumour types. However, by limiting ourselves to only three categories, T, N and M, we will miss important prognostic information. TDs appear to be more important in predicting prognosis than LNMs, but due to the limitations of only having three categories, there has been an attempt to squeeze them into the </w:t>
      </w:r>
      <w:proofErr w:type="spellStart"/>
      <w:r>
        <w:rPr>
          <w:rFonts w:ascii="Arial" w:hAnsi="Arial" w:cs="Arial"/>
          <w:sz w:val="24"/>
          <w:szCs w:val="24"/>
        </w:rPr>
        <w:t>pN</w:t>
      </w:r>
      <w:proofErr w:type="spellEnd"/>
      <w:r>
        <w:rPr>
          <w:rFonts w:ascii="Arial" w:hAnsi="Arial" w:cs="Arial"/>
          <w:sz w:val="24"/>
          <w:szCs w:val="24"/>
        </w:rPr>
        <w:t xml:space="preserve"> category where they do not really belong, as an easy solution. This has led to controversy but resolving the problem will not be straightforward. Abandoning the well-established TNM system in favour of a more complex multifactorial model for prediction of prognosis could potentially lead to confusion but keeping a system which is not fit for purpose on the grounds of simplicity and historic importance is also not ideal. The pathology community (and indeed the radiological, </w:t>
      </w:r>
      <w:proofErr w:type="gramStart"/>
      <w:r>
        <w:rPr>
          <w:rFonts w:ascii="Arial" w:hAnsi="Arial" w:cs="Arial"/>
          <w:sz w:val="24"/>
          <w:szCs w:val="24"/>
        </w:rPr>
        <w:t>oncological</w:t>
      </w:r>
      <w:proofErr w:type="gramEnd"/>
      <w:r>
        <w:rPr>
          <w:rFonts w:ascii="Arial" w:hAnsi="Arial" w:cs="Arial"/>
          <w:sz w:val="24"/>
          <w:szCs w:val="24"/>
        </w:rPr>
        <w:t xml:space="preserve"> and surgical communities by extension) need to carefully consider the future direction of staging in colorectal cancer. </w:t>
      </w:r>
    </w:p>
    <w:p w14:paraId="6AB0DE44" w14:textId="095C928E" w:rsidR="00992F8E" w:rsidRDefault="00992F8E" w:rsidP="00992F8E">
      <w:pPr>
        <w:spacing w:line="480" w:lineRule="auto"/>
        <w:jc w:val="both"/>
        <w:rPr>
          <w:rFonts w:ascii="Arial" w:hAnsi="Arial" w:cs="Arial"/>
          <w:sz w:val="24"/>
          <w:szCs w:val="24"/>
        </w:rPr>
      </w:pPr>
    </w:p>
    <w:p w14:paraId="3F6F05D0" w14:textId="213EC731" w:rsidR="00421735" w:rsidRDefault="00421735" w:rsidP="00992F8E">
      <w:pPr>
        <w:spacing w:line="480" w:lineRule="auto"/>
        <w:jc w:val="both"/>
        <w:rPr>
          <w:rFonts w:ascii="Arial" w:hAnsi="Arial" w:cs="Arial"/>
          <w:sz w:val="24"/>
          <w:szCs w:val="24"/>
        </w:rPr>
      </w:pPr>
    </w:p>
    <w:p w14:paraId="006C7959" w14:textId="5C77F6F0" w:rsidR="00421735" w:rsidRDefault="00421735" w:rsidP="00992F8E">
      <w:pPr>
        <w:spacing w:line="480" w:lineRule="auto"/>
        <w:jc w:val="both"/>
        <w:rPr>
          <w:rFonts w:ascii="Arial" w:hAnsi="Arial" w:cs="Arial"/>
          <w:sz w:val="24"/>
          <w:szCs w:val="24"/>
        </w:rPr>
      </w:pPr>
    </w:p>
    <w:p w14:paraId="01494A75" w14:textId="73BA0D58" w:rsidR="00421735" w:rsidRDefault="00421735" w:rsidP="00992F8E">
      <w:pPr>
        <w:spacing w:line="480" w:lineRule="auto"/>
        <w:jc w:val="both"/>
        <w:rPr>
          <w:rFonts w:ascii="Arial" w:hAnsi="Arial" w:cs="Arial"/>
          <w:sz w:val="24"/>
          <w:szCs w:val="24"/>
        </w:rPr>
      </w:pPr>
    </w:p>
    <w:p w14:paraId="439ED491" w14:textId="77777777" w:rsidR="00421735" w:rsidRDefault="00421735" w:rsidP="00992F8E">
      <w:pPr>
        <w:spacing w:line="480" w:lineRule="auto"/>
        <w:jc w:val="both"/>
        <w:rPr>
          <w:rFonts w:ascii="Arial" w:hAnsi="Arial" w:cs="Arial"/>
          <w:sz w:val="24"/>
          <w:szCs w:val="24"/>
        </w:rPr>
      </w:pPr>
    </w:p>
    <w:p w14:paraId="1E4BD7CF" w14:textId="77777777" w:rsidR="00992F8E" w:rsidRDefault="00992F8E" w:rsidP="00992F8E">
      <w:pPr>
        <w:spacing w:line="480" w:lineRule="auto"/>
        <w:jc w:val="both"/>
        <w:rPr>
          <w:rFonts w:ascii="Arial" w:hAnsi="Arial" w:cs="Arial"/>
          <w:b/>
          <w:bCs/>
          <w:sz w:val="24"/>
          <w:szCs w:val="24"/>
        </w:rPr>
      </w:pPr>
      <w:r>
        <w:rPr>
          <w:rFonts w:ascii="Arial" w:hAnsi="Arial" w:cs="Arial"/>
          <w:b/>
          <w:bCs/>
          <w:sz w:val="24"/>
          <w:szCs w:val="24"/>
        </w:rPr>
        <w:lastRenderedPageBreak/>
        <w:t xml:space="preserve">Acknowledgements and Conflicts of Interest </w:t>
      </w:r>
    </w:p>
    <w:p w14:paraId="5EA2D266"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This study was partly financed by a grant of the Dutch Cancer Society (KWF 12640).</w:t>
      </w:r>
    </w:p>
    <w:p w14:paraId="276E87B8" w14:textId="77777777" w:rsidR="00992F8E" w:rsidRDefault="00992F8E" w:rsidP="00992F8E">
      <w:pPr>
        <w:spacing w:line="480" w:lineRule="auto"/>
        <w:jc w:val="both"/>
        <w:rPr>
          <w:rFonts w:ascii="Arial" w:hAnsi="Arial" w:cs="Arial"/>
          <w:sz w:val="24"/>
          <w:szCs w:val="24"/>
        </w:rPr>
      </w:pPr>
      <w:r>
        <w:rPr>
          <w:rFonts w:ascii="Arial" w:hAnsi="Arial" w:cs="Arial"/>
          <w:sz w:val="24"/>
          <w:szCs w:val="24"/>
        </w:rPr>
        <w:t>NPW is funded by Yorkshire Cancer Research.</w:t>
      </w:r>
    </w:p>
    <w:p w14:paraId="56597090" w14:textId="77777777" w:rsidR="00992F8E" w:rsidRDefault="00992F8E" w:rsidP="00992F8E">
      <w:pPr>
        <w:rPr>
          <w:rFonts w:ascii="Arial" w:hAnsi="Arial" w:cs="Arial"/>
          <w:sz w:val="24"/>
          <w:szCs w:val="24"/>
        </w:rPr>
      </w:pPr>
      <w:r>
        <w:rPr>
          <w:rFonts w:ascii="Arial" w:hAnsi="Arial" w:cs="Arial"/>
          <w:sz w:val="24"/>
          <w:szCs w:val="24"/>
        </w:rPr>
        <w:br w:type="page"/>
      </w:r>
    </w:p>
    <w:p w14:paraId="40403288" w14:textId="77777777" w:rsidR="00992F8E" w:rsidRDefault="00992F8E" w:rsidP="00992F8E">
      <w:pPr>
        <w:spacing w:line="240" w:lineRule="auto"/>
        <w:jc w:val="both"/>
        <w:rPr>
          <w:rFonts w:ascii="Arial" w:hAnsi="Arial" w:cs="Arial"/>
          <w:b/>
          <w:bCs/>
          <w:sz w:val="24"/>
          <w:szCs w:val="24"/>
        </w:rPr>
      </w:pPr>
      <w:r>
        <w:rPr>
          <w:rFonts w:ascii="Arial" w:hAnsi="Arial" w:cs="Arial"/>
          <w:b/>
          <w:bCs/>
          <w:sz w:val="24"/>
          <w:szCs w:val="24"/>
        </w:rPr>
        <w:lastRenderedPageBreak/>
        <w:t>References</w:t>
      </w:r>
    </w:p>
    <w:p w14:paraId="79DF6CA9" w14:textId="77777777" w:rsidR="00992F8E" w:rsidRDefault="00992F8E" w:rsidP="00992F8E">
      <w:pPr>
        <w:spacing w:line="240" w:lineRule="auto"/>
        <w:jc w:val="both"/>
        <w:rPr>
          <w:rFonts w:ascii="Arial" w:hAnsi="Arial" w:cs="Arial"/>
          <w:b/>
          <w:bCs/>
          <w:sz w:val="24"/>
          <w:szCs w:val="24"/>
        </w:rPr>
      </w:pPr>
    </w:p>
    <w:p w14:paraId="0B5886C2"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b/>
          <w:bCs/>
          <w:sz w:val="24"/>
          <w:szCs w:val="24"/>
        </w:rPr>
        <w:fldChar w:fldCharType="begin" w:fldLock="1"/>
      </w:r>
      <w:r>
        <w:rPr>
          <w:rFonts w:ascii="Arial" w:hAnsi="Arial" w:cs="Arial"/>
          <w:b/>
          <w:bCs/>
          <w:sz w:val="24"/>
          <w:szCs w:val="24"/>
          <w:lang w:val="nl-NL"/>
        </w:rPr>
        <w:instrText xml:space="preserve">ADDIN Mendeley Bibliography CSL_BIBLIOGRAPHY </w:instrText>
      </w:r>
      <w:r>
        <w:rPr>
          <w:rFonts w:ascii="Arial" w:hAnsi="Arial" w:cs="Arial"/>
          <w:b/>
          <w:bCs/>
          <w:sz w:val="24"/>
          <w:szCs w:val="24"/>
        </w:rPr>
        <w:fldChar w:fldCharType="separate"/>
      </w:r>
      <w:r>
        <w:rPr>
          <w:rFonts w:ascii="Arial" w:hAnsi="Arial" w:cs="Arial"/>
          <w:noProof/>
          <w:sz w:val="24"/>
          <w:szCs w:val="24"/>
        </w:rPr>
        <w:t>1.</w:t>
      </w:r>
      <w:r>
        <w:rPr>
          <w:rFonts w:ascii="Arial" w:hAnsi="Arial" w:cs="Arial"/>
          <w:noProof/>
          <w:sz w:val="24"/>
          <w:szCs w:val="24"/>
        </w:rPr>
        <w:tab/>
        <w:t xml:space="preserve">Gabriel, W. B., Dukes, C., Bussey, H. J. R. &amp; et al. Lymphatic spread in cancer of the rectum. </w:t>
      </w:r>
      <w:r>
        <w:rPr>
          <w:rFonts w:ascii="Arial" w:hAnsi="Arial" w:cs="Arial"/>
          <w:i/>
          <w:iCs/>
          <w:noProof/>
          <w:sz w:val="24"/>
          <w:szCs w:val="24"/>
        </w:rPr>
        <w:t>Br. J. Surg.</w:t>
      </w:r>
      <w:r>
        <w:rPr>
          <w:rFonts w:ascii="Arial" w:hAnsi="Arial" w:cs="Arial"/>
          <w:noProof/>
          <w:sz w:val="24"/>
          <w:szCs w:val="24"/>
        </w:rPr>
        <w:t xml:space="preserve"> </w:t>
      </w:r>
      <w:r>
        <w:rPr>
          <w:rFonts w:ascii="Arial" w:hAnsi="Arial" w:cs="Arial"/>
          <w:b/>
          <w:bCs/>
          <w:noProof/>
          <w:sz w:val="24"/>
          <w:szCs w:val="24"/>
        </w:rPr>
        <w:t>1</w:t>
      </w:r>
      <w:r>
        <w:rPr>
          <w:rFonts w:ascii="Arial" w:hAnsi="Arial" w:cs="Arial"/>
          <w:noProof/>
          <w:sz w:val="24"/>
          <w:szCs w:val="24"/>
        </w:rPr>
        <w:t>, 395 (1935).</w:t>
      </w:r>
    </w:p>
    <w:p w14:paraId="5E368196"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2.</w:t>
      </w:r>
      <w:r>
        <w:rPr>
          <w:rFonts w:ascii="Arial" w:hAnsi="Arial" w:cs="Arial"/>
          <w:noProof/>
          <w:sz w:val="24"/>
          <w:szCs w:val="24"/>
        </w:rPr>
        <w:tab/>
        <w:t xml:space="preserve">Goldstein, N. S. &amp; Turner, J. R. Pericolonic tumor deposits in patients with {T}3N+{M}0 colon adenocarcinomas. </w:t>
      </w:r>
      <w:r>
        <w:rPr>
          <w:rFonts w:ascii="Arial" w:hAnsi="Arial" w:cs="Arial"/>
          <w:i/>
          <w:iCs/>
          <w:noProof/>
          <w:sz w:val="24"/>
          <w:szCs w:val="24"/>
        </w:rPr>
        <w:t>Cancer</w:t>
      </w:r>
      <w:r>
        <w:rPr>
          <w:rFonts w:ascii="Arial" w:hAnsi="Arial" w:cs="Arial"/>
          <w:noProof/>
          <w:sz w:val="24"/>
          <w:szCs w:val="24"/>
        </w:rPr>
        <w:t xml:space="preserve"> </w:t>
      </w:r>
      <w:r>
        <w:rPr>
          <w:rFonts w:ascii="Arial" w:hAnsi="Arial" w:cs="Arial"/>
          <w:b/>
          <w:bCs/>
          <w:noProof/>
          <w:sz w:val="24"/>
          <w:szCs w:val="24"/>
        </w:rPr>
        <w:t>88</w:t>
      </w:r>
      <w:r>
        <w:rPr>
          <w:rFonts w:ascii="Arial" w:hAnsi="Arial" w:cs="Arial"/>
          <w:noProof/>
          <w:sz w:val="24"/>
          <w:szCs w:val="24"/>
        </w:rPr>
        <w:t>, 2228–2238 (2000).</w:t>
      </w:r>
    </w:p>
    <w:p w14:paraId="6C1651C6"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3.</w:t>
      </w:r>
      <w:r>
        <w:rPr>
          <w:rFonts w:ascii="Arial" w:hAnsi="Arial" w:cs="Arial"/>
          <w:noProof/>
          <w:sz w:val="24"/>
          <w:szCs w:val="24"/>
        </w:rPr>
        <w:tab/>
        <w:t xml:space="preserve">Ratto, C. </w:t>
      </w:r>
      <w:r>
        <w:rPr>
          <w:rFonts w:ascii="Arial" w:hAnsi="Arial" w:cs="Arial"/>
          <w:i/>
          <w:iCs/>
          <w:noProof/>
          <w:sz w:val="24"/>
          <w:szCs w:val="24"/>
        </w:rPr>
        <w:t>et al.</w:t>
      </w:r>
      <w:r>
        <w:rPr>
          <w:rFonts w:ascii="Arial" w:hAnsi="Arial" w:cs="Arial"/>
          <w:noProof/>
          <w:sz w:val="24"/>
          <w:szCs w:val="24"/>
        </w:rPr>
        <w:t xml:space="preserve"> Mesorectal Microfoci Adversely Affect the Prognosis of Patients With Rectal Cancer. </w:t>
      </w:r>
      <w:r>
        <w:rPr>
          <w:rFonts w:ascii="Arial" w:hAnsi="Arial" w:cs="Arial"/>
          <w:i/>
          <w:iCs/>
          <w:noProof/>
          <w:sz w:val="24"/>
          <w:szCs w:val="24"/>
        </w:rPr>
        <w:t>Cancer</w:t>
      </w:r>
      <w:r>
        <w:rPr>
          <w:rFonts w:ascii="Arial" w:hAnsi="Arial" w:cs="Arial"/>
          <w:noProof/>
          <w:sz w:val="24"/>
          <w:szCs w:val="24"/>
        </w:rPr>
        <w:t xml:space="preserve"> </w:t>
      </w:r>
      <w:r>
        <w:rPr>
          <w:rFonts w:ascii="Arial" w:hAnsi="Arial" w:cs="Arial"/>
          <w:b/>
          <w:bCs/>
          <w:noProof/>
          <w:sz w:val="24"/>
          <w:szCs w:val="24"/>
        </w:rPr>
        <w:t>45</w:t>
      </w:r>
      <w:r>
        <w:rPr>
          <w:rFonts w:ascii="Arial" w:hAnsi="Arial" w:cs="Arial"/>
          <w:noProof/>
          <w:sz w:val="24"/>
          <w:szCs w:val="24"/>
        </w:rPr>
        <w:t>, 733–742 (2002).</w:t>
      </w:r>
    </w:p>
    <w:p w14:paraId="2F4C038E"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4.</w:t>
      </w:r>
      <w:r>
        <w:rPr>
          <w:rFonts w:ascii="Arial" w:hAnsi="Arial" w:cs="Arial"/>
          <w:noProof/>
          <w:sz w:val="24"/>
          <w:szCs w:val="24"/>
        </w:rPr>
        <w:tab/>
        <w:t xml:space="preserve">Ueno, H., Mochizuki, H. &amp; Tamakuma, S. Prognostic significance of extranodal microscopic foci discontinuous with primary lesion in rectal cancer. </w:t>
      </w:r>
      <w:r>
        <w:rPr>
          <w:rFonts w:ascii="Arial" w:hAnsi="Arial" w:cs="Arial"/>
          <w:i/>
          <w:iCs/>
          <w:noProof/>
          <w:sz w:val="24"/>
          <w:szCs w:val="24"/>
        </w:rPr>
        <w:t>Dis. Colon Rectum</w:t>
      </w:r>
      <w:r>
        <w:rPr>
          <w:rFonts w:ascii="Arial" w:hAnsi="Arial" w:cs="Arial"/>
          <w:noProof/>
          <w:sz w:val="24"/>
          <w:szCs w:val="24"/>
        </w:rPr>
        <w:t xml:space="preserve"> </w:t>
      </w:r>
      <w:r>
        <w:rPr>
          <w:rFonts w:ascii="Arial" w:hAnsi="Arial" w:cs="Arial"/>
          <w:b/>
          <w:bCs/>
          <w:noProof/>
          <w:sz w:val="24"/>
          <w:szCs w:val="24"/>
        </w:rPr>
        <w:t>41</w:t>
      </w:r>
      <w:r>
        <w:rPr>
          <w:rFonts w:ascii="Arial" w:hAnsi="Arial" w:cs="Arial"/>
          <w:noProof/>
          <w:sz w:val="24"/>
          <w:szCs w:val="24"/>
        </w:rPr>
        <w:t>, 55–61 (1998).</w:t>
      </w:r>
    </w:p>
    <w:p w14:paraId="12312459"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5.</w:t>
      </w:r>
      <w:r>
        <w:rPr>
          <w:rFonts w:ascii="Arial" w:hAnsi="Arial" w:cs="Arial"/>
          <w:noProof/>
          <w:sz w:val="24"/>
          <w:szCs w:val="24"/>
        </w:rPr>
        <w:tab/>
        <w:t xml:space="preserve">Prabhudesai, A., Arif, S., Finlayson, C. J. &amp; Kumar, D. Impact of Microscopic Extranodal Tumor Deposits on the Outcome of Patients with Rectal Cancer. </w:t>
      </w:r>
      <w:r>
        <w:rPr>
          <w:rFonts w:ascii="Arial" w:hAnsi="Arial" w:cs="Arial"/>
          <w:i/>
          <w:iCs/>
          <w:noProof/>
          <w:sz w:val="24"/>
          <w:szCs w:val="24"/>
        </w:rPr>
        <w:t>Dis. Colon Rectum</w:t>
      </w:r>
      <w:r>
        <w:rPr>
          <w:rFonts w:ascii="Arial" w:hAnsi="Arial" w:cs="Arial"/>
          <w:noProof/>
          <w:sz w:val="24"/>
          <w:szCs w:val="24"/>
        </w:rPr>
        <w:t xml:space="preserve"> </w:t>
      </w:r>
      <w:r>
        <w:rPr>
          <w:rFonts w:ascii="Arial" w:hAnsi="Arial" w:cs="Arial"/>
          <w:b/>
          <w:bCs/>
          <w:noProof/>
          <w:sz w:val="24"/>
          <w:szCs w:val="24"/>
        </w:rPr>
        <w:t>46</w:t>
      </w:r>
      <w:r>
        <w:rPr>
          <w:rFonts w:ascii="Arial" w:hAnsi="Arial" w:cs="Arial"/>
          <w:noProof/>
          <w:sz w:val="24"/>
          <w:szCs w:val="24"/>
        </w:rPr>
        <w:t>, 1531–1537 (2003).</w:t>
      </w:r>
    </w:p>
    <w:p w14:paraId="024C21EF"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6.</w:t>
      </w:r>
      <w:r>
        <w:rPr>
          <w:rFonts w:ascii="Arial" w:hAnsi="Arial" w:cs="Arial"/>
          <w:noProof/>
          <w:sz w:val="24"/>
          <w:szCs w:val="24"/>
        </w:rPr>
        <w:tab/>
        <w:t xml:space="preserve">Sobin, L. H. &amp; Fleming, I. D. TNM classification of malignant tumors, fifth edition (1997). </w:t>
      </w:r>
      <w:r>
        <w:rPr>
          <w:rFonts w:ascii="Arial" w:hAnsi="Arial" w:cs="Arial"/>
          <w:i/>
          <w:iCs/>
          <w:noProof/>
          <w:sz w:val="24"/>
          <w:szCs w:val="24"/>
        </w:rPr>
        <w:t>Cancer</w:t>
      </w:r>
      <w:r>
        <w:rPr>
          <w:rFonts w:ascii="Arial" w:hAnsi="Arial" w:cs="Arial"/>
          <w:noProof/>
          <w:sz w:val="24"/>
          <w:szCs w:val="24"/>
        </w:rPr>
        <w:t xml:space="preserve"> </w:t>
      </w:r>
      <w:r>
        <w:rPr>
          <w:rFonts w:ascii="Arial" w:hAnsi="Arial" w:cs="Arial"/>
          <w:b/>
          <w:bCs/>
          <w:noProof/>
          <w:sz w:val="24"/>
          <w:szCs w:val="24"/>
        </w:rPr>
        <w:t>80</w:t>
      </w:r>
      <w:r>
        <w:rPr>
          <w:rFonts w:ascii="Arial" w:hAnsi="Arial" w:cs="Arial"/>
          <w:noProof/>
          <w:sz w:val="24"/>
          <w:szCs w:val="24"/>
        </w:rPr>
        <w:t>, 1803–1804 (1997).</w:t>
      </w:r>
    </w:p>
    <w:p w14:paraId="3DBE78C2"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7.</w:t>
      </w:r>
      <w:r>
        <w:rPr>
          <w:rFonts w:ascii="Arial" w:hAnsi="Arial" w:cs="Arial"/>
          <w:noProof/>
          <w:sz w:val="24"/>
          <w:szCs w:val="24"/>
        </w:rPr>
        <w:tab/>
        <w:t>Sobin LH, W. C. (eds). International Union Against Cancer TNM Classification of Malig- nant Tumours (ed 6). Hoboken, NJ, John Wiley &amp; Sons. (2002).</w:t>
      </w:r>
    </w:p>
    <w:p w14:paraId="4F2B8764"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8.</w:t>
      </w:r>
      <w:r>
        <w:rPr>
          <w:rFonts w:ascii="Arial" w:hAnsi="Arial" w:cs="Arial"/>
          <w:noProof/>
          <w:sz w:val="24"/>
          <w:szCs w:val="24"/>
        </w:rPr>
        <w:tab/>
        <w:t xml:space="preserve">Nagtegaal, I. D. </w:t>
      </w:r>
      <w:r>
        <w:rPr>
          <w:rFonts w:ascii="Arial" w:hAnsi="Arial" w:cs="Arial"/>
          <w:i/>
          <w:iCs/>
          <w:noProof/>
          <w:sz w:val="24"/>
          <w:szCs w:val="24"/>
        </w:rPr>
        <w:t>et al.</w:t>
      </w:r>
      <w:r>
        <w:rPr>
          <w:rFonts w:ascii="Arial" w:hAnsi="Arial" w:cs="Arial"/>
          <w:noProof/>
          <w:sz w:val="24"/>
          <w:szCs w:val="24"/>
        </w:rPr>
        <w:t xml:space="preserve"> Lymph Nodes, Tumor Deposits, and TNM: Are We Getting Better? </w:t>
      </w:r>
      <w:r>
        <w:rPr>
          <w:rFonts w:ascii="Arial" w:hAnsi="Arial" w:cs="Arial"/>
          <w:i/>
          <w:iCs/>
          <w:noProof/>
          <w:sz w:val="24"/>
          <w:szCs w:val="24"/>
        </w:rPr>
        <w:t>J. Clin. Oncol.</w:t>
      </w:r>
      <w:r>
        <w:rPr>
          <w:rFonts w:ascii="Arial" w:hAnsi="Arial" w:cs="Arial"/>
          <w:noProof/>
          <w:sz w:val="24"/>
          <w:szCs w:val="24"/>
        </w:rPr>
        <w:t xml:space="preserve"> </w:t>
      </w:r>
      <w:r>
        <w:rPr>
          <w:rFonts w:ascii="Arial" w:hAnsi="Arial" w:cs="Arial"/>
          <w:b/>
          <w:bCs/>
          <w:noProof/>
          <w:sz w:val="24"/>
          <w:szCs w:val="24"/>
        </w:rPr>
        <w:t>29</w:t>
      </w:r>
      <w:r>
        <w:rPr>
          <w:rFonts w:ascii="Arial" w:hAnsi="Arial" w:cs="Arial"/>
          <w:noProof/>
          <w:sz w:val="24"/>
          <w:szCs w:val="24"/>
        </w:rPr>
        <w:t>, 2487–2492 (2011).</w:t>
      </w:r>
    </w:p>
    <w:p w14:paraId="53F5DACC"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9.</w:t>
      </w:r>
      <w:r>
        <w:rPr>
          <w:rFonts w:ascii="Arial" w:hAnsi="Arial" w:cs="Arial"/>
          <w:noProof/>
          <w:sz w:val="24"/>
          <w:szCs w:val="24"/>
        </w:rPr>
        <w:tab/>
        <w:t xml:space="preserve">Sobin, L. H., Gospodarowicz, M. K. &amp; Wittekind, C. </w:t>
      </w:r>
      <w:r>
        <w:rPr>
          <w:rFonts w:ascii="Arial" w:hAnsi="Arial" w:cs="Arial"/>
          <w:i/>
          <w:iCs/>
          <w:noProof/>
          <w:sz w:val="24"/>
          <w:szCs w:val="24"/>
        </w:rPr>
        <w:t>TNM Classification of Malignant Tumours</w:t>
      </w:r>
      <w:r>
        <w:rPr>
          <w:rFonts w:ascii="Arial" w:hAnsi="Arial" w:cs="Arial"/>
          <w:noProof/>
          <w:sz w:val="24"/>
          <w:szCs w:val="24"/>
        </w:rPr>
        <w:t>. (Wiley-Blackwell, 2016).</w:t>
      </w:r>
    </w:p>
    <w:p w14:paraId="19D7AB4A"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10.</w:t>
      </w:r>
      <w:r>
        <w:rPr>
          <w:rFonts w:ascii="Arial" w:hAnsi="Arial" w:cs="Arial"/>
          <w:noProof/>
          <w:sz w:val="24"/>
          <w:szCs w:val="24"/>
        </w:rPr>
        <w:tab/>
        <w:t xml:space="preserve">Sobin LH, Gospodarowicz M, W. C. &amp; (eds). </w:t>
      </w:r>
      <w:r>
        <w:rPr>
          <w:rFonts w:ascii="Arial" w:hAnsi="Arial" w:cs="Arial"/>
          <w:i/>
          <w:iCs/>
          <w:noProof/>
          <w:sz w:val="24"/>
          <w:szCs w:val="24"/>
        </w:rPr>
        <w:t>International Union Against Cancer TNM Clas- sification of Malignant Tumours (ed 7). Hoboken, NJ, Wiley-Blackwell</w:t>
      </w:r>
      <w:r>
        <w:rPr>
          <w:rFonts w:ascii="Arial" w:hAnsi="Arial" w:cs="Arial"/>
          <w:noProof/>
          <w:sz w:val="24"/>
          <w:szCs w:val="24"/>
        </w:rPr>
        <w:t>. (2009).</w:t>
      </w:r>
    </w:p>
    <w:p w14:paraId="01D2EDEF"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11.</w:t>
      </w:r>
      <w:r>
        <w:rPr>
          <w:rFonts w:ascii="Arial" w:hAnsi="Arial" w:cs="Arial"/>
          <w:noProof/>
          <w:sz w:val="24"/>
          <w:szCs w:val="24"/>
        </w:rPr>
        <w:tab/>
        <w:t xml:space="preserve">Ueno, H. </w:t>
      </w:r>
      <w:r>
        <w:rPr>
          <w:rFonts w:ascii="Arial" w:hAnsi="Arial" w:cs="Arial"/>
          <w:i/>
          <w:iCs/>
          <w:noProof/>
          <w:sz w:val="24"/>
          <w:szCs w:val="24"/>
        </w:rPr>
        <w:t>et al.</w:t>
      </w:r>
      <w:r>
        <w:rPr>
          <w:rFonts w:ascii="Arial" w:hAnsi="Arial" w:cs="Arial"/>
          <w:noProof/>
          <w:sz w:val="24"/>
          <w:szCs w:val="24"/>
        </w:rPr>
        <w:t xml:space="preserve"> Multicenter study for optimal categorization of extramural tumor deposits for colorectal cancer staging. </w:t>
      </w:r>
      <w:r>
        <w:rPr>
          <w:rFonts w:ascii="Arial" w:hAnsi="Arial" w:cs="Arial"/>
          <w:i/>
          <w:iCs/>
          <w:noProof/>
          <w:sz w:val="24"/>
          <w:szCs w:val="24"/>
        </w:rPr>
        <w:t>Ann. Surg.</w:t>
      </w:r>
      <w:r>
        <w:rPr>
          <w:rFonts w:ascii="Arial" w:hAnsi="Arial" w:cs="Arial"/>
          <w:noProof/>
          <w:sz w:val="24"/>
          <w:szCs w:val="24"/>
        </w:rPr>
        <w:t xml:space="preserve"> </w:t>
      </w:r>
      <w:r>
        <w:rPr>
          <w:rFonts w:ascii="Arial" w:hAnsi="Arial" w:cs="Arial"/>
          <w:b/>
          <w:bCs/>
          <w:noProof/>
          <w:sz w:val="24"/>
          <w:szCs w:val="24"/>
        </w:rPr>
        <w:t>255</w:t>
      </w:r>
      <w:r>
        <w:rPr>
          <w:rFonts w:ascii="Arial" w:hAnsi="Arial" w:cs="Arial"/>
          <w:noProof/>
          <w:sz w:val="24"/>
          <w:szCs w:val="24"/>
        </w:rPr>
        <w:t>, 739–46 (2012).</w:t>
      </w:r>
    </w:p>
    <w:p w14:paraId="13FE9835"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12.</w:t>
      </w:r>
      <w:r>
        <w:rPr>
          <w:rFonts w:ascii="Arial" w:hAnsi="Arial" w:cs="Arial"/>
          <w:noProof/>
          <w:sz w:val="24"/>
          <w:szCs w:val="24"/>
        </w:rPr>
        <w:tab/>
        <w:t xml:space="preserve">Puppa, G. Enhanced pathologic analysis for pericolonic tumor deposits: is it worth it? </w:t>
      </w:r>
      <w:r>
        <w:rPr>
          <w:rFonts w:ascii="Arial" w:hAnsi="Arial" w:cs="Arial"/>
          <w:i/>
          <w:iCs/>
          <w:noProof/>
          <w:sz w:val="24"/>
          <w:szCs w:val="24"/>
        </w:rPr>
        <w:t>Am J Clin Pathol</w:t>
      </w:r>
      <w:r>
        <w:rPr>
          <w:rFonts w:ascii="Arial" w:hAnsi="Arial" w:cs="Arial"/>
          <w:noProof/>
          <w:sz w:val="24"/>
          <w:szCs w:val="24"/>
        </w:rPr>
        <w:t xml:space="preserve"> </w:t>
      </w:r>
      <w:r>
        <w:rPr>
          <w:rFonts w:ascii="Arial" w:hAnsi="Arial" w:cs="Arial"/>
          <w:b/>
          <w:bCs/>
          <w:noProof/>
          <w:sz w:val="24"/>
          <w:szCs w:val="24"/>
        </w:rPr>
        <w:t>134</w:t>
      </w:r>
      <w:r>
        <w:rPr>
          <w:rFonts w:ascii="Arial" w:hAnsi="Arial" w:cs="Arial"/>
          <w:noProof/>
          <w:sz w:val="24"/>
          <w:szCs w:val="24"/>
        </w:rPr>
        <w:t>, 1019–1021 (2010).</w:t>
      </w:r>
    </w:p>
    <w:p w14:paraId="2921ED71"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13.</w:t>
      </w:r>
      <w:r>
        <w:rPr>
          <w:rFonts w:ascii="Arial" w:hAnsi="Arial" w:cs="Arial"/>
          <w:noProof/>
          <w:sz w:val="24"/>
          <w:szCs w:val="24"/>
        </w:rPr>
        <w:tab/>
        <w:t xml:space="preserve">Nagtegaal, I. D. </w:t>
      </w:r>
      <w:r>
        <w:rPr>
          <w:rFonts w:ascii="Arial" w:hAnsi="Arial" w:cs="Arial"/>
          <w:i/>
          <w:iCs/>
          <w:noProof/>
          <w:sz w:val="24"/>
          <w:szCs w:val="24"/>
        </w:rPr>
        <w:t>et al.</w:t>
      </w:r>
      <w:r>
        <w:rPr>
          <w:rFonts w:ascii="Arial" w:hAnsi="Arial" w:cs="Arial"/>
          <w:noProof/>
          <w:sz w:val="24"/>
          <w:szCs w:val="24"/>
        </w:rPr>
        <w:t xml:space="preserve"> Tumor Deposits in Colorectal Cancer: Improving the Value of Modern Staging?A Systematic Review and Meta-Analysis. </w:t>
      </w:r>
      <w:r>
        <w:rPr>
          <w:rFonts w:ascii="Arial" w:hAnsi="Arial" w:cs="Arial"/>
          <w:i/>
          <w:iCs/>
          <w:noProof/>
          <w:sz w:val="24"/>
          <w:szCs w:val="24"/>
        </w:rPr>
        <w:t>J. Clin. Oncol.</w:t>
      </w:r>
      <w:r>
        <w:rPr>
          <w:rFonts w:ascii="Arial" w:hAnsi="Arial" w:cs="Arial"/>
          <w:noProof/>
          <w:sz w:val="24"/>
          <w:szCs w:val="24"/>
        </w:rPr>
        <w:t xml:space="preserve"> </w:t>
      </w:r>
      <w:r>
        <w:rPr>
          <w:rFonts w:ascii="Arial" w:hAnsi="Arial" w:cs="Arial"/>
          <w:b/>
          <w:bCs/>
          <w:noProof/>
          <w:sz w:val="24"/>
          <w:szCs w:val="24"/>
        </w:rPr>
        <w:t>35</w:t>
      </w:r>
      <w:r>
        <w:rPr>
          <w:rFonts w:ascii="Arial" w:hAnsi="Arial" w:cs="Arial"/>
          <w:noProof/>
          <w:sz w:val="24"/>
          <w:szCs w:val="24"/>
        </w:rPr>
        <w:t>, 1119–1127 (2017).</w:t>
      </w:r>
    </w:p>
    <w:p w14:paraId="159EDDC6"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14.</w:t>
      </w:r>
      <w:r>
        <w:rPr>
          <w:rFonts w:ascii="Arial" w:hAnsi="Arial" w:cs="Arial"/>
          <w:noProof/>
          <w:sz w:val="24"/>
          <w:szCs w:val="24"/>
        </w:rPr>
        <w:tab/>
        <w:t xml:space="preserve">Lord, A. C. </w:t>
      </w:r>
      <w:r>
        <w:rPr>
          <w:rFonts w:ascii="Arial" w:hAnsi="Arial" w:cs="Arial"/>
          <w:i/>
          <w:iCs/>
          <w:noProof/>
          <w:sz w:val="24"/>
          <w:szCs w:val="24"/>
        </w:rPr>
        <w:t>et al.</w:t>
      </w:r>
      <w:r>
        <w:rPr>
          <w:rFonts w:ascii="Arial" w:hAnsi="Arial" w:cs="Arial"/>
          <w:noProof/>
          <w:sz w:val="24"/>
          <w:szCs w:val="24"/>
        </w:rPr>
        <w:t xml:space="preserve"> The significance of tumour deposits in rectal cancer after neoadjuvant therapy: a systematic review and meta-analysis. </w:t>
      </w:r>
      <w:r>
        <w:rPr>
          <w:rFonts w:ascii="Arial" w:hAnsi="Arial" w:cs="Arial"/>
          <w:i/>
          <w:iCs/>
          <w:noProof/>
          <w:sz w:val="24"/>
          <w:szCs w:val="24"/>
        </w:rPr>
        <w:t>European Journal of Cancer</w:t>
      </w:r>
      <w:r>
        <w:rPr>
          <w:rFonts w:ascii="Arial" w:hAnsi="Arial" w:cs="Arial"/>
          <w:noProof/>
          <w:sz w:val="24"/>
          <w:szCs w:val="24"/>
        </w:rPr>
        <w:t xml:space="preserve"> </w:t>
      </w:r>
      <w:r>
        <w:rPr>
          <w:rFonts w:ascii="Arial" w:hAnsi="Arial" w:cs="Arial"/>
          <w:b/>
          <w:bCs/>
          <w:noProof/>
          <w:sz w:val="24"/>
          <w:szCs w:val="24"/>
        </w:rPr>
        <w:t>122</w:t>
      </w:r>
      <w:r>
        <w:rPr>
          <w:rFonts w:ascii="Arial" w:hAnsi="Arial" w:cs="Arial"/>
          <w:noProof/>
          <w:sz w:val="24"/>
          <w:szCs w:val="24"/>
        </w:rPr>
        <w:t>, 1–8 (2019).</w:t>
      </w:r>
    </w:p>
    <w:p w14:paraId="0AAEA09E"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15.</w:t>
      </w:r>
      <w:r>
        <w:rPr>
          <w:rFonts w:ascii="Arial" w:hAnsi="Arial" w:cs="Arial"/>
          <w:noProof/>
          <w:sz w:val="24"/>
          <w:szCs w:val="24"/>
        </w:rPr>
        <w:tab/>
        <w:t xml:space="preserve">Wang, Y. </w:t>
      </w:r>
      <w:r>
        <w:rPr>
          <w:rFonts w:ascii="Arial" w:hAnsi="Arial" w:cs="Arial"/>
          <w:i/>
          <w:iCs/>
          <w:noProof/>
          <w:sz w:val="24"/>
          <w:szCs w:val="24"/>
        </w:rPr>
        <w:t>et al.</w:t>
      </w:r>
      <w:r>
        <w:rPr>
          <w:rFonts w:ascii="Arial" w:hAnsi="Arial" w:cs="Arial"/>
          <w:noProof/>
          <w:sz w:val="24"/>
          <w:szCs w:val="24"/>
        </w:rPr>
        <w:t xml:space="preserve"> Poor prognostic and staging value of tumor deposit in locally advanced rectal cancer with neoadjuvant chemoradiotherapy. </w:t>
      </w:r>
      <w:r>
        <w:rPr>
          <w:rFonts w:ascii="Arial" w:hAnsi="Arial" w:cs="Arial"/>
          <w:i/>
          <w:iCs/>
          <w:noProof/>
          <w:sz w:val="24"/>
          <w:szCs w:val="24"/>
        </w:rPr>
        <w:t>Cancer Med.</w:t>
      </w:r>
      <w:r>
        <w:rPr>
          <w:rFonts w:ascii="Arial" w:hAnsi="Arial" w:cs="Arial"/>
          <w:noProof/>
          <w:sz w:val="24"/>
          <w:szCs w:val="24"/>
        </w:rPr>
        <w:t xml:space="preserve"> (2019). doi:10.1002/cam4.2034</w:t>
      </w:r>
    </w:p>
    <w:p w14:paraId="68547CE7"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16.</w:t>
      </w:r>
      <w:r>
        <w:rPr>
          <w:rFonts w:ascii="Arial" w:hAnsi="Arial" w:cs="Arial"/>
          <w:noProof/>
          <w:sz w:val="24"/>
          <w:szCs w:val="24"/>
        </w:rPr>
        <w:tab/>
        <w:t xml:space="preserve">Zhang, L.-N. N. </w:t>
      </w:r>
      <w:r>
        <w:rPr>
          <w:rFonts w:ascii="Arial" w:hAnsi="Arial" w:cs="Arial"/>
          <w:i/>
          <w:iCs/>
          <w:noProof/>
          <w:sz w:val="24"/>
          <w:szCs w:val="24"/>
        </w:rPr>
        <w:t>et al.</w:t>
      </w:r>
      <w:r>
        <w:rPr>
          <w:rFonts w:ascii="Arial" w:hAnsi="Arial" w:cs="Arial"/>
          <w:noProof/>
          <w:sz w:val="24"/>
          <w:szCs w:val="24"/>
        </w:rPr>
        <w:t xml:space="preserve"> Tumor deposits: markers of poor prognosis in patients with locally advanced rectal cancer following neoadjuvant chemoradiotherapy. </w:t>
      </w:r>
      <w:r>
        <w:rPr>
          <w:rFonts w:ascii="Arial" w:hAnsi="Arial" w:cs="Arial"/>
          <w:i/>
          <w:iCs/>
          <w:noProof/>
          <w:sz w:val="24"/>
          <w:szCs w:val="24"/>
        </w:rPr>
        <w:lastRenderedPageBreak/>
        <w:t>Oncotarget</w:t>
      </w:r>
      <w:r>
        <w:rPr>
          <w:rFonts w:ascii="Arial" w:hAnsi="Arial" w:cs="Arial"/>
          <w:noProof/>
          <w:sz w:val="24"/>
          <w:szCs w:val="24"/>
        </w:rPr>
        <w:t xml:space="preserve"> </w:t>
      </w:r>
      <w:r>
        <w:rPr>
          <w:rFonts w:ascii="Arial" w:hAnsi="Arial" w:cs="Arial"/>
          <w:b/>
          <w:bCs/>
          <w:noProof/>
          <w:sz w:val="24"/>
          <w:szCs w:val="24"/>
        </w:rPr>
        <w:t>7</w:t>
      </w:r>
      <w:r>
        <w:rPr>
          <w:rFonts w:ascii="Arial" w:hAnsi="Arial" w:cs="Arial"/>
          <w:noProof/>
          <w:sz w:val="24"/>
          <w:szCs w:val="24"/>
        </w:rPr>
        <w:t>, 6335–44 (2016).</w:t>
      </w:r>
    </w:p>
    <w:p w14:paraId="0C4889E8"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17.</w:t>
      </w:r>
      <w:r>
        <w:rPr>
          <w:rFonts w:ascii="Arial" w:hAnsi="Arial" w:cs="Arial"/>
          <w:noProof/>
          <w:sz w:val="24"/>
          <w:szCs w:val="24"/>
        </w:rPr>
        <w:tab/>
        <w:t xml:space="preserve">Hav, M. </w:t>
      </w:r>
      <w:r>
        <w:rPr>
          <w:rFonts w:ascii="Arial" w:hAnsi="Arial" w:cs="Arial"/>
          <w:i/>
          <w:iCs/>
          <w:noProof/>
          <w:sz w:val="24"/>
          <w:szCs w:val="24"/>
        </w:rPr>
        <w:t>et al.</w:t>
      </w:r>
      <w:r>
        <w:rPr>
          <w:rFonts w:ascii="Arial" w:hAnsi="Arial" w:cs="Arial"/>
          <w:noProof/>
          <w:sz w:val="24"/>
          <w:szCs w:val="24"/>
        </w:rPr>
        <w:t xml:space="preserve"> Prognostic value of tumor shrinkage versus fragmentation following radiochemotherapy and surgery for rectal cancer. </w:t>
      </w:r>
      <w:r>
        <w:rPr>
          <w:rFonts w:ascii="Arial" w:hAnsi="Arial" w:cs="Arial"/>
          <w:i/>
          <w:iCs/>
          <w:noProof/>
          <w:sz w:val="24"/>
          <w:szCs w:val="24"/>
        </w:rPr>
        <w:t>Virchows Arch</w:t>
      </w:r>
      <w:r>
        <w:rPr>
          <w:rFonts w:ascii="Arial" w:hAnsi="Arial" w:cs="Arial"/>
          <w:noProof/>
          <w:sz w:val="24"/>
          <w:szCs w:val="24"/>
        </w:rPr>
        <w:t xml:space="preserve"> </w:t>
      </w:r>
      <w:r>
        <w:rPr>
          <w:rFonts w:ascii="Arial" w:hAnsi="Arial" w:cs="Arial"/>
          <w:b/>
          <w:bCs/>
          <w:noProof/>
          <w:sz w:val="24"/>
          <w:szCs w:val="24"/>
        </w:rPr>
        <w:t>466</w:t>
      </w:r>
      <w:r>
        <w:rPr>
          <w:rFonts w:ascii="Arial" w:hAnsi="Arial" w:cs="Arial"/>
          <w:noProof/>
          <w:sz w:val="24"/>
          <w:szCs w:val="24"/>
        </w:rPr>
        <w:t>, 517–523 (2015).</w:t>
      </w:r>
    </w:p>
    <w:p w14:paraId="55DF308B"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18.</w:t>
      </w:r>
      <w:r>
        <w:rPr>
          <w:rFonts w:ascii="Arial" w:hAnsi="Arial" w:cs="Arial"/>
          <w:noProof/>
          <w:sz w:val="24"/>
          <w:szCs w:val="24"/>
        </w:rPr>
        <w:tab/>
        <w:t xml:space="preserve">Gopal, P. </w:t>
      </w:r>
      <w:r>
        <w:rPr>
          <w:rFonts w:ascii="Arial" w:hAnsi="Arial" w:cs="Arial"/>
          <w:i/>
          <w:iCs/>
          <w:noProof/>
          <w:sz w:val="24"/>
          <w:szCs w:val="24"/>
        </w:rPr>
        <w:t>et al.</w:t>
      </w:r>
      <w:r>
        <w:rPr>
          <w:rFonts w:ascii="Arial" w:hAnsi="Arial" w:cs="Arial"/>
          <w:noProof/>
          <w:sz w:val="24"/>
          <w:szCs w:val="24"/>
        </w:rPr>
        <w:t xml:space="preserve"> Tumor deposits in rectal adenocarcinoma after neoadjuvant chemoradiation are associated with poor prognosis. </w:t>
      </w:r>
      <w:r>
        <w:rPr>
          <w:rFonts w:ascii="Arial" w:hAnsi="Arial" w:cs="Arial"/>
          <w:i/>
          <w:iCs/>
          <w:noProof/>
          <w:sz w:val="24"/>
          <w:szCs w:val="24"/>
        </w:rPr>
        <w:t>Mod. Pathol.</w:t>
      </w:r>
      <w:r>
        <w:rPr>
          <w:rFonts w:ascii="Arial" w:hAnsi="Arial" w:cs="Arial"/>
          <w:noProof/>
          <w:sz w:val="24"/>
          <w:szCs w:val="24"/>
        </w:rPr>
        <w:t xml:space="preserve"> </w:t>
      </w:r>
      <w:r>
        <w:rPr>
          <w:rFonts w:ascii="Arial" w:hAnsi="Arial" w:cs="Arial"/>
          <w:b/>
          <w:bCs/>
          <w:noProof/>
          <w:sz w:val="24"/>
          <w:szCs w:val="24"/>
        </w:rPr>
        <w:t>27</w:t>
      </w:r>
      <w:r>
        <w:rPr>
          <w:rFonts w:ascii="Arial" w:hAnsi="Arial" w:cs="Arial"/>
          <w:noProof/>
          <w:sz w:val="24"/>
          <w:szCs w:val="24"/>
        </w:rPr>
        <w:t>, 1281–1287 (2014).</w:t>
      </w:r>
    </w:p>
    <w:p w14:paraId="6E56253A"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19.</w:t>
      </w:r>
      <w:r>
        <w:rPr>
          <w:rFonts w:ascii="Arial" w:hAnsi="Arial" w:cs="Arial"/>
          <w:noProof/>
          <w:sz w:val="24"/>
          <w:szCs w:val="24"/>
        </w:rPr>
        <w:tab/>
        <w:t xml:space="preserve">Wunsch, K. </w:t>
      </w:r>
      <w:r>
        <w:rPr>
          <w:rFonts w:ascii="Arial" w:hAnsi="Arial" w:cs="Arial"/>
          <w:i/>
          <w:iCs/>
          <w:noProof/>
          <w:sz w:val="24"/>
          <w:szCs w:val="24"/>
        </w:rPr>
        <w:t>et al.</w:t>
      </w:r>
      <w:r>
        <w:rPr>
          <w:rFonts w:ascii="Arial" w:hAnsi="Arial" w:cs="Arial"/>
          <w:noProof/>
          <w:sz w:val="24"/>
          <w:szCs w:val="24"/>
        </w:rPr>
        <w:t xml:space="preserve"> Shape is not associated with the origin of pericolonic tumor deposits. </w:t>
      </w:r>
      <w:r>
        <w:rPr>
          <w:rFonts w:ascii="Arial" w:hAnsi="Arial" w:cs="Arial"/>
          <w:i/>
          <w:iCs/>
          <w:noProof/>
          <w:sz w:val="24"/>
          <w:szCs w:val="24"/>
        </w:rPr>
        <w:t>Am. J. Clin. Pathol.</w:t>
      </w:r>
      <w:r>
        <w:rPr>
          <w:rFonts w:ascii="Arial" w:hAnsi="Arial" w:cs="Arial"/>
          <w:noProof/>
          <w:sz w:val="24"/>
          <w:szCs w:val="24"/>
        </w:rPr>
        <w:t xml:space="preserve"> </w:t>
      </w:r>
      <w:r>
        <w:rPr>
          <w:rFonts w:ascii="Arial" w:hAnsi="Arial" w:cs="Arial"/>
          <w:b/>
          <w:bCs/>
          <w:noProof/>
          <w:sz w:val="24"/>
          <w:szCs w:val="24"/>
        </w:rPr>
        <w:t>133</w:t>
      </w:r>
      <w:r>
        <w:rPr>
          <w:rFonts w:ascii="Arial" w:hAnsi="Arial" w:cs="Arial"/>
          <w:noProof/>
          <w:sz w:val="24"/>
          <w:szCs w:val="24"/>
        </w:rPr>
        <w:t>, 388–394 (2010).</w:t>
      </w:r>
    </w:p>
    <w:p w14:paraId="79DF0F03"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20.</w:t>
      </w:r>
      <w:r>
        <w:rPr>
          <w:rFonts w:ascii="Arial" w:hAnsi="Arial" w:cs="Arial"/>
          <w:noProof/>
          <w:sz w:val="24"/>
          <w:szCs w:val="24"/>
        </w:rPr>
        <w:tab/>
        <w:t xml:space="preserve">Shimada, Y. &amp; Takii, Y. Clinical Impact of Mesorectal Extranodal Cancer Tissue in Rectal Cancer: Detailed Pathological Assessment Using Whole-Mount Sections. </w:t>
      </w:r>
      <w:r>
        <w:rPr>
          <w:rFonts w:ascii="Arial" w:hAnsi="Arial" w:cs="Arial"/>
          <w:i/>
          <w:iCs/>
          <w:noProof/>
          <w:sz w:val="24"/>
          <w:szCs w:val="24"/>
        </w:rPr>
        <w:t>Dis. Colon Rectum</w:t>
      </w:r>
      <w:r>
        <w:rPr>
          <w:rFonts w:ascii="Arial" w:hAnsi="Arial" w:cs="Arial"/>
          <w:noProof/>
          <w:sz w:val="24"/>
          <w:szCs w:val="24"/>
        </w:rPr>
        <w:t xml:space="preserve"> </w:t>
      </w:r>
      <w:r>
        <w:rPr>
          <w:rFonts w:ascii="Arial" w:hAnsi="Arial" w:cs="Arial"/>
          <w:b/>
          <w:bCs/>
          <w:noProof/>
          <w:sz w:val="24"/>
          <w:szCs w:val="24"/>
        </w:rPr>
        <w:t>53</w:t>
      </w:r>
      <w:r>
        <w:rPr>
          <w:rFonts w:ascii="Arial" w:hAnsi="Arial" w:cs="Arial"/>
          <w:noProof/>
          <w:sz w:val="24"/>
          <w:szCs w:val="24"/>
        </w:rPr>
        <w:t>, 771–778 (2010).</w:t>
      </w:r>
    </w:p>
    <w:p w14:paraId="7D4FEA7C"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21.</w:t>
      </w:r>
      <w:r>
        <w:rPr>
          <w:rFonts w:ascii="Arial" w:hAnsi="Arial" w:cs="Arial"/>
          <w:noProof/>
          <w:sz w:val="24"/>
          <w:szCs w:val="24"/>
        </w:rPr>
        <w:tab/>
        <w:t xml:space="preserve">Rock, J. B. </w:t>
      </w:r>
      <w:r>
        <w:rPr>
          <w:rFonts w:ascii="Arial" w:hAnsi="Arial" w:cs="Arial"/>
          <w:i/>
          <w:iCs/>
          <w:noProof/>
          <w:sz w:val="24"/>
          <w:szCs w:val="24"/>
        </w:rPr>
        <w:t>et al.</w:t>
      </w:r>
      <w:r>
        <w:rPr>
          <w:rFonts w:ascii="Arial" w:hAnsi="Arial" w:cs="Arial"/>
          <w:noProof/>
          <w:sz w:val="24"/>
          <w:szCs w:val="24"/>
        </w:rPr>
        <w:t xml:space="preserve"> Debating Deposits: An inter-observer variability study of lymph nodes and pericolonic tumor deposits in colonic adenocarcinoma. </w:t>
      </w:r>
      <w:r>
        <w:rPr>
          <w:rFonts w:ascii="Arial" w:hAnsi="Arial" w:cs="Arial"/>
          <w:b/>
          <w:bCs/>
          <w:noProof/>
          <w:sz w:val="24"/>
          <w:szCs w:val="24"/>
        </w:rPr>
        <w:t>138</w:t>
      </w:r>
      <w:r>
        <w:rPr>
          <w:rFonts w:ascii="Arial" w:hAnsi="Arial" w:cs="Arial"/>
          <w:noProof/>
          <w:sz w:val="24"/>
          <w:szCs w:val="24"/>
        </w:rPr>
        <w:t>, 636–642 (2014).</w:t>
      </w:r>
    </w:p>
    <w:p w14:paraId="7DE395BF" w14:textId="77777777" w:rsidR="00992F8E" w:rsidRDefault="00992F8E" w:rsidP="00992F8E">
      <w:pPr>
        <w:widowControl w:val="0"/>
        <w:autoSpaceDE w:val="0"/>
        <w:autoSpaceDN w:val="0"/>
        <w:adjustRightInd w:val="0"/>
        <w:spacing w:line="240" w:lineRule="auto"/>
        <w:ind w:left="640" w:hanging="640"/>
        <w:jc w:val="both"/>
        <w:rPr>
          <w:rFonts w:ascii="Arial" w:hAnsi="Arial" w:cs="Arial"/>
          <w:noProof/>
          <w:sz w:val="24"/>
          <w:szCs w:val="24"/>
        </w:rPr>
      </w:pPr>
      <w:r>
        <w:rPr>
          <w:rFonts w:ascii="Arial" w:hAnsi="Arial" w:cs="Arial"/>
          <w:noProof/>
          <w:sz w:val="24"/>
          <w:szCs w:val="24"/>
        </w:rPr>
        <w:t>22.</w:t>
      </w:r>
      <w:r>
        <w:rPr>
          <w:rFonts w:ascii="Arial" w:hAnsi="Arial" w:cs="Arial"/>
          <w:noProof/>
          <w:sz w:val="24"/>
          <w:szCs w:val="24"/>
        </w:rPr>
        <w:tab/>
        <w:t xml:space="preserve">Wilkins, B. </w:t>
      </w:r>
      <w:r>
        <w:rPr>
          <w:rFonts w:ascii="Arial" w:hAnsi="Arial" w:cs="Arial"/>
          <w:i/>
          <w:iCs/>
          <w:noProof/>
          <w:sz w:val="24"/>
          <w:szCs w:val="24"/>
        </w:rPr>
        <w:t>Standards and datasets for reporting cancers Dataset for histopathological reporting of colorectal cancer</w:t>
      </w:r>
      <w:r>
        <w:rPr>
          <w:rFonts w:ascii="Arial" w:hAnsi="Arial" w:cs="Arial"/>
          <w:noProof/>
          <w:sz w:val="24"/>
          <w:szCs w:val="24"/>
        </w:rPr>
        <w:t>. (2018).</w:t>
      </w:r>
    </w:p>
    <w:p w14:paraId="58D77EB6" w14:textId="1EF4C696" w:rsidR="007D492F" w:rsidRPr="00992F8E" w:rsidRDefault="00992F8E" w:rsidP="00992F8E">
      <w:r>
        <w:rPr>
          <w:rFonts w:ascii="Arial" w:hAnsi="Arial" w:cs="Arial"/>
          <w:b/>
          <w:bCs/>
          <w:sz w:val="24"/>
          <w:szCs w:val="24"/>
        </w:rPr>
        <w:fldChar w:fldCharType="end"/>
      </w:r>
    </w:p>
    <w:sectPr w:rsidR="007D492F" w:rsidRPr="00992F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F8E"/>
    <w:rsid w:val="00421735"/>
    <w:rsid w:val="006160E4"/>
    <w:rsid w:val="007369D5"/>
    <w:rsid w:val="008561D5"/>
    <w:rsid w:val="00992F8E"/>
    <w:rsid w:val="00B73F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8BBBF"/>
  <w15:chartTrackingRefBased/>
  <w15:docId w15:val="{80C9B6D1-BB38-4BAD-98FE-068E923B7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F8E"/>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2F8E"/>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992F8E"/>
    <w:pPr>
      <w:spacing w:after="0" w:line="240" w:lineRule="auto"/>
    </w:pPr>
    <w:rPr>
      <w:rFonts w:cs="Calibri"/>
    </w:rPr>
    <w:tblPr>
      <w:tblStyleRowBandSize w:val="1"/>
      <w:tblStyleColBandSize w:val="1"/>
      <w:tblInd w:w="0" w:type="nil"/>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style>
  <w:style w:type="character" w:styleId="Emphasis">
    <w:name w:val="Emphasis"/>
    <w:basedOn w:val="DefaultParagraphFont"/>
    <w:uiPriority w:val="20"/>
    <w:qFormat/>
    <w:rsid w:val="00992F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021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10980</Words>
  <Characters>62587</Characters>
  <Application>Microsoft Office Word</Application>
  <DocSecurity>0</DocSecurity>
  <Lines>521</Lines>
  <Paragraphs>146</Paragraphs>
  <ScaleCrop>false</ScaleCrop>
  <Company/>
  <LinksUpToDate>false</LinksUpToDate>
  <CharactersWithSpaces>73421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Lord</dc:creator>
  <cp:keywords/>
  <dc:description/>
  <cp:lastModifiedBy>Amy Lord</cp:lastModifiedBy>
  <cp:revision>4</cp:revision>
  <dcterms:created xsi:type="dcterms:W3CDTF">2020-07-01T14:27:00Z</dcterms:created>
  <dcterms:modified xsi:type="dcterms:W3CDTF">2020-07-12T16:15:00Z</dcterms:modified>
</cp:coreProperties>
</file>