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CA9CD" w14:textId="77777777" w:rsidR="008706DD" w:rsidRDefault="008706DD" w:rsidP="000D5A87">
      <w:pPr>
        <w:pStyle w:val="E-"/>
        <w:spacing w:before="312"/>
        <w:jc w:val="center"/>
        <w:rPr>
          <w:rFonts w:ascii="Times New Roman" w:eastAsiaTheme="minorEastAsia" w:hAnsi="Times New Roman" w:cs="Times New Roman"/>
          <w:i/>
          <w:iCs/>
          <w:sz w:val="20"/>
          <w:szCs w:val="20"/>
        </w:rPr>
      </w:pPr>
      <w:bookmarkStart w:id="0" w:name="_Hlk96520483"/>
      <w:r w:rsidRPr="000A2127">
        <w:rPr>
          <w:rFonts w:ascii="Times New Roman" w:hAnsi="Times New Roman" w:cs="Times New Roman"/>
          <w:iCs/>
          <w:sz w:val="20"/>
          <w:szCs w:val="20"/>
        </w:rPr>
        <w:t>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w:t>
      </w:r>
      <w:r w:rsidRPr="000A2127">
        <w:rPr>
          <w:rFonts w:ascii="Times New Roman" w:hAnsi="Times New Roman" w:cs="Times New Roman"/>
          <w:iCs/>
          <w:sz w:val="20"/>
          <w:szCs w:val="20"/>
        </w:rPr>
        <w:t xml:space="preserve">: a </w:t>
      </w:r>
      <w:bookmarkStart w:id="1" w:name="_Hlk101295924"/>
      <w:r w:rsidRPr="000A2127">
        <w:rPr>
          <w:rFonts w:ascii="Times New Roman" w:hAnsi="Times New Roman" w:cs="Times New Roman"/>
          <w:iCs/>
          <w:sz w:val="20"/>
          <w:szCs w:val="20"/>
        </w:rPr>
        <w:t xml:space="preserve">comprehensive multiscale metabolic model </w:t>
      </w:r>
      <w:bookmarkStart w:id="2" w:name="_Hlk94427250"/>
      <w:bookmarkEnd w:id="1"/>
      <w:r w:rsidRPr="000A2127">
        <w:rPr>
          <w:rFonts w:ascii="Times New Roman" w:hAnsi="Times New Roman" w:cs="Times New Roman"/>
          <w:iCs/>
          <w:sz w:val="20"/>
          <w:szCs w:val="20"/>
        </w:rPr>
        <w:t xml:space="preserve">for </w:t>
      </w:r>
      <w:r w:rsidRPr="000A2127">
        <w:rPr>
          <w:rFonts w:ascii="Times New Roman" w:hAnsi="Times New Roman" w:cs="Times New Roman"/>
          <w:i/>
          <w:iCs/>
          <w:sz w:val="20"/>
          <w:szCs w:val="20"/>
        </w:rPr>
        <w:t>Bacillus subtilis</w:t>
      </w:r>
      <w:bookmarkEnd w:id="2"/>
    </w:p>
    <w:p w14:paraId="6B3AE39A" w14:textId="72847634" w:rsidR="008706DD" w:rsidRPr="000D5A87" w:rsidRDefault="008706DD" w:rsidP="000D5A87">
      <w:pPr>
        <w:pStyle w:val="E-3"/>
        <w:spacing w:line="360" w:lineRule="auto"/>
        <w:ind w:firstLine="400"/>
        <w:rPr>
          <w:rFonts w:ascii="Times New Roman" w:hAnsi="Times New Roman" w:cs="Times New Roman"/>
          <w:szCs w:val="20"/>
        </w:rPr>
      </w:pPr>
      <w:bookmarkStart w:id="3" w:name="_Hlk113433356"/>
      <w:r w:rsidRPr="000D5A87">
        <w:rPr>
          <w:rFonts w:ascii="Times New Roman" w:hAnsi="Times New Roman" w:cs="Times New Roman"/>
          <w:szCs w:val="20"/>
        </w:rPr>
        <w:t xml:space="preserve">Xinyu </w:t>
      </w:r>
      <w:proofErr w:type="spellStart"/>
      <w:r w:rsidRPr="000D5A87">
        <w:rPr>
          <w:rFonts w:ascii="Times New Roman" w:hAnsi="Times New Roman" w:cs="Times New Roman"/>
          <w:szCs w:val="20"/>
        </w:rPr>
        <w:t>Bi</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Yang </w:t>
      </w:r>
      <w:proofErr w:type="spellStart"/>
      <w:r w:rsidRPr="000D5A87">
        <w:rPr>
          <w:rFonts w:ascii="Times New Roman" w:hAnsi="Times New Roman" w:cs="Times New Roman"/>
          <w:szCs w:val="20"/>
        </w:rPr>
        <w:t>Cheng</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Xianhao</w:t>
      </w:r>
      <w:proofErr w:type="spellEnd"/>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Xu</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Xueqin </w:t>
      </w:r>
      <w:proofErr w:type="spellStart"/>
      <w:r w:rsidRPr="000D5A87">
        <w:rPr>
          <w:rFonts w:ascii="Times New Roman" w:hAnsi="Times New Roman" w:cs="Times New Roman"/>
          <w:szCs w:val="20"/>
        </w:rPr>
        <w:t>Lv</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Yanfeng </w:t>
      </w:r>
      <w:proofErr w:type="spellStart"/>
      <w:r w:rsidRPr="000D5A87">
        <w:rPr>
          <w:rFonts w:ascii="Times New Roman" w:hAnsi="Times New Roman" w:cs="Times New Roman"/>
          <w:szCs w:val="20"/>
        </w:rPr>
        <w:t>Liu</w:t>
      </w:r>
      <w:r w:rsidRPr="000D5A87">
        <w:rPr>
          <w:rStyle w:val="Strong"/>
          <w:rFonts w:ascii="Times New Roman" w:hAnsi="Times New Roman" w:cs="Times New Roman"/>
          <w:szCs w:val="20"/>
          <w:vertAlign w:val="superscript"/>
        </w:rPr>
        <w:t>a,b</w:t>
      </w:r>
      <w:proofErr w:type="spellEnd"/>
      <w:r w:rsidRPr="000D5A87">
        <w:rPr>
          <w:rStyle w:val="Strong"/>
          <w:rFonts w:ascii="Times New Roman" w:hAnsi="Times New Roman" w:cs="Times New Roman"/>
          <w:szCs w:val="20"/>
        </w:rPr>
        <w:t>,</w:t>
      </w:r>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Jianghua</w:t>
      </w:r>
      <w:proofErr w:type="spellEnd"/>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Li</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Guocheng</w:t>
      </w:r>
      <w:proofErr w:type="spellEnd"/>
      <w:r w:rsidRPr="000D5A87">
        <w:rPr>
          <w:rFonts w:ascii="Times New Roman" w:hAnsi="Times New Roman" w:cs="Times New Roman"/>
          <w:szCs w:val="20"/>
        </w:rPr>
        <w:t xml:space="preserve"> </w:t>
      </w:r>
      <w:proofErr w:type="spellStart"/>
      <w:r w:rsidRPr="000D5A87">
        <w:rPr>
          <w:rFonts w:ascii="Times New Roman" w:hAnsi="Times New Roman" w:cs="Times New Roman"/>
          <w:szCs w:val="20"/>
        </w:rPr>
        <w:t>Du</w:t>
      </w:r>
      <w:r w:rsidRPr="000D5A87">
        <w:rPr>
          <w:rStyle w:val="Strong"/>
          <w:rFonts w:ascii="Times New Roman" w:hAnsi="Times New Roman" w:cs="Times New Roman"/>
          <w:szCs w:val="20"/>
          <w:vertAlign w:val="superscript"/>
        </w:rPr>
        <w:t>a,b</w:t>
      </w:r>
      <w:proofErr w:type="spellEnd"/>
      <w:r w:rsidRPr="000D5A87">
        <w:rPr>
          <w:rFonts w:ascii="Times New Roman" w:hAnsi="Times New Roman" w:cs="Times New Roman"/>
          <w:szCs w:val="20"/>
        </w:rPr>
        <w:t xml:space="preserve">, Jian </w:t>
      </w:r>
      <w:proofErr w:type="spellStart"/>
      <w:r w:rsidRPr="000D5A87">
        <w:rPr>
          <w:rFonts w:ascii="Times New Roman" w:hAnsi="Times New Roman" w:cs="Times New Roman"/>
          <w:szCs w:val="20"/>
        </w:rPr>
        <w:t>Chen</w:t>
      </w:r>
      <w:r w:rsidRPr="000D5A87">
        <w:rPr>
          <w:rFonts w:ascii="Times New Roman" w:hAnsi="Times New Roman" w:cs="Times New Roman"/>
          <w:szCs w:val="20"/>
          <w:vertAlign w:val="superscript"/>
        </w:rPr>
        <w:t>a,b</w:t>
      </w:r>
      <w:proofErr w:type="spellEnd"/>
      <w:r w:rsidRPr="000D5A87">
        <w:rPr>
          <w:rFonts w:ascii="Times New Roman" w:hAnsi="Times New Roman" w:cs="Times New Roman"/>
          <w:szCs w:val="20"/>
        </w:rPr>
        <w:t>, Rodrigo Ledesma-</w:t>
      </w:r>
      <w:proofErr w:type="spellStart"/>
      <w:r w:rsidRPr="000D5A87">
        <w:rPr>
          <w:rFonts w:ascii="Times New Roman" w:hAnsi="Times New Roman" w:cs="Times New Roman"/>
          <w:szCs w:val="20"/>
        </w:rPr>
        <w:t>Amaro</w:t>
      </w:r>
      <w:r w:rsidRPr="000D5A87">
        <w:rPr>
          <w:rFonts w:ascii="Times New Roman" w:hAnsi="Times New Roman" w:cs="Times New Roman"/>
          <w:szCs w:val="20"/>
          <w:vertAlign w:val="superscript"/>
        </w:rPr>
        <w:t>c</w:t>
      </w:r>
      <w:proofErr w:type="spellEnd"/>
      <w:r w:rsidRPr="000D5A87">
        <w:rPr>
          <w:rFonts w:ascii="Times New Roman" w:hAnsi="Times New Roman" w:cs="Times New Roman"/>
          <w:szCs w:val="20"/>
        </w:rPr>
        <w:t>, Long Liu</w:t>
      </w:r>
      <w:r w:rsidRPr="000D5A87">
        <w:rPr>
          <w:rFonts w:ascii="Times New Roman" w:hAnsi="Times New Roman" w:cs="Times New Roman"/>
          <w:kern w:val="0"/>
          <w:szCs w:val="20"/>
          <w:vertAlign w:val="superscript"/>
        </w:rPr>
        <w:t xml:space="preserve"> </w:t>
      </w:r>
      <w:proofErr w:type="spellStart"/>
      <w:r w:rsidRPr="000D5A87">
        <w:rPr>
          <w:rFonts w:ascii="Times New Roman" w:hAnsi="Times New Roman" w:cs="Times New Roman"/>
          <w:kern w:val="0"/>
          <w:szCs w:val="20"/>
          <w:vertAlign w:val="superscript"/>
        </w:rPr>
        <w:t>a,b</w:t>
      </w:r>
      <w:proofErr w:type="spellEnd"/>
      <w:r w:rsidRPr="000D5A87">
        <w:rPr>
          <w:rFonts w:ascii="Times New Roman" w:hAnsi="Times New Roman" w:cs="Times New Roman"/>
          <w:kern w:val="0"/>
          <w:szCs w:val="20"/>
          <w:vertAlign w:val="superscript"/>
        </w:rPr>
        <w:t>†</w:t>
      </w:r>
      <w:bookmarkEnd w:id="3"/>
    </w:p>
    <w:p w14:paraId="4D3A8BBF" w14:textId="77777777" w:rsidR="008706DD" w:rsidRPr="000D5A87" w:rsidRDefault="008706DD" w:rsidP="000D5A87">
      <w:pPr>
        <w:rPr>
          <w:rFonts w:ascii="Times New Roman" w:hAnsi="Times New Roman" w:cs="Times New Roman"/>
          <w:szCs w:val="20"/>
          <w:vertAlign w:val="superscript"/>
        </w:rPr>
      </w:pPr>
    </w:p>
    <w:p w14:paraId="5A100184" w14:textId="77777777" w:rsidR="008706DD" w:rsidRPr="000D5A87" w:rsidRDefault="008706DD" w:rsidP="000D5A87">
      <w:pPr>
        <w:rPr>
          <w:rFonts w:ascii="Times New Roman" w:hAnsi="Times New Roman" w:cs="Times New Roman"/>
          <w:sz w:val="20"/>
          <w:szCs w:val="20"/>
        </w:rPr>
      </w:pPr>
      <w:proofErr w:type="spellStart"/>
      <w:r w:rsidRPr="000D5A87">
        <w:rPr>
          <w:rFonts w:ascii="Times New Roman" w:hAnsi="Times New Roman" w:cs="Times New Roman"/>
          <w:sz w:val="20"/>
          <w:szCs w:val="20"/>
          <w:vertAlign w:val="superscript"/>
        </w:rPr>
        <w:t>a</w:t>
      </w:r>
      <w:r w:rsidRPr="000D5A87">
        <w:rPr>
          <w:rFonts w:ascii="Times New Roman" w:hAnsi="Times New Roman" w:cs="Times New Roman"/>
          <w:sz w:val="20"/>
          <w:szCs w:val="20"/>
        </w:rPr>
        <w:t>Key</w:t>
      </w:r>
      <w:proofErr w:type="spellEnd"/>
      <w:r w:rsidRPr="000D5A87">
        <w:rPr>
          <w:rFonts w:ascii="Times New Roman" w:hAnsi="Times New Roman" w:cs="Times New Roman"/>
          <w:sz w:val="20"/>
          <w:szCs w:val="20"/>
        </w:rPr>
        <w:t xml:space="preserve"> Laboratory of Carbohydrate Chemistry and Biotechnology, Ministry of Education, Jiangnan University, Wuxi, 214122, China</w:t>
      </w:r>
    </w:p>
    <w:p w14:paraId="33170AB5" w14:textId="77777777" w:rsidR="008706DD" w:rsidRPr="000D5A87" w:rsidRDefault="008706DD" w:rsidP="000D5A87">
      <w:pPr>
        <w:rPr>
          <w:rFonts w:ascii="Times New Roman" w:hAnsi="Times New Roman" w:cs="Times New Roman"/>
          <w:sz w:val="20"/>
          <w:szCs w:val="20"/>
        </w:rPr>
      </w:pPr>
      <w:proofErr w:type="spellStart"/>
      <w:r w:rsidRPr="000D5A87">
        <w:rPr>
          <w:rFonts w:ascii="Times New Roman" w:hAnsi="Times New Roman" w:cs="Times New Roman"/>
          <w:sz w:val="20"/>
          <w:szCs w:val="20"/>
          <w:vertAlign w:val="superscript"/>
        </w:rPr>
        <w:t>b</w:t>
      </w:r>
      <w:r w:rsidRPr="000D5A87">
        <w:rPr>
          <w:rFonts w:ascii="Times New Roman" w:hAnsi="Times New Roman" w:cs="Times New Roman"/>
          <w:sz w:val="20"/>
          <w:szCs w:val="20"/>
        </w:rPr>
        <w:t>Science</w:t>
      </w:r>
      <w:proofErr w:type="spellEnd"/>
      <w:r w:rsidRPr="000D5A87">
        <w:rPr>
          <w:rFonts w:ascii="Times New Roman" w:hAnsi="Times New Roman" w:cs="Times New Roman"/>
          <w:sz w:val="20"/>
          <w:szCs w:val="20"/>
        </w:rPr>
        <w:t xml:space="preserve"> Center for Future Foods, Ministry of Education, Jiangnan University, Wuxi, 214122, China.</w:t>
      </w:r>
    </w:p>
    <w:p w14:paraId="16028EDC" w14:textId="77777777" w:rsidR="008706DD" w:rsidRPr="000D5A87" w:rsidRDefault="008706DD" w:rsidP="000D5A87">
      <w:pPr>
        <w:rPr>
          <w:rFonts w:ascii="Times New Roman" w:hAnsi="Times New Roman" w:cs="Times New Roman"/>
          <w:sz w:val="20"/>
          <w:szCs w:val="20"/>
        </w:rPr>
      </w:pPr>
      <w:bookmarkStart w:id="4" w:name="_Hlk39947258"/>
      <w:proofErr w:type="spellStart"/>
      <w:r w:rsidRPr="000D5A87">
        <w:rPr>
          <w:rFonts w:ascii="Times New Roman" w:hAnsi="Times New Roman" w:cs="Times New Roman"/>
          <w:sz w:val="20"/>
          <w:szCs w:val="20"/>
          <w:vertAlign w:val="superscript"/>
        </w:rPr>
        <w:t>c</w:t>
      </w:r>
      <w:r w:rsidRPr="000D5A87">
        <w:rPr>
          <w:rFonts w:ascii="Times New Roman" w:hAnsi="Times New Roman" w:cs="Times New Roman"/>
          <w:sz w:val="20"/>
          <w:szCs w:val="20"/>
        </w:rPr>
        <w:t>Department</w:t>
      </w:r>
      <w:proofErr w:type="spellEnd"/>
      <w:r w:rsidRPr="000D5A87">
        <w:rPr>
          <w:rFonts w:ascii="Times New Roman" w:hAnsi="Times New Roman" w:cs="Times New Roman"/>
          <w:sz w:val="20"/>
          <w:szCs w:val="20"/>
        </w:rPr>
        <w:t xml:space="preserve"> of Bioengineering and Centre for Synthetic Biology, Imperial College London, London SW7 2AZ, UK</w:t>
      </w:r>
    </w:p>
    <w:p w14:paraId="7B2F3DDF" w14:textId="77777777" w:rsidR="008706DD" w:rsidRPr="000D5A87" w:rsidRDefault="008706DD" w:rsidP="000D5A87">
      <w:pPr>
        <w:rPr>
          <w:rFonts w:ascii="Times New Roman" w:hAnsi="Times New Roman" w:cs="Times New Roman"/>
          <w:sz w:val="20"/>
          <w:szCs w:val="20"/>
        </w:rPr>
      </w:pPr>
      <w:r w:rsidRPr="000D5A87">
        <w:rPr>
          <w:rFonts w:ascii="Times New Roman" w:hAnsi="Times New Roman" w:cs="Times New Roman"/>
          <w:sz w:val="20"/>
          <w:szCs w:val="20"/>
        </w:rPr>
        <w:t>†</w:t>
      </w:r>
      <w:bookmarkEnd w:id="4"/>
      <w:r w:rsidRPr="000D5A87">
        <w:rPr>
          <w:rFonts w:ascii="Times New Roman" w:hAnsi="Times New Roman" w:cs="Times New Roman"/>
          <w:sz w:val="20"/>
          <w:szCs w:val="20"/>
        </w:rPr>
        <w:t xml:space="preserve">Corresponding </w:t>
      </w:r>
      <w:bookmarkStart w:id="5" w:name="_Hlk532482172"/>
      <w:r w:rsidRPr="000D5A87">
        <w:rPr>
          <w:rFonts w:ascii="Times New Roman" w:hAnsi="Times New Roman" w:cs="Times New Roman"/>
          <w:sz w:val="20"/>
          <w:szCs w:val="20"/>
        </w:rPr>
        <w:t>aut</w:t>
      </w:r>
      <w:bookmarkEnd w:id="5"/>
      <w:r w:rsidRPr="000D5A87">
        <w:rPr>
          <w:rFonts w:ascii="Times New Roman" w:hAnsi="Times New Roman" w:cs="Times New Roman"/>
          <w:sz w:val="20"/>
          <w:szCs w:val="20"/>
        </w:rPr>
        <w:t xml:space="preserve">hor: Long Liu, Tel: +86-0510-85918312, Fax: +86-0510-85918309, E-mail: </w:t>
      </w:r>
      <w:hyperlink r:id="rId7" w:history="1">
        <w:r w:rsidRPr="000D5A87">
          <w:rPr>
            <w:rStyle w:val="Hyperlink"/>
            <w:sz w:val="20"/>
            <w:szCs w:val="20"/>
          </w:rPr>
          <w:t>longliu@jiangnan.edu.cn</w:t>
        </w:r>
      </w:hyperlink>
      <w:r w:rsidRPr="000D5A87">
        <w:rPr>
          <w:rFonts w:ascii="Times New Roman" w:hAnsi="Times New Roman" w:cs="Times New Roman"/>
          <w:sz w:val="20"/>
          <w:szCs w:val="20"/>
        </w:rPr>
        <w:t>.</w:t>
      </w:r>
    </w:p>
    <w:p w14:paraId="5E659DCE" w14:textId="309378B3" w:rsidR="00DA080B" w:rsidRDefault="00DA080B">
      <w:pPr>
        <w:widowControl/>
        <w:jc w:val="left"/>
      </w:pPr>
      <w:r>
        <w:br w:type="page"/>
      </w:r>
    </w:p>
    <w:bookmarkEnd w:id="0"/>
    <w:p w14:paraId="7B63C32C" w14:textId="47AC7157" w:rsidR="008706DD" w:rsidRPr="000A2127" w:rsidRDefault="00A75BBF">
      <w:pPr>
        <w:pStyle w:val="E-"/>
        <w:spacing w:before="312"/>
        <w:rPr>
          <w:rFonts w:ascii="Times New Roman" w:hAnsi="Times New Roman" w:cs="Times New Roman"/>
          <w:b w:val="0"/>
          <w:bCs w:val="0"/>
          <w:sz w:val="20"/>
          <w:szCs w:val="20"/>
        </w:rPr>
      </w:pPr>
      <w:r w:rsidRPr="00A75BBF">
        <w:rPr>
          <w:rFonts w:ascii="Times New Roman" w:hAnsi="Times New Roman" w:cs="Times New Roman"/>
          <w:sz w:val="20"/>
          <w:szCs w:val="20"/>
        </w:rPr>
        <w:lastRenderedPageBreak/>
        <w:t>ABSTRACT</w:t>
      </w:r>
    </w:p>
    <w:p w14:paraId="3D4358EF" w14:textId="77777777" w:rsidR="008706DD" w:rsidRPr="000A2127" w:rsidRDefault="008706DD">
      <w:pPr>
        <w:widowControl/>
        <w:spacing w:line="480" w:lineRule="auto"/>
        <w:ind w:firstLineChars="200" w:firstLine="400"/>
        <w:rPr>
          <w:rFonts w:ascii="Times New Roman" w:hAnsi="Times New Roman" w:cs="Times New Roman"/>
          <w:sz w:val="20"/>
        </w:rPr>
      </w:pPr>
      <w:bookmarkStart w:id="6" w:name="OLE_LINK7"/>
      <w:r w:rsidRPr="000A2127">
        <w:rPr>
          <w:rFonts w:ascii="Times New Roman" w:hAnsi="Times New Roman" w:cs="Times New Roman"/>
          <w:sz w:val="20"/>
        </w:rPr>
        <w:t>Genome-scale metabolic models (GEMs) have been widely used to guide the computational design of microbial cell factories, and to date, seven GEMs have been reported for</w:t>
      </w:r>
      <w:r w:rsidRPr="000A2127">
        <w:rPr>
          <w:rFonts w:ascii="Times New Roman" w:hAnsi="Times New Roman" w:cs="Times New Roman"/>
          <w:i/>
          <w:iCs/>
          <w:sz w:val="20"/>
        </w:rPr>
        <w:t xml:space="preserve"> Bacillus subtilis</w:t>
      </w:r>
      <w:r w:rsidRPr="000A2127">
        <w:rPr>
          <w:rFonts w:ascii="Times New Roman" w:hAnsi="Times New Roman" w:cs="Times New Roman"/>
          <w:sz w:val="20"/>
        </w:rPr>
        <w:t>, a model gram-positive microorganism widely used in bioproduction of functional nutraceuticals and food ingredients.</w:t>
      </w:r>
      <w:r w:rsidRPr="000A2127">
        <w:rPr>
          <w:rFonts w:ascii="Times New Roman" w:eastAsia="SimSun" w:hAnsi="Times New Roman" w:cs="Times New Roman"/>
          <w:sz w:val="20"/>
          <w:szCs w:val="20"/>
        </w:rPr>
        <w:t xml:space="preserve"> However, none of them are widely used because they often lead to erroneous predictions due to their low predictive power and lack of information on regulatory mechanisms</w:t>
      </w:r>
      <w:r w:rsidRPr="000A2127">
        <w:rPr>
          <w:rFonts w:ascii="Times New Roman" w:hAnsi="Times New Roman" w:cs="Times New Roman"/>
          <w:sz w:val="20"/>
        </w:rPr>
        <w:t>.</w:t>
      </w:r>
      <w:r w:rsidRPr="000A2127">
        <w:rPr>
          <w:rFonts w:ascii="Times New Roman" w:hAnsi="Times New Roman" w:cs="Times New Roman"/>
        </w:rPr>
        <w:t xml:space="preserve"> </w:t>
      </w:r>
      <w:r w:rsidRPr="000A2127">
        <w:rPr>
          <w:rFonts w:ascii="Times New Roman" w:hAnsi="Times New Roman" w:cs="Times New Roman"/>
          <w:sz w:val="20"/>
        </w:rPr>
        <w:t xml:space="preserve">In this work, we constructed a new version of GEM for </w:t>
      </w:r>
      <w:r w:rsidRPr="000A2127">
        <w:rPr>
          <w:rFonts w:ascii="Times New Roman" w:hAnsi="Times New Roman" w:cs="Times New Roman"/>
          <w:i/>
          <w:iCs/>
          <w:sz w:val="20"/>
        </w:rPr>
        <w:t>B. subtilis</w:t>
      </w:r>
      <w:r w:rsidRPr="000A2127">
        <w:rPr>
          <w:rFonts w:ascii="Times New Roman" w:hAnsi="Times New Roman" w:cs="Times New Roman"/>
          <w:sz w:val="20"/>
        </w:rPr>
        <w:t xml:space="preserve"> (</w:t>
      </w:r>
      <w:r w:rsidRPr="000A2127">
        <w:rPr>
          <w:rFonts w:ascii="Times New Roman" w:hAnsi="Times New Roman" w:cs="Times New Roman"/>
          <w:i/>
          <w:iCs/>
          <w:sz w:val="20"/>
        </w:rPr>
        <w:t>i</w:t>
      </w:r>
      <w:r w:rsidRPr="000A2127">
        <w:rPr>
          <w:rFonts w:ascii="Times New Roman" w:hAnsi="Times New Roman" w:cs="Times New Roman"/>
          <w:sz w:val="20"/>
        </w:rPr>
        <w:t xml:space="preserve">Bsu1209), which contains 1209 genes, 1595 metabolites, and 1948 reactions. </w:t>
      </w:r>
      <w:r w:rsidRPr="000A2127">
        <w:rPr>
          <w:rFonts w:ascii="Times New Roman" w:hAnsi="Times New Roman" w:cs="Times New Roman"/>
          <w:color w:val="000000"/>
          <w:sz w:val="20"/>
        </w:rPr>
        <w:t xml:space="preserve">We applied machine learning to fill gaps, which formed a relatively complete metabolic network able to predict with high accuracy (89.3%) the growth of 1209 mutants under 12 different culture conditions. </w:t>
      </w:r>
      <w:r w:rsidRPr="000A2127">
        <w:rPr>
          <w:rFonts w:ascii="Times New Roman" w:hAnsi="Times New Roman" w:cs="Times New Roman"/>
          <w:sz w:val="20"/>
        </w:rPr>
        <w:t>In addition, we developed a visualization and code-free software, Model Tool, for multi-constraints model reconstruction and analysis. We used this software to construct et</w:t>
      </w:r>
      <w:r w:rsidRPr="000A2127">
        <w:rPr>
          <w:rFonts w:ascii="Times New Roman" w:hAnsi="Times New Roman" w:cs="Times New Roman"/>
          <w:i/>
          <w:iCs/>
          <w:sz w:val="20"/>
        </w:rPr>
        <w:t>i</w:t>
      </w:r>
      <w:r w:rsidRPr="000A2127">
        <w:rPr>
          <w:rFonts w:ascii="Times New Roman" w:hAnsi="Times New Roman" w:cs="Times New Roman"/>
          <w:sz w:val="20"/>
        </w:rPr>
        <w:t>Bsu1209, a multiscale model that integrates enzymatic constraints, thermodynamic constraints, and transcriptional regulatory networks. Furthermore, we used et</w:t>
      </w:r>
      <w:r w:rsidRPr="000A2127">
        <w:rPr>
          <w:rFonts w:ascii="Times New Roman" w:hAnsi="Times New Roman" w:cs="Times New Roman"/>
          <w:i/>
          <w:iCs/>
          <w:sz w:val="20"/>
        </w:rPr>
        <w:t>i</w:t>
      </w:r>
      <w:r w:rsidRPr="000A2127">
        <w:rPr>
          <w:rFonts w:ascii="Times New Roman" w:hAnsi="Times New Roman" w:cs="Times New Roman"/>
          <w:sz w:val="20"/>
        </w:rPr>
        <w:t xml:space="preserve">Bsu1209 to guide a metabolic engineering strategy (knocking out </w:t>
      </w:r>
      <w:proofErr w:type="spellStart"/>
      <w:r w:rsidRPr="000A2127">
        <w:rPr>
          <w:rFonts w:ascii="Times New Roman" w:hAnsi="Times New Roman" w:cs="Times New Roman"/>
          <w:i/>
          <w:iCs/>
          <w:sz w:val="20"/>
        </w:rPr>
        <w:t>fabI</w:t>
      </w:r>
      <w:proofErr w:type="spellEnd"/>
      <w:r w:rsidRPr="000A2127">
        <w:rPr>
          <w:rFonts w:ascii="Times New Roman" w:hAnsi="Times New Roman" w:cs="Times New Roman"/>
          <w:i/>
          <w:iCs/>
          <w:sz w:val="20"/>
        </w:rPr>
        <w:t xml:space="preserve"> </w:t>
      </w:r>
      <w:r w:rsidRPr="000A2127">
        <w:rPr>
          <w:rFonts w:ascii="Times New Roman" w:hAnsi="Times New Roman" w:cs="Times New Roman"/>
          <w:sz w:val="20"/>
        </w:rPr>
        <w:t>and</w:t>
      </w:r>
      <w:r w:rsidRPr="000A2127">
        <w:rPr>
          <w:rFonts w:ascii="Times New Roman" w:hAnsi="Times New Roman" w:cs="Times New Roman"/>
          <w:i/>
          <w:iCs/>
          <w:sz w:val="20"/>
        </w:rPr>
        <w:t xml:space="preserve"> </w:t>
      </w:r>
      <w:proofErr w:type="spellStart"/>
      <w:r w:rsidRPr="000A2127">
        <w:rPr>
          <w:rFonts w:ascii="Times New Roman" w:hAnsi="Times New Roman" w:cs="Times New Roman"/>
          <w:i/>
          <w:iCs/>
          <w:sz w:val="20"/>
        </w:rPr>
        <w:t>yfkN</w:t>
      </w:r>
      <w:proofErr w:type="spellEnd"/>
      <w:r w:rsidRPr="000A2127">
        <w:rPr>
          <w:rFonts w:ascii="Times New Roman" w:hAnsi="Times New Roman" w:cs="Times New Roman"/>
          <w:i/>
          <w:iCs/>
          <w:sz w:val="20"/>
        </w:rPr>
        <w:t xml:space="preserve"> </w:t>
      </w:r>
      <w:r w:rsidRPr="000A2127">
        <w:rPr>
          <w:rFonts w:ascii="Times New Roman" w:hAnsi="Times New Roman" w:cs="Times New Roman"/>
          <w:sz w:val="20"/>
        </w:rPr>
        <w:t>genes) for the overproduction of nutraceutical menaquinone-7, and</w:t>
      </w:r>
      <w:r w:rsidRPr="000A2127">
        <w:rPr>
          <w:rFonts w:ascii="Times New Roman" w:hAnsi="Times New Roman" w:cs="Times New Roman"/>
          <w:color w:val="000000"/>
          <w:sz w:val="20"/>
        </w:rPr>
        <w:t xml:space="preserve"> the titer increased to </w:t>
      </w:r>
      <w:r w:rsidRPr="000A2127">
        <w:rPr>
          <w:rFonts w:ascii="Times New Roman" w:hAnsi="Times New Roman" w:cs="Times New Roman"/>
          <w:color w:val="000000"/>
          <w:sz w:val="20"/>
          <w:szCs w:val="20"/>
        </w:rPr>
        <w:t xml:space="preserve">153.94 </w:t>
      </w:r>
      <w:r w:rsidRPr="000A2127">
        <w:rPr>
          <w:rFonts w:ascii="Times New Roman" w:hAnsi="Times New Roman" w:cs="Times New Roman"/>
          <w:color w:val="000000"/>
          <w:sz w:val="20"/>
        </w:rPr>
        <w:t>mg/L, 2.2-times that of the parental strain.</w:t>
      </w:r>
      <w:r w:rsidRPr="000A2127">
        <w:rPr>
          <w:rFonts w:ascii="Times New Roman" w:hAnsi="Times New Roman" w:cs="Times New Roman"/>
          <w:sz w:val="20"/>
        </w:rPr>
        <w:t xml:space="preserve"> </w:t>
      </w:r>
      <w:bookmarkEnd w:id="6"/>
      <w:r w:rsidRPr="000A2127">
        <w:rPr>
          <w:rFonts w:ascii="Times New Roman" w:hAnsi="Times New Roman" w:cs="Times New Roman"/>
          <w:sz w:val="20"/>
        </w:rPr>
        <w:t>To the best of our knowledge, et</w:t>
      </w:r>
      <w:r w:rsidRPr="000A2127">
        <w:rPr>
          <w:rFonts w:ascii="Times New Roman" w:hAnsi="Times New Roman" w:cs="Times New Roman"/>
          <w:i/>
          <w:iCs/>
          <w:sz w:val="20"/>
        </w:rPr>
        <w:t>i</w:t>
      </w:r>
      <w:r w:rsidRPr="000A2127">
        <w:rPr>
          <w:rFonts w:ascii="Times New Roman" w:hAnsi="Times New Roman" w:cs="Times New Roman"/>
          <w:sz w:val="20"/>
        </w:rPr>
        <w:t xml:space="preserve">Bsu1209 is the first comprehensive multiscale model for </w:t>
      </w:r>
      <w:r w:rsidRPr="000A2127">
        <w:rPr>
          <w:rFonts w:ascii="Times New Roman" w:hAnsi="Times New Roman" w:cs="Times New Roman"/>
          <w:i/>
          <w:iCs/>
          <w:sz w:val="20"/>
        </w:rPr>
        <w:t>B. subti</w:t>
      </w:r>
      <w:r w:rsidRPr="000A2127">
        <w:rPr>
          <w:rFonts w:ascii="Times New Roman" w:hAnsi="Times New Roman" w:cs="Times New Roman"/>
          <w:sz w:val="20"/>
        </w:rPr>
        <w:t xml:space="preserve">lis and can serve as a solid basis for rational computational design of </w:t>
      </w:r>
      <w:r w:rsidRPr="000A2127">
        <w:rPr>
          <w:rFonts w:ascii="Times New Roman" w:hAnsi="Times New Roman" w:cs="Times New Roman"/>
          <w:i/>
          <w:iCs/>
          <w:sz w:val="20"/>
        </w:rPr>
        <w:t>B. subtilis</w:t>
      </w:r>
      <w:r w:rsidRPr="000A2127">
        <w:rPr>
          <w:rFonts w:ascii="Times New Roman" w:hAnsi="Times New Roman" w:cs="Times New Roman"/>
          <w:sz w:val="20"/>
        </w:rPr>
        <w:t xml:space="preserve"> cell factories for bioproduction. </w:t>
      </w:r>
    </w:p>
    <w:p w14:paraId="5BB79CAB" w14:textId="77777777" w:rsidR="008706DD" w:rsidRPr="000A2127" w:rsidRDefault="008706DD" w:rsidP="00074F8C">
      <w:pPr>
        <w:widowControl/>
        <w:spacing w:line="480" w:lineRule="auto"/>
        <w:rPr>
          <w:rFonts w:ascii="Times New Roman" w:hAnsi="Times New Roman" w:cs="Times New Roman"/>
          <w:sz w:val="20"/>
          <w:szCs w:val="20"/>
          <w:vertAlign w:val="subscript"/>
        </w:rPr>
      </w:pPr>
      <w:r w:rsidRPr="000A2127">
        <w:rPr>
          <w:rFonts w:ascii="Times New Roman" w:hAnsi="Times New Roman" w:cs="Times New Roman"/>
          <w:sz w:val="20"/>
          <w:szCs w:val="20"/>
        </w:rPr>
        <w:t xml:space="preserve">Keywords: comprehensive multiscale metabolic model, </w:t>
      </w:r>
      <w:r w:rsidRPr="000A2127">
        <w:rPr>
          <w:rFonts w:ascii="Times New Roman" w:hAnsi="Times New Roman" w:cs="Times New Roman"/>
          <w:color w:val="000000"/>
          <w:sz w:val="20"/>
          <w:szCs w:val="20"/>
        </w:rPr>
        <w:t xml:space="preserve">thermodynamics constraints, enzymatic constraints, transcriptional regulatory network model, </w:t>
      </w:r>
      <w:r w:rsidRPr="000A2127">
        <w:rPr>
          <w:rFonts w:ascii="Times New Roman" w:hAnsi="Times New Roman" w:cs="Times New Roman"/>
          <w:i/>
          <w:iCs/>
          <w:color w:val="000000"/>
          <w:sz w:val="20"/>
          <w:szCs w:val="20"/>
        </w:rPr>
        <w:t>Bacillus subtilis</w:t>
      </w:r>
    </w:p>
    <w:p w14:paraId="2E022FC7" w14:textId="77777777" w:rsidR="008706DD" w:rsidRPr="000A2127" w:rsidRDefault="008706DD">
      <w:pPr>
        <w:widowControl/>
        <w:spacing w:line="480" w:lineRule="auto"/>
        <w:rPr>
          <w:rFonts w:ascii="Times New Roman" w:hAnsi="Times New Roman" w:cs="Times New Roman"/>
          <w:sz w:val="20"/>
        </w:rPr>
      </w:pPr>
      <w:r w:rsidRPr="000A2127">
        <w:rPr>
          <w:rFonts w:ascii="Times New Roman" w:hAnsi="Times New Roman" w:cs="Times New Roman"/>
          <w:sz w:val="20"/>
        </w:rPr>
        <w:br w:type="page"/>
      </w:r>
    </w:p>
    <w:p w14:paraId="24EFAF19" w14:textId="48C42987" w:rsidR="008706DD" w:rsidRPr="000A2127" w:rsidRDefault="008706DD">
      <w:pPr>
        <w:pStyle w:val="Heading1"/>
        <w:spacing w:line="480" w:lineRule="auto"/>
        <w:rPr>
          <w:rFonts w:ascii="Times New Roman" w:hAnsi="Times New Roman" w:cs="Times New Roman"/>
          <w:szCs w:val="20"/>
        </w:rPr>
      </w:pPr>
      <w:r w:rsidRPr="000A2127">
        <w:rPr>
          <w:rFonts w:ascii="Times New Roman" w:hAnsi="Times New Roman" w:cs="Times New Roman"/>
          <w:szCs w:val="20"/>
        </w:rPr>
        <w:lastRenderedPageBreak/>
        <w:t xml:space="preserve">1. </w:t>
      </w:r>
      <w:r w:rsidR="00622E2F" w:rsidRPr="00D20D9A">
        <w:rPr>
          <w:rFonts w:cs="Arial"/>
        </w:rPr>
        <w:t>INTRODUCTION</w:t>
      </w:r>
    </w:p>
    <w:p w14:paraId="1A1D28B4"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Genome-scale Metabolic Models (GEMs) are important mathematical frameworks for analyzing the interactions between genotypes and phenotypes in cells </w:t>
      </w:r>
      <w:r w:rsidRPr="000A2127">
        <w:rPr>
          <w:rFonts w:ascii="Times New Roman" w:hAnsi="Times New Roman" w:cs="Times New Roman"/>
          <w:noProof/>
          <w:sz w:val="20"/>
          <w:szCs w:val="20"/>
        </w:rPr>
        <w:t>(O'Brien et al., 2015)</w:t>
      </w:r>
      <w:r w:rsidRPr="000A2127">
        <w:rPr>
          <w:rFonts w:ascii="Times New Roman" w:hAnsi="Times New Roman" w:cs="Times New Roman"/>
          <w:sz w:val="20"/>
          <w:szCs w:val="20"/>
        </w:rPr>
        <w:t xml:space="preserve">. GEMs have been widely used to explore the interactions between metabolic networks, guide the development of chassis cells, and predict engineering targets for overproducing a variety of biochemicals </w:t>
      </w:r>
      <w:r w:rsidRPr="000A2127">
        <w:rPr>
          <w:rFonts w:ascii="Times New Roman" w:hAnsi="Times New Roman" w:cs="Times New Roman"/>
          <w:noProof/>
          <w:sz w:val="20"/>
          <w:szCs w:val="20"/>
        </w:rPr>
        <w:t>(Kim et al., 2017)</w:t>
      </w:r>
      <w:r w:rsidRPr="000A2127">
        <w:rPr>
          <w:rFonts w:ascii="Times New Roman" w:hAnsi="Times New Roman" w:cs="Times New Roman"/>
          <w:sz w:val="20"/>
          <w:szCs w:val="20"/>
        </w:rPr>
        <w:t>. To date, there are annotated genome-wide data</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reconstructed GEMs for approximately 6000 microorganisms, including </w:t>
      </w:r>
      <w:r w:rsidRPr="000A2127">
        <w:rPr>
          <w:rFonts w:ascii="Times New Roman" w:hAnsi="Times New Roman" w:cs="Times New Roman"/>
          <w:i/>
          <w:iCs/>
          <w:sz w:val="20"/>
          <w:szCs w:val="20"/>
        </w:rPr>
        <w:t>Escherichia coli</w:t>
      </w:r>
      <w:r w:rsidRPr="000A2127">
        <w:rPr>
          <w:rFonts w:ascii="Times New Roman" w:hAnsi="Times New Roman" w:cs="Times New Roman"/>
          <w:sz w:val="20"/>
          <w:szCs w:val="20"/>
        </w:rPr>
        <w:t xml:space="preserve">, </w:t>
      </w:r>
      <w:r w:rsidRPr="000A2127">
        <w:rPr>
          <w:rFonts w:ascii="Times New Roman" w:hAnsi="Times New Roman" w:cs="Times New Roman"/>
          <w:i/>
          <w:iCs/>
          <w:sz w:val="20"/>
          <w:szCs w:val="20"/>
        </w:rPr>
        <w:t>Saccharomyces cerevisiae</w:t>
      </w:r>
      <w:r w:rsidRPr="000A2127">
        <w:rPr>
          <w:rFonts w:ascii="Times New Roman" w:hAnsi="Times New Roman" w:cs="Times New Roman"/>
          <w:sz w:val="20"/>
          <w:szCs w:val="20"/>
        </w:rPr>
        <w:t xml:space="preserve">, and </w:t>
      </w:r>
      <w:r w:rsidRPr="000A2127">
        <w:rPr>
          <w:rFonts w:ascii="Times New Roman" w:hAnsi="Times New Roman" w:cs="Times New Roman"/>
          <w:i/>
          <w:iCs/>
          <w:sz w:val="20"/>
          <w:szCs w:val="20"/>
        </w:rPr>
        <w:t>Bacillus subtilis</w:t>
      </w:r>
      <w:r w:rsidRPr="000A2127">
        <w:rPr>
          <w:rFonts w:ascii="Times New Roman" w:hAnsi="Times New Roman" w:cs="Times New Roman"/>
          <w:sz w:val="20"/>
          <w:szCs w:val="20"/>
        </w:rPr>
        <w:t>. For these classical industrial microorganisms several generations of GEMs have been built by mining genomic information</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with the help of advances in omics technologies </w:t>
      </w:r>
      <w:r w:rsidRPr="000A2127">
        <w:rPr>
          <w:rFonts w:ascii="Times New Roman" w:hAnsi="Times New Roman" w:cs="Times New Roman"/>
          <w:noProof/>
          <w:sz w:val="20"/>
          <w:szCs w:val="20"/>
        </w:rPr>
        <w:t>(Gu et al., 2019)</w:t>
      </w:r>
      <w:r w:rsidRPr="000A2127">
        <w:rPr>
          <w:rFonts w:ascii="Times New Roman" w:hAnsi="Times New Roman" w:cs="Times New Roman"/>
          <w:sz w:val="20"/>
          <w:szCs w:val="20"/>
        </w:rPr>
        <w:t xml:space="preserve">. </w:t>
      </w:r>
    </w:p>
    <w:p w14:paraId="6BAF33F7"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is a gram-positive microorganism commonly used as a chassis to produce a variety of enzymes, natural products, functional nutraceuticals, and biomass feedstocks </w:t>
      </w:r>
      <w:r w:rsidRPr="000A2127">
        <w:rPr>
          <w:rFonts w:ascii="Times New Roman" w:hAnsi="Times New Roman" w:cs="Times New Roman"/>
          <w:noProof/>
          <w:sz w:val="20"/>
          <w:szCs w:val="20"/>
        </w:rPr>
        <w:t>(Su et al., 2020)</w:t>
      </w:r>
      <w:r w:rsidRPr="000A2127">
        <w:rPr>
          <w:rFonts w:ascii="Times New Roman" w:hAnsi="Times New Roman" w:cs="Times New Roman"/>
          <w:sz w:val="20"/>
          <w:szCs w:val="20"/>
        </w:rPr>
        <w:t xml:space="preserve">. To date, seven GEMs have been reported for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t>
      </w:r>
      <w:r w:rsidRPr="000A2127">
        <w:rPr>
          <w:rFonts w:ascii="Times New Roman" w:hAnsi="Times New Roman" w:cs="Times New Roman"/>
          <w:sz w:val="20"/>
        </w:rPr>
        <w:t>Table</w:t>
      </w:r>
      <w:r w:rsidRPr="000A2127">
        <w:rPr>
          <w:rFonts w:ascii="Times New Roman" w:hAnsi="Times New Roman" w:cs="Times New Roman"/>
          <w:sz w:val="20"/>
          <w:szCs w:val="20"/>
        </w:rPr>
        <w:t xml:space="preserve"> 1). In particular, the central model </w:t>
      </w:r>
      <w:r w:rsidRPr="000A2127">
        <w:rPr>
          <w:rFonts w:ascii="Times New Roman" w:hAnsi="Times New Roman" w:cs="Times New Roman"/>
          <w:noProof/>
          <w:sz w:val="20"/>
          <w:szCs w:val="20"/>
        </w:rPr>
        <w:t>(Goelzer et al., 2008)</w:t>
      </w:r>
      <w:r w:rsidRPr="000A2127">
        <w:rPr>
          <w:rFonts w:ascii="Times New Roman" w:hAnsi="Times New Roman" w:cs="Times New Roman"/>
          <w:sz w:val="20"/>
          <w:szCs w:val="20"/>
        </w:rPr>
        <w:t xml:space="preserve">, </w:t>
      </w:r>
      <w:r w:rsidRPr="007001FF">
        <w:rPr>
          <w:rFonts w:ascii="Times New Roman" w:hAnsi="Times New Roman" w:cs="Times New Roman"/>
          <w:i/>
          <w:iCs/>
          <w:sz w:val="20"/>
          <w:szCs w:val="20"/>
        </w:rPr>
        <w:t>i</w:t>
      </w:r>
      <w:r w:rsidRPr="000A2127">
        <w:rPr>
          <w:rFonts w:ascii="Times New Roman" w:hAnsi="Times New Roman" w:cs="Times New Roman"/>
          <w:sz w:val="20"/>
          <w:szCs w:val="20"/>
        </w:rPr>
        <w:t>YO844</w:t>
      </w:r>
      <w:r>
        <w:rPr>
          <w:rFonts w:ascii="Times New Roman" w:hAnsi="Times New Roman" w:cs="Times New Roman"/>
          <w:sz w:val="20"/>
          <w:szCs w:val="20"/>
        </w:rPr>
        <w:t xml:space="preserve"> </w:t>
      </w:r>
      <w:r w:rsidRPr="000A2127">
        <w:rPr>
          <w:rFonts w:ascii="Times New Roman" w:hAnsi="Times New Roman" w:cs="Times New Roman"/>
          <w:noProof/>
          <w:sz w:val="20"/>
          <w:szCs w:val="20"/>
        </w:rPr>
        <w:t>(Oh et al., 2007)</w:t>
      </w:r>
      <w:r w:rsidRPr="000A2127">
        <w:rPr>
          <w:rFonts w:ascii="Times New Roman" w:hAnsi="Times New Roman" w:cs="Times New Roman"/>
          <w:sz w:val="20"/>
        </w:rPr>
        <w:t>, and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Bsu1103 </w:t>
      </w:r>
      <w:r w:rsidRPr="000A2127">
        <w:rPr>
          <w:rFonts w:ascii="Times New Roman" w:hAnsi="Times New Roman" w:cs="Times New Roman"/>
          <w:noProof/>
          <w:sz w:val="20"/>
          <w:szCs w:val="20"/>
        </w:rPr>
        <w:t>(Henry et al., 2009)</w:t>
      </w:r>
      <w:r w:rsidRPr="000A2127">
        <w:rPr>
          <w:rFonts w:ascii="Times New Roman" w:hAnsi="Times New Roman" w:cs="Times New Roman"/>
          <w:sz w:val="20"/>
          <w:szCs w:val="20"/>
        </w:rPr>
        <w:t xml:space="preserve"> determined the biomass equation and maximized cellular synthesis. With three updates in genome annotation, the scale of the models was expanded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Bsu1103V2</w:t>
      </w:r>
      <w:r>
        <w:rPr>
          <w:rFonts w:ascii="Times New Roman" w:hAnsi="Times New Roman" w:cs="Times New Roman"/>
          <w:sz w:val="20"/>
          <w:szCs w:val="20"/>
        </w:rPr>
        <w:t xml:space="preserve"> </w:t>
      </w:r>
      <w:r w:rsidRPr="000A2127">
        <w:rPr>
          <w:rFonts w:ascii="Times New Roman" w:hAnsi="Times New Roman" w:cs="Times New Roman"/>
          <w:noProof/>
          <w:sz w:val="20"/>
          <w:szCs w:val="20"/>
        </w:rPr>
        <w:t>(Tanaka et al., 2013)</w:t>
      </w:r>
      <w:r w:rsidRPr="000A2127">
        <w:rPr>
          <w:rFonts w:ascii="Times New Roman" w:hAnsi="Times New Roman" w:cs="Times New Roman"/>
          <w:sz w:val="20"/>
          <w:szCs w:val="20"/>
        </w:rPr>
        <w:t>, and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was used for the metabolic engineering-based design of riboflavin</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isobutanol</w:t>
      </w:r>
      <w:proofErr w:type="spellEnd"/>
      <w:r w:rsidRPr="000A2127">
        <w:rPr>
          <w:rFonts w:ascii="Times New Roman" w:hAnsi="Times New Roman" w:cs="Times New Roman"/>
          <w:sz w:val="20"/>
          <w:szCs w:val="20"/>
        </w:rPr>
        <w:t xml:space="preserve"> </w:t>
      </w:r>
      <w:r w:rsidRPr="000A2127">
        <w:rPr>
          <w:rFonts w:ascii="Times New Roman" w:hAnsi="Times New Roman" w:cs="Times New Roman"/>
          <w:noProof/>
          <w:sz w:val="20"/>
          <w:szCs w:val="20"/>
        </w:rPr>
        <w:t>(Hao et al., 2013)</w:t>
      </w:r>
      <w:r w:rsidRPr="000A2127">
        <w:rPr>
          <w:rFonts w:ascii="Times New Roman" w:hAnsi="Times New Roman" w:cs="Times New Roman"/>
          <w:color w:val="000000"/>
          <w:sz w:val="20"/>
          <w:szCs w:val="20"/>
        </w:rPr>
        <w:t>; interestingly,</w:t>
      </w:r>
      <w:r w:rsidRPr="000A2127">
        <w:rPr>
          <w:rFonts w:ascii="Times New Roman" w:hAnsi="Times New Roman" w:cs="Times New Roman"/>
          <w:i/>
          <w:iCs/>
          <w:color w:val="000000"/>
          <w:sz w:val="20"/>
          <w:szCs w:val="20"/>
        </w:rPr>
        <w:t xml:space="preserve"> i</w:t>
      </w:r>
      <w:r w:rsidRPr="000A2127">
        <w:rPr>
          <w:rFonts w:ascii="Times New Roman" w:hAnsi="Times New Roman" w:cs="Times New Roman"/>
          <w:color w:val="000000"/>
          <w:sz w:val="20"/>
          <w:szCs w:val="20"/>
        </w:rPr>
        <w:t xml:space="preserve">Bsu1144 was used to guide the synthesis of the serine alkaline protease </w:t>
      </w:r>
      <w:r w:rsidRPr="000A2127">
        <w:rPr>
          <w:rFonts w:ascii="Times New Roman" w:hAnsi="Times New Roman" w:cs="Times New Roman"/>
          <w:noProof/>
          <w:color w:val="000000"/>
          <w:sz w:val="20"/>
          <w:szCs w:val="20"/>
        </w:rPr>
        <w:t>(Kocabaş et al., 2017)</w:t>
      </w:r>
      <w:r w:rsidRPr="000A2127">
        <w:rPr>
          <w:rFonts w:ascii="Times New Roman" w:hAnsi="Times New Roman" w:cs="Times New Roman"/>
          <w:color w:val="000000"/>
          <w:sz w:val="20"/>
          <w:szCs w:val="20"/>
        </w:rPr>
        <w:t>. F</w:t>
      </w:r>
      <w:r w:rsidRPr="000A2127">
        <w:rPr>
          <w:rFonts w:ascii="Times New Roman" w:hAnsi="Times New Roman" w:cs="Times New Roman"/>
          <w:sz w:val="20"/>
          <w:szCs w:val="20"/>
        </w:rPr>
        <w:t>inally, the enzymatic data of central carbon metabolism</w:t>
      </w:r>
      <w:r w:rsidRPr="000A2127">
        <w:rPr>
          <w:rFonts w:ascii="Times New Roman" w:hAnsi="Times New Roman" w:cs="Times New Roman"/>
          <w:sz w:val="20"/>
        </w:rPr>
        <w:t xml:space="preserve"> was </w:t>
      </w:r>
      <w:r w:rsidRPr="000A2127">
        <w:rPr>
          <w:rFonts w:ascii="Times New Roman" w:hAnsi="Times New Roman" w:cs="Times New Roman"/>
          <w:sz w:val="20"/>
          <w:szCs w:val="20"/>
        </w:rPr>
        <w:t>integrated in ec</w:t>
      </w:r>
      <w:r w:rsidRPr="007001FF">
        <w:rPr>
          <w:rFonts w:ascii="Times New Roman" w:hAnsi="Times New Roman" w:cs="Times New Roman"/>
          <w:i/>
          <w:iCs/>
          <w:sz w:val="20"/>
          <w:szCs w:val="20"/>
        </w:rPr>
        <w:t>i</w:t>
      </w:r>
      <w:r w:rsidRPr="000A2127">
        <w:rPr>
          <w:rFonts w:ascii="Times New Roman" w:hAnsi="Times New Roman" w:cs="Times New Roman"/>
          <w:sz w:val="20"/>
          <w:szCs w:val="20"/>
        </w:rPr>
        <w:t xml:space="preserve">YO844, </w:t>
      </w:r>
      <w:r w:rsidRPr="000A2127">
        <w:rPr>
          <w:rFonts w:ascii="Times New Roman" w:hAnsi="Times New Roman" w:cs="Times New Roman"/>
          <w:sz w:val="20"/>
        </w:rPr>
        <w:t>which</w:t>
      </w:r>
      <w:r w:rsidRPr="000A2127">
        <w:rPr>
          <w:rFonts w:ascii="Times New Roman" w:hAnsi="Times New Roman" w:cs="Times New Roman"/>
          <w:sz w:val="20"/>
          <w:szCs w:val="20"/>
        </w:rPr>
        <w:t xml:space="preserve"> was eventually used to design strains producing poly-γ-glutamic acid at high levels </w:t>
      </w:r>
      <w:r w:rsidRPr="000A2127">
        <w:rPr>
          <w:rFonts w:ascii="Times New Roman" w:hAnsi="Times New Roman" w:cs="Times New Roman"/>
          <w:noProof/>
          <w:sz w:val="20"/>
          <w:szCs w:val="20"/>
        </w:rPr>
        <w:t>(Massaiu et al., 2019)</w:t>
      </w:r>
      <w:r w:rsidRPr="000A2127">
        <w:rPr>
          <w:rFonts w:ascii="Times New Roman" w:hAnsi="Times New Roman" w:cs="Times New Roman"/>
          <w:sz w:val="20"/>
          <w:szCs w:val="20"/>
        </w:rPr>
        <w:t xml:space="preserve">. However, the abovementioned GEMs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were constructed based on different database sources</w:t>
      </w:r>
      <w:r w:rsidRPr="000A2127">
        <w:rPr>
          <w:rFonts w:ascii="Times New Roman" w:hAnsi="Times New Roman" w:cs="Times New Roman"/>
        </w:rPr>
        <w:t xml:space="preserve"> </w:t>
      </w:r>
      <w:r w:rsidRPr="000A2127">
        <w:rPr>
          <w:rFonts w:ascii="Times New Roman" w:hAnsi="Times New Roman" w:cs="Times New Roman"/>
          <w:sz w:val="20"/>
          <w:szCs w:val="20"/>
        </w:rPr>
        <w:t>and only limited experimental data or functions from the cobra toolbox were used to identify gaps in the metabolic network. Therefore, there existing metabolic networks are still incomplete and show low prediction accuracy.</w:t>
      </w:r>
    </w:p>
    <w:p w14:paraId="3B697BDF" w14:textId="77777777" w:rsidR="008706DD" w:rsidRPr="000A2127" w:rsidRDefault="008706DD">
      <w:pPr>
        <w:spacing w:line="480" w:lineRule="auto"/>
        <w:ind w:firstLineChars="200" w:firstLine="400"/>
        <w:rPr>
          <w:rFonts w:ascii="Times New Roman" w:hAnsi="Times New Roman" w:cs="Times New Roman"/>
          <w:color w:val="000000"/>
          <w:sz w:val="20"/>
          <w:szCs w:val="20"/>
        </w:rPr>
      </w:pPr>
      <w:r w:rsidRPr="000A2127">
        <w:rPr>
          <w:rFonts w:ascii="Times New Roman" w:hAnsi="Times New Roman" w:cs="Times New Roman"/>
          <w:color w:val="000000"/>
          <w:sz w:val="20"/>
          <w:szCs w:val="20"/>
        </w:rPr>
        <w:lastRenderedPageBreak/>
        <w:t xml:space="preserve">With the continuously increased availability of biological big data, machine learning has been used in the construction and prediction of GEMs. For example, combining GEM with machine learning to screen biosensors effectively increased tryptophan titers by 74% </w:t>
      </w:r>
      <w:r w:rsidRPr="000A2127">
        <w:rPr>
          <w:rFonts w:ascii="Times New Roman" w:hAnsi="Times New Roman" w:cs="Times New Roman"/>
          <w:noProof/>
          <w:color w:val="000000"/>
          <w:sz w:val="20"/>
          <w:szCs w:val="20"/>
        </w:rPr>
        <w:t>(Zhang et al., 2020)</w:t>
      </w:r>
      <w:r w:rsidRPr="000A2127">
        <w:rPr>
          <w:rFonts w:ascii="Times New Roman" w:hAnsi="Times New Roman" w:cs="Times New Roman"/>
          <w:color w:val="000000"/>
          <w:sz w:val="20"/>
          <w:szCs w:val="20"/>
        </w:rPr>
        <w:t xml:space="preserve">; the integration of convolutional neural network with random forest algorithm can effectively predict the corresponding metabolic pathways of compounds with an accuracy rate of 95.16% </w:t>
      </w:r>
      <w:r w:rsidRPr="000A2127">
        <w:rPr>
          <w:rFonts w:ascii="Times New Roman" w:hAnsi="Times New Roman" w:cs="Times New Roman"/>
          <w:noProof/>
          <w:color w:val="000000"/>
          <w:sz w:val="20"/>
          <w:szCs w:val="20"/>
        </w:rPr>
        <w:t>(Baranwal et al., 2019)</w:t>
      </w:r>
      <w:r w:rsidRPr="000A2127">
        <w:rPr>
          <w:rFonts w:ascii="Times New Roman" w:hAnsi="Times New Roman" w:cs="Times New Roman"/>
          <w:color w:val="000000"/>
          <w:sz w:val="20"/>
          <w:szCs w:val="20"/>
        </w:rPr>
        <w:t xml:space="preserve">; the enzymatic kinetic properties of the metabolic network in a model were elucidated by machine learning </w:t>
      </w:r>
      <w:r w:rsidRPr="000A2127">
        <w:rPr>
          <w:rFonts w:ascii="Times New Roman" w:hAnsi="Times New Roman" w:cs="Times New Roman"/>
          <w:noProof/>
          <w:color w:val="000000"/>
          <w:sz w:val="20"/>
          <w:szCs w:val="20"/>
        </w:rPr>
        <w:t>(Heckmann et al., 2018)</w:t>
      </w:r>
      <w:r w:rsidRPr="000A2127">
        <w:rPr>
          <w:rFonts w:ascii="Times New Roman" w:hAnsi="Times New Roman" w:cs="Times New Roman"/>
          <w:color w:val="000000"/>
          <w:sz w:val="20"/>
          <w:szCs w:val="20"/>
        </w:rPr>
        <w:t xml:space="preserve">. Recently, an automated metabolic model ensemble-driven elimination of uncertainty with statistical learning (AMMEDEUS) was developed to apply machine learning to identify structural changes in the model with the greatest impact on the simulations </w:t>
      </w:r>
      <w:r w:rsidRPr="000A2127">
        <w:rPr>
          <w:rFonts w:ascii="Times New Roman" w:hAnsi="Times New Roman" w:cs="Times New Roman"/>
          <w:noProof/>
          <w:color w:val="000000"/>
          <w:sz w:val="20"/>
          <w:szCs w:val="20"/>
        </w:rPr>
        <w:t>(Medlock and Papin, 2020)</w:t>
      </w:r>
      <w:r w:rsidRPr="000A2127">
        <w:rPr>
          <w:rFonts w:ascii="Times New Roman" w:hAnsi="Times New Roman" w:cs="Times New Roman"/>
          <w:color w:val="000000"/>
          <w:sz w:val="20"/>
          <w:szCs w:val="20"/>
        </w:rPr>
        <w:t>. This function informs about which parts of the model needs to be changed to further improve predictability.</w:t>
      </w:r>
    </w:p>
    <w:p w14:paraId="58C1FEA4"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Flux balance analysis (FBA) is the most widely used algorithm for characterizing model phenotypes</w:t>
      </w:r>
      <w:r>
        <w:rPr>
          <w:rFonts w:ascii="Times New Roman" w:hAnsi="Times New Roman" w:cs="Times New Roman"/>
          <w:sz w:val="20"/>
          <w:szCs w:val="20"/>
        </w:rPr>
        <w:t xml:space="preserve"> </w:t>
      </w:r>
      <w:r w:rsidRPr="000A2127">
        <w:rPr>
          <w:rFonts w:ascii="Times New Roman" w:hAnsi="Times New Roman" w:cs="Times New Roman"/>
          <w:noProof/>
          <w:sz w:val="20"/>
          <w:szCs w:val="20"/>
        </w:rPr>
        <w:t>(Orth et al., 2010)</w:t>
      </w:r>
      <w:r w:rsidRPr="000A2127">
        <w:rPr>
          <w:rFonts w:ascii="Times New Roman" w:hAnsi="Times New Roman" w:cs="Times New Roman"/>
          <w:sz w:val="20"/>
          <w:szCs w:val="20"/>
        </w:rPr>
        <w:t xml:space="preserve">, however it has limitations in calculating enzyme catalytic capacity, exploring the feasibility of metabolic reaction fluxes, and characterizing genetic perturbations under environmental conditions. To overcome these issues, multiple constraints and omics data have been incorporated into models. For example, thermodynamically based flux equilibrium analysis (TFA) couples each reaction direction in the model with the Gibbs free energy of the reactions in the metabolic network to resolve infeasible predictions of the reversibility of reactions in the model </w:t>
      </w:r>
      <w:r w:rsidRPr="000A2127">
        <w:rPr>
          <w:rFonts w:ascii="Times New Roman" w:hAnsi="Times New Roman" w:cs="Times New Roman"/>
          <w:noProof/>
          <w:sz w:val="20"/>
          <w:szCs w:val="20"/>
        </w:rPr>
        <w:t>(Henry et al., 2007; Salvy et al., 2019)</w:t>
      </w:r>
      <w:r w:rsidRPr="000A2127">
        <w:rPr>
          <w:rFonts w:ascii="Times New Roman" w:hAnsi="Times New Roman" w:cs="Times New Roman"/>
          <w:sz w:val="20"/>
          <w:szCs w:val="20"/>
        </w:rPr>
        <w:t xml:space="preserve">. Genome-scale models with Enzymatic Constraints using Kinetic and Omics data (GECKO) incorporate the kinetic parameters of enzymes into metabolic reactions </w:t>
      </w:r>
      <w:r w:rsidRPr="000A2127">
        <w:rPr>
          <w:rFonts w:ascii="Times New Roman" w:hAnsi="Times New Roman" w:cs="Times New Roman"/>
          <w:noProof/>
          <w:sz w:val="20"/>
          <w:szCs w:val="20"/>
        </w:rPr>
        <w:t>(Sanchez et al., 2017)</w:t>
      </w:r>
      <w:r w:rsidRPr="000A2127">
        <w:rPr>
          <w:rFonts w:ascii="Times New Roman" w:hAnsi="Times New Roman" w:cs="Times New Roman"/>
          <w:sz w:val="20"/>
          <w:szCs w:val="20"/>
        </w:rPr>
        <w:t xml:space="preserve">, adding enzyme abundance constraints to the reactions in the model to reveal the effects of the catalytic activities of enzymes on metabolic regulation. </w:t>
      </w:r>
      <w:r w:rsidRPr="000A2127">
        <w:rPr>
          <w:rFonts w:ascii="Times New Roman" w:hAnsi="Times New Roman" w:cs="Times New Roman"/>
          <w:sz w:val="20"/>
        </w:rPr>
        <w:t xml:space="preserve">Probabilistic </w:t>
      </w:r>
      <w:r w:rsidRPr="000A2127">
        <w:rPr>
          <w:rFonts w:ascii="Times New Roman" w:hAnsi="Times New Roman" w:cs="Times New Roman"/>
          <w:sz w:val="20"/>
          <w:szCs w:val="20"/>
        </w:rPr>
        <w:t xml:space="preserve">regulation of metabolism (PROM) can directly integrate </w:t>
      </w:r>
      <w:r w:rsidRPr="000A2127">
        <w:rPr>
          <w:rFonts w:ascii="Times New Roman" w:hAnsi="Times New Roman" w:cs="Times New Roman"/>
          <w:sz w:val="20"/>
          <w:szCs w:val="20"/>
        </w:rPr>
        <w:lastRenderedPageBreak/>
        <w:t xml:space="preserve">transcriptional regulatory networks and metabolic networks during modeling to explore the effect of gene expression on metabolic fluxes under dynamic environmental signals </w:t>
      </w:r>
      <w:r w:rsidRPr="000A2127">
        <w:rPr>
          <w:rFonts w:ascii="Times New Roman" w:hAnsi="Times New Roman" w:cs="Times New Roman"/>
          <w:noProof/>
          <w:sz w:val="20"/>
          <w:szCs w:val="20"/>
        </w:rPr>
        <w:t>(Chandrasekaran and Price, 2010)</w:t>
      </w:r>
      <w:r w:rsidRPr="000A2127">
        <w:rPr>
          <w:rFonts w:ascii="Times New Roman" w:hAnsi="Times New Roman" w:cs="Times New Roman"/>
          <w:sz w:val="20"/>
          <w:szCs w:val="20"/>
        </w:rPr>
        <w:t xml:space="preserve">. However, a comprehensive multiscale GEM integrating multiple constraints and omics has not yet been reported for </w:t>
      </w:r>
      <w:r w:rsidRPr="000A2127">
        <w:rPr>
          <w:rFonts w:ascii="Times New Roman" w:hAnsi="Times New Roman" w:cs="Times New Roman"/>
          <w:i/>
          <w:iCs/>
          <w:sz w:val="20"/>
          <w:szCs w:val="20"/>
        </w:rPr>
        <w:t>B. subtilis.</w:t>
      </w:r>
    </w:p>
    <w:p w14:paraId="2552B13F" w14:textId="18DBD022"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In this study, we constructed an updated version of the GEM based on the latest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168 genome annotation, named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w:t>
      </w:r>
      <w:r w:rsidRPr="000A2127">
        <w:rPr>
          <w:rFonts w:ascii="Times New Roman" w:hAnsi="Times New Roman" w:cs="Times New Roman"/>
          <w:color w:val="000000"/>
          <w:sz w:val="20"/>
          <w:szCs w:val="20"/>
        </w:rPr>
        <w:t xml:space="preserve">. We filled gaps by machine learning tool AMMEDEUS and visualized the metabolic network by </w:t>
      </w:r>
      <w:proofErr w:type="spellStart"/>
      <w:r w:rsidRPr="000A2127">
        <w:rPr>
          <w:rFonts w:ascii="Times New Roman" w:hAnsi="Times New Roman" w:cs="Times New Roman"/>
          <w:color w:val="000000"/>
          <w:sz w:val="20"/>
          <w:szCs w:val="20"/>
        </w:rPr>
        <w:t>BiKEGG</w:t>
      </w:r>
      <w:proofErr w:type="spellEnd"/>
      <w:r w:rsidRPr="000A2127">
        <w:rPr>
          <w:rFonts w:ascii="Times New Roman" w:hAnsi="Times New Roman" w:cs="Times New Roman"/>
          <w:color w:val="000000"/>
          <w:sz w:val="20"/>
          <w:szCs w:val="20"/>
        </w:rPr>
        <w:t xml:space="preserve">. </w:t>
      </w:r>
      <w:r w:rsidRPr="000A2127">
        <w:rPr>
          <w:rFonts w:ascii="Times New Roman" w:hAnsi="Times New Roman" w:cs="Times New Roman"/>
          <w:sz w:val="20"/>
          <w:szCs w:val="20"/>
        </w:rPr>
        <w:t xml:space="preserve">We developed a graphical user interface based on GECKO, </w:t>
      </w:r>
      <w:proofErr w:type="spellStart"/>
      <w:r w:rsidRPr="000A2127">
        <w:rPr>
          <w:rFonts w:ascii="Times New Roman" w:hAnsi="Times New Roman" w:cs="Times New Roman"/>
          <w:sz w:val="20"/>
          <w:szCs w:val="20"/>
        </w:rPr>
        <w:t>matTFA</w:t>
      </w:r>
      <w:proofErr w:type="spellEnd"/>
      <w:r w:rsidRPr="000A2127">
        <w:rPr>
          <w:rFonts w:ascii="Times New Roman" w:hAnsi="Times New Roman" w:cs="Times New Roman"/>
          <w:sz w:val="20"/>
          <w:szCs w:val="20"/>
        </w:rPr>
        <w:t xml:space="preserve"> and PROM, called Model Tool, for the construction and analysis of multiscale GEMs with multiple omics and constraints. Based on this, we constructed a comprehensive metabolic model,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integrating enzymatic constraints, thermodynamic constraints, and transcriptional regulatory networks from </w:t>
      </w:r>
      <w:r w:rsidRPr="000A2127">
        <w:rPr>
          <w:rFonts w:ascii="Times New Roman" w:hAnsi="Times New Roman" w:cs="Times New Roman"/>
          <w:i/>
          <w:iCs/>
          <w:sz w:val="20"/>
          <w:szCs w:val="20"/>
        </w:rPr>
        <w:t xml:space="preserve">B. subtilis </w:t>
      </w:r>
      <w:r w:rsidRPr="000A2127">
        <w:rPr>
          <w:rFonts w:ascii="Times New Roman" w:hAnsi="Times New Roman" w:cs="Times New Roman"/>
          <w:sz w:val="20"/>
          <w:szCs w:val="20"/>
        </w:rPr>
        <w:t>(Fig. 1). The simulation results showed that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effectively reduced the solution space through multiple constraints and improved the prediction accuracy of the model.</w:t>
      </w:r>
      <w:r w:rsidRPr="000A2127">
        <w:rPr>
          <w:rFonts w:ascii="Times New Roman" w:hAnsi="Times New Roman" w:cs="Times New Roman"/>
          <w:color w:val="FF0000"/>
          <w:sz w:val="20"/>
          <w:szCs w:val="20"/>
        </w:rPr>
        <w:t xml:space="preserve"> </w:t>
      </w:r>
      <w:r w:rsidRPr="000A2127">
        <w:rPr>
          <w:rFonts w:ascii="Times New Roman" w:hAnsi="Times New Roman" w:cs="Times New Roman"/>
          <w:sz w:val="20"/>
          <w:szCs w:val="20"/>
        </w:rPr>
        <w:t>In addition, we used e</w:t>
      </w:r>
      <w:r w:rsidRPr="000A2127">
        <w:rPr>
          <w:rFonts w:ascii="Times New Roman" w:hAnsi="Times New Roman" w:cs="Times New Roman"/>
          <w:color w:val="000000"/>
          <w:sz w:val="20"/>
          <w:szCs w:val="20"/>
        </w:rPr>
        <w:t>t</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to guide a metabolic engineering strategy to improve the production of menaquinone-7 (MK-7), which increased to 2.2 times that of the parental strain.</w:t>
      </w:r>
      <w:r w:rsidRPr="000A2127">
        <w:rPr>
          <w:rFonts w:ascii="Times New Roman" w:hAnsi="Times New Roman" w:cs="Times New Roman"/>
          <w:sz w:val="20"/>
          <w:szCs w:val="20"/>
        </w:rPr>
        <w:t xml:space="preserve">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provides new insights into </w:t>
      </w:r>
      <w:r w:rsidRPr="000A2127">
        <w:rPr>
          <w:rFonts w:ascii="Times New Roman" w:hAnsi="Times New Roman" w:cs="Times New Roman"/>
          <w:i/>
          <w:iCs/>
          <w:sz w:val="20"/>
          <w:szCs w:val="20"/>
        </w:rPr>
        <w:t xml:space="preserve">B. subtilis </w:t>
      </w:r>
      <w:r w:rsidRPr="000A2127">
        <w:rPr>
          <w:rFonts w:ascii="Times New Roman" w:hAnsi="Times New Roman" w:cs="Times New Roman"/>
          <w:sz w:val="20"/>
          <w:szCs w:val="20"/>
        </w:rPr>
        <w:t>metabolism and theoretical guidance for the computational design of model-driven chassis cells for bioproduction. Further, Model Tool can be generally used to construct comprehensive multiscale models for the other organisms and strains without the need of computational skills.</w:t>
      </w:r>
    </w:p>
    <w:p w14:paraId="7066854A" w14:textId="77777777" w:rsidR="008706DD" w:rsidRPr="000A2127" w:rsidRDefault="008706DD">
      <w:pPr>
        <w:spacing w:line="480" w:lineRule="auto"/>
        <w:ind w:firstLineChars="200" w:firstLine="400"/>
        <w:rPr>
          <w:rFonts w:ascii="Times New Roman" w:hAnsi="Times New Roman" w:cs="Times New Roman"/>
          <w:sz w:val="20"/>
          <w:szCs w:val="20"/>
        </w:rPr>
      </w:pPr>
    </w:p>
    <w:p w14:paraId="28146C0F" w14:textId="2D716D80" w:rsidR="008706DD" w:rsidRPr="000A2127" w:rsidRDefault="008706DD" w:rsidP="003A4129">
      <w:pPr>
        <w:pStyle w:val="Heading1"/>
        <w:spacing w:line="480" w:lineRule="auto"/>
        <w:rPr>
          <w:rFonts w:ascii="Times New Roman" w:hAnsi="Times New Roman" w:cs="Times New Roman"/>
          <w:b w:val="0"/>
          <w:bCs w:val="0"/>
          <w:szCs w:val="20"/>
        </w:rPr>
      </w:pPr>
      <w:r w:rsidRPr="000A2127">
        <w:rPr>
          <w:rFonts w:ascii="Times New Roman" w:hAnsi="Times New Roman" w:cs="Times New Roman"/>
        </w:rPr>
        <w:lastRenderedPageBreak/>
        <w:t xml:space="preserve">2. </w:t>
      </w:r>
      <w:r w:rsidR="00622E2F" w:rsidRPr="00622E2F">
        <w:t>MATERIALS AND METHODS</w:t>
      </w:r>
    </w:p>
    <w:p w14:paraId="32823ED0"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rPr>
        <w:t xml:space="preserve">2.1 Multiple constraints of the model </w:t>
      </w:r>
    </w:p>
    <w:p w14:paraId="49B0705A" w14:textId="77777777" w:rsidR="008706DD" w:rsidRPr="000A2127" w:rsidRDefault="008706DD" w:rsidP="003A4129">
      <w:pPr>
        <w:widowControl/>
        <w:spacing w:line="480" w:lineRule="auto"/>
        <w:ind w:firstLineChars="200" w:firstLine="400"/>
        <w:rPr>
          <w:rFonts w:ascii="Times New Roman" w:hAnsi="Times New Roman" w:cs="Times New Roman"/>
          <w:sz w:val="20"/>
          <w:szCs w:val="20"/>
        </w:rPr>
      </w:pPr>
      <w:r w:rsidRPr="000A2127">
        <w:rPr>
          <w:rFonts w:ascii="Times New Roman" w:hAnsi="Times New Roman" w:cs="Times New Roman"/>
          <w:noProof/>
          <w:sz w:val="20"/>
          <w:szCs w:val="20"/>
        </w:rPr>
        <mc:AlternateContent>
          <mc:Choice Requires="wps">
            <w:drawing>
              <wp:anchor distT="45720" distB="45720" distL="114300" distR="114300" simplePos="0" relativeHeight="251660288" behindDoc="0" locked="0" layoutInCell="1" allowOverlap="1" wp14:anchorId="3DE8D706" wp14:editId="288DC5F7">
                <wp:simplePos x="0" y="0"/>
                <wp:positionH relativeFrom="column">
                  <wp:posOffset>4773295</wp:posOffset>
                </wp:positionH>
                <wp:positionV relativeFrom="paragraph">
                  <wp:posOffset>1287145</wp:posOffset>
                </wp:positionV>
                <wp:extent cx="824229" cy="313688"/>
                <wp:effectExtent l="0" t="0" r="0" b="0"/>
                <wp:wrapSquare wrapText="bothSides"/>
                <wp:docPr id="10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0756CD85"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2</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D706" id="文本框 2" o:spid="_x0000_s1026" style="position:absolute;left:0;text-align:left;margin-left:375.85pt;margin-top:101.35pt;width:64.9pt;height:24.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" stroked="f">
                <v:textbox>
                  <w:txbxContent>
                    <w:p w14:paraId="0756CD85"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2</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noProof/>
          <w:sz w:val="20"/>
          <w:szCs w:val="20"/>
        </w:rPr>
        <mc:AlternateContent>
          <mc:Choice Requires="wps">
            <w:drawing>
              <wp:anchor distT="45720" distB="45720" distL="114300" distR="114300" simplePos="0" relativeHeight="251659264" behindDoc="0" locked="0" layoutInCell="1" allowOverlap="1" wp14:anchorId="61F064D4" wp14:editId="5E58F986">
                <wp:simplePos x="0" y="0"/>
                <wp:positionH relativeFrom="column">
                  <wp:posOffset>4772025</wp:posOffset>
                </wp:positionH>
                <wp:positionV relativeFrom="paragraph">
                  <wp:posOffset>878840</wp:posOffset>
                </wp:positionV>
                <wp:extent cx="824229" cy="313688"/>
                <wp:effectExtent l="0" t="0" r="0" b="0"/>
                <wp:wrapSquare wrapText="bothSides"/>
                <wp:docPr id="10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16E4EC85"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1</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064D4" id="_x0000_s1027" style="position:absolute;left:0;text-align:left;margin-left:375.75pt;margin-top:69.2pt;width:64.9pt;height:24.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" stroked="f">
                <v:textbox>
                  <w:txbxContent>
                    <w:p w14:paraId="16E4EC85"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1</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sz w:val="20"/>
          <w:szCs w:val="20"/>
        </w:rPr>
        <w:t xml:space="preserve">The stoichiometry and rate constraints were added to the model for flux balance analysis </w:t>
      </w:r>
      <w:r w:rsidRPr="000A2127">
        <w:rPr>
          <w:rFonts w:ascii="Times New Roman" w:hAnsi="Times New Roman" w:cs="Times New Roman"/>
          <w:noProof/>
          <w:sz w:val="20"/>
          <w:szCs w:val="20"/>
        </w:rPr>
        <w:t>(Orth et al., 2010)</w:t>
      </w:r>
      <w:r w:rsidRPr="000A2127">
        <w:rPr>
          <w:rFonts w:ascii="Times New Roman" w:hAnsi="Times New Roman" w:cs="Times New Roman"/>
          <w:sz w:val="20"/>
          <w:szCs w:val="20"/>
        </w:rPr>
        <w:t xml:space="preserve"> as follows:</w:t>
      </w:r>
    </w:p>
    <w:p w14:paraId="10D30EC8" w14:textId="77777777" w:rsidR="008706DD" w:rsidRPr="000A2127" w:rsidRDefault="008706DD" w:rsidP="003A4129">
      <w:pPr>
        <w:widowControl/>
        <w:spacing w:line="480" w:lineRule="auto"/>
        <w:ind w:firstLineChars="200" w:firstLine="480"/>
        <w:rPr>
          <w:rFonts w:ascii="Times New Roman" w:hAnsi="Times New Roman" w:cs="Times New Roman"/>
          <w:sz w:val="24"/>
          <w:szCs w:val="24"/>
        </w:rPr>
      </w:pPr>
      <m:oMathPara>
        <m:oMath>
          <m:r>
            <w:rPr>
              <w:rFonts w:ascii="Cambria Math" w:hAnsi="Cambria Math" w:cs="Times New Roman"/>
              <w:sz w:val="24"/>
              <w:szCs w:val="24"/>
            </w:rPr>
            <m:t>S∙v=0</m:t>
          </m:r>
        </m:oMath>
      </m:oMathPara>
    </w:p>
    <w:p w14:paraId="0BEAB938" w14:textId="77777777" w:rsidR="008706DD" w:rsidRPr="000A2127" w:rsidRDefault="008706DD" w:rsidP="003A4129">
      <w:pPr>
        <w:widowControl/>
        <w:spacing w:line="480" w:lineRule="auto"/>
        <w:ind w:firstLineChars="200" w:firstLine="480"/>
        <w:rPr>
          <w:rFonts w:ascii="Times New Roman" w:hAnsi="Times New Roman" w:cs="Times New Roman"/>
          <w:sz w:val="24"/>
          <w:szCs w:val="24"/>
        </w:rPr>
      </w:pPr>
      <m:oMathPara>
        <m:oMath>
          <m:r>
            <w:rPr>
              <w:rFonts w:ascii="Cambria Math" w:hAnsi="Cambria Math" w:cs="Times New Roman"/>
              <w:sz w:val="24"/>
              <w:szCs w:val="24"/>
            </w:rPr>
            <m:t>lb≤v≤ub</m:t>
          </m:r>
        </m:oMath>
      </m:oMathPara>
    </w:p>
    <w:p w14:paraId="46D0536A"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where </w:t>
      </w:r>
      <w:r w:rsidRPr="000A2127">
        <w:rPr>
          <w:rFonts w:ascii="Times New Roman" w:hAnsi="Times New Roman" w:cs="Times New Roman"/>
          <w:i/>
          <w:iCs/>
          <w:sz w:val="20"/>
          <w:szCs w:val="20"/>
        </w:rPr>
        <w:t>S</w:t>
      </w:r>
      <w:r w:rsidRPr="000A2127">
        <w:rPr>
          <w:rFonts w:ascii="Times New Roman" w:hAnsi="Times New Roman" w:cs="Times New Roman"/>
          <w:sz w:val="20"/>
          <w:szCs w:val="20"/>
        </w:rPr>
        <w:t xml:space="preserve"> is the stoichiometric matrix of a metabolic network, </w:t>
      </w:r>
      <w:r w:rsidRPr="000A2127">
        <w:rPr>
          <w:rFonts w:ascii="Times New Roman" w:hAnsi="Times New Roman" w:cs="Times New Roman"/>
          <w:i/>
          <w:iCs/>
          <w:sz w:val="20"/>
          <w:szCs w:val="20"/>
        </w:rPr>
        <w:t>v</w:t>
      </w:r>
      <w:r w:rsidRPr="000A2127">
        <w:rPr>
          <w:rFonts w:ascii="Times New Roman" w:hAnsi="Times New Roman" w:cs="Times New Roman"/>
          <w:sz w:val="20"/>
          <w:szCs w:val="20"/>
        </w:rPr>
        <w:t xml:space="preserve"> is the rate of metabolic flux, and the equation represents steady-state mass balance constraints of the stoichiometric matrix. Moreover, </w:t>
      </w:r>
      <w:proofErr w:type="spellStart"/>
      <w:r w:rsidRPr="000A2127">
        <w:rPr>
          <w:rFonts w:ascii="Times New Roman" w:hAnsi="Times New Roman" w:cs="Times New Roman"/>
          <w:sz w:val="20"/>
          <w:szCs w:val="20"/>
        </w:rPr>
        <w:t>lb</w:t>
      </w:r>
      <w:proofErr w:type="spellEnd"/>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ub</w:t>
      </w:r>
      <w:proofErr w:type="spellEnd"/>
      <w:r w:rsidRPr="000A2127">
        <w:rPr>
          <w:rFonts w:ascii="Times New Roman" w:hAnsi="Times New Roman" w:cs="Times New Roman"/>
          <w:sz w:val="20"/>
          <w:szCs w:val="20"/>
        </w:rPr>
        <w:t xml:space="preserve"> </w:t>
      </w:r>
      <w:r w:rsidRPr="000A2127">
        <w:rPr>
          <w:rFonts w:ascii="Times New Roman" w:eastAsia="SimSun" w:hAnsi="Times New Roman" w:cs="Times New Roman"/>
          <w:kern w:val="0"/>
          <w:sz w:val="20"/>
          <w:szCs w:val="20"/>
        </w:rPr>
        <w:t xml:space="preserve">represent the flux of the </w:t>
      </w:r>
      <w:r w:rsidRPr="000A2127">
        <w:rPr>
          <w:rFonts w:ascii="Times New Roman" w:hAnsi="Times New Roman" w:cs="Times New Roman"/>
          <w:sz w:val="20"/>
          <w:szCs w:val="20"/>
        </w:rPr>
        <w:t>lower</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upper bounds,</w:t>
      </w:r>
      <w:r w:rsidRPr="000A2127">
        <w:rPr>
          <w:rFonts w:ascii="Times New Roman" w:hAnsi="Times New Roman" w:cs="Times New Roman"/>
          <w:sz w:val="20"/>
        </w:rPr>
        <w:t xml:space="preserve"> </w:t>
      </w:r>
      <w:r w:rsidRPr="000A2127">
        <w:rPr>
          <w:rFonts w:ascii="Times New Roman" w:hAnsi="Times New Roman" w:cs="Times New Roman"/>
          <w:sz w:val="20"/>
          <w:szCs w:val="20"/>
        </w:rPr>
        <w:t>respectively, wherein the lower bounds were set as 0 and the upper bounds were set as 1000. In particular, the substrate uptake reaction (such as the consumption of glucose, oxygen, or ammonia) could be set at a specific value according to the actual situation of cell growth.</w:t>
      </w:r>
    </w:p>
    <w:p w14:paraId="411CDA95"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The enzymatic constraints of the model were added based on the GECKO toolbox </w:t>
      </w:r>
      <w:r w:rsidRPr="000A2127">
        <w:rPr>
          <w:rFonts w:ascii="Times New Roman" w:hAnsi="Times New Roman" w:cs="Times New Roman"/>
          <w:noProof/>
          <w:sz w:val="20"/>
          <w:szCs w:val="20"/>
        </w:rPr>
        <w:t>(Sánchez et al., 2017)</w:t>
      </w:r>
      <w:r w:rsidRPr="000A2127">
        <w:rPr>
          <w:rFonts w:ascii="Times New Roman" w:hAnsi="Times New Roman" w:cs="Times New Roman"/>
          <w:sz w:val="20"/>
          <w:szCs w:val="20"/>
        </w:rPr>
        <w:t xml:space="preserve"> according to the following formula:</w:t>
      </w:r>
    </w:p>
    <w:p w14:paraId="0AFA4E23" w14:textId="77777777" w:rsidR="008706DD" w:rsidRPr="000A2127" w:rsidRDefault="00514A08" w:rsidP="003A4129">
      <w:pPr>
        <w:spacing w:line="480" w:lineRule="auto"/>
        <w:ind w:firstLineChars="200" w:firstLine="480"/>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1</m:t>
              </m:r>
            </m:num>
            <m:den>
              <m:sSubSup>
                <m:sSubSupPr>
                  <m:ctrlPr>
                    <w:rPr>
                      <w:rFonts w:ascii="Cambria Math" w:hAnsi="Cambria Math" w:cs="Times New Roman"/>
                      <w:i/>
                      <w:sz w:val="24"/>
                      <w:szCs w:val="24"/>
                    </w:rPr>
                  </m:ctrlPr>
                </m:sSubSupPr>
                <m:e>
                  <m:r>
                    <w:rPr>
                      <w:rFonts w:ascii="Cambria Math" w:hAnsi="Cambria Math" w:cs="Times New Roman"/>
                      <w:sz w:val="24"/>
                      <w:szCs w:val="24"/>
                    </w:rPr>
                    <m:t>k</m:t>
                  </m:r>
                </m:e>
                <m:sub>
                  <m:r>
                    <w:rPr>
                      <w:rFonts w:ascii="Cambria Math" w:hAnsi="Cambria Math" w:cs="Times New Roman"/>
                      <w:sz w:val="24"/>
                      <w:szCs w:val="24"/>
                    </w:rPr>
                    <m:t>cat</m:t>
                  </m:r>
                </m:sub>
                <m:sup>
                  <m:r>
                    <w:rPr>
                      <w:rFonts w:ascii="Cambria Math" w:hAnsi="Cambria Math" w:cs="Times New Roman"/>
                      <w:sz w:val="24"/>
                      <w:szCs w:val="24"/>
                    </w:rPr>
                    <m:t>ij</m:t>
                  </m:r>
                </m:sup>
              </m:sSubSup>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e</m:t>
              </m:r>
            </m:e>
            <m:sub>
              <m:r>
                <w:rPr>
                  <w:rFonts w:ascii="Cambria Math" w:hAnsi="Cambria Math" w:cs="Times New Roman"/>
                  <w:sz w:val="24"/>
                  <w:szCs w:val="24"/>
                </w:rPr>
                <m:t>i</m:t>
              </m:r>
            </m:sub>
          </m:sSub>
          <m:r>
            <w:rPr>
              <w:rFonts w:ascii="Cambria Math" w:hAnsi="Cambria Math" w:cs="Times New Roman"/>
              <w:sz w:val="24"/>
              <w:szCs w:val="24"/>
            </w:rPr>
            <m:t>=0</m:t>
          </m:r>
        </m:oMath>
      </m:oMathPara>
    </w:p>
    <w:p w14:paraId="3F945D8C" w14:textId="77777777" w:rsidR="008706DD" w:rsidRPr="000A2127" w:rsidRDefault="008706DD" w:rsidP="003A4129">
      <w:pPr>
        <w:spacing w:line="480" w:lineRule="auto"/>
        <w:ind w:firstLineChars="200" w:firstLine="480"/>
        <w:rPr>
          <w:rFonts w:ascii="Times New Roman" w:hAnsi="Times New Roman" w:cs="Times New Roman"/>
          <w:sz w:val="24"/>
          <w:szCs w:val="24"/>
          <w:vertAlign w:val="subscript"/>
        </w:rPr>
      </w:pPr>
      <m:oMathPara>
        <m:oMath>
          <m:r>
            <w:rPr>
              <w:rFonts w:ascii="Cambria Math" w:hAnsi="Cambria Math" w:cs="Times New Roman"/>
              <w:sz w:val="24"/>
              <w:szCs w:val="24"/>
              <w:vertAlign w:val="subscript"/>
            </w:rPr>
            <m:t>0≤</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e</m:t>
              </m:r>
            </m:e>
            <m:sub>
              <m:r>
                <w:rPr>
                  <w:rFonts w:ascii="Cambria Math" w:hAnsi="Cambria Math" w:cs="Times New Roman"/>
                  <w:sz w:val="24"/>
                  <w:szCs w:val="24"/>
                  <w:vertAlign w:val="subscript"/>
                </w:rPr>
                <m:t>i</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E</m:t>
              </m:r>
            </m:e>
            <m:sub>
              <m:r>
                <w:rPr>
                  <w:rFonts w:ascii="Cambria Math" w:hAnsi="Cambria Math" w:cs="Times New Roman"/>
                  <w:sz w:val="24"/>
                  <w:szCs w:val="24"/>
                  <w:vertAlign w:val="subscript"/>
                </w:rPr>
                <m:t>i</m:t>
              </m:r>
            </m:sub>
          </m:sSub>
          <m:r>
            <w:rPr>
              <w:rFonts w:ascii="Cambria Math" w:hAnsi="Cambria Math" w:cs="Times New Roman"/>
              <w:sz w:val="24"/>
              <w:szCs w:val="24"/>
              <w:vertAlign w:val="subscript"/>
            </w:rPr>
            <m:t>]</m:t>
          </m:r>
        </m:oMath>
      </m:oMathPara>
    </w:p>
    <w:p w14:paraId="39D58C9E" w14:textId="77777777" w:rsidR="008706DD" w:rsidRPr="000A2127" w:rsidRDefault="00514A08" w:rsidP="003A4129">
      <w:pPr>
        <w:spacing w:line="480" w:lineRule="auto"/>
        <w:ind w:firstLineChars="200" w:firstLine="480"/>
        <w:rPr>
          <w:rFonts w:ascii="Times New Roman" w:hAnsi="Times New Roman" w:cs="Times New Roman"/>
          <w:sz w:val="24"/>
          <w:szCs w:val="24"/>
          <w:vertAlign w:val="subscript"/>
        </w:rPr>
      </w:pPr>
      <m:oMathPara>
        <m:oMath>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v</m:t>
              </m:r>
            </m:e>
            <m:sub>
              <m:r>
                <w:rPr>
                  <w:rFonts w:ascii="Cambria Math" w:hAnsi="Cambria Math" w:cs="Times New Roman"/>
                  <w:sz w:val="24"/>
                  <w:szCs w:val="24"/>
                  <w:vertAlign w:val="subscript"/>
                </w:rPr>
                <m:t>j</m:t>
              </m:r>
            </m:sub>
          </m:sSub>
          <m:r>
            <w:rPr>
              <w:rFonts w:ascii="Cambria Math" w:hAnsi="Cambria Math" w:cs="Times New Roman"/>
              <w:sz w:val="24"/>
              <w:szCs w:val="24"/>
              <w:vertAlign w:val="subscript"/>
            </w:rPr>
            <m:t>≤</m:t>
          </m:r>
          <m:sSubSup>
            <m:sSubSupPr>
              <m:ctrlPr>
                <w:rPr>
                  <w:rFonts w:ascii="Cambria Math" w:hAnsi="Cambria Math" w:cs="Times New Roman"/>
                  <w:i/>
                  <w:sz w:val="24"/>
                  <w:szCs w:val="24"/>
                  <w:vertAlign w:val="subscript"/>
                </w:rPr>
              </m:ctrlPr>
            </m:sSubSupPr>
            <m:e>
              <m:r>
                <w:rPr>
                  <w:rFonts w:ascii="Cambria Math" w:hAnsi="Cambria Math" w:cs="Times New Roman"/>
                  <w:sz w:val="24"/>
                  <w:szCs w:val="24"/>
                  <w:vertAlign w:val="subscript"/>
                </w:rPr>
                <m:t>k</m:t>
              </m:r>
            </m:e>
            <m:sub>
              <m:r>
                <w:rPr>
                  <w:rFonts w:ascii="Cambria Math" w:hAnsi="Cambria Math" w:cs="Times New Roman"/>
                  <w:sz w:val="24"/>
                  <w:szCs w:val="24"/>
                  <w:vertAlign w:val="subscript"/>
                </w:rPr>
                <m:t>cat</m:t>
              </m:r>
            </m:sub>
            <m:sup>
              <m:r>
                <w:rPr>
                  <w:rFonts w:ascii="Cambria Math" w:hAnsi="Cambria Math" w:cs="Times New Roman"/>
                  <w:sz w:val="24"/>
                  <w:szCs w:val="24"/>
                  <w:vertAlign w:val="subscript"/>
                </w:rPr>
                <m:t>ij</m:t>
              </m:r>
            </m:sup>
          </m:sSubSup>
          <m:r>
            <w:rPr>
              <w:rFonts w:ascii="Cambria Math" w:hAnsi="Cambria Math" w:cs="Times New Roman"/>
              <w:sz w:val="24"/>
              <w:szCs w:val="24"/>
              <w:vertAlign w:val="subscript"/>
            </w:rPr>
            <m:t>∙</m:t>
          </m:r>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E</m:t>
              </m:r>
            </m:e>
            <m:sub>
              <m:r>
                <w:rPr>
                  <w:rFonts w:ascii="Cambria Math" w:hAnsi="Cambria Math" w:cs="Times New Roman"/>
                  <w:sz w:val="24"/>
                  <w:szCs w:val="24"/>
                  <w:vertAlign w:val="subscript"/>
                </w:rPr>
                <m:t>i</m:t>
              </m:r>
            </m:sub>
          </m:sSub>
          <m:r>
            <w:rPr>
              <w:rFonts w:ascii="Cambria Math" w:hAnsi="Cambria Math" w:cs="Times New Roman"/>
              <w:sz w:val="24"/>
              <w:szCs w:val="24"/>
              <w:vertAlign w:val="subscript"/>
            </w:rPr>
            <m:t>]</m:t>
          </m:r>
        </m:oMath>
      </m:oMathPara>
    </w:p>
    <w:p w14:paraId="50804B2F" w14:textId="77777777" w:rsidR="008706DD" w:rsidRPr="000A2127" w:rsidRDefault="008706DD" w:rsidP="003A4129">
      <w:pPr>
        <w:spacing w:line="480" w:lineRule="auto"/>
        <w:rPr>
          <w:rFonts w:ascii="Times New Roman" w:hAnsi="Times New Roman" w:cs="Times New Roman"/>
          <w:sz w:val="20"/>
          <w:szCs w:val="20"/>
        </w:rPr>
      </w:pPr>
      <w:r w:rsidRPr="000A2127">
        <w:rPr>
          <w:rFonts w:ascii="Times New Roman" w:hAnsi="Times New Roman" w:cs="Times New Roman"/>
          <w:noProof/>
          <w:sz w:val="20"/>
          <w:szCs w:val="20"/>
        </w:rPr>
        <mc:AlternateContent>
          <mc:Choice Requires="wps">
            <w:drawing>
              <wp:anchor distT="45720" distB="45720" distL="114300" distR="114300" simplePos="0" relativeHeight="251661312" behindDoc="0" locked="0" layoutInCell="1" allowOverlap="1" wp14:anchorId="166961B9" wp14:editId="63D6BA17">
                <wp:simplePos x="0" y="0"/>
                <wp:positionH relativeFrom="column">
                  <wp:posOffset>4731124</wp:posOffset>
                </wp:positionH>
                <wp:positionV relativeFrom="paragraph">
                  <wp:posOffset>-1169894</wp:posOffset>
                </wp:positionV>
                <wp:extent cx="824229" cy="313688"/>
                <wp:effectExtent l="0" t="0" r="0" b="0"/>
                <wp:wrapSquare wrapText="bothSides"/>
                <wp:docPr id="102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5ECDDBF1"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3</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961B9" id="_x0000_s1028" style="position:absolute;left:0;text-align:left;margin-left:372.55pt;margin-top:-92.1pt;width:64.9pt;height:24.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" stroked="f">
                <v:textbox>
                  <w:txbxContent>
                    <w:p w14:paraId="5ECDDBF1"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3</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noProof/>
          <w:sz w:val="20"/>
          <w:szCs w:val="20"/>
        </w:rPr>
        <mc:AlternateContent>
          <mc:Choice Requires="wps">
            <w:drawing>
              <wp:anchor distT="45720" distB="45720" distL="114300" distR="114300" simplePos="0" relativeHeight="251663360" behindDoc="0" locked="0" layoutInCell="1" allowOverlap="1" wp14:anchorId="3FADF3ED" wp14:editId="0F739056">
                <wp:simplePos x="0" y="0"/>
                <wp:positionH relativeFrom="column">
                  <wp:posOffset>4735195</wp:posOffset>
                </wp:positionH>
                <wp:positionV relativeFrom="paragraph">
                  <wp:posOffset>-413646</wp:posOffset>
                </wp:positionV>
                <wp:extent cx="824229" cy="313690"/>
                <wp:effectExtent l="0" t="0" r="0" b="0"/>
                <wp:wrapSquare wrapText="bothSides"/>
                <wp:docPr id="102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90"/>
                        </a:xfrm>
                        <a:prstGeom prst="rect">
                          <a:avLst/>
                        </a:prstGeom>
                        <a:solidFill>
                          <a:srgbClr val="FFFFFF"/>
                        </a:solidFill>
                        <a:ln>
                          <a:noFill/>
                        </a:ln>
                      </wps:spPr>
                      <wps:txbx>
                        <w:txbxContent>
                          <w:p w14:paraId="118608FE"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5</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F3ED" id="_x0000_s1029" style="position:absolute;left:0;text-align:left;margin-left:372.85pt;margin-top:-32.55pt;width:64.9pt;height:24.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" stroked="f">
                <v:textbox>
                  <w:txbxContent>
                    <w:p w14:paraId="118608FE"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5</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noProof/>
          <w:sz w:val="20"/>
          <w:szCs w:val="20"/>
        </w:rPr>
        <mc:AlternateContent>
          <mc:Choice Requires="wps">
            <w:drawing>
              <wp:anchor distT="45720" distB="45720" distL="114300" distR="114300" simplePos="0" relativeHeight="251662336" behindDoc="0" locked="0" layoutInCell="1" allowOverlap="1" wp14:anchorId="5F74E06C" wp14:editId="21D27D62">
                <wp:simplePos x="0" y="0"/>
                <wp:positionH relativeFrom="column">
                  <wp:posOffset>4735083</wp:posOffset>
                </wp:positionH>
                <wp:positionV relativeFrom="paragraph">
                  <wp:posOffset>-706195</wp:posOffset>
                </wp:positionV>
                <wp:extent cx="824229" cy="313690"/>
                <wp:effectExtent l="0" t="0" r="0" b="0"/>
                <wp:wrapSquare wrapText="bothSides"/>
                <wp:docPr id="103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90"/>
                        </a:xfrm>
                        <a:prstGeom prst="rect">
                          <a:avLst/>
                        </a:prstGeom>
                        <a:solidFill>
                          <a:srgbClr val="FFFFFF"/>
                        </a:solidFill>
                        <a:ln>
                          <a:noFill/>
                        </a:ln>
                      </wps:spPr>
                      <wps:txbx>
                        <w:txbxContent>
                          <w:p w14:paraId="34D3095C"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4</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4E06C" id="_x0000_s1030" style="position:absolute;left:0;text-align:left;margin-left:372.85pt;margin-top:-55.6pt;width:64.9pt;height:24.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" stroked="f">
                <v:textbox>
                  <w:txbxContent>
                    <w:p w14:paraId="34D3095C"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4</w:t>
                      </w:r>
                      <w:r>
                        <w:rPr>
                          <w:rFonts w:ascii="Times New Roman" w:eastAsia="SimSun" w:hAnsi="Times New Roman" w:cs="Times New Roman"/>
                          <w:sz w:val="24"/>
                          <w:szCs w:val="24"/>
                        </w:rPr>
                        <w:t>）</w:t>
                      </w:r>
                    </w:p>
                  </w:txbxContent>
                </v:textbox>
                <w10:wrap type="square"/>
              </v:rect>
            </w:pict>
          </mc:Fallback>
        </mc:AlternateContent>
      </w:r>
    </w:p>
    <w:p w14:paraId="64D13658"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where </w:t>
      </w:r>
      <w:proofErr w:type="spellStart"/>
      <w:r w:rsidRPr="000A2127">
        <w:rPr>
          <w:rFonts w:ascii="Times New Roman" w:hAnsi="Times New Roman" w:cs="Times New Roman"/>
          <w:i/>
          <w:iCs/>
          <w:sz w:val="20"/>
          <w:szCs w:val="20"/>
        </w:rPr>
        <w:t>v</w:t>
      </w:r>
      <w:r w:rsidRPr="00702278">
        <w:rPr>
          <w:rFonts w:ascii="Times New Roman" w:hAnsi="Times New Roman" w:cs="Times New Roman"/>
          <w:sz w:val="20"/>
          <w:szCs w:val="20"/>
          <w:vertAlign w:val="subscript"/>
        </w:rPr>
        <w:t>j</w:t>
      </w:r>
      <w:proofErr w:type="spellEnd"/>
      <w:r w:rsidRPr="000A2127">
        <w:rPr>
          <w:rFonts w:ascii="Times New Roman" w:hAnsi="Times New Roman" w:cs="Times New Roman"/>
          <w:sz w:val="20"/>
          <w:szCs w:val="20"/>
        </w:rPr>
        <w:t xml:space="preserve"> is the metabolic flux of reaction </w:t>
      </w:r>
      <w:r w:rsidRPr="002A2CEE">
        <w:rPr>
          <w:rFonts w:ascii="Times New Roman" w:hAnsi="Times New Roman" w:cs="Times New Roman"/>
          <w:sz w:val="20"/>
          <w:szCs w:val="20"/>
        </w:rPr>
        <w:t>j</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e</w:t>
      </w:r>
      <w:r w:rsidRPr="00F66035">
        <w:rPr>
          <w:rFonts w:ascii="Times New Roman" w:hAnsi="Times New Roman" w:cs="Times New Roman"/>
          <w:sz w:val="20"/>
          <w:szCs w:val="20"/>
          <w:vertAlign w:val="subscript"/>
        </w:rPr>
        <w:t>i</w:t>
      </w:r>
      <w:proofErr w:type="spellEnd"/>
      <w:r w:rsidRPr="000A2127">
        <w:rPr>
          <w:rFonts w:ascii="Times New Roman" w:hAnsi="Times New Roman" w:cs="Times New Roman"/>
          <w:sz w:val="20"/>
          <w:szCs w:val="20"/>
        </w:rPr>
        <w:t xml:space="preserve"> is the enzyme cost of a reaction </w:t>
      </w:r>
      <w:proofErr w:type="spellStart"/>
      <w:r w:rsidRPr="000A2127">
        <w:rPr>
          <w:rFonts w:ascii="Times New Roman" w:hAnsi="Times New Roman" w:cs="Times New Roman"/>
          <w:sz w:val="20"/>
          <w:szCs w:val="20"/>
        </w:rPr>
        <w:t>i</w:t>
      </w:r>
      <w:proofErr w:type="spellEnd"/>
      <w:r w:rsidRPr="000A2127">
        <w:rPr>
          <w:rFonts w:ascii="Times New Roman" w:hAnsi="Times New Roman" w:cs="Times New Roman"/>
          <w:sz w:val="20"/>
          <w:szCs w:val="20"/>
        </w:rPr>
        <w:t xml:space="preserve">, </w:t>
      </w:r>
      <w:proofErr w:type="spellStart"/>
      <w:r w:rsidRPr="000A2127">
        <w:rPr>
          <w:rFonts w:ascii="Times New Roman" w:hAnsi="Times New Roman" w:cs="Times New Roman"/>
          <w:i/>
          <w:iCs/>
          <w:sz w:val="20"/>
          <w:szCs w:val="20"/>
        </w:rPr>
        <w:t>k</w:t>
      </w:r>
      <w:r w:rsidRPr="000A2127">
        <w:rPr>
          <w:rFonts w:ascii="Times New Roman" w:hAnsi="Times New Roman" w:cs="Times New Roman"/>
          <w:sz w:val="20"/>
          <w:szCs w:val="20"/>
          <w:vertAlign w:val="subscript"/>
        </w:rPr>
        <w:t>cat</w:t>
      </w:r>
      <w:proofErr w:type="spellEnd"/>
      <w:r w:rsidRPr="000A2127">
        <w:rPr>
          <w:rFonts w:ascii="Times New Roman" w:hAnsi="Times New Roman" w:cs="Times New Roman"/>
          <w:sz w:val="20"/>
          <w:szCs w:val="20"/>
        </w:rPr>
        <w:t xml:space="preserve"> is the turnover number of E</w:t>
      </w:r>
      <w:r w:rsidRPr="00F66035">
        <w:rPr>
          <w:rFonts w:ascii="Times New Roman" w:hAnsi="Times New Roman" w:cs="Times New Roman"/>
          <w:sz w:val="20"/>
          <w:szCs w:val="20"/>
          <w:vertAlign w:val="subscript"/>
        </w:rPr>
        <w:t>i</w:t>
      </w:r>
      <w:r w:rsidRPr="000A2127">
        <w:rPr>
          <w:rFonts w:ascii="Times New Roman" w:hAnsi="Times New Roman" w:cs="Times New Roman"/>
          <w:sz w:val="20"/>
          <w:szCs w:val="20"/>
        </w:rPr>
        <w:t xml:space="preserve"> catalyzing reaction j, and [E</w:t>
      </w:r>
      <w:r w:rsidRPr="00F66035">
        <w:rPr>
          <w:rFonts w:ascii="Times New Roman" w:hAnsi="Times New Roman" w:cs="Times New Roman"/>
          <w:sz w:val="20"/>
          <w:szCs w:val="20"/>
          <w:vertAlign w:val="subscript"/>
        </w:rPr>
        <w:t>i</w:t>
      </w:r>
      <w:r w:rsidRPr="000A2127">
        <w:rPr>
          <w:rFonts w:ascii="Times New Roman" w:hAnsi="Times New Roman" w:cs="Times New Roman"/>
          <w:sz w:val="20"/>
          <w:szCs w:val="20"/>
        </w:rPr>
        <w:t>] is the intracellular concentration of E</w:t>
      </w:r>
      <w:r w:rsidRPr="00F66035">
        <w:rPr>
          <w:rFonts w:ascii="Times New Roman" w:hAnsi="Times New Roman" w:cs="Times New Roman"/>
          <w:sz w:val="20"/>
          <w:szCs w:val="20"/>
          <w:vertAlign w:val="subscript"/>
        </w:rPr>
        <w:t>i</w:t>
      </w:r>
      <w:r w:rsidRPr="000A2127">
        <w:rPr>
          <w:rFonts w:ascii="Times New Roman" w:hAnsi="Times New Roman" w:cs="Times New Roman"/>
          <w:sz w:val="20"/>
          <w:szCs w:val="20"/>
        </w:rPr>
        <w:t>.</w:t>
      </w:r>
    </w:p>
    <w:p w14:paraId="491EB9DE"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noProof/>
          <w:sz w:val="20"/>
          <w:szCs w:val="20"/>
        </w:rPr>
        <w:lastRenderedPageBreak/>
        <mc:AlternateContent>
          <mc:Choice Requires="wps">
            <w:drawing>
              <wp:anchor distT="45720" distB="45720" distL="114300" distR="114300" simplePos="0" relativeHeight="251664384" behindDoc="0" locked="0" layoutInCell="1" allowOverlap="1" wp14:anchorId="2320CC87" wp14:editId="3C532C29">
                <wp:simplePos x="0" y="0"/>
                <wp:positionH relativeFrom="column">
                  <wp:posOffset>4619625</wp:posOffset>
                </wp:positionH>
                <wp:positionV relativeFrom="paragraph">
                  <wp:posOffset>954405</wp:posOffset>
                </wp:positionV>
                <wp:extent cx="824229" cy="313688"/>
                <wp:effectExtent l="0" t="0" r="0" b="0"/>
                <wp:wrapSquare wrapText="bothSides"/>
                <wp:docPr id="103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67193AD4"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6</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20CC87" id="_x0000_s1031" style="position:absolute;left:0;text-align:left;margin-left:363.75pt;margin-top:75.15pt;width:64.9pt;height:24.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" stroked="f">
                <v:textbox>
                  <w:txbxContent>
                    <w:p w14:paraId="67193AD4"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6</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noProof/>
          <w:sz w:val="20"/>
          <w:szCs w:val="20"/>
        </w:rPr>
        <mc:AlternateContent>
          <mc:Choice Requires="wps">
            <w:drawing>
              <wp:anchor distT="45720" distB="45720" distL="114300" distR="114300" simplePos="0" relativeHeight="251665408" behindDoc="0" locked="0" layoutInCell="1" allowOverlap="1" wp14:anchorId="5DD207EB" wp14:editId="5D86B935">
                <wp:simplePos x="0" y="0"/>
                <wp:positionH relativeFrom="column">
                  <wp:posOffset>4619262</wp:posOffset>
                </wp:positionH>
                <wp:positionV relativeFrom="paragraph">
                  <wp:posOffset>1547585</wp:posOffset>
                </wp:positionV>
                <wp:extent cx="824229" cy="313688"/>
                <wp:effectExtent l="0" t="0" r="0" b="0"/>
                <wp:wrapSquare wrapText="bothSides"/>
                <wp:docPr id="103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748B5B4D"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7</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207EB" id="_x0000_s1032" style="position:absolute;left:0;text-align:left;margin-left:363.7pt;margin-top:121.85pt;width:64.9pt;height:24.7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" stroked="f">
                <v:textbox>
                  <w:txbxContent>
                    <w:p w14:paraId="748B5B4D"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7</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noProof/>
          <w:sz w:val="20"/>
          <w:szCs w:val="20"/>
        </w:rPr>
        <mc:AlternateContent>
          <mc:Choice Requires="wps">
            <w:drawing>
              <wp:anchor distT="45720" distB="45720" distL="114300" distR="114300" simplePos="0" relativeHeight="251666432" behindDoc="0" locked="0" layoutInCell="1" allowOverlap="1" wp14:anchorId="147C033E" wp14:editId="749524F5">
                <wp:simplePos x="0" y="0"/>
                <wp:positionH relativeFrom="column">
                  <wp:posOffset>4619625</wp:posOffset>
                </wp:positionH>
                <wp:positionV relativeFrom="paragraph">
                  <wp:posOffset>2074545</wp:posOffset>
                </wp:positionV>
                <wp:extent cx="824229" cy="313688"/>
                <wp:effectExtent l="0" t="0" r="0" b="0"/>
                <wp:wrapSquare wrapText="bothSides"/>
                <wp:docPr id="103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229" cy="313688"/>
                        </a:xfrm>
                        <a:prstGeom prst="rect">
                          <a:avLst/>
                        </a:prstGeom>
                        <a:solidFill>
                          <a:srgbClr val="FFFFFF"/>
                        </a:solidFill>
                        <a:ln>
                          <a:noFill/>
                        </a:ln>
                      </wps:spPr>
                      <wps:txbx>
                        <w:txbxContent>
                          <w:p w14:paraId="60BCBD8A"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8</w:t>
                            </w:r>
                            <w:r>
                              <w:rPr>
                                <w:rFonts w:ascii="Times New Roman" w:eastAsia="SimSun" w:hAnsi="Times New Roman" w:cs="Times New Roman"/>
                                <w:sz w:val="24"/>
                                <w:szCs w:val="24"/>
                              </w:rPr>
                              <w:t>）</w:t>
                            </w: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C033E" id="_x0000_s1033" style="position:absolute;left:0;text-align:left;margin-left:363.75pt;margin-top:163.35pt;width:64.9pt;height:24.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" stroked="f">
                <v:textbox>
                  <w:txbxContent>
                    <w:p w14:paraId="60BCBD8A" w14:textId="77777777" w:rsidR="008706DD" w:rsidRDefault="008706DD" w:rsidP="003A4129">
                      <w:pPr>
                        <w:rPr>
                          <w:rFonts w:ascii="Times New Roman" w:eastAsia="SimSun" w:hAnsi="Times New Roman" w:cs="Times New Roman"/>
                          <w:sz w:val="24"/>
                          <w:szCs w:val="24"/>
                        </w:rPr>
                      </w:pPr>
                      <w:r>
                        <w:rPr>
                          <w:rFonts w:ascii="Times New Roman" w:eastAsia="SimSun" w:hAnsi="Times New Roman" w:cs="Times New Roman"/>
                          <w:sz w:val="24"/>
                          <w:szCs w:val="24"/>
                        </w:rPr>
                        <w:t>（</w:t>
                      </w:r>
                      <w:r>
                        <w:rPr>
                          <w:rFonts w:ascii="Times New Roman" w:eastAsia="SimSun" w:hAnsi="Times New Roman" w:cs="Times New Roman"/>
                          <w:sz w:val="24"/>
                          <w:szCs w:val="24"/>
                        </w:rPr>
                        <w:t>8</w:t>
                      </w:r>
                      <w:r>
                        <w:rPr>
                          <w:rFonts w:ascii="Times New Roman" w:eastAsia="SimSun" w:hAnsi="Times New Roman" w:cs="Times New Roman"/>
                          <w:sz w:val="24"/>
                          <w:szCs w:val="24"/>
                        </w:rPr>
                        <w:t>）</w:t>
                      </w:r>
                    </w:p>
                  </w:txbxContent>
                </v:textbox>
                <w10:wrap type="square"/>
              </v:rect>
            </w:pict>
          </mc:Fallback>
        </mc:AlternateContent>
      </w:r>
      <w:r w:rsidRPr="000A2127">
        <w:rPr>
          <w:rFonts w:ascii="Times New Roman" w:hAnsi="Times New Roman" w:cs="Times New Roman"/>
          <w:sz w:val="20"/>
          <w:szCs w:val="20"/>
        </w:rPr>
        <w:t xml:space="preserve">Furthermore, thermodynamic constraints were applied using the following equations, according to the previous studies </w:t>
      </w:r>
      <w:r w:rsidRPr="000A2127">
        <w:rPr>
          <w:rFonts w:ascii="Times New Roman" w:hAnsi="Times New Roman" w:cs="Times New Roman"/>
          <w:noProof/>
          <w:sz w:val="20"/>
          <w:szCs w:val="20"/>
        </w:rPr>
        <w:t>(Soh and Hatzimanikatis, 2014)</w:t>
      </w:r>
      <w:r w:rsidRPr="000A2127">
        <w:rPr>
          <w:rFonts w:ascii="Times New Roman" w:hAnsi="Times New Roman" w:cs="Times New Roman"/>
          <w:sz w:val="20"/>
          <w:szCs w:val="20"/>
        </w:rPr>
        <w:t>:</w:t>
      </w:r>
    </w:p>
    <w:p w14:paraId="3ACD42B4" w14:textId="77777777" w:rsidR="008706DD" w:rsidRPr="000A2127" w:rsidRDefault="00514A08" w:rsidP="003A4129">
      <w:pPr>
        <w:spacing w:line="480" w:lineRule="auto"/>
        <w:ind w:firstLineChars="200" w:firstLine="48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m:t>
              </m:r>
            </m:e>
            <m:sub>
              <m:r>
                <w:rPr>
                  <w:rFonts w:ascii="Cambria Math" w:hAnsi="Cambria Math" w:cs="Times New Roman"/>
                  <w:sz w:val="24"/>
                  <w:szCs w:val="24"/>
                </w:rPr>
                <m:t>r</m:t>
              </m:r>
            </m:sub>
          </m:sSub>
          <m:sSubSup>
            <m:sSubSupPr>
              <m:ctrlPr>
                <w:rPr>
                  <w:rFonts w:ascii="Cambria Math" w:hAnsi="Cambria Math" w:cs="Times New Roman"/>
                  <w:i/>
                  <w:sz w:val="24"/>
                  <w:szCs w:val="24"/>
                </w:rPr>
              </m:ctrlPr>
            </m:sSubSupPr>
            <m:e>
              <m:r>
                <w:rPr>
                  <w:rFonts w:ascii="Cambria Math" w:hAnsi="Cambria Math" w:cs="Times New Roman"/>
                  <w:sz w:val="24"/>
                  <w:szCs w:val="24"/>
                </w:rPr>
                <m:t>G</m:t>
              </m:r>
            </m:e>
            <m:sub>
              <m:r>
                <w:rPr>
                  <w:rFonts w:ascii="Cambria Math" w:hAnsi="Cambria Math" w:cs="Times New Roman"/>
                  <w:sz w:val="24"/>
                  <w:szCs w:val="24"/>
                </w:rPr>
                <m:t>i</m:t>
              </m:r>
            </m:sub>
            <m:sup>
              <m:r>
                <w:rPr>
                  <w:rFonts w:ascii="Cambria Math" w:hAnsi="Cambria Math" w:cs="Times New Roman"/>
                  <w:sz w:val="24"/>
                  <w:szCs w:val="24"/>
                </w:rPr>
                <m:t>'</m:t>
              </m:r>
            </m:sup>
          </m:sSub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m:t>
              </m:r>
            </m:e>
            <m:sub>
              <m:r>
                <w:rPr>
                  <w:rFonts w:ascii="Cambria Math" w:hAnsi="Cambria Math" w:cs="Times New Roman"/>
                  <w:sz w:val="24"/>
                  <w:szCs w:val="24"/>
                </w:rPr>
                <m:t>r</m:t>
              </m:r>
            </m:sub>
          </m:sSub>
          <m:sSup>
            <m:sSupPr>
              <m:ctrlPr>
                <w:rPr>
                  <w:rFonts w:ascii="Cambria Math" w:hAnsi="Cambria Math" w:cs="Times New Roman"/>
                  <w:i/>
                  <w:sz w:val="24"/>
                  <w:szCs w:val="24"/>
                </w:rPr>
              </m:ctrlPr>
            </m:sSupPr>
            <m:e>
              <m:r>
                <w:rPr>
                  <w:rFonts w:ascii="Cambria Math" w:hAnsi="Cambria Math" w:cs="Times New Roman"/>
                  <w:sz w:val="24"/>
                  <w:szCs w:val="24"/>
                </w:rPr>
                <m:t>G</m:t>
              </m:r>
            </m:e>
            <m:sup>
              <m:r>
                <w:rPr>
                  <w:rFonts w:ascii="Cambria Math" w:hAnsi="Cambria Math" w:cs="Times New Roman"/>
                  <w:sz w:val="24"/>
                  <w:szCs w:val="24"/>
                </w:rPr>
                <m:t>'</m:t>
              </m:r>
              <m:r>
                <w:rPr>
                  <w:rFonts w:ascii="Cambria Math" w:hAnsi="Cambria Math" w:cs="Times New Roman"/>
                  <w:sz w:val="24"/>
                  <w:szCs w:val="24"/>
                </w:rPr>
                <m:t>o</m:t>
              </m:r>
            </m:sup>
          </m:sSup>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m:t>
              </m:r>
              <m:r>
                <w:rPr>
                  <w:rFonts w:ascii="Cambria Math" w:hAnsi="Cambria Math" w:cs="Times New Roman"/>
                  <w:sz w:val="24"/>
                  <w:szCs w:val="24"/>
                </w:rPr>
                <m:t>=1</m:t>
              </m:r>
            </m:sub>
            <m:sup>
              <m:r>
                <w:rPr>
                  <w:rFonts w:ascii="Cambria Math" w:hAnsi="Cambria Math" w:cs="Times New Roman"/>
                  <w:sz w:val="24"/>
                  <w:szCs w:val="24"/>
                </w:rPr>
                <m:t>m</m:t>
              </m:r>
            </m:sup>
            <m:e>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j</m:t>
                  </m:r>
                </m:sub>
              </m:sSub>
            </m:e>
          </m:nary>
        </m:oMath>
      </m:oMathPara>
    </w:p>
    <w:p w14:paraId="6F84D10C" w14:textId="77777777" w:rsidR="008706DD" w:rsidRPr="000A2127" w:rsidRDefault="00514A08" w:rsidP="003A4129">
      <w:pPr>
        <w:spacing w:line="480" w:lineRule="auto"/>
        <w:ind w:firstLineChars="200" w:firstLine="48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j</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m:t>
              </m:r>
            </m:e>
            <m:sub>
              <m:r>
                <w:rPr>
                  <w:rFonts w:ascii="Cambria Math" w:hAnsi="Cambria Math" w:cs="Times New Roman"/>
                  <w:sz w:val="24"/>
                  <w:szCs w:val="24"/>
                </w:rPr>
                <m:t>f</m:t>
              </m:r>
            </m:sub>
          </m:sSub>
          <m:sSubSup>
            <m:sSubSupPr>
              <m:ctrlPr>
                <w:rPr>
                  <w:rFonts w:ascii="Cambria Math" w:hAnsi="Cambria Math" w:cs="Times New Roman"/>
                  <w:i/>
                  <w:sz w:val="24"/>
                  <w:szCs w:val="24"/>
                </w:rPr>
              </m:ctrlPr>
            </m:sSubSupPr>
            <m:e>
              <m:r>
                <w:rPr>
                  <w:rFonts w:ascii="Cambria Math" w:hAnsi="Cambria Math" w:cs="Times New Roman"/>
                  <w:sz w:val="24"/>
                  <w:szCs w:val="24"/>
                </w:rPr>
                <m:t>G</m:t>
              </m:r>
            </m:e>
            <m:sub>
              <m:r>
                <w:rPr>
                  <w:rFonts w:ascii="Cambria Math" w:hAnsi="Cambria Math" w:cs="Times New Roman"/>
                  <w:sz w:val="24"/>
                  <w:szCs w:val="24"/>
                </w:rPr>
                <m:t>i</m:t>
              </m:r>
            </m:sub>
            <m:sup>
              <m:r>
                <w:rPr>
                  <w:rFonts w:ascii="Cambria Math" w:hAnsi="Cambria Math" w:cs="Times New Roman"/>
                  <w:sz w:val="24"/>
                  <w:szCs w:val="24"/>
                </w:rPr>
                <m:t>'</m:t>
              </m:r>
              <m:r>
                <w:rPr>
                  <w:rFonts w:ascii="Cambria Math" w:hAnsi="Cambria Math" w:cs="Times New Roman"/>
                  <w:sz w:val="24"/>
                  <w:szCs w:val="24"/>
                </w:rPr>
                <m:t>o</m:t>
              </m:r>
            </m:sup>
          </m:sSubSup>
          <m:r>
            <w:rPr>
              <w:rFonts w:ascii="Cambria Math" w:hAnsi="Cambria Math" w:cs="Times New Roman"/>
              <w:sz w:val="24"/>
              <w:szCs w:val="24"/>
            </w:rPr>
            <m:t>+</m:t>
          </m:r>
          <m:r>
            <w:rPr>
              <w:rFonts w:ascii="Cambria Math" w:hAnsi="Cambria Math" w:cs="Times New Roman"/>
              <w:sz w:val="24"/>
              <w:szCs w:val="24"/>
            </w:rPr>
            <m:t>RTln</m:t>
          </m:r>
          <m:d>
            <m:dPr>
              <m:ctrlPr>
                <w:rPr>
                  <w:rFonts w:ascii="Cambria Math" w:hAnsi="Cambria Math" w:cs="Times New Roman"/>
                  <w:i/>
                  <w:sz w:val="24"/>
                  <w:szCs w:val="24"/>
                </w:rPr>
              </m:ctrlPr>
            </m:dPr>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m:t>
                  </m:r>
                  <m:r>
                    <w:rPr>
                      <w:rFonts w:ascii="Cambria Math" w:hAnsi="Cambria Math" w:cs="Times New Roman"/>
                      <w:sz w:val="24"/>
                      <w:szCs w:val="24"/>
                    </w:rPr>
                    <m:t>=1</m:t>
                  </m:r>
                </m:sub>
                <m:sup>
                  <m:r>
                    <w:rPr>
                      <w:rFonts w:ascii="Cambria Math" w:hAnsi="Cambria Math" w:cs="Times New Roman"/>
                      <w:sz w:val="24"/>
                      <w:szCs w:val="24"/>
                    </w:rPr>
                    <m:t>m</m:t>
                  </m:r>
                </m:sup>
                <m:e>
                  <m:sSubSup>
                    <m:sSubSupPr>
                      <m:ctrlPr>
                        <w:rPr>
                          <w:rFonts w:ascii="Cambria Math" w:hAnsi="Cambria Math" w:cs="Times New Roman"/>
                          <w:i/>
                          <w:sz w:val="24"/>
                          <w:szCs w:val="24"/>
                        </w:rPr>
                      </m:ctrlPr>
                    </m:sSubSupPr>
                    <m:e>
                      <m:r>
                        <w:rPr>
                          <w:rFonts w:ascii="Cambria Math" w:hAnsi="Cambria Math" w:cs="Times New Roman"/>
                          <w:sz w:val="24"/>
                          <w:szCs w:val="24"/>
                        </w:rPr>
                        <m:t>x</m:t>
                      </m:r>
                    </m:e>
                    <m:sub>
                      <m:r>
                        <w:rPr>
                          <w:rFonts w:ascii="Cambria Math" w:hAnsi="Cambria Math" w:cs="Times New Roman"/>
                          <w:sz w:val="24"/>
                          <w:szCs w:val="24"/>
                        </w:rPr>
                        <m:t>j</m:t>
                      </m:r>
                    </m:sub>
                    <m:sup>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i</m:t>
                          </m:r>
                          <m:r>
                            <w:rPr>
                              <w:rFonts w:ascii="Cambria Math" w:hAnsi="Cambria Math" w:cs="Times New Roman"/>
                              <w:sz w:val="24"/>
                              <w:szCs w:val="24"/>
                            </w:rPr>
                            <m:t>,</m:t>
                          </m:r>
                          <m:r>
                            <w:rPr>
                              <w:rFonts w:ascii="Cambria Math" w:hAnsi="Cambria Math" w:cs="Times New Roman"/>
                              <w:sz w:val="24"/>
                              <w:szCs w:val="24"/>
                            </w:rPr>
                            <m:t>j</m:t>
                          </m:r>
                        </m:sub>
                      </m:sSub>
                    </m:sup>
                  </m:sSubSup>
                </m:e>
              </m:nary>
            </m:e>
          </m:d>
        </m:oMath>
      </m:oMathPara>
    </w:p>
    <w:p w14:paraId="5554BB82" w14:textId="77777777" w:rsidR="008706DD" w:rsidRPr="000A2127" w:rsidRDefault="00514A08" w:rsidP="003A4129">
      <w:pPr>
        <w:spacing w:line="480" w:lineRule="auto"/>
        <w:ind w:firstLineChars="200" w:firstLine="480"/>
        <w:rPr>
          <w:rFonts w:ascii="Times New Roman" w:hAnsi="Times New Roman" w:cs="Times New Roman"/>
          <w:sz w:val="24"/>
          <w:szCs w:val="24"/>
        </w:rPr>
      </w:pPr>
      <m:oMathPara>
        <m:oMath>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t>
                  </m:r>
                </m:e>
                <m:sub>
                  <m:r>
                    <w:rPr>
                      <w:rFonts w:ascii="Cambria Math" w:hAnsi="Cambria Math" w:cs="Times New Roman"/>
                      <w:sz w:val="24"/>
                      <w:szCs w:val="24"/>
                    </w:rPr>
                    <m:t>r</m:t>
                  </m:r>
                </m:sub>
              </m:sSub>
              <m:sSubSup>
                <m:sSubSupPr>
                  <m:ctrlPr>
                    <w:rPr>
                      <w:rFonts w:ascii="Cambria Math" w:hAnsi="Cambria Math" w:cs="Times New Roman"/>
                      <w:i/>
                      <w:sz w:val="24"/>
                      <w:szCs w:val="24"/>
                    </w:rPr>
                  </m:ctrlPr>
                </m:sSubSupPr>
                <m:e>
                  <m:r>
                    <w:rPr>
                      <w:rFonts w:ascii="Cambria Math" w:hAnsi="Cambria Math" w:cs="Times New Roman"/>
                      <w:sz w:val="24"/>
                      <w:szCs w:val="24"/>
                    </w:rPr>
                    <m:t>G</m:t>
                  </m:r>
                </m:e>
                <m:sub>
                  <m:r>
                    <w:rPr>
                      <w:rFonts w:ascii="Cambria Math" w:hAnsi="Cambria Math" w:cs="Times New Roman"/>
                      <w:sz w:val="24"/>
                      <w:szCs w:val="24"/>
                    </w:rPr>
                    <m:t>i</m:t>
                  </m:r>
                </m:sub>
                <m:sup>
                  <m:r>
                    <w:rPr>
                      <w:rFonts w:ascii="Cambria Math" w:hAnsi="Cambria Math" w:cs="Times New Roman"/>
                      <w:sz w:val="24"/>
                      <w:szCs w:val="24"/>
                    </w:rPr>
                    <m:t>'</m:t>
                  </m:r>
                </m:sup>
              </m:sSubSup>
            </m:num>
            <m:den>
              <m:r>
                <w:rPr>
                  <w:rFonts w:ascii="Cambria Math" w:hAnsi="Cambria Math" w:cs="Times New Roman"/>
                  <w:sz w:val="24"/>
                  <w:szCs w:val="24"/>
                </w:rPr>
                <m:t>(1-</m:t>
              </m:r>
              <m:sSub>
                <m:sSubPr>
                  <m:ctrlPr>
                    <w:rPr>
                      <w:rFonts w:ascii="Cambria Math" w:hAnsi="Cambria Math" w:cs="Times New Roman"/>
                      <w:i/>
                      <w:sz w:val="24"/>
                      <w:szCs w:val="24"/>
                    </w:rPr>
                  </m:ctrlPr>
                </m:sSubPr>
                <m:e>
                  <m:r>
                    <w:rPr>
                      <w:rFonts w:ascii="Cambria Math" w:hAnsi="Cambria Math" w:cs="Times New Roman"/>
                      <w:sz w:val="24"/>
                      <w:szCs w:val="24"/>
                    </w:rPr>
                    <m:t>z</m:t>
                  </m:r>
                </m:e>
                <m:sub>
                  <m:r>
                    <w:rPr>
                      <w:rFonts w:ascii="Cambria Math" w:hAnsi="Cambria Math" w:cs="Times New Roman"/>
                      <w:sz w:val="24"/>
                      <w:szCs w:val="24"/>
                    </w:rPr>
                    <m:t>i</m:t>
                  </m:r>
                </m:sub>
              </m:sSub>
              <m:r>
                <w:rPr>
                  <w:rFonts w:ascii="Cambria Math" w:hAnsi="Cambria Math" w:cs="Times New Roman"/>
                  <w:sz w:val="24"/>
                  <w:szCs w:val="24"/>
                </w:rPr>
                <m:t>)</m:t>
              </m:r>
            </m:den>
          </m:f>
          <m:r>
            <w:rPr>
              <w:rFonts w:ascii="Cambria Math" w:hAnsi="Cambria Math" w:cs="Times New Roman"/>
              <w:sz w:val="24"/>
              <w:szCs w:val="24"/>
            </w:rPr>
            <m:t>&lt;</m:t>
          </m:r>
          <m:r>
            <w:rPr>
              <w:rFonts w:ascii="Cambria Math" w:hAnsi="Cambria Math" w:cs="Times New Roman"/>
              <w:sz w:val="24"/>
              <w:szCs w:val="24"/>
            </w:rPr>
            <m:t>K</m:t>
          </m:r>
        </m:oMath>
      </m:oMathPara>
    </w:p>
    <w:p w14:paraId="2EAA57B3"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57F32FF7"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At pH 7.0, ionic strength of 0.25 M, and temperature of 298.15 K, the standard-transformed Gibbs free energy of the reaction, ΔG°, is a constant. Moreover, </w:t>
      </w:r>
      <w:proofErr w:type="spellStart"/>
      <w:r w:rsidRPr="000A2127">
        <w:rPr>
          <w:rFonts w:ascii="Times New Roman" w:hAnsi="Times New Roman" w:cs="Times New Roman"/>
          <w:sz w:val="20"/>
          <w:szCs w:val="20"/>
        </w:rPr>
        <w:t>Δ</w:t>
      </w:r>
      <w:r w:rsidRPr="000A2127">
        <w:rPr>
          <w:rFonts w:ascii="Times New Roman" w:hAnsi="Times New Roman" w:cs="Times New Roman"/>
          <w:sz w:val="20"/>
          <w:szCs w:val="20"/>
          <w:vertAlign w:val="subscript"/>
        </w:rPr>
        <w:t>r</w:t>
      </w:r>
      <w:r w:rsidRPr="000A2127">
        <w:rPr>
          <w:rFonts w:ascii="Times New Roman" w:hAnsi="Times New Roman" w:cs="Times New Roman"/>
          <w:sz w:val="20"/>
          <w:szCs w:val="20"/>
        </w:rPr>
        <w:t>G</w:t>
      </w:r>
      <w:r w:rsidRPr="002D017F">
        <w:rPr>
          <w:rFonts w:ascii="Times New Roman" w:hAnsi="Times New Roman" w:cs="Times New Roman"/>
          <w:sz w:val="20"/>
          <w:szCs w:val="20"/>
          <w:vertAlign w:val="subscript"/>
        </w:rPr>
        <w:t>i</w:t>
      </w:r>
      <w:proofErr w:type="spellEnd"/>
      <w:r w:rsidRPr="002D017F">
        <w:rPr>
          <w:rFonts w:ascii="Times New Roman" w:hAnsi="Times New Roman" w:cs="Times New Roman"/>
          <w:sz w:val="20"/>
          <w:szCs w:val="20"/>
        </w:rPr>
        <w:t>′</w:t>
      </w:r>
      <w:r w:rsidRPr="000A2127">
        <w:rPr>
          <w:rFonts w:ascii="Times New Roman" w:hAnsi="Times New Roman" w:cs="Times New Roman"/>
          <w:sz w:val="20"/>
          <w:szCs w:val="20"/>
        </w:rPr>
        <w:t xml:space="preserve"> is the transformed Gibbs energy of reaction </w:t>
      </w:r>
      <w:proofErr w:type="spellStart"/>
      <w:r w:rsidRPr="000A2127">
        <w:rPr>
          <w:rFonts w:ascii="Times New Roman" w:hAnsi="Times New Roman" w:cs="Times New Roman"/>
          <w:sz w:val="20"/>
          <w:szCs w:val="20"/>
        </w:rPr>
        <w:t>i</w:t>
      </w:r>
      <w:proofErr w:type="spellEnd"/>
      <w:r w:rsidRPr="000A2127">
        <w:rPr>
          <w:rFonts w:ascii="Times New Roman" w:hAnsi="Times New Roman" w:cs="Times New Roman"/>
          <w:sz w:val="20"/>
          <w:szCs w:val="20"/>
        </w:rPr>
        <w:t xml:space="preserve">, which is a function of the chemical potentials of its reaction </w:t>
      </w:r>
      <w:proofErr w:type="spellStart"/>
      <w:r w:rsidRPr="000A2127">
        <w:rPr>
          <w:rFonts w:ascii="Times New Roman" w:hAnsi="Times New Roman" w:cs="Times New Roman"/>
          <w:i/>
          <w:iCs/>
          <w:sz w:val="20"/>
          <w:szCs w:val="20"/>
        </w:rPr>
        <w:t>μ</w:t>
      </w:r>
      <w:r w:rsidRPr="00F66035">
        <w:rPr>
          <w:rFonts w:ascii="Times New Roman" w:hAnsi="Times New Roman" w:cs="Times New Roman"/>
          <w:sz w:val="20"/>
          <w:szCs w:val="20"/>
          <w:vertAlign w:val="subscript"/>
        </w:rPr>
        <w:t>j</w:t>
      </w:r>
      <w:proofErr w:type="spellEnd"/>
      <w:r w:rsidRPr="000A2127">
        <w:rPr>
          <w:rFonts w:ascii="Times New Roman" w:hAnsi="Times New Roman" w:cs="Times New Roman"/>
          <w:sz w:val="20"/>
          <w:szCs w:val="20"/>
        </w:rPr>
        <w:t>. These two parts form a general expression for the Gibbs free energy of a reaction, as shown in Eq.6. In Eq. 7, R</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T represent the universal gas constant</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reaction temperature, respectively, whereas the chemical potential of the reactants is a function of the standard-transformed Gibbs free energy of the formation of the compound </w:t>
      </w:r>
      <w:proofErr w:type="spellStart"/>
      <w:r w:rsidRPr="000A2127">
        <w:rPr>
          <w:rFonts w:ascii="Times New Roman" w:hAnsi="Times New Roman" w:cs="Times New Roman"/>
          <w:sz w:val="20"/>
          <w:szCs w:val="20"/>
        </w:rPr>
        <w:t>Δ</w:t>
      </w:r>
      <w:r w:rsidRPr="000A2127">
        <w:rPr>
          <w:rFonts w:ascii="Times New Roman" w:hAnsi="Times New Roman" w:cs="Times New Roman"/>
          <w:sz w:val="20"/>
          <w:szCs w:val="20"/>
          <w:vertAlign w:val="subscript"/>
        </w:rPr>
        <w:t>f</w:t>
      </w:r>
      <w:r w:rsidRPr="000A2127">
        <w:rPr>
          <w:rFonts w:ascii="Times New Roman" w:hAnsi="Times New Roman" w:cs="Times New Roman"/>
          <w:sz w:val="20"/>
          <w:szCs w:val="20"/>
        </w:rPr>
        <w:t>G</w:t>
      </w:r>
      <w:r w:rsidRPr="000A2127">
        <w:rPr>
          <w:rFonts w:ascii="Times New Roman" w:hAnsi="Times New Roman" w:cs="Times New Roman"/>
          <w:sz w:val="20"/>
          <w:szCs w:val="20"/>
          <w:vertAlign w:val="subscript"/>
        </w:rPr>
        <w:t>i</w:t>
      </w:r>
      <w:proofErr w:type="spellEnd"/>
      <w:r w:rsidRPr="000A2127">
        <w:rPr>
          <w:rFonts w:ascii="Times New Roman" w:hAnsi="Times New Roman" w:cs="Times New Roman"/>
          <w:sz w:val="20"/>
          <w:szCs w:val="20"/>
          <w:vertAlign w:val="superscript"/>
        </w:rPr>
        <w:t>′°</w:t>
      </w:r>
      <w:r w:rsidRPr="000A2127">
        <w:rPr>
          <w:rFonts w:ascii="Times New Roman" w:hAnsi="Times New Roman" w:cs="Times New Roman"/>
          <w:sz w:val="20"/>
          <w:szCs w:val="20"/>
        </w:rPr>
        <w:t>. The binary “flux usage” variable (zi) was introduced to determine the directionality of the Gibbs-energy-determined reaction. To formulate on–off variables and condition ranges, a constant K value with an arbitrarily large value was introduced. Eq. 8 implements thermodynamic constraints exclusively for reactions (</w:t>
      </w:r>
      <w:r w:rsidRPr="000A2127">
        <w:rPr>
          <w:rFonts w:ascii="Times New Roman" w:hAnsi="Times New Roman" w:cs="Times New Roman"/>
          <w:i/>
          <w:sz w:val="20"/>
        </w:rPr>
        <w:t>r</w:t>
      </w:r>
      <w:r w:rsidRPr="000A2127">
        <w:rPr>
          <w:rFonts w:ascii="Times New Roman" w:hAnsi="Times New Roman" w:cs="Times New Roman"/>
          <w:sz w:val="20"/>
          <w:szCs w:val="20"/>
        </w:rPr>
        <w:t xml:space="preserve"> &gt; 0) involved in the metabolic path of the model.</w:t>
      </w:r>
    </w:p>
    <w:p w14:paraId="2783EA94"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0ACAED0F"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2.2 Collection of model data</w:t>
      </w:r>
    </w:p>
    <w:p w14:paraId="25F52241"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model reconstruction was based on the updated version of</w:t>
      </w:r>
      <w:r w:rsidRPr="000A2127">
        <w:rPr>
          <w:rFonts w:ascii="Times New Roman" w:hAnsi="Times New Roman" w:cs="Times New Roman"/>
          <w:i/>
          <w:iCs/>
          <w:color w:val="000000"/>
          <w:sz w:val="20"/>
          <w:szCs w:val="20"/>
        </w:rPr>
        <w:t xml:space="preserve"> i</w:t>
      </w:r>
      <w:r w:rsidRPr="000A2127">
        <w:rPr>
          <w:rFonts w:ascii="Times New Roman" w:hAnsi="Times New Roman" w:cs="Times New Roman"/>
          <w:color w:val="000000"/>
          <w:sz w:val="20"/>
          <w:szCs w:val="20"/>
        </w:rPr>
        <w:t xml:space="preserve">Bsu1147 </w:t>
      </w:r>
      <w:r w:rsidRPr="000A2127">
        <w:rPr>
          <w:rFonts w:ascii="Times New Roman" w:hAnsi="Times New Roman" w:cs="Times New Roman"/>
          <w:noProof/>
          <w:color w:val="000000"/>
          <w:sz w:val="20"/>
          <w:szCs w:val="20"/>
        </w:rPr>
        <w:t>(Hao et al., 2013)</w:t>
      </w:r>
      <w:r w:rsidRPr="000A2127">
        <w:rPr>
          <w:rFonts w:ascii="Times New Roman" w:hAnsi="Times New Roman" w:cs="Times New Roman"/>
          <w:color w:val="000000"/>
          <w:sz w:val="20"/>
          <w:szCs w:val="20"/>
        </w:rPr>
        <w:t xml:space="preserve">, the new gene–metabolite–reaction data retrieved from KEGG, </w:t>
      </w:r>
      <w:proofErr w:type="spellStart"/>
      <w:r w:rsidRPr="000A2127">
        <w:rPr>
          <w:rFonts w:ascii="Times New Roman" w:hAnsi="Times New Roman" w:cs="Times New Roman"/>
          <w:color w:val="000000"/>
          <w:sz w:val="20"/>
          <w:szCs w:val="20"/>
        </w:rPr>
        <w:t>ModelSEED</w:t>
      </w:r>
      <w:proofErr w:type="spellEnd"/>
      <w:r w:rsidRPr="000A2127">
        <w:rPr>
          <w:rFonts w:ascii="Times New Roman" w:hAnsi="Times New Roman" w:cs="Times New Roman"/>
          <w:color w:val="000000"/>
          <w:sz w:val="20"/>
          <w:szCs w:val="20"/>
        </w:rPr>
        <w:t xml:space="preserve">, </w:t>
      </w:r>
      <w:proofErr w:type="spellStart"/>
      <w:r w:rsidRPr="000A2127">
        <w:rPr>
          <w:rFonts w:ascii="Times New Roman" w:hAnsi="Times New Roman" w:cs="Times New Roman"/>
          <w:color w:val="000000"/>
          <w:sz w:val="20"/>
          <w:szCs w:val="20"/>
        </w:rPr>
        <w:t>BioCyc</w:t>
      </w:r>
      <w:proofErr w:type="spellEnd"/>
      <w:r w:rsidRPr="000A2127">
        <w:rPr>
          <w:rFonts w:ascii="Times New Roman" w:hAnsi="Times New Roman" w:cs="Times New Roman"/>
          <w:color w:val="000000"/>
          <w:sz w:val="20"/>
          <w:szCs w:val="20"/>
        </w:rPr>
        <w:t>,</w:t>
      </w:r>
      <w:r w:rsidRPr="000A2127">
        <w:rPr>
          <w:rFonts w:ascii="Times New Roman" w:hAnsi="Times New Roman" w:cs="Times New Roman"/>
          <w:color w:val="000000"/>
          <w:sz w:val="20"/>
        </w:rPr>
        <w:t xml:space="preserve"> and</w:t>
      </w:r>
      <w:r w:rsidRPr="000A2127">
        <w:rPr>
          <w:rFonts w:ascii="Times New Roman" w:hAnsi="Times New Roman" w:cs="Times New Roman"/>
          <w:color w:val="000000"/>
          <w:sz w:val="20"/>
          <w:szCs w:val="20"/>
        </w:rPr>
        <w:t xml:space="preserve"> other databases,</w:t>
      </w:r>
      <w:r w:rsidRPr="000A2127">
        <w:rPr>
          <w:rFonts w:ascii="Times New Roman" w:hAnsi="Times New Roman" w:cs="Times New Roman"/>
          <w:color w:val="000000"/>
          <w:sz w:val="20"/>
        </w:rPr>
        <w:t xml:space="preserve"> and</w:t>
      </w:r>
      <w:r w:rsidRPr="000A2127">
        <w:rPr>
          <w:rFonts w:ascii="Times New Roman" w:hAnsi="Times New Roman" w:cs="Times New Roman"/>
          <w:color w:val="000000"/>
          <w:sz w:val="20"/>
          <w:szCs w:val="20"/>
        </w:rPr>
        <w:t xml:space="preserve"> the updated genome annotations of </w:t>
      </w:r>
      <w:r w:rsidRPr="000A2127">
        <w:rPr>
          <w:rFonts w:ascii="Times New Roman" w:hAnsi="Times New Roman" w:cs="Times New Roman"/>
          <w:i/>
          <w:iCs/>
          <w:color w:val="000000"/>
          <w:sz w:val="20"/>
          <w:szCs w:val="20"/>
        </w:rPr>
        <w:t>B. subtilis</w:t>
      </w:r>
      <w:r w:rsidRPr="000A2127">
        <w:rPr>
          <w:rFonts w:ascii="Times New Roman" w:hAnsi="Times New Roman" w:cs="Times New Roman"/>
          <w:color w:val="000000"/>
          <w:sz w:val="20"/>
          <w:szCs w:val="20"/>
        </w:rPr>
        <w:t xml:space="preserve"> 168 </w:t>
      </w:r>
      <w:r w:rsidRPr="000A2127">
        <w:rPr>
          <w:rFonts w:ascii="Times New Roman" w:hAnsi="Times New Roman" w:cs="Times New Roman"/>
          <w:noProof/>
          <w:sz w:val="20"/>
          <w:szCs w:val="20"/>
        </w:rPr>
        <w:t>(Borriss et al., 2018; Brito et al., 2018)</w:t>
      </w:r>
      <w:r w:rsidRPr="000A2127">
        <w:rPr>
          <w:rFonts w:ascii="Times New Roman" w:hAnsi="Times New Roman" w:cs="Times New Roman"/>
          <w:color w:val="000000"/>
          <w:sz w:val="20"/>
          <w:szCs w:val="20"/>
        </w:rPr>
        <w:t xml:space="preserve">. The Gibbs </w:t>
      </w:r>
      <w:r w:rsidRPr="000A2127">
        <w:rPr>
          <w:rFonts w:ascii="Times New Roman" w:hAnsi="Times New Roman" w:cs="Times New Roman"/>
          <w:color w:val="000000"/>
          <w:sz w:val="20"/>
          <w:szCs w:val="20"/>
        </w:rPr>
        <w:lastRenderedPageBreak/>
        <w:t xml:space="preserve">energies </w:t>
      </w:r>
      <w:r w:rsidRPr="000A2127">
        <w:rPr>
          <w:rFonts w:ascii="Times New Roman" w:hAnsi="Times New Roman" w:cs="Times New Roman"/>
          <w:sz w:val="20"/>
          <w:szCs w:val="20"/>
        </w:rPr>
        <w:t xml:space="preserve">of the reactions were downloaded from the </w:t>
      </w:r>
      <w:proofErr w:type="spellStart"/>
      <w:r w:rsidRPr="000A2127">
        <w:rPr>
          <w:rFonts w:ascii="Times New Roman" w:hAnsi="Times New Roman" w:cs="Times New Roman"/>
          <w:sz w:val="20"/>
          <w:szCs w:val="20"/>
        </w:rPr>
        <w:t>ModelSEED</w:t>
      </w:r>
      <w:proofErr w:type="spellEnd"/>
      <w:r w:rsidRPr="000A2127">
        <w:rPr>
          <w:rFonts w:ascii="Times New Roman" w:hAnsi="Times New Roman" w:cs="Times New Roman"/>
          <w:sz w:val="20"/>
          <w:szCs w:val="20"/>
        </w:rPr>
        <w:t xml:space="preserve"> by python scripting and the API of the </w:t>
      </w:r>
      <w:proofErr w:type="spellStart"/>
      <w:r w:rsidRPr="000A2127">
        <w:rPr>
          <w:rFonts w:ascii="Times New Roman" w:hAnsi="Times New Roman" w:cs="Times New Roman"/>
          <w:sz w:val="20"/>
          <w:szCs w:val="20"/>
        </w:rPr>
        <w:t>eQuilibrator</w:t>
      </w:r>
      <w:proofErr w:type="spellEnd"/>
      <w:r w:rsidRPr="000A2127">
        <w:rPr>
          <w:rFonts w:ascii="Times New Roman" w:hAnsi="Times New Roman" w:cs="Times New Roman"/>
          <w:sz w:val="20"/>
          <w:szCs w:val="20"/>
        </w:rPr>
        <w:t xml:space="preserve">. The </w:t>
      </w:r>
      <w:proofErr w:type="spellStart"/>
      <w:r w:rsidRPr="000A2127">
        <w:rPr>
          <w:rFonts w:ascii="Times New Roman" w:hAnsi="Times New Roman" w:cs="Times New Roman"/>
          <w:i/>
          <w:iCs/>
          <w:sz w:val="20"/>
          <w:szCs w:val="20"/>
        </w:rPr>
        <w:t>k</w:t>
      </w:r>
      <w:r w:rsidRPr="000A2127">
        <w:rPr>
          <w:rFonts w:ascii="Times New Roman" w:hAnsi="Times New Roman" w:cs="Times New Roman"/>
          <w:sz w:val="20"/>
          <w:szCs w:val="20"/>
          <w:vertAlign w:val="subscript"/>
        </w:rPr>
        <w:t>cat</w:t>
      </w:r>
      <w:proofErr w:type="spellEnd"/>
      <w:r w:rsidRPr="000A2127">
        <w:rPr>
          <w:rFonts w:ascii="Times New Roman" w:hAnsi="Times New Roman" w:cs="Times New Roman"/>
          <w:sz w:val="20"/>
          <w:szCs w:val="20"/>
        </w:rPr>
        <w:t xml:space="preserve"> parameters were retrieved from the BRENDA, SABIO-RK, and </w:t>
      </w:r>
      <w:proofErr w:type="spellStart"/>
      <w:r w:rsidRPr="000A2127">
        <w:rPr>
          <w:rFonts w:ascii="Times New Roman" w:hAnsi="Times New Roman" w:cs="Times New Roman"/>
          <w:sz w:val="20"/>
          <w:szCs w:val="20"/>
        </w:rPr>
        <w:t>UniProt</w:t>
      </w:r>
      <w:proofErr w:type="spellEnd"/>
      <w:r w:rsidRPr="000A2127">
        <w:rPr>
          <w:rFonts w:ascii="Times New Roman" w:hAnsi="Times New Roman" w:cs="Times New Roman"/>
          <w:sz w:val="20"/>
          <w:szCs w:val="20"/>
        </w:rPr>
        <w:t xml:space="preserve"> databases using the functions of GECKO Toolbox. Moreover, the protein abundance data were downloaded from the </w:t>
      </w:r>
      <w:proofErr w:type="spellStart"/>
      <w:r w:rsidRPr="000A2127">
        <w:rPr>
          <w:rFonts w:ascii="Times New Roman" w:hAnsi="Times New Roman" w:cs="Times New Roman"/>
          <w:sz w:val="20"/>
          <w:szCs w:val="20"/>
        </w:rPr>
        <w:t>PaxDb</w:t>
      </w:r>
      <w:proofErr w:type="spellEnd"/>
      <w:r w:rsidRPr="000A2127">
        <w:rPr>
          <w:rFonts w:ascii="Times New Roman" w:hAnsi="Times New Roman" w:cs="Times New Roman"/>
          <w:sz w:val="20"/>
          <w:szCs w:val="20"/>
        </w:rPr>
        <w:t xml:space="preserve"> database and were used for constraining the enzyme levels in the model. The transcriptional regulation data were obtained via the following two methods: first, mining from the literature on transcriptional regulatory network models </w:t>
      </w:r>
      <w:r w:rsidRPr="000A2127">
        <w:rPr>
          <w:rFonts w:ascii="Times New Roman" w:hAnsi="Times New Roman" w:cs="Times New Roman"/>
          <w:noProof/>
          <w:sz w:val="20"/>
          <w:szCs w:val="20"/>
        </w:rPr>
        <w:t>(Arrieta-Ortiz et al., 2015; Koo et al., 2017; Leyn et al., 2013; Rychel et al., 2020)</w:t>
      </w:r>
      <w:r w:rsidRPr="000A2127">
        <w:rPr>
          <w:rFonts w:ascii="Times New Roman" w:hAnsi="Times New Roman" w:cs="Times New Roman"/>
          <w:sz w:val="20"/>
          <w:szCs w:val="20"/>
        </w:rPr>
        <w:t xml:space="preserve">; second, retrieving data from transcriptional regulatory databases, such as DBTBS, </w:t>
      </w:r>
      <w:proofErr w:type="spellStart"/>
      <w:r w:rsidRPr="000A2127">
        <w:rPr>
          <w:rFonts w:ascii="Times New Roman" w:hAnsi="Times New Roman" w:cs="Times New Roman"/>
          <w:sz w:val="20"/>
          <w:szCs w:val="20"/>
        </w:rPr>
        <w:t>RegPrecise</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SubtiWiki</w:t>
      </w:r>
      <w:proofErr w:type="spellEnd"/>
      <w:r w:rsidRPr="000A2127">
        <w:rPr>
          <w:rFonts w:ascii="Times New Roman" w:hAnsi="Times New Roman" w:cs="Times New Roman"/>
          <w:sz w:val="20"/>
          <w:szCs w:val="20"/>
        </w:rPr>
        <w:t>.</w:t>
      </w:r>
    </w:p>
    <w:p w14:paraId="482FEE3B"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71D3265F"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2.3 Model reconstruction and parameter processing</w:t>
      </w:r>
    </w:p>
    <w:p w14:paraId="4C73FBA7" w14:textId="0B4FA9CB"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All models were built using the 96-step procedure for metabolic network reconstruction </w:t>
      </w:r>
      <w:r w:rsidRPr="000A2127">
        <w:rPr>
          <w:rFonts w:ascii="Times New Roman" w:hAnsi="Times New Roman" w:cs="Times New Roman"/>
          <w:noProof/>
          <w:sz w:val="20"/>
          <w:szCs w:val="20"/>
        </w:rPr>
        <w:t>(Thiele and Palsson, 2010)</w:t>
      </w:r>
      <w:r w:rsidRPr="000A2127">
        <w:rPr>
          <w:rFonts w:ascii="Times New Roman" w:hAnsi="Times New Roman" w:cs="Times New Roman"/>
          <w:sz w:val="20"/>
          <w:szCs w:val="20"/>
        </w:rPr>
        <w:t xml:space="preserve">. The reconstruction was assembled using the </w:t>
      </w:r>
      <w:r w:rsidR="009C7FB7">
        <w:rPr>
          <w:rFonts w:ascii="Times New Roman" w:hAnsi="Times New Roman" w:cs="Times New Roman"/>
          <w:sz w:val="20"/>
          <w:szCs w:val="20"/>
        </w:rPr>
        <w:t>MATLAB</w:t>
      </w:r>
      <w:r w:rsidRPr="000A2127">
        <w:rPr>
          <w:rFonts w:ascii="Times New Roman" w:hAnsi="Times New Roman" w:cs="Times New Roman"/>
          <w:sz w:val="20"/>
          <w:szCs w:val="20"/>
        </w:rPr>
        <w:t xml:space="preserve"> software platform, and the analysis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was performed using the COBRA Toolbox </w:t>
      </w:r>
      <w:r w:rsidRPr="000A2127">
        <w:rPr>
          <w:rFonts w:ascii="Times New Roman" w:hAnsi="Times New Roman" w:cs="Times New Roman"/>
          <w:noProof/>
          <w:sz w:val="20"/>
          <w:szCs w:val="20"/>
        </w:rPr>
        <w:t>(Navid, 2022)</w:t>
      </w:r>
      <w:r w:rsidRPr="000A2127">
        <w:rPr>
          <w:rFonts w:ascii="Times New Roman" w:hAnsi="Times New Roman" w:cs="Times New Roman"/>
          <w:color w:val="000000"/>
          <w:sz w:val="20"/>
          <w:szCs w:val="20"/>
        </w:rPr>
        <w:t xml:space="preserve">. The filling of gaps in the model was performed using AMMEDEUS </w:t>
      </w:r>
      <w:r w:rsidRPr="000A2127">
        <w:rPr>
          <w:rFonts w:ascii="Times New Roman" w:hAnsi="Times New Roman" w:cs="Times New Roman"/>
          <w:noProof/>
          <w:color w:val="000000"/>
          <w:sz w:val="20"/>
          <w:szCs w:val="20"/>
        </w:rPr>
        <w:t>(Medlock and Papin, 2020)</w:t>
      </w:r>
      <w:r w:rsidRPr="000A2127">
        <w:rPr>
          <w:rFonts w:ascii="Times New Roman" w:hAnsi="Times New Roman" w:cs="Times New Roman"/>
          <w:color w:val="000000"/>
          <w:sz w:val="20"/>
          <w:szCs w:val="20"/>
        </w:rPr>
        <w:t>. Furthermore,</w:t>
      </w:r>
      <w:r w:rsidRPr="000A2127">
        <w:rPr>
          <w:rFonts w:ascii="Times New Roman" w:hAnsi="Times New Roman" w:cs="Times New Roman"/>
          <w:color w:val="000000"/>
        </w:rPr>
        <w:t xml:space="preserve"> </w:t>
      </w:r>
      <w:proofErr w:type="spellStart"/>
      <w:r w:rsidRPr="000A2127">
        <w:rPr>
          <w:rFonts w:ascii="Times New Roman" w:hAnsi="Times New Roman" w:cs="Times New Roman"/>
          <w:color w:val="000000"/>
          <w:sz w:val="20"/>
          <w:szCs w:val="20"/>
        </w:rPr>
        <w:t>BiKEGG</w:t>
      </w:r>
      <w:proofErr w:type="spellEnd"/>
      <w:r w:rsidRPr="000A2127">
        <w:rPr>
          <w:rFonts w:ascii="Times New Roman" w:hAnsi="Times New Roman" w:cs="Times New Roman"/>
          <w:color w:val="000000"/>
          <w:sz w:val="20"/>
          <w:szCs w:val="20"/>
        </w:rPr>
        <w:t xml:space="preserve"> was used for visual flux analysis of metabolic networks </w:t>
      </w:r>
      <w:r w:rsidRPr="000A2127">
        <w:rPr>
          <w:rFonts w:ascii="Times New Roman" w:hAnsi="Times New Roman" w:cs="Times New Roman"/>
          <w:noProof/>
          <w:color w:val="000000"/>
          <w:sz w:val="20"/>
          <w:szCs w:val="20"/>
        </w:rPr>
        <w:t>(Jamialahmadi et al., 2016)</w:t>
      </w:r>
      <w:r w:rsidRPr="000A2127">
        <w:rPr>
          <w:rFonts w:ascii="Times New Roman" w:hAnsi="Times New Roman" w:cs="Times New Roman"/>
          <w:color w:val="000000"/>
          <w:sz w:val="20"/>
          <w:szCs w:val="20"/>
        </w:rPr>
        <w:t xml:space="preserve">. </w:t>
      </w:r>
      <w:r w:rsidRPr="000A2127">
        <w:rPr>
          <w:rFonts w:ascii="Times New Roman" w:hAnsi="Times New Roman" w:cs="Times New Roman"/>
          <w:sz w:val="20"/>
          <w:szCs w:val="20"/>
        </w:rPr>
        <w:t xml:space="preserve">The gene and metabolite data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were collected from multiple databases using web crawler prepared in this study.</w:t>
      </w:r>
    </w:p>
    <w:p w14:paraId="188A1A4D" w14:textId="77777777" w:rsidR="008706DD" w:rsidRPr="000A2127" w:rsidRDefault="008706DD" w:rsidP="003A4129">
      <w:pPr>
        <w:spacing w:line="480" w:lineRule="auto"/>
        <w:ind w:firstLineChars="200" w:firstLine="400"/>
        <w:rPr>
          <w:rFonts w:ascii="Times New Roman" w:hAnsi="Times New Roman" w:cs="Times New Roman"/>
          <w:sz w:val="20"/>
          <w:szCs w:val="20"/>
        </w:rPr>
      </w:pPr>
      <w:bookmarkStart w:id="7" w:name="_Hlk96519894"/>
      <w:r w:rsidRPr="000A2127">
        <w:rPr>
          <w:rFonts w:ascii="Times New Roman" w:hAnsi="Times New Roman" w:cs="Times New Roman"/>
          <w:sz w:val="20"/>
          <w:szCs w:val="20"/>
        </w:rPr>
        <w:t xml:space="preserve">After collecting all enzymatic data for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168, the process of integrating enzymatic constraints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was performed according to the scripts of the GECKO Toolbox, which mainly included eight steps, such as modifying model format, matching enzymatic data, and building enzymatic constraint model. To avoid the problem of excessive model constraints, the model’s enzyme flux was scaled according to the literature </w:t>
      </w:r>
      <w:r w:rsidRPr="000A2127">
        <w:rPr>
          <w:rFonts w:ascii="Times New Roman" w:hAnsi="Times New Roman" w:cs="Times New Roman"/>
          <w:noProof/>
          <w:sz w:val="20"/>
          <w:szCs w:val="20"/>
        </w:rPr>
        <w:t>(Sanchez et al., 2017)</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actual model simulations. Moreover, the process of integrating thermodynamic constraints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transcriptional regulatory network models in</w:t>
      </w:r>
      <w:r w:rsidRPr="000A2127">
        <w:rPr>
          <w:rFonts w:ascii="Times New Roman" w:hAnsi="Times New Roman" w:cs="Times New Roman"/>
          <w:i/>
          <w:iCs/>
          <w:sz w:val="20"/>
          <w:szCs w:val="20"/>
        </w:rPr>
        <w:t xml:space="preserve"> </w:t>
      </w:r>
      <w:r w:rsidRPr="000A2127">
        <w:rPr>
          <w:rFonts w:ascii="Times New Roman" w:hAnsi="Times New Roman" w:cs="Times New Roman"/>
          <w:i/>
          <w:iCs/>
          <w:sz w:val="20"/>
          <w:szCs w:val="20"/>
        </w:rPr>
        <w:lastRenderedPageBreak/>
        <w:t>i</w:t>
      </w:r>
      <w:r w:rsidRPr="000A2127">
        <w:rPr>
          <w:rFonts w:ascii="Times New Roman" w:hAnsi="Times New Roman" w:cs="Times New Roman"/>
          <w:sz w:val="20"/>
          <w:szCs w:val="20"/>
        </w:rPr>
        <w:t xml:space="preserve">Bsu1209 was performed according to the scripts of the </w:t>
      </w:r>
      <w:proofErr w:type="spellStart"/>
      <w:r w:rsidRPr="000A2127">
        <w:rPr>
          <w:rFonts w:ascii="Times New Roman" w:hAnsi="Times New Roman" w:cs="Times New Roman"/>
          <w:sz w:val="20"/>
          <w:szCs w:val="20"/>
        </w:rPr>
        <w:t>matTFA</w:t>
      </w:r>
      <w:proofErr w:type="spellEnd"/>
      <w:r w:rsidRPr="000A2127">
        <w:rPr>
          <w:rFonts w:ascii="Times New Roman" w:hAnsi="Times New Roman" w:cs="Times New Roman"/>
          <w:sz w:val="20"/>
          <w:szCs w:val="20"/>
        </w:rPr>
        <w:t xml:space="preserve"> Toolbox </w:t>
      </w:r>
      <w:r w:rsidRPr="000A2127">
        <w:rPr>
          <w:rFonts w:ascii="Times New Roman" w:hAnsi="Times New Roman" w:cs="Times New Roman"/>
          <w:noProof/>
          <w:sz w:val="20"/>
          <w:szCs w:val="20"/>
        </w:rPr>
        <w:t>(Salvy et al., 2019)</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PROM function </w:t>
      </w:r>
      <w:r w:rsidRPr="000A2127">
        <w:rPr>
          <w:rFonts w:ascii="Times New Roman" w:hAnsi="Times New Roman" w:cs="Times New Roman"/>
          <w:noProof/>
          <w:sz w:val="20"/>
          <w:szCs w:val="20"/>
        </w:rPr>
        <w:t>(Chandrasekaran and Price, 2010)</w:t>
      </w:r>
      <w:r w:rsidRPr="000A2127">
        <w:rPr>
          <w:rFonts w:ascii="Times New Roman" w:hAnsi="Times New Roman" w:cs="Times New Roman"/>
          <w:sz w:val="20"/>
          <w:szCs w:val="20"/>
        </w:rPr>
        <w:t>. Additional details can be found in Supplementary Methods.</w:t>
      </w:r>
    </w:p>
    <w:p w14:paraId="051FAD48"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2B474434"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2.4 Development of Model Tool</w:t>
      </w:r>
      <w:bookmarkEnd w:id="7"/>
    </w:p>
    <w:p w14:paraId="68103656" w14:textId="27685EDD"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Using the GUI of </w:t>
      </w:r>
      <w:r w:rsidR="009C7FB7">
        <w:rPr>
          <w:rFonts w:ascii="Times New Roman" w:hAnsi="Times New Roman" w:cs="Times New Roman"/>
          <w:sz w:val="20"/>
          <w:szCs w:val="20"/>
        </w:rPr>
        <w:t>MATLAB</w:t>
      </w:r>
      <w:r w:rsidRPr="000A2127">
        <w:rPr>
          <w:rFonts w:ascii="Times New Roman" w:hAnsi="Times New Roman" w:cs="Times New Roman"/>
          <w:sz w:val="20"/>
          <w:szCs w:val="20"/>
        </w:rPr>
        <w:t xml:space="preserve"> as the platform, the main codes of GECKO toolbox, </w:t>
      </w:r>
      <w:proofErr w:type="spellStart"/>
      <w:r w:rsidRPr="000A2127">
        <w:rPr>
          <w:rFonts w:ascii="Times New Roman" w:hAnsi="Times New Roman" w:cs="Times New Roman"/>
          <w:sz w:val="20"/>
          <w:szCs w:val="20"/>
        </w:rPr>
        <w:t>matTFA</w:t>
      </w:r>
      <w:proofErr w:type="spellEnd"/>
      <w:r w:rsidRPr="000A2127">
        <w:rPr>
          <w:rFonts w:ascii="Times New Roman" w:hAnsi="Times New Roman" w:cs="Times New Roman"/>
          <w:sz w:val="20"/>
          <w:szCs w:val="20"/>
        </w:rPr>
        <w:t xml:space="preserve"> and PROM toolbox were integrated, and appropriate modifications were made to develop a visual code-free multi-constraint model building</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analysis software. Additional details can be found in Supplementary Methods. </w:t>
      </w:r>
      <w:r w:rsidRPr="000A2127">
        <w:rPr>
          <w:rFonts w:ascii="Times New Roman" w:hAnsi="Times New Roman" w:cs="Times New Roman"/>
          <w:color w:val="000000"/>
          <w:sz w:val="20"/>
          <w:szCs w:val="20"/>
        </w:rPr>
        <w:t xml:space="preserve">The code for </w:t>
      </w:r>
      <w:r w:rsidRPr="000A2127">
        <w:rPr>
          <w:rFonts w:ascii="Times New Roman" w:hAnsi="Times New Roman" w:cs="Times New Roman"/>
          <w:sz w:val="20"/>
          <w:szCs w:val="20"/>
        </w:rPr>
        <w:t>Model Tool</w:t>
      </w:r>
      <w:r w:rsidRPr="000A2127">
        <w:rPr>
          <w:rFonts w:ascii="Times New Roman" w:hAnsi="Times New Roman" w:cs="Times New Roman"/>
          <w:color w:val="000000"/>
          <w:sz w:val="20"/>
          <w:szCs w:val="20"/>
        </w:rPr>
        <w:t xml:space="preserve"> and analysis of the model is available at </w:t>
      </w:r>
      <w:hyperlink r:id="rId8" w:history="1">
        <w:r w:rsidRPr="000A2127">
          <w:rPr>
            <w:rStyle w:val="Hyperlink"/>
            <w:sz w:val="20"/>
            <w:szCs w:val="20"/>
          </w:rPr>
          <w:t>https://github.com/bixinyuJN/Model_Tool</w:t>
        </w:r>
      </w:hyperlink>
      <w:r w:rsidRPr="000A2127">
        <w:rPr>
          <w:rFonts w:ascii="Times New Roman" w:hAnsi="Times New Roman" w:cs="Times New Roman"/>
          <w:sz w:val="20"/>
          <w:szCs w:val="20"/>
        </w:rPr>
        <w:t>.</w:t>
      </w:r>
    </w:p>
    <w:p w14:paraId="51016AF7"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3E716AE2" w14:textId="77777777" w:rsidR="008706DD" w:rsidRPr="000A2127" w:rsidRDefault="008706DD" w:rsidP="003A4129">
      <w:pPr>
        <w:pStyle w:val="Heading2"/>
        <w:spacing w:after="0" w:line="480" w:lineRule="auto"/>
        <w:rPr>
          <w:rFonts w:ascii="Times New Roman" w:hAnsi="Times New Roman" w:cs="Times New Roman"/>
          <w:szCs w:val="20"/>
        </w:rPr>
      </w:pPr>
      <w:bookmarkStart w:id="8" w:name="_Hlk96519917"/>
      <w:r w:rsidRPr="000A2127">
        <w:rPr>
          <w:rFonts w:ascii="Times New Roman" w:hAnsi="Times New Roman" w:cs="Times New Roman"/>
          <w:szCs w:val="20"/>
        </w:rPr>
        <w:t>2.5 Simulation analysis of the model</w:t>
      </w:r>
      <w:bookmarkEnd w:id="8"/>
    </w:p>
    <w:p w14:paraId="201E422F"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The COBRA Toolbox was used to assess the quality of the model. FBA was used to simulate all experimental conditions and validate</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A comparison of the </w:t>
      </w:r>
      <w:r w:rsidRPr="000A2127">
        <w:rPr>
          <w:rFonts w:ascii="Times New Roman" w:hAnsi="Times New Roman" w:cs="Times New Roman"/>
          <w:sz w:val="20"/>
          <w:vertAlign w:val="superscript"/>
        </w:rPr>
        <w:t>13</w:t>
      </w:r>
      <w:r w:rsidRPr="000A2127">
        <w:rPr>
          <w:rFonts w:ascii="Times New Roman" w:hAnsi="Times New Roman" w:cs="Times New Roman"/>
          <w:sz w:val="20"/>
          <w:szCs w:val="20"/>
        </w:rPr>
        <w:t xml:space="preserve">C metabolic flow analysis of the experimental data </w:t>
      </w:r>
      <w:r w:rsidRPr="000A2127">
        <w:rPr>
          <w:rFonts w:ascii="Times New Roman" w:hAnsi="Times New Roman" w:cs="Times New Roman"/>
          <w:noProof/>
          <w:sz w:val="20"/>
          <w:szCs w:val="20"/>
        </w:rPr>
        <w:t>(Kleijn et al., 2010; Ruhl et al., 2012; Rühl et al., 2012; Ruhl et al., 2010)</w:t>
      </w:r>
      <w:r w:rsidRPr="000A2127">
        <w:rPr>
          <w:rFonts w:ascii="Times New Roman" w:hAnsi="Times New Roman" w:cs="Times New Roman"/>
          <w:sz w:val="20"/>
          <w:szCs w:val="20"/>
        </w:rPr>
        <w:t xml:space="preserve"> revealed that the uptake rates of key metabolites in the model, such as glucose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pyruvate, were limited to 5–10 mmol</w:t>
      </w:r>
      <w:r w:rsidRPr="000A2127">
        <w:rPr>
          <w:rFonts w:ascii="Times New Roman" w:hAnsi="Times New Roman" w:cs="Times New Roman"/>
          <w:sz w:val="20"/>
        </w:rPr>
        <w:t xml:space="preserve"> gDW</w:t>
      </w:r>
      <w:r w:rsidRPr="000A2127">
        <w:rPr>
          <w:rFonts w:ascii="Times New Roman" w:hAnsi="Times New Roman" w:cs="Times New Roman"/>
          <w:sz w:val="20"/>
          <w:vertAlign w:val="superscript"/>
        </w:rPr>
        <w:t>-1</w:t>
      </w:r>
      <w:r w:rsidRPr="000A2127">
        <w:rPr>
          <w:rFonts w:ascii="Times New Roman" w:hAnsi="Times New Roman" w:cs="Times New Roman"/>
          <w:sz w:val="20"/>
          <w:szCs w:val="20"/>
        </w:rPr>
        <w:t>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To explore the robustness of the biomass growth rate of the model, the uptake rates of glucose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oxygen were changed within the range of 0–5 mmol</w:t>
      </w:r>
      <w:r w:rsidRPr="000A2127">
        <w:rPr>
          <w:rFonts w:ascii="Times New Roman" w:hAnsi="Times New Roman" w:cs="Times New Roman"/>
          <w:sz w:val="20"/>
        </w:rPr>
        <w:t xml:space="preserve"> gDW</w:t>
      </w:r>
      <w:r w:rsidRPr="000A2127">
        <w:rPr>
          <w:rFonts w:ascii="Times New Roman" w:hAnsi="Times New Roman" w:cs="Times New Roman"/>
          <w:sz w:val="20"/>
          <w:vertAlign w:val="superscript"/>
        </w:rPr>
        <w:t>-1</w:t>
      </w:r>
      <w:r w:rsidRPr="000A2127">
        <w:rPr>
          <w:rFonts w:ascii="Times New Roman" w:hAnsi="Times New Roman" w:cs="Times New Roman"/>
          <w:sz w:val="20"/>
        </w:rPr>
        <w:t xml:space="preserve"> </w:t>
      </w:r>
      <w:r w:rsidRPr="000A2127">
        <w:rPr>
          <w:rFonts w:ascii="Times New Roman" w:hAnsi="Times New Roman" w:cs="Times New Roman"/>
          <w:sz w:val="20"/>
          <w:szCs w:val="20"/>
        </w:rPr>
        <w:t>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The range of reaction flux in the model was determined by the </w:t>
      </w:r>
      <w:proofErr w:type="spellStart"/>
      <w:r w:rsidRPr="000A2127">
        <w:rPr>
          <w:rFonts w:ascii="Times New Roman" w:hAnsi="Times New Roman" w:cs="Times New Roman"/>
          <w:sz w:val="20"/>
          <w:szCs w:val="20"/>
        </w:rPr>
        <w:t>fluxVariability</w:t>
      </w:r>
      <w:proofErr w:type="spellEnd"/>
      <w:r w:rsidRPr="000A2127">
        <w:rPr>
          <w:rFonts w:ascii="Times New Roman" w:hAnsi="Times New Roman" w:cs="Times New Roman"/>
          <w:sz w:val="20"/>
          <w:szCs w:val="20"/>
        </w:rPr>
        <w:t xml:space="preserve"> function under specific simulation conditions. To simulate the growth of mutant strains under different culture conditions, the </w:t>
      </w:r>
      <w:proofErr w:type="spellStart"/>
      <w:r w:rsidRPr="000A2127">
        <w:rPr>
          <w:rFonts w:ascii="Times New Roman" w:hAnsi="Times New Roman" w:cs="Times New Roman"/>
          <w:sz w:val="20"/>
          <w:szCs w:val="20"/>
        </w:rPr>
        <w:t>singleGeneDeletion</w:t>
      </w:r>
      <w:proofErr w:type="spellEnd"/>
      <w:r w:rsidRPr="000A2127">
        <w:rPr>
          <w:rFonts w:ascii="Times New Roman" w:hAnsi="Times New Roman" w:cs="Times New Roman"/>
          <w:sz w:val="20"/>
          <w:szCs w:val="20"/>
        </w:rPr>
        <w:t xml:space="preserve"> function was used for growth simulation after gene knockout. The predicted result was compared with the experimental data for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t>
      </w:r>
      <w:r w:rsidRPr="000A2127">
        <w:rPr>
          <w:rFonts w:ascii="Times New Roman" w:hAnsi="Times New Roman" w:cs="Times New Roman"/>
          <w:noProof/>
          <w:sz w:val="20"/>
          <w:szCs w:val="20"/>
        </w:rPr>
        <w:t>(Koo et al., 2017)</w:t>
      </w:r>
      <w:r w:rsidRPr="000A2127">
        <w:rPr>
          <w:rFonts w:ascii="Times New Roman" w:hAnsi="Times New Roman" w:cs="Times New Roman"/>
          <w:sz w:val="20"/>
          <w:szCs w:val="20"/>
        </w:rPr>
        <w:t xml:space="preserve">. Before the model simulated the gene knockout, the culture medium was modified according to previous studies </w:t>
      </w:r>
      <w:r w:rsidRPr="000A2127">
        <w:rPr>
          <w:rFonts w:ascii="Times New Roman" w:hAnsi="Times New Roman" w:cs="Times New Roman"/>
          <w:noProof/>
          <w:sz w:val="20"/>
          <w:szCs w:val="20"/>
        </w:rPr>
        <w:t>(Koo et al., 2017)</w:t>
      </w:r>
      <w:r w:rsidRPr="000A2127">
        <w:rPr>
          <w:rFonts w:ascii="Times New Roman" w:hAnsi="Times New Roman" w:cs="Times New Roman"/>
          <w:sz w:val="20"/>
          <w:szCs w:val="20"/>
        </w:rPr>
        <w:t xml:space="preserve">. Additional details can be </w:t>
      </w:r>
      <w:r w:rsidRPr="000A2127">
        <w:rPr>
          <w:rFonts w:ascii="Times New Roman" w:hAnsi="Times New Roman" w:cs="Times New Roman"/>
          <w:sz w:val="20"/>
          <w:szCs w:val="20"/>
        </w:rPr>
        <w:lastRenderedPageBreak/>
        <w:t>found in Supplementary Methods.</w:t>
      </w:r>
      <w:bookmarkStart w:id="9" w:name="OLE_LINK2"/>
      <w:r w:rsidRPr="000A2127">
        <w:rPr>
          <w:rFonts w:ascii="Times New Roman" w:hAnsi="Times New Roman" w:cs="Times New Roman"/>
        </w:rPr>
        <w:t xml:space="preserve"> </w:t>
      </w:r>
      <w:r w:rsidRPr="000A2127">
        <w:rPr>
          <w:rFonts w:ascii="Times New Roman" w:hAnsi="Times New Roman" w:cs="Times New Roman"/>
          <w:sz w:val="20"/>
          <w:szCs w:val="20"/>
        </w:rPr>
        <w:t xml:space="preserve">In the MK-7 synthesis reaction, the calculation of the enzyme cost is based on the ECM algorithm </w:t>
      </w:r>
      <w:r w:rsidRPr="000A2127">
        <w:rPr>
          <w:rFonts w:ascii="Times New Roman" w:hAnsi="Times New Roman" w:cs="Times New Roman"/>
          <w:noProof/>
          <w:sz w:val="20"/>
          <w:szCs w:val="20"/>
        </w:rPr>
        <w:t>(Noor et al., 2016)</w:t>
      </w:r>
      <w:r w:rsidRPr="000A2127">
        <w:rPr>
          <w:rFonts w:ascii="Times New Roman" w:hAnsi="Times New Roman" w:cs="Times New Roman"/>
          <w:sz w:val="20"/>
          <w:szCs w:val="20"/>
        </w:rPr>
        <w:t xml:space="preserve">, and the calculation of the thermodynamic driving force is based on the </w:t>
      </w:r>
      <w:proofErr w:type="spellStart"/>
      <w:r w:rsidRPr="000A2127">
        <w:rPr>
          <w:rFonts w:ascii="Times New Roman" w:hAnsi="Times New Roman" w:cs="Times New Roman"/>
          <w:sz w:val="20"/>
          <w:szCs w:val="20"/>
        </w:rPr>
        <w:t>OptMDFpathway</w:t>
      </w:r>
      <w:proofErr w:type="spellEnd"/>
      <w:r w:rsidRPr="000A2127">
        <w:rPr>
          <w:rFonts w:ascii="Times New Roman" w:hAnsi="Times New Roman" w:cs="Times New Roman"/>
          <w:sz w:val="20"/>
          <w:szCs w:val="20"/>
        </w:rPr>
        <w:t xml:space="preserve"> function </w:t>
      </w:r>
      <w:r w:rsidRPr="000A2127">
        <w:rPr>
          <w:rFonts w:ascii="Times New Roman" w:hAnsi="Times New Roman" w:cs="Times New Roman"/>
          <w:noProof/>
          <w:sz w:val="20"/>
          <w:szCs w:val="20"/>
        </w:rPr>
        <w:t>(Hädicke et al., 2018)</w:t>
      </w:r>
      <w:r w:rsidRPr="000A2127">
        <w:rPr>
          <w:rFonts w:ascii="Times New Roman" w:hAnsi="Times New Roman" w:cs="Times New Roman"/>
          <w:sz w:val="20"/>
          <w:szCs w:val="20"/>
        </w:rPr>
        <w:t xml:space="preserve">. </w:t>
      </w:r>
      <w:bookmarkStart w:id="10" w:name="OLE_LINK19"/>
      <w:r w:rsidRPr="000A2127">
        <w:rPr>
          <w:rFonts w:ascii="Times New Roman" w:hAnsi="Times New Roman" w:cs="Times New Roman"/>
          <w:sz w:val="20"/>
          <w:szCs w:val="20"/>
        </w:rPr>
        <w:t xml:space="preserve">PCC </w:t>
      </w:r>
      <w:bookmarkEnd w:id="10"/>
      <w:r w:rsidRPr="000A2127">
        <w:rPr>
          <w:rFonts w:ascii="Times New Roman" w:hAnsi="Times New Roman" w:cs="Times New Roman"/>
          <w:sz w:val="20"/>
          <w:szCs w:val="20"/>
        </w:rPr>
        <w:t>was used as a metric to evaluate the correlation between model simulation values and experimental data</w:t>
      </w:r>
      <w:bookmarkEnd w:id="9"/>
      <w:r w:rsidRPr="000A2127">
        <w:rPr>
          <w:rFonts w:ascii="Times New Roman" w:hAnsi="Times New Roman" w:cs="Times New Roman"/>
          <w:sz w:val="20"/>
          <w:szCs w:val="20"/>
        </w:rPr>
        <w:t xml:space="preserve">. To simulate the relationship between cell growth and substrate utilization, the model set the uptake of glucose as the sole carbon source and several essential inorganic compounds and oxygen as fixed values, according to the literature </w:t>
      </w:r>
      <w:r w:rsidRPr="000A2127">
        <w:rPr>
          <w:rFonts w:ascii="Times New Roman" w:hAnsi="Times New Roman" w:cs="Times New Roman"/>
          <w:noProof/>
          <w:sz w:val="20"/>
          <w:szCs w:val="20"/>
        </w:rPr>
        <w:t>(Hao et al., 2013; Oh et al., 2007)</w:t>
      </w:r>
      <w:r w:rsidRPr="000A2127">
        <w:rPr>
          <w:rFonts w:ascii="Times New Roman" w:hAnsi="Times New Roman" w:cs="Times New Roman"/>
          <w:sz w:val="20"/>
          <w:szCs w:val="20"/>
        </w:rPr>
        <w:t>.</w:t>
      </w:r>
      <w:r w:rsidRPr="000A2127">
        <w:rPr>
          <w:rFonts w:ascii="Times New Roman" w:hAnsi="Times New Roman" w:cs="Times New Roman"/>
        </w:rPr>
        <w:t xml:space="preserve"> </w:t>
      </w:r>
      <w:r w:rsidRPr="000A2127">
        <w:rPr>
          <w:rFonts w:ascii="Times New Roman" w:hAnsi="Times New Roman" w:cs="Times New Roman"/>
          <w:sz w:val="20"/>
          <w:szCs w:val="20"/>
        </w:rPr>
        <w:t xml:space="preserve">MEMOTE (https://memote.io/) was used to assess the quality of the models </w:t>
      </w:r>
      <w:r w:rsidRPr="000A2127">
        <w:rPr>
          <w:rFonts w:ascii="Times New Roman" w:hAnsi="Times New Roman" w:cs="Times New Roman"/>
          <w:noProof/>
          <w:sz w:val="20"/>
          <w:szCs w:val="20"/>
        </w:rPr>
        <w:t>(Lieven et al., 2020)</w:t>
      </w:r>
      <w:r w:rsidRPr="000A2127">
        <w:rPr>
          <w:rFonts w:ascii="Times New Roman" w:hAnsi="Times New Roman" w:cs="Times New Roman"/>
          <w:sz w:val="20"/>
          <w:szCs w:val="20"/>
        </w:rPr>
        <w:t>.</w:t>
      </w:r>
    </w:p>
    <w:p w14:paraId="43DDD5FF" w14:textId="77777777" w:rsidR="008706DD" w:rsidRPr="000A2127" w:rsidRDefault="008706DD" w:rsidP="003A4129">
      <w:pPr>
        <w:spacing w:line="480" w:lineRule="auto"/>
        <w:ind w:firstLineChars="200" w:firstLine="400"/>
        <w:rPr>
          <w:rFonts w:ascii="Times New Roman" w:hAnsi="Times New Roman" w:cs="Times New Roman"/>
          <w:sz w:val="20"/>
          <w:szCs w:val="20"/>
        </w:rPr>
      </w:pPr>
    </w:p>
    <w:p w14:paraId="30677812"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2.6 Strains and media</w:t>
      </w:r>
    </w:p>
    <w:p w14:paraId="0C761B9D" w14:textId="17895F94" w:rsidR="008706DD" w:rsidRPr="000A2127" w:rsidRDefault="008706DD" w:rsidP="003A4129">
      <w:pPr>
        <w:pStyle w:val="a"/>
        <w:spacing w:line="480" w:lineRule="auto"/>
        <w:ind w:firstLine="400"/>
        <w:rPr>
          <w:rFonts w:ascii="Times New Roman" w:hAnsi="Times New Roman" w:cs="Times New Roman"/>
        </w:rPr>
      </w:pPr>
      <w:r w:rsidRPr="000A2127">
        <w:rPr>
          <w:rFonts w:ascii="Times New Roman" w:hAnsi="Times New Roman" w:cs="Times New Roman"/>
          <w:color w:val="000000"/>
        </w:rPr>
        <w:t xml:space="preserve">The strains BS3A was developed by Cui et al </w:t>
      </w:r>
      <w:r w:rsidRPr="000A2127">
        <w:rPr>
          <w:rFonts w:ascii="Times New Roman" w:hAnsi="Times New Roman" w:cs="Times New Roman"/>
          <w:noProof/>
          <w:color w:val="000000"/>
        </w:rPr>
        <w:t>(Cui et al., 2019)</w:t>
      </w:r>
      <w:r w:rsidRPr="000A2127">
        <w:rPr>
          <w:rFonts w:ascii="Times New Roman" w:hAnsi="Times New Roman" w:cs="Times New Roman"/>
          <w:color w:val="000000"/>
        </w:rPr>
        <w:t>.</w:t>
      </w:r>
      <w:bookmarkStart w:id="11" w:name="OLE_LINK4"/>
      <w:r w:rsidRPr="000A2127">
        <w:rPr>
          <w:rFonts w:ascii="Times New Roman" w:hAnsi="Times New Roman" w:cs="Times New Roman"/>
          <w:color w:val="000000"/>
        </w:rPr>
        <w:t xml:space="preserve"> All strains</w:t>
      </w:r>
      <w:r w:rsidRPr="000A2127">
        <w:rPr>
          <w:rFonts w:ascii="Times New Roman" w:eastAsia="SimSun" w:hAnsi="Times New Roman" w:cs="Times New Roman"/>
          <w:color w:val="000000"/>
        </w:rPr>
        <w:t xml:space="preserve"> </w:t>
      </w:r>
      <w:r w:rsidRPr="000A2127">
        <w:rPr>
          <w:rFonts w:ascii="Times New Roman" w:hAnsi="Times New Roman" w:cs="Times New Roman"/>
          <w:color w:val="000000"/>
        </w:rPr>
        <w:t>were cultivated in Luria−Bertani (LB) liquid culture or on LB</w:t>
      </w:r>
      <w:r w:rsidRPr="000A2127">
        <w:rPr>
          <w:rFonts w:ascii="Times New Roman" w:eastAsia="SimSun" w:hAnsi="Times New Roman" w:cs="Times New Roman"/>
          <w:color w:val="000000"/>
        </w:rPr>
        <w:t xml:space="preserve"> </w:t>
      </w:r>
      <w:r w:rsidRPr="000A2127">
        <w:rPr>
          <w:rFonts w:ascii="Times New Roman" w:hAnsi="Times New Roman" w:cs="Times New Roman"/>
          <w:color w:val="000000"/>
        </w:rPr>
        <w:t>agar plates at 37 °C for genetic experiments. LB medium consisted of 10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Tryptone, 5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yeast extract and 5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NaCl. The culture medium used for MK-7 production was as described previously by Cui et al </w:t>
      </w:r>
      <w:r w:rsidRPr="000A2127">
        <w:rPr>
          <w:rFonts w:ascii="Times New Roman" w:hAnsi="Times New Roman" w:cs="Times New Roman"/>
          <w:noProof/>
          <w:color w:val="000000"/>
        </w:rPr>
        <w:t>(Cui et al., 2019)</w:t>
      </w:r>
      <w:r w:rsidRPr="000A2127">
        <w:rPr>
          <w:rFonts w:ascii="Times New Roman" w:hAnsi="Times New Roman" w:cs="Times New Roman"/>
          <w:color w:val="000000"/>
        </w:rPr>
        <w:t>.</w:t>
      </w:r>
      <w:bookmarkEnd w:id="11"/>
      <w:r w:rsidRPr="000A2127">
        <w:rPr>
          <w:rFonts w:ascii="Times New Roman" w:hAnsi="Times New Roman" w:cs="Times New Roman"/>
          <w:color w:val="000000"/>
        </w:rPr>
        <w:t xml:space="preserve"> The fermentation medium consisted of 50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glucose, 50 g</w:t>
      </w:r>
      <w:bookmarkStart w:id="12" w:name="OLE_LINK17"/>
      <w:r w:rsidRPr="000A2127">
        <w:rPr>
          <w:rFonts w:ascii="Times New Roman" w:hAnsi="Times New Roman" w:cs="Times New Roman"/>
          <w:color w:val="000000"/>
        </w:rPr>
        <w:t xml:space="preserve"> L</w:t>
      </w:r>
      <w:r w:rsidRPr="000A2127">
        <w:rPr>
          <w:rFonts w:ascii="Times New Roman" w:hAnsi="Times New Roman" w:cs="Times New Roman"/>
          <w:color w:val="000000"/>
          <w:vertAlign w:val="superscript"/>
        </w:rPr>
        <w:t>-1</w:t>
      </w:r>
      <w:bookmarkEnd w:id="12"/>
      <w:r w:rsidRPr="000A2127">
        <w:rPr>
          <w:rFonts w:ascii="Times New Roman" w:hAnsi="Times New Roman" w:cs="Times New Roman"/>
          <w:color w:val="000000"/>
        </w:rPr>
        <w:t xml:space="preserve"> sucrose, 50 g L</w:t>
      </w:r>
      <w:r w:rsidRPr="000A2127">
        <w:rPr>
          <w:rFonts w:ascii="Times New Roman" w:hAnsi="Times New Roman" w:cs="Times New Roman"/>
          <w:color w:val="000000"/>
          <w:vertAlign w:val="superscript"/>
        </w:rPr>
        <w:t xml:space="preserve">-1 </w:t>
      </w:r>
      <w:r w:rsidRPr="000A2127">
        <w:rPr>
          <w:rFonts w:ascii="Times New Roman" w:hAnsi="Times New Roman" w:cs="Times New Roman"/>
          <w:color w:val="000000"/>
        </w:rPr>
        <w:t>soy peptone, and 0.6 g L</w:t>
      </w:r>
      <w:r w:rsidRPr="000A2127">
        <w:rPr>
          <w:rFonts w:ascii="Times New Roman" w:hAnsi="Times New Roman" w:cs="Times New Roman"/>
          <w:color w:val="000000"/>
          <w:vertAlign w:val="superscript"/>
        </w:rPr>
        <w:t xml:space="preserve">-1 </w:t>
      </w:r>
      <w:r w:rsidRPr="000A2127">
        <w:rPr>
          <w:rFonts w:ascii="Times New Roman" w:hAnsi="Times New Roman" w:cs="Times New Roman"/>
          <w:color w:val="000000"/>
        </w:rPr>
        <w:t>KH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PO</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 xml:space="preserve">. </w:t>
      </w:r>
      <w:bookmarkStart w:id="13" w:name="OLE_LINK1"/>
      <w:r w:rsidRPr="000A2127">
        <w:rPr>
          <w:rFonts w:ascii="Times New Roman" w:hAnsi="Times New Roman" w:cs="Times New Roman"/>
          <w:color w:val="000000"/>
        </w:rPr>
        <w:t xml:space="preserve">The components of the M9 minimal medium </w:t>
      </w:r>
      <w:bookmarkEnd w:id="13"/>
      <w:r w:rsidRPr="000A2127">
        <w:rPr>
          <w:rFonts w:ascii="Times New Roman" w:hAnsi="Times New Roman" w:cs="Times New Roman"/>
          <w:color w:val="000000"/>
        </w:rPr>
        <w:t xml:space="preserve">can be found in </w:t>
      </w:r>
      <w:proofErr w:type="spellStart"/>
      <w:r w:rsidRPr="000A2127">
        <w:rPr>
          <w:rFonts w:ascii="Times New Roman" w:hAnsi="Times New Roman" w:cs="Times New Roman"/>
          <w:color w:val="000000"/>
        </w:rPr>
        <w:t>Norizan</w:t>
      </w:r>
      <w:proofErr w:type="spellEnd"/>
      <w:r w:rsidRPr="000A2127">
        <w:rPr>
          <w:rFonts w:ascii="Times New Roman" w:hAnsi="Times New Roman" w:cs="Times New Roman"/>
          <w:color w:val="000000"/>
        </w:rPr>
        <w:t xml:space="preserve"> et al </w:t>
      </w:r>
      <w:r w:rsidRPr="000A2127">
        <w:rPr>
          <w:rFonts w:ascii="Times New Roman" w:hAnsi="Times New Roman" w:cs="Times New Roman"/>
          <w:noProof/>
          <w:color w:val="000000"/>
        </w:rPr>
        <w:t>(Norizan et al., 2020)</w:t>
      </w:r>
      <w:r w:rsidRPr="000A2127">
        <w:rPr>
          <w:rFonts w:ascii="Times New Roman" w:hAnsi="Times New Roman" w:cs="Times New Roman"/>
          <w:color w:val="000000"/>
        </w:rPr>
        <w:t>. The M9 minimal medium consisted of 3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g glucose, 0.1 mM CaCl</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 1 mM MgSO</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 0.05 mM FeCl</w:t>
      </w:r>
      <w:r w:rsidRPr="000A2127">
        <w:rPr>
          <w:rFonts w:ascii="Times New Roman" w:hAnsi="Times New Roman" w:cs="Times New Roman"/>
          <w:color w:val="000000"/>
          <w:vertAlign w:val="subscript"/>
        </w:rPr>
        <w:t>3</w:t>
      </w:r>
      <w:r w:rsidRPr="000A2127">
        <w:rPr>
          <w:rFonts w:ascii="Times New Roman" w:hAnsi="Times New Roman" w:cs="Times New Roman"/>
          <w:color w:val="000000"/>
        </w:rPr>
        <w:t>, 8.5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Na</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HPO</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·2H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O, 3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KH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PO</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 1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NH</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Cl, 0.5 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NaCl, 1 mg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MnCl</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 1.7 mg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ZnCl</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 0.43 mg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CuCl</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·2H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O, 0.6 mg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CoCl</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·6H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O and 0.6 mg L</w:t>
      </w:r>
      <w:r w:rsidRPr="000A2127">
        <w:rPr>
          <w:rFonts w:ascii="Times New Roman" w:hAnsi="Times New Roman" w:cs="Times New Roman"/>
          <w:color w:val="000000"/>
          <w:vertAlign w:val="superscript"/>
        </w:rPr>
        <w:t>−1</w:t>
      </w:r>
      <w:r w:rsidRPr="000A2127">
        <w:rPr>
          <w:rFonts w:ascii="Times New Roman" w:hAnsi="Times New Roman" w:cs="Times New Roman"/>
          <w:color w:val="000000"/>
        </w:rPr>
        <w:t xml:space="preserve"> Na</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MoO</w:t>
      </w:r>
      <w:r w:rsidRPr="000A2127">
        <w:rPr>
          <w:rFonts w:ascii="Times New Roman" w:hAnsi="Times New Roman" w:cs="Times New Roman"/>
          <w:color w:val="000000"/>
          <w:vertAlign w:val="subscript"/>
        </w:rPr>
        <w:t>4</w:t>
      </w:r>
      <w:r w:rsidRPr="000A2127">
        <w:rPr>
          <w:rFonts w:ascii="Times New Roman" w:hAnsi="Times New Roman" w:cs="Times New Roman"/>
          <w:color w:val="000000"/>
        </w:rPr>
        <w:t>·2H</w:t>
      </w:r>
      <w:r w:rsidRPr="000A2127">
        <w:rPr>
          <w:rFonts w:ascii="Times New Roman" w:hAnsi="Times New Roman" w:cs="Times New Roman"/>
          <w:color w:val="000000"/>
          <w:vertAlign w:val="subscript"/>
        </w:rPr>
        <w:t>2</w:t>
      </w:r>
      <w:r w:rsidRPr="000A2127">
        <w:rPr>
          <w:rFonts w:ascii="Times New Roman" w:hAnsi="Times New Roman" w:cs="Times New Roman"/>
          <w:color w:val="000000"/>
        </w:rPr>
        <w:t xml:space="preserve">O. All chemicals were purchased from </w:t>
      </w:r>
      <w:proofErr w:type="spellStart"/>
      <w:r w:rsidRPr="000A2127">
        <w:rPr>
          <w:rFonts w:ascii="Times New Roman" w:hAnsi="Times New Roman" w:cs="Times New Roman"/>
          <w:color w:val="000000"/>
        </w:rPr>
        <w:t>Sangon</w:t>
      </w:r>
      <w:proofErr w:type="spellEnd"/>
      <w:r w:rsidRPr="000A2127">
        <w:rPr>
          <w:rFonts w:ascii="Times New Roman" w:hAnsi="Times New Roman" w:cs="Times New Roman"/>
          <w:color w:val="000000"/>
        </w:rPr>
        <w:t xml:space="preserve"> Biotech Co., Ltd (Shanghai, China)</w:t>
      </w:r>
      <w:r w:rsidRPr="000A2127">
        <w:rPr>
          <w:rFonts w:ascii="Times New Roman" w:eastAsia="SimSun" w:hAnsi="Times New Roman" w:cs="Times New Roman"/>
          <w:color w:val="000000"/>
        </w:rPr>
        <w:t>.</w:t>
      </w:r>
      <w:r w:rsidRPr="000A2127">
        <w:rPr>
          <w:rFonts w:ascii="Times New Roman" w:eastAsia="DengXian" w:hAnsi="Times New Roman" w:cs="Times New Roman"/>
        </w:rPr>
        <w:t xml:space="preserve"> All the strain used in this study are listed in </w:t>
      </w:r>
      <w:r>
        <w:rPr>
          <w:rFonts w:ascii="Times New Roman" w:hAnsi="Times New Roman" w:cs="Times New Roman"/>
        </w:rPr>
        <w:t>Table S1</w:t>
      </w:r>
      <w:r w:rsidRPr="000A2127">
        <w:rPr>
          <w:rFonts w:ascii="Times New Roman" w:eastAsia="DengXian" w:hAnsi="Times New Roman" w:cs="Times New Roman"/>
        </w:rPr>
        <w:t>.</w:t>
      </w:r>
      <w:r w:rsidRPr="000A2127">
        <w:rPr>
          <w:rFonts w:ascii="Times New Roman" w:hAnsi="Times New Roman" w:cs="Times New Roman"/>
          <w:color w:val="000000"/>
        </w:rPr>
        <w:t xml:space="preserve"> </w:t>
      </w:r>
      <w:r w:rsidRPr="000A2127">
        <w:rPr>
          <w:rFonts w:ascii="Times New Roman" w:eastAsia="DengXian" w:hAnsi="Times New Roman" w:cs="Times New Roman"/>
          <w:color w:val="000000"/>
        </w:rPr>
        <w:t xml:space="preserve">All the primers used in this study were synthesized by GENEWIZ (Suzhou, China), </w:t>
      </w:r>
      <w:r w:rsidRPr="000A2127">
        <w:rPr>
          <w:rFonts w:ascii="Times New Roman" w:eastAsia="DengXian" w:hAnsi="Times New Roman" w:cs="Times New Roman"/>
        </w:rPr>
        <w:t xml:space="preserve">and listed in </w:t>
      </w:r>
      <w:r>
        <w:rPr>
          <w:rFonts w:ascii="Times New Roman" w:hAnsi="Times New Roman" w:cs="Times New Roman"/>
        </w:rPr>
        <w:t>Table S</w:t>
      </w:r>
      <w:r w:rsidR="007D52A2">
        <w:rPr>
          <w:rFonts w:ascii="Times New Roman" w:hAnsi="Times New Roman" w:cs="Times New Roman"/>
        </w:rPr>
        <w:t>2</w:t>
      </w:r>
      <w:r w:rsidRPr="000A2127">
        <w:rPr>
          <w:rFonts w:ascii="Times New Roman" w:eastAsia="DengXian" w:hAnsi="Times New Roman" w:cs="Times New Roman"/>
        </w:rPr>
        <w:t xml:space="preserve">. </w:t>
      </w:r>
    </w:p>
    <w:p w14:paraId="2A0E1E0B"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lastRenderedPageBreak/>
        <w:t>2.7 DNA manipulation</w:t>
      </w:r>
    </w:p>
    <w:p w14:paraId="7AA354D3" w14:textId="77777777" w:rsidR="008706DD" w:rsidRPr="000A2127" w:rsidRDefault="008706DD" w:rsidP="003A4129">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The method used for gene knockout was the same as that reported by Cui et al </w:t>
      </w:r>
      <w:r w:rsidRPr="000A2127">
        <w:rPr>
          <w:rFonts w:ascii="Times New Roman" w:hAnsi="Times New Roman" w:cs="Times New Roman"/>
          <w:noProof/>
          <w:color w:val="000000"/>
        </w:rPr>
        <w:t>(Cui et al., 2019)</w:t>
      </w:r>
      <w:r w:rsidRPr="000A2127">
        <w:rPr>
          <w:rFonts w:ascii="Times New Roman" w:hAnsi="Times New Roman" w:cs="Times New Roman"/>
          <w:sz w:val="20"/>
          <w:szCs w:val="20"/>
        </w:rPr>
        <w:t>. Briefly,</w:t>
      </w:r>
      <w:bookmarkStart w:id="14" w:name="_Hlk93342911"/>
      <w:r w:rsidRPr="000A2127">
        <w:rPr>
          <w:rFonts w:ascii="Times New Roman" w:hAnsi="Times New Roman" w:cs="Times New Roman"/>
          <w:sz w:val="20"/>
          <w:szCs w:val="20"/>
        </w:rPr>
        <w:t xml:space="preserve"> approximately 1, 000 bp of sequences upstream</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downstream of the deletion target in </w:t>
      </w:r>
      <w:r w:rsidRPr="000A2127">
        <w:rPr>
          <w:rFonts w:ascii="Times New Roman" w:hAnsi="Times New Roman" w:cs="Times New Roman"/>
          <w:i/>
          <w:iCs/>
          <w:sz w:val="20"/>
          <w:szCs w:val="20"/>
        </w:rPr>
        <w:t xml:space="preserve">B. subtilis </w:t>
      </w:r>
      <w:r w:rsidRPr="000A2127">
        <w:rPr>
          <w:rFonts w:ascii="Times New Roman" w:hAnsi="Times New Roman" w:cs="Times New Roman"/>
          <w:iCs/>
          <w:sz w:val="20"/>
          <w:szCs w:val="20"/>
        </w:rPr>
        <w:t>genome</w:t>
      </w:r>
      <w:r w:rsidRPr="000A2127">
        <w:rPr>
          <w:rFonts w:ascii="Times New Roman" w:hAnsi="Times New Roman" w:cs="Times New Roman"/>
          <w:i/>
          <w:iCs/>
          <w:sz w:val="20"/>
          <w:szCs w:val="20"/>
        </w:rPr>
        <w:t xml:space="preserve"> </w:t>
      </w:r>
      <w:r w:rsidRPr="000A2127">
        <w:rPr>
          <w:rFonts w:ascii="Times New Roman" w:hAnsi="Times New Roman" w:cs="Times New Roman"/>
          <w:sz w:val="20"/>
          <w:szCs w:val="20"/>
        </w:rPr>
        <w:t xml:space="preserve">were amplified. Subsequently, fusion PCR was performed to join the two fragments with the lox71-zeo-lox66 cassette amplified from plasmid p7Z6. Finally, the purified PCR products were used to transform competent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cells.</w:t>
      </w:r>
    </w:p>
    <w:p w14:paraId="66FA11C5" w14:textId="77777777" w:rsidR="008706DD" w:rsidRPr="000A2127" w:rsidRDefault="008706DD" w:rsidP="003A4129">
      <w:pPr>
        <w:spacing w:line="480" w:lineRule="auto"/>
        <w:ind w:firstLineChars="200" w:firstLine="400"/>
        <w:rPr>
          <w:rFonts w:ascii="Times New Roman" w:hAnsi="Times New Roman" w:cs="Times New Roman"/>
          <w:sz w:val="20"/>
          <w:szCs w:val="20"/>
        </w:rPr>
      </w:pPr>
    </w:p>
    <w:bookmarkEnd w:id="14"/>
    <w:p w14:paraId="22889ACB"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2.8 Culture conditions and analytical methods</w:t>
      </w:r>
    </w:p>
    <w:p w14:paraId="6DA72A9F" w14:textId="77777777" w:rsidR="008706DD" w:rsidRPr="000A2127" w:rsidRDefault="008706DD" w:rsidP="003A4129">
      <w:pPr>
        <w:spacing w:line="480" w:lineRule="auto"/>
        <w:ind w:firstLineChars="200" w:firstLine="400"/>
        <w:rPr>
          <w:rFonts w:ascii="Times New Roman" w:hAnsi="Times New Roman" w:cs="Times New Roman"/>
          <w:color w:val="000000"/>
          <w:sz w:val="20"/>
          <w:szCs w:val="20"/>
        </w:rPr>
      </w:pPr>
      <w:r w:rsidRPr="000A2127">
        <w:rPr>
          <w:rFonts w:ascii="Times New Roman" w:hAnsi="Times New Roman" w:cs="Times New Roman"/>
          <w:sz w:val="20"/>
          <w:szCs w:val="20"/>
        </w:rPr>
        <w:t xml:space="preserve">The culture conditions and analytical methods used for MK-7 production in recombinant strains are described in the methods reported by Cui et al </w:t>
      </w:r>
      <w:r w:rsidRPr="000A2127">
        <w:rPr>
          <w:rFonts w:ascii="Times New Roman" w:hAnsi="Times New Roman" w:cs="Times New Roman"/>
          <w:noProof/>
          <w:color w:val="000000"/>
        </w:rPr>
        <w:t>(Cui et al., 2019)</w:t>
      </w:r>
      <w:r w:rsidRPr="000A2127">
        <w:rPr>
          <w:rFonts w:ascii="Times New Roman" w:hAnsi="Times New Roman" w:cs="Times New Roman"/>
          <w:sz w:val="20"/>
          <w:szCs w:val="20"/>
        </w:rPr>
        <w:t>.</w:t>
      </w:r>
      <w:r w:rsidRPr="000A2127">
        <w:rPr>
          <w:rFonts w:ascii="Times New Roman" w:hAnsi="Times New Roman" w:cs="Times New Roman"/>
        </w:rPr>
        <w:t xml:space="preserve"> </w:t>
      </w:r>
      <w:r w:rsidRPr="000A2127">
        <w:rPr>
          <w:rFonts w:ascii="Times New Roman" w:hAnsi="Times New Roman" w:cs="Times New Roman"/>
          <w:color w:val="000000"/>
          <w:sz w:val="20"/>
          <w:szCs w:val="20"/>
        </w:rPr>
        <w:t xml:space="preserve">Briefly, engineered strains were cultured in 250 mL flasks containing 20 mL of fermentation medium and shaken at 220 rpm and 40 °C for 7 days. Cell density was determined from the optical density at 600 nm with a spectrophotometer. Glucose concentrations in the culture medium were measured with glucose-glutamate analyzer (SBA-40C; Biology Institute of Shandong Academy of Sciences, Shandong, China). MK-7 concentrations were determined using C18 ODS column (5 </w:t>
      </w:r>
      <w:proofErr w:type="spellStart"/>
      <w:r w:rsidRPr="000A2127">
        <w:rPr>
          <w:rFonts w:ascii="Times New Roman" w:hAnsi="Times New Roman" w:cs="Times New Roman"/>
          <w:color w:val="000000"/>
          <w:sz w:val="20"/>
          <w:szCs w:val="20"/>
        </w:rPr>
        <w:t>μm</w:t>
      </w:r>
      <w:proofErr w:type="spellEnd"/>
      <w:r w:rsidRPr="000A2127">
        <w:rPr>
          <w:rFonts w:ascii="Times New Roman" w:hAnsi="Times New Roman" w:cs="Times New Roman"/>
          <w:color w:val="000000"/>
          <w:sz w:val="20"/>
          <w:szCs w:val="20"/>
        </w:rPr>
        <w:t xml:space="preserve">, 250 × 4.6 mm, </w:t>
      </w:r>
      <w:proofErr w:type="spellStart"/>
      <w:r w:rsidRPr="000A2127">
        <w:rPr>
          <w:rFonts w:ascii="Times New Roman" w:hAnsi="Times New Roman" w:cs="Times New Roman"/>
          <w:color w:val="000000"/>
          <w:sz w:val="20"/>
          <w:szCs w:val="20"/>
        </w:rPr>
        <w:t>Thermo</w:t>
      </w:r>
      <w:proofErr w:type="spellEnd"/>
      <w:r w:rsidRPr="000A2127">
        <w:rPr>
          <w:rFonts w:ascii="Times New Roman" w:hAnsi="Times New Roman" w:cs="Times New Roman"/>
          <w:color w:val="000000"/>
          <w:sz w:val="20"/>
          <w:szCs w:val="20"/>
        </w:rPr>
        <w:t xml:space="preserve"> Fisher Scientific, Waltham, MA, USA) and High-performance liquid chromatography (Agilent 1260, Santa Clara, CA, USA) at 40 °C and the wavelength of 254 nm. Methanol: dichloromethane (9:1, v/v) was used as the mobile phase at flow rate of 1 mL min</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w:t>
      </w:r>
    </w:p>
    <w:p w14:paraId="411AFD8A" w14:textId="77777777" w:rsidR="008706DD" w:rsidRPr="000A2127" w:rsidRDefault="008706DD" w:rsidP="003A4129">
      <w:pPr>
        <w:spacing w:line="480" w:lineRule="auto"/>
        <w:ind w:firstLineChars="200" w:firstLine="400"/>
        <w:rPr>
          <w:rFonts w:ascii="Times New Roman" w:hAnsi="Times New Roman" w:cs="Times New Roman"/>
          <w:color w:val="FF0000"/>
          <w:sz w:val="20"/>
          <w:szCs w:val="20"/>
        </w:rPr>
      </w:pPr>
    </w:p>
    <w:p w14:paraId="437D60A3" w14:textId="77777777" w:rsidR="008706DD" w:rsidRPr="000A2127" w:rsidRDefault="008706DD" w:rsidP="003A4129">
      <w:pPr>
        <w:pStyle w:val="Heading2"/>
        <w:spacing w:after="0" w:line="480" w:lineRule="auto"/>
        <w:rPr>
          <w:rFonts w:ascii="Times New Roman" w:hAnsi="Times New Roman" w:cs="Times New Roman"/>
          <w:color w:val="000000"/>
        </w:rPr>
      </w:pPr>
      <w:r w:rsidRPr="000A2127">
        <w:rPr>
          <w:rFonts w:ascii="Times New Roman" w:hAnsi="Times New Roman" w:cs="Times New Roman"/>
          <w:color w:val="000000"/>
        </w:rPr>
        <w:t>2.9 Statistical analysis</w:t>
      </w:r>
    </w:p>
    <w:p w14:paraId="3BF12E53" w14:textId="77777777" w:rsidR="008706DD" w:rsidRPr="000A2127" w:rsidRDefault="008706DD" w:rsidP="003A4129">
      <w:pPr>
        <w:spacing w:line="480" w:lineRule="auto"/>
        <w:ind w:firstLineChars="200" w:firstLine="400"/>
        <w:rPr>
          <w:rFonts w:ascii="Times New Roman" w:hAnsi="Times New Roman" w:cs="Times New Roman"/>
          <w:color w:val="000000"/>
          <w:sz w:val="20"/>
          <w:szCs w:val="20"/>
        </w:rPr>
      </w:pPr>
      <w:r w:rsidRPr="000A2127">
        <w:rPr>
          <w:rFonts w:ascii="Times New Roman" w:hAnsi="Times New Roman" w:cs="Times New Roman"/>
          <w:color w:val="000000"/>
          <w:sz w:val="20"/>
          <w:szCs w:val="20"/>
        </w:rPr>
        <w:t xml:space="preserve">All experiments were independently carried out at least three times, and the results were expressed as mean ± standard deviation (SD). All the statistical evaluation (p-value) was performed by two-sided </w:t>
      </w:r>
      <w:r w:rsidRPr="000A2127">
        <w:rPr>
          <w:rFonts w:ascii="Times New Roman" w:hAnsi="Times New Roman" w:cs="Times New Roman"/>
          <w:color w:val="000000"/>
          <w:sz w:val="20"/>
          <w:szCs w:val="20"/>
        </w:rPr>
        <w:lastRenderedPageBreak/>
        <w:t>t-test, *p&lt; 0.05, **p&lt; 0.01, ***p&lt; 0.001.</w:t>
      </w:r>
    </w:p>
    <w:p w14:paraId="2E8AE937" w14:textId="77777777" w:rsidR="008706DD" w:rsidRPr="000A2127" w:rsidRDefault="008706DD" w:rsidP="003A4129">
      <w:pPr>
        <w:spacing w:line="480" w:lineRule="auto"/>
        <w:ind w:firstLineChars="200" w:firstLine="400"/>
        <w:rPr>
          <w:rFonts w:ascii="Times New Roman" w:hAnsi="Times New Roman" w:cs="Times New Roman"/>
          <w:color w:val="000000"/>
          <w:sz w:val="20"/>
          <w:szCs w:val="20"/>
        </w:rPr>
      </w:pPr>
    </w:p>
    <w:p w14:paraId="2221AC43" w14:textId="77777777" w:rsidR="008706DD" w:rsidRPr="000A2127" w:rsidRDefault="008706DD" w:rsidP="003A4129">
      <w:pPr>
        <w:pStyle w:val="Heading2"/>
        <w:spacing w:after="0" w:line="480" w:lineRule="auto"/>
        <w:rPr>
          <w:rFonts w:ascii="Times New Roman" w:hAnsi="Times New Roman" w:cs="Times New Roman"/>
          <w:szCs w:val="20"/>
        </w:rPr>
      </w:pPr>
      <w:r w:rsidRPr="000A2127">
        <w:rPr>
          <w:rFonts w:ascii="Times New Roman" w:hAnsi="Times New Roman" w:cs="Times New Roman"/>
          <w:szCs w:val="20"/>
        </w:rPr>
        <w:t>2.10 Tool for model construction and analysis</w:t>
      </w:r>
    </w:p>
    <w:p w14:paraId="00DA528C" w14:textId="3BF8239C" w:rsidR="008706DD" w:rsidRPr="000A2127" w:rsidRDefault="008706DD" w:rsidP="003A4129">
      <w:pPr>
        <w:spacing w:line="480" w:lineRule="auto"/>
        <w:rPr>
          <w:rFonts w:ascii="Times New Roman" w:hAnsi="Times New Roman" w:cs="Times New Roman"/>
          <w:sz w:val="20"/>
          <w:szCs w:val="20"/>
        </w:rPr>
      </w:pPr>
      <w:r w:rsidRPr="000A2127">
        <w:rPr>
          <w:rFonts w:ascii="Times New Roman" w:hAnsi="Times New Roman" w:cs="Times New Roman"/>
          <w:sz w:val="20"/>
          <w:szCs w:val="20"/>
        </w:rPr>
        <w:t xml:space="preserve">All software and functions used for model construction and analysis in this study are listed in </w:t>
      </w:r>
      <w:r>
        <w:rPr>
          <w:rFonts w:ascii="Times New Roman" w:hAnsi="Times New Roman" w:cs="Times New Roman"/>
          <w:sz w:val="20"/>
        </w:rPr>
        <w:t>Table S</w:t>
      </w:r>
      <w:r w:rsidR="007D52A2">
        <w:rPr>
          <w:rFonts w:ascii="Times New Roman" w:hAnsi="Times New Roman" w:cs="Times New Roman"/>
          <w:sz w:val="20"/>
        </w:rPr>
        <w:t>3</w:t>
      </w:r>
      <w:r w:rsidRPr="000A2127">
        <w:rPr>
          <w:rFonts w:ascii="Times New Roman" w:hAnsi="Times New Roman" w:cs="Times New Roman"/>
          <w:sz w:val="20"/>
          <w:szCs w:val="20"/>
        </w:rPr>
        <w:t>.</w:t>
      </w:r>
    </w:p>
    <w:p w14:paraId="529D6DEB" w14:textId="77777777" w:rsidR="008706DD" w:rsidRPr="000A2127" w:rsidRDefault="008706DD" w:rsidP="003A4129">
      <w:pPr>
        <w:spacing w:line="480" w:lineRule="auto"/>
        <w:rPr>
          <w:rFonts w:ascii="Times New Roman" w:hAnsi="Times New Roman" w:cs="Times New Roman"/>
          <w:sz w:val="20"/>
          <w:szCs w:val="20"/>
        </w:rPr>
      </w:pPr>
    </w:p>
    <w:p w14:paraId="7C8EBEE3" w14:textId="40BB8EAA" w:rsidR="008706DD" w:rsidRPr="000A2127" w:rsidRDefault="008706DD">
      <w:pPr>
        <w:pStyle w:val="Heading1"/>
        <w:spacing w:line="480" w:lineRule="auto"/>
        <w:rPr>
          <w:rFonts w:ascii="Times New Roman" w:hAnsi="Times New Roman" w:cs="Times New Roman"/>
          <w:b w:val="0"/>
          <w:bCs w:val="0"/>
          <w:szCs w:val="20"/>
        </w:rPr>
      </w:pPr>
      <w:r w:rsidRPr="000A2127">
        <w:rPr>
          <w:rFonts w:ascii="Times New Roman" w:hAnsi="Times New Roman" w:cs="Times New Roman"/>
        </w:rPr>
        <w:t>3. R</w:t>
      </w:r>
      <w:r w:rsidR="00622E2F">
        <w:rPr>
          <w:rFonts w:ascii="Times New Roman" w:hAnsi="Times New Roman" w:cs="Times New Roman"/>
        </w:rPr>
        <w:t>ESULTS</w:t>
      </w:r>
    </w:p>
    <w:p w14:paraId="0B3E1310" w14:textId="77777777" w:rsidR="008706DD" w:rsidRPr="000A2127" w:rsidRDefault="008706DD">
      <w:pPr>
        <w:pStyle w:val="Heading2"/>
        <w:spacing w:after="0" w:line="480" w:lineRule="auto"/>
        <w:rPr>
          <w:rFonts w:ascii="Times New Roman" w:hAnsi="Times New Roman" w:cs="Times New Roman"/>
          <w:szCs w:val="20"/>
        </w:rPr>
      </w:pPr>
      <w:r w:rsidRPr="000A2127">
        <w:rPr>
          <w:rFonts w:ascii="Times New Roman" w:hAnsi="Times New Roman" w:cs="Times New Roman"/>
        </w:rPr>
        <w:t>3.1 Reconstruction of</w:t>
      </w:r>
      <w:r w:rsidRPr="000A2127">
        <w:rPr>
          <w:rFonts w:ascii="Times New Roman" w:hAnsi="Times New Roman" w:cs="Times New Roman"/>
          <w:i/>
          <w:iCs/>
        </w:rPr>
        <w:t xml:space="preserve"> i</w:t>
      </w:r>
      <w:r w:rsidRPr="000A2127">
        <w:rPr>
          <w:rFonts w:ascii="Times New Roman" w:hAnsi="Times New Roman" w:cs="Times New Roman"/>
        </w:rPr>
        <w:t>Bsu1209</w:t>
      </w:r>
    </w:p>
    <w:p w14:paraId="676E0562" w14:textId="033B6074"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To construct the latest GEM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we conducted the following three tasks (</w:t>
      </w:r>
      <w:r w:rsidRPr="000A2127">
        <w:rPr>
          <w:rFonts w:ascii="Times New Roman" w:hAnsi="Times New Roman" w:cs="Times New Roman"/>
          <w:sz w:val="20"/>
        </w:rPr>
        <w:t>Fig.</w:t>
      </w:r>
      <w:r w:rsidRPr="000A2127">
        <w:rPr>
          <w:rFonts w:ascii="Times New Roman" w:hAnsi="Times New Roman" w:cs="Times New Roman"/>
          <w:sz w:val="20"/>
          <w:szCs w:val="20"/>
        </w:rPr>
        <w:t xml:space="preserve"> 2a). First, the latest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168 genome annotations and metabolic reactions were retrieved from the literature </w:t>
      </w:r>
      <w:r w:rsidRPr="000A2127">
        <w:rPr>
          <w:rFonts w:ascii="Times New Roman" w:hAnsi="Times New Roman" w:cs="Times New Roman"/>
          <w:noProof/>
          <w:sz w:val="20"/>
          <w:szCs w:val="20"/>
        </w:rPr>
        <w:t>(Borriss et al., 2018; Brito et al., 2018)</w:t>
      </w:r>
      <w:r w:rsidRPr="000A2127">
        <w:rPr>
          <w:rFonts w:ascii="Times New Roman" w:hAnsi="Times New Roman" w:cs="Times New Roman"/>
          <w:sz w:val="20"/>
          <w:szCs w:val="20"/>
        </w:rPr>
        <w:t xml:space="preserve"> and various databases, such as KEGG, </w:t>
      </w:r>
      <w:proofErr w:type="spellStart"/>
      <w:r w:rsidRPr="000A2127">
        <w:rPr>
          <w:rFonts w:ascii="Times New Roman" w:hAnsi="Times New Roman" w:cs="Times New Roman"/>
          <w:sz w:val="20"/>
          <w:szCs w:val="20"/>
        </w:rPr>
        <w:t>BsubCyc</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SubtiWiki</w:t>
      </w:r>
      <w:proofErr w:type="spellEnd"/>
      <w:r w:rsidR="0047138C">
        <w:rPr>
          <w:rFonts w:ascii="Times New Roman" w:hAnsi="Times New Roman" w:cs="Times New Roman"/>
          <w:sz w:val="20"/>
          <w:szCs w:val="20"/>
        </w:rPr>
        <w:t xml:space="preserve">, </w:t>
      </w:r>
      <w:r w:rsidR="0047138C" w:rsidRPr="0047138C">
        <w:rPr>
          <w:rFonts w:ascii="Times New Roman" w:hAnsi="Times New Roman" w:cs="Times New Roman"/>
          <w:sz w:val="20"/>
          <w:szCs w:val="20"/>
        </w:rPr>
        <w:t>and normalize t</w:t>
      </w:r>
      <w:r w:rsidR="0047138C">
        <w:rPr>
          <w:rFonts w:ascii="Times New Roman" w:hAnsi="Times New Roman" w:cs="Times New Roman"/>
          <w:sz w:val="20"/>
          <w:szCs w:val="20"/>
        </w:rPr>
        <w:t>hem</w:t>
      </w:r>
      <w:r w:rsidR="0047138C" w:rsidRPr="0047138C">
        <w:rPr>
          <w:rFonts w:ascii="Times New Roman" w:hAnsi="Times New Roman" w:cs="Times New Roman"/>
          <w:sz w:val="20"/>
          <w:szCs w:val="20"/>
        </w:rPr>
        <w:t xml:space="preserve"> in Bigg database form</w:t>
      </w:r>
      <w:r w:rsidRPr="000A2127">
        <w:rPr>
          <w:rFonts w:ascii="Times New Roman" w:hAnsi="Times New Roman" w:cs="Times New Roman"/>
          <w:sz w:val="20"/>
          <w:szCs w:val="20"/>
        </w:rPr>
        <w:t xml:space="preserve">; </w:t>
      </w:r>
      <w:bookmarkStart w:id="15" w:name="_Hlk93393723"/>
      <w:r w:rsidRPr="000A2127">
        <w:rPr>
          <w:rFonts w:ascii="Times New Roman" w:hAnsi="Times New Roman" w:cs="Times New Roman"/>
          <w:sz w:val="20"/>
          <w:szCs w:val="20"/>
        </w:rPr>
        <w:t>subsequently, we constructed the draft model by integrating the collected data, which included 1198 genes, 2290 metabolites, and 2435 reactions</w:t>
      </w:r>
      <w:bookmarkEnd w:id="15"/>
      <w:r w:rsidRPr="000A2127">
        <w:rPr>
          <w:rFonts w:ascii="Times New Roman" w:hAnsi="Times New Roman" w:cs="Times New Roman"/>
          <w:sz w:val="20"/>
          <w:szCs w:val="20"/>
        </w:rPr>
        <w:t xml:space="preserve"> (</w:t>
      </w:r>
      <w:r>
        <w:rPr>
          <w:rFonts w:ascii="Times New Roman" w:hAnsi="Times New Roman" w:cs="Times New Roman"/>
          <w:sz w:val="20"/>
          <w:szCs w:val="20"/>
        </w:rPr>
        <w:t>Table S</w:t>
      </w:r>
      <w:r w:rsidR="007D52A2">
        <w:rPr>
          <w:rFonts w:ascii="Times New Roman" w:hAnsi="Times New Roman" w:cs="Times New Roman"/>
          <w:sz w:val="20"/>
          <w:szCs w:val="20"/>
        </w:rPr>
        <w:t>4</w:t>
      </w:r>
      <w:r w:rsidRPr="000A2127">
        <w:rPr>
          <w:rFonts w:ascii="Times New Roman" w:hAnsi="Times New Roman" w:cs="Times New Roman"/>
          <w:sz w:val="20"/>
          <w:szCs w:val="20"/>
        </w:rPr>
        <w:t xml:space="preserve">, </w:t>
      </w:r>
      <w:r w:rsidR="007D52A2">
        <w:rPr>
          <w:rFonts w:ascii="Times New Roman" w:hAnsi="Times New Roman" w:cs="Times New Roman"/>
          <w:sz w:val="20"/>
          <w:szCs w:val="20"/>
        </w:rPr>
        <w:t>5</w:t>
      </w:r>
      <w:r w:rsidRPr="000A2127">
        <w:rPr>
          <w:rFonts w:ascii="Times New Roman" w:hAnsi="Times New Roman" w:cs="Times New Roman"/>
          <w:sz w:val="20"/>
          <w:szCs w:val="20"/>
        </w:rPr>
        <w:t>). Next, we identified the necessary genes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reactions from the previously reported model,</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Bsu1147. </w:t>
      </w:r>
      <w:r w:rsidR="005E1C13" w:rsidRPr="005E1C13">
        <w:rPr>
          <w:rFonts w:ascii="Times New Roman" w:hAnsi="Times New Roman" w:cs="Times New Roman"/>
          <w:sz w:val="20"/>
          <w:szCs w:val="20"/>
        </w:rPr>
        <w:t>Partial reactions in iBsu1147 were removed using metabolic flux analysis, including</w:t>
      </w:r>
      <w:r w:rsidRPr="000A2127">
        <w:rPr>
          <w:rFonts w:ascii="Times New Roman" w:hAnsi="Times New Roman" w:cs="Times New Roman"/>
          <w:sz w:val="20"/>
          <w:szCs w:val="20"/>
        </w:rPr>
        <w:t xml:space="preserve"> 118 ineffective macromolecular membrane transporters [such as 3-(</w:t>
      </w:r>
      <w:r w:rsidRPr="000A2127">
        <w:rPr>
          <w:rFonts w:ascii="Times New Roman" w:hAnsi="Times New Roman" w:cs="Times New Roman"/>
          <w:i/>
          <w:sz w:val="20"/>
        </w:rPr>
        <w:t>n</w:t>
      </w:r>
      <w:r w:rsidRPr="000A2127">
        <w:rPr>
          <w:rFonts w:ascii="Times New Roman" w:hAnsi="Times New Roman" w:cs="Times New Roman"/>
          <w:sz w:val="20"/>
          <w:szCs w:val="20"/>
        </w:rPr>
        <w:t xml:space="preserve">-morpholino) </w:t>
      </w:r>
      <w:proofErr w:type="spellStart"/>
      <w:r w:rsidRPr="000A2127">
        <w:rPr>
          <w:rFonts w:ascii="Times New Roman" w:hAnsi="Times New Roman" w:cs="Times New Roman"/>
          <w:sz w:val="20"/>
          <w:szCs w:val="20"/>
        </w:rPr>
        <w:t>propanesulfonic</w:t>
      </w:r>
      <w:proofErr w:type="spellEnd"/>
      <w:r w:rsidRPr="000A2127">
        <w:rPr>
          <w:rFonts w:ascii="Times New Roman" w:hAnsi="Times New Roman" w:cs="Times New Roman"/>
          <w:sz w:val="20"/>
          <w:szCs w:val="20"/>
        </w:rPr>
        <w:t xml:space="preserve"> acid, lanthionine,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hexanesulfonate</w:t>
      </w:r>
      <w:proofErr w:type="spellEnd"/>
      <w:r w:rsidRPr="000A2127">
        <w:rPr>
          <w:rFonts w:ascii="Times New Roman" w:hAnsi="Times New Roman" w:cs="Times New Roman"/>
          <w:sz w:val="20"/>
          <w:szCs w:val="20"/>
        </w:rPr>
        <w:t>]</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orphan reactions (reactions without known associated genes, such as the degradation of 3-methyl-2-oxobutanoic acid, </w:t>
      </w:r>
      <w:proofErr w:type="spellStart"/>
      <w:r w:rsidRPr="000A2127">
        <w:rPr>
          <w:rFonts w:ascii="Times New Roman" w:hAnsi="Times New Roman" w:cs="Times New Roman"/>
          <w:sz w:val="20"/>
          <w:szCs w:val="20"/>
        </w:rPr>
        <w:t>isobutyraldehyde</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isobutanol</w:t>
      </w:r>
      <w:proofErr w:type="spellEnd"/>
      <w:r w:rsidRPr="000A2127">
        <w:rPr>
          <w:rFonts w:ascii="Times New Roman" w:hAnsi="Times New Roman" w:cs="Times New Roman"/>
          <w:sz w:val="20"/>
          <w:szCs w:val="20"/>
        </w:rPr>
        <w:t>) (</w:t>
      </w:r>
      <w:r>
        <w:rPr>
          <w:rFonts w:ascii="Times New Roman" w:hAnsi="Times New Roman" w:cs="Times New Roman"/>
          <w:sz w:val="20"/>
        </w:rPr>
        <w:t>Table S</w:t>
      </w:r>
      <w:r w:rsidR="007D52A2">
        <w:rPr>
          <w:rFonts w:ascii="Times New Roman" w:hAnsi="Times New Roman" w:cs="Times New Roman"/>
          <w:sz w:val="20"/>
          <w:szCs w:val="20"/>
        </w:rPr>
        <w:t>6</w:t>
      </w:r>
      <w:r w:rsidRPr="000A2127">
        <w:rPr>
          <w:rFonts w:ascii="Times New Roman" w:hAnsi="Times New Roman" w:cs="Times New Roman"/>
          <w:sz w:val="20"/>
          <w:szCs w:val="20"/>
        </w:rPr>
        <w:t>). Then, we integrated the draft model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to construct the updated model,</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w:t>
      </w:r>
    </w:p>
    <w:p w14:paraId="02D15FC4" w14:textId="6D60E97F" w:rsidR="008706DD" w:rsidRPr="000A2127" w:rsidRDefault="008706DD">
      <w:pPr>
        <w:spacing w:line="480" w:lineRule="auto"/>
        <w:ind w:firstLineChars="200" w:firstLine="400"/>
        <w:rPr>
          <w:rFonts w:ascii="Times New Roman" w:hAnsi="Times New Roman" w:cs="Times New Roman"/>
          <w:color w:val="000000"/>
          <w:sz w:val="20"/>
          <w:szCs w:val="20"/>
        </w:rPr>
      </w:pPr>
      <w:r w:rsidRPr="000A2127">
        <w:rPr>
          <w:rFonts w:ascii="Times New Roman" w:hAnsi="Times New Roman" w:cs="Times New Roman"/>
          <w:color w:val="000000"/>
          <w:sz w:val="20"/>
          <w:szCs w:val="20"/>
        </w:rPr>
        <w:t>Next, we filled gaps in the network of</w:t>
      </w:r>
      <w:r w:rsidRPr="000A2127">
        <w:rPr>
          <w:rFonts w:ascii="Times New Roman" w:hAnsi="Times New Roman" w:cs="Times New Roman"/>
          <w:i/>
          <w:iCs/>
          <w:color w:val="000000"/>
          <w:sz w:val="20"/>
          <w:szCs w:val="20"/>
        </w:rPr>
        <w:t xml:space="preserve"> i</w:t>
      </w:r>
      <w:r w:rsidRPr="000A2127">
        <w:rPr>
          <w:rFonts w:ascii="Times New Roman" w:hAnsi="Times New Roman" w:cs="Times New Roman"/>
          <w:color w:val="000000"/>
          <w:sz w:val="20"/>
          <w:szCs w:val="20"/>
        </w:rPr>
        <w:t xml:space="preserve">Bsu1209 by </w:t>
      </w:r>
      <w:bookmarkStart w:id="16" w:name="_Hlk98450864"/>
      <w:r w:rsidR="002D017F" w:rsidRPr="002D017F">
        <w:rPr>
          <w:rFonts w:ascii="Times New Roman" w:hAnsi="Times New Roman" w:cs="Times New Roman"/>
          <w:color w:val="000000"/>
          <w:sz w:val="20"/>
          <w:szCs w:val="20"/>
        </w:rPr>
        <w:t>machine learning</w:t>
      </w:r>
      <w:r w:rsidR="002D017F">
        <w:rPr>
          <w:rFonts w:ascii="Times New Roman" w:hAnsi="Times New Roman" w:cs="Times New Roman"/>
          <w:color w:val="000000"/>
          <w:sz w:val="20"/>
          <w:szCs w:val="20"/>
        </w:rPr>
        <w:t xml:space="preserve"> (</w:t>
      </w:r>
      <w:r w:rsidRPr="000A2127">
        <w:rPr>
          <w:rFonts w:ascii="Times New Roman" w:hAnsi="Times New Roman" w:cs="Times New Roman"/>
          <w:color w:val="000000"/>
          <w:sz w:val="20"/>
          <w:szCs w:val="20"/>
        </w:rPr>
        <w:t>AMMEDEUS</w:t>
      </w:r>
      <w:bookmarkEnd w:id="16"/>
      <w:r w:rsidR="002D017F">
        <w:rPr>
          <w:rFonts w:ascii="Times New Roman" w:hAnsi="Times New Roman" w:cs="Times New Roman"/>
          <w:color w:val="000000"/>
          <w:sz w:val="20"/>
          <w:szCs w:val="20"/>
        </w:rPr>
        <w:t>)</w:t>
      </w:r>
      <w:r w:rsidRPr="000A2127">
        <w:rPr>
          <w:rFonts w:ascii="Times New Roman" w:hAnsi="Times New Roman" w:cs="Times New Roman"/>
          <w:color w:val="000000"/>
          <w:sz w:val="20"/>
          <w:szCs w:val="20"/>
        </w:rPr>
        <w:t xml:space="preserve"> </w:t>
      </w:r>
      <w:r w:rsidRPr="000A2127">
        <w:rPr>
          <w:rFonts w:ascii="Times New Roman" w:hAnsi="Times New Roman" w:cs="Times New Roman"/>
          <w:noProof/>
          <w:color w:val="000000"/>
          <w:sz w:val="20"/>
          <w:szCs w:val="20"/>
        </w:rPr>
        <w:t>(Medlock and Papin, 2020)</w:t>
      </w:r>
      <w:r w:rsidRPr="000A2127">
        <w:rPr>
          <w:rFonts w:ascii="Times New Roman" w:hAnsi="Times New Roman" w:cs="Times New Roman"/>
          <w:color w:val="000000"/>
          <w:sz w:val="20"/>
          <w:szCs w:val="20"/>
        </w:rPr>
        <w:t xml:space="preserve"> (Fig. 2b, Fig. S1). </w:t>
      </w:r>
      <w:r w:rsidR="00E01B45" w:rsidRPr="00E01B45">
        <w:rPr>
          <w:rFonts w:ascii="Times New Roman" w:hAnsi="Times New Roman" w:cs="Times New Roman"/>
          <w:color w:val="000000"/>
          <w:sz w:val="20"/>
          <w:szCs w:val="20"/>
        </w:rPr>
        <w:t xml:space="preserve">Compared with traditional </w:t>
      </w:r>
      <w:proofErr w:type="spellStart"/>
      <w:r w:rsidR="00E01B45" w:rsidRPr="00E01B45">
        <w:rPr>
          <w:rFonts w:ascii="Times New Roman" w:hAnsi="Times New Roman" w:cs="Times New Roman"/>
          <w:color w:val="000000"/>
          <w:sz w:val="20"/>
          <w:szCs w:val="20"/>
        </w:rPr>
        <w:t>gapfilling</w:t>
      </w:r>
      <w:proofErr w:type="spellEnd"/>
      <w:r w:rsidR="00E01B45" w:rsidRPr="00E01B45">
        <w:rPr>
          <w:rFonts w:ascii="Times New Roman" w:hAnsi="Times New Roman" w:cs="Times New Roman"/>
          <w:color w:val="000000"/>
          <w:sz w:val="20"/>
          <w:szCs w:val="20"/>
        </w:rPr>
        <w:t xml:space="preserve"> in bottom-up reconstruction, AMMEDEUS provides a more efficient method of gap filling, removing unnecessary re</w:t>
      </w:r>
      <w:r w:rsidR="00E01B45">
        <w:rPr>
          <w:rFonts w:ascii="Times New Roman" w:hAnsi="Times New Roman" w:cs="Times New Roman"/>
          <w:color w:val="000000"/>
          <w:sz w:val="20"/>
          <w:szCs w:val="20"/>
        </w:rPr>
        <w:t>action</w:t>
      </w:r>
      <w:r w:rsidR="00E01B45" w:rsidRPr="00E01B45">
        <w:rPr>
          <w:rFonts w:ascii="Times New Roman" w:hAnsi="Times New Roman" w:cs="Times New Roman"/>
          <w:color w:val="000000"/>
          <w:sz w:val="20"/>
          <w:szCs w:val="20"/>
        </w:rPr>
        <w:t>s from the target database</w:t>
      </w:r>
      <w:r w:rsidR="00D34E70">
        <w:rPr>
          <w:rFonts w:ascii="Times New Roman" w:hAnsi="Times New Roman" w:cs="Times New Roman"/>
          <w:color w:val="000000"/>
          <w:sz w:val="20"/>
          <w:szCs w:val="20"/>
        </w:rPr>
        <w:t xml:space="preserve"> (</w:t>
      </w:r>
      <w:r w:rsidR="00D34E70" w:rsidRPr="00D34E70">
        <w:rPr>
          <w:rFonts w:ascii="Times New Roman" w:hAnsi="Times New Roman" w:cs="Times New Roman"/>
          <w:color w:val="000000"/>
          <w:sz w:val="20"/>
          <w:szCs w:val="20"/>
        </w:rPr>
        <w:t>Machado</w:t>
      </w:r>
      <w:r w:rsidR="00D34E70">
        <w:rPr>
          <w:rFonts w:ascii="Times New Roman" w:hAnsi="Times New Roman" w:cs="Times New Roman"/>
          <w:color w:val="000000"/>
          <w:sz w:val="20"/>
          <w:szCs w:val="20"/>
        </w:rPr>
        <w:t xml:space="preserve"> </w:t>
      </w:r>
      <w:r w:rsidR="00D34E70">
        <w:rPr>
          <w:rFonts w:ascii="Times New Roman" w:hAnsi="Times New Roman" w:cs="Times New Roman" w:hint="eastAsia"/>
          <w:color w:val="000000"/>
          <w:sz w:val="20"/>
          <w:szCs w:val="20"/>
        </w:rPr>
        <w:t>et</w:t>
      </w:r>
      <w:r w:rsidR="00D34E70">
        <w:rPr>
          <w:rFonts w:ascii="Times New Roman" w:hAnsi="Times New Roman" w:cs="Times New Roman"/>
          <w:color w:val="000000"/>
          <w:sz w:val="20"/>
          <w:szCs w:val="20"/>
        </w:rPr>
        <w:t xml:space="preserve"> </w:t>
      </w:r>
      <w:r w:rsidR="00D34E70">
        <w:rPr>
          <w:rFonts w:ascii="Times New Roman" w:hAnsi="Times New Roman" w:cs="Times New Roman" w:hint="eastAsia"/>
          <w:color w:val="000000"/>
          <w:sz w:val="20"/>
          <w:szCs w:val="20"/>
        </w:rPr>
        <w:t>al</w:t>
      </w:r>
      <w:r w:rsidR="00D34E70">
        <w:rPr>
          <w:rFonts w:ascii="Times New Roman" w:hAnsi="Times New Roman" w:cs="Times New Roman"/>
          <w:color w:val="000000"/>
          <w:sz w:val="20"/>
          <w:szCs w:val="20"/>
        </w:rPr>
        <w:t>., 2018)</w:t>
      </w:r>
      <w:r w:rsidR="00E01B45">
        <w:rPr>
          <w:rFonts w:ascii="Times New Roman" w:hAnsi="Times New Roman" w:cs="Times New Roman" w:hint="eastAsia"/>
          <w:color w:val="000000"/>
          <w:sz w:val="20"/>
          <w:szCs w:val="20"/>
        </w:rPr>
        <w:t>.</w:t>
      </w:r>
      <w:r w:rsidR="00E01B45">
        <w:rPr>
          <w:rFonts w:ascii="Times New Roman" w:hAnsi="Times New Roman" w:cs="Times New Roman"/>
          <w:color w:val="000000"/>
          <w:sz w:val="20"/>
          <w:szCs w:val="20"/>
        </w:rPr>
        <w:t xml:space="preserve"> </w:t>
      </w:r>
      <w:r w:rsidRPr="000A2127">
        <w:rPr>
          <w:rFonts w:ascii="Times New Roman" w:hAnsi="Times New Roman" w:cs="Times New Roman"/>
          <w:color w:val="000000"/>
          <w:sz w:val="20"/>
          <w:szCs w:val="20"/>
        </w:rPr>
        <w:t xml:space="preserve">Briefly, growth phenotype data were used to evaluate biomass </w:t>
      </w:r>
      <w:r w:rsidRPr="000A2127">
        <w:rPr>
          <w:rFonts w:ascii="Times New Roman" w:hAnsi="Times New Roman" w:cs="Times New Roman"/>
          <w:color w:val="000000"/>
          <w:sz w:val="20"/>
          <w:szCs w:val="20"/>
        </w:rPr>
        <w:lastRenderedPageBreak/>
        <w:t xml:space="preserve">equations by knocking out single genes in the model. Then, K-means was applied to distinguish the presence or absence of responses in the simulated clusters of the model, which were prioritized as the input to the next layer. Finally, the random forest algorithm was used to draw reactions from a set of 1000 given models to fill the gap in the simulated growth, and the process was performed iteratively until the model was able to grow under all conditions. In the prioritized reactions list of the analysis results, the highest fractional importance with a cluster ratio of 1 was succinate: quinone oxidoreductase, which is involved in the generation of fumarate from succinate. </w:t>
      </w:r>
      <w:r w:rsidRPr="000A2127">
        <w:rPr>
          <w:rFonts w:ascii="Times New Roman" w:hAnsi="Times New Roman" w:cs="Times New Roman"/>
          <w:color w:val="000000"/>
          <w:sz w:val="20"/>
          <w:szCs w:val="20"/>
          <w:shd w:val="clear" w:color="auto" w:fill="FFFFFF"/>
        </w:rPr>
        <w:t xml:space="preserve">Finally, we visualized each complementary reaction in the prioritized reaction list by </w:t>
      </w:r>
      <w:proofErr w:type="spellStart"/>
      <w:r w:rsidRPr="000A2127">
        <w:rPr>
          <w:rFonts w:ascii="Times New Roman" w:hAnsi="Times New Roman" w:cs="Times New Roman"/>
          <w:color w:val="000000"/>
          <w:sz w:val="20"/>
          <w:szCs w:val="20"/>
          <w:shd w:val="clear" w:color="auto" w:fill="FFFFFF"/>
        </w:rPr>
        <w:t>BiKEGG</w:t>
      </w:r>
      <w:proofErr w:type="spellEnd"/>
      <w:r w:rsidRPr="000A2127">
        <w:rPr>
          <w:rFonts w:ascii="Times New Roman" w:hAnsi="Times New Roman" w:cs="Times New Roman"/>
          <w:color w:val="000000"/>
          <w:sz w:val="20"/>
          <w:szCs w:val="20"/>
          <w:shd w:val="clear" w:color="auto" w:fill="FFFFFF"/>
        </w:rPr>
        <w:t xml:space="preserve"> </w:t>
      </w:r>
      <w:r w:rsidRPr="000A2127">
        <w:rPr>
          <w:rFonts w:ascii="Times New Roman" w:hAnsi="Times New Roman" w:cs="Times New Roman"/>
          <w:noProof/>
          <w:color w:val="000000"/>
          <w:sz w:val="20"/>
          <w:szCs w:val="20"/>
        </w:rPr>
        <w:t>(Jamialahmadi et al., 2016)</w:t>
      </w:r>
      <w:r w:rsidRPr="000A2127">
        <w:rPr>
          <w:rFonts w:ascii="Times New Roman" w:hAnsi="Times New Roman" w:cs="Times New Roman"/>
          <w:color w:val="000000"/>
          <w:sz w:val="20"/>
          <w:szCs w:val="20"/>
        </w:rPr>
        <w:t xml:space="preserve"> (Fig. 2c). Accordingly, we added 336 reactions, including the hydrogen carbonate phosphorylation of adenosine 5</w:t>
      </w:r>
      <w:r w:rsidRPr="000A2127">
        <w:rPr>
          <w:rFonts w:ascii="Times New Roman" w:hAnsi="Times New Roman" w:cs="Times New Roman"/>
          <w:color w:val="000000"/>
          <w:sz w:val="20"/>
          <w:szCs w:val="20"/>
        </w:rPr>
        <w:sym w:font="Symbol" w:char="F0A2"/>
      </w:r>
      <w:r w:rsidRPr="000A2127">
        <w:rPr>
          <w:rFonts w:ascii="Times New Roman" w:hAnsi="Times New Roman" w:cs="Times New Roman"/>
          <w:color w:val="000000"/>
          <w:sz w:val="20"/>
          <w:szCs w:val="20"/>
        </w:rPr>
        <w:t>-triphosphate, ubiquitination of reduced nicotinamide adenine dinucleotide, and quinone redox reaction of nitrite (</w:t>
      </w:r>
      <w:r>
        <w:rPr>
          <w:rFonts w:ascii="Times New Roman" w:hAnsi="Times New Roman" w:cs="Times New Roman"/>
          <w:color w:val="000000"/>
          <w:sz w:val="20"/>
          <w:szCs w:val="20"/>
        </w:rPr>
        <w:t>Table S</w:t>
      </w:r>
      <w:r w:rsidR="007D52A2">
        <w:rPr>
          <w:rFonts w:ascii="Times New Roman" w:hAnsi="Times New Roman" w:cs="Times New Roman"/>
          <w:color w:val="000000"/>
          <w:sz w:val="20"/>
          <w:szCs w:val="20"/>
        </w:rPr>
        <w:t>6</w:t>
      </w:r>
      <w:r w:rsidRPr="000A2127">
        <w:rPr>
          <w:rFonts w:ascii="Times New Roman" w:hAnsi="Times New Roman" w:cs="Times New Roman"/>
          <w:color w:val="000000"/>
          <w:sz w:val="20"/>
          <w:szCs w:val="20"/>
        </w:rPr>
        <w:t xml:space="preserve">). </w:t>
      </w:r>
    </w:p>
    <w:p w14:paraId="3553898B" w14:textId="0073FA4E"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In total, the refined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contained 1209 genes, 1595 metabolites and 1948 reactions, including 63 new genes, 136 new metabolites, and 336 new reactions compared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w:t>
      </w:r>
      <w:r>
        <w:rPr>
          <w:rFonts w:ascii="Times New Roman" w:hAnsi="Times New Roman" w:cs="Times New Roman"/>
          <w:color w:val="000000"/>
          <w:sz w:val="20"/>
          <w:szCs w:val="20"/>
        </w:rPr>
        <w:t>Table S</w:t>
      </w:r>
      <w:r w:rsidR="007D52A2">
        <w:rPr>
          <w:rFonts w:ascii="Times New Roman" w:hAnsi="Times New Roman" w:cs="Times New Roman"/>
          <w:sz w:val="20"/>
          <w:szCs w:val="20"/>
        </w:rPr>
        <w:t>7</w:t>
      </w:r>
      <w:r w:rsidRPr="000A2127">
        <w:rPr>
          <w:rFonts w:ascii="Times New Roman" w:hAnsi="Times New Roman" w:cs="Times New Roman"/>
          <w:sz w:val="20"/>
          <w:szCs w:val="20"/>
        </w:rPr>
        <w:t xml:space="preserve">, </w:t>
      </w:r>
      <w:r w:rsidR="007D52A2">
        <w:rPr>
          <w:rFonts w:ascii="Times New Roman" w:hAnsi="Times New Roman" w:cs="Times New Roman"/>
          <w:sz w:val="20"/>
          <w:szCs w:val="20"/>
        </w:rPr>
        <w:t>8</w:t>
      </w:r>
      <w:r w:rsidRPr="000A2127">
        <w:rPr>
          <w:rFonts w:ascii="Times New Roman" w:hAnsi="Times New Roman" w:cs="Times New Roman"/>
          <w:sz w:val="20"/>
          <w:szCs w:val="20"/>
        </w:rPr>
        <w:t>). The main features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are listed in Table 2.</w:t>
      </w:r>
    </w:p>
    <w:p w14:paraId="60D05AD6" w14:textId="56310CB2"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Moreover, information on protein structure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gene expression</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regulation were incorporated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w:t>
      </w:r>
      <w:r w:rsidRPr="000A2127">
        <w:rPr>
          <w:rFonts w:ascii="Times New Roman" w:hAnsi="Times New Roman" w:cs="Times New Roman"/>
        </w:rPr>
        <w:t xml:space="preserve"> </w:t>
      </w:r>
      <w:r w:rsidRPr="000A2127">
        <w:rPr>
          <w:rFonts w:ascii="Times New Roman" w:hAnsi="Times New Roman" w:cs="Times New Roman"/>
          <w:sz w:val="20"/>
          <w:szCs w:val="20"/>
        </w:rPr>
        <w:t>To improve the prediction range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we added 1096 protein domain annotations from Protein Data Bank</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UniProt</w:t>
      </w:r>
      <w:proofErr w:type="spellEnd"/>
      <w:r w:rsidRPr="000A2127">
        <w:rPr>
          <w:rFonts w:ascii="Times New Roman" w:hAnsi="Times New Roman" w:cs="Times New Roman"/>
          <w:sz w:val="20"/>
          <w:szCs w:val="20"/>
        </w:rPr>
        <w:t>. Moreover, 1090 gene expression product annotations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1029 gene function annotations from</w:t>
      </w:r>
      <w:r w:rsidRPr="000A2127">
        <w:rPr>
          <w:rFonts w:ascii="Times New Roman" w:hAnsi="Times New Roman" w:cs="Times New Roman"/>
          <w:color w:val="202124"/>
          <w:shd w:val="clear" w:color="auto" w:fill="FFFFFF"/>
        </w:rPr>
        <w:t xml:space="preserve"> </w:t>
      </w:r>
      <w:proofErr w:type="spellStart"/>
      <w:r w:rsidRPr="000A2127">
        <w:rPr>
          <w:rFonts w:ascii="Times New Roman" w:hAnsi="Times New Roman" w:cs="Times New Roman"/>
          <w:sz w:val="20"/>
          <w:szCs w:val="20"/>
        </w:rPr>
        <w:t>SubtiWiki</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BSubCyc</w:t>
      </w:r>
      <w:proofErr w:type="spellEnd"/>
      <w:r w:rsidRPr="000A2127">
        <w:rPr>
          <w:rFonts w:ascii="Times New Roman" w:hAnsi="Times New Roman" w:cs="Times New Roman"/>
          <w:sz w:val="20"/>
          <w:szCs w:val="20"/>
        </w:rPr>
        <w:t xml:space="preserve"> were added in the model. This implies that each gene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is connected to the gene expression product, its catalysis data, and protein structure (</w:t>
      </w:r>
      <w:r>
        <w:rPr>
          <w:rFonts w:ascii="Times New Roman" w:hAnsi="Times New Roman" w:cs="Times New Roman"/>
          <w:color w:val="000000"/>
          <w:sz w:val="20"/>
          <w:szCs w:val="20"/>
        </w:rPr>
        <w:t>Table S</w:t>
      </w:r>
      <w:r w:rsidR="007D52A2">
        <w:rPr>
          <w:rFonts w:ascii="Times New Roman" w:hAnsi="Times New Roman" w:cs="Times New Roman"/>
          <w:sz w:val="20"/>
          <w:szCs w:val="20"/>
        </w:rPr>
        <w:t>9</w:t>
      </w:r>
      <w:r w:rsidRPr="000A2127">
        <w:rPr>
          <w:rFonts w:ascii="Times New Roman" w:hAnsi="Times New Roman" w:cs="Times New Roman"/>
          <w:sz w:val="20"/>
          <w:szCs w:val="20"/>
        </w:rPr>
        <w:t>).</w:t>
      </w:r>
    </w:p>
    <w:p w14:paraId="34399D35" w14:textId="77777777" w:rsidR="008706DD" w:rsidRPr="000A2127" w:rsidRDefault="008706DD">
      <w:pPr>
        <w:spacing w:line="480" w:lineRule="auto"/>
        <w:ind w:firstLineChars="200" w:firstLine="400"/>
        <w:rPr>
          <w:rFonts w:ascii="Times New Roman" w:hAnsi="Times New Roman" w:cs="Times New Roman"/>
          <w:sz w:val="20"/>
          <w:szCs w:val="20"/>
        </w:rPr>
      </w:pPr>
    </w:p>
    <w:p w14:paraId="2150CF73" w14:textId="77777777" w:rsidR="008706DD" w:rsidRPr="000A2127" w:rsidRDefault="008706DD">
      <w:pPr>
        <w:pStyle w:val="Heading2"/>
        <w:spacing w:after="0" w:line="480" w:lineRule="auto"/>
        <w:rPr>
          <w:rFonts w:ascii="Times New Roman" w:hAnsi="Times New Roman" w:cs="Times New Roman"/>
          <w:szCs w:val="20"/>
        </w:rPr>
      </w:pPr>
      <w:r w:rsidRPr="000A2127">
        <w:rPr>
          <w:rFonts w:ascii="Times New Roman" w:hAnsi="Times New Roman" w:cs="Times New Roman"/>
        </w:rPr>
        <w:lastRenderedPageBreak/>
        <w:t>3.2 Validation of</w:t>
      </w:r>
      <w:r w:rsidRPr="000A2127">
        <w:rPr>
          <w:rFonts w:ascii="Times New Roman" w:hAnsi="Times New Roman" w:cs="Times New Roman"/>
          <w:i/>
          <w:iCs/>
        </w:rPr>
        <w:t xml:space="preserve"> i</w:t>
      </w:r>
      <w:r w:rsidRPr="000A2127">
        <w:rPr>
          <w:rFonts w:ascii="Times New Roman" w:hAnsi="Times New Roman" w:cs="Times New Roman"/>
        </w:rPr>
        <w:t>Bsu1209</w:t>
      </w:r>
    </w:p>
    <w:p w14:paraId="34333669" w14:textId="222591CE"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To demonstrate the prediction accuracy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we first predicted growth phenotypes on different carbon, nitrogen, phosphorus and sulfur sources. Under minimal medium-based conditions, we simulated growth on the substrate by altering one of the abovementioned four sources </w:t>
      </w:r>
      <w:r w:rsidRPr="000A2127">
        <w:rPr>
          <w:rFonts w:ascii="Times New Roman" w:hAnsi="Times New Roman" w:cs="Times New Roman"/>
          <w:sz w:val="20"/>
        </w:rPr>
        <w:t>and</w:t>
      </w:r>
      <w:r w:rsidRPr="000A2127">
        <w:rPr>
          <w:rFonts w:ascii="Times New Roman" w:hAnsi="Times New Roman" w:cs="Times New Roman"/>
          <w:sz w:val="20"/>
          <w:szCs w:val="20"/>
        </w:rPr>
        <w:t xml:space="preserve"> setting its specific uptake rate at 10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Compared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the proportion of carbon sources supporting growth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was significantly increased from 66.9% (117/175) to 71.4% (125/175) (Table 3). Among 93 possible nitrogen sources in the model, 57 were predicted to support growth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whereas this number was 62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representing a 5.4% increase. In addition,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contained the same number of growth-supporting phosphorus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sulfur sources as</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Bsu1147. It is important to notice that model predictions are often impaired by the fact that not all energy sources in the model can be utilized by cells, and not all compounds are transported into cells. To further determine the accuracy of the model, we compared the predicted values of the model with experimental growth data on different carbon, nitrogen and phosphorus sources. The corresponding experimental growth data was available from the existing literature </w:t>
      </w:r>
      <w:r w:rsidRPr="000A2127">
        <w:rPr>
          <w:rFonts w:ascii="Times New Roman" w:hAnsi="Times New Roman" w:cs="Times New Roman"/>
          <w:noProof/>
          <w:sz w:val="20"/>
          <w:szCs w:val="20"/>
        </w:rPr>
        <w:t>(Hao et al., 2013; Oh et al., 2007)</w:t>
      </w:r>
      <w:r w:rsidRPr="000A2127">
        <w:rPr>
          <w:rFonts w:ascii="Times New Roman" w:hAnsi="Times New Roman" w:cs="Times New Roman"/>
          <w:sz w:val="20"/>
          <w:szCs w:val="20"/>
        </w:rPr>
        <w:t>. We found that</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could predict the correct substrate utilization rate in 83% (20/24), whereas</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could do so in 79% (19/24) (</w:t>
      </w:r>
      <w:r>
        <w:rPr>
          <w:rFonts w:ascii="Times New Roman" w:hAnsi="Times New Roman" w:cs="Times New Roman"/>
          <w:sz w:val="20"/>
        </w:rPr>
        <w:t>Table S</w:t>
      </w:r>
      <w:r w:rsidR="007D52A2">
        <w:rPr>
          <w:rFonts w:ascii="Times New Roman" w:hAnsi="Times New Roman" w:cs="Times New Roman"/>
          <w:sz w:val="20"/>
        </w:rPr>
        <w:t>10</w:t>
      </w:r>
      <w:r w:rsidRPr="000A2127">
        <w:rPr>
          <w:rFonts w:ascii="Times New Roman" w:hAnsi="Times New Roman" w:cs="Times New Roman"/>
          <w:sz w:val="20"/>
          <w:szCs w:val="20"/>
        </w:rPr>
        <w:t>). Besides, the quality of the models,</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and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Bsu1147, was evaluated and compared with metabolic model tests (MEMOTE) </w:t>
      </w:r>
      <w:r w:rsidRPr="000A2127">
        <w:rPr>
          <w:rFonts w:ascii="Times New Roman" w:hAnsi="Times New Roman" w:cs="Times New Roman"/>
          <w:noProof/>
          <w:sz w:val="20"/>
          <w:szCs w:val="20"/>
        </w:rPr>
        <w:t>(Lieven et al., 2020)</w:t>
      </w:r>
      <w:r w:rsidRPr="000A2127">
        <w:rPr>
          <w:rFonts w:ascii="Times New Roman" w:hAnsi="Times New Roman" w:cs="Times New Roman"/>
          <w:sz w:val="20"/>
          <w:szCs w:val="20"/>
        </w:rPr>
        <w:t>. The score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significantly increased to 7</w:t>
      </w:r>
      <w:r w:rsidR="0026171D">
        <w:rPr>
          <w:rFonts w:ascii="Times New Roman" w:hAnsi="Times New Roman" w:cs="Times New Roman"/>
          <w:sz w:val="20"/>
          <w:szCs w:val="20"/>
        </w:rPr>
        <w:t>1</w:t>
      </w:r>
      <w:r w:rsidRPr="000A2127">
        <w:rPr>
          <w:rFonts w:ascii="Times New Roman" w:hAnsi="Times New Roman" w:cs="Times New Roman"/>
          <w:sz w:val="20"/>
          <w:szCs w:val="20"/>
        </w:rPr>
        <w:t xml:space="preserve">%, </w:t>
      </w:r>
      <w:r w:rsidR="0026171D">
        <w:rPr>
          <w:rFonts w:ascii="Times New Roman" w:hAnsi="Times New Roman" w:cs="Times New Roman"/>
          <w:sz w:val="20"/>
          <w:szCs w:val="20"/>
        </w:rPr>
        <w:t>3</w:t>
      </w:r>
      <w:r w:rsidRPr="000A2127">
        <w:rPr>
          <w:rFonts w:ascii="Times New Roman" w:hAnsi="Times New Roman" w:cs="Times New Roman"/>
          <w:sz w:val="20"/>
          <w:szCs w:val="20"/>
        </w:rPr>
        <w:t>.</w:t>
      </w:r>
      <w:r w:rsidR="0026171D">
        <w:rPr>
          <w:rFonts w:ascii="Times New Roman" w:hAnsi="Times New Roman" w:cs="Times New Roman"/>
          <w:sz w:val="20"/>
          <w:szCs w:val="20"/>
        </w:rPr>
        <w:t>9</w:t>
      </w:r>
      <w:r w:rsidRPr="000A2127">
        <w:rPr>
          <w:rFonts w:ascii="Times New Roman" w:hAnsi="Times New Roman" w:cs="Times New Roman"/>
          <w:sz w:val="20"/>
          <w:szCs w:val="20"/>
        </w:rPr>
        <w:t>-times that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w:t>
      </w:r>
      <w:r w:rsidR="0026171D">
        <w:rPr>
          <w:rFonts w:ascii="Times New Roman" w:hAnsi="Times New Roman" w:cs="Times New Roman"/>
          <w:sz w:val="20"/>
          <w:szCs w:val="20"/>
        </w:rPr>
        <w:t xml:space="preserve"> </w:t>
      </w:r>
      <w:r w:rsidRPr="000A2127">
        <w:rPr>
          <w:rFonts w:ascii="Times New Roman" w:hAnsi="Times New Roman" w:cs="Times New Roman"/>
          <w:sz w:val="20"/>
          <w:szCs w:val="20"/>
        </w:rPr>
        <w:t>(1</w:t>
      </w:r>
      <w:r w:rsidR="0026171D">
        <w:rPr>
          <w:rFonts w:ascii="Times New Roman" w:hAnsi="Times New Roman" w:cs="Times New Roman"/>
          <w:sz w:val="20"/>
          <w:szCs w:val="20"/>
        </w:rPr>
        <w:t>8</w:t>
      </w:r>
      <w:r w:rsidRPr="000A2127">
        <w:rPr>
          <w:rFonts w:ascii="Times New Roman" w:hAnsi="Times New Roman" w:cs="Times New Roman"/>
          <w:sz w:val="20"/>
          <w:szCs w:val="20"/>
        </w:rPr>
        <w:t>%), by adding stoichiometric consistency and annotation of reactions and metabolites (Fig. S2).</w:t>
      </w:r>
    </w:p>
    <w:p w14:paraId="2BBB267F" w14:textId="28DCEC36"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GEM can also be used to predict the effects of genetic perturbations on cell growth. To validate</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we simulated cell growth after knocking out all genes (1209)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under 12 different culture conditions. Subsequently, we identified 202 essential genes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128 of which were </w:t>
      </w:r>
      <w:r w:rsidRPr="000A2127">
        <w:rPr>
          <w:rFonts w:ascii="Times New Roman" w:hAnsi="Times New Roman" w:cs="Times New Roman"/>
          <w:sz w:val="20"/>
          <w:szCs w:val="20"/>
        </w:rPr>
        <w:lastRenderedPageBreak/>
        <w:t>essential under specific conditions. Compared with the 123 out of 198 essential genes included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the gene range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prediction accuracy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were improved. Moreover, among the </w:t>
      </w:r>
      <w:bookmarkStart w:id="17" w:name="OLE_LINK9"/>
      <w:r w:rsidRPr="000A2127">
        <w:rPr>
          <w:rFonts w:ascii="Times New Roman" w:hAnsi="Times New Roman" w:cs="Times New Roman"/>
          <w:sz w:val="20"/>
          <w:szCs w:val="20"/>
        </w:rPr>
        <w:t>349</w:t>
      </w:r>
      <w:bookmarkEnd w:id="17"/>
      <w:r w:rsidRPr="000A2127">
        <w:rPr>
          <w:rFonts w:ascii="Times New Roman" w:hAnsi="Times New Roman" w:cs="Times New Roman"/>
          <w:sz w:val="20"/>
          <w:szCs w:val="20"/>
        </w:rPr>
        <w:t xml:space="preserve"> major metabolites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contained 176, representing an increase of 20 metabolites compared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w:t>
      </w:r>
      <w:r w:rsidRPr="000A2127">
        <w:rPr>
          <w:rFonts w:ascii="Times New Roman" w:hAnsi="Times New Roman" w:cs="Times New Roman"/>
          <w:sz w:val="20"/>
        </w:rPr>
        <w:t>Fig.</w:t>
      </w:r>
      <w:r w:rsidRPr="000A2127">
        <w:rPr>
          <w:rFonts w:ascii="Times New Roman" w:hAnsi="Times New Roman" w:cs="Times New Roman"/>
          <w:sz w:val="20"/>
          <w:szCs w:val="20"/>
        </w:rPr>
        <w:t xml:space="preserve"> S3). Notably,</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predicted gene essentiality in the 12 conditions with an accuracy of 89.3%—12,869 out of 14,412 phenotypes were correctly predicted</w:t>
      </w:r>
      <w:r w:rsidRPr="000A2127">
        <w:rPr>
          <w:rFonts w:ascii="Times New Roman" w:hAnsi="Times New Roman" w:cs="Times New Roman"/>
          <w:color w:val="FF0000"/>
          <w:sz w:val="20"/>
          <w:szCs w:val="20"/>
        </w:rPr>
        <w:t xml:space="preserve"> </w:t>
      </w:r>
      <w:r w:rsidRPr="000A2127">
        <w:rPr>
          <w:rFonts w:ascii="Times New Roman" w:hAnsi="Times New Roman" w:cs="Times New Roman"/>
          <w:color w:val="000000"/>
          <w:sz w:val="20"/>
          <w:szCs w:val="20"/>
        </w:rPr>
        <w:t>compared to experimental data</w:t>
      </w:r>
      <w:r w:rsidRPr="000A2127">
        <w:rPr>
          <w:rFonts w:ascii="Times New Roman" w:hAnsi="Times New Roman" w:cs="Times New Roman"/>
          <w:color w:val="FF0000"/>
          <w:sz w:val="20"/>
          <w:szCs w:val="20"/>
        </w:rPr>
        <w:t xml:space="preserve"> </w:t>
      </w:r>
      <w:r w:rsidRPr="000A2127">
        <w:rPr>
          <w:rFonts w:ascii="Times New Roman" w:hAnsi="Times New Roman" w:cs="Times New Roman"/>
          <w:sz w:val="20"/>
          <w:szCs w:val="20"/>
        </w:rPr>
        <w:t>(</w:t>
      </w:r>
      <w:r w:rsidRPr="000A2127">
        <w:rPr>
          <w:rFonts w:ascii="Times New Roman" w:hAnsi="Times New Roman" w:cs="Times New Roman"/>
          <w:sz w:val="20"/>
        </w:rPr>
        <w:t>Fig.</w:t>
      </w:r>
      <w:r w:rsidRPr="000A2127">
        <w:rPr>
          <w:rFonts w:ascii="Times New Roman" w:hAnsi="Times New Roman" w:cs="Times New Roman"/>
          <w:sz w:val="20"/>
          <w:szCs w:val="20"/>
        </w:rPr>
        <w:t xml:space="preserve"> </w:t>
      </w:r>
      <w:r w:rsidRPr="000A2127">
        <w:rPr>
          <w:rFonts w:ascii="Times New Roman" w:hAnsi="Times New Roman" w:cs="Times New Roman"/>
          <w:sz w:val="20"/>
        </w:rPr>
        <w:t>2</w:t>
      </w:r>
      <w:r w:rsidRPr="000A2127">
        <w:rPr>
          <w:rFonts w:ascii="Times New Roman" w:hAnsi="Times New Roman" w:cs="Times New Roman"/>
          <w:sz w:val="20"/>
          <w:szCs w:val="20"/>
        </w:rPr>
        <w:t xml:space="preserve">d, </w:t>
      </w:r>
      <w:r>
        <w:rPr>
          <w:rFonts w:ascii="Times New Roman" w:hAnsi="Times New Roman" w:cs="Times New Roman"/>
          <w:color w:val="000000"/>
          <w:sz w:val="20"/>
          <w:szCs w:val="20"/>
        </w:rPr>
        <w:t>Table S</w:t>
      </w:r>
      <w:r>
        <w:rPr>
          <w:rFonts w:ascii="Times New Roman" w:hAnsi="Times New Roman" w:cs="Times New Roman"/>
          <w:sz w:val="20"/>
          <w:szCs w:val="20"/>
        </w:rPr>
        <w:t>1</w:t>
      </w:r>
      <w:r w:rsidR="007D52A2">
        <w:rPr>
          <w:rFonts w:ascii="Times New Roman" w:hAnsi="Times New Roman" w:cs="Times New Roman"/>
          <w:sz w:val="20"/>
          <w:szCs w:val="20"/>
        </w:rPr>
        <w:t>1</w:t>
      </w:r>
      <w:r w:rsidRPr="000A2127">
        <w:rPr>
          <w:rFonts w:ascii="Times New Roman" w:hAnsi="Times New Roman" w:cs="Times New Roman"/>
          <w:sz w:val="20"/>
          <w:szCs w:val="20"/>
        </w:rPr>
        <w:t>).</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cannot predict growth when cultured with a single carbon or nitrogen source because its incomplete metabolic network. Therefore, we compared the growth of mutant strains in the two models under Luria–Bertani culture conditions, for which the growth prediction accuracy reached 92.9% (1124/1209)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vs. 86.7% (995/1147)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w:t>
      </w:r>
      <w:r>
        <w:rPr>
          <w:rFonts w:ascii="Times New Roman" w:hAnsi="Times New Roman" w:cs="Times New Roman"/>
          <w:color w:val="000000"/>
          <w:sz w:val="20"/>
          <w:szCs w:val="20"/>
        </w:rPr>
        <w:t>Table S</w:t>
      </w:r>
      <w:r>
        <w:rPr>
          <w:rFonts w:ascii="Times New Roman" w:hAnsi="Times New Roman" w:cs="Times New Roman"/>
          <w:sz w:val="20"/>
          <w:szCs w:val="20"/>
        </w:rPr>
        <w:t>1</w:t>
      </w:r>
      <w:r w:rsidR="007D52A2">
        <w:rPr>
          <w:rFonts w:ascii="Times New Roman" w:hAnsi="Times New Roman" w:cs="Times New Roman"/>
          <w:sz w:val="20"/>
          <w:szCs w:val="20"/>
        </w:rPr>
        <w:t>2</w:t>
      </w:r>
      <w:r w:rsidRPr="000A2127">
        <w:rPr>
          <w:rFonts w:ascii="Times New Roman" w:hAnsi="Times New Roman" w:cs="Times New Roman"/>
          <w:sz w:val="20"/>
          <w:szCs w:val="20"/>
        </w:rPr>
        <w:t>)</w:t>
      </w:r>
      <w:r w:rsidRPr="000A2127">
        <w:rPr>
          <w:rFonts w:ascii="Times New Roman" w:hAnsi="Times New Roman" w:cs="Times New Roman"/>
          <w:color w:val="000000"/>
          <w:sz w:val="20"/>
          <w:szCs w:val="20"/>
        </w:rPr>
        <w:t>. Next, we calculated the metabolic fluxes of 12 different carbon sources into the central carbon metabolism. Compared to the pentose phosphate pathway, the model had higher accuracy in the Embden–Meyerhof pathway and tricarboxylic acid (TCA) cycle by comparing the simulated values with the experimental data (</w:t>
      </w:r>
      <w:r w:rsidRPr="000A2127">
        <w:rPr>
          <w:rFonts w:ascii="Times New Roman" w:hAnsi="Times New Roman" w:cs="Times New Roman"/>
          <w:color w:val="000000"/>
          <w:sz w:val="20"/>
        </w:rPr>
        <w:t>Fig.</w:t>
      </w:r>
      <w:r w:rsidRPr="000A2127">
        <w:rPr>
          <w:rFonts w:ascii="Times New Roman" w:hAnsi="Times New Roman" w:cs="Times New Roman"/>
          <w:color w:val="000000"/>
          <w:sz w:val="20"/>
          <w:szCs w:val="20"/>
        </w:rPr>
        <w:t xml:space="preserve"> </w:t>
      </w:r>
      <w:r w:rsidRPr="000A2127">
        <w:rPr>
          <w:rFonts w:ascii="Times New Roman" w:hAnsi="Times New Roman" w:cs="Times New Roman"/>
          <w:color w:val="000000"/>
          <w:sz w:val="20"/>
        </w:rPr>
        <w:t>S4</w:t>
      </w:r>
      <w:r w:rsidRPr="000A2127">
        <w:rPr>
          <w:rFonts w:ascii="Times New Roman" w:hAnsi="Times New Roman" w:cs="Times New Roman"/>
          <w:color w:val="000000"/>
          <w:sz w:val="20"/>
          <w:szCs w:val="20"/>
        </w:rPr>
        <w:t xml:space="preserve">). </w:t>
      </w:r>
    </w:p>
    <w:p w14:paraId="45C0B37F" w14:textId="035EA23B"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Next, we compared the model-predicted metabolic flux distributions with </w:t>
      </w:r>
      <w:r w:rsidRPr="000A2127">
        <w:rPr>
          <w:rFonts w:ascii="Times New Roman" w:hAnsi="Times New Roman" w:cs="Times New Roman"/>
          <w:sz w:val="20"/>
          <w:vertAlign w:val="superscript"/>
        </w:rPr>
        <w:t>13</w:t>
      </w:r>
      <w:r w:rsidRPr="000A2127">
        <w:rPr>
          <w:rFonts w:ascii="Times New Roman" w:hAnsi="Times New Roman" w:cs="Times New Roman"/>
          <w:sz w:val="20"/>
          <w:szCs w:val="20"/>
        </w:rPr>
        <w:t xml:space="preserve">C-traced metabolic flux data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cultured in minimal medium containing different carbon and nitrogen sources </w:t>
      </w:r>
      <w:r w:rsidRPr="000A2127">
        <w:rPr>
          <w:rFonts w:ascii="Times New Roman" w:hAnsi="Times New Roman" w:cs="Times New Roman"/>
          <w:noProof/>
          <w:sz w:val="20"/>
          <w:szCs w:val="20"/>
        </w:rPr>
        <w:t>(Kleijn et al., 2010; Ruhl et al., 2012; R</w:t>
      </w:r>
      <w:r w:rsidR="00E67C0A">
        <w:rPr>
          <w:rFonts w:ascii="Times New Roman" w:hAnsi="Times New Roman" w:cs="Times New Roman" w:hint="eastAsia"/>
          <w:noProof/>
          <w:sz w:val="20"/>
          <w:szCs w:val="20"/>
        </w:rPr>
        <w:t>u</w:t>
      </w:r>
      <w:r w:rsidRPr="000A2127">
        <w:rPr>
          <w:rFonts w:ascii="Times New Roman" w:hAnsi="Times New Roman" w:cs="Times New Roman"/>
          <w:noProof/>
          <w:sz w:val="20"/>
          <w:szCs w:val="20"/>
        </w:rPr>
        <w:t>hl et al., 2012; Ruhl et al., 2010)</w:t>
      </w:r>
      <w:r w:rsidRPr="000A2127">
        <w:rPr>
          <w:rFonts w:ascii="Times New Roman" w:hAnsi="Times New Roman" w:cs="Times New Roman"/>
          <w:sz w:val="20"/>
          <w:szCs w:val="20"/>
        </w:rPr>
        <w:t xml:space="preserve"> (</w:t>
      </w:r>
      <w:r w:rsidRPr="000A2127">
        <w:rPr>
          <w:rFonts w:ascii="Times New Roman" w:hAnsi="Times New Roman" w:cs="Times New Roman"/>
          <w:sz w:val="20"/>
        </w:rPr>
        <w:t>Fig. 2e</w:t>
      </w:r>
      <w:r w:rsidRPr="000A2127">
        <w:rPr>
          <w:rFonts w:ascii="Times New Roman" w:hAnsi="Times New Roman" w:cs="Times New Roman"/>
          <w:sz w:val="20"/>
          <w:szCs w:val="20"/>
        </w:rPr>
        <w:t>). The biomass equation was used as the objective function, and all flux data were normalized to the uptake rate (100%) of carbon</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nitrogen sources. Comparing the different inputs of glucose, ammonia, and malate, the Pearson’s correlation coefficient (PCC) between the experimental value</w:t>
      </w:r>
      <w:r w:rsidRPr="000A2127">
        <w:rPr>
          <w:rFonts w:ascii="Times New Roman" w:hAnsi="Times New Roman" w:cs="Times New Roman"/>
          <w:sz w:val="20"/>
        </w:rPr>
        <w:t xml:space="preserve"> and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simulation was &gt;0.9, indicating that</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provides accurate intracellular flux distribution in different culture conditions (</w:t>
      </w:r>
      <w:r w:rsidRPr="000A2127">
        <w:rPr>
          <w:rFonts w:ascii="Times New Roman" w:hAnsi="Times New Roman" w:cs="Times New Roman"/>
          <w:sz w:val="20"/>
        </w:rPr>
        <w:t>Fig.</w:t>
      </w:r>
      <w:r w:rsidRPr="000A2127">
        <w:rPr>
          <w:rFonts w:ascii="Times New Roman" w:hAnsi="Times New Roman" w:cs="Times New Roman"/>
          <w:sz w:val="20"/>
          <w:szCs w:val="20"/>
        </w:rPr>
        <w:t xml:space="preserve"> </w:t>
      </w:r>
      <w:r w:rsidRPr="000A2127">
        <w:rPr>
          <w:rFonts w:ascii="Times New Roman" w:hAnsi="Times New Roman" w:cs="Times New Roman"/>
          <w:sz w:val="20"/>
        </w:rPr>
        <w:t>2</w:t>
      </w:r>
      <w:r w:rsidRPr="000A2127">
        <w:rPr>
          <w:rFonts w:ascii="Times New Roman" w:hAnsi="Times New Roman" w:cs="Times New Roman"/>
          <w:sz w:val="20"/>
          <w:szCs w:val="20"/>
        </w:rPr>
        <w:t xml:space="preserve">e). </w:t>
      </w:r>
      <w:r w:rsidRPr="000A2127">
        <w:rPr>
          <w:rFonts w:ascii="Times New Roman" w:hAnsi="Times New Roman" w:cs="Times New Roman"/>
          <w:sz w:val="20"/>
          <w:szCs w:val="20"/>
          <w:shd w:val="clear" w:color="auto" w:fill="FFFFFF"/>
        </w:rPr>
        <w:t>Notably,</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provided accurate metabolic predictions of central carbon metabolism in glucose and ammonia, and when compared with the experimental data the PCC reached 0.97. However, </w:t>
      </w:r>
      <w:r w:rsidRPr="000A2127">
        <w:rPr>
          <w:rFonts w:ascii="Times New Roman" w:hAnsi="Times New Roman" w:cs="Times New Roman"/>
          <w:sz w:val="20"/>
          <w:szCs w:val="20"/>
        </w:rPr>
        <w:lastRenderedPageBreak/>
        <w:t>the absence of a critical reaction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i.e., the reaction from succinic acid to fumaric acid in the TCA cycle (</w:t>
      </w:r>
      <w:proofErr w:type="spellStart"/>
      <w:r w:rsidRPr="000A2127">
        <w:rPr>
          <w:rFonts w:ascii="Times New Roman" w:hAnsi="Times New Roman" w:cs="Times New Roman"/>
          <w:sz w:val="20"/>
          <w:szCs w:val="20"/>
        </w:rPr>
        <w:t>ModelSEED</w:t>
      </w:r>
      <w:proofErr w:type="spellEnd"/>
      <w:r w:rsidRPr="000A2127">
        <w:rPr>
          <w:rFonts w:ascii="Times New Roman" w:hAnsi="Times New Roman" w:cs="Times New Roman"/>
          <w:sz w:val="20"/>
          <w:szCs w:val="20"/>
        </w:rPr>
        <w:t xml:space="preserve"> ID rxn06109), </w:t>
      </w:r>
      <w:r w:rsidRPr="000A2127">
        <w:rPr>
          <w:rFonts w:ascii="Times New Roman" w:hAnsi="Times New Roman" w:cs="Times New Roman"/>
          <w:color w:val="000000"/>
          <w:sz w:val="20"/>
          <w:szCs w:val="20"/>
        </w:rPr>
        <w:t xml:space="preserve">where the PCC was 0, </w:t>
      </w:r>
      <w:r w:rsidRPr="000A2127">
        <w:rPr>
          <w:rFonts w:ascii="Times New Roman" w:hAnsi="Times New Roman" w:cs="Times New Roman"/>
          <w:sz w:val="20"/>
          <w:szCs w:val="20"/>
        </w:rPr>
        <w:t>led to a failed prediction due to the disruption of succinic acid metabolism.</w:t>
      </w:r>
    </w:p>
    <w:p w14:paraId="0CB2F56B" w14:textId="77777777" w:rsidR="008706DD" w:rsidRPr="000A2127" w:rsidRDefault="008706DD">
      <w:pPr>
        <w:spacing w:line="480" w:lineRule="auto"/>
        <w:ind w:firstLineChars="200" w:firstLine="400"/>
        <w:rPr>
          <w:rFonts w:ascii="Times New Roman" w:hAnsi="Times New Roman" w:cs="Times New Roman"/>
          <w:sz w:val="20"/>
          <w:szCs w:val="20"/>
        </w:rPr>
      </w:pPr>
    </w:p>
    <w:p w14:paraId="487DBB06" w14:textId="77777777" w:rsidR="008706DD" w:rsidRPr="000A2127" w:rsidRDefault="008706DD">
      <w:pPr>
        <w:pStyle w:val="Heading2"/>
        <w:spacing w:after="0" w:line="480" w:lineRule="auto"/>
        <w:rPr>
          <w:rFonts w:ascii="Times New Roman" w:hAnsi="Times New Roman" w:cs="Times New Roman"/>
          <w:szCs w:val="20"/>
        </w:rPr>
      </w:pPr>
      <w:r w:rsidRPr="000A2127">
        <w:rPr>
          <w:rFonts w:ascii="Times New Roman" w:hAnsi="Times New Roman" w:cs="Times New Roman"/>
        </w:rPr>
        <w:t>3.3 Development of Model Tool</w:t>
      </w:r>
    </w:p>
    <w:p w14:paraId="1A7CB504"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At present, the construction and analysis of models requires users to be proficient in one or more programming languages, but this is a huge challenge for many experimental scientists and non-computationally skilled users. To facilitate model building and analysis, we developed a general-purpose graphical user interface (GUI) application (Model Tool) that allows users to not only construct enzymatic constraint models, thermodynamic constraint models, and metabolic models integrating transcriptional regulatory networks but also analyze the metabolic flux of the models in a code-free and visual manner (</w:t>
      </w:r>
      <w:r w:rsidRPr="000A2127">
        <w:rPr>
          <w:rFonts w:ascii="Times New Roman" w:hAnsi="Times New Roman" w:cs="Times New Roman"/>
          <w:sz w:val="20"/>
        </w:rPr>
        <w:t>Fig.</w:t>
      </w:r>
      <w:r w:rsidRPr="000A2127">
        <w:rPr>
          <w:rFonts w:ascii="Times New Roman" w:hAnsi="Times New Roman" w:cs="Times New Roman"/>
          <w:sz w:val="20"/>
          <w:szCs w:val="20"/>
        </w:rPr>
        <w:t xml:space="preserve"> 3a).</w:t>
      </w:r>
    </w:p>
    <w:p w14:paraId="3D391A25" w14:textId="6E094200"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Model Tool uses </w:t>
      </w:r>
      <w:r w:rsidR="009C7FB7">
        <w:rPr>
          <w:rFonts w:ascii="Times New Roman" w:hAnsi="Times New Roman" w:cs="Times New Roman"/>
          <w:sz w:val="20"/>
          <w:szCs w:val="20"/>
        </w:rPr>
        <w:t>MATLAB</w:t>
      </w:r>
      <w:r w:rsidRPr="000A2127">
        <w:rPr>
          <w:rFonts w:ascii="Times New Roman" w:hAnsi="Times New Roman" w:cs="Times New Roman"/>
          <w:sz w:val="20"/>
          <w:szCs w:val="20"/>
        </w:rPr>
        <w:t>R2021a as the platform, and includes three model-building modules—</w:t>
      </w:r>
      <w:bookmarkStart w:id="18" w:name="OLE_LINK5"/>
      <w:r w:rsidRPr="000A2127">
        <w:rPr>
          <w:rFonts w:ascii="Times New Roman" w:hAnsi="Times New Roman" w:cs="Times New Roman"/>
          <w:sz w:val="20"/>
          <w:szCs w:val="20"/>
        </w:rPr>
        <w:t>Build Enzymatic Constraint Model</w:t>
      </w:r>
      <w:bookmarkEnd w:id="18"/>
      <w:r w:rsidRPr="000A2127">
        <w:rPr>
          <w:rFonts w:ascii="Times New Roman" w:hAnsi="Times New Roman" w:cs="Times New Roman"/>
          <w:sz w:val="20"/>
          <w:szCs w:val="20"/>
        </w:rPr>
        <w:t xml:space="preserve">, </w:t>
      </w:r>
      <w:bookmarkStart w:id="19" w:name="_Hlk96111958"/>
      <w:r w:rsidRPr="000A2127">
        <w:rPr>
          <w:rFonts w:ascii="Times New Roman" w:hAnsi="Times New Roman" w:cs="Times New Roman"/>
          <w:sz w:val="20"/>
          <w:szCs w:val="20"/>
        </w:rPr>
        <w:t>Build Thermodynamic Constraint Model</w:t>
      </w:r>
      <w:bookmarkEnd w:id="19"/>
      <w:r w:rsidRPr="000A2127">
        <w:rPr>
          <w:rFonts w:ascii="Times New Roman" w:hAnsi="Times New Roman" w:cs="Times New Roman"/>
          <w:sz w:val="20"/>
          <w:szCs w:val="20"/>
        </w:rPr>
        <w:t xml:space="preserve">, and </w:t>
      </w:r>
      <w:bookmarkStart w:id="20" w:name="_Hlk96112263"/>
      <w:r w:rsidRPr="000A2127">
        <w:rPr>
          <w:rFonts w:ascii="Times New Roman" w:hAnsi="Times New Roman" w:cs="Times New Roman"/>
          <w:sz w:val="20"/>
          <w:szCs w:val="20"/>
        </w:rPr>
        <w:t>Integrate Transcriptional Regulatory Network</w:t>
      </w:r>
      <w:bookmarkEnd w:id="20"/>
      <w:r w:rsidRPr="000A2127">
        <w:rPr>
          <w:rFonts w:ascii="Times New Roman" w:hAnsi="Times New Roman" w:cs="Times New Roman"/>
          <w:sz w:val="20"/>
          <w:szCs w:val="20"/>
        </w:rPr>
        <w:t xml:space="preserve">—and a model-analysis module—Metabolic Flux Analysis of Model. Users can click on the corresponding buttons to navigate through the processes of model building and analysis using pop-up prompts in the operation interface (Fig. 3b). Briefly, in the model-building module, we simplified the core codes of the GECKO Toolbox, </w:t>
      </w:r>
      <w:proofErr w:type="spellStart"/>
      <w:r w:rsidRPr="000A2127">
        <w:rPr>
          <w:rFonts w:ascii="Times New Roman" w:hAnsi="Times New Roman" w:cs="Times New Roman"/>
          <w:sz w:val="20"/>
          <w:szCs w:val="20"/>
        </w:rPr>
        <w:t>matTFA</w:t>
      </w:r>
      <w:proofErr w:type="spellEnd"/>
      <w:r w:rsidRPr="000A2127">
        <w:rPr>
          <w:rFonts w:ascii="Times New Roman" w:hAnsi="Times New Roman" w:cs="Times New Roman"/>
          <w:sz w:val="20"/>
          <w:szCs w:val="20"/>
        </w:rPr>
        <w:t xml:space="preserve"> and PROM, so users can perform model construction without complicated model-format modifications and the collection of data from databases. In the Model-analysis module, Users can input multiple model conditions in the corresponding text box according to actual cell growth requirements and then perform metabolic flux analysis including </w:t>
      </w:r>
      <w:r w:rsidRPr="000A2127">
        <w:rPr>
          <w:rFonts w:ascii="Times New Roman" w:hAnsi="Times New Roman" w:cs="Times New Roman"/>
          <w:color w:val="000000"/>
          <w:sz w:val="20"/>
          <w:szCs w:val="20"/>
        </w:rPr>
        <w:t xml:space="preserve">FBA and flux variability analysis (FVA). </w:t>
      </w:r>
      <w:r w:rsidRPr="000A2127">
        <w:rPr>
          <w:rFonts w:ascii="Times New Roman" w:hAnsi="Times New Roman" w:cs="Times New Roman"/>
          <w:sz w:val="20"/>
          <w:szCs w:val="20"/>
        </w:rPr>
        <w:t xml:space="preserve">Finally, all the running results in the software are saved in Excel or </w:t>
      </w:r>
      <w:r w:rsidRPr="000A2127">
        <w:rPr>
          <w:rFonts w:ascii="Times New Roman" w:hAnsi="Times New Roman" w:cs="Times New Roman"/>
          <w:sz w:val="20"/>
          <w:szCs w:val="20"/>
        </w:rPr>
        <w:lastRenderedPageBreak/>
        <w:t xml:space="preserve">mat format at the location where the software has been installed. </w:t>
      </w:r>
    </w:p>
    <w:p w14:paraId="52ACC00D" w14:textId="77777777" w:rsidR="008706DD" w:rsidRPr="000A2127" w:rsidRDefault="008706DD">
      <w:pPr>
        <w:spacing w:line="480" w:lineRule="auto"/>
        <w:ind w:firstLineChars="200" w:firstLine="400"/>
        <w:rPr>
          <w:rFonts w:ascii="Times New Roman" w:hAnsi="Times New Roman" w:cs="Times New Roman"/>
          <w:color w:val="FF0000"/>
          <w:sz w:val="20"/>
          <w:szCs w:val="20"/>
        </w:rPr>
      </w:pPr>
    </w:p>
    <w:p w14:paraId="48509EEB" w14:textId="77777777" w:rsidR="008706DD" w:rsidRPr="000A2127" w:rsidRDefault="008706DD">
      <w:pPr>
        <w:pStyle w:val="Heading2"/>
        <w:spacing w:after="0" w:line="480" w:lineRule="auto"/>
        <w:rPr>
          <w:rFonts w:ascii="Times New Roman" w:hAnsi="Times New Roman" w:cs="Times New Roman"/>
          <w:szCs w:val="20"/>
        </w:rPr>
      </w:pPr>
      <w:r w:rsidRPr="000A2127">
        <w:rPr>
          <w:rFonts w:ascii="Times New Roman" w:hAnsi="Times New Roman" w:cs="Times New Roman"/>
        </w:rPr>
        <w:t>3.4 Construction and characterization of et</w:t>
      </w:r>
      <w:r w:rsidRPr="000A2127">
        <w:rPr>
          <w:rFonts w:ascii="Times New Roman" w:hAnsi="Times New Roman" w:cs="Times New Roman"/>
          <w:i/>
          <w:iCs/>
        </w:rPr>
        <w:t>i</w:t>
      </w:r>
      <w:r w:rsidRPr="000A2127">
        <w:rPr>
          <w:rFonts w:ascii="Times New Roman" w:hAnsi="Times New Roman" w:cs="Times New Roman"/>
        </w:rPr>
        <w:t>Bsu1209 using Model Tool</w:t>
      </w:r>
    </w:p>
    <w:p w14:paraId="57ED824C" w14:textId="20A5CF11"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Using Model Tool, we constructed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Bsu1209-based comprehensive multiscale metabolic network model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that integrates enzymatic constraints, thermodynamic constraints,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transcriptional regulatory network models (</w:t>
      </w:r>
      <w:r w:rsidRPr="000A2127">
        <w:rPr>
          <w:rFonts w:ascii="Times New Roman" w:hAnsi="Times New Roman" w:cs="Times New Roman"/>
          <w:sz w:val="20"/>
        </w:rPr>
        <w:t>Fig.</w:t>
      </w:r>
      <w:r w:rsidRPr="000A2127">
        <w:rPr>
          <w:rFonts w:ascii="Times New Roman" w:hAnsi="Times New Roman" w:cs="Times New Roman"/>
          <w:sz w:val="20"/>
          <w:szCs w:val="20"/>
        </w:rPr>
        <w:t xml:space="preserve"> 3c, </w:t>
      </w:r>
      <w:r w:rsidRPr="000A2127">
        <w:rPr>
          <w:rFonts w:ascii="Times New Roman" w:hAnsi="Times New Roman" w:cs="Times New Roman"/>
          <w:sz w:val="20"/>
        </w:rPr>
        <w:t>Table</w:t>
      </w:r>
      <w:r w:rsidRPr="000A2127">
        <w:rPr>
          <w:rFonts w:ascii="Times New Roman" w:hAnsi="Times New Roman" w:cs="Times New Roman"/>
          <w:sz w:val="20"/>
          <w:szCs w:val="20"/>
        </w:rPr>
        <w:t xml:space="preserve"> 4).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includes 1209 genes, 4167 metabolites, and 6295 reactions. In addition to expanding the model size,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also covers Gibbs free energy of 2327 reactions, and 2049 enzymes, including 450 isozymes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337 transcription factors, which led to the mapping of 15955 transcriptional regulatory networks (</w:t>
      </w:r>
      <w:r>
        <w:rPr>
          <w:rFonts w:ascii="Times New Roman" w:hAnsi="Times New Roman" w:cs="Times New Roman"/>
          <w:color w:val="000000"/>
          <w:sz w:val="20"/>
          <w:szCs w:val="20"/>
        </w:rPr>
        <w:t>Table S</w:t>
      </w:r>
      <w:r>
        <w:rPr>
          <w:rFonts w:ascii="Times New Roman" w:hAnsi="Times New Roman" w:cs="Times New Roman"/>
          <w:sz w:val="20"/>
          <w:szCs w:val="20"/>
        </w:rPr>
        <w:t>1</w:t>
      </w:r>
      <w:r w:rsidR="007D52A2">
        <w:rPr>
          <w:rFonts w:ascii="Times New Roman" w:hAnsi="Times New Roman" w:cs="Times New Roman"/>
          <w:sz w:val="20"/>
          <w:szCs w:val="20"/>
        </w:rPr>
        <w:t>3</w:t>
      </w:r>
      <w:r w:rsidRPr="000A2127">
        <w:rPr>
          <w:rFonts w:ascii="Times New Roman" w:hAnsi="Times New Roman" w:cs="Times New Roman"/>
          <w:sz w:val="20"/>
          <w:szCs w:val="20"/>
        </w:rPr>
        <w:t>-1</w:t>
      </w:r>
      <w:r w:rsidR="007D52A2">
        <w:rPr>
          <w:rFonts w:ascii="Times New Roman" w:hAnsi="Times New Roman" w:cs="Times New Roman"/>
          <w:sz w:val="20"/>
          <w:szCs w:val="20"/>
        </w:rPr>
        <w:t>6</w:t>
      </w:r>
      <w:r w:rsidRPr="000A2127">
        <w:rPr>
          <w:rFonts w:ascii="Times New Roman" w:hAnsi="Times New Roman" w:cs="Times New Roman"/>
          <w:sz w:val="20"/>
          <w:szCs w:val="20"/>
        </w:rPr>
        <w:t xml:space="preserve">). We mapped the undirected networks of metabolites using </w:t>
      </w:r>
      <w:proofErr w:type="spellStart"/>
      <w:r w:rsidRPr="000A2127">
        <w:rPr>
          <w:rFonts w:ascii="Times New Roman" w:hAnsi="Times New Roman" w:cs="Times New Roman"/>
          <w:sz w:val="20"/>
          <w:szCs w:val="20"/>
        </w:rPr>
        <w:t>Cytoscape</w:t>
      </w:r>
      <w:proofErr w:type="spellEnd"/>
      <w:r w:rsidRPr="000A2127">
        <w:rPr>
          <w:rFonts w:ascii="Times New Roman" w:hAnsi="Times New Roman" w:cs="Times New Roman"/>
          <w:sz w:val="20"/>
          <w:szCs w:val="20"/>
        </w:rPr>
        <w:t xml:space="preserve"> to calculate model connectivity and calculated the associated connectivity indices for</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w:t>
      </w:r>
      <w:r w:rsidRPr="000A2127">
        <w:rPr>
          <w:rFonts w:ascii="Times New Roman" w:hAnsi="Times New Roman" w:cs="Times New Roman"/>
          <w:sz w:val="20"/>
        </w:rPr>
        <w:t>Fig.</w:t>
      </w:r>
      <w:r w:rsidRPr="000A2127">
        <w:rPr>
          <w:rFonts w:ascii="Times New Roman" w:hAnsi="Times New Roman" w:cs="Times New Roman"/>
          <w:sz w:val="20"/>
          <w:szCs w:val="20"/>
        </w:rPr>
        <w:t xml:space="preserve"> </w:t>
      </w:r>
      <w:r w:rsidRPr="000A2127">
        <w:rPr>
          <w:rFonts w:ascii="Times New Roman" w:hAnsi="Times New Roman" w:cs="Times New Roman"/>
          <w:sz w:val="20"/>
        </w:rPr>
        <w:t>3d</w:t>
      </w:r>
      <w:r w:rsidRPr="000A2127">
        <w:rPr>
          <w:rFonts w:ascii="Times New Roman" w:hAnsi="Times New Roman" w:cs="Times New Roman"/>
          <w:sz w:val="20"/>
          <w:szCs w:val="20"/>
        </w:rPr>
        <w:t>). Although the addition of enzymes and putative metabolites expanded the nodes and edges of the metabolic network</w:t>
      </w:r>
      <w:r w:rsidRPr="000A2127">
        <w:rPr>
          <w:rFonts w:ascii="Times New Roman" w:hAnsi="Times New Roman" w:cs="Times New Roman"/>
        </w:rPr>
        <w:t xml:space="preserve"> </w:t>
      </w:r>
      <w:r w:rsidRPr="000A2127">
        <w:rPr>
          <w:rFonts w:ascii="Times New Roman" w:hAnsi="Times New Roman" w:cs="Times New Roman"/>
          <w:sz w:val="20"/>
          <w:szCs w:val="20"/>
        </w:rPr>
        <w:t>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it also decreased the clustering coefficients (</w:t>
      </w:r>
      <w:r w:rsidRPr="000A2127">
        <w:rPr>
          <w:rFonts w:ascii="Times New Roman" w:hAnsi="Times New Roman" w:cs="Times New Roman"/>
          <w:sz w:val="20"/>
        </w:rPr>
        <w:t>Table</w:t>
      </w:r>
      <w:r w:rsidRPr="000A2127">
        <w:rPr>
          <w:rFonts w:ascii="Times New Roman" w:hAnsi="Times New Roman" w:cs="Times New Roman"/>
          <w:sz w:val="20"/>
          <w:szCs w:val="20"/>
        </w:rPr>
        <w:t xml:space="preserve"> 5).</w:t>
      </w:r>
    </w:p>
    <w:p w14:paraId="4DAC9126" w14:textId="6B785741"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rPr>
        <w:t xml:space="preserve">In </w:t>
      </w:r>
      <w:r w:rsidRPr="000A2127">
        <w:rPr>
          <w:rFonts w:ascii="Times New Roman" w:hAnsi="Times New Roman" w:cs="Times New Roman"/>
          <w:sz w:val="20"/>
          <w:szCs w:val="20"/>
        </w:rPr>
        <w:t>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we simulated the biosynthesis of 2049 enzymes coupled to 765 related genes in 2749 reactions</w:t>
      </w:r>
      <w:r w:rsidR="00BB1B55" w:rsidRPr="00BB1B55">
        <w:t xml:space="preserve"> </w:t>
      </w:r>
      <w:r w:rsidR="00BB1B55" w:rsidRPr="00BB1B55">
        <w:rPr>
          <w:rFonts w:ascii="Times New Roman" w:hAnsi="Times New Roman" w:cs="Times New Roman"/>
          <w:sz w:val="20"/>
          <w:szCs w:val="20"/>
        </w:rPr>
        <w:t xml:space="preserve">by collecting enzymatic data for </w:t>
      </w:r>
      <w:r w:rsidR="00BB1B55" w:rsidRPr="00BB1B55">
        <w:rPr>
          <w:rFonts w:ascii="Times New Roman" w:hAnsi="Times New Roman" w:cs="Times New Roman"/>
          <w:i/>
          <w:iCs/>
          <w:sz w:val="20"/>
          <w:szCs w:val="20"/>
        </w:rPr>
        <w:t>B. subtilis</w:t>
      </w:r>
      <w:r w:rsidRPr="000A2127">
        <w:rPr>
          <w:rFonts w:ascii="Times New Roman" w:hAnsi="Times New Roman" w:cs="Times New Roman"/>
          <w:sz w:val="20"/>
          <w:szCs w:val="20"/>
        </w:rPr>
        <w:t xml:space="preserve">. Notably, we retrieved 996 isozymes from different strains of </w:t>
      </w:r>
      <w:r w:rsidRPr="000A2127">
        <w:rPr>
          <w:rFonts w:ascii="Times New Roman" w:hAnsi="Times New Roman" w:cs="Times New Roman"/>
          <w:i/>
          <w:iCs/>
          <w:sz w:val="20"/>
          <w:szCs w:val="20"/>
        </w:rPr>
        <w:t>B. subtilis</w:t>
      </w:r>
      <w:r w:rsidR="001F6564">
        <w:rPr>
          <w:rFonts w:ascii="Times New Roman" w:hAnsi="Times New Roman" w:cs="Times New Roman"/>
          <w:sz w:val="20"/>
          <w:szCs w:val="20"/>
        </w:rPr>
        <w:t xml:space="preserve">, </w:t>
      </w:r>
      <w:r w:rsidRPr="000A2127">
        <w:rPr>
          <w:rFonts w:ascii="Times New Roman" w:hAnsi="Times New Roman" w:cs="Times New Roman"/>
          <w:sz w:val="20"/>
          <w:szCs w:val="20"/>
        </w:rPr>
        <w:t>making the model not limited to</w:t>
      </w:r>
      <w:r w:rsidRPr="000A2127">
        <w:rPr>
          <w:rFonts w:ascii="Times New Roman" w:hAnsi="Times New Roman" w:cs="Times New Roman"/>
          <w:i/>
          <w:iCs/>
          <w:sz w:val="20"/>
          <w:szCs w:val="20"/>
        </w:rPr>
        <w:t xml:space="preserve"> B. subtilis </w:t>
      </w:r>
      <w:r w:rsidRPr="000A2127">
        <w:rPr>
          <w:rFonts w:ascii="Times New Roman" w:hAnsi="Times New Roman" w:cs="Times New Roman"/>
          <w:sz w:val="20"/>
          <w:szCs w:val="20"/>
        </w:rPr>
        <w:t>168 (</w:t>
      </w:r>
      <w:r>
        <w:rPr>
          <w:rFonts w:ascii="Times New Roman" w:hAnsi="Times New Roman" w:cs="Times New Roman"/>
          <w:color w:val="000000"/>
          <w:sz w:val="20"/>
          <w:szCs w:val="20"/>
        </w:rPr>
        <w:t>Table S</w:t>
      </w:r>
      <w:r w:rsidRPr="000A2127">
        <w:rPr>
          <w:rFonts w:ascii="Times New Roman" w:hAnsi="Times New Roman" w:cs="Times New Roman"/>
          <w:sz w:val="20"/>
          <w:szCs w:val="20"/>
        </w:rPr>
        <w:t>1</w:t>
      </w:r>
      <w:r w:rsidR="007D52A2">
        <w:rPr>
          <w:rFonts w:ascii="Times New Roman" w:hAnsi="Times New Roman" w:cs="Times New Roman"/>
          <w:sz w:val="20"/>
          <w:szCs w:val="20"/>
        </w:rPr>
        <w:t>7</w:t>
      </w:r>
      <w:r w:rsidRPr="000A2127">
        <w:rPr>
          <w:rFonts w:ascii="Times New Roman" w:hAnsi="Times New Roman" w:cs="Times New Roman"/>
          <w:sz w:val="20"/>
          <w:szCs w:val="20"/>
        </w:rPr>
        <w:t>, 1</w:t>
      </w:r>
      <w:r w:rsidR="007D52A2">
        <w:rPr>
          <w:rFonts w:ascii="Times New Roman" w:hAnsi="Times New Roman" w:cs="Times New Roman"/>
          <w:sz w:val="20"/>
          <w:szCs w:val="20"/>
        </w:rPr>
        <w:t>8</w:t>
      </w:r>
      <w:r w:rsidRPr="000A2127">
        <w:rPr>
          <w:rFonts w:ascii="Times New Roman" w:hAnsi="Times New Roman" w:cs="Times New Roman"/>
          <w:sz w:val="20"/>
          <w:szCs w:val="20"/>
        </w:rPr>
        <w:t xml:space="preserve">). Enzyme constraints were specified by coupling reaction and enzyme kinetic data, which require information on the </w:t>
      </w:r>
      <w:proofErr w:type="spellStart"/>
      <w:r w:rsidRPr="000A2127">
        <w:rPr>
          <w:rFonts w:ascii="Times New Roman" w:hAnsi="Times New Roman" w:cs="Times New Roman"/>
          <w:i/>
          <w:iCs/>
          <w:sz w:val="20"/>
          <w:szCs w:val="20"/>
        </w:rPr>
        <w:t>k</w:t>
      </w:r>
      <w:r w:rsidRPr="000A2127">
        <w:rPr>
          <w:rFonts w:ascii="Times New Roman" w:hAnsi="Times New Roman" w:cs="Times New Roman"/>
          <w:sz w:val="20"/>
          <w:szCs w:val="20"/>
          <w:vertAlign w:val="subscript"/>
        </w:rPr>
        <w:t>cat</w:t>
      </w:r>
      <w:proofErr w:type="spellEnd"/>
      <w:r w:rsidRPr="000A2127">
        <w:rPr>
          <w:rFonts w:ascii="Times New Roman" w:hAnsi="Times New Roman" w:cs="Times New Roman"/>
          <w:sz w:val="20"/>
        </w:rPr>
        <w:t xml:space="preserve"> </w:t>
      </w:r>
      <w:r w:rsidRPr="000A2127">
        <w:rPr>
          <w:rFonts w:ascii="Times New Roman" w:hAnsi="Times New Roman" w:cs="Times New Roman"/>
          <w:sz w:val="20"/>
          <w:szCs w:val="20"/>
        </w:rPr>
        <w:t xml:space="preserve">value and protein abundance. We analyzed the data of 2049 enzymes with </w:t>
      </w:r>
      <w:proofErr w:type="spellStart"/>
      <w:r w:rsidRPr="000A2127">
        <w:rPr>
          <w:rFonts w:ascii="Times New Roman" w:hAnsi="Times New Roman" w:cs="Times New Roman"/>
          <w:i/>
          <w:iCs/>
          <w:sz w:val="20"/>
          <w:szCs w:val="20"/>
        </w:rPr>
        <w:t>k</w:t>
      </w:r>
      <w:r w:rsidRPr="000A2127">
        <w:rPr>
          <w:rFonts w:ascii="Times New Roman" w:hAnsi="Times New Roman" w:cs="Times New Roman"/>
          <w:sz w:val="20"/>
          <w:szCs w:val="20"/>
          <w:vertAlign w:val="subscript"/>
        </w:rPr>
        <w:t>cat</w:t>
      </w:r>
      <w:proofErr w:type="spellEnd"/>
      <w:r w:rsidRPr="000A2127">
        <w:rPr>
          <w:rFonts w:ascii="Times New Roman" w:hAnsi="Times New Roman" w:cs="Times New Roman"/>
          <w:sz w:val="20"/>
          <w:szCs w:val="20"/>
        </w:rPr>
        <w:t xml:space="preserve"> values covering 12 orders of magnitude, with a median value of 1.494 </w:t>
      </w:r>
      <w:r w:rsidRPr="000A2127">
        <w:rPr>
          <w:rFonts w:ascii="Times New Roman" w:hAnsi="Times New Roman" w:cs="Times New Roman"/>
          <w:sz w:val="20"/>
          <w:szCs w:val="20"/>
        </w:rPr>
        <w:sym w:font="Symbol" w:char="F0B4"/>
      </w:r>
      <w:r w:rsidRPr="000A2127">
        <w:rPr>
          <w:rFonts w:ascii="Times New Roman" w:hAnsi="Times New Roman" w:cs="Times New Roman"/>
          <w:sz w:val="20"/>
          <w:szCs w:val="20"/>
        </w:rPr>
        <w:t xml:space="preserve"> 10</w:t>
      </w:r>
      <w:r w:rsidRPr="000A2127">
        <w:rPr>
          <w:rFonts w:ascii="Times New Roman" w:hAnsi="Times New Roman" w:cs="Times New Roman"/>
          <w:sz w:val="20"/>
          <w:szCs w:val="20"/>
          <w:vertAlign w:val="superscript"/>
        </w:rPr>
        <w:t>–5</w:t>
      </w:r>
      <w:r w:rsidRPr="000A2127">
        <w:rPr>
          <w:rFonts w:ascii="Times New Roman" w:hAnsi="Times New Roman" w:cs="Times New Roman"/>
          <w:sz w:val="20"/>
        </w:rPr>
        <w:t xml:space="preserve"> </w:t>
      </w:r>
      <w:r w:rsidRPr="000A2127">
        <w:rPr>
          <w:rFonts w:ascii="Times New Roman" w:hAnsi="Times New Roman" w:cs="Times New Roman"/>
          <w:sz w:val="20"/>
          <w:szCs w:val="20"/>
        </w:rPr>
        <w:t>s</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and enzyme abundance spanning 3 orders of magnitude, with a median value of 36.01 </w:t>
      </w:r>
      <w:proofErr w:type="spellStart"/>
      <w:r w:rsidRPr="000A2127">
        <w:rPr>
          <w:rFonts w:ascii="Times New Roman" w:hAnsi="Times New Roman" w:cs="Times New Roman"/>
          <w:sz w:val="20"/>
          <w:szCs w:val="20"/>
        </w:rPr>
        <w:t>kDa</w:t>
      </w:r>
      <w:proofErr w:type="spellEnd"/>
      <w:r w:rsidRPr="000A2127">
        <w:rPr>
          <w:rFonts w:ascii="Times New Roman" w:hAnsi="Times New Roman" w:cs="Times New Roman"/>
          <w:sz w:val="20"/>
          <w:szCs w:val="20"/>
        </w:rPr>
        <w:t xml:space="preserve"> (</w:t>
      </w:r>
      <w:r w:rsidRPr="000A2127">
        <w:rPr>
          <w:rFonts w:ascii="Times New Roman" w:hAnsi="Times New Roman" w:cs="Times New Roman"/>
          <w:sz w:val="20"/>
        </w:rPr>
        <w:t>Fig.</w:t>
      </w:r>
      <w:r w:rsidRPr="000A2127">
        <w:rPr>
          <w:rFonts w:ascii="Times New Roman" w:hAnsi="Times New Roman" w:cs="Times New Roman"/>
          <w:sz w:val="20"/>
          <w:szCs w:val="20"/>
        </w:rPr>
        <w:t xml:space="preserve"> </w:t>
      </w:r>
      <w:r w:rsidRPr="000A2127">
        <w:rPr>
          <w:rFonts w:ascii="Times New Roman" w:hAnsi="Times New Roman" w:cs="Times New Roman"/>
          <w:sz w:val="20"/>
        </w:rPr>
        <w:t>3e</w:t>
      </w:r>
      <w:r w:rsidRPr="000A2127">
        <w:rPr>
          <w:rFonts w:ascii="Times New Roman" w:hAnsi="Times New Roman" w:cs="Times New Roman"/>
          <w:sz w:val="20"/>
          <w:szCs w:val="20"/>
        </w:rPr>
        <w:t>). Among these enzymes, 88 were transporters associated with 141 transport reactions (</w:t>
      </w:r>
      <w:r>
        <w:rPr>
          <w:rFonts w:ascii="Times New Roman" w:hAnsi="Times New Roman" w:cs="Times New Roman"/>
          <w:color w:val="000000"/>
          <w:sz w:val="20"/>
          <w:szCs w:val="20"/>
        </w:rPr>
        <w:t>Table S</w:t>
      </w:r>
      <w:r w:rsidRPr="000A2127">
        <w:rPr>
          <w:rFonts w:ascii="Times New Roman" w:hAnsi="Times New Roman" w:cs="Times New Roman"/>
          <w:sz w:val="20"/>
          <w:szCs w:val="20"/>
        </w:rPr>
        <w:t>1</w:t>
      </w:r>
      <w:r w:rsidR="007D52A2">
        <w:rPr>
          <w:rFonts w:ascii="Times New Roman" w:hAnsi="Times New Roman" w:cs="Times New Roman"/>
          <w:sz w:val="20"/>
          <w:szCs w:val="20"/>
        </w:rPr>
        <w:t>7</w:t>
      </w:r>
      <w:r w:rsidRPr="000A2127">
        <w:rPr>
          <w:rFonts w:ascii="Times New Roman" w:hAnsi="Times New Roman" w:cs="Times New Roman"/>
          <w:sz w:val="20"/>
          <w:szCs w:val="20"/>
        </w:rPr>
        <w:t>).</w:t>
      </w:r>
    </w:p>
    <w:p w14:paraId="70493C16" w14:textId="5AD927A6"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We estimated the Gibbs free energies of 4176 unique metabolites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using the </w:t>
      </w:r>
      <w:proofErr w:type="spellStart"/>
      <w:r w:rsidRPr="000A2127">
        <w:rPr>
          <w:rFonts w:ascii="Times New Roman" w:hAnsi="Times New Roman" w:cs="Times New Roman"/>
          <w:sz w:val="20"/>
          <w:szCs w:val="20"/>
        </w:rPr>
        <w:lastRenderedPageBreak/>
        <w:t>eQuilibrator</w:t>
      </w:r>
      <w:proofErr w:type="spellEnd"/>
      <w:r w:rsidRPr="000A2127">
        <w:rPr>
          <w:rFonts w:ascii="Times New Roman" w:hAnsi="Times New Roman" w:cs="Times New Roman"/>
          <w:sz w:val="20"/>
          <w:szCs w:val="20"/>
        </w:rPr>
        <w:t xml:space="preserve"> database and determined the Gibbs free energies of 2327 reactions by comparing </w:t>
      </w:r>
      <w:proofErr w:type="spellStart"/>
      <w:r w:rsidRPr="000A2127">
        <w:rPr>
          <w:rFonts w:ascii="Times New Roman" w:hAnsi="Times New Roman" w:cs="Times New Roman"/>
          <w:sz w:val="20"/>
          <w:szCs w:val="20"/>
        </w:rPr>
        <w:t>eQuilibrator</w:t>
      </w:r>
      <w:proofErr w:type="spellEnd"/>
      <w:r w:rsidRPr="000A2127">
        <w:rPr>
          <w:rFonts w:ascii="Times New Roman" w:hAnsi="Times New Roman" w:cs="Times New Roman"/>
          <w:sz w:val="20"/>
          <w:szCs w:val="20"/>
        </w:rPr>
        <w:t xml:space="preserve"> </w:t>
      </w:r>
      <w:r w:rsidRPr="000A2127">
        <w:rPr>
          <w:rFonts w:ascii="Times New Roman" w:hAnsi="Times New Roman" w:cs="Times New Roman"/>
          <w:sz w:val="20"/>
        </w:rPr>
        <w:t>and</w:t>
      </w:r>
      <w:r w:rsidRPr="000A2127">
        <w:rPr>
          <w:rFonts w:ascii="Times New Roman" w:hAnsi="Times New Roman" w:cs="Times New Roman"/>
          <w:sz w:val="20"/>
          <w:szCs w:val="20"/>
        </w:rPr>
        <w:t xml:space="preserve"> </w:t>
      </w:r>
      <w:proofErr w:type="spellStart"/>
      <w:r w:rsidRPr="000A2127">
        <w:rPr>
          <w:rFonts w:ascii="Times New Roman" w:hAnsi="Times New Roman" w:cs="Times New Roman"/>
          <w:sz w:val="20"/>
          <w:szCs w:val="20"/>
        </w:rPr>
        <w:t>ModelSEED</w:t>
      </w:r>
      <w:proofErr w:type="spellEnd"/>
      <w:r w:rsidRPr="000A2127">
        <w:rPr>
          <w:rFonts w:ascii="Times New Roman" w:hAnsi="Times New Roman" w:cs="Times New Roman"/>
          <w:sz w:val="20"/>
          <w:szCs w:val="20"/>
        </w:rPr>
        <w:t xml:space="preserve"> databases (</w:t>
      </w:r>
      <w:r>
        <w:rPr>
          <w:rFonts w:ascii="Times New Roman" w:hAnsi="Times New Roman" w:cs="Times New Roman"/>
          <w:color w:val="000000"/>
          <w:sz w:val="20"/>
          <w:szCs w:val="20"/>
        </w:rPr>
        <w:t>Table S</w:t>
      </w:r>
      <w:r>
        <w:rPr>
          <w:rFonts w:ascii="Times New Roman" w:hAnsi="Times New Roman" w:cs="Times New Roman"/>
          <w:sz w:val="20"/>
          <w:szCs w:val="20"/>
        </w:rPr>
        <w:t>1</w:t>
      </w:r>
      <w:r w:rsidR="007D52A2">
        <w:rPr>
          <w:rFonts w:ascii="Times New Roman" w:hAnsi="Times New Roman" w:cs="Times New Roman"/>
          <w:sz w:val="20"/>
          <w:szCs w:val="20"/>
        </w:rPr>
        <w:t>3</w:t>
      </w:r>
      <w:r w:rsidRPr="000A2127">
        <w:rPr>
          <w:rFonts w:ascii="Times New Roman" w:hAnsi="Times New Roman" w:cs="Times New Roman"/>
          <w:sz w:val="20"/>
          <w:szCs w:val="20"/>
        </w:rPr>
        <w:t xml:space="preserve">). </w:t>
      </w:r>
      <w:bookmarkStart w:id="21" w:name="OLE_LINK10"/>
      <w:r w:rsidRPr="000A2127">
        <w:rPr>
          <w:rFonts w:ascii="Times New Roman" w:hAnsi="Times New Roman" w:cs="Times New Roman"/>
          <w:sz w:val="20"/>
          <w:szCs w:val="20"/>
        </w:rPr>
        <w:t>Notably, almost all reactions with no added free energy in the model were exchange reactions, transport reactions, enzyme-exchange reactions.</w:t>
      </w:r>
      <w:bookmarkEnd w:id="21"/>
      <w:r w:rsidRPr="000A2127">
        <w:rPr>
          <w:rFonts w:ascii="Times New Roman" w:hAnsi="Times New Roman" w:cs="Times New Roman"/>
          <w:sz w:val="20"/>
          <w:szCs w:val="20"/>
        </w:rPr>
        <w:t xml:space="preserve"> We did not apply thermodynamic constraints to the metabolic reactions for enzymatically constrained splits because the chemical structures of the putative metabolites of the ligation split reactions are not sufficiently defined to allow Gibbs free energy calculations using the group contribution method.</w:t>
      </w:r>
    </w:p>
    <w:p w14:paraId="44931DAA"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We explored the effect of transcriptional regulation on the model’s metabolic network analysis using PROM. We constructed a regulatory network based on the role of transcription factors by integrating multiple transcriptional regulatory networks in </w:t>
      </w:r>
      <w:r w:rsidRPr="000A2127">
        <w:rPr>
          <w:rFonts w:ascii="Times New Roman" w:hAnsi="Times New Roman" w:cs="Times New Roman"/>
          <w:i/>
          <w:iCs/>
          <w:sz w:val="20"/>
          <w:szCs w:val="20"/>
        </w:rPr>
        <w:t xml:space="preserve">B. subtilis </w:t>
      </w:r>
      <w:r w:rsidRPr="000A2127">
        <w:rPr>
          <w:rFonts w:ascii="Times New Roman" w:hAnsi="Times New Roman" w:cs="Times New Roman"/>
          <w:noProof/>
          <w:sz w:val="20"/>
          <w:szCs w:val="20"/>
        </w:rPr>
        <w:t>(Arrieta-Ortiz et al., 2015; Koo et al., 2017; Leyn et al., 2013; Rychel et al., 2020)</w:t>
      </w:r>
      <w:r w:rsidRPr="000A2127">
        <w:rPr>
          <w:rFonts w:ascii="Times New Roman" w:hAnsi="Times New Roman" w:cs="Times New Roman"/>
          <w:sz w:val="20"/>
          <w:szCs w:val="20"/>
        </w:rPr>
        <w:t xml:space="preserve"> and relevant databases, such as </w:t>
      </w:r>
      <w:proofErr w:type="spellStart"/>
      <w:r w:rsidRPr="000A2127">
        <w:rPr>
          <w:rFonts w:ascii="Times New Roman" w:hAnsi="Times New Roman" w:cs="Times New Roman"/>
          <w:sz w:val="20"/>
          <w:szCs w:val="20"/>
        </w:rPr>
        <w:t>SubtiWiki</w:t>
      </w:r>
      <w:proofErr w:type="spellEnd"/>
      <w:r w:rsidRPr="000A2127">
        <w:rPr>
          <w:rFonts w:ascii="Times New Roman" w:hAnsi="Times New Roman" w:cs="Times New Roman"/>
          <w:sz w:val="20"/>
          <w:szCs w:val="20"/>
        </w:rPr>
        <w:t xml:space="preserve"> </w:t>
      </w:r>
      <w:r w:rsidRPr="000A2127">
        <w:rPr>
          <w:rFonts w:ascii="Times New Roman" w:hAnsi="Times New Roman" w:cs="Times New Roman"/>
          <w:sz w:val="20"/>
        </w:rPr>
        <w:t>and</w:t>
      </w:r>
      <w:r w:rsidRPr="000A2127">
        <w:rPr>
          <w:rFonts w:ascii="Times New Roman" w:hAnsi="Times New Roman" w:cs="Times New Roman"/>
          <w:sz w:val="20"/>
          <w:szCs w:val="20"/>
        </w:rPr>
        <w:t xml:space="preserve"> DBTBS. Moreover, for building a comprehensive metabolic network, we collected rich gene expression data, in</w:t>
      </w:r>
      <w:r w:rsidRPr="000A2127">
        <w:rPr>
          <w:rFonts w:ascii="Times New Roman" w:hAnsi="Times New Roman" w:cs="Times New Roman"/>
          <w:sz w:val="20"/>
        </w:rPr>
        <w:t xml:space="preserve"> which</w:t>
      </w:r>
      <w:r w:rsidRPr="000A2127">
        <w:rPr>
          <w:rFonts w:ascii="Times New Roman" w:hAnsi="Times New Roman" w:cs="Times New Roman"/>
          <w:sz w:val="20"/>
          <w:szCs w:val="20"/>
        </w:rPr>
        <w:t xml:space="preserve"> transcriptomic data from various environmental</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genetic perturbations were included </w:t>
      </w:r>
      <w:r w:rsidRPr="000A2127">
        <w:rPr>
          <w:rFonts w:ascii="Times New Roman" w:hAnsi="Times New Roman" w:cs="Times New Roman"/>
          <w:noProof/>
          <w:sz w:val="20"/>
          <w:szCs w:val="20"/>
        </w:rPr>
        <w:t>(Koo et al., 2017)</w:t>
      </w:r>
      <w:r w:rsidRPr="000A2127">
        <w:rPr>
          <w:rFonts w:ascii="Times New Roman" w:hAnsi="Times New Roman" w:cs="Times New Roman"/>
          <w:sz w:val="20"/>
          <w:szCs w:val="20"/>
        </w:rPr>
        <w:t>. We introduced gene expression data and gene–transcription factor interactions</w:t>
      </w:r>
      <w:r w:rsidRPr="000A2127">
        <w:rPr>
          <w:rFonts w:ascii="Times New Roman" w:hAnsi="Times New Roman" w:cs="Times New Roman"/>
        </w:rPr>
        <w:t xml:space="preserve"> </w:t>
      </w:r>
      <w:r w:rsidRPr="000A2127">
        <w:rPr>
          <w:rFonts w:ascii="Times New Roman" w:hAnsi="Times New Roman" w:cs="Times New Roman"/>
          <w:sz w:val="20"/>
          <w:szCs w:val="20"/>
        </w:rPr>
        <w:t xml:space="preserve">to predict that 47 of the 292 transcription factors were able to </w:t>
      </w:r>
      <w:proofErr w:type="spellStart"/>
      <w:r w:rsidRPr="000A2127">
        <w:rPr>
          <w:rFonts w:ascii="Times New Roman" w:hAnsi="Times New Roman" w:cs="Times New Roman"/>
          <w:sz w:val="20"/>
          <w:szCs w:val="20"/>
        </w:rPr>
        <w:t>perturbe</w:t>
      </w:r>
      <w:proofErr w:type="spellEnd"/>
      <w:r w:rsidRPr="000A2127">
        <w:rPr>
          <w:rFonts w:ascii="Times New Roman" w:hAnsi="Times New Roman" w:cs="Times New Roman"/>
          <w:sz w:val="20"/>
          <w:szCs w:val="20"/>
        </w:rPr>
        <w:t xml:space="preserve"> 911 growth-related reactions using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(Fig. 4a). In addition,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accurately predicted the growth rate of 10 KO phenotypes using PROM, with a correlation coefficient of 0.83 (</w:t>
      </w:r>
      <w:r w:rsidRPr="000A2127">
        <w:rPr>
          <w:rFonts w:ascii="Times New Roman" w:hAnsi="Times New Roman" w:cs="Times New Roman"/>
          <w:i/>
          <w:sz w:val="20"/>
        </w:rPr>
        <w:t>P</w:t>
      </w:r>
      <w:r w:rsidRPr="000A2127">
        <w:rPr>
          <w:rFonts w:ascii="Times New Roman" w:hAnsi="Times New Roman" w:cs="Times New Roman"/>
          <w:sz w:val="20"/>
          <w:szCs w:val="20"/>
        </w:rPr>
        <w:t xml:space="preserve"> &lt; 1e-3; </w:t>
      </w:r>
      <w:r w:rsidRPr="000A2127">
        <w:rPr>
          <w:rFonts w:ascii="Times New Roman" w:hAnsi="Times New Roman" w:cs="Times New Roman"/>
          <w:sz w:val="20"/>
        </w:rPr>
        <w:t>Fig.</w:t>
      </w:r>
      <w:r w:rsidRPr="000A2127">
        <w:rPr>
          <w:rFonts w:ascii="Times New Roman" w:hAnsi="Times New Roman" w:cs="Times New Roman"/>
          <w:sz w:val="20"/>
          <w:szCs w:val="20"/>
        </w:rPr>
        <w:t xml:space="preserve"> 4b).</w:t>
      </w:r>
    </w:p>
    <w:p w14:paraId="5AE5DE65"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We then analyzed the robustness of the models by exploring the effects on growth rates in the presence of increased glucose</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oxygen uptake rates. </w:t>
      </w:r>
      <w:bookmarkStart w:id="22" w:name="OLE_LINK11"/>
      <w:r w:rsidRPr="000A2127">
        <w:rPr>
          <w:rFonts w:ascii="Times New Roman" w:hAnsi="Times New Roman" w:cs="Times New Roman"/>
          <w:sz w:val="20"/>
          <w:szCs w:val="20"/>
        </w:rPr>
        <w:t>With the increase of glucose and oxygen supply, the simulated growth rate of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reached a plateau and then began to decrease, which was consistent with the experimental cell growth trend (</w:t>
      </w:r>
      <w:r w:rsidRPr="000A2127">
        <w:rPr>
          <w:rFonts w:ascii="Times New Roman" w:hAnsi="Times New Roman" w:cs="Times New Roman"/>
          <w:sz w:val="20"/>
        </w:rPr>
        <w:t>Fig. 4c</w:t>
      </w:r>
      <w:r w:rsidRPr="000A2127">
        <w:rPr>
          <w:rFonts w:ascii="Times New Roman" w:hAnsi="Times New Roman" w:cs="Times New Roman"/>
          <w:sz w:val="20"/>
          <w:szCs w:val="20"/>
        </w:rPr>
        <w:t>).</w:t>
      </w:r>
      <w:r w:rsidRPr="000A2127">
        <w:rPr>
          <w:rFonts w:ascii="Times New Roman" w:hAnsi="Times New Roman" w:cs="Times New Roman"/>
          <w:sz w:val="20"/>
        </w:rPr>
        <w:t xml:space="preserve"> </w:t>
      </w:r>
      <w:r w:rsidRPr="000A2127">
        <w:rPr>
          <w:rFonts w:ascii="Times New Roman" w:hAnsi="Times New Roman" w:cs="Times New Roman"/>
          <w:sz w:val="20"/>
          <w:szCs w:val="20"/>
        </w:rPr>
        <w:t>We observed that the cell growth rates were limited by enzymatic</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thermodynamic constraints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and the simulated specific growth rate was 0.343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at the glucose uptake rate of 1.82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Compared to the value of 0.36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w:t>
      </w:r>
      <w:r w:rsidRPr="000A2127">
        <w:rPr>
          <w:rFonts w:ascii="Times New Roman" w:hAnsi="Times New Roman" w:cs="Times New Roman"/>
          <w:sz w:val="20"/>
          <w:szCs w:val="20"/>
        </w:rPr>
        <w:lastRenderedPageBreak/>
        <w:t>detected using the experimental data, the prediction accuracy of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reached 95.3%, which was 8.7% higher than that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t>
      </w:r>
      <w:r w:rsidRPr="000A2127">
        <w:rPr>
          <w:rFonts w:ascii="Times New Roman" w:hAnsi="Times New Roman" w:cs="Times New Roman"/>
          <w:sz w:val="20"/>
        </w:rPr>
        <w:t>Fig.</w:t>
      </w:r>
      <w:r w:rsidRPr="000A2127">
        <w:rPr>
          <w:rFonts w:ascii="Times New Roman" w:hAnsi="Times New Roman" w:cs="Times New Roman"/>
          <w:sz w:val="20"/>
          <w:szCs w:val="20"/>
        </w:rPr>
        <w:t xml:space="preserve"> S5). </w:t>
      </w:r>
      <w:bookmarkEnd w:id="22"/>
    </w:p>
    <w:p w14:paraId="3F91A827" w14:textId="77777777" w:rsidR="008706DD" w:rsidRPr="000A2127" w:rsidRDefault="008706DD">
      <w:pPr>
        <w:spacing w:line="480" w:lineRule="auto"/>
        <w:ind w:firstLineChars="200" w:firstLine="400"/>
        <w:rPr>
          <w:rFonts w:ascii="Times New Roman" w:hAnsi="Times New Roman" w:cs="Times New Roman"/>
          <w:sz w:val="20"/>
          <w:szCs w:val="20"/>
        </w:rPr>
      </w:pPr>
    </w:p>
    <w:p w14:paraId="51ECA361" w14:textId="77777777" w:rsidR="008706DD" w:rsidRPr="000A2127" w:rsidRDefault="008706DD">
      <w:pPr>
        <w:pStyle w:val="Heading2"/>
        <w:spacing w:after="0" w:line="480" w:lineRule="auto"/>
        <w:rPr>
          <w:rFonts w:ascii="Times New Roman" w:hAnsi="Times New Roman" w:cs="Times New Roman"/>
          <w:szCs w:val="20"/>
        </w:rPr>
      </w:pPr>
      <w:r w:rsidRPr="000A2127">
        <w:rPr>
          <w:rFonts w:ascii="Times New Roman" w:hAnsi="Times New Roman" w:cs="Times New Roman"/>
        </w:rPr>
        <w:t>3.5 Prediction of metabolic flux in the multi-constraints model</w:t>
      </w:r>
    </w:p>
    <w:p w14:paraId="7E449774" w14:textId="77777777" w:rsidR="008706DD" w:rsidRPr="000A2127" w:rsidRDefault="008706DD">
      <w:pPr>
        <w:spacing w:line="480" w:lineRule="auto"/>
        <w:ind w:firstLineChars="200" w:firstLine="400"/>
        <w:rPr>
          <w:rFonts w:ascii="Times New Roman" w:hAnsi="Times New Roman" w:cs="Times New Roman"/>
          <w:sz w:val="20"/>
          <w:szCs w:val="21"/>
        </w:rPr>
      </w:pPr>
      <w:bookmarkStart w:id="23" w:name="OLE_LINK20"/>
      <w:r w:rsidRPr="000A2127">
        <w:rPr>
          <w:rFonts w:ascii="Times New Roman" w:hAnsi="Times New Roman" w:cs="Times New Roman"/>
          <w:sz w:val="20"/>
          <w:szCs w:val="20"/>
        </w:rPr>
        <w:t xml:space="preserve">To investigate the effects of including or excluding enzymatic and thermodynamic constraints on the prediction accuracy of the model, we developed the </w:t>
      </w:r>
      <w:r w:rsidRPr="000A2127">
        <w:rPr>
          <w:rFonts w:ascii="Times New Roman" w:hAnsi="Times New Roman" w:cs="Times New Roman"/>
          <w:color w:val="000000"/>
          <w:sz w:val="20"/>
          <w:szCs w:val="20"/>
        </w:rPr>
        <w:t>following th</w:t>
      </w:r>
      <w:r w:rsidRPr="000A2127">
        <w:rPr>
          <w:rFonts w:ascii="Times New Roman" w:hAnsi="Times New Roman" w:cs="Times New Roman"/>
          <w:sz w:val="20"/>
          <w:szCs w:val="20"/>
        </w:rPr>
        <w:t>ree types of models with the letter “</w:t>
      </w:r>
      <w:proofErr w:type="spellStart"/>
      <w:r w:rsidRPr="000A2127">
        <w:rPr>
          <w:rFonts w:ascii="Times New Roman" w:hAnsi="Times New Roman" w:cs="Times New Roman"/>
          <w:sz w:val="20"/>
          <w:szCs w:val="20"/>
        </w:rPr>
        <w:t>tc</w:t>
      </w:r>
      <w:proofErr w:type="spellEnd"/>
      <w:r w:rsidRPr="000A2127">
        <w:rPr>
          <w:rFonts w:ascii="Times New Roman" w:hAnsi="Times New Roman" w:cs="Times New Roman"/>
          <w:sz w:val="20"/>
          <w:szCs w:val="20"/>
        </w:rPr>
        <w:t>” in the model name (tc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reflecting that the model contained thermodynamic constraints, the letter “</w:t>
      </w:r>
      <w:proofErr w:type="spellStart"/>
      <w:r w:rsidRPr="000A2127">
        <w:rPr>
          <w:rFonts w:ascii="Times New Roman" w:hAnsi="Times New Roman" w:cs="Times New Roman"/>
          <w:sz w:val="20"/>
          <w:szCs w:val="20"/>
        </w:rPr>
        <w:t>ec</w:t>
      </w:r>
      <w:proofErr w:type="spellEnd"/>
      <w:r w:rsidRPr="000A2127">
        <w:rPr>
          <w:rFonts w:ascii="Times New Roman" w:hAnsi="Times New Roman" w:cs="Times New Roman"/>
          <w:sz w:val="20"/>
          <w:szCs w:val="20"/>
        </w:rPr>
        <w:t>” in the model name (ec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reflecting that the model contained enzymatic constraints,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contained both. We assumed that the highest growth rate of the cells could be achieved in M9 minimal medium. Subsequently, we simulated the optimal growth using FBA for the abovementioned three constraint models (Fig. 4d). Compared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the growth rate simulated by the</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model was closer to the experimental value at low glucose uptake rates. Compared with tc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the predicted growth rate was affected to a greater extent in ec</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w:t>
      </w:r>
      <w:r w:rsidRPr="000A2127">
        <w:rPr>
          <w:rFonts w:ascii="Times New Roman" w:hAnsi="Times New Roman" w:cs="Times New Roman"/>
          <w:sz w:val="20"/>
          <w:szCs w:val="21"/>
        </w:rPr>
        <w:t>The simulated growth rates in the enzyme-constrained models (ec</w:t>
      </w:r>
      <w:r w:rsidRPr="000A2127">
        <w:rPr>
          <w:rFonts w:ascii="Times New Roman" w:hAnsi="Times New Roman" w:cs="Times New Roman"/>
          <w:i/>
          <w:iCs/>
          <w:sz w:val="20"/>
          <w:szCs w:val="21"/>
        </w:rPr>
        <w:t>i</w:t>
      </w:r>
      <w:r w:rsidRPr="000A2127">
        <w:rPr>
          <w:rFonts w:ascii="Times New Roman" w:hAnsi="Times New Roman" w:cs="Times New Roman"/>
          <w:sz w:val="20"/>
          <w:szCs w:val="21"/>
        </w:rPr>
        <w:t>Bsu1209 and et</w:t>
      </w:r>
      <w:r w:rsidRPr="000A2127">
        <w:rPr>
          <w:rFonts w:ascii="Times New Roman" w:hAnsi="Times New Roman" w:cs="Times New Roman"/>
          <w:i/>
          <w:iCs/>
          <w:sz w:val="20"/>
          <w:szCs w:val="21"/>
        </w:rPr>
        <w:t>i</w:t>
      </w:r>
      <w:r w:rsidRPr="000A2127">
        <w:rPr>
          <w:rFonts w:ascii="Times New Roman" w:hAnsi="Times New Roman" w:cs="Times New Roman"/>
          <w:sz w:val="20"/>
          <w:szCs w:val="21"/>
        </w:rPr>
        <w:t xml:space="preserve">Bsu1209) stabilized </w:t>
      </w:r>
      <w:r w:rsidRPr="000A2127">
        <w:rPr>
          <w:rFonts w:ascii="Times New Roman" w:hAnsi="Times New Roman" w:cs="Times New Roman"/>
          <w:sz w:val="20"/>
          <w:szCs w:val="20"/>
        </w:rPr>
        <w:t>at higher values of glucose uptake rate, which is consistent with the experimental data; moreover, the maximum predicted growth rates of ec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and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were 0.39 h</w:t>
      </w:r>
      <w:r w:rsidRPr="000A2127">
        <w:rPr>
          <w:rFonts w:ascii="Times New Roman" w:hAnsi="Times New Roman" w:cs="Times New Roman"/>
          <w:sz w:val="20"/>
          <w:szCs w:val="20"/>
          <w:vertAlign w:val="superscript"/>
        </w:rPr>
        <w:t xml:space="preserve">–1 </w:t>
      </w:r>
      <w:r w:rsidRPr="000A2127">
        <w:rPr>
          <w:rFonts w:ascii="Times New Roman" w:hAnsi="Times New Roman" w:cs="Times New Roman"/>
          <w:sz w:val="20"/>
          <w:szCs w:val="20"/>
        </w:rPr>
        <w:t>and 0.37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respectively. This difference suggests that the integration of two constraints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effectively reduces the flux of infeasible pathways accounting for thermodynamic or enzymatic costs in cell growth simulations. Apparently, the experimental cell growth rate showed a decreasing trend after reaching a maximum of 0.378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however, the cell growth rate in the model was affected by infinite substrate supply</w:t>
      </w:r>
      <w:r w:rsidRPr="000A2127">
        <w:rPr>
          <w:rFonts w:ascii="Times New Roman" w:hAnsi="Times New Roman" w:cs="Times New Roman"/>
          <w:sz w:val="20"/>
          <w:szCs w:val="21"/>
        </w:rPr>
        <w:t xml:space="preserve"> and</w:t>
      </w:r>
      <w:r w:rsidRPr="000A2127">
        <w:rPr>
          <w:rFonts w:ascii="Times New Roman" w:hAnsi="Times New Roman" w:cs="Times New Roman"/>
          <w:sz w:val="20"/>
          <w:szCs w:val="20"/>
        </w:rPr>
        <w:t xml:space="preserve"> fixed enzyme activity to ensure that the growth rate remained constant.</w:t>
      </w:r>
    </w:p>
    <w:p w14:paraId="28732777"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color w:val="000000"/>
          <w:sz w:val="20"/>
          <w:szCs w:val="20"/>
        </w:rPr>
        <w:t xml:space="preserve">To explore the effect of different constraints on the range of predicted fluxes of the model, we further </w:t>
      </w:r>
      <w:r w:rsidRPr="000A2127">
        <w:rPr>
          <w:rFonts w:ascii="Times New Roman" w:hAnsi="Times New Roman" w:cs="Times New Roman"/>
          <w:color w:val="000000"/>
          <w:sz w:val="20"/>
          <w:szCs w:val="20"/>
        </w:rPr>
        <w:lastRenderedPageBreak/>
        <w:t>compared the four models—</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tc</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ec</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and et</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with the reported</w:t>
      </w:r>
      <w:r w:rsidRPr="000A2127">
        <w:rPr>
          <w:rFonts w:ascii="Times New Roman" w:hAnsi="Times New Roman" w:cs="Times New Roman"/>
          <w:i/>
          <w:iCs/>
          <w:color w:val="000000"/>
          <w:sz w:val="20"/>
          <w:szCs w:val="20"/>
        </w:rPr>
        <w:t xml:space="preserve"> i</w:t>
      </w:r>
      <w:r w:rsidRPr="000A2127">
        <w:rPr>
          <w:rFonts w:ascii="Times New Roman" w:hAnsi="Times New Roman" w:cs="Times New Roman"/>
          <w:color w:val="000000"/>
          <w:sz w:val="20"/>
          <w:szCs w:val="20"/>
        </w:rPr>
        <w:t xml:space="preserve">Bsu1147 by performing FVA. Among the 6295 fluxes in </w:t>
      </w:r>
      <w:r w:rsidRPr="000A2127">
        <w:rPr>
          <w:rFonts w:ascii="Times New Roman" w:hAnsi="Times New Roman" w:cs="Times New Roman"/>
          <w:sz w:val="20"/>
          <w:szCs w:val="20"/>
        </w:rPr>
        <w:t>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the variability of 4798 and 1757 reduced following the inclusion of enzyme constraints and thermodynamic constraints, respectively. Among the 4798 fluxes with reduced variability, the mean reduced variability was &gt;90% (Fig. 4e). </w:t>
      </w:r>
      <w:bookmarkStart w:id="24" w:name="OLE_LINK12"/>
    </w:p>
    <w:p w14:paraId="64BDD07A" w14:textId="77777777" w:rsidR="008706DD" w:rsidRPr="000A2127" w:rsidRDefault="008706DD">
      <w:pPr>
        <w:spacing w:line="480" w:lineRule="auto"/>
        <w:ind w:firstLineChars="200" w:firstLine="400"/>
        <w:rPr>
          <w:rFonts w:ascii="Times New Roman" w:hAnsi="Times New Roman" w:cs="Times New Roman"/>
          <w:sz w:val="20"/>
          <w:szCs w:val="20"/>
        </w:rPr>
      </w:pPr>
      <w:bookmarkStart w:id="25" w:name="OLE_LINK6"/>
      <w:r w:rsidRPr="000A2127">
        <w:rPr>
          <w:rFonts w:ascii="Times New Roman" w:hAnsi="Times New Roman" w:cs="Times New Roman"/>
          <w:sz w:val="20"/>
          <w:szCs w:val="20"/>
        </w:rPr>
        <w:t>In addition, we performed a metabolic flux analysis of the central carbon metabolism of the model</w:t>
      </w:r>
      <w:r w:rsidRPr="000A2127">
        <w:rPr>
          <w:rFonts w:ascii="Times New Roman" w:hAnsi="Times New Roman" w:cs="Times New Roman"/>
          <w:sz w:val="20"/>
          <w:szCs w:val="21"/>
        </w:rPr>
        <w:t xml:space="preserve"> and</w:t>
      </w:r>
      <w:r w:rsidRPr="000A2127">
        <w:rPr>
          <w:rFonts w:ascii="Times New Roman" w:hAnsi="Times New Roman" w:cs="Times New Roman"/>
          <w:sz w:val="20"/>
          <w:szCs w:val="20"/>
        </w:rPr>
        <w:t xml:space="preserve"> compared it with </w:t>
      </w:r>
      <w:r w:rsidRPr="000A2127">
        <w:rPr>
          <w:rFonts w:ascii="Times New Roman" w:hAnsi="Times New Roman" w:cs="Times New Roman"/>
          <w:sz w:val="20"/>
          <w:szCs w:val="21"/>
          <w:vertAlign w:val="superscript"/>
        </w:rPr>
        <w:t>13</w:t>
      </w:r>
      <w:r w:rsidRPr="000A2127">
        <w:rPr>
          <w:rFonts w:ascii="Times New Roman" w:hAnsi="Times New Roman" w:cs="Times New Roman"/>
          <w:sz w:val="20"/>
          <w:szCs w:val="20"/>
        </w:rPr>
        <w:t xml:space="preserve">C-tracer experimental data to explore specific flux changes for each reaction. As shown in </w:t>
      </w:r>
      <w:r w:rsidRPr="000A2127">
        <w:rPr>
          <w:rFonts w:ascii="Times New Roman" w:hAnsi="Times New Roman" w:cs="Times New Roman"/>
          <w:sz w:val="20"/>
          <w:szCs w:val="21"/>
        </w:rPr>
        <w:t>Figure 5</w:t>
      </w:r>
      <w:r w:rsidRPr="000A2127">
        <w:rPr>
          <w:rFonts w:ascii="Times New Roman" w:hAnsi="Times New Roman" w:cs="Times New Roman"/>
          <w:sz w:val="20"/>
          <w:szCs w:val="20"/>
        </w:rPr>
        <w:t xml:space="preserve">, the metabolic fluxes of the different models showed significant differences in the </w:t>
      </w:r>
      <w:bookmarkStart w:id="26" w:name="_Hlk96256326"/>
      <w:r w:rsidRPr="000A2127">
        <w:rPr>
          <w:rFonts w:ascii="Times New Roman" w:hAnsi="Times New Roman" w:cs="Times New Roman"/>
          <w:sz w:val="20"/>
          <w:szCs w:val="20"/>
        </w:rPr>
        <w:t xml:space="preserve">Embden–Meyerhof pathway, </w:t>
      </w:r>
      <w:bookmarkStart w:id="27" w:name="_Hlk96256208"/>
      <w:r w:rsidRPr="000A2127">
        <w:rPr>
          <w:rFonts w:ascii="Times New Roman" w:hAnsi="Times New Roman" w:cs="Times New Roman"/>
          <w:sz w:val="20"/>
          <w:szCs w:val="20"/>
        </w:rPr>
        <w:t>pentose phosphate pathway</w:t>
      </w:r>
      <w:bookmarkEnd w:id="26"/>
      <w:bookmarkEnd w:id="27"/>
      <w:r w:rsidRPr="000A2127">
        <w:rPr>
          <w:rFonts w:ascii="Times New Roman" w:hAnsi="Times New Roman" w:cs="Times New Roman"/>
          <w:sz w:val="20"/>
          <w:szCs w:val="20"/>
        </w:rPr>
        <w:t xml:space="preserve">, and TCA cycle. In the </w:t>
      </w:r>
      <w:bookmarkStart w:id="28" w:name="_Hlk96256241"/>
      <w:r w:rsidRPr="000A2127">
        <w:rPr>
          <w:rFonts w:ascii="Times New Roman" w:hAnsi="Times New Roman" w:cs="Times New Roman"/>
          <w:sz w:val="20"/>
          <w:szCs w:val="20"/>
        </w:rPr>
        <w:t>Embden–Meyerhof pathway,</w:t>
      </w:r>
      <w:bookmarkEnd w:id="28"/>
      <w:r w:rsidRPr="000A2127">
        <w:rPr>
          <w:rFonts w:ascii="Times New Roman" w:hAnsi="Times New Roman" w:cs="Times New Roman"/>
          <w:sz w:val="20"/>
          <w:szCs w:val="20"/>
        </w:rPr>
        <w:t xml:space="preserve"> there was a clear increase in the metabolic flux of </w:t>
      </w:r>
      <w:r w:rsidRPr="000A2127">
        <w:rPr>
          <w:rFonts w:ascii="Times New Roman" w:hAnsi="Times New Roman" w:cs="Times New Roman"/>
          <w:color w:val="000000"/>
          <w:sz w:val="20"/>
          <w:szCs w:val="20"/>
        </w:rPr>
        <w:t>glyceraldehyde-3-phosphate</w:t>
      </w:r>
      <w:r w:rsidRPr="000A2127">
        <w:rPr>
          <w:rFonts w:ascii="Times New Roman" w:hAnsi="Times New Roman" w:cs="Times New Roman"/>
          <w:sz w:val="20"/>
          <w:szCs w:val="20"/>
        </w:rPr>
        <w:t xml:space="preserve"> (GAP) in the experimental data, which was consistent with the simulated value of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However,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the metabolic flux of GAP was a negative value, leading to the wrong prediction of the downstream effect of the Embden–Meyerhof pathway</w:t>
      </w:r>
      <w:r w:rsidRPr="000A2127">
        <w:rPr>
          <w:rFonts w:ascii="Times New Roman" w:hAnsi="Times New Roman" w:cs="Times New Roman"/>
          <w:sz w:val="20"/>
          <w:szCs w:val="21"/>
        </w:rPr>
        <w:t xml:space="preserve"> and</w:t>
      </w:r>
      <w:r w:rsidRPr="000A2127">
        <w:rPr>
          <w:rFonts w:ascii="Times New Roman" w:hAnsi="Times New Roman" w:cs="Times New Roman"/>
          <w:sz w:val="20"/>
          <w:szCs w:val="20"/>
        </w:rPr>
        <w:t xml:space="preserve"> TCA cycle. We speculate that this was due to the reaction directionality being wrong in this model. It was clearly observed that the addition of thermodynamic constraints effectively narrowed the metabolic flux range in the model. For instance, the metabolic flux of GAP in tc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was reduced from 996 to 30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Cs w:val="21"/>
        </w:rPr>
        <w:t xml:space="preserve"> </w:t>
      </w:r>
      <w:r w:rsidRPr="000A2127">
        <w:rPr>
          <w:rFonts w:ascii="Times New Roman" w:hAnsi="Times New Roman" w:cs="Times New Roman"/>
          <w:sz w:val="20"/>
          <w:szCs w:val="20"/>
        </w:rPr>
        <w:t>when compared with</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whereas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it was reduced from 1000 to 200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Cs w:val="21"/>
        </w:rPr>
        <w:t xml:space="preserve"> </w:t>
      </w:r>
      <w:r w:rsidRPr="000A2127">
        <w:rPr>
          <w:rFonts w:ascii="Times New Roman" w:hAnsi="Times New Roman" w:cs="Times New Roman"/>
          <w:sz w:val="20"/>
          <w:szCs w:val="20"/>
        </w:rPr>
        <w:t>when compared with ec</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w:t>
      </w:r>
      <w:r w:rsidRPr="000A2127">
        <w:rPr>
          <w:rFonts w:ascii="Times New Roman" w:hAnsi="Times New Roman" w:cs="Times New Roman"/>
          <w:color w:val="000000"/>
          <w:sz w:val="20"/>
          <w:szCs w:val="20"/>
        </w:rPr>
        <w:t>However, the metabolic flux of phosphoenolpyruvate in ec</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increased from 10 to 700 mmol gDW</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xml:space="preserve"> h</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xml:space="preserve"> compared with the experimental value of 221 mmol gDW</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xml:space="preserve"> h</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whereas the metabolic flux of the model without enzyme constraints (</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and tc</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 was below 100 mmol gDW</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xml:space="preserve"> h</w:t>
      </w:r>
      <w:r w:rsidRPr="000A2127">
        <w:rPr>
          <w:rFonts w:ascii="Times New Roman" w:hAnsi="Times New Roman" w:cs="Times New Roman"/>
          <w:color w:val="000000"/>
          <w:sz w:val="20"/>
          <w:szCs w:val="20"/>
          <w:vertAlign w:val="superscript"/>
        </w:rPr>
        <w:t>-1</w:t>
      </w:r>
      <w:r w:rsidRPr="000A2127">
        <w:rPr>
          <w:rFonts w:ascii="Times New Roman" w:hAnsi="Times New Roman" w:cs="Times New Roman"/>
          <w:color w:val="000000"/>
          <w:sz w:val="20"/>
          <w:szCs w:val="20"/>
        </w:rPr>
        <w:t xml:space="preserve">. The observed higher metabolic flux can be </w:t>
      </w:r>
      <w:r w:rsidRPr="000A2127">
        <w:rPr>
          <w:rFonts w:ascii="Times New Roman" w:hAnsi="Times New Roman" w:cs="Times New Roman"/>
          <w:sz w:val="20"/>
          <w:szCs w:val="20"/>
        </w:rPr>
        <w:t xml:space="preserve">justified by the fact that </w:t>
      </w:r>
      <w:r w:rsidRPr="000A2127">
        <w:rPr>
          <w:rFonts w:ascii="Times New Roman" w:hAnsi="Times New Roman" w:cs="Times New Roman"/>
          <w:color w:val="242021"/>
          <w:sz w:val="20"/>
          <w:szCs w:val="20"/>
        </w:rPr>
        <w:t>phosphoenolpyruvate</w:t>
      </w:r>
      <w:r w:rsidRPr="000A2127">
        <w:rPr>
          <w:rFonts w:ascii="Times New Roman" w:hAnsi="Times New Roman" w:cs="Times New Roman"/>
          <w:sz w:val="20"/>
          <w:szCs w:val="20"/>
        </w:rPr>
        <w:t xml:space="preserve"> is linked to pyruvate, a key metabolite in central carbon metabolism</w:t>
      </w:r>
      <w:r w:rsidRPr="000A2127">
        <w:rPr>
          <w:rFonts w:ascii="Times New Roman" w:hAnsi="Times New Roman" w:cs="Times New Roman"/>
          <w:sz w:val="20"/>
          <w:szCs w:val="20"/>
        </w:rPr>
        <w:t>，</w:t>
      </w:r>
      <w:r w:rsidRPr="000A2127">
        <w:rPr>
          <w:rFonts w:ascii="Times New Roman" w:hAnsi="Times New Roman" w:cs="Times New Roman"/>
          <w:color w:val="000000"/>
          <w:sz w:val="20"/>
          <w:szCs w:val="20"/>
        </w:rPr>
        <w:t>which was consi</w:t>
      </w:r>
      <w:r w:rsidRPr="000A2127">
        <w:rPr>
          <w:rFonts w:ascii="Times New Roman" w:hAnsi="Times New Roman" w:cs="Times New Roman"/>
          <w:sz w:val="20"/>
          <w:szCs w:val="20"/>
        </w:rPr>
        <w:t xml:space="preserve">stent with the experimental data (Fig. 5). In addition to the central carbon cycle, we also simulated </w:t>
      </w:r>
      <w:r w:rsidRPr="000A2127">
        <w:rPr>
          <w:rFonts w:ascii="Times New Roman" w:hAnsi="Times New Roman" w:cs="Times New Roman"/>
          <w:sz w:val="20"/>
          <w:szCs w:val="20"/>
        </w:rPr>
        <w:lastRenderedPageBreak/>
        <w:t>the synthesis of 10 glucose-based metabolites. The synthesis rate of metabolites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is lower than that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indicating that multiple constraints are limiting factors in the synthesis of metabolites and make the simulated values more closer to the experimental data (Fig. S6). In summary,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added thermodynamic constraints</w:t>
      </w:r>
      <w:r w:rsidRPr="000A2127">
        <w:rPr>
          <w:rFonts w:ascii="Times New Roman" w:hAnsi="Times New Roman" w:cs="Times New Roman"/>
          <w:sz w:val="20"/>
          <w:szCs w:val="21"/>
        </w:rPr>
        <w:t xml:space="preserve"> and</w:t>
      </w:r>
      <w:r w:rsidRPr="000A2127">
        <w:rPr>
          <w:rFonts w:ascii="Times New Roman" w:hAnsi="Times New Roman" w:cs="Times New Roman"/>
          <w:sz w:val="20"/>
          <w:szCs w:val="20"/>
        </w:rPr>
        <w:t xml:space="preserve"> enzymatic constraints to limit the range of metabolic fluxes</w:t>
      </w:r>
      <w:r w:rsidRPr="000A2127">
        <w:rPr>
          <w:rFonts w:ascii="Times New Roman" w:hAnsi="Times New Roman" w:cs="Times New Roman"/>
          <w:sz w:val="20"/>
          <w:szCs w:val="21"/>
        </w:rPr>
        <w:t xml:space="preserve"> and</w:t>
      </w:r>
      <w:r w:rsidRPr="000A2127">
        <w:rPr>
          <w:rFonts w:ascii="Times New Roman" w:hAnsi="Times New Roman" w:cs="Times New Roman"/>
          <w:sz w:val="20"/>
          <w:szCs w:val="20"/>
        </w:rPr>
        <w:t xml:space="preserve"> effectively solved issues related to abnormal metabolic fluxes.</w:t>
      </w:r>
    </w:p>
    <w:p w14:paraId="60F3C6C3" w14:textId="77777777" w:rsidR="008706DD" w:rsidRPr="000A2127" w:rsidRDefault="008706DD">
      <w:pPr>
        <w:spacing w:line="480" w:lineRule="auto"/>
        <w:ind w:firstLineChars="200" w:firstLine="400"/>
        <w:rPr>
          <w:rFonts w:ascii="Times New Roman" w:hAnsi="Times New Roman" w:cs="Times New Roman"/>
          <w:color w:val="FF0000"/>
          <w:sz w:val="20"/>
          <w:szCs w:val="20"/>
        </w:rPr>
      </w:pPr>
    </w:p>
    <w:bookmarkEnd w:id="23"/>
    <w:bookmarkEnd w:id="24"/>
    <w:bookmarkEnd w:id="25"/>
    <w:p w14:paraId="031D1D01" w14:textId="77777777" w:rsidR="008706DD" w:rsidRPr="000A2127" w:rsidRDefault="008706DD">
      <w:pPr>
        <w:keepNext/>
        <w:keepLines/>
        <w:spacing w:line="480" w:lineRule="auto"/>
        <w:outlineLvl w:val="1"/>
        <w:rPr>
          <w:rFonts w:ascii="Times New Roman" w:eastAsia="DengXian Light" w:hAnsi="Times New Roman" w:cs="Times New Roman"/>
          <w:b/>
          <w:bCs/>
          <w:i/>
          <w:iCs/>
          <w:sz w:val="20"/>
          <w:szCs w:val="20"/>
        </w:rPr>
      </w:pPr>
      <w:r w:rsidRPr="000A2127">
        <w:rPr>
          <w:rFonts w:ascii="Times New Roman" w:eastAsia="DengXian Light" w:hAnsi="Times New Roman" w:cs="Times New Roman"/>
          <w:b/>
          <w:bCs/>
          <w:sz w:val="20"/>
          <w:szCs w:val="32"/>
        </w:rPr>
        <w:t>3.6 Model-driven metabolic engineering to increase MK-7 production</w:t>
      </w:r>
    </w:p>
    <w:p w14:paraId="0EEE7400" w14:textId="2C499E06" w:rsidR="008706DD" w:rsidRPr="000A2127" w:rsidRDefault="008706DD">
      <w:pPr>
        <w:tabs>
          <w:tab w:val="left" w:pos="1740"/>
        </w:tabs>
        <w:spacing w:line="480" w:lineRule="auto"/>
        <w:ind w:firstLineChars="200" w:firstLine="400"/>
        <w:rPr>
          <w:rFonts w:ascii="Times New Roman" w:hAnsi="Times New Roman" w:cs="Times New Roman"/>
          <w:sz w:val="20"/>
          <w:szCs w:val="20"/>
        </w:rPr>
      </w:pPr>
      <w:bookmarkStart w:id="29" w:name="OLE_LINK21"/>
      <w:r w:rsidRPr="000A2127">
        <w:rPr>
          <w:rFonts w:ascii="Times New Roman" w:hAnsi="Times New Roman" w:cs="Times New Roman"/>
          <w:color w:val="000000"/>
          <w:sz w:val="20"/>
          <w:szCs w:val="20"/>
        </w:rPr>
        <w:t xml:space="preserve">MK-7 is a highly medicinal vitamin K2 that is widely used to prevent osteoporosis, arterial calcification, and cardiovascular disease </w:t>
      </w:r>
      <w:r w:rsidRPr="000A2127">
        <w:rPr>
          <w:rFonts w:ascii="Times New Roman" w:hAnsi="Times New Roman" w:cs="Times New Roman"/>
          <w:noProof/>
          <w:color w:val="000000"/>
          <w:sz w:val="20"/>
          <w:szCs w:val="20"/>
        </w:rPr>
        <w:t>(El Asmar et al., 2014)</w:t>
      </w:r>
      <w:r w:rsidRPr="000A2127">
        <w:rPr>
          <w:rFonts w:ascii="Times New Roman" w:hAnsi="Times New Roman" w:cs="Times New Roman"/>
          <w:color w:val="000000"/>
          <w:sz w:val="20"/>
          <w:szCs w:val="20"/>
        </w:rPr>
        <w:t>. MK-7 i</w:t>
      </w:r>
      <w:r w:rsidRPr="000A2127">
        <w:rPr>
          <w:rFonts w:ascii="Times New Roman" w:hAnsi="Times New Roman" w:cs="Times New Roman"/>
          <w:sz w:val="20"/>
          <w:szCs w:val="20"/>
        </w:rPr>
        <w:t xml:space="preserve">s composed of a quinone skeleton and a variable side chain (C35). The quinone skeleton is synthesized via the </w:t>
      </w:r>
      <w:proofErr w:type="spellStart"/>
      <w:r w:rsidRPr="000A2127">
        <w:rPr>
          <w:rFonts w:ascii="Times New Roman" w:hAnsi="Times New Roman" w:cs="Times New Roman"/>
          <w:sz w:val="20"/>
          <w:szCs w:val="20"/>
        </w:rPr>
        <w:t>chorismate</w:t>
      </w:r>
      <w:proofErr w:type="spellEnd"/>
      <w:r w:rsidRPr="000A2127">
        <w:rPr>
          <w:rFonts w:ascii="Times New Roman" w:hAnsi="Times New Roman" w:cs="Times New Roman"/>
          <w:sz w:val="20"/>
          <w:szCs w:val="20"/>
        </w:rPr>
        <w:t xml:space="preserve"> pathway, whereas the variable side chain (C35) is derived from the isoprenoid pathway. </w:t>
      </w:r>
      <w:r w:rsidR="006E5F94" w:rsidRPr="006E5F94">
        <w:rPr>
          <w:rFonts w:ascii="Times New Roman" w:hAnsi="Times New Roman" w:cs="Times New Roman"/>
          <w:sz w:val="20"/>
          <w:szCs w:val="20"/>
        </w:rPr>
        <w:t xml:space="preserve">Since the synthesis of MK-7 in </w:t>
      </w:r>
      <w:r w:rsidR="006E5F94" w:rsidRPr="006E5F94">
        <w:rPr>
          <w:rFonts w:ascii="Times New Roman" w:hAnsi="Times New Roman" w:cs="Times New Roman"/>
          <w:i/>
          <w:iCs/>
          <w:sz w:val="20"/>
          <w:szCs w:val="20"/>
        </w:rPr>
        <w:t>B. subtilis</w:t>
      </w:r>
      <w:r w:rsidR="006E5F94" w:rsidRPr="006E5F94">
        <w:rPr>
          <w:rFonts w:ascii="Times New Roman" w:hAnsi="Times New Roman" w:cs="Times New Roman"/>
          <w:sz w:val="20"/>
          <w:szCs w:val="20"/>
        </w:rPr>
        <w:t xml:space="preserve"> is linked to the biomass equation, it is difficult to rationally identify novel targets for metabolic engineering strategies based on traditional GEMs, such as iBsu1147</w:t>
      </w:r>
      <w:r w:rsidR="006E5F94">
        <w:rPr>
          <w:rFonts w:ascii="Times New Roman" w:hAnsi="Times New Roman" w:cs="Times New Roman" w:hint="eastAsia"/>
          <w:sz w:val="20"/>
          <w:szCs w:val="20"/>
        </w:rPr>
        <w:t>.</w:t>
      </w:r>
      <w:r w:rsidRPr="000A2127">
        <w:rPr>
          <w:rFonts w:ascii="Times New Roman" w:hAnsi="Times New Roman" w:cs="Times New Roman"/>
        </w:rPr>
        <w:t xml:space="preserve"> </w:t>
      </w:r>
      <w:r w:rsidRPr="000A2127">
        <w:rPr>
          <w:rFonts w:ascii="Times New Roman" w:hAnsi="Times New Roman" w:cs="Times New Roman"/>
          <w:sz w:val="20"/>
          <w:szCs w:val="20"/>
        </w:rPr>
        <w:t>To further investigate the optimal synthetic pathway of MK-7, we calculated the enzymatic cost and thermodynamic driving force of the MK-7 synthesis reaction (Fig. 6a, b). We found that the high enzymatic cost required for the conversion of pyruvate to 3-dehydroquinate, which diverts energy to other overflow pathways, may hinder the production of MK-7. Therefore, targeting precursor supply could be an engineering strategy to enhance MK-7 production.</w:t>
      </w:r>
    </w:p>
    <w:p w14:paraId="6CE4E629" w14:textId="6D28B17B" w:rsidR="008706DD" w:rsidRPr="000A2127" w:rsidRDefault="008706DD">
      <w:pPr>
        <w:tabs>
          <w:tab w:val="left" w:pos="1740"/>
        </w:tabs>
        <w:spacing w:line="480" w:lineRule="auto"/>
        <w:ind w:firstLineChars="200" w:firstLine="400"/>
        <w:rPr>
          <w:rFonts w:ascii="Times New Roman" w:hAnsi="Times New Roman" w:cs="Times New Roman"/>
          <w:color w:val="FF0000"/>
          <w:sz w:val="20"/>
          <w:szCs w:val="20"/>
          <w:vertAlign w:val="subscript"/>
        </w:rPr>
      </w:pPr>
      <w:r w:rsidRPr="000A2127">
        <w:rPr>
          <w:rFonts w:ascii="Times New Roman" w:hAnsi="Times New Roman" w:cs="Times New Roman"/>
          <w:sz w:val="20"/>
          <w:szCs w:val="20"/>
        </w:rPr>
        <w:t>To investigate whether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is an effective tool for designing metabolic engineering strategies in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we calculated the key targets of MK-7 biosynthesis in the metabolic network using </w:t>
      </w:r>
      <w:proofErr w:type="spellStart"/>
      <w:r w:rsidRPr="000A2127">
        <w:rPr>
          <w:rFonts w:ascii="Times New Roman" w:hAnsi="Times New Roman" w:cs="Times New Roman"/>
          <w:sz w:val="20"/>
          <w:szCs w:val="20"/>
        </w:rPr>
        <w:t>optKnock</w:t>
      </w:r>
      <w:proofErr w:type="spellEnd"/>
      <w:r w:rsidRPr="000A2127">
        <w:rPr>
          <w:rFonts w:ascii="Times New Roman" w:hAnsi="Times New Roman" w:cs="Times New Roman"/>
          <w:sz w:val="20"/>
          <w:szCs w:val="20"/>
        </w:rPr>
        <w:t xml:space="preserve"> (</w:t>
      </w:r>
      <w:r w:rsidRPr="000A2127">
        <w:rPr>
          <w:rFonts w:ascii="Times New Roman" w:hAnsi="Times New Roman" w:cs="Times New Roman"/>
          <w:sz w:val="20"/>
          <w:szCs w:val="21"/>
        </w:rPr>
        <w:t>Fig.</w:t>
      </w:r>
      <w:r w:rsidRPr="000A2127">
        <w:rPr>
          <w:rFonts w:ascii="Times New Roman" w:hAnsi="Times New Roman" w:cs="Times New Roman"/>
          <w:sz w:val="20"/>
          <w:szCs w:val="20"/>
        </w:rPr>
        <w:t xml:space="preserve"> </w:t>
      </w:r>
      <w:r w:rsidRPr="000A2127">
        <w:rPr>
          <w:rFonts w:ascii="Times New Roman" w:hAnsi="Times New Roman" w:cs="Times New Roman"/>
          <w:sz w:val="20"/>
          <w:szCs w:val="21"/>
        </w:rPr>
        <w:t>6</w:t>
      </w:r>
      <w:r w:rsidRPr="000A2127">
        <w:rPr>
          <w:rFonts w:ascii="Times New Roman" w:hAnsi="Times New Roman" w:cs="Times New Roman"/>
          <w:sz w:val="20"/>
          <w:szCs w:val="20"/>
        </w:rPr>
        <w:t>a, b)</w:t>
      </w:r>
      <w:r w:rsidR="00F66035">
        <w:rPr>
          <w:rFonts w:ascii="Times New Roman" w:hAnsi="Times New Roman" w:cs="Times New Roman"/>
          <w:sz w:val="20"/>
          <w:szCs w:val="20"/>
        </w:rPr>
        <w:t xml:space="preserve"> </w:t>
      </w:r>
      <w:r w:rsidR="00BD5A40">
        <w:rPr>
          <w:rFonts w:ascii="Times New Roman" w:hAnsi="Times New Roman" w:cs="Times New Roman" w:hint="eastAsia"/>
          <w:sz w:val="20"/>
          <w:szCs w:val="20"/>
        </w:rPr>
        <w:t>(</w:t>
      </w:r>
      <w:r w:rsidR="00BD5A40" w:rsidRPr="00BD5A40">
        <w:rPr>
          <w:rFonts w:ascii="Times New Roman" w:hAnsi="Times New Roman" w:cs="Times New Roman"/>
        </w:rPr>
        <w:t xml:space="preserve">Burgard </w:t>
      </w:r>
      <w:r w:rsidR="00BD5A40">
        <w:rPr>
          <w:rFonts w:ascii="Times New Roman" w:hAnsi="Times New Roman" w:cs="Times New Roman"/>
        </w:rPr>
        <w:t>et al., 2003</w:t>
      </w:r>
      <w:r w:rsidR="00BD5A40">
        <w:rPr>
          <w:rFonts w:ascii="Times New Roman" w:hAnsi="Times New Roman" w:cs="Times New Roman"/>
          <w:sz w:val="20"/>
          <w:szCs w:val="20"/>
        </w:rPr>
        <w:t>)</w:t>
      </w:r>
      <w:r w:rsidRPr="000A2127">
        <w:rPr>
          <w:rFonts w:ascii="Times New Roman" w:hAnsi="Times New Roman" w:cs="Times New Roman"/>
          <w:sz w:val="20"/>
          <w:szCs w:val="20"/>
        </w:rPr>
        <w:t xml:space="preserve">. </w:t>
      </w:r>
      <w:r w:rsidRPr="000A2127">
        <w:rPr>
          <w:rFonts w:ascii="Times New Roman" w:hAnsi="Times New Roman" w:cs="Times New Roman"/>
          <w:color w:val="000000"/>
          <w:sz w:val="20"/>
          <w:szCs w:val="20"/>
        </w:rPr>
        <w:t xml:space="preserve">Through the analysis of the MK-7 biosynthesis pathway, we predicted four target genes to be knocked out, including </w:t>
      </w:r>
      <w:proofErr w:type="spellStart"/>
      <w:r w:rsidRPr="000A2127">
        <w:rPr>
          <w:rFonts w:ascii="Times New Roman" w:hAnsi="Times New Roman" w:cs="Times New Roman"/>
          <w:color w:val="000000"/>
          <w:sz w:val="20"/>
          <w:szCs w:val="20"/>
        </w:rPr>
        <w:t>fabI</w:t>
      </w:r>
      <w:proofErr w:type="spellEnd"/>
      <w:r w:rsidRPr="000A2127">
        <w:rPr>
          <w:rFonts w:ascii="Times New Roman" w:hAnsi="Times New Roman" w:cs="Times New Roman"/>
          <w:color w:val="000000"/>
          <w:sz w:val="20"/>
          <w:szCs w:val="20"/>
        </w:rPr>
        <w:t xml:space="preserve"> (encoding enoyl-(acyl-carrier </w:t>
      </w:r>
      <w:r w:rsidRPr="000A2127">
        <w:rPr>
          <w:rFonts w:ascii="Times New Roman" w:hAnsi="Times New Roman" w:cs="Times New Roman"/>
          <w:color w:val="000000"/>
          <w:sz w:val="20"/>
          <w:szCs w:val="20"/>
        </w:rPr>
        <w:lastRenderedPageBreak/>
        <w:t xml:space="preserve">protein) reductase I), </w:t>
      </w:r>
      <w:proofErr w:type="spellStart"/>
      <w:r w:rsidRPr="000A2127">
        <w:rPr>
          <w:rFonts w:ascii="Times New Roman" w:hAnsi="Times New Roman" w:cs="Times New Roman"/>
          <w:color w:val="000000"/>
          <w:sz w:val="20"/>
          <w:szCs w:val="20"/>
        </w:rPr>
        <w:t>yfkN</w:t>
      </w:r>
      <w:proofErr w:type="spellEnd"/>
      <w:r w:rsidRPr="000A2127">
        <w:rPr>
          <w:rFonts w:ascii="Times New Roman" w:hAnsi="Times New Roman" w:cs="Times New Roman"/>
          <w:color w:val="000000"/>
          <w:sz w:val="20"/>
          <w:szCs w:val="20"/>
        </w:rPr>
        <w:t xml:space="preserve"> (encoding 2',3'-cyclic </w:t>
      </w:r>
      <w:proofErr w:type="spellStart"/>
      <w:r w:rsidRPr="000A2127">
        <w:rPr>
          <w:rFonts w:ascii="Times New Roman" w:hAnsi="Times New Roman" w:cs="Times New Roman"/>
          <w:color w:val="000000"/>
          <w:sz w:val="20"/>
          <w:szCs w:val="20"/>
        </w:rPr>
        <w:t>nucleotidase</w:t>
      </w:r>
      <w:proofErr w:type="spellEnd"/>
      <w:r w:rsidRPr="000A2127">
        <w:rPr>
          <w:rFonts w:ascii="Times New Roman" w:hAnsi="Times New Roman" w:cs="Times New Roman"/>
          <w:color w:val="000000"/>
          <w:sz w:val="20"/>
          <w:szCs w:val="20"/>
        </w:rPr>
        <w:t xml:space="preserve">), </w:t>
      </w:r>
      <w:proofErr w:type="spellStart"/>
      <w:r w:rsidRPr="000A2127">
        <w:rPr>
          <w:rFonts w:ascii="Times New Roman" w:hAnsi="Times New Roman" w:cs="Times New Roman"/>
          <w:color w:val="000000"/>
          <w:sz w:val="20"/>
          <w:szCs w:val="20"/>
        </w:rPr>
        <w:t>pucL</w:t>
      </w:r>
      <w:proofErr w:type="spellEnd"/>
      <w:r w:rsidRPr="000A2127">
        <w:rPr>
          <w:rFonts w:ascii="Times New Roman" w:hAnsi="Times New Roman" w:cs="Times New Roman"/>
          <w:color w:val="000000"/>
          <w:sz w:val="20"/>
          <w:szCs w:val="20"/>
        </w:rPr>
        <w:t xml:space="preserve"> (encoding 2-oxo-4-hydroxy-4-carboxy-5-ureidoimidazoline decarboxylase), and </w:t>
      </w:r>
      <w:proofErr w:type="spellStart"/>
      <w:r w:rsidRPr="000A2127">
        <w:rPr>
          <w:rFonts w:ascii="Times New Roman" w:hAnsi="Times New Roman" w:cs="Times New Roman"/>
          <w:color w:val="000000"/>
          <w:sz w:val="20"/>
          <w:szCs w:val="20"/>
        </w:rPr>
        <w:t>Udk</w:t>
      </w:r>
      <w:proofErr w:type="spellEnd"/>
      <w:r w:rsidRPr="000A2127">
        <w:rPr>
          <w:rFonts w:ascii="Times New Roman" w:hAnsi="Times New Roman" w:cs="Times New Roman"/>
          <w:color w:val="000000"/>
          <w:sz w:val="20"/>
          <w:szCs w:val="20"/>
        </w:rPr>
        <w:t xml:space="preserve"> (encoding uridine kinase). The combinatorial deletions of these four genes were performed in both strain MK-7-producing BS3A developed by Cui et al </w:t>
      </w:r>
      <w:r w:rsidRPr="000A2127">
        <w:rPr>
          <w:rFonts w:ascii="Times New Roman" w:hAnsi="Times New Roman" w:cs="Times New Roman"/>
          <w:noProof/>
          <w:color w:val="000000"/>
        </w:rPr>
        <w:t>(Cui et al., 2019)</w:t>
      </w:r>
      <w:r w:rsidRPr="000A2127">
        <w:rPr>
          <w:rFonts w:ascii="Times New Roman" w:hAnsi="Times New Roman" w:cs="Times New Roman"/>
          <w:sz w:val="20"/>
          <w:szCs w:val="20"/>
        </w:rPr>
        <w:t xml:space="preserve"> (BS3A1 to BS3A14) and </w:t>
      </w:r>
      <w:r w:rsidRPr="000A2127">
        <w:rPr>
          <w:rFonts w:ascii="Times New Roman" w:hAnsi="Times New Roman" w:cs="Times New Roman"/>
          <w:i/>
          <w:iCs/>
          <w:sz w:val="20"/>
          <w:szCs w:val="20"/>
        </w:rPr>
        <w:t xml:space="preserve">B. subtilis </w:t>
      </w:r>
      <w:r w:rsidRPr="000A2127">
        <w:rPr>
          <w:rFonts w:ascii="Times New Roman" w:hAnsi="Times New Roman" w:cs="Times New Roman"/>
          <w:sz w:val="20"/>
          <w:szCs w:val="20"/>
        </w:rPr>
        <w:t xml:space="preserve">168 (BS1 to BS14). </w:t>
      </w:r>
      <w:r w:rsidRPr="000A2127">
        <w:rPr>
          <w:rFonts w:ascii="Times New Roman" w:hAnsi="Times New Roman" w:cs="Times New Roman"/>
          <w:color w:val="000000"/>
          <w:sz w:val="20"/>
          <w:szCs w:val="20"/>
        </w:rPr>
        <w:t xml:space="preserve">When </w:t>
      </w:r>
      <w:proofErr w:type="spellStart"/>
      <w:r w:rsidRPr="000A2127">
        <w:rPr>
          <w:rFonts w:ascii="Times New Roman" w:hAnsi="Times New Roman" w:cs="Times New Roman"/>
          <w:i/>
          <w:iCs/>
          <w:color w:val="000000"/>
          <w:sz w:val="20"/>
          <w:szCs w:val="20"/>
        </w:rPr>
        <w:t>fabI</w:t>
      </w:r>
      <w:proofErr w:type="spellEnd"/>
      <w:r w:rsidRPr="000A2127">
        <w:rPr>
          <w:rFonts w:ascii="Times New Roman" w:hAnsi="Times New Roman" w:cs="Times New Roman"/>
          <w:color w:val="000000"/>
          <w:sz w:val="20"/>
          <w:szCs w:val="20"/>
        </w:rPr>
        <w:t xml:space="preserve"> was knocked out, the titer of MK-7 (111.19 mg/L, BS3A2) in shake flask increased to 1.6-times that of BS3A (69.71 mg/L) (Fig. 6c). </w:t>
      </w:r>
      <w:r w:rsidRPr="000A2127">
        <w:rPr>
          <w:rFonts w:ascii="Times New Roman" w:hAnsi="Times New Roman" w:cs="Times New Roman"/>
          <w:sz w:val="20"/>
          <w:szCs w:val="20"/>
        </w:rPr>
        <w:t xml:space="preserve">As shown in Fig. 6c, blocking </w:t>
      </w:r>
      <w:proofErr w:type="spellStart"/>
      <w:r w:rsidRPr="000A2127">
        <w:rPr>
          <w:rFonts w:ascii="Times New Roman" w:hAnsi="Times New Roman" w:cs="Times New Roman"/>
          <w:i/>
          <w:iCs/>
          <w:sz w:val="20"/>
          <w:szCs w:val="20"/>
        </w:rPr>
        <w:t>fabI</w:t>
      </w:r>
      <w:proofErr w:type="spellEnd"/>
      <w:r w:rsidRPr="000A2127">
        <w:rPr>
          <w:rFonts w:ascii="Times New Roman" w:hAnsi="Times New Roman" w:cs="Times New Roman"/>
          <w:sz w:val="20"/>
          <w:szCs w:val="20"/>
        </w:rPr>
        <w:t xml:space="preserve"> may favor the flow of pyruvate to 3-deoxy-arabino-heptulonate 7-phosphate, promoting the synthesis of MK-7. </w:t>
      </w:r>
      <w:bookmarkStart w:id="30" w:name="OLE_LINK13"/>
      <w:r w:rsidRPr="000A2127">
        <w:rPr>
          <w:rFonts w:ascii="Times New Roman" w:hAnsi="Times New Roman" w:cs="Times New Roman"/>
          <w:sz w:val="20"/>
          <w:szCs w:val="20"/>
        </w:rPr>
        <w:t>We found that the three recombinant strains, namely, BS3A6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pucL</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Udk</w:t>
      </w:r>
      <w:proofErr w:type="spellEnd"/>
      <w:r w:rsidRPr="000A2127">
        <w:rPr>
          <w:rFonts w:ascii="Times New Roman" w:hAnsi="Times New Roman" w:cs="Times New Roman"/>
          <w:sz w:val="20"/>
          <w:szCs w:val="20"/>
        </w:rPr>
        <w:t>), BS3A7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fabI</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pucL</w:t>
      </w:r>
      <w:proofErr w:type="spellEnd"/>
      <w:r w:rsidRPr="000A2127">
        <w:rPr>
          <w:rFonts w:ascii="Times New Roman" w:hAnsi="Times New Roman" w:cs="Times New Roman"/>
          <w:sz w:val="20"/>
          <w:szCs w:val="20"/>
        </w:rPr>
        <w:t>), and BS3A8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fabI</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i/>
          <w:iCs/>
        </w:rPr>
        <w:t>Δ</w:t>
      </w:r>
      <w:r w:rsidRPr="000A2127">
        <w:rPr>
          <w:rFonts w:ascii="Times New Roman" w:hAnsi="Times New Roman" w:cs="Times New Roman"/>
          <w:i/>
          <w:iCs/>
          <w:sz w:val="20"/>
          <w:szCs w:val="20"/>
        </w:rPr>
        <w:t>yfkN</w:t>
      </w:r>
      <w:proofErr w:type="spellEnd"/>
      <w:r w:rsidRPr="000A2127">
        <w:rPr>
          <w:rFonts w:ascii="Times New Roman" w:hAnsi="Times New Roman" w:cs="Times New Roman"/>
          <w:sz w:val="20"/>
          <w:szCs w:val="20"/>
        </w:rPr>
        <w:t>) significantly improved the production of MK-7</w:t>
      </w:r>
      <w:r w:rsidRPr="000A2127">
        <w:rPr>
          <w:rFonts w:ascii="Times New Roman" w:hAnsi="Times New Roman" w:cs="Times New Roman"/>
          <w:color w:val="000000"/>
          <w:sz w:val="20"/>
          <w:szCs w:val="20"/>
        </w:rPr>
        <w:t>. The titer of MK-7 in BS3A8 reached 153.94 mg/L, 2.2-times that of BS3A</w:t>
      </w:r>
      <w:bookmarkEnd w:id="30"/>
      <w:r w:rsidRPr="000A2127">
        <w:rPr>
          <w:rFonts w:ascii="Times New Roman" w:hAnsi="Times New Roman" w:cs="Times New Roman"/>
          <w:color w:val="000000"/>
          <w:sz w:val="20"/>
          <w:szCs w:val="20"/>
        </w:rPr>
        <w:t xml:space="preserve"> (Fig. 6d), maybe due to a reduction in overflow pathways. However, the combinatorial de</w:t>
      </w:r>
      <w:r w:rsidRPr="000A2127">
        <w:rPr>
          <w:rFonts w:ascii="Times New Roman" w:hAnsi="Times New Roman" w:cs="Times New Roman"/>
          <w:sz w:val="20"/>
          <w:szCs w:val="20"/>
        </w:rPr>
        <w:t>letions of three or four genes (BS3A10 to BS3A14) affected cell growth and resulted in decrease in MK-7 production (Fig. S7).</w:t>
      </w:r>
    </w:p>
    <w:p w14:paraId="245EB2A6" w14:textId="77777777" w:rsidR="008706DD" w:rsidRPr="000A2127" w:rsidRDefault="008706DD">
      <w:pPr>
        <w:tabs>
          <w:tab w:val="left" w:pos="1740"/>
        </w:tabs>
        <w:spacing w:line="480" w:lineRule="auto"/>
        <w:ind w:firstLineChars="200" w:firstLine="400"/>
        <w:rPr>
          <w:rFonts w:ascii="Times New Roman" w:hAnsi="Times New Roman" w:cs="Times New Roman"/>
          <w:color w:val="000000"/>
          <w:sz w:val="20"/>
          <w:szCs w:val="20"/>
        </w:rPr>
      </w:pPr>
      <w:r w:rsidRPr="000A2127">
        <w:rPr>
          <w:rFonts w:ascii="Times New Roman" w:hAnsi="Times New Roman" w:cs="Times New Roman"/>
          <w:sz w:val="20"/>
          <w:szCs w:val="20"/>
        </w:rPr>
        <w:t xml:space="preserve">The above-described knockout strategy for the production of MK-7 was also tested in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168 (BS1), and the titer of MK-7 (27.33 mg/L, BS3) in shake flask increased to 2.9-times that of BS1 (9.36 mg/L) when </w:t>
      </w:r>
      <w:proofErr w:type="spellStart"/>
      <w:r w:rsidRPr="000A2127">
        <w:rPr>
          <w:rFonts w:ascii="Times New Roman" w:hAnsi="Times New Roman" w:cs="Times New Roman"/>
          <w:i/>
          <w:iCs/>
          <w:sz w:val="20"/>
          <w:szCs w:val="20"/>
        </w:rPr>
        <w:t>yfkN</w:t>
      </w:r>
      <w:proofErr w:type="spellEnd"/>
      <w:r w:rsidRPr="000A2127">
        <w:rPr>
          <w:rFonts w:ascii="Times New Roman" w:hAnsi="Times New Roman" w:cs="Times New Roman"/>
          <w:sz w:val="20"/>
          <w:szCs w:val="20"/>
        </w:rPr>
        <w:t xml:space="preserve"> was knocked out (Fig. 6d). </w:t>
      </w:r>
      <w:bookmarkEnd w:id="29"/>
      <w:r w:rsidRPr="000A2127">
        <w:rPr>
          <w:rFonts w:ascii="Times New Roman" w:hAnsi="Times New Roman" w:cs="Times New Roman"/>
          <w:sz w:val="20"/>
          <w:szCs w:val="20"/>
        </w:rPr>
        <w:t xml:space="preserve">The knockout of </w:t>
      </w:r>
      <w:proofErr w:type="spellStart"/>
      <w:r w:rsidRPr="000A2127">
        <w:rPr>
          <w:rFonts w:ascii="Times New Roman" w:hAnsi="Times New Roman" w:cs="Times New Roman"/>
          <w:i/>
          <w:iCs/>
          <w:sz w:val="20"/>
          <w:szCs w:val="20"/>
        </w:rPr>
        <w:t>yfkN</w:t>
      </w:r>
      <w:proofErr w:type="spellEnd"/>
      <w:r w:rsidRPr="000A2127">
        <w:rPr>
          <w:rFonts w:ascii="Times New Roman" w:hAnsi="Times New Roman" w:cs="Times New Roman"/>
          <w:sz w:val="20"/>
          <w:szCs w:val="20"/>
        </w:rPr>
        <w:t xml:space="preserve"> may block the overflow pathway of 5-phospho-alpha-D-ribose 1-diphosphate, which enhances the conversion of 6-phospho-D-gluconate to </w:t>
      </w:r>
      <w:proofErr w:type="spellStart"/>
      <w:r w:rsidRPr="000A2127">
        <w:rPr>
          <w:rFonts w:ascii="Times New Roman" w:hAnsi="Times New Roman" w:cs="Times New Roman"/>
          <w:sz w:val="20"/>
          <w:szCs w:val="20"/>
        </w:rPr>
        <w:t>heptaprenyl</w:t>
      </w:r>
      <w:proofErr w:type="spellEnd"/>
      <w:r w:rsidRPr="000A2127">
        <w:rPr>
          <w:rFonts w:ascii="Times New Roman" w:hAnsi="Times New Roman" w:cs="Times New Roman"/>
          <w:sz w:val="20"/>
          <w:szCs w:val="20"/>
        </w:rPr>
        <w:t xml:space="preserve"> diphosphate and promotes the biosynthesis of MK-7 (Fig. 6b).</w:t>
      </w:r>
      <w:r w:rsidRPr="000A2127">
        <w:rPr>
          <w:rFonts w:ascii="Times New Roman" w:hAnsi="Times New Roman" w:cs="Times New Roman"/>
        </w:rPr>
        <w:t xml:space="preserve"> </w:t>
      </w:r>
      <w:r w:rsidRPr="000A2127">
        <w:rPr>
          <w:rFonts w:ascii="Times New Roman" w:hAnsi="Times New Roman" w:cs="Times New Roman"/>
          <w:sz w:val="20"/>
          <w:szCs w:val="20"/>
        </w:rPr>
        <w:t xml:space="preserve">We also found that the combinatorial deletion of </w:t>
      </w:r>
      <w:proofErr w:type="spellStart"/>
      <w:r w:rsidRPr="000A2127">
        <w:rPr>
          <w:rFonts w:ascii="Times New Roman" w:hAnsi="Times New Roman" w:cs="Times New Roman"/>
          <w:sz w:val="20"/>
          <w:szCs w:val="20"/>
        </w:rPr>
        <w:t>yfkN</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Udk</w:t>
      </w:r>
      <w:proofErr w:type="spellEnd"/>
      <w:r w:rsidRPr="000A2127">
        <w:rPr>
          <w:rFonts w:ascii="Times New Roman" w:hAnsi="Times New Roman" w:cs="Times New Roman"/>
          <w:sz w:val="20"/>
          <w:szCs w:val="20"/>
        </w:rPr>
        <w:t xml:space="preserve"> genes in the strain BS9 (</w:t>
      </w:r>
      <w:proofErr w:type="spellStart"/>
      <w:r w:rsidRPr="000A2127">
        <w:rPr>
          <w:rFonts w:ascii="Times New Roman" w:hAnsi="Times New Roman" w:cs="Times New Roman"/>
          <w:i/>
          <w:iCs/>
        </w:rPr>
        <w:t>Δ</w:t>
      </w:r>
      <w:r w:rsidRPr="000A2127">
        <w:rPr>
          <w:rFonts w:ascii="Times New Roman" w:hAnsi="Times New Roman" w:cs="Times New Roman"/>
          <w:sz w:val="20"/>
          <w:szCs w:val="20"/>
        </w:rPr>
        <w:t>yfkN</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i/>
          <w:iCs/>
        </w:rPr>
        <w:t>Δ</w:t>
      </w:r>
      <w:r w:rsidRPr="000A2127">
        <w:rPr>
          <w:rFonts w:ascii="Times New Roman" w:hAnsi="Times New Roman" w:cs="Times New Roman"/>
          <w:sz w:val="20"/>
          <w:szCs w:val="20"/>
        </w:rPr>
        <w:t>Udk</w:t>
      </w:r>
      <w:proofErr w:type="spellEnd"/>
      <w:r w:rsidRPr="000A2127">
        <w:rPr>
          <w:rFonts w:ascii="Times New Roman" w:hAnsi="Times New Roman" w:cs="Times New Roman"/>
          <w:sz w:val="20"/>
          <w:szCs w:val="20"/>
        </w:rPr>
        <w:t xml:space="preserve">) significantly improved the production of MK-7 to 23.47 mg/L, 2.5-times that of BS1. Similarly, to the BS3A background, the multigene knockout strains in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168 (BS10 to BS14) also showed a marked decrease in MK-7 synthesis (Fig. 6c).</w:t>
      </w:r>
      <w:r w:rsidRPr="000A2127">
        <w:rPr>
          <w:rFonts w:ascii="Times New Roman" w:hAnsi="Times New Roman" w:cs="Times New Roman"/>
        </w:rPr>
        <w:t xml:space="preserve"> </w:t>
      </w:r>
      <w:r w:rsidRPr="000A2127">
        <w:rPr>
          <w:rFonts w:ascii="Times New Roman" w:hAnsi="Times New Roman" w:cs="Times New Roman"/>
          <w:color w:val="000000"/>
          <w:sz w:val="20"/>
          <w:szCs w:val="20"/>
        </w:rPr>
        <w:t>These results show that the multiscale model et</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 xml:space="preserve">Bsu1209 can accurately predict the metabolic network of various mutant strains of </w:t>
      </w:r>
      <w:r w:rsidRPr="000A2127">
        <w:rPr>
          <w:rFonts w:ascii="Times New Roman" w:hAnsi="Times New Roman" w:cs="Times New Roman"/>
          <w:i/>
          <w:iCs/>
          <w:color w:val="000000"/>
          <w:sz w:val="20"/>
          <w:szCs w:val="20"/>
        </w:rPr>
        <w:t>B. subtilis</w:t>
      </w:r>
      <w:r w:rsidRPr="000A2127">
        <w:rPr>
          <w:rFonts w:ascii="Times New Roman" w:hAnsi="Times New Roman" w:cs="Times New Roman"/>
          <w:color w:val="000000"/>
          <w:sz w:val="20"/>
          <w:szCs w:val="20"/>
        </w:rPr>
        <w:t xml:space="preserve"> under different substrates </w:t>
      </w:r>
      <w:r w:rsidRPr="000A2127">
        <w:rPr>
          <w:rFonts w:ascii="Times New Roman" w:hAnsi="Times New Roman" w:cs="Times New Roman"/>
          <w:color w:val="000000"/>
          <w:sz w:val="20"/>
          <w:szCs w:val="20"/>
        </w:rPr>
        <w:lastRenderedPageBreak/>
        <w:t xml:space="preserve">and growth conditions, reflecting the general </w:t>
      </w:r>
      <w:proofErr w:type="spellStart"/>
      <w:r w:rsidRPr="000A2127">
        <w:rPr>
          <w:rFonts w:ascii="Times New Roman" w:hAnsi="Times New Roman" w:cs="Times New Roman"/>
          <w:color w:val="000000"/>
          <w:sz w:val="20"/>
          <w:szCs w:val="20"/>
        </w:rPr>
        <w:t>utibility</w:t>
      </w:r>
      <w:proofErr w:type="spellEnd"/>
      <w:r w:rsidRPr="000A2127">
        <w:rPr>
          <w:rFonts w:ascii="Times New Roman" w:hAnsi="Times New Roman" w:cs="Times New Roman"/>
          <w:color w:val="000000"/>
          <w:sz w:val="20"/>
          <w:szCs w:val="20"/>
        </w:rPr>
        <w:t xml:space="preserve"> of et</w:t>
      </w:r>
      <w:r w:rsidRPr="000A2127">
        <w:rPr>
          <w:rFonts w:ascii="Times New Roman" w:hAnsi="Times New Roman" w:cs="Times New Roman"/>
          <w:i/>
          <w:iCs/>
          <w:color w:val="000000"/>
          <w:sz w:val="20"/>
          <w:szCs w:val="20"/>
        </w:rPr>
        <w:t>i</w:t>
      </w:r>
      <w:r w:rsidRPr="000A2127">
        <w:rPr>
          <w:rFonts w:ascii="Times New Roman" w:hAnsi="Times New Roman" w:cs="Times New Roman"/>
          <w:color w:val="000000"/>
          <w:sz w:val="20"/>
          <w:szCs w:val="20"/>
        </w:rPr>
        <w:t>Bsu1209.</w:t>
      </w:r>
    </w:p>
    <w:p w14:paraId="5FF8589A" w14:textId="77777777" w:rsidR="008706DD" w:rsidRPr="000A2127" w:rsidRDefault="008706DD">
      <w:pPr>
        <w:tabs>
          <w:tab w:val="left" w:pos="1740"/>
        </w:tabs>
        <w:spacing w:line="480" w:lineRule="auto"/>
        <w:ind w:firstLineChars="200" w:firstLine="400"/>
        <w:rPr>
          <w:rFonts w:ascii="Times New Roman" w:hAnsi="Times New Roman" w:cs="Times New Roman"/>
          <w:sz w:val="20"/>
          <w:szCs w:val="20"/>
        </w:rPr>
      </w:pPr>
    </w:p>
    <w:p w14:paraId="556C0507" w14:textId="516FC204" w:rsidR="008706DD" w:rsidRPr="000A2127" w:rsidRDefault="008706DD">
      <w:pPr>
        <w:pStyle w:val="Heading1"/>
        <w:spacing w:line="480" w:lineRule="auto"/>
        <w:rPr>
          <w:rFonts w:ascii="Times New Roman" w:hAnsi="Times New Roman" w:cs="Times New Roman"/>
        </w:rPr>
      </w:pPr>
      <w:bookmarkStart w:id="31" w:name="OLE_LINK14"/>
      <w:r w:rsidRPr="000A2127">
        <w:rPr>
          <w:rFonts w:ascii="Times New Roman" w:hAnsi="Times New Roman" w:cs="Times New Roman"/>
        </w:rPr>
        <w:t>4. D</w:t>
      </w:r>
      <w:r w:rsidR="00622E2F">
        <w:rPr>
          <w:rFonts w:ascii="Times New Roman" w:hAnsi="Times New Roman" w:cs="Times New Roman"/>
        </w:rPr>
        <w:t>ISCUSSION</w:t>
      </w:r>
      <w:bookmarkEnd w:id="31"/>
    </w:p>
    <w:p w14:paraId="2C09CBC4"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In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seven GEMs have been reported and used to predict key targets to facilitate the synthesis of valuable products. However, the lack of comprehensive genome annotation </w:t>
      </w:r>
      <w:r w:rsidRPr="000A2127">
        <w:rPr>
          <w:rFonts w:ascii="Times New Roman" w:hAnsi="Times New Roman" w:cs="Times New Roman"/>
          <w:sz w:val="20"/>
        </w:rPr>
        <w:t>and</w:t>
      </w:r>
      <w:r w:rsidRPr="000A2127">
        <w:rPr>
          <w:rFonts w:ascii="Times New Roman" w:hAnsi="Times New Roman" w:cs="Times New Roman"/>
          <w:sz w:val="20"/>
          <w:szCs w:val="20"/>
        </w:rPr>
        <w:t xml:space="preserve"> well-defined metabolic network relationships may lead to erroneous predictions</w:t>
      </w:r>
      <w:r w:rsidRPr="000A2127">
        <w:rPr>
          <w:rFonts w:ascii="Times New Roman" w:hAnsi="Times New Roman" w:cs="Times New Roman"/>
          <w:color w:val="000000"/>
          <w:sz w:val="20"/>
          <w:szCs w:val="20"/>
        </w:rPr>
        <w:t>. In this work, we collected the latest genome annotation data</w:t>
      </w:r>
      <w:r w:rsidRPr="000A2127">
        <w:rPr>
          <w:rFonts w:ascii="Times New Roman" w:hAnsi="Times New Roman" w:cs="Times New Roman"/>
          <w:color w:val="000000"/>
          <w:sz w:val="20"/>
        </w:rPr>
        <w:t xml:space="preserve"> and</w:t>
      </w:r>
      <w:r w:rsidRPr="000A2127">
        <w:rPr>
          <w:rFonts w:ascii="Times New Roman" w:hAnsi="Times New Roman" w:cs="Times New Roman"/>
          <w:color w:val="000000"/>
          <w:sz w:val="20"/>
          <w:szCs w:val="20"/>
        </w:rPr>
        <w:t xml:space="preserve"> filled the gaps in the metabolic network using machine learning.</w:t>
      </w:r>
      <w:r w:rsidRPr="000A2127">
        <w:rPr>
          <w:rFonts w:ascii="Times New Roman" w:hAnsi="Times New Roman" w:cs="Times New Roman"/>
          <w:color w:val="000000"/>
        </w:rPr>
        <w:t xml:space="preserve"> </w:t>
      </w:r>
      <w:r w:rsidRPr="000A2127">
        <w:rPr>
          <w:rFonts w:ascii="Times New Roman" w:hAnsi="Times New Roman" w:cs="Times New Roman"/>
          <w:color w:val="000000"/>
          <w:sz w:val="20"/>
          <w:szCs w:val="20"/>
        </w:rPr>
        <w:t xml:space="preserve">Compared with the gap filling methods used in previously reported models, AMMEDEUS conducts single-gene knockout tests starting from the growth phenotype, and iteratively fills the gaps in the model comparing to 1000 ensemble models. </w:t>
      </w:r>
      <w:r w:rsidRPr="000A2127">
        <w:rPr>
          <w:rFonts w:ascii="Times New Roman" w:hAnsi="Times New Roman" w:cs="Times New Roman"/>
          <w:sz w:val="20"/>
          <w:szCs w:val="20"/>
        </w:rPr>
        <w:t>We demonstrated that the latest</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has a more complete metabolic network, enabling it to predict gene knockout under different culture conditions containing 12 carbon and nitrogen sources with a prediction accuracy of 89.3%.</w:t>
      </w:r>
    </w:p>
    <w:p w14:paraId="0EDAD91A" w14:textId="77777777" w:rsidR="008706DD" w:rsidRPr="000A2127" w:rsidRDefault="008706DD">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 xml:space="preserve">Although tools for building multi-constraints models have been developed, such as ETGEM </w:t>
      </w:r>
      <w:r w:rsidRPr="000A2127">
        <w:rPr>
          <w:rFonts w:ascii="Times New Roman" w:hAnsi="Times New Roman" w:cs="Times New Roman"/>
          <w:noProof/>
          <w:sz w:val="20"/>
          <w:szCs w:val="20"/>
        </w:rPr>
        <w:t>(Yang et al., 2021)</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ETFL </w:t>
      </w:r>
      <w:r w:rsidRPr="000A2127">
        <w:rPr>
          <w:rFonts w:ascii="Times New Roman" w:hAnsi="Times New Roman" w:cs="Times New Roman"/>
          <w:noProof/>
          <w:sz w:val="20"/>
          <w:szCs w:val="20"/>
        </w:rPr>
        <w:t>(Oftadeh et al., 2021)</w:t>
      </w:r>
      <w:r w:rsidRPr="000A2127">
        <w:rPr>
          <w:rFonts w:ascii="Times New Roman" w:hAnsi="Times New Roman" w:cs="Times New Roman"/>
          <w:sz w:val="20"/>
          <w:szCs w:val="20"/>
        </w:rPr>
        <w:t>, nonexperts still need to spend a substantial amount of time learning different programming languages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toolkits. Most importantly, the application of these toolkits in model building often results in errors, which may not be resolved by unskilled users. Here, we created the first visual code-free model building</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analysis software (Model Tool) based on the core code of multiple toolkits.</w:t>
      </w:r>
      <w:r w:rsidRPr="000A2127">
        <w:rPr>
          <w:rFonts w:ascii="Times New Roman" w:hAnsi="Times New Roman" w:cs="Times New Roman"/>
        </w:rPr>
        <w:t xml:space="preserve"> </w:t>
      </w:r>
      <w:r w:rsidRPr="000A2127">
        <w:rPr>
          <w:rFonts w:ascii="Times New Roman" w:hAnsi="Times New Roman" w:cs="Times New Roman"/>
          <w:sz w:val="20"/>
          <w:szCs w:val="20"/>
        </w:rPr>
        <w:t>Model Tool improves multi-constraints model building and analysis by reducing error transfer between multiple types of constraints, providing data from multiple databases, and designing multi-input analysis methods. Users can follow buttons and pop-up prompts for the code-free visualization of modeling and analysis (</w:t>
      </w:r>
      <w:r w:rsidRPr="000A2127">
        <w:rPr>
          <w:rFonts w:ascii="Times New Roman" w:hAnsi="Times New Roman" w:cs="Times New Roman"/>
          <w:sz w:val="20"/>
        </w:rPr>
        <w:t>Fig.</w:t>
      </w:r>
      <w:r w:rsidRPr="000A2127">
        <w:rPr>
          <w:rFonts w:ascii="Times New Roman" w:hAnsi="Times New Roman" w:cs="Times New Roman"/>
          <w:sz w:val="20"/>
          <w:szCs w:val="20"/>
        </w:rPr>
        <w:t xml:space="preserve"> S8). Notably, all modules of the software can be freely combined to build different models according to the needs of the users. Users no longer need to spend </w:t>
      </w:r>
      <w:r w:rsidRPr="000A2127">
        <w:rPr>
          <w:rFonts w:ascii="Times New Roman" w:hAnsi="Times New Roman" w:cs="Times New Roman"/>
          <w:sz w:val="20"/>
          <w:szCs w:val="20"/>
        </w:rPr>
        <w:lastRenderedPageBreak/>
        <w:t>time learning specific codes or solving problems when using different scripts. In the future, Model Tool can be expanded to include new modules with novel functionalities.</w:t>
      </w:r>
    </w:p>
    <w:p w14:paraId="7CC76513" w14:textId="77777777" w:rsidR="008706DD" w:rsidRPr="000A2127" w:rsidRDefault="008706DD">
      <w:pPr>
        <w:spacing w:line="480" w:lineRule="auto"/>
        <w:ind w:firstLineChars="200" w:firstLine="400"/>
        <w:rPr>
          <w:rFonts w:ascii="Times New Roman" w:hAnsi="Times New Roman" w:cs="Times New Roman"/>
          <w:sz w:val="20"/>
          <w:szCs w:val="20"/>
        </w:rPr>
      </w:pPr>
      <w:bookmarkStart w:id="32" w:name="OLE_LINK3"/>
      <w:r w:rsidRPr="000A2127">
        <w:rPr>
          <w:rFonts w:ascii="Times New Roman" w:hAnsi="Times New Roman" w:cs="Times New Roman"/>
          <w:sz w:val="20"/>
          <w:szCs w:val="20"/>
        </w:rPr>
        <w:t>The applications of GEMs to metabolic engineering are often limited by the lack of regulatory constraints. In this work, we used Model Tool on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to construct the first comprehensive multiscale metabolic model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which integrates enzymatic constraints,</w:t>
      </w:r>
      <w:r w:rsidRPr="000A2127">
        <w:rPr>
          <w:rFonts w:ascii="Times New Roman" w:hAnsi="Times New Roman" w:cs="Times New Roman"/>
          <w:sz w:val="20"/>
        </w:rPr>
        <w:t xml:space="preserve"> </w:t>
      </w:r>
      <w:r w:rsidRPr="000A2127">
        <w:rPr>
          <w:rFonts w:ascii="Times New Roman" w:hAnsi="Times New Roman" w:cs="Times New Roman"/>
          <w:sz w:val="20"/>
          <w:szCs w:val="20"/>
        </w:rPr>
        <w:t xml:space="preserve">thermodynamic constraints, </w:t>
      </w:r>
      <w:r w:rsidRPr="000A2127">
        <w:rPr>
          <w:rFonts w:ascii="Times New Roman" w:hAnsi="Times New Roman" w:cs="Times New Roman"/>
          <w:sz w:val="20"/>
        </w:rPr>
        <w:t xml:space="preserve">and </w:t>
      </w:r>
      <w:r w:rsidRPr="000A2127">
        <w:rPr>
          <w:rFonts w:ascii="Times New Roman" w:hAnsi="Times New Roman" w:cs="Times New Roman"/>
          <w:sz w:val="20"/>
          <w:szCs w:val="20"/>
        </w:rPr>
        <w:t>transcriptional regulation models. Our study demonstrated that introducing thermodynamic and enzymatic constraints can not only narrow down the feasible solutions in metabolic pathways but also take into account enzyme cost and thermodynamic feasibility. Moreover, we considered the perturbations of transcription factors in the model, expanding the ability of the model to predict metabolic regulation.</w:t>
      </w:r>
      <w:bookmarkEnd w:id="32"/>
      <w:r w:rsidRPr="000A2127">
        <w:rPr>
          <w:rFonts w:ascii="Times New Roman" w:hAnsi="Times New Roman" w:cs="Times New Roman"/>
        </w:rPr>
        <w:t xml:space="preserve"> </w:t>
      </w:r>
      <w:r w:rsidRPr="000A2127">
        <w:rPr>
          <w:rFonts w:ascii="Times New Roman" w:hAnsi="Times New Roman" w:cs="Times New Roman"/>
          <w:sz w:val="20"/>
          <w:szCs w:val="20"/>
        </w:rPr>
        <w:t>As a proof of concept, we used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to design an</w:t>
      </w:r>
      <w:r w:rsidRPr="000A2127">
        <w:rPr>
          <w:rFonts w:ascii="Times New Roman" w:hAnsi="Times New Roman" w:cs="Times New Roman"/>
          <w:i/>
          <w:iCs/>
          <w:sz w:val="20"/>
          <w:szCs w:val="20"/>
        </w:rPr>
        <w:t xml:space="preserve"> in silico</w:t>
      </w:r>
      <w:r w:rsidRPr="000A2127">
        <w:rPr>
          <w:rFonts w:ascii="Times New Roman" w:hAnsi="Times New Roman" w:cs="Times New Roman"/>
          <w:sz w:val="20"/>
          <w:szCs w:val="20"/>
        </w:rPr>
        <w:t xml:space="preserve"> strategy that once implemented experimentally increased for the production of MK-7.</w:t>
      </w:r>
    </w:p>
    <w:p w14:paraId="7221A3CE" w14:textId="06E26877" w:rsidR="000B40B4" w:rsidRDefault="008706DD" w:rsidP="000B40B4">
      <w:pPr>
        <w:spacing w:line="480" w:lineRule="auto"/>
        <w:ind w:firstLineChars="200" w:firstLine="400"/>
        <w:rPr>
          <w:rFonts w:ascii="Times New Roman" w:hAnsi="Times New Roman" w:cs="Times New Roman"/>
          <w:sz w:val="20"/>
          <w:szCs w:val="20"/>
        </w:rPr>
      </w:pPr>
      <w:r w:rsidRPr="000A2127">
        <w:rPr>
          <w:rFonts w:ascii="Times New Roman" w:hAnsi="Times New Roman" w:cs="Times New Roman"/>
          <w:sz w:val="20"/>
          <w:szCs w:val="20"/>
        </w:rPr>
        <w:t>Overall,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can serve as a tool for improving our understanding of genotype–phenotype relationships</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guide the computational design of metabolic engineering strategies for improved bioproduction. However, there are still limitations, such as the fact that the prediction </w:t>
      </w:r>
      <w:proofErr w:type="spellStart"/>
      <w:r w:rsidRPr="000A2127">
        <w:rPr>
          <w:rFonts w:ascii="Times New Roman" w:hAnsi="Times New Roman" w:cs="Times New Roman"/>
          <w:sz w:val="20"/>
          <w:szCs w:val="20"/>
        </w:rPr>
        <w:t>capcity</w:t>
      </w:r>
      <w:proofErr w:type="spellEnd"/>
      <w:r w:rsidRPr="000A2127">
        <w:rPr>
          <w:rFonts w:ascii="Times New Roman" w:hAnsi="Times New Roman" w:cs="Times New Roman"/>
          <w:sz w:val="20"/>
          <w:szCs w:val="20"/>
        </w:rPr>
        <w:t xml:space="preserve"> of the multi-constraints metabolic model is limited to those conditions used to constraint the model and cannot dynamically predict the growth</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metabolism. In future work,</w:t>
      </w:r>
      <w:r w:rsidRPr="000A2127">
        <w:rPr>
          <w:rFonts w:ascii="Times New Roman" w:hAnsi="Times New Roman" w:cs="Times New Roman"/>
          <w:sz w:val="20"/>
        </w:rPr>
        <w:t xml:space="preserve"> the use of </w:t>
      </w:r>
      <w:r w:rsidRPr="000A2127">
        <w:rPr>
          <w:rFonts w:ascii="Times New Roman" w:hAnsi="Times New Roman" w:cs="Times New Roman"/>
          <w:sz w:val="20"/>
          <w:szCs w:val="20"/>
        </w:rPr>
        <w:t xml:space="preserve">machine learning to analyze models in dynamic environments will provide more valuable insights on the regulatory mechanisms in </w:t>
      </w:r>
      <w:r w:rsidRPr="000A2127">
        <w:rPr>
          <w:rFonts w:ascii="Times New Roman" w:hAnsi="Times New Roman" w:cs="Times New Roman"/>
          <w:i/>
          <w:iCs/>
          <w:sz w:val="20"/>
          <w:szCs w:val="20"/>
        </w:rPr>
        <w:t xml:space="preserve">B. subtilis </w:t>
      </w:r>
      <w:r w:rsidRPr="000A2127">
        <w:rPr>
          <w:rFonts w:ascii="Times New Roman" w:hAnsi="Times New Roman" w:cs="Times New Roman"/>
          <w:noProof/>
          <w:sz w:val="20"/>
          <w:szCs w:val="20"/>
        </w:rPr>
        <w:t>(Vohradsky et al., 2021)</w:t>
      </w:r>
      <w:r w:rsidRPr="000A2127">
        <w:rPr>
          <w:rFonts w:ascii="Times New Roman" w:hAnsi="Times New Roman" w:cs="Times New Roman"/>
          <w:sz w:val="20"/>
          <w:szCs w:val="20"/>
        </w:rPr>
        <w:t>. We envision that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may act as the basis for the constructing of a whole-cell model of</w:t>
      </w:r>
      <w:r w:rsidRPr="000A2127">
        <w:rPr>
          <w:rFonts w:ascii="Times New Roman" w:hAnsi="Times New Roman" w:cs="Times New Roman"/>
          <w:i/>
          <w:iCs/>
          <w:sz w:val="20"/>
          <w:szCs w:val="20"/>
        </w:rPr>
        <w:t xml:space="preserve"> B. subtilis</w:t>
      </w:r>
      <w:r w:rsidRPr="000A2127">
        <w:rPr>
          <w:rFonts w:ascii="Times New Roman" w:hAnsi="Times New Roman" w:cs="Times New Roman"/>
          <w:sz w:val="20"/>
          <w:szCs w:val="20"/>
        </w:rPr>
        <w:t>, integrating multiple frameworks to dynamically simulate the entire cell life cycle using deep learning,</w:t>
      </w:r>
      <w:r w:rsidRPr="000A2127">
        <w:rPr>
          <w:rFonts w:ascii="Times New Roman" w:hAnsi="Times New Roman" w:cs="Times New Roman"/>
          <w:sz w:val="20"/>
        </w:rPr>
        <w:t xml:space="preserve"> </w:t>
      </w:r>
      <w:r w:rsidRPr="000A2127">
        <w:rPr>
          <w:rFonts w:ascii="Times New Roman" w:hAnsi="Times New Roman" w:cs="Times New Roman"/>
          <w:sz w:val="20"/>
          <w:szCs w:val="20"/>
        </w:rPr>
        <w:t xml:space="preserve">as it has been achieved in </w:t>
      </w:r>
      <w:r w:rsidRPr="000A2127">
        <w:rPr>
          <w:rFonts w:ascii="Times New Roman" w:hAnsi="Times New Roman" w:cs="Times New Roman"/>
          <w:i/>
          <w:iCs/>
          <w:sz w:val="20"/>
          <w:szCs w:val="20"/>
        </w:rPr>
        <w:t>E. coli</w:t>
      </w:r>
      <w:r w:rsidRPr="000A2127">
        <w:rPr>
          <w:rFonts w:ascii="Times New Roman" w:hAnsi="Times New Roman" w:cs="Times New Roman"/>
          <w:sz w:val="20"/>
          <w:szCs w:val="20"/>
        </w:rPr>
        <w:t xml:space="preserve"> </w:t>
      </w:r>
      <w:r w:rsidRPr="000A2127">
        <w:rPr>
          <w:rFonts w:ascii="Times New Roman" w:hAnsi="Times New Roman" w:cs="Times New Roman"/>
          <w:noProof/>
          <w:sz w:val="20"/>
          <w:szCs w:val="20"/>
        </w:rPr>
        <w:t>(Macklin et al., 2020)</w:t>
      </w:r>
      <w:r w:rsidRPr="000A2127">
        <w:rPr>
          <w:rFonts w:ascii="Times New Roman" w:hAnsi="Times New Roman" w:cs="Times New Roman"/>
          <w:sz w:val="20"/>
          <w:szCs w:val="20"/>
        </w:rPr>
        <w:t>. In summary, the comprehensive multiscale model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provides insights on the growth</w:t>
      </w:r>
      <w:r w:rsidRPr="000A2127">
        <w:rPr>
          <w:rFonts w:ascii="Times New Roman" w:hAnsi="Times New Roman" w:cs="Times New Roman"/>
          <w:sz w:val="20"/>
        </w:rPr>
        <w:t xml:space="preserve"> and</w:t>
      </w:r>
      <w:r w:rsidRPr="000A2127">
        <w:rPr>
          <w:rFonts w:ascii="Times New Roman" w:hAnsi="Times New Roman" w:cs="Times New Roman"/>
          <w:sz w:val="20"/>
          <w:szCs w:val="20"/>
        </w:rPr>
        <w:t xml:space="preserve"> metabolism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 xml:space="preserve"> </w:t>
      </w:r>
      <w:r w:rsidRPr="000A2127">
        <w:rPr>
          <w:rFonts w:ascii="Times New Roman" w:hAnsi="Times New Roman" w:cs="Times New Roman"/>
          <w:sz w:val="20"/>
        </w:rPr>
        <w:t>and</w:t>
      </w:r>
      <w:r w:rsidRPr="000A2127">
        <w:rPr>
          <w:rFonts w:ascii="Times New Roman" w:hAnsi="Times New Roman" w:cs="Times New Roman"/>
          <w:sz w:val="20"/>
          <w:szCs w:val="20"/>
        </w:rPr>
        <w:t xml:space="preserve"> can help rationally design strains for metabolic engineering applications.</w:t>
      </w:r>
      <w:r w:rsidRPr="000A2127">
        <w:rPr>
          <w:rFonts w:ascii="Times New Roman" w:hAnsi="Times New Roman" w:cs="Times New Roman"/>
        </w:rPr>
        <w:t xml:space="preserve"> </w:t>
      </w:r>
      <w:r w:rsidRPr="000A2127">
        <w:rPr>
          <w:rFonts w:ascii="Times New Roman" w:hAnsi="Times New Roman" w:cs="Times New Roman"/>
          <w:sz w:val="20"/>
          <w:szCs w:val="20"/>
        </w:rPr>
        <w:t xml:space="preserve">We anticipate that </w:t>
      </w:r>
      <w:r w:rsidRPr="000A2127">
        <w:rPr>
          <w:rFonts w:ascii="Times New Roman" w:hAnsi="Times New Roman" w:cs="Times New Roman"/>
          <w:sz w:val="20"/>
          <w:szCs w:val="20"/>
        </w:rPr>
        <w:lastRenderedPageBreak/>
        <w:t>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will serve as a powerful computation platform for both fundamental studies and </w:t>
      </w:r>
      <w:r w:rsidRPr="000A2127">
        <w:rPr>
          <w:rFonts w:ascii="Times New Roman" w:hAnsi="Times New Roman" w:cs="Times New Roman"/>
          <w:i/>
          <w:iCs/>
          <w:sz w:val="20"/>
          <w:szCs w:val="20"/>
        </w:rPr>
        <w:t>in silico</w:t>
      </w:r>
      <w:r w:rsidRPr="000A2127">
        <w:rPr>
          <w:rFonts w:ascii="Times New Roman" w:hAnsi="Times New Roman" w:cs="Times New Roman"/>
          <w:sz w:val="20"/>
          <w:szCs w:val="20"/>
        </w:rPr>
        <w:t xml:space="preserve"> cell factory design of </w:t>
      </w:r>
      <w:r w:rsidRPr="000A2127">
        <w:rPr>
          <w:rFonts w:ascii="Times New Roman" w:hAnsi="Times New Roman" w:cs="Times New Roman"/>
          <w:i/>
          <w:iCs/>
          <w:sz w:val="20"/>
          <w:szCs w:val="20"/>
        </w:rPr>
        <w:t>B. subtilis</w:t>
      </w:r>
      <w:r w:rsidRPr="000A2127">
        <w:rPr>
          <w:rFonts w:ascii="Times New Roman" w:hAnsi="Times New Roman" w:cs="Times New Roman"/>
          <w:sz w:val="20"/>
          <w:szCs w:val="20"/>
        </w:rPr>
        <w:t>.</w:t>
      </w:r>
      <w:r w:rsidR="000B40B4">
        <w:rPr>
          <w:rFonts w:ascii="Times New Roman" w:hAnsi="Times New Roman" w:cs="Times New Roman"/>
          <w:sz w:val="20"/>
          <w:szCs w:val="20"/>
        </w:rPr>
        <w:br w:type="page"/>
      </w:r>
    </w:p>
    <w:p w14:paraId="5EE81589" w14:textId="5F5D8AE2" w:rsidR="000B40B4" w:rsidRPr="00F17FED" w:rsidRDefault="000B40B4" w:rsidP="00F17FED">
      <w:pPr>
        <w:pStyle w:val="Title"/>
        <w:spacing w:before="156" w:after="120"/>
        <w:ind w:left="714" w:hanging="714"/>
        <w:rPr>
          <w:rFonts w:cs="Arial"/>
        </w:rPr>
      </w:pPr>
      <w:r w:rsidRPr="00D20D9A">
        <w:rPr>
          <w:rFonts w:cs="Arial"/>
        </w:rPr>
        <w:lastRenderedPageBreak/>
        <w:t>ACKNOWLEDGMENTS</w:t>
      </w:r>
    </w:p>
    <w:p w14:paraId="779D83EE" w14:textId="6BA7448B" w:rsidR="008E072D" w:rsidRDefault="008E072D" w:rsidP="000B40B4">
      <w:pPr>
        <w:spacing w:line="480" w:lineRule="auto"/>
        <w:ind w:firstLineChars="200" w:firstLine="400"/>
        <w:rPr>
          <w:rFonts w:ascii="Times New Roman" w:hAnsi="Times New Roman" w:cs="Times New Roman"/>
          <w:sz w:val="20"/>
          <w:szCs w:val="20"/>
        </w:rPr>
      </w:pPr>
      <w:r w:rsidRPr="008E072D">
        <w:rPr>
          <w:rFonts w:ascii="Times New Roman" w:hAnsi="Times New Roman" w:cs="Times New Roman"/>
          <w:sz w:val="20"/>
          <w:szCs w:val="20"/>
        </w:rPr>
        <w:t>This work was financially supported by the Key Research and Development Program of China (2020YFA0908300), the National Natural Science Foundation of China (31870069</w:t>
      </w:r>
      <w:r>
        <w:rPr>
          <w:rFonts w:ascii="Times New Roman" w:hAnsi="Times New Roman" w:cs="Times New Roman"/>
          <w:sz w:val="20"/>
          <w:szCs w:val="20"/>
        </w:rPr>
        <w:t xml:space="preserve"> and </w:t>
      </w:r>
      <w:r w:rsidRPr="008E072D">
        <w:rPr>
          <w:rFonts w:ascii="Times New Roman" w:hAnsi="Times New Roman" w:cs="Times New Roman"/>
          <w:sz w:val="20"/>
          <w:szCs w:val="20"/>
        </w:rPr>
        <w:t xml:space="preserve">32021005), and the Fundamental Research Funds for the Central Universities </w:t>
      </w:r>
      <w:r w:rsidR="00F17FED" w:rsidRPr="00F17FED">
        <w:rPr>
          <w:rFonts w:ascii="Times New Roman" w:hAnsi="Times New Roman" w:cs="Times New Roman"/>
          <w:sz w:val="20"/>
          <w:szCs w:val="20"/>
        </w:rPr>
        <w:t>(JUSRP121010, JUSRP52019A, JUSRP221013,</w:t>
      </w:r>
      <w:r w:rsidR="00F17FED">
        <w:rPr>
          <w:rFonts w:ascii="Times New Roman" w:hAnsi="Times New Roman" w:cs="Times New Roman"/>
          <w:sz w:val="20"/>
          <w:szCs w:val="20"/>
        </w:rPr>
        <w:t xml:space="preserve"> and</w:t>
      </w:r>
      <w:r w:rsidR="00F17FED" w:rsidRPr="00F17FED">
        <w:rPr>
          <w:rFonts w:ascii="Times New Roman" w:hAnsi="Times New Roman" w:cs="Times New Roman"/>
          <w:sz w:val="20"/>
          <w:szCs w:val="20"/>
        </w:rPr>
        <w:t xml:space="preserve"> SKLF-ZZB-202106).</w:t>
      </w:r>
    </w:p>
    <w:p w14:paraId="0AFD84CE" w14:textId="44500559" w:rsidR="00FD3B33" w:rsidRDefault="00FD3B33" w:rsidP="00FD3B33">
      <w:pPr>
        <w:pStyle w:val="Title"/>
        <w:spacing w:before="156" w:after="120"/>
        <w:ind w:left="714" w:hanging="714"/>
        <w:rPr>
          <w:rFonts w:ascii="Times New Roman" w:hAnsi="Times New Roman" w:cs="Times New Roman"/>
          <w:szCs w:val="20"/>
        </w:rPr>
      </w:pPr>
      <w:r w:rsidRPr="00FD3B33">
        <w:rPr>
          <w:rFonts w:cs="Arial"/>
        </w:rPr>
        <w:t>AUTHOR CONTRIBUTIONS</w:t>
      </w:r>
    </w:p>
    <w:p w14:paraId="004864B2" w14:textId="518A644D" w:rsidR="00A37F7A" w:rsidRDefault="007476BF" w:rsidP="00F72419">
      <w:pPr>
        <w:spacing w:line="480" w:lineRule="auto"/>
        <w:ind w:firstLineChars="200" w:firstLine="400"/>
        <w:rPr>
          <w:rFonts w:ascii="Times New Roman" w:hAnsi="Times New Roman" w:cs="Times New Roman"/>
          <w:sz w:val="20"/>
          <w:szCs w:val="20"/>
        </w:rPr>
      </w:pPr>
      <w:r>
        <w:rPr>
          <w:rFonts w:ascii="Times New Roman" w:hAnsi="Times New Roman" w:cs="Times New Roman"/>
          <w:sz w:val="20"/>
          <w:szCs w:val="20"/>
        </w:rPr>
        <w:t>X</w:t>
      </w:r>
      <w:r w:rsidR="00FD3B33" w:rsidRPr="00FD3B33">
        <w:rPr>
          <w:rFonts w:ascii="Times New Roman" w:hAnsi="Times New Roman" w:cs="Times New Roman"/>
          <w:sz w:val="20"/>
          <w:szCs w:val="20"/>
        </w:rPr>
        <w:t>.Y.</w:t>
      </w:r>
      <w:r>
        <w:rPr>
          <w:rFonts w:ascii="Times New Roman" w:hAnsi="Times New Roman" w:cs="Times New Roman"/>
          <w:sz w:val="20"/>
          <w:szCs w:val="20"/>
        </w:rPr>
        <w:t>B.</w:t>
      </w:r>
      <w:r w:rsidR="00FD3B33" w:rsidRPr="00FD3B33">
        <w:rPr>
          <w:rFonts w:ascii="Times New Roman" w:hAnsi="Times New Roman" w:cs="Times New Roman"/>
          <w:sz w:val="20"/>
          <w:szCs w:val="20"/>
        </w:rPr>
        <w:t xml:space="preserve">, </w:t>
      </w:r>
      <w:r w:rsidR="00A37F7A">
        <w:rPr>
          <w:rFonts w:ascii="Times New Roman" w:hAnsi="Times New Roman" w:cs="Times New Roman"/>
          <w:sz w:val="20"/>
          <w:szCs w:val="20"/>
        </w:rPr>
        <w:t xml:space="preserve">J.C. </w:t>
      </w:r>
      <w:r w:rsidR="00FD3B33" w:rsidRPr="00FD3B33">
        <w:rPr>
          <w:rFonts w:ascii="Times New Roman" w:hAnsi="Times New Roman" w:cs="Times New Roman"/>
          <w:sz w:val="20"/>
          <w:szCs w:val="20"/>
        </w:rPr>
        <w:t xml:space="preserve">and </w:t>
      </w:r>
      <w:r>
        <w:rPr>
          <w:rFonts w:ascii="Times New Roman" w:hAnsi="Times New Roman" w:cs="Times New Roman"/>
          <w:sz w:val="20"/>
          <w:szCs w:val="20"/>
        </w:rPr>
        <w:t>L</w:t>
      </w:r>
      <w:r w:rsidR="00FD3B33" w:rsidRPr="00FD3B33">
        <w:rPr>
          <w:rFonts w:ascii="Times New Roman" w:hAnsi="Times New Roman" w:cs="Times New Roman"/>
          <w:sz w:val="20"/>
          <w:szCs w:val="20"/>
        </w:rPr>
        <w:t xml:space="preserve">.L. proposed the concept </w:t>
      </w:r>
      <w:r w:rsidR="00A37F7A">
        <w:rPr>
          <w:rFonts w:ascii="Times New Roman" w:hAnsi="Times New Roman" w:cs="Times New Roman"/>
          <w:sz w:val="20"/>
          <w:szCs w:val="20"/>
        </w:rPr>
        <w:t xml:space="preserve">of </w:t>
      </w:r>
      <w:r w:rsidR="00A37F7A" w:rsidRPr="00A37F7A">
        <w:rPr>
          <w:rFonts w:ascii="Times New Roman" w:hAnsi="Times New Roman" w:cs="Times New Roman"/>
          <w:sz w:val="20"/>
          <w:szCs w:val="20"/>
        </w:rPr>
        <w:t xml:space="preserve">comprehensive multiscale metabolic model for </w:t>
      </w:r>
      <w:r w:rsidR="00A37F7A" w:rsidRPr="00A37F7A">
        <w:rPr>
          <w:rFonts w:ascii="Times New Roman" w:hAnsi="Times New Roman" w:cs="Times New Roman"/>
          <w:i/>
          <w:iCs/>
          <w:sz w:val="20"/>
          <w:szCs w:val="20"/>
        </w:rPr>
        <w:t>Bacillus subtilis</w:t>
      </w:r>
      <w:r w:rsidR="00FD3B33" w:rsidRPr="00FD3B33">
        <w:rPr>
          <w:rFonts w:ascii="Times New Roman" w:hAnsi="Times New Roman" w:cs="Times New Roman"/>
          <w:sz w:val="20"/>
          <w:szCs w:val="20"/>
        </w:rPr>
        <w:t xml:space="preserve">. </w:t>
      </w:r>
      <w:r w:rsidR="00A37F7A">
        <w:rPr>
          <w:rFonts w:ascii="Times New Roman" w:hAnsi="Times New Roman" w:cs="Times New Roman"/>
          <w:sz w:val="20"/>
          <w:szCs w:val="20"/>
        </w:rPr>
        <w:t>X</w:t>
      </w:r>
      <w:r w:rsidR="00FD3B33" w:rsidRPr="00FD3B33">
        <w:rPr>
          <w:rFonts w:ascii="Times New Roman" w:hAnsi="Times New Roman" w:cs="Times New Roman"/>
          <w:sz w:val="20"/>
          <w:szCs w:val="20"/>
        </w:rPr>
        <w:t>.Y.</w:t>
      </w:r>
      <w:r w:rsidR="00A37F7A">
        <w:rPr>
          <w:rFonts w:ascii="Times New Roman" w:hAnsi="Times New Roman" w:cs="Times New Roman"/>
          <w:sz w:val="20"/>
          <w:szCs w:val="20"/>
        </w:rPr>
        <w:t>B. and Y</w:t>
      </w:r>
      <w:r w:rsidR="00FD3B33" w:rsidRPr="00FD3B33">
        <w:rPr>
          <w:rFonts w:ascii="Times New Roman" w:hAnsi="Times New Roman" w:cs="Times New Roman"/>
          <w:sz w:val="20"/>
          <w:szCs w:val="20"/>
        </w:rPr>
        <w:t>.</w:t>
      </w:r>
      <w:r w:rsidR="00A37F7A">
        <w:rPr>
          <w:rFonts w:ascii="Times New Roman" w:hAnsi="Times New Roman" w:cs="Times New Roman"/>
          <w:sz w:val="20"/>
          <w:szCs w:val="20"/>
        </w:rPr>
        <w:t>C</w:t>
      </w:r>
      <w:r w:rsidR="00FD3B33" w:rsidRPr="00FD3B33">
        <w:rPr>
          <w:rFonts w:ascii="Times New Roman" w:hAnsi="Times New Roman" w:cs="Times New Roman"/>
          <w:sz w:val="20"/>
          <w:szCs w:val="20"/>
        </w:rPr>
        <w:t xml:space="preserve">. </w:t>
      </w:r>
      <w:r w:rsidR="00426117">
        <w:rPr>
          <w:rFonts w:ascii="Times New Roman" w:hAnsi="Times New Roman" w:cs="Times New Roman"/>
          <w:sz w:val="20"/>
          <w:szCs w:val="20"/>
        </w:rPr>
        <w:t>re</w:t>
      </w:r>
      <w:r w:rsidR="00426117" w:rsidRPr="00426117">
        <w:rPr>
          <w:rFonts w:ascii="Times New Roman" w:hAnsi="Times New Roman" w:cs="Times New Roman"/>
          <w:sz w:val="20"/>
          <w:szCs w:val="20"/>
        </w:rPr>
        <w:t>construct</w:t>
      </w:r>
      <w:r w:rsidR="00426117">
        <w:rPr>
          <w:rFonts w:ascii="Times New Roman" w:hAnsi="Times New Roman" w:cs="Times New Roman"/>
          <w:sz w:val="20"/>
          <w:szCs w:val="20"/>
        </w:rPr>
        <w:t>ed</w:t>
      </w:r>
      <w:r w:rsidR="00426117" w:rsidRPr="00426117">
        <w:rPr>
          <w:rFonts w:ascii="Times New Roman" w:hAnsi="Times New Roman" w:cs="Times New Roman"/>
          <w:sz w:val="20"/>
          <w:szCs w:val="20"/>
        </w:rPr>
        <w:t xml:space="preserve"> the model</w:t>
      </w:r>
      <w:r w:rsidR="00FD3B33" w:rsidRPr="00FD3B33">
        <w:rPr>
          <w:rFonts w:ascii="Times New Roman" w:hAnsi="Times New Roman" w:cs="Times New Roman"/>
          <w:sz w:val="20"/>
          <w:szCs w:val="20"/>
        </w:rPr>
        <w:t xml:space="preserve">. </w:t>
      </w:r>
      <w:r w:rsidR="00426117">
        <w:rPr>
          <w:rFonts w:ascii="Times New Roman" w:hAnsi="Times New Roman" w:cs="Times New Roman"/>
          <w:sz w:val="20"/>
          <w:szCs w:val="20"/>
        </w:rPr>
        <w:t>X</w:t>
      </w:r>
      <w:r w:rsidR="00426117" w:rsidRPr="00FD3B33">
        <w:rPr>
          <w:rFonts w:ascii="Times New Roman" w:hAnsi="Times New Roman" w:cs="Times New Roman"/>
          <w:sz w:val="20"/>
          <w:szCs w:val="20"/>
        </w:rPr>
        <w:t>.Y.</w:t>
      </w:r>
      <w:r w:rsidR="00426117">
        <w:rPr>
          <w:rFonts w:ascii="Times New Roman" w:hAnsi="Times New Roman" w:cs="Times New Roman"/>
          <w:sz w:val="20"/>
          <w:szCs w:val="20"/>
        </w:rPr>
        <w:t>B., X.H.X. and X.Q.L</w:t>
      </w:r>
      <w:r w:rsidR="00FD3B33" w:rsidRPr="00FD3B33">
        <w:rPr>
          <w:rFonts w:ascii="Times New Roman" w:hAnsi="Times New Roman" w:cs="Times New Roman"/>
          <w:sz w:val="20"/>
          <w:szCs w:val="20"/>
        </w:rPr>
        <w:t xml:space="preserve"> carried out model </w:t>
      </w:r>
      <w:r w:rsidR="00426117" w:rsidRPr="00426117">
        <w:rPr>
          <w:rFonts w:ascii="Times New Roman" w:hAnsi="Times New Roman" w:cs="Times New Roman"/>
          <w:sz w:val="20"/>
          <w:szCs w:val="20"/>
        </w:rPr>
        <w:t>optimization</w:t>
      </w:r>
      <w:r w:rsidR="00FD3B33" w:rsidRPr="00FD3B33">
        <w:rPr>
          <w:rFonts w:ascii="Times New Roman" w:hAnsi="Times New Roman" w:cs="Times New Roman"/>
          <w:sz w:val="20"/>
          <w:szCs w:val="20"/>
        </w:rPr>
        <w:t xml:space="preserve">. </w:t>
      </w:r>
      <w:r w:rsidR="00426117">
        <w:rPr>
          <w:rFonts w:ascii="Times New Roman" w:hAnsi="Times New Roman" w:cs="Times New Roman"/>
          <w:sz w:val="20"/>
          <w:szCs w:val="20"/>
        </w:rPr>
        <w:t>Y.F.L</w:t>
      </w:r>
      <w:r w:rsidR="00FD3B33" w:rsidRPr="00FD3B33">
        <w:rPr>
          <w:rFonts w:ascii="Times New Roman" w:hAnsi="Times New Roman" w:cs="Times New Roman"/>
          <w:sz w:val="20"/>
          <w:szCs w:val="20"/>
        </w:rPr>
        <w:t>.</w:t>
      </w:r>
      <w:r w:rsidR="00F72419">
        <w:rPr>
          <w:rFonts w:ascii="Times New Roman" w:hAnsi="Times New Roman" w:cs="Times New Roman"/>
          <w:sz w:val="20"/>
          <w:szCs w:val="20"/>
        </w:rPr>
        <w:t>,</w:t>
      </w:r>
      <w:r w:rsidR="00426117">
        <w:rPr>
          <w:rFonts w:ascii="Times New Roman" w:hAnsi="Times New Roman" w:cs="Times New Roman"/>
          <w:sz w:val="20"/>
          <w:szCs w:val="20"/>
        </w:rPr>
        <w:t xml:space="preserve"> G.C.D</w:t>
      </w:r>
      <w:r w:rsidR="00F72419">
        <w:rPr>
          <w:rFonts w:ascii="Times New Roman" w:hAnsi="Times New Roman" w:cs="Times New Roman"/>
          <w:sz w:val="20"/>
          <w:szCs w:val="20"/>
        </w:rPr>
        <w:t>, R.L.A and L.L.</w:t>
      </w:r>
      <w:r w:rsidR="00FD3B33" w:rsidRPr="00FD3B33">
        <w:rPr>
          <w:rFonts w:ascii="Times New Roman" w:hAnsi="Times New Roman" w:cs="Times New Roman"/>
          <w:sz w:val="20"/>
          <w:szCs w:val="20"/>
        </w:rPr>
        <w:t xml:space="preserve"> </w:t>
      </w:r>
      <w:r w:rsidR="00F72419" w:rsidRPr="00F72419">
        <w:rPr>
          <w:rFonts w:ascii="Times New Roman" w:hAnsi="Times New Roman" w:cs="Times New Roman"/>
          <w:sz w:val="20"/>
          <w:szCs w:val="20"/>
        </w:rPr>
        <w:t>made suggestions for the manuscript.</w:t>
      </w:r>
      <w:r w:rsidR="00FD3B33" w:rsidRPr="00FD3B33">
        <w:rPr>
          <w:rFonts w:ascii="Times New Roman" w:hAnsi="Times New Roman" w:cs="Times New Roman"/>
          <w:sz w:val="20"/>
          <w:szCs w:val="20"/>
        </w:rPr>
        <w:t xml:space="preserve"> All authors participated in writing, review and editing of</w:t>
      </w:r>
      <w:r>
        <w:rPr>
          <w:rFonts w:ascii="Times New Roman" w:hAnsi="Times New Roman" w:cs="Times New Roman" w:hint="eastAsia"/>
          <w:sz w:val="20"/>
          <w:szCs w:val="20"/>
        </w:rPr>
        <w:t xml:space="preserve"> </w:t>
      </w:r>
      <w:r w:rsidR="00FD3B33" w:rsidRPr="00FD3B33">
        <w:rPr>
          <w:rFonts w:ascii="Times New Roman" w:hAnsi="Times New Roman" w:cs="Times New Roman"/>
          <w:sz w:val="20"/>
          <w:szCs w:val="20"/>
        </w:rPr>
        <w:t>the manuscript.</w:t>
      </w:r>
    </w:p>
    <w:p w14:paraId="732A93C3" w14:textId="77777777" w:rsidR="00FD3B33" w:rsidRPr="00FD3B33" w:rsidRDefault="00FD3B33" w:rsidP="00FD3B33">
      <w:pPr>
        <w:pStyle w:val="Title"/>
        <w:spacing w:before="156" w:after="120"/>
        <w:ind w:left="714" w:hanging="714"/>
        <w:rPr>
          <w:rFonts w:ascii="Times New Roman" w:hAnsi="Times New Roman" w:cs="Times New Roman"/>
          <w:szCs w:val="20"/>
        </w:rPr>
      </w:pPr>
      <w:r w:rsidRPr="00FD3B33">
        <w:rPr>
          <w:rFonts w:cs="Arial"/>
        </w:rPr>
        <w:t>Competing interests</w:t>
      </w:r>
    </w:p>
    <w:p w14:paraId="25A5B1F8" w14:textId="43739EFE" w:rsidR="00FD3B33" w:rsidRPr="008E072D" w:rsidRDefault="00FD3B33" w:rsidP="00FD3B33">
      <w:pPr>
        <w:spacing w:line="480" w:lineRule="auto"/>
        <w:rPr>
          <w:rFonts w:ascii="Times New Roman" w:hAnsi="Times New Roman" w:cs="Times New Roman"/>
          <w:sz w:val="20"/>
          <w:szCs w:val="20"/>
        </w:rPr>
      </w:pPr>
      <w:r w:rsidRPr="00FD3B33">
        <w:rPr>
          <w:rFonts w:ascii="Times New Roman" w:hAnsi="Times New Roman" w:cs="Times New Roman"/>
          <w:sz w:val="20"/>
          <w:szCs w:val="20"/>
        </w:rPr>
        <w:t>The authors declare no competing interests.</w:t>
      </w:r>
    </w:p>
    <w:p w14:paraId="1BD420BF" w14:textId="77777777" w:rsidR="000B40B4" w:rsidRDefault="000B40B4">
      <w:pPr>
        <w:widowControl/>
        <w:jc w:val="left"/>
        <w:rPr>
          <w:rFonts w:cs="Arial"/>
        </w:rPr>
      </w:pPr>
      <w:r>
        <w:rPr>
          <w:rFonts w:cs="Arial"/>
        </w:rPr>
        <w:br w:type="page"/>
      </w:r>
    </w:p>
    <w:p w14:paraId="01BBBAD5" w14:textId="6D0D91F1" w:rsidR="008706DD" w:rsidRPr="000A2127" w:rsidRDefault="00622E2F">
      <w:pPr>
        <w:pStyle w:val="Heading1"/>
        <w:spacing w:line="480" w:lineRule="auto"/>
        <w:rPr>
          <w:rFonts w:ascii="Times New Roman" w:hAnsi="Times New Roman" w:cs="Times New Roman"/>
          <w:szCs w:val="20"/>
        </w:rPr>
      </w:pPr>
      <w:r w:rsidRPr="00D20D9A">
        <w:rPr>
          <w:rFonts w:cs="Arial"/>
        </w:rPr>
        <w:lastRenderedPageBreak/>
        <w:t>REFERENCE</w:t>
      </w:r>
      <w:r>
        <w:rPr>
          <w:rFonts w:cs="Arial"/>
        </w:rPr>
        <w:t>S</w:t>
      </w:r>
    </w:p>
    <w:p w14:paraId="19FB3188"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Arrieta-Ortiz, M. L., Hafemeister, C., Bate, A. R., Chu, T., Greenfield, A., Shuster, B., Barry, S. N., Gallitto, M., Liu, B., Kacmarczyk, T., </w:t>
      </w:r>
      <w:r w:rsidRPr="001C2D21">
        <w:rPr>
          <w:rFonts w:ascii="Times New Roman" w:hAnsi="Times New Roman" w:cs="Times New Roman" w:hint="eastAsia"/>
        </w:rPr>
        <w:t>et</w:t>
      </w:r>
      <w:r w:rsidRPr="001C2D21">
        <w:rPr>
          <w:rFonts w:ascii="Times New Roman" w:hAnsi="Times New Roman" w:cs="Times New Roman"/>
        </w:rPr>
        <w:t xml:space="preserve"> </w:t>
      </w:r>
      <w:r w:rsidRPr="001C2D21">
        <w:rPr>
          <w:rFonts w:ascii="Times New Roman" w:hAnsi="Times New Roman" w:cs="Times New Roman" w:hint="eastAsia"/>
        </w:rPr>
        <w:t>al</w:t>
      </w:r>
      <w:r w:rsidRPr="001C2D21">
        <w:rPr>
          <w:rFonts w:ascii="Times New Roman" w:hAnsi="Times New Roman" w:cs="Times New Roman"/>
        </w:rPr>
        <w:t xml:space="preserve">., 2015. An experimentally supported model of the </w:t>
      </w:r>
      <w:r w:rsidRPr="001C2D21">
        <w:rPr>
          <w:rFonts w:ascii="Times New Roman" w:hAnsi="Times New Roman" w:cs="Times New Roman"/>
          <w:i/>
          <w:iCs/>
        </w:rPr>
        <w:t>Bacillus subtilis</w:t>
      </w:r>
      <w:r w:rsidRPr="001C2D21">
        <w:rPr>
          <w:rFonts w:ascii="Times New Roman" w:hAnsi="Times New Roman" w:cs="Times New Roman"/>
        </w:rPr>
        <w:t xml:space="preserve"> global transcriptional regulatory network. </w:t>
      </w:r>
      <w:r w:rsidRPr="001C2D21">
        <w:rPr>
          <w:rFonts w:ascii="Times New Roman" w:hAnsi="Times New Roman" w:cs="Times New Roman"/>
          <w:i/>
          <w:iCs/>
        </w:rPr>
        <w:t>Mol. Syst. Biol.</w:t>
      </w:r>
      <w:r w:rsidRPr="001C2D21">
        <w:rPr>
          <w:rFonts w:ascii="Times New Roman" w:hAnsi="Times New Roman" w:cs="Times New Roman"/>
        </w:rPr>
        <w:t xml:space="preserve"> 11, 839.</w:t>
      </w:r>
    </w:p>
    <w:p w14:paraId="54A7F211"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Baranwal, M., Magner, A., Elvati, P., Saldinger, J., Violi, A., Hero, A. O., 2019. A deep learning architecture for metabolic pathway prediction. </w:t>
      </w:r>
      <w:r w:rsidRPr="001C2D21">
        <w:rPr>
          <w:rFonts w:ascii="Times New Roman" w:hAnsi="Times New Roman" w:cs="Times New Roman"/>
          <w:i/>
          <w:iCs/>
        </w:rPr>
        <w:t>Bioinformatics</w:t>
      </w:r>
      <w:r w:rsidRPr="001C2D21">
        <w:rPr>
          <w:rFonts w:ascii="Times New Roman" w:hAnsi="Times New Roman" w:cs="Times New Roman"/>
        </w:rPr>
        <w:t>. 36, 2547-2553.</w:t>
      </w:r>
    </w:p>
    <w:p w14:paraId="49FE67D7"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Barbe, V., Cruveiller, S., Kunst, F., Lenoble, P., Meurice, G., Sekowska, A., Vallenet, D., Wang, T., Moszer, I., Medigue, C., Danchin, A., 2009. From a consortium sequence to a unified sequence: the </w:t>
      </w:r>
      <w:r w:rsidRPr="001C2D21">
        <w:rPr>
          <w:rFonts w:ascii="Times New Roman" w:hAnsi="Times New Roman" w:cs="Times New Roman"/>
          <w:i/>
          <w:iCs/>
        </w:rPr>
        <w:t>Bacillus subtilis</w:t>
      </w:r>
      <w:r w:rsidRPr="001C2D21">
        <w:rPr>
          <w:rFonts w:ascii="Times New Roman" w:hAnsi="Times New Roman" w:cs="Times New Roman"/>
        </w:rPr>
        <w:t xml:space="preserve"> 168 reference genome a decade later. </w:t>
      </w:r>
      <w:r w:rsidRPr="001C2D21">
        <w:rPr>
          <w:rFonts w:ascii="Times New Roman" w:hAnsi="Times New Roman" w:cs="Times New Roman"/>
          <w:i/>
          <w:iCs/>
        </w:rPr>
        <w:t>Microbiology</w:t>
      </w:r>
      <w:r w:rsidRPr="001C2D21">
        <w:rPr>
          <w:rFonts w:ascii="Times New Roman" w:hAnsi="Times New Roman" w:cs="Times New Roman"/>
        </w:rPr>
        <w:t>. 155, 1758-1775.</w:t>
      </w:r>
    </w:p>
    <w:p w14:paraId="3FE29200"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Belda, E., Sekowska, A., Le Fevre, F., Morgat, A., Mornico, D., Ouzounis, C., Vallenet, D., Medigue, C., Danchin, A., 2013. An updated metabolic view of the </w:t>
      </w:r>
      <w:r w:rsidRPr="001C2D21">
        <w:rPr>
          <w:rFonts w:ascii="Times New Roman" w:hAnsi="Times New Roman" w:cs="Times New Roman"/>
          <w:i/>
          <w:iCs/>
        </w:rPr>
        <w:t>Bacillus subtilis</w:t>
      </w:r>
      <w:r w:rsidRPr="001C2D21">
        <w:rPr>
          <w:rFonts w:ascii="Times New Roman" w:hAnsi="Times New Roman" w:cs="Times New Roman"/>
        </w:rPr>
        <w:t xml:space="preserve"> 168 genome. </w:t>
      </w:r>
      <w:r w:rsidRPr="001C2D21">
        <w:rPr>
          <w:rFonts w:ascii="Times New Roman" w:hAnsi="Times New Roman" w:cs="Times New Roman"/>
          <w:i/>
          <w:iCs/>
        </w:rPr>
        <w:t>Microbiology</w:t>
      </w:r>
      <w:r w:rsidRPr="001C2D21">
        <w:rPr>
          <w:rFonts w:ascii="Times New Roman" w:hAnsi="Times New Roman" w:cs="Times New Roman"/>
        </w:rPr>
        <w:t>. 159, 757-770.</w:t>
      </w:r>
    </w:p>
    <w:p w14:paraId="7207DD3E"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Borriss, R., Danchin, A., Harwood, C. R., Medigue, C., Rocha, E. P. C., Sekowska, A., Vallenet, D., 2018. </w:t>
      </w:r>
      <w:r w:rsidRPr="001C2D21">
        <w:rPr>
          <w:rFonts w:ascii="Times New Roman" w:hAnsi="Times New Roman" w:cs="Times New Roman"/>
          <w:i/>
          <w:iCs/>
        </w:rPr>
        <w:t>Bacillus subtilis</w:t>
      </w:r>
      <w:r w:rsidRPr="001C2D21">
        <w:rPr>
          <w:rFonts w:ascii="Times New Roman" w:hAnsi="Times New Roman" w:cs="Times New Roman"/>
        </w:rPr>
        <w:t xml:space="preserve">, the model </w:t>
      </w:r>
      <w:r>
        <w:rPr>
          <w:rFonts w:ascii="Times New Roman" w:hAnsi="Times New Roman" w:cs="Times New Roman"/>
        </w:rPr>
        <w:t>g</w:t>
      </w:r>
      <w:r w:rsidRPr="001C2D21">
        <w:rPr>
          <w:rFonts w:ascii="Times New Roman" w:hAnsi="Times New Roman" w:cs="Times New Roman"/>
        </w:rPr>
        <w:t xml:space="preserve">ram-positive bacterium: 20 years of annotation refinement. </w:t>
      </w:r>
      <w:r w:rsidRPr="001C2D21">
        <w:rPr>
          <w:rFonts w:ascii="Times New Roman" w:hAnsi="Times New Roman" w:cs="Times New Roman"/>
          <w:i/>
          <w:iCs/>
        </w:rPr>
        <w:t>Microb. Biotechnol.</w:t>
      </w:r>
      <w:r w:rsidRPr="001C2D21">
        <w:rPr>
          <w:rFonts w:ascii="Times New Roman" w:hAnsi="Times New Roman" w:cs="Times New Roman"/>
        </w:rPr>
        <w:t xml:space="preserve"> 11, 3-17.</w:t>
      </w:r>
    </w:p>
    <w:p w14:paraId="32BF8C29" w14:textId="2021E992" w:rsidR="008706DD"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Brito, P. H., Chevreux, B., Serra, C. R., Schyns, G., Henriques, A. O., Pereira-Leal, J. B., 2018. Genetic </w:t>
      </w:r>
      <w:r>
        <w:rPr>
          <w:rFonts w:ascii="Times New Roman" w:hAnsi="Times New Roman" w:cs="Times New Roman"/>
        </w:rPr>
        <w:t>c</w:t>
      </w:r>
      <w:r w:rsidRPr="001C2D21">
        <w:rPr>
          <w:rFonts w:ascii="Times New Roman" w:hAnsi="Times New Roman" w:cs="Times New Roman"/>
        </w:rPr>
        <w:t xml:space="preserve">ompetence </w:t>
      </w:r>
      <w:r>
        <w:rPr>
          <w:rFonts w:ascii="Times New Roman" w:hAnsi="Times New Roman" w:cs="Times New Roman"/>
        </w:rPr>
        <w:t>d</w:t>
      </w:r>
      <w:r w:rsidRPr="001C2D21">
        <w:rPr>
          <w:rFonts w:ascii="Times New Roman" w:hAnsi="Times New Roman" w:cs="Times New Roman"/>
        </w:rPr>
        <w:t xml:space="preserve">rives </w:t>
      </w:r>
      <w:r>
        <w:rPr>
          <w:rFonts w:ascii="Times New Roman" w:hAnsi="Times New Roman" w:cs="Times New Roman"/>
        </w:rPr>
        <w:t>g</w:t>
      </w:r>
      <w:r w:rsidRPr="001C2D21">
        <w:rPr>
          <w:rFonts w:ascii="Times New Roman" w:hAnsi="Times New Roman" w:cs="Times New Roman"/>
        </w:rPr>
        <w:t xml:space="preserve">enome </w:t>
      </w:r>
      <w:r>
        <w:rPr>
          <w:rFonts w:ascii="Times New Roman" w:hAnsi="Times New Roman" w:cs="Times New Roman"/>
        </w:rPr>
        <w:t>d</w:t>
      </w:r>
      <w:r w:rsidRPr="001C2D21">
        <w:rPr>
          <w:rFonts w:ascii="Times New Roman" w:hAnsi="Times New Roman" w:cs="Times New Roman"/>
        </w:rPr>
        <w:t xml:space="preserve">iversity in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 xml:space="preserve">Genome Biol. Evol. </w:t>
      </w:r>
      <w:r w:rsidRPr="001C2D21">
        <w:rPr>
          <w:rFonts w:ascii="Times New Roman" w:hAnsi="Times New Roman" w:cs="Times New Roman"/>
        </w:rPr>
        <w:t>10, 108-124.</w:t>
      </w:r>
    </w:p>
    <w:p w14:paraId="500A37DE" w14:textId="02C1AD46" w:rsidR="00BD5A40" w:rsidRPr="001C2D21" w:rsidRDefault="00BD5A40" w:rsidP="00665DAD">
      <w:pPr>
        <w:pStyle w:val="EndNoteBibliography"/>
        <w:ind w:left="720" w:hanging="436"/>
        <w:rPr>
          <w:rFonts w:ascii="Times New Roman" w:hAnsi="Times New Roman" w:cs="Times New Roman"/>
        </w:rPr>
      </w:pPr>
      <w:r w:rsidRPr="00BD5A40">
        <w:rPr>
          <w:rFonts w:ascii="Times New Roman" w:hAnsi="Times New Roman" w:cs="Times New Roman"/>
        </w:rPr>
        <w:t>Burgard AP, Pharkya P, Maranas CD</w:t>
      </w:r>
      <w:r>
        <w:rPr>
          <w:rFonts w:ascii="Times New Roman" w:hAnsi="Times New Roman" w:cs="Times New Roman"/>
        </w:rPr>
        <w:t xml:space="preserve">., </w:t>
      </w:r>
      <w:r>
        <w:rPr>
          <w:rFonts w:ascii="Times New Roman" w:hAnsi="Times New Roman" w:cs="Times New Roman" w:hint="eastAsia"/>
        </w:rPr>
        <w:t>2</w:t>
      </w:r>
      <w:r>
        <w:rPr>
          <w:rFonts w:ascii="Times New Roman" w:hAnsi="Times New Roman" w:cs="Times New Roman"/>
        </w:rPr>
        <w:t>003.</w:t>
      </w:r>
      <w:r w:rsidRPr="00BD5A40">
        <w:rPr>
          <w:rFonts w:ascii="Times New Roman" w:hAnsi="Times New Roman" w:cs="Times New Roman"/>
        </w:rPr>
        <w:t xml:space="preserve"> Optknock: a bilevel programming framework for identifying gene knockout strategies for microbial strain optimization. </w:t>
      </w:r>
      <w:r w:rsidRPr="00BD5A40">
        <w:rPr>
          <w:rFonts w:ascii="Times New Roman" w:hAnsi="Times New Roman" w:cs="Times New Roman"/>
          <w:i/>
          <w:iCs/>
        </w:rPr>
        <w:t>Biotechnol Bioeng</w:t>
      </w:r>
      <w:r w:rsidRPr="00BD5A40">
        <w:rPr>
          <w:rFonts w:ascii="Times New Roman" w:hAnsi="Times New Roman" w:cs="Times New Roman"/>
        </w:rPr>
        <w:t>. 84</w:t>
      </w:r>
      <w:r>
        <w:rPr>
          <w:rFonts w:ascii="Times New Roman" w:hAnsi="Times New Roman" w:cs="Times New Roman"/>
        </w:rPr>
        <w:t xml:space="preserve">, </w:t>
      </w:r>
      <w:r w:rsidRPr="00BD5A40">
        <w:rPr>
          <w:rFonts w:ascii="Times New Roman" w:hAnsi="Times New Roman" w:cs="Times New Roman"/>
        </w:rPr>
        <w:t xml:space="preserve">647-57. </w:t>
      </w:r>
    </w:p>
    <w:p w14:paraId="7970C573"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Chandrasekaran, S., Price, N. D., 2010. Probabilistic integrative modeling of genome-scale metabolic and regulatory networks in </w:t>
      </w:r>
      <w:r w:rsidRPr="001C2D21">
        <w:rPr>
          <w:rFonts w:ascii="Times New Roman" w:hAnsi="Times New Roman" w:cs="Times New Roman"/>
          <w:i/>
          <w:iCs/>
        </w:rPr>
        <w:t xml:space="preserve">Escherichia coli </w:t>
      </w:r>
      <w:r w:rsidRPr="001C2D21">
        <w:rPr>
          <w:rFonts w:ascii="Times New Roman" w:hAnsi="Times New Roman" w:cs="Times New Roman"/>
        </w:rPr>
        <w:t xml:space="preserve">and </w:t>
      </w:r>
      <w:r w:rsidRPr="001C2D21">
        <w:rPr>
          <w:rFonts w:ascii="Times New Roman" w:hAnsi="Times New Roman" w:cs="Times New Roman"/>
          <w:i/>
          <w:iCs/>
        </w:rPr>
        <w:t>Mycobacterium tuberculosis</w:t>
      </w:r>
      <w:r w:rsidRPr="001C2D21">
        <w:rPr>
          <w:rFonts w:ascii="Times New Roman" w:hAnsi="Times New Roman" w:cs="Times New Roman"/>
        </w:rPr>
        <w:t xml:space="preserve">. </w:t>
      </w:r>
      <w:r w:rsidRPr="001C2D21">
        <w:rPr>
          <w:rFonts w:ascii="Times New Roman" w:hAnsi="Times New Roman" w:cs="Times New Roman"/>
          <w:i/>
          <w:iCs/>
        </w:rPr>
        <w:t>Proc. Natl. Acad. Sci. U. S. A.</w:t>
      </w:r>
      <w:r w:rsidRPr="001C2D21">
        <w:rPr>
          <w:rFonts w:ascii="Times New Roman" w:hAnsi="Times New Roman" w:cs="Times New Roman"/>
        </w:rPr>
        <w:t xml:space="preserve"> 107, 17845-</w:t>
      </w:r>
      <w:r>
        <w:rPr>
          <w:rFonts w:ascii="Times New Roman" w:hAnsi="Times New Roman" w:cs="Times New Roman"/>
        </w:rPr>
        <w:t>178</w:t>
      </w:r>
      <w:r w:rsidRPr="001C2D21">
        <w:rPr>
          <w:rFonts w:ascii="Times New Roman" w:hAnsi="Times New Roman" w:cs="Times New Roman"/>
        </w:rPr>
        <w:t>50.</w:t>
      </w:r>
    </w:p>
    <w:p w14:paraId="7653D4B2"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Cui, S., Lv, X., Wu, Y., Li, J., Du, G., Ledesma-Amaro, R., Liu, L., 2019. Engineering a bifunctional Phr60-Rap60-Spo0A quorum-sensing molecular switch for dynamic fine-tuning of menaquinone-7 synthesis in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ACS Synth. Biol.</w:t>
      </w:r>
      <w:r w:rsidRPr="001C2D21">
        <w:rPr>
          <w:rFonts w:ascii="Times New Roman" w:hAnsi="Times New Roman" w:cs="Times New Roman"/>
        </w:rPr>
        <w:t xml:space="preserve"> 8, 1826-1837.</w:t>
      </w:r>
    </w:p>
    <w:p w14:paraId="09139DB0"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El Asmar, M. S., Naoum, J. J., Arbid, E. J., 2014. Vitamin k dependent proteins and the role of vitamin k2 in the modulation of vascular calcification: a review.</w:t>
      </w:r>
      <w:r w:rsidRPr="001C2D21">
        <w:rPr>
          <w:rFonts w:ascii="Times New Roman" w:hAnsi="Times New Roman" w:cs="Times New Roman"/>
          <w:i/>
          <w:iCs/>
        </w:rPr>
        <w:t xml:space="preserve"> Oman Med. J.</w:t>
      </w:r>
      <w:r w:rsidRPr="001C2D21">
        <w:rPr>
          <w:rFonts w:ascii="Times New Roman" w:hAnsi="Times New Roman" w:cs="Times New Roman"/>
        </w:rPr>
        <w:t xml:space="preserve"> 29, 172-177.</w:t>
      </w:r>
    </w:p>
    <w:p w14:paraId="50952780"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Goelzer, A., Bekkal Brikci, F., Martin-Verstraete, I., Noirot, P., Bessieres, P., Aymerich, S., Fromion, V., 2008. Reconstruction and analysis of the genetic and metabolic regulatory networks of the central metabolism of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BMC Syst. Biol.</w:t>
      </w:r>
      <w:r w:rsidRPr="001C2D21">
        <w:rPr>
          <w:rFonts w:ascii="Times New Roman" w:hAnsi="Times New Roman" w:cs="Times New Roman"/>
        </w:rPr>
        <w:t xml:space="preserve"> 2, 20.</w:t>
      </w:r>
    </w:p>
    <w:p w14:paraId="05194D0B"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Gu, C., Kim, G. B., Kim, W. J., Kim, H. U., Lee, S. Y., 2019. Current status and applications of genome-scale metabolic models. </w:t>
      </w:r>
      <w:r w:rsidRPr="001C2D21">
        <w:rPr>
          <w:rFonts w:ascii="Times New Roman" w:hAnsi="Times New Roman" w:cs="Times New Roman"/>
          <w:i/>
          <w:iCs/>
        </w:rPr>
        <w:t>Genome Biol.</w:t>
      </w:r>
      <w:r w:rsidRPr="001C2D21">
        <w:rPr>
          <w:rFonts w:ascii="Times New Roman" w:hAnsi="Times New Roman" w:cs="Times New Roman"/>
        </w:rPr>
        <w:t xml:space="preserve"> 20, 121.</w:t>
      </w:r>
    </w:p>
    <w:p w14:paraId="36AD55EB"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Hädicke, O., von Kamp, A., Aydogan, T., Klamt, S., 2018. OptMDFpathway: Identification of metabolic pathways with maximal thermodynamic driving force and its application for analyzing the endogenous CO2 fixation potential of </w:t>
      </w:r>
      <w:r w:rsidRPr="001C2D21">
        <w:rPr>
          <w:rFonts w:ascii="Times New Roman" w:hAnsi="Times New Roman" w:cs="Times New Roman"/>
          <w:i/>
          <w:iCs/>
        </w:rPr>
        <w:t>Escherichia coli.</w:t>
      </w:r>
      <w:r w:rsidRPr="001C2D21">
        <w:rPr>
          <w:rFonts w:ascii="Times New Roman" w:hAnsi="Times New Roman" w:cs="Times New Roman"/>
        </w:rPr>
        <w:t xml:space="preserve"> </w:t>
      </w:r>
      <w:r w:rsidRPr="001C2D21">
        <w:rPr>
          <w:rFonts w:ascii="Times New Roman" w:hAnsi="Times New Roman" w:cs="Times New Roman"/>
          <w:i/>
          <w:iCs/>
        </w:rPr>
        <w:t>PLoS Comput. Biol.</w:t>
      </w:r>
      <w:r w:rsidRPr="001C2D21">
        <w:rPr>
          <w:rFonts w:ascii="Times New Roman" w:hAnsi="Times New Roman" w:cs="Times New Roman"/>
        </w:rPr>
        <w:t xml:space="preserve"> 14, e1006492.</w:t>
      </w:r>
    </w:p>
    <w:p w14:paraId="32C5F7AE"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Hao, T., Han, B., Ma, H., Fu, J., Wang, H., Wang, Z., Tang, B., Chen, T., Zhao, X., 2013. In silico metabolic engineering of </w:t>
      </w:r>
      <w:r w:rsidRPr="001C2D21">
        <w:rPr>
          <w:rFonts w:ascii="Times New Roman" w:hAnsi="Times New Roman" w:cs="Times New Roman"/>
          <w:i/>
          <w:iCs/>
        </w:rPr>
        <w:t>Bacillus subtilis</w:t>
      </w:r>
      <w:r w:rsidRPr="001C2D21">
        <w:rPr>
          <w:rFonts w:ascii="Times New Roman" w:hAnsi="Times New Roman" w:cs="Times New Roman"/>
        </w:rPr>
        <w:t xml:space="preserve"> for improved production of riboflavin, Egl-237, (R,R)-2,3-butanediol and isobutanol. </w:t>
      </w:r>
      <w:r w:rsidRPr="001C2D21">
        <w:rPr>
          <w:rFonts w:ascii="Times New Roman" w:hAnsi="Times New Roman" w:cs="Times New Roman"/>
          <w:i/>
          <w:iCs/>
        </w:rPr>
        <w:t>Mol. Biosyst.</w:t>
      </w:r>
      <w:r w:rsidRPr="001C2D21">
        <w:rPr>
          <w:rFonts w:ascii="Times New Roman" w:hAnsi="Times New Roman" w:cs="Times New Roman"/>
        </w:rPr>
        <w:t xml:space="preserve"> 9, 2034-2044.</w:t>
      </w:r>
    </w:p>
    <w:p w14:paraId="6FBBA9D8"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Heckmann, D., Lloyd, C. J., Mih, N., Ha, Y., Zielinski, D. C., Haiman, Z. B., Desouki, A. A., Lercher, M. J., Palsson, B. O., 2018. Machine learning applied to enzyme turnover numbers reveals </w:t>
      </w:r>
      <w:r w:rsidRPr="001C2D21">
        <w:rPr>
          <w:rFonts w:ascii="Times New Roman" w:hAnsi="Times New Roman" w:cs="Times New Roman"/>
        </w:rPr>
        <w:lastRenderedPageBreak/>
        <w:t xml:space="preserve">protein structural correlates and improves metabolic models. </w:t>
      </w:r>
      <w:r w:rsidRPr="001C2D21">
        <w:rPr>
          <w:rFonts w:ascii="Times New Roman" w:hAnsi="Times New Roman" w:cs="Times New Roman"/>
          <w:i/>
          <w:iCs/>
        </w:rPr>
        <w:t>Nat. Commun.</w:t>
      </w:r>
      <w:r w:rsidRPr="001C2D21">
        <w:rPr>
          <w:rFonts w:ascii="Times New Roman" w:hAnsi="Times New Roman" w:cs="Times New Roman"/>
        </w:rPr>
        <w:t xml:space="preserve"> 9, 5252.</w:t>
      </w:r>
    </w:p>
    <w:p w14:paraId="0D6FC94B"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Henry, C. S., Broadbelt, L. J., Hatzimanikatis, V., 2007. Thermodynamics-based metabolic flux analysis. </w:t>
      </w:r>
      <w:r w:rsidRPr="001C2D21">
        <w:rPr>
          <w:rFonts w:ascii="Times New Roman" w:hAnsi="Times New Roman" w:cs="Times New Roman"/>
          <w:i/>
          <w:iCs/>
        </w:rPr>
        <w:t>Biophys. J.</w:t>
      </w:r>
      <w:r w:rsidRPr="001C2D21">
        <w:rPr>
          <w:rFonts w:ascii="Times New Roman" w:hAnsi="Times New Roman" w:cs="Times New Roman"/>
        </w:rPr>
        <w:t xml:space="preserve"> 92, 1792-805.</w:t>
      </w:r>
    </w:p>
    <w:p w14:paraId="148A059C"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Henry, C. S., Zinner, J. F., Cohoon, M. P., Stevens, R. L., 2009. </w:t>
      </w:r>
      <w:r w:rsidRPr="009D6449">
        <w:rPr>
          <w:rFonts w:ascii="Times New Roman" w:hAnsi="Times New Roman" w:cs="Times New Roman"/>
          <w:i/>
          <w:iCs/>
        </w:rPr>
        <w:t>i</w:t>
      </w:r>
      <w:r w:rsidRPr="001C2D21">
        <w:rPr>
          <w:rFonts w:ascii="Times New Roman" w:hAnsi="Times New Roman" w:cs="Times New Roman"/>
        </w:rPr>
        <w:t xml:space="preserve">Bsu1103: a new genome-scale metabolic model of </w:t>
      </w:r>
      <w:r w:rsidRPr="001C2D21">
        <w:rPr>
          <w:rFonts w:ascii="Times New Roman" w:hAnsi="Times New Roman" w:cs="Times New Roman"/>
          <w:i/>
          <w:iCs/>
        </w:rPr>
        <w:t>Bacillus subtilis</w:t>
      </w:r>
      <w:r w:rsidRPr="001C2D21">
        <w:rPr>
          <w:rFonts w:ascii="Times New Roman" w:hAnsi="Times New Roman" w:cs="Times New Roman"/>
        </w:rPr>
        <w:t xml:space="preserve"> based on SEED annotations. </w:t>
      </w:r>
      <w:r w:rsidRPr="001C2D21">
        <w:rPr>
          <w:rFonts w:ascii="Times New Roman" w:hAnsi="Times New Roman" w:cs="Times New Roman"/>
          <w:i/>
          <w:iCs/>
        </w:rPr>
        <w:t>Genome biol.</w:t>
      </w:r>
      <w:r w:rsidRPr="001C2D21">
        <w:rPr>
          <w:rFonts w:ascii="Times New Roman" w:hAnsi="Times New Roman" w:cs="Times New Roman"/>
        </w:rPr>
        <w:t xml:space="preserve"> 10, R69.</w:t>
      </w:r>
    </w:p>
    <w:p w14:paraId="0E05F077"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Jamialahmadi, O., Motamedian, E., Hashemi-Najafabadi, S., 2016. BiKEGG: a COBRA toolbox extension for bridging the BiGG and KEGG databases.</w:t>
      </w:r>
      <w:r w:rsidRPr="001C2D21">
        <w:rPr>
          <w:rFonts w:ascii="Times New Roman" w:hAnsi="Times New Roman" w:cs="Times New Roman"/>
          <w:i/>
          <w:iCs/>
        </w:rPr>
        <w:t xml:space="preserve"> Mol. Biosyst. </w:t>
      </w:r>
      <w:r w:rsidRPr="001C2D21">
        <w:rPr>
          <w:rFonts w:ascii="Times New Roman" w:hAnsi="Times New Roman" w:cs="Times New Roman"/>
        </w:rPr>
        <w:t>12, 3459-3466.</w:t>
      </w:r>
    </w:p>
    <w:p w14:paraId="14E6C0F4"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Kim, W. J., Kim, H. U., Sang, Y. L., 2017. Current state and applications of microbial genome</w:t>
      </w:r>
      <w:r w:rsidRPr="001C2D21">
        <w:rPr>
          <w:rFonts w:ascii="Times New Roman" w:hAnsi="Times New Roman" w:cs="Times New Roman"/>
        </w:rPr>
        <w:t>﹕</w:t>
      </w:r>
      <w:r w:rsidRPr="001C2D21">
        <w:rPr>
          <w:rFonts w:ascii="Times New Roman" w:hAnsi="Times New Roman" w:cs="Times New Roman"/>
        </w:rPr>
        <w:t xml:space="preserve">cale metabolic models. </w:t>
      </w:r>
      <w:r w:rsidRPr="001C2D21">
        <w:rPr>
          <w:rFonts w:ascii="Times New Roman" w:hAnsi="Times New Roman" w:cs="Times New Roman"/>
          <w:i/>
          <w:iCs/>
        </w:rPr>
        <w:t>Curr. Opin. Syst. Biol.</w:t>
      </w:r>
      <w:r w:rsidRPr="001C2D21">
        <w:rPr>
          <w:rFonts w:ascii="Times New Roman" w:hAnsi="Times New Roman" w:cs="Times New Roman"/>
        </w:rPr>
        <w:t xml:space="preserve"> 2, 9-17.</w:t>
      </w:r>
    </w:p>
    <w:p w14:paraId="7384FB32"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Kleijn, R. J., Buescher, J. M., Le Chat, L., Jules, M., Aymerich, S., Sauer, U., 2010. Metabolic fluxes during strong carbon catabolite repression by malate in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J. Biol. Chem.</w:t>
      </w:r>
      <w:r w:rsidRPr="001C2D21">
        <w:rPr>
          <w:rFonts w:ascii="Times New Roman" w:hAnsi="Times New Roman" w:cs="Times New Roman"/>
        </w:rPr>
        <w:t xml:space="preserve"> 285, 1587-1596.</w:t>
      </w:r>
    </w:p>
    <w:p w14:paraId="4FA5B3F6"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Kocabaş, P., Çalık, P., Çalık, G., Özdamar, T. H., 2017. Analyses of extracellular protein production in </w:t>
      </w:r>
      <w:r w:rsidRPr="001C2D21">
        <w:rPr>
          <w:rFonts w:ascii="Times New Roman" w:hAnsi="Times New Roman" w:cs="Times New Roman"/>
          <w:i/>
          <w:iCs/>
        </w:rPr>
        <w:t>Bacillus subtilis</w:t>
      </w:r>
      <w:r w:rsidRPr="001C2D21">
        <w:rPr>
          <w:rFonts w:ascii="Times New Roman" w:hAnsi="Times New Roman" w:cs="Times New Roman"/>
        </w:rPr>
        <w:t xml:space="preserve"> – I: Genome-scale metabolic model reconstruction based on updated gene-enzyme-reaction data. </w:t>
      </w:r>
      <w:r w:rsidRPr="001C2D21">
        <w:rPr>
          <w:rFonts w:ascii="Times New Roman" w:hAnsi="Times New Roman" w:cs="Times New Roman"/>
          <w:i/>
          <w:iCs/>
        </w:rPr>
        <w:t>Biochem. Eng. J.</w:t>
      </w:r>
      <w:r w:rsidRPr="001C2D21">
        <w:rPr>
          <w:rFonts w:ascii="Times New Roman" w:hAnsi="Times New Roman" w:cs="Times New Roman"/>
        </w:rPr>
        <w:t xml:space="preserve"> 127, 229-241.</w:t>
      </w:r>
    </w:p>
    <w:p w14:paraId="22F5B584"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Koo, B. M., Kritikos, G., Farelli, J. D., Todor, H., Tong, K., Kimsey, H., Wapinski, I., Galardini, M., Cabal, A., Peters, J. M., et al., 2017. Construction and </w:t>
      </w:r>
      <w:r>
        <w:rPr>
          <w:rFonts w:ascii="Times New Roman" w:hAnsi="Times New Roman" w:cs="Times New Roman"/>
        </w:rPr>
        <w:t>a</w:t>
      </w:r>
      <w:r w:rsidRPr="001C2D21">
        <w:rPr>
          <w:rFonts w:ascii="Times New Roman" w:hAnsi="Times New Roman" w:cs="Times New Roman"/>
        </w:rPr>
        <w:t xml:space="preserve">nalysis of </w:t>
      </w:r>
      <w:r>
        <w:rPr>
          <w:rFonts w:ascii="Times New Roman" w:hAnsi="Times New Roman" w:cs="Times New Roman"/>
        </w:rPr>
        <w:t>t</w:t>
      </w:r>
      <w:r w:rsidRPr="001C2D21">
        <w:rPr>
          <w:rFonts w:ascii="Times New Roman" w:hAnsi="Times New Roman" w:cs="Times New Roman"/>
        </w:rPr>
        <w:t xml:space="preserve">wo </w:t>
      </w:r>
      <w:r>
        <w:rPr>
          <w:rFonts w:ascii="Times New Roman" w:hAnsi="Times New Roman" w:cs="Times New Roman"/>
        </w:rPr>
        <w:t>g</w:t>
      </w:r>
      <w:r w:rsidRPr="001C2D21">
        <w:rPr>
          <w:rFonts w:ascii="Times New Roman" w:hAnsi="Times New Roman" w:cs="Times New Roman"/>
        </w:rPr>
        <w:t>enome-</w:t>
      </w:r>
      <w:r>
        <w:rPr>
          <w:rFonts w:ascii="Times New Roman" w:hAnsi="Times New Roman" w:cs="Times New Roman"/>
        </w:rPr>
        <w:t>s</w:t>
      </w:r>
      <w:r w:rsidRPr="001C2D21">
        <w:rPr>
          <w:rFonts w:ascii="Times New Roman" w:hAnsi="Times New Roman" w:cs="Times New Roman"/>
        </w:rPr>
        <w:t xml:space="preserve">cale </w:t>
      </w:r>
      <w:r>
        <w:rPr>
          <w:rFonts w:ascii="Times New Roman" w:hAnsi="Times New Roman" w:cs="Times New Roman"/>
        </w:rPr>
        <w:t>d</w:t>
      </w:r>
      <w:r w:rsidRPr="001C2D21">
        <w:rPr>
          <w:rFonts w:ascii="Times New Roman" w:hAnsi="Times New Roman" w:cs="Times New Roman"/>
        </w:rPr>
        <w:t xml:space="preserve">eletion </w:t>
      </w:r>
      <w:r>
        <w:rPr>
          <w:rFonts w:ascii="Times New Roman" w:hAnsi="Times New Roman" w:cs="Times New Roman"/>
        </w:rPr>
        <w:t>l</w:t>
      </w:r>
      <w:r w:rsidRPr="001C2D21">
        <w:rPr>
          <w:rFonts w:ascii="Times New Roman" w:hAnsi="Times New Roman" w:cs="Times New Roman"/>
        </w:rPr>
        <w:t xml:space="preserve">ibraries for </w:t>
      </w:r>
      <w:r w:rsidRPr="001C2D21">
        <w:rPr>
          <w:rFonts w:ascii="Times New Roman" w:hAnsi="Times New Roman" w:cs="Times New Roman"/>
          <w:i/>
          <w:iCs/>
        </w:rPr>
        <w:t>Bacillus subtilis</w:t>
      </w:r>
      <w:r w:rsidRPr="001C2D21">
        <w:rPr>
          <w:rFonts w:ascii="Times New Roman" w:hAnsi="Times New Roman" w:cs="Times New Roman"/>
        </w:rPr>
        <w:t>.</w:t>
      </w:r>
      <w:r w:rsidRPr="001C2D21">
        <w:rPr>
          <w:rFonts w:ascii="Times New Roman" w:hAnsi="Times New Roman" w:cs="Times New Roman"/>
          <w:i/>
          <w:iCs/>
        </w:rPr>
        <w:t xml:space="preserve"> Cell Syst.</w:t>
      </w:r>
      <w:r w:rsidRPr="001C2D21">
        <w:rPr>
          <w:rFonts w:ascii="Times New Roman" w:hAnsi="Times New Roman" w:cs="Times New Roman"/>
        </w:rPr>
        <w:t xml:space="preserve"> 4, 291-305.</w:t>
      </w:r>
    </w:p>
    <w:p w14:paraId="474157ED" w14:textId="339D1993"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Kunst, F., Ogasawara, N., Moszer, I., Albertini, A. M., Danchin, A. J. N., 1997. The complete genome sequence of the </w:t>
      </w:r>
      <w:r w:rsidR="009D6449">
        <w:rPr>
          <w:rFonts w:ascii="Times New Roman" w:hAnsi="Times New Roman" w:cs="Times New Roman" w:hint="eastAsia"/>
        </w:rPr>
        <w:t>g</w:t>
      </w:r>
      <w:r w:rsidRPr="001C2D21">
        <w:rPr>
          <w:rFonts w:ascii="Times New Roman" w:hAnsi="Times New Roman" w:cs="Times New Roman"/>
        </w:rPr>
        <w:t xml:space="preserve">ram-positive bacterium </w:t>
      </w:r>
      <w:r w:rsidRPr="001C2D21">
        <w:rPr>
          <w:rFonts w:ascii="Times New Roman" w:hAnsi="Times New Roman" w:cs="Times New Roman"/>
          <w:i/>
          <w:iCs/>
        </w:rPr>
        <w:t>Bacillus subtilis</w:t>
      </w:r>
      <w:r w:rsidRPr="001C2D21">
        <w:rPr>
          <w:rFonts w:ascii="Times New Roman" w:hAnsi="Times New Roman" w:cs="Times New Roman"/>
        </w:rPr>
        <w:t>.</w:t>
      </w:r>
      <w:r w:rsidRPr="001C2D21">
        <w:rPr>
          <w:rFonts w:ascii="Arial" w:hAnsi="Arial" w:cs="Arial"/>
          <w:i/>
          <w:iCs/>
        </w:rPr>
        <w:t xml:space="preserve"> </w:t>
      </w:r>
      <w:r w:rsidRPr="001C2D21">
        <w:rPr>
          <w:rFonts w:ascii="Times New Roman" w:hAnsi="Times New Roman" w:cs="Times New Roman"/>
          <w:i/>
          <w:iCs/>
        </w:rPr>
        <w:t>Nature</w:t>
      </w:r>
      <w:r w:rsidRPr="001C2D21">
        <w:rPr>
          <w:rFonts w:ascii="Times New Roman" w:hAnsi="Times New Roman" w:cs="Times New Roman"/>
        </w:rPr>
        <w:t xml:space="preserve"> 390, 249-256.</w:t>
      </w:r>
    </w:p>
    <w:p w14:paraId="30D70A2C"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Leyn, S. A., Kazanov, M. D., Sernova, N. V., Ermakova, E. O., Novichkov, P. S., Rodionov, D. A., 2013. Genomic reconstruction of the transcriptional regulatory network in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J. Bacteriol.</w:t>
      </w:r>
      <w:r w:rsidRPr="001C2D21">
        <w:rPr>
          <w:rFonts w:ascii="Times New Roman" w:hAnsi="Times New Roman" w:cs="Times New Roman"/>
        </w:rPr>
        <w:t xml:space="preserve"> 195, 2463-2473.</w:t>
      </w:r>
    </w:p>
    <w:p w14:paraId="44AE031D" w14:textId="4ED6E774" w:rsidR="008706DD"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Lieven, C., Beber, M. E., Olivier, B. G., Bergmann, F. T., Ataman, M., Babaei, P., Bartell, J. A., Blank, L. M., Chauhan, S., Correia, K., et al., 2020. MEMOTE for standardized genome-scale metabolic model testing. </w:t>
      </w:r>
      <w:r w:rsidRPr="001C2D21">
        <w:rPr>
          <w:rFonts w:ascii="Times New Roman" w:hAnsi="Times New Roman" w:cs="Times New Roman"/>
          <w:i/>
          <w:iCs/>
        </w:rPr>
        <w:t>Nat. Biotechnol.</w:t>
      </w:r>
      <w:r w:rsidRPr="001C2D21">
        <w:rPr>
          <w:rFonts w:ascii="Times New Roman" w:hAnsi="Times New Roman" w:cs="Times New Roman"/>
        </w:rPr>
        <w:t xml:space="preserve"> 38, 272-276.</w:t>
      </w:r>
    </w:p>
    <w:p w14:paraId="257A21A9" w14:textId="642693B6" w:rsidR="00BD5A40" w:rsidRPr="001C2D21" w:rsidRDefault="00BD5A40" w:rsidP="00665DAD">
      <w:pPr>
        <w:pStyle w:val="EndNoteBibliography"/>
        <w:ind w:left="720" w:hanging="436"/>
        <w:rPr>
          <w:rFonts w:ascii="Times New Roman" w:hAnsi="Times New Roman" w:cs="Times New Roman"/>
        </w:rPr>
      </w:pPr>
      <w:r w:rsidRPr="00BD5A40">
        <w:rPr>
          <w:rFonts w:ascii="Times New Roman" w:hAnsi="Times New Roman" w:cs="Times New Roman"/>
        </w:rPr>
        <w:t>Machado D, Andrejev S, Tramontano M, Patil KR.</w:t>
      </w:r>
      <w:r>
        <w:rPr>
          <w:rFonts w:ascii="Times New Roman" w:hAnsi="Times New Roman" w:cs="Times New Roman"/>
        </w:rPr>
        <w:t>, 2018.</w:t>
      </w:r>
      <w:r w:rsidRPr="00BD5A40">
        <w:rPr>
          <w:rFonts w:ascii="Times New Roman" w:hAnsi="Times New Roman" w:cs="Times New Roman"/>
        </w:rPr>
        <w:t xml:space="preserve"> Fast automated reconstruction of genome-scale metabolic models for microbial species and communities. </w:t>
      </w:r>
      <w:r w:rsidRPr="00887792">
        <w:rPr>
          <w:rFonts w:ascii="Times New Roman" w:hAnsi="Times New Roman" w:cs="Times New Roman"/>
          <w:i/>
          <w:iCs/>
        </w:rPr>
        <w:t>Nucleic Acids Res.</w:t>
      </w:r>
      <w:r w:rsidRPr="00BD5A40">
        <w:rPr>
          <w:rFonts w:ascii="Times New Roman" w:hAnsi="Times New Roman" w:cs="Times New Roman"/>
        </w:rPr>
        <w:t xml:space="preserve"> 6</w:t>
      </w:r>
      <w:r w:rsidR="00887792">
        <w:rPr>
          <w:rFonts w:ascii="Times New Roman" w:hAnsi="Times New Roman" w:cs="Times New Roman"/>
        </w:rPr>
        <w:t xml:space="preserve">, </w:t>
      </w:r>
      <w:r w:rsidRPr="00BD5A40">
        <w:rPr>
          <w:rFonts w:ascii="Times New Roman" w:hAnsi="Times New Roman" w:cs="Times New Roman"/>
        </w:rPr>
        <w:t>7542-7553.</w:t>
      </w:r>
    </w:p>
    <w:p w14:paraId="62BA5429"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Macklin, D. N., Ahn-Horst, T. A., Choi, H., Ruggero, N. A., Carrera, J., Mason, J. C., Sun, G., Agmon, E., DeFelice, M. M., Maayan, I., et al., 2020. Simultaneous cross-evaluation of heterogeneous </w:t>
      </w:r>
      <w:r w:rsidRPr="001C2D21">
        <w:rPr>
          <w:rFonts w:ascii="Times New Roman" w:hAnsi="Times New Roman" w:cs="Times New Roman"/>
          <w:i/>
          <w:iCs/>
        </w:rPr>
        <w:t>E. coli</w:t>
      </w:r>
      <w:r w:rsidRPr="001C2D21">
        <w:rPr>
          <w:rFonts w:ascii="Times New Roman" w:hAnsi="Times New Roman" w:cs="Times New Roman"/>
        </w:rPr>
        <w:t xml:space="preserve"> datasets via mechanistic simulation. </w:t>
      </w:r>
      <w:r w:rsidRPr="001C2D21">
        <w:rPr>
          <w:rFonts w:ascii="Times New Roman" w:hAnsi="Times New Roman" w:cs="Times New Roman"/>
          <w:i/>
          <w:iCs/>
        </w:rPr>
        <w:t>Science</w:t>
      </w:r>
      <w:r w:rsidRPr="001C2D21">
        <w:rPr>
          <w:rFonts w:ascii="Times New Roman" w:hAnsi="Times New Roman" w:cs="Times New Roman"/>
        </w:rPr>
        <w:t>. 369, eaav3751.</w:t>
      </w:r>
    </w:p>
    <w:p w14:paraId="213BA6ED"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Massaiu, I., Pasotti, L., Sonnenschein, N., Rama, E., Cavaletti, M., Magni, P., Calvio, C., Herrgard, M. J., 2019. Integration of enzymatic data in </w:t>
      </w:r>
      <w:r w:rsidRPr="001C2D21">
        <w:rPr>
          <w:rFonts w:ascii="Times New Roman" w:hAnsi="Times New Roman" w:cs="Times New Roman"/>
          <w:i/>
          <w:iCs/>
        </w:rPr>
        <w:t>Bacillus subtilis</w:t>
      </w:r>
      <w:r w:rsidRPr="001C2D21">
        <w:rPr>
          <w:rFonts w:ascii="Times New Roman" w:hAnsi="Times New Roman" w:cs="Times New Roman"/>
        </w:rPr>
        <w:t xml:space="preserve"> genome-scale metabolic model improves phenotype predictions and enables in silico design of poly-gamma-glutamic acid production strains. </w:t>
      </w:r>
      <w:r w:rsidRPr="001C2D21">
        <w:rPr>
          <w:rFonts w:ascii="Times New Roman" w:hAnsi="Times New Roman" w:cs="Times New Roman"/>
          <w:i/>
          <w:iCs/>
        </w:rPr>
        <w:t xml:space="preserve">Microb. Cell Fact. </w:t>
      </w:r>
      <w:r w:rsidRPr="001C2D21">
        <w:rPr>
          <w:rFonts w:ascii="Times New Roman" w:hAnsi="Times New Roman" w:cs="Times New Roman"/>
        </w:rPr>
        <w:t>18, 3.</w:t>
      </w:r>
    </w:p>
    <w:p w14:paraId="087F9982"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Medlock, G. L., Papin, J. A., 2020. Guiding the refinement of biochemical knowledgebases with ensembles of metabolic networks and machine learning. </w:t>
      </w:r>
      <w:r w:rsidRPr="001C2D21">
        <w:rPr>
          <w:rFonts w:ascii="Times New Roman" w:hAnsi="Times New Roman" w:cs="Times New Roman"/>
          <w:i/>
          <w:iCs/>
        </w:rPr>
        <w:t xml:space="preserve">Cell Syst. </w:t>
      </w:r>
      <w:r w:rsidRPr="001C2D21">
        <w:rPr>
          <w:rFonts w:ascii="Times New Roman" w:hAnsi="Times New Roman" w:cs="Times New Roman"/>
        </w:rPr>
        <w:t>10, 109-119.</w:t>
      </w:r>
    </w:p>
    <w:p w14:paraId="2230C7AD"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Navid, A., 2022. A beginner's guide to the COBRA Toolbox. </w:t>
      </w:r>
      <w:r w:rsidRPr="001C2D21">
        <w:rPr>
          <w:rFonts w:ascii="Times New Roman" w:hAnsi="Times New Roman" w:cs="Times New Roman"/>
          <w:i/>
          <w:iCs/>
        </w:rPr>
        <w:t>Methods Mol. Biol.</w:t>
      </w:r>
      <w:r w:rsidRPr="001C2D21">
        <w:rPr>
          <w:rFonts w:ascii="Times New Roman" w:hAnsi="Times New Roman" w:cs="Times New Roman"/>
        </w:rPr>
        <w:t xml:space="preserve"> 2349, 339-365.</w:t>
      </w:r>
    </w:p>
    <w:p w14:paraId="4468FB35"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Noor, E., Flamholz, A., Bar-Even, A., Davidi, D., Milo, R., Liebermeister, W., 2016. The protein cost of metabolic fluxes: prediction from enzymatic rate laws and cost minimization. </w:t>
      </w:r>
      <w:r w:rsidRPr="001C2D21">
        <w:rPr>
          <w:rFonts w:ascii="Times New Roman" w:hAnsi="Times New Roman" w:cs="Times New Roman"/>
          <w:i/>
          <w:iCs/>
        </w:rPr>
        <w:t>PLoS Comput. Biol.</w:t>
      </w:r>
      <w:r w:rsidRPr="001C2D21">
        <w:rPr>
          <w:rFonts w:ascii="Times New Roman" w:hAnsi="Times New Roman" w:cs="Times New Roman"/>
        </w:rPr>
        <w:t xml:space="preserve"> 12, e1005167</w:t>
      </w:r>
    </w:p>
    <w:p w14:paraId="0A7A0569"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Norizan, N., Halim, M., Tan, J. S., Abbasiliasi, S., Mat Sahri, M., Othman, F., Ariff, A. B., 2020. Enhancement of beta-mannanase production by </w:t>
      </w:r>
      <w:r w:rsidRPr="001C2D21">
        <w:rPr>
          <w:rFonts w:ascii="Times New Roman" w:hAnsi="Times New Roman" w:cs="Times New Roman"/>
          <w:i/>
          <w:iCs/>
        </w:rPr>
        <w:t>Bacillus subtilis</w:t>
      </w:r>
      <w:r w:rsidRPr="001C2D21">
        <w:rPr>
          <w:rFonts w:ascii="Times New Roman" w:hAnsi="Times New Roman" w:cs="Times New Roman"/>
        </w:rPr>
        <w:t xml:space="preserve"> ATCC11774 through </w:t>
      </w:r>
      <w:r w:rsidRPr="001C2D21">
        <w:rPr>
          <w:rFonts w:ascii="Times New Roman" w:hAnsi="Times New Roman" w:cs="Times New Roman"/>
        </w:rPr>
        <w:lastRenderedPageBreak/>
        <w:t xml:space="preserve">optimization of medium composition. </w:t>
      </w:r>
      <w:r w:rsidRPr="001C2D21">
        <w:rPr>
          <w:rFonts w:ascii="Times New Roman" w:hAnsi="Times New Roman" w:cs="Times New Roman"/>
          <w:i/>
          <w:iCs/>
        </w:rPr>
        <w:t>Molecules</w:t>
      </w:r>
      <w:r w:rsidRPr="001C2D21">
        <w:rPr>
          <w:rFonts w:ascii="Times New Roman" w:hAnsi="Times New Roman" w:cs="Times New Roman"/>
        </w:rPr>
        <w:t xml:space="preserve"> 25, 3516</w:t>
      </w:r>
    </w:p>
    <w:p w14:paraId="062E48DE"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O'Brien, E. J., Monk, J. M., Palsson, B. O., 2015. Using genome-scale models to predict biological capabilities. </w:t>
      </w:r>
      <w:r w:rsidRPr="001C2D21">
        <w:rPr>
          <w:rFonts w:ascii="Times New Roman" w:hAnsi="Times New Roman" w:cs="Times New Roman"/>
          <w:i/>
          <w:iCs/>
        </w:rPr>
        <w:t>Cell</w:t>
      </w:r>
      <w:r w:rsidRPr="001C2D21">
        <w:rPr>
          <w:rFonts w:ascii="Times New Roman" w:hAnsi="Times New Roman" w:cs="Times New Roman"/>
        </w:rPr>
        <w:t>, 161,971-987.</w:t>
      </w:r>
    </w:p>
    <w:p w14:paraId="38AE1735"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Oftadeh, O., Salvy, P., Masid, M., Curvat, M., Miskovic, L., Hatzimanikatis, V., 2021. A genome-scale metabolic model of </w:t>
      </w:r>
      <w:r w:rsidRPr="001C2D21">
        <w:rPr>
          <w:rFonts w:ascii="Times New Roman" w:hAnsi="Times New Roman" w:cs="Times New Roman"/>
          <w:i/>
          <w:iCs/>
        </w:rPr>
        <w:t>Saccharomyces cerevisiae</w:t>
      </w:r>
      <w:r w:rsidRPr="001C2D21">
        <w:rPr>
          <w:rFonts w:ascii="Times New Roman" w:hAnsi="Times New Roman" w:cs="Times New Roman"/>
        </w:rPr>
        <w:t xml:space="preserve"> that integrates expression constraints and reaction thermodynamics. </w:t>
      </w:r>
      <w:r w:rsidRPr="001C2D21">
        <w:rPr>
          <w:rFonts w:ascii="Times New Roman" w:hAnsi="Times New Roman" w:cs="Times New Roman"/>
          <w:i/>
          <w:iCs/>
        </w:rPr>
        <w:t>Nat. Commun.</w:t>
      </w:r>
      <w:r w:rsidRPr="001C2D21">
        <w:rPr>
          <w:rFonts w:ascii="Times New Roman" w:hAnsi="Times New Roman" w:cs="Times New Roman"/>
        </w:rPr>
        <w:t xml:space="preserve"> 12, 4790.</w:t>
      </w:r>
    </w:p>
    <w:p w14:paraId="09BD2CB1"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Oh, Y. K., Palsson, B. O., Park, S. M., Schilling, C. H., Mahadevan, R., 2007. Genome-scale reconstruction of metabolic network in </w:t>
      </w:r>
      <w:r w:rsidRPr="001C2D21">
        <w:rPr>
          <w:rFonts w:ascii="Times New Roman" w:hAnsi="Times New Roman" w:cs="Times New Roman"/>
          <w:i/>
          <w:iCs/>
        </w:rPr>
        <w:t xml:space="preserve">Bacillus subtilis </w:t>
      </w:r>
      <w:r w:rsidRPr="001C2D21">
        <w:rPr>
          <w:rFonts w:ascii="Times New Roman" w:hAnsi="Times New Roman" w:cs="Times New Roman"/>
        </w:rPr>
        <w:t xml:space="preserve">based on high-throughput phenotyping and gene essentiality data. </w:t>
      </w:r>
      <w:r w:rsidRPr="001C2D21">
        <w:rPr>
          <w:rFonts w:ascii="Times New Roman" w:hAnsi="Times New Roman" w:cs="Times New Roman"/>
          <w:i/>
          <w:iCs/>
        </w:rPr>
        <w:t>J. Biol. Chem.</w:t>
      </w:r>
      <w:r w:rsidRPr="001C2D21">
        <w:rPr>
          <w:rFonts w:ascii="Times New Roman" w:hAnsi="Times New Roman" w:cs="Times New Roman"/>
        </w:rPr>
        <w:t xml:space="preserve"> 282, 28791-28799.</w:t>
      </w:r>
    </w:p>
    <w:p w14:paraId="39682D03"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Orth, J. D., Thiele, I., Palsson, B. Ø., 2010. What is flux balance analysis? </w:t>
      </w:r>
      <w:r w:rsidRPr="001C2D21">
        <w:rPr>
          <w:rFonts w:ascii="Times New Roman" w:hAnsi="Times New Roman" w:cs="Times New Roman"/>
          <w:i/>
          <w:iCs/>
        </w:rPr>
        <w:t>Nat. Biotechnol.</w:t>
      </w:r>
      <w:r w:rsidRPr="001C2D21">
        <w:rPr>
          <w:rFonts w:ascii="Times New Roman" w:hAnsi="Times New Roman" w:cs="Times New Roman"/>
        </w:rPr>
        <w:t xml:space="preserve"> 28, 245-248.</w:t>
      </w:r>
    </w:p>
    <w:p w14:paraId="6C939418"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Ruhl, M., Le Coq, D., Aymerich, S., Sauer, U., 2012. 13C-flux analysis reveals NADPH-balancing transhydrogenation cycles in stationary phase of nitrogen-starving </w:t>
      </w:r>
      <w:r w:rsidRPr="001C2D21">
        <w:rPr>
          <w:rFonts w:ascii="Times New Roman" w:hAnsi="Times New Roman" w:cs="Times New Roman"/>
          <w:i/>
          <w:iCs/>
        </w:rPr>
        <w:t>Bacillus subtilis</w:t>
      </w:r>
      <w:r w:rsidRPr="001C2D21">
        <w:rPr>
          <w:rFonts w:ascii="Times New Roman" w:hAnsi="Times New Roman" w:cs="Times New Roman"/>
        </w:rPr>
        <w:t xml:space="preserve">. </w:t>
      </w:r>
      <w:r w:rsidRPr="001C2D21">
        <w:rPr>
          <w:rFonts w:ascii="Times New Roman" w:hAnsi="Times New Roman" w:cs="Times New Roman"/>
          <w:i/>
          <w:iCs/>
        </w:rPr>
        <w:t>J. Biol. Chem.</w:t>
      </w:r>
      <w:r w:rsidRPr="001C2D21">
        <w:rPr>
          <w:rFonts w:ascii="Times New Roman" w:hAnsi="Times New Roman" w:cs="Times New Roman"/>
        </w:rPr>
        <w:t xml:space="preserve"> 287, 27959-27970.</w:t>
      </w:r>
    </w:p>
    <w:p w14:paraId="74A54BE9" w14:textId="3A3F943F"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R</w:t>
      </w:r>
      <w:r w:rsidR="009C7FB7">
        <w:rPr>
          <w:rFonts w:ascii="Times New Roman" w:hAnsi="Times New Roman" w:cs="Times New Roman" w:hint="eastAsia"/>
        </w:rPr>
        <w:t>u</w:t>
      </w:r>
      <w:r w:rsidRPr="001C2D21">
        <w:rPr>
          <w:rFonts w:ascii="Times New Roman" w:hAnsi="Times New Roman" w:cs="Times New Roman"/>
        </w:rPr>
        <w:t xml:space="preserve">hl, M., Rupp, B., Nöh, K., Wiechert, W., Sauer, U., Zamboni, N., 2012. Collisional fragmentation of central carbon metabolites in LC-MS/MS increases precision of ¹³C metabolic flux analysis. </w:t>
      </w:r>
      <w:r w:rsidRPr="001C2D21">
        <w:rPr>
          <w:rFonts w:ascii="Times New Roman" w:hAnsi="Times New Roman" w:cs="Times New Roman"/>
          <w:i/>
          <w:iCs/>
        </w:rPr>
        <w:t xml:space="preserve">Biotechnol. Bioeng. </w:t>
      </w:r>
      <w:r w:rsidRPr="001C2D21">
        <w:rPr>
          <w:rFonts w:ascii="Times New Roman" w:hAnsi="Times New Roman" w:cs="Times New Roman"/>
        </w:rPr>
        <w:t>109, 763-771.</w:t>
      </w:r>
    </w:p>
    <w:p w14:paraId="045E18C4"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Ruhl, M., Zamboni, N., Sauer, U., 2010. Dynamic flux responses in riboflavin overproducing </w:t>
      </w:r>
      <w:r w:rsidRPr="001C2D21">
        <w:rPr>
          <w:rFonts w:ascii="Times New Roman" w:hAnsi="Times New Roman" w:cs="Times New Roman"/>
          <w:i/>
          <w:iCs/>
        </w:rPr>
        <w:t>Bacillus subtilis</w:t>
      </w:r>
      <w:r w:rsidRPr="001C2D21">
        <w:rPr>
          <w:rFonts w:ascii="Times New Roman" w:hAnsi="Times New Roman" w:cs="Times New Roman"/>
        </w:rPr>
        <w:t xml:space="preserve"> to increasing glucose limitation in fed-batch culture.</w:t>
      </w:r>
      <w:r w:rsidRPr="001C2D21">
        <w:rPr>
          <w:rFonts w:ascii="Times New Roman" w:hAnsi="Times New Roman" w:cs="Times New Roman"/>
          <w:i/>
          <w:iCs/>
        </w:rPr>
        <w:t xml:space="preserve"> Biotechnol. Bioeng.</w:t>
      </w:r>
      <w:r w:rsidRPr="001C2D21">
        <w:rPr>
          <w:rFonts w:ascii="Times New Roman" w:hAnsi="Times New Roman" w:cs="Times New Roman"/>
        </w:rPr>
        <w:t xml:space="preserve"> 105, 795-804.</w:t>
      </w:r>
    </w:p>
    <w:p w14:paraId="28E8D911"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Rychel, K., Sastry, A. V., Palsson, B. O., 2020. Machine learning uncovers independently regulated modules in the </w:t>
      </w:r>
      <w:r w:rsidRPr="001C2D21">
        <w:rPr>
          <w:rFonts w:ascii="Times New Roman" w:hAnsi="Times New Roman" w:cs="Times New Roman"/>
          <w:i/>
          <w:iCs/>
        </w:rPr>
        <w:t>Bacillus subtilis</w:t>
      </w:r>
      <w:r w:rsidRPr="001C2D21">
        <w:rPr>
          <w:rFonts w:ascii="Times New Roman" w:hAnsi="Times New Roman" w:cs="Times New Roman"/>
        </w:rPr>
        <w:t xml:space="preserve"> transcriptome. </w:t>
      </w:r>
      <w:r w:rsidRPr="001C2D21">
        <w:rPr>
          <w:rFonts w:ascii="Times New Roman" w:hAnsi="Times New Roman" w:cs="Times New Roman"/>
          <w:i/>
          <w:iCs/>
        </w:rPr>
        <w:t>Nat. Commun.</w:t>
      </w:r>
      <w:r w:rsidRPr="001C2D21">
        <w:rPr>
          <w:rFonts w:ascii="Times New Roman" w:hAnsi="Times New Roman" w:cs="Times New Roman"/>
        </w:rPr>
        <w:t xml:space="preserve"> 11, 6338.</w:t>
      </w:r>
    </w:p>
    <w:p w14:paraId="07DC2E0E" w14:textId="554DF454"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Salvy, P., Fengos, G., Ataman, M., Pathier, T., Soh, K. C., Hatzimanikatis, V., 2019. pyTFA and matTFA: a </w:t>
      </w:r>
      <w:r w:rsidR="009D6449">
        <w:rPr>
          <w:rFonts w:ascii="Times New Roman" w:hAnsi="Times New Roman" w:cs="Times New Roman" w:hint="eastAsia"/>
        </w:rPr>
        <w:t>p</w:t>
      </w:r>
      <w:r w:rsidRPr="001C2D21">
        <w:rPr>
          <w:rFonts w:ascii="Times New Roman" w:hAnsi="Times New Roman" w:cs="Times New Roman"/>
        </w:rPr>
        <w:t xml:space="preserve">ython package and a </w:t>
      </w:r>
      <w:r w:rsidR="009C7FB7">
        <w:rPr>
          <w:rFonts w:ascii="Times New Roman" w:hAnsi="Times New Roman" w:cs="Times New Roman" w:hint="eastAsia"/>
        </w:rPr>
        <w:t>MATLAB</w:t>
      </w:r>
      <w:r w:rsidRPr="001C2D21">
        <w:rPr>
          <w:rFonts w:ascii="Times New Roman" w:hAnsi="Times New Roman" w:cs="Times New Roman"/>
        </w:rPr>
        <w:t xml:space="preserve"> toolbox for </w:t>
      </w:r>
      <w:r>
        <w:rPr>
          <w:rFonts w:ascii="Times New Roman" w:hAnsi="Times New Roman" w:cs="Times New Roman"/>
        </w:rPr>
        <w:t>t</w:t>
      </w:r>
      <w:r w:rsidRPr="001C2D21">
        <w:rPr>
          <w:rFonts w:ascii="Times New Roman" w:hAnsi="Times New Roman" w:cs="Times New Roman"/>
        </w:rPr>
        <w:t xml:space="preserve">hermodynamics-based </w:t>
      </w:r>
      <w:r>
        <w:rPr>
          <w:rFonts w:ascii="Times New Roman" w:hAnsi="Times New Roman" w:cs="Times New Roman"/>
        </w:rPr>
        <w:t>f</w:t>
      </w:r>
      <w:r w:rsidRPr="001C2D21">
        <w:rPr>
          <w:rFonts w:ascii="Times New Roman" w:hAnsi="Times New Roman" w:cs="Times New Roman"/>
        </w:rPr>
        <w:t xml:space="preserve">lux </w:t>
      </w:r>
      <w:r>
        <w:rPr>
          <w:rFonts w:ascii="Times New Roman" w:hAnsi="Times New Roman" w:cs="Times New Roman"/>
        </w:rPr>
        <w:t>a</w:t>
      </w:r>
      <w:r w:rsidRPr="001C2D21">
        <w:rPr>
          <w:rFonts w:ascii="Times New Roman" w:hAnsi="Times New Roman" w:cs="Times New Roman"/>
        </w:rPr>
        <w:t xml:space="preserve">nalysis. </w:t>
      </w:r>
      <w:r w:rsidRPr="001C2D21">
        <w:rPr>
          <w:rFonts w:ascii="Times New Roman" w:hAnsi="Times New Roman" w:cs="Times New Roman"/>
          <w:i/>
          <w:iCs/>
        </w:rPr>
        <w:t>Bioinformatics</w:t>
      </w:r>
      <w:r w:rsidRPr="001C2D21">
        <w:rPr>
          <w:rFonts w:ascii="Times New Roman" w:hAnsi="Times New Roman" w:cs="Times New Roman"/>
        </w:rPr>
        <w:t>. 35, 167-169.</w:t>
      </w:r>
    </w:p>
    <w:p w14:paraId="24DF9080"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Sanchez, B. J., Zhang, C., Nilsson, A., Lahtvee, P. J., Kerkhoven, E. J., Nielsen, J., 2017. Improving the phenotype predictions of a yeast genome-scale metabolic model by incorporating enzymatic constraints. </w:t>
      </w:r>
      <w:r w:rsidRPr="001C2D21">
        <w:rPr>
          <w:rFonts w:ascii="Times New Roman" w:hAnsi="Times New Roman" w:cs="Times New Roman"/>
          <w:i/>
          <w:iCs/>
        </w:rPr>
        <w:t>Mol. Syst. Biol.</w:t>
      </w:r>
      <w:r w:rsidRPr="001C2D21">
        <w:rPr>
          <w:rFonts w:ascii="Times New Roman" w:hAnsi="Times New Roman" w:cs="Times New Roman"/>
        </w:rPr>
        <w:t xml:space="preserve"> 13, 935.</w:t>
      </w:r>
    </w:p>
    <w:p w14:paraId="2FB747EE"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Soh, K. C., Hatzimanikatis, V., 2014. Constraining the flux space using thermodynamics and integration of metabolomics data. </w:t>
      </w:r>
      <w:r w:rsidRPr="001C2D21">
        <w:rPr>
          <w:rFonts w:ascii="Times New Roman" w:hAnsi="Times New Roman" w:cs="Times New Roman"/>
          <w:i/>
          <w:iCs/>
        </w:rPr>
        <w:t>Methods Mol. Biol.</w:t>
      </w:r>
      <w:r w:rsidRPr="001C2D21">
        <w:rPr>
          <w:rFonts w:ascii="Times New Roman" w:hAnsi="Times New Roman" w:cs="Times New Roman"/>
        </w:rPr>
        <w:t xml:space="preserve"> 1191, 49-63.</w:t>
      </w:r>
    </w:p>
    <w:p w14:paraId="254F4F9A"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Su, Y., Liu, C., Fang, H., Zhang, D., 2020. </w:t>
      </w:r>
      <w:r w:rsidRPr="001C2D21">
        <w:rPr>
          <w:rFonts w:ascii="Times New Roman" w:hAnsi="Times New Roman" w:cs="Times New Roman"/>
          <w:i/>
          <w:iCs/>
        </w:rPr>
        <w:t>Bacillus subtilis</w:t>
      </w:r>
      <w:r w:rsidRPr="001C2D21">
        <w:rPr>
          <w:rFonts w:ascii="Times New Roman" w:hAnsi="Times New Roman" w:cs="Times New Roman"/>
        </w:rPr>
        <w:t xml:space="preserve">: a universal cell factory for industry, agriculture, biomaterials and medicine. </w:t>
      </w:r>
      <w:r w:rsidRPr="001C2D21">
        <w:rPr>
          <w:rFonts w:ascii="Times New Roman" w:hAnsi="Times New Roman" w:cs="Times New Roman"/>
          <w:i/>
          <w:iCs/>
        </w:rPr>
        <w:t>Microb. Cell Fact.</w:t>
      </w:r>
      <w:r w:rsidRPr="001C2D21">
        <w:rPr>
          <w:rFonts w:ascii="Times New Roman" w:hAnsi="Times New Roman" w:cs="Times New Roman"/>
        </w:rPr>
        <w:t xml:space="preserve"> 19, 173.</w:t>
      </w:r>
    </w:p>
    <w:p w14:paraId="6EAD8E20"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Tanaka, K., Henry, C. S., Zinner, J. F., Jolivet, E., Cohoon, M. P., Xia, F., Bidnenko, V., Ehrlich, S. D., Stevens, R. L., Noirot, P., 2013. Building the repertoire of dispensable chromosome regions in </w:t>
      </w:r>
      <w:r w:rsidRPr="001C2D21">
        <w:rPr>
          <w:rFonts w:ascii="Times New Roman" w:hAnsi="Times New Roman" w:cs="Times New Roman"/>
          <w:i/>
          <w:iCs/>
        </w:rPr>
        <w:t>Bacillus subtilis</w:t>
      </w:r>
      <w:r w:rsidRPr="001C2D21">
        <w:rPr>
          <w:rFonts w:ascii="Times New Roman" w:hAnsi="Times New Roman" w:cs="Times New Roman"/>
        </w:rPr>
        <w:t xml:space="preserve"> entails major refinement of cognate large-scale metabolic model. </w:t>
      </w:r>
      <w:r w:rsidRPr="001C2D21">
        <w:rPr>
          <w:rFonts w:ascii="Times New Roman" w:hAnsi="Times New Roman" w:cs="Times New Roman"/>
          <w:i/>
          <w:iCs/>
        </w:rPr>
        <w:t>Nucleic Acids Res.</w:t>
      </w:r>
      <w:r w:rsidRPr="001C2D21">
        <w:rPr>
          <w:rFonts w:ascii="Times New Roman" w:hAnsi="Times New Roman" w:cs="Times New Roman"/>
        </w:rPr>
        <w:t xml:space="preserve"> 41, 687-699.</w:t>
      </w:r>
    </w:p>
    <w:p w14:paraId="133250E6"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Thiele, I., Palsson, B., 2010. A protocol for generating a high-quality genome-scale metabolic reconstruction. </w:t>
      </w:r>
      <w:r w:rsidRPr="001C2D21">
        <w:rPr>
          <w:rFonts w:ascii="Times New Roman" w:hAnsi="Times New Roman" w:cs="Times New Roman"/>
          <w:i/>
          <w:iCs/>
        </w:rPr>
        <w:t>Nat. Protoc.</w:t>
      </w:r>
      <w:r w:rsidRPr="001C2D21">
        <w:rPr>
          <w:rFonts w:ascii="Times New Roman" w:hAnsi="Times New Roman" w:cs="Times New Roman"/>
        </w:rPr>
        <w:t xml:space="preserve"> 5, 93-121.</w:t>
      </w:r>
    </w:p>
    <w:p w14:paraId="0C5630FE"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Vohradsky, J., Schwarz, M., Ramaniuk, O., Ruiz-Larrabeiti, O., Vankova Hausnerova, V., Sanderova, H., Krasny, L., 2021. Kinetic modeling and meta-analysis of the </w:t>
      </w:r>
      <w:r w:rsidRPr="001C2D21">
        <w:rPr>
          <w:rFonts w:ascii="Times New Roman" w:hAnsi="Times New Roman" w:cs="Times New Roman"/>
          <w:i/>
          <w:iCs/>
        </w:rPr>
        <w:t>Bacillus subtilis</w:t>
      </w:r>
      <w:r w:rsidRPr="001C2D21">
        <w:rPr>
          <w:rFonts w:ascii="Times New Roman" w:hAnsi="Times New Roman" w:cs="Times New Roman"/>
        </w:rPr>
        <w:t xml:space="preserve"> SigB regulon during spore germination and outgrowth. </w:t>
      </w:r>
      <w:r w:rsidRPr="001C2D21">
        <w:rPr>
          <w:rFonts w:ascii="Times New Roman" w:hAnsi="Times New Roman" w:cs="Times New Roman"/>
          <w:i/>
          <w:iCs/>
        </w:rPr>
        <w:t>Microorganisms</w:t>
      </w:r>
      <w:r w:rsidRPr="001C2D21">
        <w:rPr>
          <w:rFonts w:ascii="Times New Roman" w:hAnsi="Times New Roman" w:cs="Times New Roman"/>
        </w:rPr>
        <w:t xml:space="preserve"> 9, 112.</w:t>
      </w:r>
    </w:p>
    <w:p w14:paraId="61A244E8"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Yang, X., Mao, Z., Zhao, X., Wang, R., Zhang, P., Cai, J., Xue, C., Ma, H., 2021. Integrating thermodynamic and enzymatic constraints into genome-scale metabolic models. </w:t>
      </w:r>
      <w:r w:rsidRPr="001C2D21">
        <w:rPr>
          <w:rFonts w:ascii="Times New Roman" w:hAnsi="Times New Roman" w:cs="Times New Roman"/>
          <w:i/>
          <w:iCs/>
        </w:rPr>
        <w:t xml:space="preserve">Metab. Eng. </w:t>
      </w:r>
      <w:r w:rsidRPr="001C2D21">
        <w:rPr>
          <w:rFonts w:ascii="Times New Roman" w:hAnsi="Times New Roman" w:cs="Times New Roman"/>
        </w:rPr>
        <w:t>67, 133-144.</w:t>
      </w:r>
    </w:p>
    <w:p w14:paraId="293A60CF" w14:textId="77777777" w:rsidR="008706DD" w:rsidRPr="001C2D21" w:rsidRDefault="008706DD" w:rsidP="00665DAD">
      <w:pPr>
        <w:pStyle w:val="EndNoteBibliography"/>
        <w:ind w:left="720" w:hanging="436"/>
        <w:rPr>
          <w:rFonts w:ascii="Times New Roman" w:hAnsi="Times New Roman" w:cs="Times New Roman"/>
        </w:rPr>
      </w:pPr>
      <w:r w:rsidRPr="001C2D21">
        <w:rPr>
          <w:rFonts w:ascii="Times New Roman" w:hAnsi="Times New Roman" w:cs="Times New Roman"/>
        </w:rPr>
        <w:t xml:space="preserve">Zhang, J., Petersen, S. D., Radivojevic, T., Ramirez, A., Pérez-Manríquez, A., Abeliuk, E., Sánchez, </w:t>
      </w:r>
      <w:r w:rsidRPr="001C2D21">
        <w:rPr>
          <w:rFonts w:ascii="Times New Roman" w:hAnsi="Times New Roman" w:cs="Times New Roman"/>
        </w:rPr>
        <w:lastRenderedPageBreak/>
        <w:t xml:space="preserve">B. J., Costello, Z., Chen, Y., Fero, M. J., et al., 2020. Combining mechanistic and machine learning models for predictive engineering and optimization of tryptophan metabolism. </w:t>
      </w:r>
      <w:r w:rsidRPr="001C2D21">
        <w:rPr>
          <w:rFonts w:ascii="Times New Roman" w:hAnsi="Times New Roman" w:cs="Times New Roman"/>
          <w:i/>
          <w:iCs/>
        </w:rPr>
        <w:t>Nat. Commun.</w:t>
      </w:r>
      <w:r w:rsidRPr="001C2D21">
        <w:rPr>
          <w:rFonts w:ascii="Times New Roman" w:hAnsi="Times New Roman" w:cs="Times New Roman"/>
        </w:rPr>
        <w:t xml:space="preserve"> 11, 4880.</w:t>
      </w:r>
    </w:p>
    <w:p w14:paraId="3FA0A796" w14:textId="77777777" w:rsidR="008706DD" w:rsidRPr="000A2127" w:rsidRDefault="008706DD">
      <w:pPr>
        <w:widowControl/>
        <w:jc w:val="left"/>
        <w:rPr>
          <w:rFonts w:ascii="Times New Roman" w:hAnsi="Times New Roman" w:cs="Times New Roman"/>
          <w:noProof/>
          <w:sz w:val="20"/>
        </w:rPr>
      </w:pPr>
      <w:r w:rsidRPr="000A2127">
        <w:rPr>
          <w:rFonts w:ascii="Times New Roman" w:hAnsi="Times New Roman" w:cs="Times New Roman"/>
        </w:rPr>
        <w:br w:type="page"/>
      </w:r>
    </w:p>
    <w:p w14:paraId="5E7375F2" w14:textId="77777777" w:rsidR="008706DD" w:rsidRPr="000A2127" w:rsidRDefault="008706DD">
      <w:pPr>
        <w:widowControl/>
        <w:spacing w:line="480" w:lineRule="auto"/>
        <w:rPr>
          <w:rFonts w:ascii="Times New Roman" w:hAnsi="Times New Roman" w:cs="Times New Roman"/>
          <w:sz w:val="20"/>
          <w:szCs w:val="20"/>
        </w:rPr>
      </w:pPr>
      <w:r w:rsidRPr="000A2127">
        <w:rPr>
          <w:rFonts w:ascii="Times New Roman" w:hAnsi="Times New Roman" w:cs="Times New Roman"/>
          <w:b/>
          <w:bCs/>
          <w:sz w:val="20"/>
          <w:szCs w:val="20"/>
        </w:rPr>
        <w:lastRenderedPageBreak/>
        <w:t xml:space="preserve">Table 1 Model content overview in </w:t>
      </w:r>
      <w:r w:rsidRPr="000A2127">
        <w:rPr>
          <w:rFonts w:ascii="Times New Roman" w:hAnsi="Times New Roman" w:cs="Times New Roman"/>
          <w:b/>
          <w:bCs/>
          <w:i/>
          <w:iCs/>
          <w:sz w:val="20"/>
          <w:szCs w:val="20"/>
        </w:rPr>
        <w:t>B. subtilis</w:t>
      </w:r>
    </w:p>
    <w:tbl>
      <w:tblPr>
        <w:tblW w:w="5000" w:type="pct"/>
        <w:tblLayout w:type="fixed"/>
        <w:tblLook w:val="04A0" w:firstRow="1" w:lastRow="0" w:firstColumn="1" w:lastColumn="0" w:noHBand="0" w:noVBand="1"/>
      </w:tblPr>
      <w:tblGrid>
        <w:gridCol w:w="992"/>
        <w:gridCol w:w="1276"/>
        <w:gridCol w:w="708"/>
        <w:gridCol w:w="851"/>
        <w:gridCol w:w="851"/>
        <w:gridCol w:w="1419"/>
        <w:gridCol w:w="1274"/>
        <w:gridCol w:w="935"/>
      </w:tblGrid>
      <w:tr w:rsidR="008706DD" w:rsidRPr="000A2127" w14:paraId="22672466" w14:textId="77777777" w:rsidTr="00DC5245">
        <w:trPr>
          <w:trHeight w:val="1134"/>
        </w:trPr>
        <w:tc>
          <w:tcPr>
            <w:tcW w:w="597" w:type="pct"/>
            <w:tcBorders>
              <w:top w:val="single" w:sz="12" w:space="0" w:color="auto"/>
              <w:bottom w:val="single" w:sz="8" w:space="0" w:color="auto"/>
            </w:tcBorders>
            <w:vAlign w:val="center"/>
          </w:tcPr>
          <w:p w14:paraId="0E80B75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Genome annotations</w:t>
            </w:r>
          </w:p>
        </w:tc>
        <w:tc>
          <w:tcPr>
            <w:tcW w:w="768" w:type="pct"/>
            <w:tcBorders>
              <w:top w:val="single" w:sz="12" w:space="0" w:color="auto"/>
              <w:bottom w:val="single" w:sz="8" w:space="0" w:color="auto"/>
            </w:tcBorders>
            <w:vAlign w:val="center"/>
          </w:tcPr>
          <w:p w14:paraId="7B05F95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GEMs</w:t>
            </w:r>
          </w:p>
        </w:tc>
        <w:tc>
          <w:tcPr>
            <w:tcW w:w="426" w:type="pct"/>
            <w:tcBorders>
              <w:top w:val="single" w:sz="12" w:space="0" w:color="auto"/>
              <w:bottom w:val="single" w:sz="8" w:space="0" w:color="auto"/>
            </w:tcBorders>
            <w:vAlign w:val="center"/>
          </w:tcPr>
          <w:p w14:paraId="2F3C5B8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Genes</w:t>
            </w:r>
          </w:p>
        </w:tc>
        <w:tc>
          <w:tcPr>
            <w:tcW w:w="512" w:type="pct"/>
            <w:tcBorders>
              <w:top w:val="single" w:sz="12" w:space="0" w:color="auto"/>
              <w:bottom w:val="single" w:sz="8" w:space="0" w:color="auto"/>
            </w:tcBorders>
            <w:vAlign w:val="center"/>
          </w:tcPr>
          <w:p w14:paraId="3990DFF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Metabolites</w:t>
            </w:r>
          </w:p>
        </w:tc>
        <w:tc>
          <w:tcPr>
            <w:tcW w:w="512" w:type="pct"/>
            <w:tcBorders>
              <w:top w:val="single" w:sz="12" w:space="0" w:color="auto"/>
              <w:bottom w:val="single" w:sz="8" w:space="0" w:color="auto"/>
            </w:tcBorders>
            <w:vAlign w:val="center"/>
          </w:tcPr>
          <w:p w14:paraId="05EC622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Reactions</w:t>
            </w:r>
          </w:p>
        </w:tc>
        <w:tc>
          <w:tcPr>
            <w:tcW w:w="854" w:type="pct"/>
            <w:tcBorders>
              <w:top w:val="single" w:sz="12" w:space="0" w:color="auto"/>
              <w:bottom w:val="single" w:sz="8" w:space="0" w:color="auto"/>
            </w:tcBorders>
            <w:vAlign w:val="center"/>
          </w:tcPr>
          <w:p w14:paraId="587ECCE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Gap-filling</w:t>
            </w:r>
          </w:p>
        </w:tc>
        <w:tc>
          <w:tcPr>
            <w:tcW w:w="767" w:type="pct"/>
            <w:tcBorders>
              <w:top w:val="single" w:sz="12" w:space="0" w:color="auto"/>
              <w:bottom w:val="single" w:sz="8" w:space="0" w:color="auto"/>
            </w:tcBorders>
            <w:vAlign w:val="center"/>
          </w:tcPr>
          <w:p w14:paraId="1386DBF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Database</w:t>
            </w:r>
          </w:p>
        </w:tc>
        <w:tc>
          <w:tcPr>
            <w:tcW w:w="563" w:type="pct"/>
            <w:tcBorders>
              <w:top w:val="single" w:sz="12" w:space="0" w:color="auto"/>
              <w:bottom w:val="single" w:sz="8" w:space="0" w:color="auto"/>
            </w:tcBorders>
            <w:vAlign w:val="center"/>
          </w:tcPr>
          <w:p w14:paraId="37B1286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Refs.</w:t>
            </w:r>
          </w:p>
        </w:tc>
      </w:tr>
      <w:tr w:rsidR="008706DD" w:rsidRPr="000A2127" w14:paraId="1C5A1350" w14:textId="77777777" w:rsidTr="00DC5245">
        <w:tc>
          <w:tcPr>
            <w:tcW w:w="597" w:type="pct"/>
            <w:vMerge w:val="restart"/>
            <w:tcBorders>
              <w:top w:val="single" w:sz="8" w:space="0" w:color="auto"/>
            </w:tcBorders>
            <w:vAlign w:val="center"/>
          </w:tcPr>
          <w:p w14:paraId="69EC2D0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1997</w:t>
            </w:r>
            <w:r w:rsidRPr="000A2127">
              <w:rPr>
                <w:rFonts w:ascii="Times New Roman" w:hAnsi="Times New Roman" w:cs="Times New Roman"/>
                <w:noProof/>
                <w:sz w:val="20"/>
                <w:szCs w:val="20"/>
              </w:rPr>
              <w:t>(Kunst et al., 1997)</w:t>
            </w:r>
          </w:p>
        </w:tc>
        <w:tc>
          <w:tcPr>
            <w:tcW w:w="768" w:type="pct"/>
            <w:tcBorders>
              <w:top w:val="single" w:sz="8" w:space="0" w:color="auto"/>
            </w:tcBorders>
            <w:vAlign w:val="center"/>
          </w:tcPr>
          <w:p w14:paraId="248751F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Center model</w:t>
            </w:r>
          </w:p>
        </w:tc>
        <w:tc>
          <w:tcPr>
            <w:tcW w:w="426" w:type="pct"/>
            <w:tcBorders>
              <w:top w:val="single" w:sz="8" w:space="0" w:color="auto"/>
            </w:tcBorders>
            <w:vAlign w:val="center"/>
          </w:tcPr>
          <w:p w14:paraId="765F1E1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534</w:t>
            </w:r>
          </w:p>
        </w:tc>
        <w:tc>
          <w:tcPr>
            <w:tcW w:w="512" w:type="pct"/>
            <w:tcBorders>
              <w:top w:val="single" w:sz="8" w:space="0" w:color="auto"/>
            </w:tcBorders>
            <w:vAlign w:val="center"/>
          </w:tcPr>
          <w:p w14:paraId="3A12DB4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456</w:t>
            </w:r>
          </w:p>
        </w:tc>
        <w:tc>
          <w:tcPr>
            <w:tcW w:w="512" w:type="pct"/>
            <w:tcBorders>
              <w:top w:val="single" w:sz="8" w:space="0" w:color="auto"/>
            </w:tcBorders>
            <w:vAlign w:val="center"/>
          </w:tcPr>
          <w:p w14:paraId="007435F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563</w:t>
            </w:r>
          </w:p>
        </w:tc>
        <w:tc>
          <w:tcPr>
            <w:tcW w:w="854" w:type="pct"/>
            <w:tcBorders>
              <w:top w:val="single" w:sz="8" w:space="0" w:color="auto"/>
            </w:tcBorders>
            <w:vAlign w:val="center"/>
          </w:tcPr>
          <w:p w14:paraId="0546735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_</w:t>
            </w:r>
          </w:p>
        </w:tc>
        <w:tc>
          <w:tcPr>
            <w:tcW w:w="767" w:type="pct"/>
            <w:tcBorders>
              <w:top w:val="single" w:sz="8" w:space="0" w:color="auto"/>
            </w:tcBorders>
            <w:vAlign w:val="center"/>
          </w:tcPr>
          <w:p w14:paraId="7AC46038"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EcoCyc</w:t>
            </w:r>
            <w:proofErr w:type="spellEnd"/>
          </w:p>
        </w:tc>
        <w:tc>
          <w:tcPr>
            <w:tcW w:w="563" w:type="pct"/>
            <w:tcBorders>
              <w:top w:val="single" w:sz="8" w:space="0" w:color="auto"/>
            </w:tcBorders>
            <w:vAlign w:val="center"/>
          </w:tcPr>
          <w:p w14:paraId="5AAC3AD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(Goelzer et al., 2008)</w:t>
            </w:r>
          </w:p>
        </w:tc>
      </w:tr>
      <w:tr w:rsidR="008706DD" w:rsidRPr="000A2127" w14:paraId="5FB167DE" w14:textId="77777777" w:rsidTr="00DC5245">
        <w:tc>
          <w:tcPr>
            <w:tcW w:w="597" w:type="pct"/>
            <w:vMerge/>
            <w:vAlign w:val="center"/>
          </w:tcPr>
          <w:p w14:paraId="46A3A94C" w14:textId="77777777" w:rsidR="008706DD" w:rsidRPr="000A2127" w:rsidRDefault="008706DD">
            <w:pPr>
              <w:spacing w:line="480" w:lineRule="auto"/>
              <w:jc w:val="center"/>
              <w:rPr>
                <w:rFonts w:ascii="Times New Roman" w:hAnsi="Times New Roman" w:cs="Times New Roman"/>
                <w:sz w:val="20"/>
                <w:szCs w:val="20"/>
              </w:rPr>
            </w:pPr>
          </w:p>
        </w:tc>
        <w:tc>
          <w:tcPr>
            <w:tcW w:w="768" w:type="pct"/>
            <w:vAlign w:val="center"/>
          </w:tcPr>
          <w:p w14:paraId="0FA29C2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iYO844</w:t>
            </w:r>
          </w:p>
        </w:tc>
        <w:tc>
          <w:tcPr>
            <w:tcW w:w="426" w:type="pct"/>
            <w:vAlign w:val="center"/>
          </w:tcPr>
          <w:p w14:paraId="6C4D724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844</w:t>
            </w:r>
          </w:p>
        </w:tc>
        <w:tc>
          <w:tcPr>
            <w:tcW w:w="512" w:type="pct"/>
            <w:vAlign w:val="center"/>
          </w:tcPr>
          <w:p w14:paraId="7227415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988</w:t>
            </w:r>
          </w:p>
        </w:tc>
        <w:tc>
          <w:tcPr>
            <w:tcW w:w="512" w:type="pct"/>
            <w:vAlign w:val="center"/>
          </w:tcPr>
          <w:p w14:paraId="6702EEE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1021</w:t>
            </w:r>
          </w:p>
        </w:tc>
        <w:tc>
          <w:tcPr>
            <w:tcW w:w="854" w:type="pct"/>
            <w:vAlign w:val="center"/>
          </w:tcPr>
          <w:p w14:paraId="7693688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experiment</w:t>
            </w:r>
          </w:p>
        </w:tc>
        <w:tc>
          <w:tcPr>
            <w:tcW w:w="767" w:type="pct"/>
            <w:vAlign w:val="center"/>
          </w:tcPr>
          <w:p w14:paraId="101E2318"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SubList</w:t>
            </w:r>
            <w:proofErr w:type="spellEnd"/>
          </w:p>
        </w:tc>
        <w:tc>
          <w:tcPr>
            <w:tcW w:w="563" w:type="pct"/>
            <w:vAlign w:val="center"/>
          </w:tcPr>
          <w:p w14:paraId="6F35029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(Oh et al., 2007)</w:t>
            </w:r>
          </w:p>
        </w:tc>
      </w:tr>
      <w:tr w:rsidR="008706DD" w:rsidRPr="000A2127" w14:paraId="663913E4" w14:textId="77777777" w:rsidTr="00DC5245">
        <w:tc>
          <w:tcPr>
            <w:tcW w:w="597" w:type="pct"/>
            <w:vMerge/>
            <w:vAlign w:val="center"/>
          </w:tcPr>
          <w:p w14:paraId="33EAAA28" w14:textId="77777777" w:rsidR="008706DD" w:rsidRPr="000A2127" w:rsidRDefault="008706DD">
            <w:pPr>
              <w:spacing w:line="480" w:lineRule="auto"/>
              <w:jc w:val="center"/>
              <w:rPr>
                <w:rFonts w:ascii="Times New Roman" w:hAnsi="Times New Roman" w:cs="Times New Roman"/>
                <w:sz w:val="20"/>
                <w:szCs w:val="20"/>
              </w:rPr>
            </w:pPr>
          </w:p>
        </w:tc>
        <w:tc>
          <w:tcPr>
            <w:tcW w:w="768" w:type="pct"/>
            <w:vAlign w:val="center"/>
          </w:tcPr>
          <w:p w14:paraId="4C8E99B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Bsu1103</w:t>
            </w:r>
          </w:p>
        </w:tc>
        <w:tc>
          <w:tcPr>
            <w:tcW w:w="426" w:type="pct"/>
            <w:vAlign w:val="center"/>
          </w:tcPr>
          <w:p w14:paraId="15AB215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1103</w:t>
            </w:r>
          </w:p>
        </w:tc>
        <w:tc>
          <w:tcPr>
            <w:tcW w:w="512" w:type="pct"/>
            <w:vAlign w:val="center"/>
          </w:tcPr>
          <w:p w14:paraId="612B2B7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1139</w:t>
            </w:r>
          </w:p>
        </w:tc>
        <w:tc>
          <w:tcPr>
            <w:tcW w:w="512" w:type="pct"/>
            <w:vAlign w:val="center"/>
          </w:tcPr>
          <w:p w14:paraId="502EA5A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1437</w:t>
            </w:r>
          </w:p>
        </w:tc>
        <w:tc>
          <w:tcPr>
            <w:tcW w:w="854" w:type="pct"/>
            <w:vAlign w:val="center"/>
          </w:tcPr>
          <w:p w14:paraId="2894FCF0"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GrowMatch</w:t>
            </w:r>
            <w:proofErr w:type="spellEnd"/>
          </w:p>
        </w:tc>
        <w:tc>
          <w:tcPr>
            <w:tcW w:w="767" w:type="pct"/>
            <w:vAlign w:val="center"/>
          </w:tcPr>
          <w:p w14:paraId="76B848CB"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ModelSEED</w:t>
            </w:r>
            <w:proofErr w:type="spellEnd"/>
          </w:p>
        </w:tc>
        <w:tc>
          <w:tcPr>
            <w:tcW w:w="563" w:type="pct"/>
            <w:vAlign w:val="center"/>
          </w:tcPr>
          <w:p w14:paraId="16CD8A2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(Henry et al., 2009)</w:t>
            </w:r>
          </w:p>
        </w:tc>
      </w:tr>
      <w:tr w:rsidR="008706DD" w:rsidRPr="000A2127" w14:paraId="46AC8097" w14:textId="77777777" w:rsidTr="00DC5245">
        <w:tc>
          <w:tcPr>
            <w:tcW w:w="597" w:type="pct"/>
            <w:vMerge w:val="restart"/>
            <w:vAlign w:val="center"/>
          </w:tcPr>
          <w:p w14:paraId="36BCEDF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2009</w:t>
            </w:r>
            <w:r w:rsidRPr="000A2127">
              <w:rPr>
                <w:rFonts w:ascii="Times New Roman" w:hAnsi="Times New Roman" w:cs="Times New Roman"/>
                <w:noProof/>
                <w:sz w:val="20"/>
                <w:szCs w:val="20"/>
              </w:rPr>
              <w:t>(Barbe et al., 2009)</w:t>
            </w:r>
          </w:p>
        </w:tc>
        <w:tc>
          <w:tcPr>
            <w:tcW w:w="768" w:type="pct"/>
            <w:vAlign w:val="center"/>
          </w:tcPr>
          <w:p w14:paraId="0902ECC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Bsu1103v2</w:t>
            </w:r>
          </w:p>
        </w:tc>
        <w:tc>
          <w:tcPr>
            <w:tcW w:w="426" w:type="pct"/>
            <w:vAlign w:val="center"/>
          </w:tcPr>
          <w:p w14:paraId="5042A7B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1103</w:t>
            </w:r>
          </w:p>
        </w:tc>
        <w:tc>
          <w:tcPr>
            <w:tcW w:w="512" w:type="pct"/>
            <w:vAlign w:val="center"/>
          </w:tcPr>
          <w:p w14:paraId="282A243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1156</w:t>
            </w:r>
          </w:p>
        </w:tc>
        <w:tc>
          <w:tcPr>
            <w:tcW w:w="512" w:type="pct"/>
            <w:vAlign w:val="center"/>
          </w:tcPr>
          <w:p w14:paraId="73BC96B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1451</w:t>
            </w:r>
          </w:p>
        </w:tc>
        <w:tc>
          <w:tcPr>
            <w:tcW w:w="854" w:type="pct"/>
            <w:vAlign w:val="center"/>
          </w:tcPr>
          <w:p w14:paraId="24EFD06A"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Gapfilling</w:t>
            </w:r>
            <w:proofErr w:type="spellEnd"/>
          </w:p>
        </w:tc>
        <w:tc>
          <w:tcPr>
            <w:tcW w:w="767" w:type="pct"/>
            <w:vAlign w:val="center"/>
          </w:tcPr>
          <w:p w14:paraId="1F1B40CF"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ModelSEED</w:t>
            </w:r>
            <w:proofErr w:type="spellEnd"/>
          </w:p>
        </w:tc>
        <w:tc>
          <w:tcPr>
            <w:tcW w:w="563" w:type="pct"/>
            <w:vAlign w:val="center"/>
          </w:tcPr>
          <w:p w14:paraId="739217E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(Tanaka et al., 2013)</w:t>
            </w:r>
          </w:p>
        </w:tc>
      </w:tr>
      <w:tr w:rsidR="008706DD" w:rsidRPr="000A2127" w14:paraId="1A997219" w14:textId="77777777" w:rsidTr="00DC5245">
        <w:tc>
          <w:tcPr>
            <w:tcW w:w="597" w:type="pct"/>
            <w:vMerge/>
            <w:vAlign w:val="center"/>
          </w:tcPr>
          <w:p w14:paraId="62CE022F" w14:textId="77777777" w:rsidR="008706DD" w:rsidRPr="000A2127" w:rsidRDefault="008706DD">
            <w:pPr>
              <w:spacing w:line="480" w:lineRule="auto"/>
              <w:jc w:val="center"/>
              <w:rPr>
                <w:rFonts w:ascii="Times New Roman" w:hAnsi="Times New Roman" w:cs="Times New Roman"/>
                <w:sz w:val="20"/>
                <w:szCs w:val="20"/>
              </w:rPr>
            </w:pPr>
          </w:p>
        </w:tc>
        <w:tc>
          <w:tcPr>
            <w:tcW w:w="768" w:type="pct"/>
            <w:vAlign w:val="center"/>
          </w:tcPr>
          <w:p w14:paraId="1436C36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Bsu1147</w:t>
            </w:r>
          </w:p>
        </w:tc>
        <w:tc>
          <w:tcPr>
            <w:tcW w:w="426" w:type="pct"/>
            <w:vAlign w:val="center"/>
          </w:tcPr>
          <w:p w14:paraId="13F329B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1147</w:t>
            </w:r>
          </w:p>
        </w:tc>
        <w:tc>
          <w:tcPr>
            <w:tcW w:w="512" w:type="pct"/>
            <w:vAlign w:val="center"/>
          </w:tcPr>
          <w:p w14:paraId="7293855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1456</w:t>
            </w:r>
          </w:p>
        </w:tc>
        <w:tc>
          <w:tcPr>
            <w:tcW w:w="512" w:type="pct"/>
            <w:vAlign w:val="center"/>
          </w:tcPr>
          <w:p w14:paraId="206FB8E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1742</w:t>
            </w:r>
          </w:p>
        </w:tc>
        <w:tc>
          <w:tcPr>
            <w:tcW w:w="854" w:type="pct"/>
            <w:vAlign w:val="center"/>
          </w:tcPr>
          <w:p w14:paraId="7915E682"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Gapfilling</w:t>
            </w:r>
            <w:proofErr w:type="spellEnd"/>
          </w:p>
        </w:tc>
        <w:tc>
          <w:tcPr>
            <w:tcW w:w="767" w:type="pct"/>
            <w:vAlign w:val="center"/>
          </w:tcPr>
          <w:p w14:paraId="583912F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KEGG</w:t>
            </w:r>
          </w:p>
        </w:tc>
        <w:tc>
          <w:tcPr>
            <w:tcW w:w="563" w:type="pct"/>
            <w:vAlign w:val="center"/>
          </w:tcPr>
          <w:p w14:paraId="2098A25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(Hao et al., 2013)</w:t>
            </w:r>
          </w:p>
        </w:tc>
      </w:tr>
      <w:tr w:rsidR="008706DD" w:rsidRPr="000A2127" w14:paraId="2DA3438E" w14:textId="77777777" w:rsidTr="00DC5245">
        <w:tc>
          <w:tcPr>
            <w:tcW w:w="597" w:type="pct"/>
            <w:vAlign w:val="center"/>
          </w:tcPr>
          <w:p w14:paraId="0BBAF84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2013</w:t>
            </w:r>
            <w:r w:rsidRPr="000A2127">
              <w:rPr>
                <w:rFonts w:ascii="Times New Roman" w:hAnsi="Times New Roman" w:cs="Times New Roman"/>
                <w:noProof/>
                <w:sz w:val="20"/>
                <w:szCs w:val="20"/>
              </w:rPr>
              <w:t>(Belda et al., 2013)</w:t>
            </w:r>
          </w:p>
        </w:tc>
        <w:tc>
          <w:tcPr>
            <w:tcW w:w="768" w:type="pct"/>
            <w:vAlign w:val="center"/>
          </w:tcPr>
          <w:p w14:paraId="1ED3BBC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Bsu1144</w:t>
            </w:r>
          </w:p>
        </w:tc>
        <w:tc>
          <w:tcPr>
            <w:tcW w:w="426" w:type="pct"/>
            <w:vAlign w:val="center"/>
          </w:tcPr>
          <w:p w14:paraId="3BD757B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1144</w:t>
            </w:r>
          </w:p>
        </w:tc>
        <w:tc>
          <w:tcPr>
            <w:tcW w:w="512" w:type="pct"/>
            <w:vAlign w:val="center"/>
          </w:tcPr>
          <w:p w14:paraId="4F4C2D6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1103</w:t>
            </w:r>
          </w:p>
        </w:tc>
        <w:tc>
          <w:tcPr>
            <w:tcW w:w="512" w:type="pct"/>
            <w:vAlign w:val="center"/>
          </w:tcPr>
          <w:p w14:paraId="38772EF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1955</w:t>
            </w:r>
          </w:p>
        </w:tc>
        <w:tc>
          <w:tcPr>
            <w:tcW w:w="854" w:type="pct"/>
            <w:vAlign w:val="center"/>
          </w:tcPr>
          <w:p w14:paraId="4F51DCC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_</w:t>
            </w:r>
          </w:p>
        </w:tc>
        <w:tc>
          <w:tcPr>
            <w:tcW w:w="767" w:type="pct"/>
            <w:vAlign w:val="center"/>
          </w:tcPr>
          <w:p w14:paraId="128F7B5D" w14:textId="77777777" w:rsidR="008706DD" w:rsidRPr="000A2127" w:rsidRDefault="008706DD">
            <w:pPr>
              <w:spacing w:line="480" w:lineRule="auto"/>
              <w:jc w:val="center"/>
              <w:rPr>
                <w:rFonts w:ascii="Times New Roman" w:hAnsi="Times New Roman" w:cs="Times New Roman"/>
                <w:sz w:val="20"/>
                <w:szCs w:val="20"/>
              </w:rPr>
            </w:pPr>
            <w:proofErr w:type="spellStart"/>
            <w:r w:rsidRPr="000A2127">
              <w:rPr>
                <w:rFonts w:ascii="Times New Roman" w:hAnsi="Times New Roman" w:cs="Times New Roman"/>
                <w:sz w:val="20"/>
                <w:szCs w:val="20"/>
              </w:rPr>
              <w:t>MicroCyc</w:t>
            </w:r>
            <w:proofErr w:type="spellEnd"/>
          </w:p>
        </w:tc>
        <w:tc>
          <w:tcPr>
            <w:tcW w:w="563" w:type="pct"/>
            <w:vAlign w:val="center"/>
          </w:tcPr>
          <w:p w14:paraId="257C53B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(Kocabaş et al., 2017)</w:t>
            </w:r>
          </w:p>
        </w:tc>
      </w:tr>
      <w:tr w:rsidR="008706DD" w:rsidRPr="000A2127" w14:paraId="6CA4AB53" w14:textId="77777777" w:rsidTr="00DC5245">
        <w:tc>
          <w:tcPr>
            <w:tcW w:w="597" w:type="pct"/>
            <w:tcBorders>
              <w:bottom w:val="single" w:sz="12" w:space="0" w:color="auto"/>
            </w:tcBorders>
            <w:vAlign w:val="center"/>
          </w:tcPr>
          <w:p w14:paraId="6B63766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lastRenderedPageBreak/>
              <w:t>--</w:t>
            </w:r>
          </w:p>
        </w:tc>
        <w:tc>
          <w:tcPr>
            <w:tcW w:w="768" w:type="pct"/>
            <w:tcBorders>
              <w:bottom w:val="single" w:sz="12" w:space="0" w:color="auto"/>
            </w:tcBorders>
            <w:vAlign w:val="center"/>
          </w:tcPr>
          <w:p w14:paraId="61C222C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eciYO844</w:t>
            </w:r>
          </w:p>
        </w:tc>
        <w:tc>
          <w:tcPr>
            <w:tcW w:w="426" w:type="pct"/>
            <w:tcBorders>
              <w:bottom w:val="single" w:sz="12" w:space="0" w:color="auto"/>
            </w:tcBorders>
            <w:vAlign w:val="center"/>
          </w:tcPr>
          <w:p w14:paraId="6FBC687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844</w:t>
            </w:r>
          </w:p>
        </w:tc>
        <w:tc>
          <w:tcPr>
            <w:tcW w:w="512" w:type="pct"/>
            <w:tcBorders>
              <w:bottom w:val="single" w:sz="12" w:space="0" w:color="auto"/>
            </w:tcBorders>
            <w:vAlign w:val="center"/>
          </w:tcPr>
          <w:p w14:paraId="2A01282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988</w:t>
            </w:r>
          </w:p>
        </w:tc>
        <w:tc>
          <w:tcPr>
            <w:tcW w:w="512" w:type="pct"/>
            <w:tcBorders>
              <w:bottom w:val="single" w:sz="12" w:space="0" w:color="auto"/>
            </w:tcBorders>
            <w:vAlign w:val="center"/>
          </w:tcPr>
          <w:p w14:paraId="096D2DC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1021</w:t>
            </w:r>
          </w:p>
        </w:tc>
        <w:tc>
          <w:tcPr>
            <w:tcW w:w="854" w:type="pct"/>
            <w:tcBorders>
              <w:bottom w:val="single" w:sz="12" w:space="0" w:color="auto"/>
            </w:tcBorders>
            <w:vAlign w:val="center"/>
          </w:tcPr>
          <w:p w14:paraId="3C817F6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_</w:t>
            </w:r>
          </w:p>
        </w:tc>
        <w:tc>
          <w:tcPr>
            <w:tcW w:w="767" w:type="pct"/>
            <w:tcBorders>
              <w:bottom w:val="single" w:sz="12" w:space="0" w:color="auto"/>
            </w:tcBorders>
            <w:vAlign w:val="center"/>
          </w:tcPr>
          <w:p w14:paraId="4F00C1D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BRENDA</w:t>
            </w:r>
          </w:p>
        </w:tc>
        <w:tc>
          <w:tcPr>
            <w:tcW w:w="563" w:type="pct"/>
            <w:tcBorders>
              <w:bottom w:val="single" w:sz="12" w:space="0" w:color="auto"/>
            </w:tcBorders>
            <w:vAlign w:val="center"/>
          </w:tcPr>
          <w:p w14:paraId="6B1A57B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sz w:val="20"/>
                <w:szCs w:val="20"/>
              </w:rPr>
              <w:t>(Massaiu et al., 2019)</w:t>
            </w:r>
          </w:p>
        </w:tc>
      </w:tr>
    </w:tbl>
    <w:p w14:paraId="044D7BE1" w14:textId="77777777" w:rsidR="008706DD" w:rsidRPr="000A2127" w:rsidRDefault="008706DD">
      <w:pPr>
        <w:spacing w:line="480" w:lineRule="auto"/>
        <w:rPr>
          <w:rFonts w:ascii="Times New Roman" w:hAnsi="Times New Roman" w:cs="Times New Roman"/>
          <w:sz w:val="20"/>
          <w:szCs w:val="20"/>
        </w:rPr>
      </w:pPr>
    </w:p>
    <w:p w14:paraId="2B96096F"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35F49E9F" w14:textId="77777777" w:rsidR="008706DD" w:rsidRPr="000A2127" w:rsidRDefault="008706DD">
      <w:pPr>
        <w:spacing w:line="480" w:lineRule="auto"/>
        <w:rPr>
          <w:rFonts w:ascii="Times New Roman" w:hAnsi="Times New Roman" w:cs="Times New Roman"/>
          <w:b/>
          <w:bCs/>
          <w:sz w:val="20"/>
          <w:szCs w:val="20"/>
        </w:rPr>
      </w:pPr>
      <w:r w:rsidRPr="000A2127">
        <w:rPr>
          <w:rFonts w:ascii="Times New Roman" w:hAnsi="Times New Roman" w:cs="Times New Roman"/>
          <w:b/>
          <w:bCs/>
          <w:sz w:val="20"/>
          <w:szCs w:val="20"/>
        </w:rPr>
        <w:lastRenderedPageBreak/>
        <w:t>Table 2 Properties of</w:t>
      </w:r>
      <w:r w:rsidRPr="000A2127">
        <w:rPr>
          <w:rFonts w:ascii="Times New Roman" w:hAnsi="Times New Roman" w:cs="Times New Roman"/>
          <w:b/>
          <w:bCs/>
          <w:i/>
          <w:iCs/>
          <w:sz w:val="20"/>
          <w:szCs w:val="20"/>
        </w:rPr>
        <w:t xml:space="preserve"> i</w:t>
      </w:r>
      <w:r w:rsidRPr="000A2127">
        <w:rPr>
          <w:rFonts w:ascii="Times New Roman" w:hAnsi="Times New Roman" w:cs="Times New Roman"/>
          <w:b/>
          <w:bCs/>
          <w:sz w:val="20"/>
          <w:szCs w:val="20"/>
        </w:rPr>
        <w:t>Bsu1209 and</w:t>
      </w:r>
      <w:r w:rsidRPr="000A2127">
        <w:rPr>
          <w:rFonts w:ascii="Times New Roman" w:hAnsi="Times New Roman" w:cs="Times New Roman"/>
          <w:b/>
          <w:bCs/>
          <w:i/>
          <w:iCs/>
          <w:sz w:val="20"/>
          <w:szCs w:val="20"/>
        </w:rPr>
        <w:t xml:space="preserve"> i</w:t>
      </w:r>
      <w:r w:rsidRPr="000A2127">
        <w:rPr>
          <w:rFonts w:ascii="Times New Roman" w:hAnsi="Times New Roman" w:cs="Times New Roman"/>
          <w:b/>
          <w:bCs/>
          <w:sz w:val="20"/>
          <w:szCs w:val="20"/>
        </w:rPr>
        <w:t>Bsu1147</w:t>
      </w:r>
    </w:p>
    <w:tbl>
      <w:tblPr>
        <w:tblW w:w="0" w:type="auto"/>
        <w:jc w:val="center"/>
        <w:tblLook w:val="04A0" w:firstRow="1" w:lastRow="0" w:firstColumn="1" w:lastColumn="0" w:noHBand="0" w:noVBand="1"/>
      </w:tblPr>
      <w:tblGrid>
        <w:gridCol w:w="2765"/>
        <w:gridCol w:w="2765"/>
        <w:gridCol w:w="2766"/>
      </w:tblGrid>
      <w:tr w:rsidR="008706DD" w:rsidRPr="000A2127" w14:paraId="617A12E1" w14:textId="77777777">
        <w:trPr>
          <w:jc w:val="center"/>
        </w:trPr>
        <w:tc>
          <w:tcPr>
            <w:tcW w:w="2765" w:type="dxa"/>
            <w:tcBorders>
              <w:top w:val="single" w:sz="12" w:space="0" w:color="auto"/>
              <w:bottom w:val="single" w:sz="8" w:space="0" w:color="auto"/>
            </w:tcBorders>
            <w:vAlign w:val="center"/>
          </w:tcPr>
          <w:p w14:paraId="0476158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Type</w:t>
            </w:r>
          </w:p>
        </w:tc>
        <w:tc>
          <w:tcPr>
            <w:tcW w:w="2765" w:type="dxa"/>
            <w:tcBorders>
              <w:top w:val="single" w:sz="12" w:space="0" w:color="auto"/>
              <w:bottom w:val="single" w:sz="8" w:space="0" w:color="auto"/>
            </w:tcBorders>
            <w:vAlign w:val="center"/>
          </w:tcPr>
          <w:p w14:paraId="4125894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Bsu1209</w:t>
            </w:r>
          </w:p>
        </w:tc>
        <w:tc>
          <w:tcPr>
            <w:tcW w:w="2766" w:type="dxa"/>
            <w:tcBorders>
              <w:top w:val="single" w:sz="12" w:space="0" w:color="auto"/>
              <w:bottom w:val="single" w:sz="8" w:space="0" w:color="auto"/>
            </w:tcBorders>
            <w:vAlign w:val="center"/>
          </w:tcPr>
          <w:p w14:paraId="580F63F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Bsu1147</w:t>
            </w:r>
          </w:p>
        </w:tc>
      </w:tr>
      <w:tr w:rsidR="008706DD" w:rsidRPr="000A2127" w14:paraId="3E43DF1D" w14:textId="77777777">
        <w:trPr>
          <w:jc w:val="center"/>
        </w:trPr>
        <w:tc>
          <w:tcPr>
            <w:tcW w:w="2765" w:type="dxa"/>
            <w:tcBorders>
              <w:top w:val="single" w:sz="8" w:space="0" w:color="auto"/>
            </w:tcBorders>
            <w:vAlign w:val="center"/>
          </w:tcPr>
          <w:p w14:paraId="2333250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Genes</w:t>
            </w:r>
          </w:p>
        </w:tc>
        <w:tc>
          <w:tcPr>
            <w:tcW w:w="2765" w:type="dxa"/>
            <w:tcBorders>
              <w:top w:val="single" w:sz="8" w:space="0" w:color="auto"/>
            </w:tcBorders>
            <w:vAlign w:val="center"/>
          </w:tcPr>
          <w:p w14:paraId="7C1FFE2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1209</w:t>
            </w:r>
          </w:p>
        </w:tc>
        <w:tc>
          <w:tcPr>
            <w:tcW w:w="2766" w:type="dxa"/>
            <w:tcBorders>
              <w:top w:val="single" w:sz="8" w:space="0" w:color="auto"/>
            </w:tcBorders>
            <w:vAlign w:val="center"/>
          </w:tcPr>
          <w:p w14:paraId="7265964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1147</w:t>
            </w:r>
          </w:p>
        </w:tc>
      </w:tr>
      <w:tr w:rsidR="008706DD" w:rsidRPr="000A2127" w14:paraId="7C48606D" w14:textId="77777777">
        <w:trPr>
          <w:jc w:val="center"/>
        </w:trPr>
        <w:tc>
          <w:tcPr>
            <w:tcW w:w="2765" w:type="dxa"/>
            <w:vAlign w:val="center"/>
          </w:tcPr>
          <w:p w14:paraId="4CD33EF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Metabolites</w:t>
            </w:r>
          </w:p>
        </w:tc>
        <w:tc>
          <w:tcPr>
            <w:tcW w:w="2765" w:type="dxa"/>
            <w:vAlign w:val="center"/>
          </w:tcPr>
          <w:p w14:paraId="5F2364F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1596</w:t>
            </w:r>
          </w:p>
        </w:tc>
        <w:tc>
          <w:tcPr>
            <w:tcW w:w="2766" w:type="dxa"/>
            <w:vAlign w:val="center"/>
          </w:tcPr>
          <w:p w14:paraId="6BE6474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1592</w:t>
            </w:r>
          </w:p>
        </w:tc>
      </w:tr>
      <w:tr w:rsidR="008706DD" w:rsidRPr="000A2127" w14:paraId="5ADBEE46" w14:textId="77777777">
        <w:trPr>
          <w:jc w:val="center"/>
        </w:trPr>
        <w:tc>
          <w:tcPr>
            <w:tcW w:w="2765" w:type="dxa"/>
            <w:vAlign w:val="center"/>
          </w:tcPr>
          <w:p w14:paraId="7FA8314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Cytoplasmic metabolites</w:t>
            </w:r>
          </w:p>
        </w:tc>
        <w:tc>
          <w:tcPr>
            <w:tcW w:w="2765" w:type="dxa"/>
            <w:vAlign w:val="center"/>
          </w:tcPr>
          <w:p w14:paraId="727852F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1403</w:t>
            </w:r>
          </w:p>
        </w:tc>
        <w:tc>
          <w:tcPr>
            <w:tcW w:w="2766" w:type="dxa"/>
            <w:vAlign w:val="center"/>
          </w:tcPr>
          <w:p w14:paraId="0D14325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1207</w:t>
            </w:r>
          </w:p>
        </w:tc>
      </w:tr>
      <w:tr w:rsidR="008706DD" w:rsidRPr="000A2127" w14:paraId="29462D45" w14:textId="77777777">
        <w:trPr>
          <w:jc w:val="center"/>
        </w:trPr>
        <w:tc>
          <w:tcPr>
            <w:tcW w:w="2765" w:type="dxa"/>
            <w:vAlign w:val="center"/>
          </w:tcPr>
          <w:p w14:paraId="4250D5E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Extracellular metabolites</w:t>
            </w:r>
          </w:p>
        </w:tc>
        <w:tc>
          <w:tcPr>
            <w:tcW w:w="2765" w:type="dxa"/>
            <w:vAlign w:val="center"/>
          </w:tcPr>
          <w:p w14:paraId="322A32D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193</w:t>
            </w:r>
          </w:p>
        </w:tc>
        <w:tc>
          <w:tcPr>
            <w:tcW w:w="2766" w:type="dxa"/>
            <w:vAlign w:val="center"/>
          </w:tcPr>
          <w:p w14:paraId="17EE3A7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258</w:t>
            </w:r>
          </w:p>
        </w:tc>
      </w:tr>
      <w:tr w:rsidR="008706DD" w:rsidRPr="000A2127" w14:paraId="2173FD3A" w14:textId="77777777">
        <w:trPr>
          <w:jc w:val="center"/>
        </w:trPr>
        <w:tc>
          <w:tcPr>
            <w:tcW w:w="2765" w:type="dxa"/>
            <w:vAlign w:val="center"/>
          </w:tcPr>
          <w:p w14:paraId="0443667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Reactions</w:t>
            </w:r>
          </w:p>
        </w:tc>
        <w:tc>
          <w:tcPr>
            <w:tcW w:w="2765" w:type="dxa"/>
            <w:vAlign w:val="center"/>
          </w:tcPr>
          <w:p w14:paraId="28BEB82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1950</w:t>
            </w:r>
          </w:p>
        </w:tc>
        <w:tc>
          <w:tcPr>
            <w:tcW w:w="2766" w:type="dxa"/>
            <w:vAlign w:val="center"/>
          </w:tcPr>
          <w:p w14:paraId="37AA75B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1755</w:t>
            </w:r>
          </w:p>
        </w:tc>
      </w:tr>
      <w:tr w:rsidR="008706DD" w:rsidRPr="000A2127" w14:paraId="771574AD" w14:textId="77777777">
        <w:trPr>
          <w:jc w:val="center"/>
        </w:trPr>
        <w:tc>
          <w:tcPr>
            <w:tcW w:w="2765" w:type="dxa"/>
            <w:vAlign w:val="center"/>
          </w:tcPr>
          <w:p w14:paraId="79C64F9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Transport reactions</w:t>
            </w:r>
          </w:p>
        </w:tc>
        <w:tc>
          <w:tcPr>
            <w:tcW w:w="2765" w:type="dxa"/>
            <w:vAlign w:val="center"/>
          </w:tcPr>
          <w:p w14:paraId="47E7620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223</w:t>
            </w:r>
          </w:p>
        </w:tc>
        <w:tc>
          <w:tcPr>
            <w:tcW w:w="2766" w:type="dxa"/>
            <w:vAlign w:val="center"/>
          </w:tcPr>
          <w:p w14:paraId="12A8F6E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294</w:t>
            </w:r>
          </w:p>
        </w:tc>
      </w:tr>
      <w:tr w:rsidR="008706DD" w:rsidRPr="000A2127" w14:paraId="5C76A79C" w14:textId="77777777">
        <w:trPr>
          <w:jc w:val="center"/>
        </w:trPr>
        <w:tc>
          <w:tcPr>
            <w:tcW w:w="2765" w:type="dxa"/>
            <w:tcBorders>
              <w:bottom w:val="single" w:sz="12" w:space="0" w:color="auto"/>
            </w:tcBorders>
            <w:vAlign w:val="center"/>
          </w:tcPr>
          <w:p w14:paraId="0D2A12D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Exchange reactions</w:t>
            </w:r>
          </w:p>
        </w:tc>
        <w:tc>
          <w:tcPr>
            <w:tcW w:w="2765" w:type="dxa"/>
            <w:tcBorders>
              <w:bottom w:val="single" w:sz="12" w:space="0" w:color="auto"/>
            </w:tcBorders>
            <w:vAlign w:val="center"/>
          </w:tcPr>
          <w:p w14:paraId="2221EE5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205</w:t>
            </w:r>
          </w:p>
        </w:tc>
        <w:tc>
          <w:tcPr>
            <w:tcW w:w="2766" w:type="dxa"/>
            <w:tcBorders>
              <w:bottom w:val="single" w:sz="12" w:space="0" w:color="auto"/>
            </w:tcBorders>
            <w:vAlign w:val="center"/>
          </w:tcPr>
          <w:p w14:paraId="0AC2565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258</w:t>
            </w:r>
          </w:p>
        </w:tc>
      </w:tr>
    </w:tbl>
    <w:p w14:paraId="4F08F65F" w14:textId="77777777" w:rsidR="008706DD" w:rsidRPr="000A2127" w:rsidRDefault="008706DD">
      <w:pPr>
        <w:spacing w:line="480" w:lineRule="auto"/>
        <w:rPr>
          <w:rFonts w:ascii="Times New Roman" w:hAnsi="Times New Roman" w:cs="Times New Roman"/>
          <w:sz w:val="20"/>
          <w:szCs w:val="20"/>
        </w:rPr>
      </w:pPr>
    </w:p>
    <w:p w14:paraId="25E0672A"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2CE28921" w14:textId="77777777" w:rsidR="008706DD" w:rsidRPr="000A2127" w:rsidRDefault="008706DD">
      <w:pPr>
        <w:spacing w:line="480" w:lineRule="auto"/>
        <w:rPr>
          <w:rFonts w:ascii="Times New Roman" w:hAnsi="Times New Roman" w:cs="Times New Roman"/>
          <w:b/>
          <w:bCs/>
          <w:sz w:val="20"/>
          <w:szCs w:val="20"/>
        </w:rPr>
      </w:pPr>
      <w:r w:rsidRPr="000A2127">
        <w:rPr>
          <w:rFonts w:ascii="Times New Roman" w:hAnsi="Times New Roman" w:cs="Times New Roman"/>
          <w:b/>
          <w:bCs/>
          <w:sz w:val="20"/>
          <w:szCs w:val="20"/>
        </w:rPr>
        <w:lastRenderedPageBreak/>
        <w:t>Table 3 Growth prediction of different sources in</w:t>
      </w:r>
      <w:r w:rsidRPr="000A2127">
        <w:rPr>
          <w:rFonts w:ascii="Times New Roman" w:hAnsi="Times New Roman" w:cs="Times New Roman"/>
          <w:b/>
          <w:bCs/>
          <w:i/>
          <w:iCs/>
          <w:sz w:val="20"/>
          <w:szCs w:val="20"/>
        </w:rPr>
        <w:t xml:space="preserve"> i</w:t>
      </w:r>
      <w:r w:rsidRPr="000A2127">
        <w:rPr>
          <w:rFonts w:ascii="Times New Roman" w:hAnsi="Times New Roman" w:cs="Times New Roman"/>
          <w:b/>
          <w:bCs/>
          <w:sz w:val="20"/>
          <w:szCs w:val="20"/>
        </w:rPr>
        <w:t>Bsu1209 and</w:t>
      </w:r>
      <w:r w:rsidRPr="000A2127">
        <w:rPr>
          <w:rFonts w:ascii="Times New Roman" w:hAnsi="Times New Roman" w:cs="Times New Roman"/>
          <w:b/>
          <w:bCs/>
          <w:i/>
          <w:iCs/>
          <w:sz w:val="20"/>
          <w:szCs w:val="20"/>
        </w:rPr>
        <w:t xml:space="preserve"> i</w:t>
      </w:r>
      <w:r w:rsidRPr="000A2127">
        <w:rPr>
          <w:rFonts w:ascii="Times New Roman" w:hAnsi="Times New Roman" w:cs="Times New Roman"/>
          <w:b/>
          <w:bCs/>
          <w:sz w:val="20"/>
          <w:szCs w:val="20"/>
        </w:rPr>
        <w:t>Bsu1147</w:t>
      </w:r>
    </w:p>
    <w:tbl>
      <w:tblPr>
        <w:tblW w:w="0" w:type="auto"/>
        <w:tblLayout w:type="fixed"/>
        <w:tblLook w:val="04A0" w:firstRow="1" w:lastRow="0" w:firstColumn="1" w:lastColumn="0" w:noHBand="0" w:noVBand="1"/>
      </w:tblPr>
      <w:tblGrid>
        <w:gridCol w:w="1276"/>
        <w:gridCol w:w="1134"/>
        <w:gridCol w:w="2414"/>
        <w:gridCol w:w="1272"/>
        <w:gridCol w:w="2210"/>
      </w:tblGrid>
      <w:tr w:rsidR="008706DD" w:rsidRPr="000A2127" w14:paraId="6C77C4CA" w14:textId="77777777" w:rsidTr="000A2127">
        <w:tc>
          <w:tcPr>
            <w:tcW w:w="1276" w:type="dxa"/>
            <w:vMerge w:val="restart"/>
            <w:tcBorders>
              <w:top w:val="single" w:sz="12" w:space="0" w:color="auto"/>
            </w:tcBorders>
            <w:vAlign w:val="center"/>
          </w:tcPr>
          <w:p w14:paraId="09B38CC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Source</w:t>
            </w:r>
          </w:p>
        </w:tc>
        <w:tc>
          <w:tcPr>
            <w:tcW w:w="3548" w:type="dxa"/>
            <w:gridSpan w:val="2"/>
            <w:tcBorders>
              <w:top w:val="single" w:sz="12" w:space="0" w:color="auto"/>
              <w:bottom w:val="single" w:sz="4" w:space="0" w:color="auto"/>
            </w:tcBorders>
            <w:vAlign w:val="center"/>
          </w:tcPr>
          <w:p w14:paraId="482CADA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Bsu1209</w:t>
            </w:r>
          </w:p>
        </w:tc>
        <w:tc>
          <w:tcPr>
            <w:tcW w:w="3482" w:type="dxa"/>
            <w:gridSpan w:val="2"/>
            <w:tcBorders>
              <w:top w:val="single" w:sz="12" w:space="0" w:color="auto"/>
              <w:bottom w:val="single" w:sz="4" w:space="0" w:color="auto"/>
            </w:tcBorders>
            <w:vAlign w:val="center"/>
          </w:tcPr>
          <w:p w14:paraId="750F713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Bsu1147</w:t>
            </w:r>
          </w:p>
        </w:tc>
      </w:tr>
      <w:tr w:rsidR="008706DD" w:rsidRPr="000A2127" w14:paraId="3CC0D609" w14:textId="77777777" w:rsidTr="000A2127">
        <w:tc>
          <w:tcPr>
            <w:tcW w:w="1276" w:type="dxa"/>
            <w:vMerge/>
            <w:tcBorders>
              <w:bottom w:val="single" w:sz="8" w:space="0" w:color="auto"/>
            </w:tcBorders>
            <w:vAlign w:val="center"/>
          </w:tcPr>
          <w:p w14:paraId="49C56A00" w14:textId="77777777" w:rsidR="008706DD" w:rsidRPr="000A2127" w:rsidRDefault="008706DD">
            <w:pPr>
              <w:spacing w:line="480" w:lineRule="auto"/>
              <w:jc w:val="center"/>
              <w:rPr>
                <w:rFonts w:ascii="Times New Roman" w:hAnsi="Times New Roman" w:cs="Times New Roman"/>
                <w:sz w:val="20"/>
                <w:szCs w:val="20"/>
              </w:rPr>
            </w:pPr>
          </w:p>
        </w:tc>
        <w:tc>
          <w:tcPr>
            <w:tcW w:w="1134" w:type="dxa"/>
            <w:tcBorders>
              <w:top w:val="single" w:sz="4" w:space="0" w:color="auto"/>
              <w:bottom w:val="single" w:sz="8" w:space="0" w:color="auto"/>
            </w:tcBorders>
            <w:vAlign w:val="center"/>
          </w:tcPr>
          <w:p w14:paraId="35805C2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Potential</w:t>
            </w:r>
          </w:p>
          <w:p w14:paraId="185B984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substrates</w:t>
            </w:r>
          </w:p>
        </w:tc>
        <w:tc>
          <w:tcPr>
            <w:tcW w:w="2414" w:type="dxa"/>
            <w:tcBorders>
              <w:top w:val="single" w:sz="4" w:space="0" w:color="auto"/>
              <w:bottom w:val="single" w:sz="8" w:space="0" w:color="auto"/>
            </w:tcBorders>
            <w:vAlign w:val="center"/>
          </w:tcPr>
          <w:p w14:paraId="0CED0B4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Growth</w:t>
            </w:r>
          </w:p>
          <w:p w14:paraId="7CD53F9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supporting(proportion)</w:t>
            </w:r>
          </w:p>
        </w:tc>
        <w:tc>
          <w:tcPr>
            <w:tcW w:w="1272" w:type="dxa"/>
            <w:tcBorders>
              <w:top w:val="single" w:sz="4" w:space="0" w:color="auto"/>
              <w:bottom w:val="single" w:sz="8" w:space="0" w:color="auto"/>
            </w:tcBorders>
            <w:vAlign w:val="center"/>
          </w:tcPr>
          <w:p w14:paraId="1BF627B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Potential</w:t>
            </w:r>
          </w:p>
          <w:p w14:paraId="4D5DEAB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substrates</w:t>
            </w:r>
          </w:p>
        </w:tc>
        <w:tc>
          <w:tcPr>
            <w:tcW w:w="2210" w:type="dxa"/>
            <w:tcBorders>
              <w:top w:val="single" w:sz="4" w:space="0" w:color="auto"/>
              <w:bottom w:val="single" w:sz="8" w:space="0" w:color="auto"/>
            </w:tcBorders>
            <w:vAlign w:val="center"/>
          </w:tcPr>
          <w:p w14:paraId="270390B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Growth</w:t>
            </w:r>
          </w:p>
          <w:p w14:paraId="4ED42CA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supporting(proportion)</w:t>
            </w:r>
          </w:p>
        </w:tc>
      </w:tr>
      <w:tr w:rsidR="008706DD" w:rsidRPr="000A2127" w14:paraId="1483D3E1" w14:textId="77777777" w:rsidTr="000A2127">
        <w:tc>
          <w:tcPr>
            <w:tcW w:w="1276" w:type="dxa"/>
            <w:tcBorders>
              <w:top w:val="single" w:sz="8" w:space="0" w:color="auto"/>
            </w:tcBorders>
            <w:vAlign w:val="center"/>
          </w:tcPr>
          <w:p w14:paraId="4CDFDDE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Carbon</w:t>
            </w:r>
          </w:p>
        </w:tc>
        <w:tc>
          <w:tcPr>
            <w:tcW w:w="1134" w:type="dxa"/>
            <w:tcBorders>
              <w:top w:val="single" w:sz="8" w:space="0" w:color="auto"/>
            </w:tcBorders>
            <w:vAlign w:val="center"/>
          </w:tcPr>
          <w:p w14:paraId="4351B1F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175</w:t>
            </w:r>
          </w:p>
        </w:tc>
        <w:tc>
          <w:tcPr>
            <w:tcW w:w="2414" w:type="dxa"/>
            <w:tcBorders>
              <w:top w:val="single" w:sz="8" w:space="0" w:color="auto"/>
            </w:tcBorders>
            <w:vAlign w:val="center"/>
          </w:tcPr>
          <w:p w14:paraId="3024A3D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125(71.4%)</w:t>
            </w:r>
          </w:p>
        </w:tc>
        <w:tc>
          <w:tcPr>
            <w:tcW w:w="1272" w:type="dxa"/>
            <w:tcBorders>
              <w:top w:val="single" w:sz="8" w:space="0" w:color="auto"/>
            </w:tcBorders>
            <w:vAlign w:val="center"/>
          </w:tcPr>
          <w:p w14:paraId="08AE9D3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175</w:t>
            </w:r>
          </w:p>
        </w:tc>
        <w:tc>
          <w:tcPr>
            <w:tcW w:w="2210" w:type="dxa"/>
            <w:tcBorders>
              <w:top w:val="single" w:sz="8" w:space="0" w:color="auto"/>
            </w:tcBorders>
            <w:vAlign w:val="center"/>
          </w:tcPr>
          <w:p w14:paraId="2DD30C1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117(66.9%)</w:t>
            </w:r>
          </w:p>
        </w:tc>
      </w:tr>
      <w:tr w:rsidR="008706DD" w:rsidRPr="000A2127" w14:paraId="2B92AF2E" w14:textId="77777777" w:rsidTr="000A2127">
        <w:tc>
          <w:tcPr>
            <w:tcW w:w="1276" w:type="dxa"/>
            <w:vAlign w:val="center"/>
          </w:tcPr>
          <w:p w14:paraId="20642C7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Nitrogen</w:t>
            </w:r>
          </w:p>
        </w:tc>
        <w:tc>
          <w:tcPr>
            <w:tcW w:w="1134" w:type="dxa"/>
            <w:vAlign w:val="center"/>
          </w:tcPr>
          <w:p w14:paraId="3E09AC6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93</w:t>
            </w:r>
          </w:p>
        </w:tc>
        <w:tc>
          <w:tcPr>
            <w:tcW w:w="2414" w:type="dxa"/>
            <w:vAlign w:val="center"/>
          </w:tcPr>
          <w:p w14:paraId="14273AC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62(66.7%)</w:t>
            </w:r>
          </w:p>
        </w:tc>
        <w:tc>
          <w:tcPr>
            <w:tcW w:w="1272" w:type="dxa"/>
            <w:vAlign w:val="center"/>
          </w:tcPr>
          <w:p w14:paraId="400735A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93</w:t>
            </w:r>
          </w:p>
        </w:tc>
        <w:tc>
          <w:tcPr>
            <w:tcW w:w="2210" w:type="dxa"/>
            <w:vAlign w:val="center"/>
          </w:tcPr>
          <w:p w14:paraId="6FA1C1BF"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57(61.3%)</w:t>
            </w:r>
          </w:p>
        </w:tc>
      </w:tr>
      <w:tr w:rsidR="008706DD" w:rsidRPr="000A2127" w14:paraId="5399313C" w14:textId="77777777" w:rsidTr="000A2127">
        <w:tc>
          <w:tcPr>
            <w:tcW w:w="1276" w:type="dxa"/>
            <w:vAlign w:val="center"/>
          </w:tcPr>
          <w:p w14:paraId="355735A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Phosphorus</w:t>
            </w:r>
          </w:p>
        </w:tc>
        <w:tc>
          <w:tcPr>
            <w:tcW w:w="1134" w:type="dxa"/>
            <w:vAlign w:val="center"/>
          </w:tcPr>
          <w:p w14:paraId="6DB3100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41</w:t>
            </w:r>
          </w:p>
        </w:tc>
        <w:tc>
          <w:tcPr>
            <w:tcW w:w="2414" w:type="dxa"/>
            <w:vAlign w:val="center"/>
          </w:tcPr>
          <w:p w14:paraId="0979CE4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31(75.6%)</w:t>
            </w:r>
          </w:p>
        </w:tc>
        <w:tc>
          <w:tcPr>
            <w:tcW w:w="1272" w:type="dxa"/>
            <w:vAlign w:val="center"/>
          </w:tcPr>
          <w:p w14:paraId="20EA700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41</w:t>
            </w:r>
          </w:p>
        </w:tc>
        <w:tc>
          <w:tcPr>
            <w:tcW w:w="2210" w:type="dxa"/>
            <w:vAlign w:val="center"/>
          </w:tcPr>
          <w:p w14:paraId="5CD7886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31(75.6%)</w:t>
            </w:r>
          </w:p>
        </w:tc>
      </w:tr>
      <w:tr w:rsidR="008706DD" w:rsidRPr="000A2127" w14:paraId="4380DF60" w14:textId="77777777" w:rsidTr="000A2127">
        <w:tc>
          <w:tcPr>
            <w:tcW w:w="1276" w:type="dxa"/>
            <w:tcBorders>
              <w:bottom w:val="single" w:sz="12" w:space="0" w:color="auto"/>
            </w:tcBorders>
            <w:vAlign w:val="center"/>
          </w:tcPr>
          <w:p w14:paraId="3702A5C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Sulfur</w:t>
            </w:r>
          </w:p>
        </w:tc>
        <w:tc>
          <w:tcPr>
            <w:tcW w:w="1134" w:type="dxa"/>
            <w:tcBorders>
              <w:bottom w:val="single" w:sz="12" w:space="0" w:color="auto"/>
            </w:tcBorders>
            <w:vAlign w:val="center"/>
          </w:tcPr>
          <w:p w14:paraId="7B9DF0F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w:t>
            </w:r>
          </w:p>
        </w:tc>
        <w:tc>
          <w:tcPr>
            <w:tcW w:w="2414" w:type="dxa"/>
            <w:tcBorders>
              <w:bottom w:val="single" w:sz="12" w:space="0" w:color="auto"/>
            </w:tcBorders>
            <w:vAlign w:val="center"/>
          </w:tcPr>
          <w:p w14:paraId="75315C36"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9(45%)</w:t>
            </w:r>
          </w:p>
        </w:tc>
        <w:tc>
          <w:tcPr>
            <w:tcW w:w="1272" w:type="dxa"/>
            <w:tcBorders>
              <w:bottom w:val="single" w:sz="12" w:space="0" w:color="auto"/>
            </w:tcBorders>
            <w:vAlign w:val="center"/>
          </w:tcPr>
          <w:p w14:paraId="01AB7DD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w:t>
            </w:r>
          </w:p>
        </w:tc>
        <w:tc>
          <w:tcPr>
            <w:tcW w:w="2210" w:type="dxa"/>
            <w:tcBorders>
              <w:bottom w:val="single" w:sz="12" w:space="0" w:color="auto"/>
            </w:tcBorders>
            <w:vAlign w:val="center"/>
          </w:tcPr>
          <w:p w14:paraId="2B06EB62"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9(45%)</w:t>
            </w:r>
          </w:p>
        </w:tc>
      </w:tr>
    </w:tbl>
    <w:p w14:paraId="42064F60" w14:textId="77777777" w:rsidR="008706DD" w:rsidRPr="000A2127" w:rsidRDefault="008706DD">
      <w:pPr>
        <w:spacing w:line="480" w:lineRule="auto"/>
        <w:rPr>
          <w:rFonts w:ascii="Times New Roman" w:hAnsi="Times New Roman" w:cs="Times New Roman"/>
          <w:sz w:val="20"/>
          <w:szCs w:val="20"/>
        </w:rPr>
      </w:pPr>
    </w:p>
    <w:p w14:paraId="071FE621"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6DCC21B4" w14:textId="77777777" w:rsidR="008706DD" w:rsidRPr="000A2127" w:rsidRDefault="008706DD">
      <w:pPr>
        <w:spacing w:line="480" w:lineRule="auto"/>
        <w:rPr>
          <w:rFonts w:ascii="Times New Roman" w:hAnsi="Times New Roman" w:cs="Times New Roman"/>
          <w:b/>
          <w:bCs/>
          <w:sz w:val="20"/>
          <w:szCs w:val="20"/>
        </w:rPr>
      </w:pPr>
      <w:r w:rsidRPr="000A2127">
        <w:rPr>
          <w:rFonts w:ascii="Times New Roman" w:hAnsi="Times New Roman" w:cs="Times New Roman"/>
          <w:b/>
          <w:bCs/>
          <w:sz w:val="20"/>
          <w:szCs w:val="20"/>
        </w:rPr>
        <w:lastRenderedPageBreak/>
        <w:t>Table 4 Properties of the et</w:t>
      </w:r>
      <w:r w:rsidRPr="000A2127">
        <w:rPr>
          <w:rFonts w:ascii="Times New Roman" w:hAnsi="Times New Roman" w:cs="Times New Roman"/>
          <w:b/>
          <w:bCs/>
          <w:i/>
          <w:iCs/>
          <w:sz w:val="20"/>
          <w:szCs w:val="20"/>
        </w:rPr>
        <w:t>i</w:t>
      </w:r>
      <w:r w:rsidRPr="000A2127">
        <w:rPr>
          <w:rFonts w:ascii="Times New Roman" w:hAnsi="Times New Roman" w:cs="Times New Roman"/>
          <w:b/>
          <w:bCs/>
          <w:sz w:val="20"/>
          <w:szCs w:val="20"/>
        </w:rPr>
        <w:t>Bsu1209</w:t>
      </w:r>
    </w:p>
    <w:tbl>
      <w:tblPr>
        <w:tblW w:w="0" w:type="auto"/>
        <w:jc w:val="center"/>
        <w:tblLook w:val="04A0" w:firstRow="1" w:lastRow="0" w:firstColumn="1" w:lastColumn="0" w:noHBand="0" w:noVBand="1"/>
      </w:tblPr>
      <w:tblGrid>
        <w:gridCol w:w="2765"/>
        <w:gridCol w:w="2765"/>
      </w:tblGrid>
      <w:tr w:rsidR="008706DD" w:rsidRPr="000A2127" w14:paraId="74D0D4BD" w14:textId="77777777">
        <w:trPr>
          <w:jc w:val="center"/>
        </w:trPr>
        <w:tc>
          <w:tcPr>
            <w:tcW w:w="2765" w:type="dxa"/>
            <w:tcBorders>
              <w:top w:val="single" w:sz="12" w:space="0" w:color="auto"/>
              <w:bottom w:val="single" w:sz="8" w:space="0" w:color="auto"/>
            </w:tcBorders>
            <w:vAlign w:val="center"/>
          </w:tcPr>
          <w:p w14:paraId="4B35EC8D" w14:textId="77777777" w:rsidR="008706DD" w:rsidRPr="000A2127" w:rsidRDefault="008706DD">
            <w:pPr>
              <w:spacing w:line="480" w:lineRule="auto"/>
              <w:jc w:val="center"/>
              <w:rPr>
                <w:rFonts w:ascii="Times New Roman" w:hAnsi="Times New Roman" w:cs="Times New Roman"/>
                <w:sz w:val="20"/>
                <w:szCs w:val="20"/>
              </w:rPr>
            </w:pPr>
          </w:p>
        </w:tc>
        <w:tc>
          <w:tcPr>
            <w:tcW w:w="2765" w:type="dxa"/>
            <w:tcBorders>
              <w:top w:val="single" w:sz="12" w:space="0" w:color="auto"/>
              <w:bottom w:val="single" w:sz="8" w:space="0" w:color="auto"/>
            </w:tcBorders>
            <w:vAlign w:val="center"/>
          </w:tcPr>
          <w:p w14:paraId="6EC0C84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Number</w:t>
            </w:r>
          </w:p>
        </w:tc>
      </w:tr>
      <w:tr w:rsidR="008706DD" w:rsidRPr="000A2127" w14:paraId="73D5917F" w14:textId="77777777">
        <w:trPr>
          <w:jc w:val="center"/>
        </w:trPr>
        <w:tc>
          <w:tcPr>
            <w:tcW w:w="2765" w:type="dxa"/>
            <w:tcBorders>
              <w:top w:val="single" w:sz="8" w:space="0" w:color="auto"/>
            </w:tcBorders>
            <w:vAlign w:val="center"/>
          </w:tcPr>
          <w:p w14:paraId="0A7E3B4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Genes</w:t>
            </w:r>
          </w:p>
        </w:tc>
        <w:tc>
          <w:tcPr>
            <w:tcW w:w="2765" w:type="dxa"/>
            <w:tcBorders>
              <w:top w:val="single" w:sz="8" w:space="0" w:color="auto"/>
            </w:tcBorders>
            <w:vAlign w:val="center"/>
          </w:tcPr>
          <w:p w14:paraId="27B55DA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1209</w:t>
            </w:r>
          </w:p>
        </w:tc>
      </w:tr>
      <w:tr w:rsidR="008706DD" w:rsidRPr="000A2127" w14:paraId="76F63545" w14:textId="77777777">
        <w:trPr>
          <w:jc w:val="center"/>
        </w:trPr>
        <w:tc>
          <w:tcPr>
            <w:tcW w:w="2765" w:type="dxa"/>
            <w:vAlign w:val="center"/>
          </w:tcPr>
          <w:p w14:paraId="633BB53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Metabolites</w:t>
            </w:r>
          </w:p>
        </w:tc>
        <w:tc>
          <w:tcPr>
            <w:tcW w:w="2765" w:type="dxa"/>
            <w:vAlign w:val="center"/>
          </w:tcPr>
          <w:p w14:paraId="04A2DC9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4167</w:t>
            </w:r>
          </w:p>
        </w:tc>
      </w:tr>
      <w:tr w:rsidR="008706DD" w:rsidRPr="000A2127" w14:paraId="62C7EBF9" w14:textId="77777777">
        <w:trPr>
          <w:jc w:val="center"/>
        </w:trPr>
        <w:tc>
          <w:tcPr>
            <w:tcW w:w="2765" w:type="dxa"/>
            <w:vAlign w:val="center"/>
          </w:tcPr>
          <w:p w14:paraId="5E6687C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hypothesized metabolites</w:t>
            </w:r>
          </w:p>
        </w:tc>
        <w:tc>
          <w:tcPr>
            <w:tcW w:w="2765" w:type="dxa"/>
            <w:vAlign w:val="center"/>
          </w:tcPr>
          <w:p w14:paraId="1E73FD4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532</w:t>
            </w:r>
          </w:p>
        </w:tc>
      </w:tr>
      <w:tr w:rsidR="008706DD" w:rsidRPr="000A2127" w14:paraId="6CCEF0D5" w14:textId="77777777">
        <w:trPr>
          <w:jc w:val="center"/>
        </w:trPr>
        <w:tc>
          <w:tcPr>
            <w:tcW w:w="2765" w:type="dxa"/>
            <w:vAlign w:val="center"/>
          </w:tcPr>
          <w:p w14:paraId="2AB49A3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Reactions</w:t>
            </w:r>
          </w:p>
        </w:tc>
        <w:tc>
          <w:tcPr>
            <w:tcW w:w="2765" w:type="dxa"/>
            <w:vAlign w:val="center"/>
          </w:tcPr>
          <w:p w14:paraId="6D8D9D0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6295</w:t>
            </w:r>
          </w:p>
        </w:tc>
      </w:tr>
      <w:tr w:rsidR="008706DD" w:rsidRPr="000A2127" w14:paraId="718B3AFA" w14:textId="77777777">
        <w:trPr>
          <w:jc w:val="center"/>
        </w:trPr>
        <w:tc>
          <w:tcPr>
            <w:tcW w:w="2765" w:type="dxa"/>
            <w:vAlign w:val="center"/>
          </w:tcPr>
          <w:p w14:paraId="59FA17F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Enzymes</w:t>
            </w:r>
          </w:p>
        </w:tc>
        <w:tc>
          <w:tcPr>
            <w:tcW w:w="2765" w:type="dxa"/>
            <w:vAlign w:val="center"/>
          </w:tcPr>
          <w:p w14:paraId="6A76FB1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2049</w:t>
            </w:r>
          </w:p>
        </w:tc>
      </w:tr>
      <w:tr w:rsidR="008706DD" w:rsidRPr="000A2127" w14:paraId="5DE615AD" w14:textId="77777777">
        <w:trPr>
          <w:jc w:val="center"/>
        </w:trPr>
        <w:tc>
          <w:tcPr>
            <w:tcW w:w="2765" w:type="dxa"/>
            <w:vAlign w:val="center"/>
          </w:tcPr>
          <w:p w14:paraId="05628DA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Isoenzyme</w:t>
            </w:r>
          </w:p>
        </w:tc>
        <w:tc>
          <w:tcPr>
            <w:tcW w:w="2765" w:type="dxa"/>
            <w:vAlign w:val="center"/>
          </w:tcPr>
          <w:p w14:paraId="30E1B4E9"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450</w:t>
            </w:r>
          </w:p>
        </w:tc>
      </w:tr>
      <w:tr w:rsidR="008706DD" w:rsidRPr="000A2127" w14:paraId="6DAE4320" w14:textId="77777777">
        <w:trPr>
          <w:jc w:val="center"/>
        </w:trPr>
        <w:tc>
          <w:tcPr>
            <w:tcW w:w="2765" w:type="dxa"/>
            <w:vAlign w:val="center"/>
          </w:tcPr>
          <w:p w14:paraId="5EDA6F2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transcription factors</w:t>
            </w:r>
          </w:p>
        </w:tc>
        <w:tc>
          <w:tcPr>
            <w:tcW w:w="2765" w:type="dxa"/>
            <w:vAlign w:val="center"/>
          </w:tcPr>
          <w:p w14:paraId="7CE80FA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292</w:t>
            </w:r>
          </w:p>
        </w:tc>
      </w:tr>
      <w:tr w:rsidR="008706DD" w:rsidRPr="000A2127" w14:paraId="718E9F58" w14:textId="77777777">
        <w:trPr>
          <w:jc w:val="center"/>
        </w:trPr>
        <w:tc>
          <w:tcPr>
            <w:tcW w:w="2765" w:type="dxa"/>
            <w:vAlign w:val="center"/>
          </w:tcPr>
          <w:p w14:paraId="5152166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transcriptional regulatory networks</w:t>
            </w:r>
          </w:p>
        </w:tc>
        <w:tc>
          <w:tcPr>
            <w:tcW w:w="2765" w:type="dxa"/>
            <w:vAlign w:val="center"/>
          </w:tcPr>
          <w:p w14:paraId="5531C63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15955</w:t>
            </w:r>
          </w:p>
        </w:tc>
      </w:tr>
      <w:tr w:rsidR="008706DD" w:rsidRPr="000A2127" w14:paraId="0C66380B" w14:textId="77777777">
        <w:trPr>
          <w:jc w:val="center"/>
        </w:trPr>
        <w:tc>
          <w:tcPr>
            <w:tcW w:w="2765" w:type="dxa"/>
            <w:vAlign w:val="center"/>
          </w:tcPr>
          <w:p w14:paraId="0783F1FA" w14:textId="77777777" w:rsidR="008706DD" w:rsidRPr="000A2127" w:rsidRDefault="008706DD">
            <w:pPr>
              <w:spacing w:line="480" w:lineRule="auto"/>
              <w:jc w:val="center"/>
              <w:rPr>
                <w:rFonts w:ascii="Times New Roman" w:hAnsi="Times New Roman" w:cs="Times New Roman"/>
                <w:sz w:val="20"/>
                <w:szCs w:val="20"/>
                <w:vertAlign w:val="subscript"/>
              </w:rPr>
            </w:pPr>
            <w:r w:rsidRPr="000A2127">
              <w:rPr>
                <w:rFonts w:ascii="Times New Roman" w:hAnsi="Times New Roman" w:cs="Times New Roman"/>
                <w:sz w:val="20"/>
                <w:szCs w:val="20"/>
              </w:rPr>
              <w:t xml:space="preserve">metabolites </w:t>
            </w:r>
            <w:proofErr w:type="spellStart"/>
            <w:r w:rsidRPr="000A2127">
              <w:rPr>
                <w:rFonts w:ascii="Times New Roman" w:hAnsi="Times New Roman" w:cs="Times New Roman"/>
                <w:sz w:val="20"/>
                <w:szCs w:val="20"/>
              </w:rPr>
              <w:t>ΔG</w:t>
            </w:r>
            <w:r w:rsidRPr="000A2127">
              <w:rPr>
                <w:rFonts w:ascii="Times New Roman" w:hAnsi="Times New Roman" w:cs="Times New Roman"/>
                <w:sz w:val="20"/>
                <w:szCs w:val="20"/>
                <w:vertAlign w:val="superscript"/>
              </w:rPr>
              <w:t>′°</w:t>
            </w:r>
            <w:r w:rsidRPr="000A2127">
              <w:rPr>
                <w:rFonts w:ascii="Times New Roman" w:hAnsi="Times New Roman" w:cs="Times New Roman"/>
                <w:sz w:val="20"/>
                <w:szCs w:val="20"/>
                <w:vertAlign w:val="subscript"/>
              </w:rPr>
              <w:t>f</w:t>
            </w:r>
            <w:proofErr w:type="spellEnd"/>
          </w:p>
        </w:tc>
        <w:tc>
          <w:tcPr>
            <w:tcW w:w="2765" w:type="dxa"/>
            <w:vAlign w:val="center"/>
          </w:tcPr>
          <w:p w14:paraId="6BE6B2C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4176</w:t>
            </w:r>
          </w:p>
        </w:tc>
      </w:tr>
      <w:tr w:rsidR="008706DD" w:rsidRPr="000A2127" w14:paraId="09C9E164" w14:textId="77777777">
        <w:trPr>
          <w:jc w:val="center"/>
        </w:trPr>
        <w:tc>
          <w:tcPr>
            <w:tcW w:w="2765" w:type="dxa"/>
            <w:tcBorders>
              <w:bottom w:val="single" w:sz="12" w:space="0" w:color="auto"/>
            </w:tcBorders>
            <w:vAlign w:val="center"/>
          </w:tcPr>
          <w:p w14:paraId="4880C24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 xml:space="preserve">reactions </w:t>
            </w:r>
            <w:proofErr w:type="spellStart"/>
            <w:r w:rsidRPr="000A2127">
              <w:rPr>
                <w:rFonts w:ascii="Times New Roman" w:hAnsi="Times New Roman" w:cs="Times New Roman"/>
                <w:sz w:val="20"/>
                <w:szCs w:val="20"/>
              </w:rPr>
              <w:t>ΔG</w:t>
            </w:r>
            <w:r w:rsidRPr="000A2127">
              <w:rPr>
                <w:rFonts w:ascii="Times New Roman" w:hAnsi="Times New Roman" w:cs="Times New Roman"/>
                <w:sz w:val="20"/>
                <w:szCs w:val="20"/>
                <w:vertAlign w:val="superscript"/>
              </w:rPr>
              <w:t>′°</w:t>
            </w:r>
            <w:r w:rsidRPr="000A2127">
              <w:rPr>
                <w:rFonts w:ascii="Times New Roman" w:hAnsi="Times New Roman" w:cs="Times New Roman"/>
                <w:sz w:val="20"/>
                <w:szCs w:val="20"/>
                <w:vertAlign w:val="subscript"/>
              </w:rPr>
              <w:t>r</w:t>
            </w:r>
            <w:proofErr w:type="spellEnd"/>
          </w:p>
        </w:tc>
        <w:tc>
          <w:tcPr>
            <w:tcW w:w="2765" w:type="dxa"/>
            <w:tcBorders>
              <w:bottom w:val="single" w:sz="12" w:space="0" w:color="auto"/>
            </w:tcBorders>
            <w:vAlign w:val="center"/>
          </w:tcPr>
          <w:p w14:paraId="0EA923AA"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2327</w:t>
            </w:r>
          </w:p>
        </w:tc>
      </w:tr>
    </w:tbl>
    <w:p w14:paraId="20D86863" w14:textId="77777777" w:rsidR="008706DD" w:rsidRPr="000A2127" w:rsidRDefault="008706DD">
      <w:pPr>
        <w:spacing w:line="480" w:lineRule="auto"/>
        <w:rPr>
          <w:rFonts w:ascii="Times New Roman" w:hAnsi="Times New Roman" w:cs="Times New Roman"/>
          <w:sz w:val="20"/>
          <w:szCs w:val="20"/>
        </w:rPr>
      </w:pPr>
    </w:p>
    <w:p w14:paraId="29295424"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318DA911" w14:textId="77777777" w:rsidR="008706DD" w:rsidRPr="000A2127" w:rsidRDefault="008706DD">
      <w:pPr>
        <w:spacing w:line="480" w:lineRule="auto"/>
        <w:rPr>
          <w:rFonts w:ascii="Times New Roman" w:hAnsi="Times New Roman" w:cs="Times New Roman"/>
          <w:b/>
          <w:bCs/>
          <w:sz w:val="20"/>
          <w:szCs w:val="20"/>
        </w:rPr>
      </w:pPr>
      <w:r w:rsidRPr="000A2127">
        <w:rPr>
          <w:rFonts w:ascii="Times New Roman" w:hAnsi="Times New Roman" w:cs="Times New Roman"/>
          <w:b/>
          <w:bCs/>
          <w:sz w:val="20"/>
          <w:szCs w:val="20"/>
        </w:rPr>
        <w:lastRenderedPageBreak/>
        <w:t>Table 5 Metabolic network characteristics of</w:t>
      </w:r>
      <w:r w:rsidRPr="000A2127">
        <w:rPr>
          <w:rFonts w:ascii="Times New Roman" w:hAnsi="Times New Roman" w:cs="Times New Roman"/>
          <w:b/>
          <w:bCs/>
          <w:i/>
          <w:iCs/>
          <w:sz w:val="20"/>
          <w:szCs w:val="20"/>
        </w:rPr>
        <w:t xml:space="preserve"> i</w:t>
      </w:r>
      <w:r w:rsidRPr="000A2127">
        <w:rPr>
          <w:rFonts w:ascii="Times New Roman" w:hAnsi="Times New Roman" w:cs="Times New Roman"/>
          <w:b/>
          <w:bCs/>
          <w:sz w:val="20"/>
          <w:szCs w:val="20"/>
        </w:rPr>
        <w:t>Bsu1209 and et</w:t>
      </w:r>
      <w:r w:rsidRPr="000A2127">
        <w:rPr>
          <w:rFonts w:ascii="Times New Roman" w:hAnsi="Times New Roman" w:cs="Times New Roman"/>
          <w:b/>
          <w:bCs/>
          <w:i/>
          <w:iCs/>
          <w:sz w:val="20"/>
          <w:szCs w:val="20"/>
        </w:rPr>
        <w:t>i</w:t>
      </w:r>
      <w:r w:rsidRPr="000A2127">
        <w:rPr>
          <w:rFonts w:ascii="Times New Roman" w:hAnsi="Times New Roman" w:cs="Times New Roman"/>
          <w:b/>
          <w:bCs/>
          <w:sz w:val="20"/>
          <w:szCs w:val="20"/>
        </w:rPr>
        <w:t>Bsu1209</w:t>
      </w:r>
    </w:p>
    <w:tbl>
      <w:tblPr>
        <w:tblW w:w="0" w:type="auto"/>
        <w:jc w:val="center"/>
        <w:tblLook w:val="04A0" w:firstRow="1" w:lastRow="0" w:firstColumn="1" w:lastColumn="0" w:noHBand="0" w:noVBand="1"/>
      </w:tblPr>
      <w:tblGrid>
        <w:gridCol w:w="3119"/>
        <w:gridCol w:w="2411"/>
        <w:gridCol w:w="2765"/>
      </w:tblGrid>
      <w:tr w:rsidR="008706DD" w:rsidRPr="000A2127" w14:paraId="0A9ABF41" w14:textId="77777777">
        <w:trPr>
          <w:jc w:val="center"/>
        </w:trPr>
        <w:tc>
          <w:tcPr>
            <w:tcW w:w="3119" w:type="dxa"/>
            <w:tcBorders>
              <w:top w:val="single" w:sz="12" w:space="0" w:color="auto"/>
              <w:bottom w:val="single" w:sz="8" w:space="0" w:color="auto"/>
            </w:tcBorders>
            <w:vAlign w:val="center"/>
          </w:tcPr>
          <w:p w14:paraId="229BCFAA" w14:textId="77777777" w:rsidR="008706DD" w:rsidRPr="000A2127" w:rsidRDefault="008706DD">
            <w:pPr>
              <w:spacing w:line="480" w:lineRule="auto"/>
              <w:jc w:val="center"/>
              <w:rPr>
                <w:rFonts w:ascii="Times New Roman" w:hAnsi="Times New Roman" w:cs="Times New Roman"/>
                <w:sz w:val="20"/>
                <w:szCs w:val="20"/>
              </w:rPr>
            </w:pPr>
          </w:p>
        </w:tc>
        <w:tc>
          <w:tcPr>
            <w:tcW w:w="2411" w:type="dxa"/>
            <w:tcBorders>
              <w:top w:val="single" w:sz="12" w:space="0" w:color="auto"/>
              <w:bottom w:val="single" w:sz="8" w:space="0" w:color="auto"/>
            </w:tcBorders>
          </w:tcPr>
          <w:p w14:paraId="4E7A621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i/>
                <w:iCs/>
                <w:sz w:val="20"/>
                <w:szCs w:val="20"/>
              </w:rPr>
              <w:t>i</w:t>
            </w:r>
            <w:r w:rsidRPr="000A2127">
              <w:rPr>
                <w:rFonts w:ascii="Times New Roman" w:hAnsi="Times New Roman" w:cs="Times New Roman"/>
                <w:sz w:val="20"/>
                <w:szCs w:val="20"/>
              </w:rPr>
              <w:t>Bsu1209</w:t>
            </w:r>
          </w:p>
        </w:tc>
        <w:tc>
          <w:tcPr>
            <w:tcW w:w="2765" w:type="dxa"/>
            <w:tcBorders>
              <w:top w:val="single" w:sz="12" w:space="0" w:color="auto"/>
              <w:bottom w:val="single" w:sz="8" w:space="0" w:color="auto"/>
            </w:tcBorders>
            <w:vAlign w:val="center"/>
          </w:tcPr>
          <w:p w14:paraId="48128C3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w:t>
            </w:r>
          </w:p>
        </w:tc>
      </w:tr>
      <w:tr w:rsidR="008706DD" w:rsidRPr="000A2127" w14:paraId="1829F1F8" w14:textId="77777777">
        <w:trPr>
          <w:jc w:val="center"/>
        </w:trPr>
        <w:tc>
          <w:tcPr>
            <w:tcW w:w="3119" w:type="dxa"/>
            <w:tcBorders>
              <w:top w:val="single" w:sz="8" w:space="0" w:color="auto"/>
            </w:tcBorders>
            <w:vAlign w:val="center"/>
          </w:tcPr>
          <w:p w14:paraId="6DA7D1D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Number of nodes</w:t>
            </w:r>
          </w:p>
        </w:tc>
        <w:tc>
          <w:tcPr>
            <w:tcW w:w="2411" w:type="dxa"/>
            <w:tcBorders>
              <w:top w:val="single" w:sz="8" w:space="0" w:color="auto"/>
            </w:tcBorders>
          </w:tcPr>
          <w:p w14:paraId="5A2A0BE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3543</w:t>
            </w:r>
          </w:p>
        </w:tc>
        <w:tc>
          <w:tcPr>
            <w:tcW w:w="2765" w:type="dxa"/>
            <w:tcBorders>
              <w:top w:val="single" w:sz="8" w:space="0" w:color="auto"/>
            </w:tcBorders>
            <w:vAlign w:val="center"/>
          </w:tcPr>
          <w:p w14:paraId="1A17A53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8526</w:t>
            </w:r>
          </w:p>
        </w:tc>
      </w:tr>
      <w:tr w:rsidR="008706DD" w:rsidRPr="000A2127" w14:paraId="11D1689A" w14:textId="77777777">
        <w:trPr>
          <w:jc w:val="center"/>
        </w:trPr>
        <w:tc>
          <w:tcPr>
            <w:tcW w:w="3119" w:type="dxa"/>
            <w:vAlign w:val="center"/>
          </w:tcPr>
          <w:p w14:paraId="1C34796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Number of edges</w:t>
            </w:r>
          </w:p>
        </w:tc>
        <w:tc>
          <w:tcPr>
            <w:tcW w:w="2411" w:type="dxa"/>
          </w:tcPr>
          <w:p w14:paraId="24225B1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8290</w:t>
            </w:r>
          </w:p>
        </w:tc>
        <w:tc>
          <w:tcPr>
            <w:tcW w:w="2765" w:type="dxa"/>
            <w:vAlign w:val="center"/>
          </w:tcPr>
          <w:p w14:paraId="550DE9DB"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19760</w:t>
            </w:r>
          </w:p>
        </w:tc>
      </w:tr>
      <w:tr w:rsidR="008706DD" w:rsidRPr="000A2127" w14:paraId="103FB83C" w14:textId="77777777">
        <w:trPr>
          <w:jc w:val="center"/>
        </w:trPr>
        <w:tc>
          <w:tcPr>
            <w:tcW w:w="3119" w:type="dxa"/>
            <w:vAlign w:val="center"/>
          </w:tcPr>
          <w:p w14:paraId="29A6A0F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Average number of neighbors</w:t>
            </w:r>
          </w:p>
        </w:tc>
        <w:tc>
          <w:tcPr>
            <w:tcW w:w="2411" w:type="dxa"/>
          </w:tcPr>
          <w:p w14:paraId="787995A4"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4680</w:t>
            </w:r>
          </w:p>
        </w:tc>
        <w:tc>
          <w:tcPr>
            <w:tcW w:w="2765" w:type="dxa"/>
            <w:vAlign w:val="center"/>
          </w:tcPr>
          <w:p w14:paraId="6B6EAF15"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4635</w:t>
            </w:r>
          </w:p>
        </w:tc>
      </w:tr>
      <w:tr w:rsidR="008706DD" w:rsidRPr="000A2127" w14:paraId="53233C95" w14:textId="77777777">
        <w:trPr>
          <w:jc w:val="center"/>
        </w:trPr>
        <w:tc>
          <w:tcPr>
            <w:tcW w:w="3119" w:type="dxa"/>
            <w:tcBorders>
              <w:bottom w:val="single" w:sz="12" w:space="0" w:color="auto"/>
            </w:tcBorders>
            <w:vAlign w:val="center"/>
          </w:tcPr>
          <w:p w14:paraId="778B962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Clustering coefficient</w:t>
            </w:r>
          </w:p>
        </w:tc>
        <w:tc>
          <w:tcPr>
            <w:tcW w:w="2411" w:type="dxa"/>
            <w:tcBorders>
              <w:bottom w:val="single" w:sz="12" w:space="0" w:color="auto"/>
            </w:tcBorders>
          </w:tcPr>
          <w:p w14:paraId="410C7DD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0.279</w:t>
            </w:r>
          </w:p>
        </w:tc>
        <w:tc>
          <w:tcPr>
            <w:tcW w:w="2765" w:type="dxa"/>
            <w:tcBorders>
              <w:bottom w:val="single" w:sz="12" w:space="0" w:color="auto"/>
            </w:tcBorders>
            <w:vAlign w:val="center"/>
          </w:tcPr>
          <w:p w14:paraId="1745282E"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0.264</w:t>
            </w:r>
          </w:p>
        </w:tc>
      </w:tr>
    </w:tbl>
    <w:p w14:paraId="09D81219" w14:textId="77777777" w:rsidR="008706DD" w:rsidRPr="000A2127" w:rsidRDefault="008706DD">
      <w:pPr>
        <w:spacing w:line="480" w:lineRule="auto"/>
        <w:rPr>
          <w:rFonts w:ascii="Times New Roman" w:hAnsi="Times New Roman" w:cs="Times New Roman"/>
          <w:sz w:val="20"/>
          <w:szCs w:val="20"/>
        </w:rPr>
      </w:pPr>
    </w:p>
    <w:p w14:paraId="413B071F"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108D1964" w14:textId="67010F13" w:rsidR="008706DD" w:rsidRPr="000A2127" w:rsidRDefault="00622E2F">
      <w:pPr>
        <w:pStyle w:val="Heading1"/>
        <w:spacing w:line="480" w:lineRule="auto"/>
        <w:rPr>
          <w:rStyle w:val="Strong"/>
          <w:rFonts w:ascii="Times New Roman" w:hAnsi="Times New Roman" w:cs="Times New Roman"/>
          <w:b/>
          <w:bCs/>
        </w:rPr>
      </w:pPr>
      <w:r w:rsidRPr="00D20D9A">
        <w:rPr>
          <w:rFonts w:cs="Arial"/>
        </w:rPr>
        <w:lastRenderedPageBreak/>
        <w:t>FIGURE CAPTIONS</w:t>
      </w:r>
    </w:p>
    <w:p w14:paraId="1013BEBD" w14:textId="2FE35FB4" w:rsidR="008706DD" w:rsidRPr="000A2127" w:rsidRDefault="008706DD">
      <w:pPr>
        <w:rPr>
          <w:rFonts w:ascii="Times New Roman" w:hAnsi="Times New Roman" w:cs="Times New Roman"/>
          <w:b/>
          <w:bCs/>
          <w:sz w:val="20"/>
        </w:rPr>
      </w:pPr>
      <w:r w:rsidRPr="000A2127">
        <w:rPr>
          <w:rFonts w:ascii="Times New Roman" w:hAnsi="Times New Roman" w:cs="Times New Roman"/>
          <w:b/>
          <w:bCs/>
          <w:sz w:val="20"/>
        </w:rPr>
        <w:t>Fig. 1</w:t>
      </w:r>
      <w:r w:rsidR="00D34E70">
        <w:rPr>
          <w:rFonts w:ascii="Times New Roman" w:hAnsi="Times New Roman" w:cs="Times New Roman"/>
          <w:b/>
          <w:bCs/>
          <w:sz w:val="20"/>
        </w:rPr>
        <w:t>.</w:t>
      </w:r>
      <w:r w:rsidRPr="000A2127">
        <w:rPr>
          <w:rFonts w:ascii="Times New Roman" w:hAnsi="Times New Roman" w:cs="Times New Roman"/>
          <w:b/>
          <w:bCs/>
          <w:sz w:val="20"/>
        </w:rPr>
        <w:t xml:space="preserve"> </w:t>
      </w:r>
      <w:r w:rsidRPr="000A2127">
        <w:rPr>
          <w:rFonts w:ascii="Times New Roman" w:hAnsi="Times New Roman" w:cs="Times New Roman"/>
          <w:b/>
          <w:bCs/>
          <w:color w:val="2E3033"/>
          <w:sz w:val="20"/>
          <w:szCs w:val="20"/>
          <w:shd w:val="clear" w:color="auto" w:fill="FFFFFF"/>
        </w:rPr>
        <w:t>Framework for the design, construction, refinement and validation of et</w:t>
      </w:r>
      <w:r w:rsidRPr="000A2127">
        <w:rPr>
          <w:rFonts w:ascii="Times New Roman" w:hAnsi="Times New Roman" w:cs="Times New Roman"/>
          <w:b/>
          <w:bCs/>
          <w:i/>
          <w:iCs/>
          <w:color w:val="2E3033"/>
          <w:sz w:val="20"/>
          <w:szCs w:val="20"/>
          <w:shd w:val="clear" w:color="auto" w:fill="FFFFFF"/>
        </w:rPr>
        <w:t>i</w:t>
      </w:r>
      <w:r w:rsidRPr="000A2127">
        <w:rPr>
          <w:rFonts w:ascii="Times New Roman" w:hAnsi="Times New Roman" w:cs="Times New Roman"/>
          <w:b/>
          <w:bCs/>
          <w:color w:val="2E3033"/>
          <w:sz w:val="20"/>
          <w:szCs w:val="20"/>
          <w:shd w:val="clear" w:color="auto" w:fill="FFFFFF"/>
        </w:rPr>
        <w:t>Bsu1209.</w:t>
      </w:r>
    </w:p>
    <w:p w14:paraId="60890EFB" w14:textId="77777777" w:rsidR="008706DD" w:rsidRPr="000A2127" w:rsidRDefault="008706DD">
      <w:pPr>
        <w:widowControl/>
        <w:jc w:val="left"/>
        <w:rPr>
          <w:rFonts w:ascii="Times New Roman" w:hAnsi="Times New Roman" w:cs="Times New Roman"/>
          <w:b/>
          <w:bCs/>
          <w:sz w:val="20"/>
        </w:rPr>
      </w:pPr>
      <w:r w:rsidRPr="000A2127">
        <w:rPr>
          <w:rFonts w:ascii="Times New Roman" w:hAnsi="Times New Roman" w:cs="Times New Roman"/>
          <w:b/>
          <w:bCs/>
          <w:sz w:val="20"/>
        </w:rPr>
        <w:br w:type="page"/>
      </w:r>
    </w:p>
    <w:p w14:paraId="6AF5A332" w14:textId="37E2EBBF" w:rsidR="008706DD" w:rsidRPr="000A2127" w:rsidRDefault="008706DD" w:rsidP="00740B0D">
      <w:pPr>
        <w:spacing w:line="480" w:lineRule="auto"/>
        <w:rPr>
          <w:rFonts w:ascii="Times New Roman" w:hAnsi="Times New Roman" w:cs="Times New Roman"/>
          <w:sz w:val="20"/>
          <w:szCs w:val="20"/>
        </w:rPr>
      </w:pPr>
      <w:r w:rsidRPr="000A2127">
        <w:rPr>
          <w:rFonts w:ascii="Times New Roman" w:hAnsi="Times New Roman" w:cs="Times New Roman"/>
          <w:b/>
          <w:bCs/>
          <w:sz w:val="20"/>
        </w:rPr>
        <w:lastRenderedPageBreak/>
        <w:t>Fig. 2</w:t>
      </w:r>
      <w:r w:rsidR="00D34E70">
        <w:rPr>
          <w:rFonts w:ascii="Times New Roman" w:hAnsi="Times New Roman" w:cs="Times New Roman"/>
          <w:b/>
          <w:bCs/>
          <w:sz w:val="20"/>
        </w:rPr>
        <w:t>.</w:t>
      </w:r>
      <w:r w:rsidRPr="000A2127">
        <w:rPr>
          <w:rFonts w:ascii="Times New Roman" w:hAnsi="Times New Roman" w:cs="Times New Roman"/>
          <w:b/>
          <w:bCs/>
          <w:sz w:val="20"/>
        </w:rPr>
        <w:t xml:space="preserve"> Gene deletion validation of</w:t>
      </w:r>
      <w:bookmarkStart w:id="33" w:name="OLE_LINK8"/>
      <w:r w:rsidRPr="000A2127">
        <w:rPr>
          <w:rFonts w:ascii="Times New Roman" w:hAnsi="Times New Roman" w:cs="Times New Roman"/>
          <w:b/>
          <w:bCs/>
          <w:i/>
          <w:iCs/>
          <w:sz w:val="20"/>
        </w:rPr>
        <w:t xml:space="preserve"> i</w:t>
      </w:r>
      <w:r w:rsidRPr="000A2127">
        <w:rPr>
          <w:rFonts w:ascii="Times New Roman" w:hAnsi="Times New Roman" w:cs="Times New Roman"/>
          <w:b/>
          <w:bCs/>
          <w:sz w:val="20"/>
        </w:rPr>
        <w:t>Bsu1209</w:t>
      </w:r>
      <w:bookmarkEnd w:id="33"/>
      <w:r w:rsidRPr="000A2127">
        <w:rPr>
          <w:rFonts w:ascii="Times New Roman" w:hAnsi="Times New Roman" w:cs="Times New Roman"/>
          <w:b/>
          <w:bCs/>
          <w:sz w:val="20"/>
        </w:rPr>
        <w:t xml:space="preserve">. (a) </w:t>
      </w:r>
      <w:r w:rsidRPr="000A2127">
        <w:rPr>
          <w:rFonts w:ascii="Times New Roman" w:hAnsi="Times New Roman" w:cs="Times New Roman"/>
          <w:sz w:val="20"/>
          <w:szCs w:val="20"/>
        </w:rPr>
        <w:t>Model reconstruction process for</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w:t>
      </w:r>
      <w:r w:rsidRPr="000A2127">
        <w:rPr>
          <w:rFonts w:ascii="Times New Roman" w:hAnsi="Times New Roman" w:cs="Times New Roman"/>
        </w:rPr>
        <w:t xml:space="preserve"> </w:t>
      </w:r>
      <w:r w:rsidRPr="000A2127">
        <w:rPr>
          <w:rFonts w:ascii="Times New Roman" w:hAnsi="Times New Roman" w:cs="Times New Roman"/>
          <w:sz w:val="20"/>
          <w:szCs w:val="20"/>
        </w:rPr>
        <w:t xml:space="preserve">It mainly includes three steps: collecting model data from datasets and literature, building the model using the toolkit and filling gaps in model by machine learning; </w:t>
      </w:r>
      <w:r w:rsidRPr="000A2127">
        <w:rPr>
          <w:rFonts w:ascii="Times New Roman" w:hAnsi="Times New Roman" w:cs="Times New Roman"/>
          <w:b/>
          <w:bCs/>
          <w:sz w:val="20"/>
          <w:szCs w:val="20"/>
        </w:rPr>
        <w:t>(b)</w:t>
      </w:r>
      <w:r w:rsidRPr="000A2127">
        <w:rPr>
          <w:rFonts w:ascii="Times New Roman" w:hAnsi="Times New Roman" w:cs="Times New Roman"/>
          <w:sz w:val="20"/>
          <w:szCs w:val="20"/>
        </w:rPr>
        <w:t xml:space="preserve"> Gap-filling by AMME</w:t>
      </w:r>
      <w:r w:rsidR="009C7FB7">
        <w:rPr>
          <w:rFonts w:ascii="Times New Roman" w:hAnsi="Times New Roman" w:cs="Times New Roman"/>
          <w:sz w:val="20"/>
          <w:szCs w:val="20"/>
        </w:rPr>
        <w:t>D</w:t>
      </w:r>
      <w:r w:rsidRPr="000A2127">
        <w:rPr>
          <w:rFonts w:ascii="Times New Roman" w:hAnsi="Times New Roman" w:cs="Times New Roman"/>
          <w:sz w:val="20"/>
          <w:szCs w:val="20"/>
        </w:rPr>
        <w:t>EUS. Single gene knockouts were performed using ensembles to evaluate biomass equations.</w:t>
      </w:r>
      <w:r w:rsidRPr="000A2127">
        <w:rPr>
          <w:rFonts w:ascii="Times New Roman" w:hAnsi="Times New Roman" w:cs="Times New Roman"/>
        </w:rPr>
        <w:t xml:space="preserve"> </w:t>
      </w:r>
      <w:r w:rsidRPr="000A2127">
        <w:rPr>
          <w:rFonts w:ascii="Times New Roman" w:hAnsi="Times New Roman" w:cs="Times New Roman"/>
          <w:sz w:val="20"/>
          <w:szCs w:val="20"/>
        </w:rPr>
        <w:t xml:space="preserve">K-means clustering was used to differentiate model responses, simulations generated two simulated clusters (cluster 1 [red] and cluster 2 [blue]), and </w:t>
      </w:r>
      <w:proofErr w:type="spellStart"/>
      <w:r w:rsidRPr="000A2127">
        <w:rPr>
          <w:rFonts w:ascii="Times New Roman" w:hAnsi="Times New Roman" w:cs="Times New Roman"/>
          <w:sz w:val="20"/>
          <w:szCs w:val="20"/>
        </w:rPr>
        <w:t>PCoA</w:t>
      </w:r>
      <w:proofErr w:type="spellEnd"/>
      <w:r w:rsidRPr="000A2127">
        <w:rPr>
          <w:rFonts w:ascii="Times New Roman" w:hAnsi="Times New Roman" w:cs="Times New Roman"/>
          <w:sz w:val="20"/>
          <w:szCs w:val="20"/>
        </w:rPr>
        <w:t xml:space="preserve"> was used to visualize the similarity of simulated data for all models in the ensemble.</w:t>
      </w:r>
      <w:r w:rsidRPr="000A2127">
        <w:rPr>
          <w:rFonts w:ascii="Times New Roman" w:hAnsi="Times New Roman" w:cs="Times New Roman"/>
        </w:rPr>
        <w:t xml:space="preserve"> </w:t>
      </w:r>
      <w:r w:rsidRPr="000A2127">
        <w:rPr>
          <w:rFonts w:ascii="Times New Roman" w:hAnsi="Times New Roman" w:cs="Times New Roman"/>
          <w:sz w:val="20"/>
          <w:szCs w:val="20"/>
        </w:rPr>
        <w:t xml:space="preserve">Simulation results for filling gaps, the size of each point representing the amount of material filling the reaction; </w:t>
      </w:r>
      <w:r w:rsidRPr="000A2127">
        <w:rPr>
          <w:rFonts w:ascii="Times New Roman" w:hAnsi="Times New Roman" w:cs="Times New Roman"/>
          <w:b/>
          <w:bCs/>
          <w:sz w:val="20"/>
          <w:szCs w:val="20"/>
        </w:rPr>
        <w:t xml:space="preserve">(c) </w:t>
      </w:r>
      <w:r w:rsidRPr="000A2127">
        <w:rPr>
          <w:rFonts w:ascii="Times New Roman" w:hAnsi="Times New Roman" w:cs="Times New Roman"/>
          <w:sz w:val="20"/>
          <w:szCs w:val="20"/>
        </w:rPr>
        <w:t>Visualization of the metabolic network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 and</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by </w:t>
      </w:r>
      <w:proofErr w:type="spellStart"/>
      <w:r w:rsidRPr="000A2127">
        <w:rPr>
          <w:rFonts w:ascii="Times New Roman" w:hAnsi="Times New Roman" w:cs="Times New Roman"/>
          <w:sz w:val="20"/>
          <w:szCs w:val="20"/>
        </w:rPr>
        <w:t>BiKEGG</w:t>
      </w:r>
      <w:proofErr w:type="spellEnd"/>
      <w:r w:rsidRPr="000A2127">
        <w:rPr>
          <w:rFonts w:ascii="Times New Roman" w:hAnsi="Times New Roman" w:cs="Times New Roman"/>
          <w:sz w:val="20"/>
          <w:szCs w:val="20"/>
        </w:rPr>
        <w:t xml:space="preserve">. Using the metabolic network diagram of KEGG as a template, the data of the model is converted into the ID of the KEGG in order to realize the visualization of the metabolic network of the model by </w:t>
      </w:r>
      <w:proofErr w:type="spellStart"/>
      <w:r w:rsidRPr="000A2127">
        <w:rPr>
          <w:rFonts w:ascii="Times New Roman" w:hAnsi="Times New Roman" w:cs="Times New Roman"/>
          <w:sz w:val="20"/>
          <w:szCs w:val="20"/>
        </w:rPr>
        <w:t>BiKEGG</w:t>
      </w:r>
      <w:proofErr w:type="spellEnd"/>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(d)</w:t>
      </w:r>
      <w:r w:rsidRPr="000A2127">
        <w:rPr>
          <w:rFonts w:ascii="Times New Roman" w:hAnsi="Times New Roman" w:cs="Times New Roman"/>
          <w:sz w:val="20"/>
          <w:szCs w:val="20"/>
        </w:rPr>
        <w:t xml:space="preserve"> Comparison of growth simulation and experimental data of the single-knockout mutant of the whole gene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This simulates the growth of 1209 single-gene mutant strains under 12 different culture conditions, resulting in a total of 14,412 phenotypes excluding essential genes. The</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 xml:space="preserve">Bsu1209 reconstruction is 89.3% accurate in predicting the effect of gene knockouts; </w:t>
      </w:r>
      <w:r w:rsidRPr="000A2127">
        <w:rPr>
          <w:rFonts w:ascii="Times New Roman" w:hAnsi="Times New Roman" w:cs="Times New Roman"/>
          <w:b/>
          <w:bCs/>
          <w:sz w:val="20"/>
          <w:szCs w:val="20"/>
        </w:rPr>
        <w:t>(e)</w:t>
      </w:r>
      <w:r w:rsidRPr="000A2127">
        <w:rPr>
          <w:rFonts w:ascii="Times New Roman" w:hAnsi="Times New Roman" w:cs="Times New Roman"/>
        </w:rPr>
        <w:t xml:space="preserve"> </w:t>
      </w:r>
      <w:r w:rsidRPr="000A2127">
        <w:rPr>
          <w:rFonts w:ascii="Times New Roman" w:hAnsi="Times New Roman" w:cs="Times New Roman"/>
          <w:sz w:val="20"/>
          <w:szCs w:val="20"/>
        </w:rPr>
        <w:t>Comparison of metabolic fluxes of central carbon metabolism between the 13C-tracer experimental data and simulated values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with four different inputs of glucose (blue), malate (green), glucose and NH4(orange), and malate and NH4(purple). The absorption rate of carbon and nitrogen sources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is set according to literature reports.</w:t>
      </w:r>
      <w:r w:rsidRPr="000A2127">
        <w:rPr>
          <w:rFonts w:ascii="Times New Roman" w:hAnsi="Times New Roman" w:cs="Times New Roman"/>
        </w:rPr>
        <w:t xml:space="preserve"> </w:t>
      </w:r>
      <w:r w:rsidRPr="000A2127">
        <w:rPr>
          <w:rFonts w:ascii="Times New Roman" w:hAnsi="Times New Roman" w:cs="Times New Roman"/>
          <w:sz w:val="20"/>
          <w:szCs w:val="20"/>
        </w:rPr>
        <w:t xml:space="preserve">Metabolic fluxes of key metabolites in the central carbon metabolism pathway were calculated using the </w:t>
      </w:r>
      <w:proofErr w:type="spellStart"/>
      <w:r w:rsidRPr="000A2127">
        <w:rPr>
          <w:rFonts w:ascii="Times New Roman" w:hAnsi="Times New Roman" w:cs="Times New Roman"/>
          <w:sz w:val="20"/>
          <w:szCs w:val="20"/>
        </w:rPr>
        <w:t>optimizeCbModel</w:t>
      </w:r>
      <w:proofErr w:type="spellEnd"/>
      <w:r w:rsidRPr="000A2127">
        <w:rPr>
          <w:rFonts w:ascii="Times New Roman" w:hAnsi="Times New Roman" w:cs="Times New Roman"/>
          <w:sz w:val="20"/>
          <w:szCs w:val="20"/>
        </w:rPr>
        <w:t xml:space="preserve"> function.</w:t>
      </w:r>
      <w:r w:rsidRPr="000A2127">
        <w:rPr>
          <w:rFonts w:ascii="Times New Roman" w:hAnsi="Times New Roman" w:cs="Times New Roman"/>
          <w:b/>
          <w:bCs/>
          <w:sz w:val="20"/>
          <w:szCs w:val="20"/>
        </w:rPr>
        <w:t xml:space="preserve"> </w:t>
      </w:r>
      <w:bookmarkStart w:id="34" w:name="_Hlk96439031"/>
      <w:r w:rsidRPr="000A2127">
        <w:rPr>
          <w:rFonts w:ascii="Times New Roman" w:hAnsi="Times New Roman" w:cs="Times New Roman"/>
          <w:sz w:val="20"/>
          <w:szCs w:val="20"/>
        </w:rPr>
        <w:t>Pearson correlation coefficients (PCC) of metabolic fluxes of central carbon metabolism between the 13c tracer experimental data and simulated values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with four different inputs of glucose (blue), malate (green), glucose and NH4(orange), and malate and NH4(purple).</w:t>
      </w:r>
      <w:r w:rsidRPr="000A2127">
        <w:rPr>
          <w:rFonts w:ascii="Times New Roman" w:hAnsi="Times New Roman" w:cs="Times New Roman"/>
        </w:rPr>
        <w:t xml:space="preserve"> </w:t>
      </w:r>
      <w:r w:rsidRPr="000A2127">
        <w:rPr>
          <w:rFonts w:ascii="Times New Roman" w:hAnsi="Times New Roman" w:cs="Times New Roman"/>
          <w:sz w:val="20"/>
          <w:szCs w:val="20"/>
        </w:rPr>
        <w:t>The units of the x-axis and y-axis are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w:t>
      </w:r>
      <w:bookmarkEnd w:id="34"/>
      <w:r w:rsidRPr="000A2127">
        <w:rPr>
          <w:rFonts w:ascii="Times New Roman" w:hAnsi="Times New Roman" w:cs="Times New Roman"/>
          <w:sz w:val="20"/>
          <w:szCs w:val="20"/>
        </w:rPr>
        <w:br w:type="page"/>
      </w:r>
    </w:p>
    <w:p w14:paraId="6C82B7FD" w14:textId="708DBC61" w:rsidR="008706DD" w:rsidRPr="000A2127" w:rsidRDefault="008706DD">
      <w:pPr>
        <w:spacing w:line="480" w:lineRule="auto"/>
        <w:rPr>
          <w:rFonts w:ascii="Times New Roman" w:hAnsi="Times New Roman" w:cs="Times New Roman"/>
          <w:b/>
          <w:bCs/>
          <w:sz w:val="20"/>
          <w:szCs w:val="20"/>
        </w:rPr>
      </w:pPr>
      <w:r w:rsidRPr="000A2127">
        <w:rPr>
          <w:rFonts w:ascii="Times New Roman" w:hAnsi="Times New Roman" w:cs="Times New Roman"/>
          <w:b/>
          <w:bCs/>
          <w:sz w:val="20"/>
          <w:szCs w:val="20"/>
        </w:rPr>
        <w:lastRenderedPageBreak/>
        <w:t>Fig. 3</w:t>
      </w:r>
      <w:r w:rsidR="00D34E70">
        <w:rPr>
          <w:rFonts w:ascii="Times New Roman" w:hAnsi="Times New Roman" w:cs="Times New Roman"/>
          <w:b/>
          <w:bCs/>
          <w:sz w:val="20"/>
          <w:szCs w:val="20"/>
        </w:rPr>
        <w:t>.</w:t>
      </w:r>
      <w:r w:rsidRPr="000A2127">
        <w:rPr>
          <w:rFonts w:ascii="Times New Roman" w:hAnsi="Times New Roman" w:cs="Times New Roman"/>
          <w:b/>
          <w:bCs/>
          <w:sz w:val="20"/>
          <w:szCs w:val="20"/>
        </w:rPr>
        <w:t xml:space="preserve"> Software construction process(a) and operation interface(b) of Model Tool. (a) </w:t>
      </w:r>
      <w:r w:rsidRPr="000A2127">
        <w:rPr>
          <w:rFonts w:ascii="Times New Roman" w:hAnsi="Times New Roman" w:cs="Times New Roman"/>
          <w:sz w:val="20"/>
          <w:szCs w:val="20"/>
        </w:rPr>
        <w:t xml:space="preserve">The construction process of Model Tool. Model Tool is based on </w:t>
      </w:r>
      <w:r w:rsidR="009C7FB7">
        <w:rPr>
          <w:rFonts w:ascii="Times New Roman" w:hAnsi="Times New Roman" w:cs="Times New Roman"/>
          <w:sz w:val="20"/>
          <w:szCs w:val="20"/>
        </w:rPr>
        <w:t>MATLAB</w:t>
      </w:r>
      <w:r w:rsidRPr="000A2127">
        <w:rPr>
          <w:rFonts w:ascii="Times New Roman" w:hAnsi="Times New Roman" w:cs="Times New Roman"/>
          <w:sz w:val="20"/>
          <w:szCs w:val="20"/>
        </w:rPr>
        <w:t xml:space="preserve">, integrates the core codes of GECKO, </w:t>
      </w:r>
      <w:proofErr w:type="spellStart"/>
      <w:r w:rsidRPr="000A2127">
        <w:rPr>
          <w:rFonts w:ascii="Times New Roman" w:hAnsi="Times New Roman" w:cs="Times New Roman"/>
          <w:sz w:val="20"/>
          <w:szCs w:val="20"/>
        </w:rPr>
        <w:t>matTFA</w:t>
      </w:r>
      <w:proofErr w:type="spellEnd"/>
      <w:r w:rsidRPr="000A2127">
        <w:rPr>
          <w:rFonts w:ascii="Times New Roman" w:hAnsi="Times New Roman" w:cs="Times New Roman"/>
          <w:sz w:val="20"/>
          <w:szCs w:val="20"/>
        </w:rPr>
        <w:t xml:space="preserve"> and PROM, simplifies the data processing code of the model, and collects various strain data from KEGG, </w:t>
      </w:r>
      <w:proofErr w:type="spellStart"/>
      <w:r w:rsidRPr="000A2127">
        <w:rPr>
          <w:rFonts w:ascii="Times New Roman" w:hAnsi="Times New Roman" w:cs="Times New Roman"/>
          <w:sz w:val="20"/>
          <w:szCs w:val="20"/>
        </w:rPr>
        <w:t>uniprot</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swiss-prot</w:t>
      </w:r>
      <w:proofErr w:type="spellEnd"/>
      <w:r w:rsidRPr="000A2127">
        <w:rPr>
          <w:rFonts w:ascii="Times New Roman" w:hAnsi="Times New Roman" w:cs="Times New Roman"/>
          <w:sz w:val="20"/>
          <w:szCs w:val="20"/>
        </w:rPr>
        <w:t xml:space="preserve"> databases, and use solvers such as </w:t>
      </w:r>
      <w:proofErr w:type="spellStart"/>
      <w:r w:rsidRPr="000A2127">
        <w:rPr>
          <w:rFonts w:ascii="Times New Roman" w:hAnsi="Times New Roman" w:cs="Times New Roman"/>
          <w:sz w:val="20"/>
          <w:szCs w:val="20"/>
        </w:rPr>
        <w:t>Gurobi</w:t>
      </w:r>
      <w:proofErr w:type="spellEnd"/>
      <w:r w:rsidRPr="000A2127">
        <w:rPr>
          <w:rFonts w:ascii="Times New Roman" w:hAnsi="Times New Roman" w:cs="Times New Roman"/>
          <w:sz w:val="20"/>
          <w:szCs w:val="20"/>
        </w:rPr>
        <w:t xml:space="preserve"> and </w:t>
      </w:r>
      <w:proofErr w:type="spellStart"/>
      <w:r w:rsidRPr="000A2127">
        <w:rPr>
          <w:rFonts w:ascii="Times New Roman" w:hAnsi="Times New Roman" w:cs="Times New Roman"/>
          <w:sz w:val="20"/>
          <w:szCs w:val="20"/>
        </w:rPr>
        <w:t>Cplex</w:t>
      </w:r>
      <w:proofErr w:type="spellEnd"/>
      <w:r w:rsidRPr="000A2127">
        <w:rPr>
          <w:rFonts w:ascii="Times New Roman" w:hAnsi="Times New Roman" w:cs="Times New Roman"/>
          <w:sz w:val="20"/>
          <w:szCs w:val="20"/>
        </w:rPr>
        <w:t xml:space="preserve"> for simulation analysis Model Tool uses the GUI interface for visual and code-free operations in </w:t>
      </w:r>
      <w:r w:rsidR="009C7FB7">
        <w:rPr>
          <w:rFonts w:ascii="Times New Roman" w:hAnsi="Times New Roman" w:cs="Times New Roman"/>
          <w:sz w:val="20"/>
          <w:szCs w:val="20"/>
        </w:rPr>
        <w:t>MATLAB</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 xml:space="preserve">(b) </w:t>
      </w:r>
      <w:r w:rsidRPr="000A2127">
        <w:rPr>
          <w:rFonts w:ascii="Times New Roman" w:hAnsi="Times New Roman" w:cs="Times New Roman"/>
          <w:sz w:val="20"/>
          <w:szCs w:val="20"/>
        </w:rPr>
        <w:t>The operation interface of the model tool. The operation interface is divided into four modules: build enzymatic constraint model, build thermodynamic constraint model, integrate transcriptional regulatory network and metabolic flux analysis of model.</w:t>
      </w:r>
      <w:r w:rsidRPr="000A2127">
        <w:rPr>
          <w:rFonts w:ascii="Times New Roman" w:hAnsi="Times New Roman" w:cs="Times New Roman"/>
        </w:rPr>
        <w:t xml:space="preserve"> </w:t>
      </w:r>
      <w:r w:rsidRPr="000A2127">
        <w:rPr>
          <w:rFonts w:ascii="Times New Roman" w:hAnsi="Times New Roman" w:cs="Times New Roman"/>
          <w:sz w:val="20"/>
          <w:szCs w:val="20"/>
        </w:rPr>
        <w:t xml:space="preserve">Users can click the button and follow the pop-up prompts to construct and analyze the model; </w:t>
      </w:r>
      <w:r w:rsidRPr="000A2127">
        <w:rPr>
          <w:rFonts w:ascii="Times New Roman" w:hAnsi="Times New Roman" w:cs="Times New Roman"/>
          <w:b/>
          <w:bCs/>
          <w:sz w:val="20"/>
          <w:szCs w:val="20"/>
        </w:rPr>
        <w:t>(c)</w:t>
      </w:r>
      <w:r w:rsidRPr="000A2127">
        <w:rPr>
          <w:rFonts w:ascii="Times New Roman" w:hAnsi="Times New Roman" w:cs="Times New Roman"/>
          <w:sz w:val="20"/>
          <w:szCs w:val="20"/>
        </w:rPr>
        <w:t xml:space="preserve"> Pipeline for </w:t>
      </w:r>
      <w:r w:rsidRPr="000A2127">
        <w:rPr>
          <w:rFonts w:ascii="Times New Roman" w:hAnsi="Times New Roman" w:cs="Times New Roman"/>
          <w:iCs/>
          <w:sz w:val="20"/>
          <w:szCs w:val="20"/>
        </w:rPr>
        <w:t>integrating enzymatic constraints, thermodynamic constraints and transcriptional regulatory networks</w:t>
      </w:r>
      <w:r w:rsidRPr="000A2127">
        <w:rPr>
          <w:rFonts w:ascii="Times New Roman" w:hAnsi="Times New Roman" w:cs="Times New Roman"/>
          <w:sz w:val="20"/>
          <w:szCs w:val="20"/>
        </w:rPr>
        <w:t xml:space="preserve">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S1 refers to the stoichiometric matrix, S2 to the </w:t>
      </w:r>
      <w:r w:rsidRPr="000A2127">
        <w:rPr>
          <w:rFonts w:ascii="Times New Roman" w:hAnsi="Times New Roman" w:cs="Times New Roman"/>
          <w:iCs/>
          <w:sz w:val="20"/>
          <w:szCs w:val="20"/>
        </w:rPr>
        <w:t>transcriptional regulatory networks model, v to</w:t>
      </w:r>
      <w:r w:rsidRPr="000A2127">
        <w:rPr>
          <w:rFonts w:ascii="Times New Roman" w:hAnsi="Times New Roman" w:cs="Times New Roman"/>
        </w:rPr>
        <w:t xml:space="preserve"> </w:t>
      </w:r>
      <w:r w:rsidRPr="000A2127">
        <w:rPr>
          <w:rFonts w:ascii="Times New Roman" w:hAnsi="Times New Roman" w:cs="Times New Roman"/>
          <w:iCs/>
          <w:sz w:val="20"/>
          <w:szCs w:val="20"/>
        </w:rPr>
        <w:t>metabolic fluxes, E to Enzymes, T to</w:t>
      </w:r>
      <w:r w:rsidRPr="000A2127">
        <w:rPr>
          <w:rFonts w:ascii="Times New Roman" w:hAnsi="Times New Roman" w:cs="Times New Roman"/>
        </w:rPr>
        <w:t xml:space="preserve"> </w:t>
      </w:r>
      <w:r w:rsidRPr="000A2127">
        <w:rPr>
          <w:rFonts w:ascii="Times New Roman" w:hAnsi="Times New Roman" w:cs="Times New Roman"/>
          <w:iCs/>
          <w:sz w:val="20"/>
          <w:szCs w:val="20"/>
        </w:rPr>
        <w:t>thermodynamic parameters of the reactions, g to genes, TF to transcription factors, A and B to metabolites in reaction, LB and UB to the</w:t>
      </w:r>
      <w:r w:rsidRPr="000A2127">
        <w:rPr>
          <w:rFonts w:ascii="Times New Roman" w:eastAsia="SimSun" w:hAnsi="Times New Roman" w:cs="Times New Roman"/>
          <w:kern w:val="0"/>
          <w:sz w:val="20"/>
          <w:szCs w:val="20"/>
        </w:rPr>
        <w:t xml:space="preserve"> metabolite flux of </w:t>
      </w:r>
      <w:r w:rsidRPr="000A2127">
        <w:rPr>
          <w:rFonts w:ascii="Times New Roman" w:hAnsi="Times New Roman" w:cs="Times New Roman"/>
          <w:sz w:val="20"/>
          <w:szCs w:val="20"/>
        </w:rPr>
        <w:t>lower and upper bounds, P to protein abundance of the enzymes, ΔG to</w:t>
      </w:r>
      <w:r w:rsidRPr="000A2127">
        <w:rPr>
          <w:rFonts w:ascii="Times New Roman" w:hAnsi="Times New Roman" w:cs="Times New Roman"/>
          <w:iCs/>
          <w:sz w:val="20"/>
          <w:szCs w:val="20"/>
        </w:rPr>
        <w:t xml:space="preserve"> Gibbs free energy of the reactions</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(d)</w:t>
      </w:r>
      <w:r w:rsidRPr="000A2127">
        <w:rPr>
          <w:rFonts w:ascii="Times New Roman" w:hAnsi="Times New Roman" w:cs="Times New Roman"/>
          <w:sz w:val="20"/>
          <w:szCs w:val="20"/>
        </w:rPr>
        <w:t xml:space="preserve"> Visualization of metabolic networks for</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and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w:t>
      </w:r>
      <w:r w:rsidRPr="000A2127">
        <w:rPr>
          <w:rFonts w:ascii="Times New Roman" w:hAnsi="Times New Roman" w:cs="Times New Roman"/>
          <w:b/>
          <w:bCs/>
          <w:sz w:val="20"/>
          <w:szCs w:val="20"/>
        </w:rPr>
        <w:t>(e)</w:t>
      </w:r>
      <w:r w:rsidRPr="000A2127">
        <w:rPr>
          <w:rFonts w:ascii="Times New Roman" w:hAnsi="Times New Roman" w:cs="Times New Roman"/>
          <w:sz w:val="20"/>
          <w:szCs w:val="20"/>
        </w:rPr>
        <w:t xml:space="preserve"> Cumulative distribution of </w:t>
      </w:r>
      <w:proofErr w:type="spellStart"/>
      <w:r w:rsidRPr="000A2127">
        <w:rPr>
          <w:rFonts w:ascii="Times New Roman" w:hAnsi="Times New Roman" w:cs="Times New Roman"/>
          <w:i/>
          <w:iCs/>
          <w:sz w:val="20"/>
          <w:szCs w:val="20"/>
        </w:rPr>
        <w:t>k</w:t>
      </w:r>
      <w:r w:rsidRPr="000A2127">
        <w:rPr>
          <w:rFonts w:ascii="Times New Roman" w:hAnsi="Times New Roman" w:cs="Times New Roman"/>
          <w:sz w:val="20"/>
          <w:szCs w:val="20"/>
          <w:vertAlign w:val="subscript"/>
        </w:rPr>
        <w:t>cat</w:t>
      </w:r>
      <w:proofErr w:type="spellEnd"/>
      <w:r w:rsidRPr="000A2127">
        <w:rPr>
          <w:rFonts w:ascii="Times New Roman" w:hAnsi="Times New Roman" w:cs="Times New Roman"/>
          <w:sz w:val="20"/>
          <w:szCs w:val="20"/>
        </w:rPr>
        <w:t xml:space="preserve"> values and molecular weights.</w:t>
      </w:r>
      <w:r w:rsidRPr="000A2127">
        <w:rPr>
          <w:rFonts w:ascii="Times New Roman" w:hAnsi="Times New Roman" w:cs="Times New Roman"/>
        </w:rPr>
        <w:t xml:space="preserve"> </w:t>
      </w:r>
      <w:r w:rsidRPr="000A2127">
        <w:rPr>
          <w:rFonts w:ascii="Times New Roman" w:hAnsi="Times New Roman" w:cs="Times New Roman"/>
          <w:sz w:val="20"/>
          <w:szCs w:val="20"/>
        </w:rPr>
        <w:t xml:space="preserve">All distributions were significantly different with P &lt; 0.05 using a non-parametric Wilcoxon rank-sum test </w:t>
      </w:r>
      <w:r w:rsidRPr="000A2127">
        <w:rPr>
          <w:rFonts w:ascii="Times New Roman" w:hAnsi="Times New Roman" w:cs="Times New Roman"/>
          <w:noProof/>
          <w:sz w:val="20"/>
          <w:szCs w:val="20"/>
        </w:rPr>
        <w:t>(Sanchez et al., 2017)</w:t>
      </w:r>
      <w:r w:rsidRPr="000A2127">
        <w:rPr>
          <w:rFonts w:ascii="Times New Roman" w:hAnsi="Times New Roman" w:cs="Times New Roman"/>
          <w:sz w:val="20"/>
          <w:szCs w:val="20"/>
        </w:rPr>
        <w:t>.</w:t>
      </w:r>
    </w:p>
    <w:p w14:paraId="6DD94471"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432393AB" w14:textId="387C8DD8" w:rsidR="008706DD" w:rsidRPr="000A2127" w:rsidRDefault="008706DD">
      <w:pPr>
        <w:spacing w:line="480" w:lineRule="auto"/>
        <w:rPr>
          <w:rFonts w:ascii="Times New Roman" w:hAnsi="Times New Roman" w:cs="Times New Roman"/>
          <w:sz w:val="20"/>
          <w:szCs w:val="20"/>
        </w:rPr>
      </w:pPr>
      <w:r w:rsidRPr="000A2127">
        <w:rPr>
          <w:rFonts w:ascii="Times New Roman" w:hAnsi="Times New Roman" w:cs="Times New Roman"/>
          <w:b/>
          <w:bCs/>
          <w:sz w:val="20"/>
          <w:szCs w:val="20"/>
        </w:rPr>
        <w:lastRenderedPageBreak/>
        <w:t>Fig. 4</w:t>
      </w:r>
      <w:r w:rsidR="00D34E70">
        <w:rPr>
          <w:rFonts w:ascii="Times New Roman" w:hAnsi="Times New Roman" w:cs="Times New Roman"/>
          <w:b/>
          <w:bCs/>
          <w:sz w:val="20"/>
          <w:szCs w:val="20"/>
        </w:rPr>
        <w:t>.</w:t>
      </w:r>
      <w:r w:rsidRPr="000A2127">
        <w:rPr>
          <w:rFonts w:ascii="Times New Roman" w:hAnsi="Times New Roman" w:cs="Times New Roman"/>
          <w:b/>
          <w:bCs/>
          <w:sz w:val="20"/>
          <w:szCs w:val="20"/>
        </w:rPr>
        <w:t xml:space="preserve"> Visual analysis of the metabolic network of et</w:t>
      </w:r>
      <w:r w:rsidRPr="000A2127">
        <w:rPr>
          <w:rFonts w:ascii="Times New Roman" w:hAnsi="Times New Roman" w:cs="Times New Roman"/>
          <w:b/>
          <w:bCs/>
          <w:i/>
          <w:iCs/>
          <w:sz w:val="20"/>
          <w:szCs w:val="20"/>
        </w:rPr>
        <w:t>i</w:t>
      </w:r>
      <w:r w:rsidRPr="000A2127">
        <w:rPr>
          <w:rFonts w:ascii="Times New Roman" w:hAnsi="Times New Roman" w:cs="Times New Roman"/>
          <w:b/>
          <w:bCs/>
          <w:sz w:val="20"/>
          <w:szCs w:val="20"/>
        </w:rPr>
        <w:t>Bsu1209.</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(a)</w:t>
      </w:r>
      <w:r w:rsidRPr="000A2127">
        <w:rPr>
          <w:rFonts w:ascii="Times New Roman" w:hAnsi="Times New Roman" w:cs="Times New Roman"/>
          <w:sz w:val="20"/>
          <w:szCs w:val="20"/>
        </w:rPr>
        <w:t xml:space="preserve"> Influence of flux of 911 reactions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under the absence of 47 transcription factors. Simulation analysis was done using functions in the PROM toolkit; </w:t>
      </w:r>
      <w:r w:rsidRPr="000A2127">
        <w:rPr>
          <w:rFonts w:ascii="Times New Roman" w:hAnsi="Times New Roman" w:cs="Times New Roman"/>
          <w:b/>
          <w:bCs/>
          <w:sz w:val="20"/>
          <w:szCs w:val="20"/>
        </w:rPr>
        <w:t>(b)</w:t>
      </w:r>
      <w:r w:rsidRPr="000A2127">
        <w:rPr>
          <w:rFonts w:ascii="Times New Roman" w:hAnsi="Times New Roman" w:cs="Times New Roman"/>
        </w:rPr>
        <w:t xml:space="preserve"> </w:t>
      </w:r>
      <w:r w:rsidRPr="000A2127">
        <w:rPr>
          <w:rFonts w:ascii="Times New Roman" w:hAnsi="Times New Roman" w:cs="Times New Roman"/>
          <w:sz w:val="20"/>
          <w:szCs w:val="20"/>
        </w:rPr>
        <w:t>PCC between the simulated growth of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and the experimental data in the absence of 47 transcription factors.</w:t>
      </w:r>
      <w:r w:rsidRPr="000A2127">
        <w:rPr>
          <w:rFonts w:ascii="Times New Roman" w:hAnsi="Times New Roman" w:cs="Times New Roman"/>
        </w:rPr>
        <w:t xml:space="preserve"> </w:t>
      </w:r>
      <w:r w:rsidRPr="000A2127">
        <w:rPr>
          <w:rFonts w:ascii="Times New Roman" w:hAnsi="Times New Roman" w:cs="Times New Roman"/>
          <w:sz w:val="20"/>
          <w:szCs w:val="20"/>
        </w:rPr>
        <w:t xml:space="preserve">The experimental data were from Koo et al </w:t>
      </w:r>
      <w:r w:rsidRPr="000A2127">
        <w:rPr>
          <w:rFonts w:ascii="Times New Roman" w:hAnsi="Times New Roman" w:cs="Times New Roman"/>
          <w:noProof/>
          <w:sz w:val="20"/>
          <w:szCs w:val="20"/>
        </w:rPr>
        <w:t>(Arrieta-Ortiz et al., 2015)</w:t>
      </w:r>
      <w:r w:rsidRPr="000A2127">
        <w:rPr>
          <w:rFonts w:ascii="Times New Roman" w:hAnsi="Times New Roman" w:cs="Times New Roman"/>
          <w:sz w:val="20"/>
          <w:szCs w:val="20"/>
        </w:rPr>
        <w:t>. The units of the x-axis and y-axis are mmol gDW</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h</w:t>
      </w:r>
      <w:r w:rsidRPr="000A2127">
        <w:rPr>
          <w:rFonts w:ascii="Times New Roman" w:hAnsi="Times New Roman" w:cs="Times New Roman"/>
          <w:sz w:val="20"/>
          <w:szCs w:val="20"/>
          <w:vertAlign w:val="superscript"/>
        </w:rPr>
        <w:t>-1</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(c)</w:t>
      </w:r>
      <w:r w:rsidRPr="000A2127">
        <w:rPr>
          <w:rFonts w:ascii="Times New Roman" w:hAnsi="Times New Roman" w:cs="Times New Roman"/>
          <w:sz w:val="20"/>
          <w:szCs w:val="20"/>
        </w:rPr>
        <w:t xml:space="preserve"> The effects of glucose and oxygen uptake on growth rates were compared in</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Bsu210 and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The detection of the model is carried out through the function in the cobra tool, and all simulations are carried out in </w:t>
      </w:r>
      <w:r w:rsidR="009C7FB7">
        <w:rPr>
          <w:rFonts w:ascii="Times New Roman" w:hAnsi="Times New Roman" w:cs="Times New Roman"/>
          <w:sz w:val="20"/>
          <w:szCs w:val="20"/>
        </w:rPr>
        <w:t>MATLAB</w:t>
      </w:r>
      <w:r w:rsidRPr="000A2127">
        <w:rPr>
          <w:rFonts w:ascii="Times New Roman" w:hAnsi="Times New Roman" w:cs="Times New Roman"/>
          <w:sz w:val="20"/>
          <w:szCs w:val="20"/>
        </w:rPr>
        <w:t>;</w:t>
      </w:r>
      <w:r w:rsidRPr="000A2127">
        <w:rPr>
          <w:rFonts w:ascii="Times New Roman" w:hAnsi="Times New Roman" w:cs="Times New Roman"/>
          <w:b/>
          <w:bCs/>
          <w:sz w:val="20"/>
          <w:szCs w:val="20"/>
        </w:rPr>
        <w:t xml:space="preserve"> (d)</w:t>
      </w:r>
      <w:r w:rsidRPr="000A2127">
        <w:rPr>
          <w:rFonts w:ascii="Times New Roman" w:hAnsi="Times New Roman" w:cs="Times New Roman"/>
        </w:rPr>
        <w:t xml:space="preserve"> </w:t>
      </w:r>
      <w:r w:rsidRPr="000A2127">
        <w:rPr>
          <w:rFonts w:ascii="Times New Roman" w:hAnsi="Times New Roman" w:cs="Times New Roman"/>
          <w:sz w:val="20"/>
          <w:szCs w:val="20"/>
        </w:rPr>
        <w:t>The maximum growth rate predicted by different models.</w:t>
      </w:r>
      <w:r w:rsidRPr="000A2127">
        <w:rPr>
          <w:rFonts w:ascii="Times New Roman" w:hAnsi="Times New Roman" w:cs="Times New Roman"/>
        </w:rPr>
        <w:t xml:space="preserve"> </w:t>
      </w:r>
      <w:r w:rsidRPr="000A2127">
        <w:rPr>
          <w:rFonts w:ascii="Times New Roman" w:hAnsi="Times New Roman" w:cs="Times New Roman"/>
          <w:sz w:val="20"/>
          <w:szCs w:val="20"/>
        </w:rPr>
        <w:t>The simulated growth rates of</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Bsu1147,</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tc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(model with thermodynamic constraints), ec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(model with enzymatic constraints) and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(model with enzymatic and thermodynamic constraints) were compared with experimental data under glucose as the sole carbon source. The simulated values were solved using the Flux balance analysis (FBA) function in Cobra Toolbox. The experimental data were detected under M9 medium; </w:t>
      </w:r>
      <w:r w:rsidRPr="000A2127">
        <w:rPr>
          <w:rFonts w:ascii="Times New Roman" w:hAnsi="Times New Roman" w:cs="Times New Roman"/>
          <w:b/>
          <w:bCs/>
          <w:sz w:val="20"/>
          <w:szCs w:val="20"/>
        </w:rPr>
        <w:t>(e)</w:t>
      </w:r>
      <w:r w:rsidRPr="000A2127">
        <w:rPr>
          <w:rFonts w:ascii="Times New Roman" w:hAnsi="Times New Roman" w:cs="Times New Roman"/>
          <w:sz w:val="20"/>
          <w:szCs w:val="20"/>
        </w:rPr>
        <w:t xml:space="preserve"> </w:t>
      </w:r>
      <w:r w:rsidRPr="000A2127">
        <w:rPr>
          <w:rFonts w:ascii="Times New Roman" w:hAnsi="Times New Roman" w:cs="Times New Roman"/>
        </w:rPr>
        <w:t>Flux variability analysis (FVA) of five models (</w:t>
      </w:r>
      <w:r w:rsidRPr="000A2127">
        <w:rPr>
          <w:rFonts w:ascii="Times New Roman" w:hAnsi="Times New Roman" w:cs="Times New Roman"/>
          <w:i/>
          <w:iCs/>
        </w:rPr>
        <w:t>i</w:t>
      </w:r>
      <w:r w:rsidRPr="000A2127">
        <w:rPr>
          <w:rFonts w:ascii="Times New Roman" w:hAnsi="Times New Roman" w:cs="Times New Roman"/>
        </w:rPr>
        <w:t>Bsu1147,</w:t>
      </w:r>
      <w:r w:rsidRPr="000A2127">
        <w:rPr>
          <w:rFonts w:ascii="Times New Roman" w:hAnsi="Times New Roman" w:cs="Times New Roman"/>
          <w:i/>
          <w:iCs/>
        </w:rPr>
        <w:t xml:space="preserve"> i</w:t>
      </w:r>
      <w:r w:rsidRPr="000A2127">
        <w:rPr>
          <w:rFonts w:ascii="Times New Roman" w:hAnsi="Times New Roman" w:cs="Times New Roman"/>
        </w:rPr>
        <w:t>Bsu1209, tc</w:t>
      </w:r>
      <w:r w:rsidRPr="000A2127">
        <w:rPr>
          <w:rFonts w:ascii="Times New Roman" w:hAnsi="Times New Roman" w:cs="Times New Roman"/>
          <w:i/>
          <w:iCs/>
        </w:rPr>
        <w:t>i</w:t>
      </w:r>
      <w:r w:rsidRPr="000A2127">
        <w:rPr>
          <w:rFonts w:ascii="Times New Roman" w:hAnsi="Times New Roman" w:cs="Times New Roman"/>
        </w:rPr>
        <w:t>Bsu1209, ec</w:t>
      </w:r>
      <w:r w:rsidRPr="000A2127">
        <w:rPr>
          <w:rFonts w:ascii="Times New Roman" w:hAnsi="Times New Roman" w:cs="Times New Roman"/>
          <w:i/>
          <w:iCs/>
        </w:rPr>
        <w:t>i</w:t>
      </w:r>
      <w:r w:rsidRPr="000A2127">
        <w:rPr>
          <w:rFonts w:ascii="Times New Roman" w:hAnsi="Times New Roman" w:cs="Times New Roman"/>
        </w:rPr>
        <w:t>Bsu1209 and et</w:t>
      </w:r>
      <w:r w:rsidRPr="000A2127">
        <w:rPr>
          <w:rFonts w:ascii="Times New Roman" w:hAnsi="Times New Roman" w:cs="Times New Roman"/>
          <w:i/>
          <w:iCs/>
        </w:rPr>
        <w:t>i</w:t>
      </w:r>
      <w:r w:rsidRPr="000A2127">
        <w:rPr>
          <w:rFonts w:ascii="Times New Roman" w:hAnsi="Times New Roman" w:cs="Times New Roman"/>
        </w:rPr>
        <w:t xml:space="preserve">Bsu1209). FVA are analyzed by the </w:t>
      </w:r>
      <w:proofErr w:type="spellStart"/>
      <w:r w:rsidRPr="000A2127">
        <w:rPr>
          <w:rFonts w:ascii="Times New Roman" w:hAnsi="Times New Roman" w:cs="Times New Roman"/>
        </w:rPr>
        <w:t>fluxVariability</w:t>
      </w:r>
      <w:proofErr w:type="spellEnd"/>
      <w:r w:rsidRPr="000A2127">
        <w:rPr>
          <w:rFonts w:ascii="Times New Roman" w:hAnsi="Times New Roman" w:cs="Times New Roman"/>
        </w:rPr>
        <w:t xml:space="preserve"> function in the Cobra Tool.</w:t>
      </w:r>
    </w:p>
    <w:p w14:paraId="46E4E142"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55A28E85" w14:textId="6C9499C3" w:rsidR="008706DD" w:rsidRPr="000A2127" w:rsidRDefault="008706DD">
      <w:pPr>
        <w:spacing w:line="480" w:lineRule="auto"/>
        <w:rPr>
          <w:rFonts w:ascii="Times New Roman" w:hAnsi="Times New Roman" w:cs="Times New Roman"/>
          <w:sz w:val="20"/>
          <w:szCs w:val="20"/>
        </w:rPr>
      </w:pPr>
      <w:r w:rsidRPr="000A2127">
        <w:rPr>
          <w:rFonts w:ascii="Times New Roman" w:hAnsi="Times New Roman" w:cs="Times New Roman"/>
          <w:b/>
          <w:bCs/>
          <w:sz w:val="20"/>
          <w:szCs w:val="20"/>
        </w:rPr>
        <w:lastRenderedPageBreak/>
        <w:t>Fig. 5</w:t>
      </w:r>
      <w:r w:rsidR="00D34E70">
        <w:rPr>
          <w:rFonts w:ascii="Times New Roman" w:hAnsi="Times New Roman" w:cs="Times New Roman"/>
          <w:b/>
          <w:bCs/>
          <w:sz w:val="20"/>
          <w:szCs w:val="20"/>
        </w:rPr>
        <w:t>.</w:t>
      </w:r>
      <w:r w:rsidRPr="000A2127">
        <w:rPr>
          <w:rFonts w:ascii="Times New Roman" w:hAnsi="Times New Roman" w:cs="Times New Roman"/>
          <w:b/>
          <w:bCs/>
          <w:sz w:val="20"/>
          <w:szCs w:val="20"/>
        </w:rPr>
        <w:t xml:space="preserve"> Simulation analysis of carbon metabolism flux distribution in different model centers. </w:t>
      </w:r>
      <w:bookmarkStart w:id="35" w:name="OLE_LINK15"/>
      <w:r w:rsidRPr="000A2127">
        <w:rPr>
          <w:rFonts w:ascii="Times New Roman" w:hAnsi="Times New Roman" w:cs="Times New Roman"/>
          <w:sz w:val="20"/>
          <w:szCs w:val="20"/>
        </w:rPr>
        <w:t>Metabolic flux distributions in central carbon metabolism (EM pathway, TCA cycle and PP pathway) showing 13C-tracer experimental data (black) and simulated values in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(red). Experimental data obtained by Rühl et al</w:t>
      </w:r>
      <w:r w:rsidRPr="000A2127">
        <w:rPr>
          <w:rFonts w:ascii="Times New Roman" w:hAnsi="Times New Roman" w:cs="Times New Roman"/>
          <w:noProof/>
          <w:sz w:val="20"/>
          <w:szCs w:val="20"/>
        </w:rPr>
        <w:t>(Ruhl et al., 2012)</w:t>
      </w:r>
      <w:r w:rsidRPr="000A2127">
        <w:rPr>
          <w:rFonts w:ascii="Times New Roman" w:hAnsi="Times New Roman" w:cs="Times New Roman"/>
          <w:sz w:val="20"/>
          <w:szCs w:val="20"/>
        </w:rPr>
        <w:t>.</w:t>
      </w:r>
      <w:r w:rsidRPr="000A2127">
        <w:rPr>
          <w:rFonts w:ascii="Times New Roman" w:hAnsi="Times New Roman" w:cs="Times New Roman"/>
          <w:b/>
          <w:bCs/>
          <w:sz w:val="20"/>
          <w:szCs w:val="20"/>
        </w:rPr>
        <w:t xml:space="preserve"> </w:t>
      </w:r>
      <w:r w:rsidRPr="000A2127">
        <w:rPr>
          <w:rFonts w:ascii="Times New Roman" w:hAnsi="Times New Roman" w:cs="Times New Roman"/>
          <w:sz w:val="20"/>
          <w:szCs w:val="20"/>
        </w:rPr>
        <w:t>The glucose absorption rate simulated by et</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is the same as the experimental data.</w:t>
      </w:r>
      <w:r w:rsidRPr="000A2127">
        <w:rPr>
          <w:rFonts w:ascii="Times New Roman" w:hAnsi="Times New Roman" w:cs="Times New Roman"/>
          <w:b/>
          <w:bCs/>
          <w:sz w:val="20"/>
          <w:szCs w:val="20"/>
        </w:rPr>
        <w:t xml:space="preserve"> </w:t>
      </w:r>
      <w:r w:rsidRPr="000A2127">
        <w:rPr>
          <w:rFonts w:ascii="Times New Roman" w:hAnsi="Times New Roman" w:cs="Times New Roman"/>
          <w:sz w:val="20"/>
          <w:szCs w:val="20"/>
        </w:rPr>
        <w:t>Flux variability analysis of key metabolites of central carbon metabolism in five models (</w:t>
      </w:r>
      <w:r w:rsidRPr="000A2127">
        <w:rPr>
          <w:rFonts w:ascii="Times New Roman" w:hAnsi="Times New Roman" w:cs="Times New Roman"/>
          <w:i/>
          <w:iCs/>
          <w:sz w:val="20"/>
          <w:szCs w:val="20"/>
        </w:rPr>
        <w:t>i</w:t>
      </w:r>
      <w:r w:rsidRPr="000A2127">
        <w:rPr>
          <w:rFonts w:ascii="Times New Roman" w:hAnsi="Times New Roman" w:cs="Times New Roman"/>
          <w:sz w:val="20"/>
          <w:szCs w:val="20"/>
        </w:rPr>
        <w:t>Bsu1147,</w:t>
      </w:r>
      <w:r w:rsidRPr="000A2127">
        <w:rPr>
          <w:rFonts w:ascii="Times New Roman" w:hAnsi="Times New Roman" w:cs="Times New Roman"/>
          <w:i/>
          <w:iCs/>
          <w:sz w:val="20"/>
          <w:szCs w:val="20"/>
        </w:rPr>
        <w:t xml:space="preserve"> i</w:t>
      </w:r>
      <w:r w:rsidRPr="000A2127">
        <w:rPr>
          <w:rFonts w:ascii="Times New Roman" w:hAnsi="Times New Roman" w:cs="Times New Roman"/>
          <w:sz w:val="20"/>
          <w:szCs w:val="20"/>
        </w:rPr>
        <w:t>Bsu1209, tc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ec</w:t>
      </w:r>
      <w:r w:rsidRPr="000A2127">
        <w:rPr>
          <w:rFonts w:ascii="Times New Roman" w:hAnsi="Times New Roman" w:cs="Times New Roman"/>
          <w:i/>
          <w:iCs/>
          <w:sz w:val="20"/>
          <w:szCs w:val="20"/>
        </w:rPr>
        <w:t>i</w:t>
      </w:r>
      <w:r w:rsidRPr="000A2127">
        <w:rPr>
          <w:rFonts w:ascii="Times New Roman" w:hAnsi="Times New Roman" w:cs="Times New Roman"/>
          <w:sz w:val="20"/>
          <w:szCs w:val="20"/>
        </w:rPr>
        <w:t>Bsu1209 and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is presented in the bar chart, by using </w:t>
      </w:r>
      <w:proofErr w:type="spellStart"/>
      <w:r w:rsidRPr="000A2127">
        <w:rPr>
          <w:rFonts w:ascii="Times New Roman" w:hAnsi="Times New Roman" w:cs="Times New Roman"/>
          <w:sz w:val="20"/>
          <w:szCs w:val="20"/>
        </w:rPr>
        <w:t>fluxVariability</w:t>
      </w:r>
      <w:proofErr w:type="spellEnd"/>
      <w:r w:rsidRPr="000A2127">
        <w:rPr>
          <w:rFonts w:ascii="Times New Roman" w:hAnsi="Times New Roman" w:cs="Times New Roman"/>
          <w:sz w:val="20"/>
          <w:szCs w:val="20"/>
        </w:rPr>
        <w:t xml:space="preserve"> function in Cobra Toolbox. EM pathway: Embden–Meyerhof pathway (glycolytic pathway); TCA: tricarboxylic acid cycle. PP pathway: pentose phosphate pathway.</w:t>
      </w:r>
    </w:p>
    <w:bookmarkEnd w:id="35"/>
    <w:p w14:paraId="58427395"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08591138" w14:textId="08329CF1" w:rsidR="008706DD" w:rsidRPr="000A2127" w:rsidRDefault="008706DD">
      <w:pPr>
        <w:spacing w:line="480" w:lineRule="auto"/>
        <w:rPr>
          <w:rFonts w:ascii="Times New Roman" w:hAnsi="Times New Roman" w:cs="Times New Roman"/>
          <w:sz w:val="20"/>
          <w:szCs w:val="20"/>
        </w:rPr>
      </w:pPr>
      <w:r w:rsidRPr="000A2127">
        <w:rPr>
          <w:rFonts w:ascii="Times New Roman" w:hAnsi="Times New Roman" w:cs="Times New Roman"/>
          <w:b/>
          <w:bCs/>
          <w:sz w:val="20"/>
          <w:szCs w:val="20"/>
        </w:rPr>
        <w:lastRenderedPageBreak/>
        <w:t>Fig. 6</w:t>
      </w:r>
      <w:r w:rsidR="00D34E70">
        <w:rPr>
          <w:rFonts w:ascii="Times New Roman" w:hAnsi="Times New Roman" w:cs="Times New Roman"/>
          <w:b/>
          <w:bCs/>
          <w:sz w:val="20"/>
          <w:szCs w:val="20"/>
        </w:rPr>
        <w:t>.</w:t>
      </w:r>
      <w:r w:rsidRPr="000A2127">
        <w:rPr>
          <w:rFonts w:ascii="Times New Roman" w:hAnsi="Times New Roman" w:cs="Times New Roman"/>
          <w:b/>
          <w:bCs/>
          <w:sz w:val="20"/>
          <w:szCs w:val="20"/>
        </w:rPr>
        <w:t xml:space="preserve"> Validation of menaquinone 7 (MK-7) synthesis in mutant strains.</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(a)</w:t>
      </w:r>
      <w:r w:rsidRPr="000A2127">
        <w:rPr>
          <w:rFonts w:ascii="Times New Roman" w:hAnsi="Times New Roman" w:cs="Times New Roman"/>
          <w:sz w:val="20"/>
          <w:szCs w:val="20"/>
        </w:rPr>
        <w:t xml:space="preserve"> Schematic illustration of the prediction process </w:t>
      </w:r>
      <w:r w:rsidRPr="000A2127">
        <w:rPr>
          <w:rFonts w:ascii="Times New Roman" w:hAnsi="Times New Roman" w:cs="Times New Roman"/>
          <w:i/>
          <w:iCs/>
          <w:sz w:val="20"/>
          <w:szCs w:val="20"/>
        </w:rPr>
        <w:t>in silico</w:t>
      </w:r>
      <w:r w:rsidRPr="000A2127">
        <w:rPr>
          <w:rFonts w:ascii="Times New Roman" w:hAnsi="Times New Roman" w:cs="Times New Roman"/>
          <w:sz w:val="20"/>
          <w:szCs w:val="20"/>
        </w:rPr>
        <w:t xml:space="preserve">; </w:t>
      </w:r>
      <w:r w:rsidRPr="000A2127">
        <w:rPr>
          <w:rFonts w:ascii="Times New Roman" w:hAnsi="Times New Roman" w:cs="Times New Roman"/>
          <w:b/>
          <w:bCs/>
          <w:sz w:val="20"/>
          <w:szCs w:val="20"/>
        </w:rPr>
        <w:t>(b)</w:t>
      </w:r>
      <w:r w:rsidRPr="000A2127">
        <w:rPr>
          <w:rFonts w:ascii="Times New Roman" w:hAnsi="Times New Roman" w:cs="Times New Roman"/>
          <w:sz w:val="20"/>
          <w:szCs w:val="20"/>
        </w:rPr>
        <w:t xml:space="preserve"> Prediction of the MK-7 synthesis pathway by et</w:t>
      </w:r>
      <w:r w:rsidRPr="000A2127">
        <w:rPr>
          <w:rFonts w:ascii="Times New Roman" w:hAnsi="Times New Roman" w:cs="Times New Roman"/>
          <w:i/>
          <w:iCs/>
          <w:sz w:val="20"/>
          <w:szCs w:val="20"/>
        </w:rPr>
        <w:t>i</w:t>
      </w:r>
      <w:r w:rsidRPr="000A2127">
        <w:rPr>
          <w:rFonts w:ascii="Times New Roman" w:hAnsi="Times New Roman" w:cs="Times New Roman"/>
          <w:sz w:val="20"/>
          <w:szCs w:val="20"/>
        </w:rPr>
        <w:t xml:space="preserve">Bsu1209. The enzymatic cost of the MK-7 synthesis reaction was calculated by the ECM toolkit </w:t>
      </w:r>
      <w:r w:rsidRPr="000A2127">
        <w:rPr>
          <w:rFonts w:ascii="Times New Roman" w:hAnsi="Times New Roman" w:cs="Times New Roman"/>
          <w:noProof/>
          <w:sz w:val="20"/>
          <w:szCs w:val="20"/>
        </w:rPr>
        <w:t>(Noor et al., 2016)</w:t>
      </w:r>
      <w:r w:rsidRPr="000A2127">
        <w:rPr>
          <w:rFonts w:ascii="Times New Roman" w:hAnsi="Times New Roman" w:cs="Times New Roman"/>
          <w:sz w:val="20"/>
          <w:szCs w:val="20"/>
        </w:rPr>
        <w:t xml:space="preserve">, and the thermodynamic cost was calculated by the </w:t>
      </w:r>
      <w:proofErr w:type="spellStart"/>
      <w:r w:rsidRPr="000A2127">
        <w:rPr>
          <w:rFonts w:ascii="Times New Roman" w:hAnsi="Times New Roman" w:cs="Times New Roman"/>
          <w:sz w:val="20"/>
          <w:szCs w:val="20"/>
        </w:rPr>
        <w:t>optMDFpathway</w:t>
      </w:r>
      <w:proofErr w:type="spellEnd"/>
      <w:r w:rsidRPr="000A2127">
        <w:rPr>
          <w:rFonts w:ascii="Times New Roman" w:hAnsi="Times New Roman" w:cs="Times New Roman"/>
          <w:sz w:val="20"/>
          <w:szCs w:val="20"/>
        </w:rPr>
        <w:t xml:space="preserve"> function </w:t>
      </w:r>
      <w:r w:rsidRPr="000A2127">
        <w:rPr>
          <w:rFonts w:ascii="Times New Roman" w:hAnsi="Times New Roman" w:cs="Times New Roman"/>
          <w:noProof/>
          <w:sz w:val="20"/>
          <w:szCs w:val="20"/>
        </w:rPr>
        <w:t>(Hädicke et al., 2018)</w:t>
      </w:r>
      <w:r w:rsidRPr="000A2127">
        <w:rPr>
          <w:rFonts w:ascii="Times New Roman" w:hAnsi="Times New Roman" w:cs="Times New Roman"/>
          <w:sz w:val="20"/>
          <w:szCs w:val="20"/>
        </w:rPr>
        <w:t>. The enzyme cost of the reaction (blue, on the top) and</w:t>
      </w:r>
      <w:r w:rsidRPr="000A2127">
        <w:rPr>
          <w:rFonts w:ascii="Times New Roman" w:hAnsi="Times New Roman" w:cs="Times New Roman"/>
        </w:rPr>
        <w:t xml:space="preserve"> </w:t>
      </w:r>
      <w:r w:rsidRPr="000A2127">
        <w:rPr>
          <w:rFonts w:ascii="Times New Roman" w:hAnsi="Times New Roman" w:cs="Times New Roman"/>
          <w:sz w:val="20"/>
          <w:szCs w:val="20"/>
        </w:rPr>
        <w:t>the unit is mg/</w:t>
      </w:r>
      <w:proofErr w:type="spellStart"/>
      <w:r w:rsidRPr="000A2127">
        <w:rPr>
          <w:rFonts w:ascii="Times New Roman" w:hAnsi="Times New Roman" w:cs="Times New Roman"/>
          <w:sz w:val="20"/>
          <w:szCs w:val="20"/>
        </w:rPr>
        <w:t>gDW</w:t>
      </w:r>
      <w:proofErr w:type="spellEnd"/>
      <w:r w:rsidRPr="000A2127">
        <w:rPr>
          <w:rFonts w:ascii="Times New Roman" w:hAnsi="Times New Roman" w:cs="Times New Roman"/>
          <w:sz w:val="20"/>
          <w:szCs w:val="20"/>
        </w:rPr>
        <w:t>; the maximum thermodynamic driving force of the reaction (orange, at the bottom) and the unit is kJ/mol.</w:t>
      </w:r>
      <w:r w:rsidRPr="000A2127">
        <w:rPr>
          <w:rFonts w:ascii="Times New Roman" w:hAnsi="Times New Roman" w:cs="Times New Roman"/>
        </w:rPr>
        <w:t xml:space="preserve"> </w:t>
      </w:r>
      <w:r w:rsidRPr="000A2127">
        <w:rPr>
          <w:rFonts w:ascii="Times New Roman" w:hAnsi="Times New Roman" w:cs="Times New Roman"/>
          <w:sz w:val="20"/>
          <w:szCs w:val="20"/>
        </w:rPr>
        <w:t xml:space="preserve">DHQ, 3-dehydroquinate; EPSP, 5-O-(1-carboxyvinyl)-3-phosphoshikimate; SHCHC, 2-succinyl-6-hydroxy-2;4-cyclohexadiene-1-carboxylate; SEPHCHC, 2-succinyl-5-enolpyruvyl-6-hydroxy-3-cyclohexene-1-carboxylate; DHS, 3-dehydroshikimate; S3P, shikimate 3-phosphate; ICHA, </w:t>
      </w:r>
      <w:proofErr w:type="spellStart"/>
      <w:r w:rsidRPr="000A2127">
        <w:rPr>
          <w:rFonts w:ascii="Times New Roman" w:hAnsi="Times New Roman" w:cs="Times New Roman"/>
          <w:sz w:val="20"/>
          <w:szCs w:val="20"/>
        </w:rPr>
        <w:t>isochorismite</w:t>
      </w:r>
      <w:proofErr w:type="spellEnd"/>
      <w:r w:rsidRPr="000A2127">
        <w:rPr>
          <w:rFonts w:ascii="Times New Roman" w:hAnsi="Times New Roman" w:cs="Times New Roman"/>
          <w:sz w:val="20"/>
          <w:szCs w:val="20"/>
        </w:rPr>
        <w:t>; OSB, 2-succinylbenzoate; DHNA, 1;4-dihydroxy-2-naphthoate; DMK, 2-demethylmenaquinone; MEP,</w:t>
      </w:r>
      <w:r w:rsidRPr="000A2127">
        <w:rPr>
          <w:rFonts w:ascii="Times New Roman" w:hAnsi="Times New Roman" w:cs="Times New Roman"/>
        </w:rPr>
        <w:t xml:space="preserve"> </w:t>
      </w:r>
      <w:r w:rsidRPr="000A2127">
        <w:rPr>
          <w:rFonts w:ascii="Times New Roman" w:hAnsi="Times New Roman" w:cs="Times New Roman"/>
          <w:sz w:val="20"/>
          <w:szCs w:val="20"/>
        </w:rPr>
        <w:t>methyl-erythritol-4-diphosphate; MK-7, menaquinone-7; Ma-CoA, malonyl coenzyme A; DOD, dodecanoyl-[</w:t>
      </w:r>
      <w:proofErr w:type="spellStart"/>
      <w:r w:rsidRPr="000A2127">
        <w:rPr>
          <w:rFonts w:ascii="Times New Roman" w:hAnsi="Times New Roman" w:cs="Times New Roman"/>
          <w:sz w:val="20"/>
          <w:szCs w:val="20"/>
        </w:rPr>
        <w:t>acp</w:t>
      </w:r>
      <w:proofErr w:type="spellEnd"/>
      <w:r w:rsidRPr="000A2127">
        <w:rPr>
          <w:rFonts w:ascii="Times New Roman" w:hAnsi="Times New Roman" w:cs="Times New Roman"/>
          <w:sz w:val="20"/>
          <w:szCs w:val="20"/>
        </w:rPr>
        <w:t xml:space="preserve">]; PRPP, 5-Phospho-alpha-D-ribose 1-diphosphate; UMP, uridine 5'-monophosphate; GMP, guanosine 5'-phosphate; CMP, cytidine-5'-monophosphate; XMP, </w:t>
      </w:r>
      <w:proofErr w:type="spellStart"/>
      <w:r w:rsidRPr="000A2127">
        <w:rPr>
          <w:rFonts w:ascii="Times New Roman" w:hAnsi="Times New Roman" w:cs="Times New Roman"/>
          <w:sz w:val="20"/>
          <w:szCs w:val="20"/>
        </w:rPr>
        <w:t>xanthosine</w:t>
      </w:r>
      <w:proofErr w:type="spellEnd"/>
      <w:r w:rsidRPr="000A2127">
        <w:rPr>
          <w:rFonts w:ascii="Times New Roman" w:hAnsi="Times New Roman" w:cs="Times New Roman"/>
          <w:sz w:val="20"/>
          <w:szCs w:val="20"/>
        </w:rPr>
        <w:t xml:space="preserve"> 5'-phosphate; URL, uracil; GUA, guanosine; CYD, cytidine; URA, urate; HYS, 5-hydroxyisourate; HMBPP, 1-hydroxy-2-methyl-2-butenyl 4-diphosphate; HDP, </w:t>
      </w:r>
      <w:proofErr w:type="spellStart"/>
      <w:r w:rsidRPr="000A2127">
        <w:rPr>
          <w:rFonts w:ascii="Times New Roman" w:hAnsi="Times New Roman" w:cs="Times New Roman"/>
          <w:sz w:val="20"/>
          <w:szCs w:val="20"/>
        </w:rPr>
        <w:t>heptaprenyl</w:t>
      </w:r>
      <w:proofErr w:type="spellEnd"/>
      <w:r w:rsidRPr="000A2127">
        <w:rPr>
          <w:rFonts w:ascii="Times New Roman" w:hAnsi="Times New Roman" w:cs="Times New Roman"/>
          <w:sz w:val="20"/>
          <w:szCs w:val="20"/>
        </w:rPr>
        <w:t xml:space="preserve"> diphosphate;</w:t>
      </w:r>
      <w:r w:rsidRPr="000A2127">
        <w:rPr>
          <w:rFonts w:ascii="Times New Roman" w:hAnsi="Times New Roman" w:cs="Times New Roman"/>
          <w:b/>
          <w:bCs/>
          <w:sz w:val="20"/>
          <w:szCs w:val="20"/>
        </w:rPr>
        <w:t xml:space="preserve"> (c)</w:t>
      </w:r>
      <w:r w:rsidRPr="000A2127">
        <w:rPr>
          <w:rFonts w:ascii="Times New Roman" w:hAnsi="Times New Roman" w:cs="Times New Roman"/>
          <w:sz w:val="20"/>
          <w:szCs w:val="20"/>
        </w:rPr>
        <w:t xml:space="preserve"> MK-7 titers were altered by deleting the predicted target genes of </w:t>
      </w:r>
      <w:proofErr w:type="spellStart"/>
      <w:r w:rsidRPr="000A2127">
        <w:rPr>
          <w:rFonts w:ascii="Times New Roman" w:hAnsi="Times New Roman" w:cs="Times New Roman"/>
          <w:sz w:val="20"/>
          <w:szCs w:val="20"/>
        </w:rPr>
        <w:t>OptKnock</w:t>
      </w:r>
      <w:proofErr w:type="spellEnd"/>
      <w:r w:rsidRPr="000A2127">
        <w:rPr>
          <w:rFonts w:ascii="Times New Roman" w:hAnsi="Times New Roman" w:cs="Times New Roman"/>
          <w:sz w:val="20"/>
          <w:szCs w:val="20"/>
        </w:rPr>
        <w:t xml:space="preserve"> [ BS3A1 to BS3A14 (BS3A) and BS1 to BS14(</w:t>
      </w:r>
      <w:r w:rsidRPr="000A2127">
        <w:rPr>
          <w:rFonts w:ascii="Times New Roman" w:hAnsi="Times New Roman" w:cs="Times New Roman"/>
          <w:i/>
          <w:iCs/>
          <w:sz w:val="20"/>
          <w:szCs w:val="20"/>
        </w:rPr>
        <w:t xml:space="preserve">B. subtilis </w:t>
      </w:r>
      <w:r w:rsidRPr="000A2127">
        <w:rPr>
          <w:rFonts w:ascii="Times New Roman" w:hAnsi="Times New Roman" w:cs="Times New Roman"/>
          <w:sz w:val="20"/>
          <w:szCs w:val="20"/>
        </w:rPr>
        <w:t>168)]</w:t>
      </w:r>
      <w:r w:rsidRPr="000A2127">
        <w:rPr>
          <w:rFonts w:ascii="Times New Roman" w:hAnsi="Times New Roman" w:cs="Times New Roman"/>
          <w:color w:val="000000"/>
          <w:sz w:val="20"/>
          <w:szCs w:val="20"/>
        </w:rPr>
        <w:t>.</w:t>
      </w:r>
      <w:bookmarkStart w:id="36" w:name="_Hlk99893404"/>
      <w:r w:rsidRPr="000A2127">
        <w:rPr>
          <w:rFonts w:ascii="Times New Roman" w:hAnsi="Times New Roman" w:cs="Times New Roman"/>
          <w:color w:val="000000"/>
          <w:sz w:val="20"/>
          <w:szCs w:val="20"/>
        </w:rPr>
        <w:t xml:space="preserve"> </w:t>
      </w:r>
      <w:proofErr w:type="spellStart"/>
      <w:r w:rsidRPr="000A2127">
        <w:rPr>
          <w:rFonts w:ascii="Times New Roman" w:hAnsi="Times New Roman" w:cs="Times New Roman"/>
          <w:color w:val="000000"/>
          <w:sz w:val="20"/>
          <w:szCs w:val="20"/>
        </w:rPr>
        <w:t>fabI</w:t>
      </w:r>
      <w:proofErr w:type="spellEnd"/>
      <w:r w:rsidRPr="000A2127">
        <w:rPr>
          <w:rFonts w:ascii="Times New Roman" w:hAnsi="Times New Roman" w:cs="Times New Roman"/>
          <w:color w:val="000000"/>
          <w:sz w:val="20"/>
          <w:szCs w:val="20"/>
        </w:rPr>
        <w:t>:</w:t>
      </w:r>
      <w:r w:rsidRPr="000A2127">
        <w:rPr>
          <w:rFonts w:ascii="Times New Roman" w:hAnsi="Times New Roman" w:cs="Times New Roman"/>
          <w:color w:val="000000"/>
        </w:rPr>
        <w:t xml:space="preserve"> </w:t>
      </w:r>
      <w:r w:rsidRPr="000A2127">
        <w:rPr>
          <w:rFonts w:ascii="Times New Roman" w:hAnsi="Times New Roman" w:cs="Times New Roman"/>
          <w:color w:val="000000"/>
          <w:sz w:val="20"/>
          <w:szCs w:val="20"/>
        </w:rPr>
        <w:t xml:space="preserve">enoyl-[acyl-carrier protein] reductase I, </w:t>
      </w:r>
      <w:proofErr w:type="spellStart"/>
      <w:r w:rsidRPr="000A2127">
        <w:rPr>
          <w:rFonts w:ascii="Times New Roman" w:hAnsi="Times New Roman" w:cs="Times New Roman"/>
          <w:color w:val="000000"/>
          <w:sz w:val="20"/>
          <w:szCs w:val="20"/>
        </w:rPr>
        <w:t>yfkN</w:t>
      </w:r>
      <w:proofErr w:type="spellEnd"/>
      <w:r w:rsidRPr="000A2127">
        <w:rPr>
          <w:rFonts w:ascii="Times New Roman" w:hAnsi="Times New Roman" w:cs="Times New Roman"/>
          <w:color w:val="000000"/>
          <w:sz w:val="20"/>
          <w:szCs w:val="20"/>
        </w:rPr>
        <w:t>:</w:t>
      </w:r>
      <w:r w:rsidRPr="000A2127">
        <w:rPr>
          <w:rFonts w:ascii="Times New Roman" w:hAnsi="Times New Roman" w:cs="Times New Roman"/>
          <w:color w:val="000000"/>
        </w:rPr>
        <w:t xml:space="preserve"> </w:t>
      </w:r>
      <w:r w:rsidRPr="000A2127">
        <w:rPr>
          <w:rFonts w:ascii="Times New Roman" w:hAnsi="Times New Roman" w:cs="Times New Roman"/>
          <w:color w:val="000000"/>
          <w:sz w:val="20"/>
          <w:szCs w:val="20"/>
        </w:rPr>
        <w:t xml:space="preserve">2',3'-cyclic </w:t>
      </w:r>
      <w:proofErr w:type="spellStart"/>
      <w:r w:rsidRPr="000A2127">
        <w:rPr>
          <w:rFonts w:ascii="Times New Roman" w:hAnsi="Times New Roman" w:cs="Times New Roman"/>
          <w:color w:val="000000"/>
          <w:sz w:val="20"/>
          <w:szCs w:val="20"/>
        </w:rPr>
        <w:t>nucleotidase</w:t>
      </w:r>
      <w:proofErr w:type="spellEnd"/>
      <w:r w:rsidRPr="000A2127">
        <w:rPr>
          <w:rFonts w:ascii="Times New Roman" w:hAnsi="Times New Roman" w:cs="Times New Roman"/>
          <w:color w:val="000000"/>
          <w:sz w:val="20"/>
          <w:szCs w:val="20"/>
        </w:rPr>
        <w:t xml:space="preserve">, </w:t>
      </w:r>
      <w:proofErr w:type="spellStart"/>
      <w:r w:rsidRPr="000A2127">
        <w:rPr>
          <w:rFonts w:ascii="Times New Roman" w:hAnsi="Times New Roman" w:cs="Times New Roman"/>
          <w:color w:val="000000"/>
          <w:sz w:val="20"/>
          <w:szCs w:val="20"/>
        </w:rPr>
        <w:t>pucL</w:t>
      </w:r>
      <w:proofErr w:type="spellEnd"/>
      <w:r w:rsidRPr="000A2127">
        <w:rPr>
          <w:rFonts w:ascii="Times New Roman" w:hAnsi="Times New Roman" w:cs="Times New Roman"/>
          <w:color w:val="000000"/>
          <w:sz w:val="20"/>
          <w:szCs w:val="20"/>
        </w:rPr>
        <w:t>:</w:t>
      </w:r>
      <w:r w:rsidRPr="000A2127">
        <w:rPr>
          <w:rFonts w:ascii="Times New Roman" w:hAnsi="Times New Roman" w:cs="Times New Roman"/>
          <w:color w:val="000000"/>
        </w:rPr>
        <w:t xml:space="preserve"> </w:t>
      </w:r>
      <w:r w:rsidRPr="000A2127">
        <w:rPr>
          <w:rFonts w:ascii="Times New Roman" w:hAnsi="Times New Roman" w:cs="Times New Roman"/>
          <w:color w:val="000000"/>
          <w:sz w:val="20"/>
          <w:szCs w:val="20"/>
        </w:rPr>
        <w:t xml:space="preserve">2-oxo-4-hydroxy-4-carboxy-5-ureidoimidazoline decarboxylase, </w:t>
      </w:r>
      <w:proofErr w:type="spellStart"/>
      <w:r w:rsidRPr="000A2127">
        <w:rPr>
          <w:rFonts w:ascii="Times New Roman" w:hAnsi="Times New Roman" w:cs="Times New Roman"/>
          <w:color w:val="000000"/>
          <w:sz w:val="20"/>
          <w:szCs w:val="20"/>
        </w:rPr>
        <w:t>Udk</w:t>
      </w:r>
      <w:proofErr w:type="spellEnd"/>
      <w:r w:rsidRPr="000A2127">
        <w:rPr>
          <w:rFonts w:ascii="Times New Roman" w:hAnsi="Times New Roman" w:cs="Times New Roman"/>
          <w:color w:val="000000"/>
          <w:sz w:val="20"/>
          <w:szCs w:val="20"/>
        </w:rPr>
        <w:t>:</w:t>
      </w:r>
      <w:r w:rsidRPr="000A2127">
        <w:rPr>
          <w:rFonts w:ascii="Times New Roman" w:hAnsi="Times New Roman" w:cs="Times New Roman"/>
          <w:color w:val="000000"/>
        </w:rPr>
        <w:t xml:space="preserve"> </w:t>
      </w:r>
      <w:r w:rsidRPr="000A2127">
        <w:rPr>
          <w:rFonts w:ascii="Times New Roman" w:hAnsi="Times New Roman" w:cs="Times New Roman"/>
          <w:color w:val="000000"/>
          <w:sz w:val="20"/>
          <w:szCs w:val="20"/>
        </w:rPr>
        <w:t>uridine kinase</w:t>
      </w:r>
      <w:bookmarkEnd w:id="36"/>
      <w:r w:rsidRPr="000A2127">
        <w:rPr>
          <w:rFonts w:ascii="Times New Roman" w:hAnsi="Times New Roman" w:cs="Times New Roman"/>
          <w:color w:val="000000"/>
          <w:sz w:val="20"/>
          <w:szCs w:val="20"/>
        </w:rPr>
        <w:t>;</w:t>
      </w:r>
      <w:r w:rsidRPr="000A2127">
        <w:rPr>
          <w:rFonts w:ascii="Times New Roman" w:hAnsi="Times New Roman" w:cs="Times New Roman"/>
          <w:b/>
          <w:bCs/>
          <w:color w:val="000000"/>
          <w:sz w:val="20"/>
          <w:szCs w:val="20"/>
        </w:rPr>
        <w:t xml:space="preserve"> (d) </w:t>
      </w:r>
      <w:r w:rsidRPr="000A2127">
        <w:rPr>
          <w:rFonts w:ascii="Times New Roman" w:hAnsi="Times New Roman" w:cs="Times New Roman"/>
          <w:color w:val="000000"/>
          <w:sz w:val="20"/>
          <w:szCs w:val="20"/>
        </w:rPr>
        <w:t>Cell growth</w:t>
      </w:r>
      <w:r w:rsidRPr="000A2127">
        <w:rPr>
          <w:rFonts w:ascii="Times New Roman" w:hAnsi="Times New Roman" w:cs="Times New Roman"/>
          <w:sz w:val="20"/>
          <w:szCs w:val="20"/>
        </w:rPr>
        <w:t xml:space="preserve"> and MK-7 production in BS3A8;</w:t>
      </w:r>
      <w:r w:rsidRPr="000A2127">
        <w:rPr>
          <w:rFonts w:ascii="Times New Roman" w:hAnsi="Times New Roman" w:cs="Times New Roman"/>
        </w:rPr>
        <w:t xml:space="preserve"> </w:t>
      </w:r>
      <w:r w:rsidRPr="000A2127">
        <w:rPr>
          <w:rFonts w:ascii="Times New Roman" w:hAnsi="Times New Roman" w:cs="Times New Roman"/>
          <w:sz w:val="20"/>
          <w:szCs w:val="20"/>
        </w:rPr>
        <w:t>cells were cultured in shake flasks for 144h. All experiments were performed in triplicate and error bars show standard deviation (SD).</w:t>
      </w:r>
    </w:p>
    <w:p w14:paraId="5BF64F02"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1341EC60" w14:textId="77777777" w:rsidR="008706DD" w:rsidRPr="000A2127" w:rsidRDefault="008706DD">
      <w:pPr>
        <w:pStyle w:val="Heading1"/>
        <w:spacing w:line="480" w:lineRule="auto"/>
        <w:rPr>
          <w:rStyle w:val="Strong"/>
          <w:rFonts w:ascii="Times New Roman" w:hAnsi="Times New Roman" w:cs="Times New Roman"/>
          <w:b/>
          <w:bCs/>
        </w:rPr>
      </w:pPr>
    </w:p>
    <w:p w14:paraId="6315E0E3" w14:textId="77777777" w:rsidR="008706DD" w:rsidRPr="000A2127" w:rsidRDefault="008706DD">
      <w:pPr>
        <w:jc w:val="center"/>
        <w:rPr>
          <w:rFonts w:ascii="Times New Roman" w:hAnsi="Times New Roman" w:cs="Times New Roman"/>
        </w:rPr>
      </w:pPr>
      <w:r w:rsidRPr="000A2127">
        <w:rPr>
          <w:rFonts w:ascii="Times New Roman" w:hAnsi="Times New Roman" w:cs="Times New Roman"/>
          <w:noProof/>
        </w:rPr>
        <w:drawing>
          <wp:inline distT="0" distB="0" distL="0" distR="0" wp14:anchorId="45907A67" wp14:editId="52B4AB84">
            <wp:extent cx="4533900" cy="4430486"/>
            <wp:effectExtent l="0" t="0" r="0" b="8255"/>
            <wp:docPr id="1034"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
                    <pic:cNvPicPr/>
                  </pic:nvPicPr>
                  <pic:blipFill>
                    <a:blip r:embed="rId9" cstate="print"/>
                    <a:srcRect b="45444"/>
                    <a:stretch/>
                  </pic:blipFill>
                  <pic:spPr>
                    <a:xfrm>
                      <a:off x="0" y="0"/>
                      <a:ext cx="4533900" cy="4430486"/>
                    </a:xfrm>
                    <a:prstGeom prst="rect">
                      <a:avLst/>
                    </a:prstGeom>
                    <a:ln>
                      <a:noFill/>
                    </a:ln>
                  </pic:spPr>
                </pic:pic>
              </a:graphicData>
            </a:graphic>
          </wp:inline>
        </w:drawing>
      </w:r>
      <w:r w:rsidRPr="000A2127">
        <w:rPr>
          <w:rFonts w:ascii="Times New Roman" w:hAnsi="Times New Roman" w:cs="Times New Roman"/>
          <w:noProof/>
        </w:rPr>
        <w:t xml:space="preserve"> </w:t>
      </w:r>
    </w:p>
    <w:p w14:paraId="59613F47" w14:textId="77777777" w:rsidR="008706DD" w:rsidRPr="000A2127" w:rsidRDefault="008706DD">
      <w:pPr>
        <w:jc w:val="center"/>
        <w:rPr>
          <w:rFonts w:ascii="Times New Roman" w:hAnsi="Times New Roman" w:cs="Times New Roman"/>
        </w:rPr>
      </w:pPr>
      <w:r w:rsidRPr="000A2127">
        <w:rPr>
          <w:rFonts w:ascii="Times New Roman" w:hAnsi="Times New Roman" w:cs="Times New Roman"/>
        </w:rPr>
        <w:t>Figure 1</w:t>
      </w:r>
    </w:p>
    <w:p w14:paraId="02C56655" w14:textId="77777777" w:rsidR="008706DD" w:rsidRPr="000A2127" w:rsidRDefault="008706DD">
      <w:pPr>
        <w:widowControl/>
        <w:jc w:val="left"/>
        <w:rPr>
          <w:rFonts w:ascii="Times New Roman" w:hAnsi="Times New Roman" w:cs="Times New Roman"/>
        </w:rPr>
      </w:pPr>
      <w:r w:rsidRPr="000A2127">
        <w:rPr>
          <w:rFonts w:ascii="Times New Roman" w:hAnsi="Times New Roman" w:cs="Times New Roman"/>
        </w:rPr>
        <w:br w:type="page"/>
      </w:r>
    </w:p>
    <w:p w14:paraId="69F36EB1" w14:textId="77777777" w:rsidR="008706DD" w:rsidRPr="000A2127" w:rsidRDefault="008706DD">
      <w:pPr>
        <w:spacing w:line="480" w:lineRule="auto"/>
        <w:rPr>
          <w:rFonts w:ascii="Times New Roman" w:hAnsi="Times New Roman" w:cs="Times New Roman"/>
          <w:sz w:val="20"/>
          <w:szCs w:val="20"/>
        </w:rPr>
      </w:pPr>
      <w:r w:rsidRPr="000A2127">
        <w:rPr>
          <w:rFonts w:ascii="Times New Roman" w:hAnsi="Times New Roman" w:cs="Times New Roman"/>
          <w:noProof/>
        </w:rPr>
        <w:lastRenderedPageBreak/>
        <w:drawing>
          <wp:inline distT="0" distB="0" distL="0" distR="0" wp14:anchorId="7824C895" wp14:editId="362FEFF8">
            <wp:extent cx="5274310" cy="487680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4876800"/>
                    </a:xfrm>
                    <a:prstGeom prst="rect">
                      <a:avLst/>
                    </a:prstGeom>
                    <a:noFill/>
                    <a:ln>
                      <a:noFill/>
                    </a:ln>
                  </pic:spPr>
                </pic:pic>
              </a:graphicData>
            </a:graphic>
          </wp:inline>
        </w:drawing>
      </w:r>
    </w:p>
    <w:p w14:paraId="3AEA75C3"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Figure 2</w:t>
      </w:r>
    </w:p>
    <w:p w14:paraId="4FB4952D"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5DCBC94B" w14:textId="77777777" w:rsidR="008706DD" w:rsidRPr="000A2127" w:rsidRDefault="008706DD">
      <w:pPr>
        <w:spacing w:line="480" w:lineRule="auto"/>
        <w:rPr>
          <w:rFonts w:ascii="Times New Roman" w:hAnsi="Times New Roman" w:cs="Times New Roman"/>
          <w:sz w:val="20"/>
          <w:szCs w:val="20"/>
        </w:rPr>
      </w:pPr>
      <w:r w:rsidRPr="000A2127">
        <w:rPr>
          <w:rFonts w:ascii="Times New Roman" w:hAnsi="Times New Roman" w:cs="Times New Roman"/>
          <w:noProof/>
        </w:rPr>
        <w:lastRenderedPageBreak/>
        <w:drawing>
          <wp:inline distT="0" distB="0" distL="0" distR="0" wp14:anchorId="6815D00A" wp14:editId="27DAEC65">
            <wp:extent cx="5274310" cy="4559300"/>
            <wp:effectExtent l="0" t="0" r="2540" b="0"/>
            <wp:docPr id="1036" name="图片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5"/>
                    <pic:cNvPicPr/>
                  </pic:nvPicPr>
                  <pic:blipFill>
                    <a:blip r:embed="rId11" cstate="print"/>
                    <a:srcRect/>
                    <a:stretch/>
                  </pic:blipFill>
                  <pic:spPr>
                    <a:xfrm>
                      <a:off x="0" y="0"/>
                      <a:ext cx="5274310" cy="4559300"/>
                    </a:xfrm>
                    <a:prstGeom prst="rect">
                      <a:avLst/>
                    </a:prstGeom>
                    <a:ln>
                      <a:noFill/>
                    </a:ln>
                  </pic:spPr>
                </pic:pic>
              </a:graphicData>
            </a:graphic>
          </wp:inline>
        </w:drawing>
      </w:r>
    </w:p>
    <w:p w14:paraId="6DF63C4D"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Figure 3</w:t>
      </w:r>
    </w:p>
    <w:p w14:paraId="1A74520E"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7B7CB521"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rPr>
        <w:lastRenderedPageBreak/>
        <w:drawing>
          <wp:inline distT="0" distB="0" distL="0" distR="0" wp14:anchorId="14ABB397" wp14:editId="1A15539E">
            <wp:extent cx="3162300" cy="4959350"/>
            <wp:effectExtent l="0" t="0" r="0" b="0"/>
            <wp:docPr id="1037"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1"/>
                    <pic:cNvPicPr/>
                  </pic:nvPicPr>
                  <pic:blipFill>
                    <a:blip r:embed="rId12" cstate="print"/>
                    <a:srcRect/>
                    <a:stretch/>
                  </pic:blipFill>
                  <pic:spPr>
                    <a:xfrm>
                      <a:off x="0" y="0"/>
                      <a:ext cx="3162300" cy="4959350"/>
                    </a:xfrm>
                    <a:prstGeom prst="rect">
                      <a:avLst/>
                    </a:prstGeom>
                    <a:ln>
                      <a:noFill/>
                    </a:ln>
                  </pic:spPr>
                </pic:pic>
              </a:graphicData>
            </a:graphic>
          </wp:inline>
        </w:drawing>
      </w:r>
    </w:p>
    <w:p w14:paraId="7A3DAF3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Figure 4</w:t>
      </w:r>
    </w:p>
    <w:p w14:paraId="2B77D77A"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2F923EF5" w14:textId="77777777" w:rsidR="008706DD" w:rsidRPr="000A2127" w:rsidRDefault="008706DD">
      <w:pPr>
        <w:spacing w:line="480" w:lineRule="auto"/>
        <w:jc w:val="center"/>
        <w:rPr>
          <w:rFonts w:ascii="Times New Roman" w:hAnsi="Times New Roman" w:cs="Times New Roman"/>
          <w:sz w:val="20"/>
          <w:szCs w:val="20"/>
        </w:rPr>
      </w:pPr>
    </w:p>
    <w:p w14:paraId="18861C77"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rPr>
        <w:drawing>
          <wp:inline distT="0" distB="0" distL="0" distR="0" wp14:anchorId="3F358ADF" wp14:editId="041D68E1">
            <wp:extent cx="5274310" cy="598678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5986780"/>
                    </a:xfrm>
                    <a:prstGeom prst="rect">
                      <a:avLst/>
                    </a:prstGeom>
                    <a:noFill/>
                    <a:ln>
                      <a:noFill/>
                    </a:ln>
                  </pic:spPr>
                </pic:pic>
              </a:graphicData>
            </a:graphic>
          </wp:inline>
        </w:drawing>
      </w:r>
    </w:p>
    <w:p w14:paraId="6BFEC470"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Figure 5</w:t>
      </w:r>
    </w:p>
    <w:p w14:paraId="27C2FA45" w14:textId="77777777" w:rsidR="008706DD" w:rsidRPr="000A2127" w:rsidRDefault="008706DD">
      <w:pPr>
        <w:widowControl/>
        <w:jc w:val="left"/>
        <w:rPr>
          <w:rFonts w:ascii="Times New Roman" w:hAnsi="Times New Roman" w:cs="Times New Roman"/>
          <w:sz w:val="20"/>
          <w:szCs w:val="20"/>
        </w:rPr>
      </w:pPr>
      <w:r w:rsidRPr="000A2127">
        <w:rPr>
          <w:rFonts w:ascii="Times New Roman" w:hAnsi="Times New Roman" w:cs="Times New Roman"/>
          <w:sz w:val="20"/>
          <w:szCs w:val="20"/>
        </w:rPr>
        <w:br w:type="page"/>
      </w:r>
    </w:p>
    <w:p w14:paraId="7E07ED06" w14:textId="77777777" w:rsidR="008706DD" w:rsidRPr="000A2127" w:rsidRDefault="008706DD">
      <w:pPr>
        <w:spacing w:line="480" w:lineRule="auto"/>
        <w:jc w:val="center"/>
        <w:rPr>
          <w:rFonts w:ascii="Times New Roman" w:hAnsi="Times New Roman" w:cs="Times New Roman"/>
          <w:sz w:val="20"/>
          <w:szCs w:val="20"/>
        </w:rPr>
      </w:pPr>
    </w:p>
    <w:p w14:paraId="111CF5B8"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noProof/>
        </w:rPr>
        <w:drawing>
          <wp:inline distT="0" distB="0" distL="0" distR="0" wp14:anchorId="774D275F" wp14:editId="65EC6B15">
            <wp:extent cx="5274310" cy="4032738"/>
            <wp:effectExtent l="0" t="0" r="2540" b="6350"/>
            <wp:docPr id="1039"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14" cstate="print"/>
                    <a:srcRect b="39244"/>
                    <a:stretch/>
                  </pic:blipFill>
                  <pic:spPr>
                    <a:xfrm>
                      <a:off x="0" y="0"/>
                      <a:ext cx="5274310" cy="4032738"/>
                    </a:xfrm>
                    <a:prstGeom prst="rect">
                      <a:avLst/>
                    </a:prstGeom>
                    <a:ln>
                      <a:noFill/>
                    </a:ln>
                  </pic:spPr>
                </pic:pic>
              </a:graphicData>
            </a:graphic>
          </wp:inline>
        </w:drawing>
      </w:r>
    </w:p>
    <w:p w14:paraId="1F0B551C" w14:textId="77777777" w:rsidR="008706DD" w:rsidRPr="000A2127" w:rsidRDefault="008706DD">
      <w:pPr>
        <w:spacing w:line="480" w:lineRule="auto"/>
        <w:jc w:val="center"/>
        <w:rPr>
          <w:rFonts w:ascii="Times New Roman" w:hAnsi="Times New Roman" w:cs="Times New Roman"/>
          <w:sz w:val="20"/>
          <w:szCs w:val="20"/>
        </w:rPr>
      </w:pPr>
      <w:r w:rsidRPr="000A2127">
        <w:rPr>
          <w:rFonts w:ascii="Times New Roman" w:hAnsi="Times New Roman" w:cs="Times New Roman"/>
          <w:sz w:val="20"/>
          <w:szCs w:val="20"/>
        </w:rPr>
        <w:t>Figure 6</w:t>
      </w:r>
    </w:p>
    <w:p w14:paraId="10CCCEAB" w14:textId="77777777" w:rsidR="008706DD" w:rsidRPr="000A2127" w:rsidRDefault="008706DD">
      <w:pPr>
        <w:widowControl/>
        <w:spacing w:line="480" w:lineRule="auto"/>
        <w:rPr>
          <w:rFonts w:ascii="Times New Roman" w:hAnsi="Times New Roman" w:cs="Times New Roman"/>
          <w:sz w:val="20"/>
          <w:szCs w:val="20"/>
        </w:rPr>
      </w:pPr>
      <w:r w:rsidRPr="000A2127">
        <w:rPr>
          <w:rFonts w:ascii="Times New Roman" w:hAnsi="Times New Roman" w:cs="Times New Roman"/>
          <w:sz w:val="20"/>
          <w:szCs w:val="20"/>
        </w:rPr>
        <w:br w:type="page"/>
      </w:r>
    </w:p>
    <w:p w14:paraId="1C213224" w14:textId="77777777" w:rsidR="008706DD" w:rsidRPr="000A2127" w:rsidRDefault="008706DD">
      <w:pPr>
        <w:pStyle w:val="Heading1"/>
        <w:rPr>
          <w:rFonts w:ascii="Times New Roman" w:hAnsi="Times New Roman" w:cs="Times New Roman"/>
          <w:szCs w:val="20"/>
        </w:rPr>
      </w:pPr>
      <w:r w:rsidRPr="000A2127">
        <w:rPr>
          <w:rFonts w:ascii="Times New Roman" w:hAnsi="Times New Roman" w:cs="Times New Roman"/>
          <w:szCs w:val="20"/>
        </w:rPr>
        <w:lastRenderedPageBreak/>
        <w:t>Abbreviations</w:t>
      </w:r>
    </w:p>
    <w:p w14:paraId="408D5583"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Glu: glucose</w:t>
      </w:r>
    </w:p>
    <w:p w14:paraId="0916528B"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G6P: </w:t>
      </w:r>
      <w:r w:rsidRPr="000A2127">
        <w:rPr>
          <w:rFonts w:ascii="Times New Roman" w:hAnsi="Times New Roman" w:cs="Times New Roman"/>
          <w:color w:val="242021"/>
          <w:sz w:val="20"/>
          <w:szCs w:val="20"/>
        </w:rPr>
        <w:t>glucose 6-phosphate</w:t>
      </w:r>
    </w:p>
    <w:p w14:paraId="38694AB4"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F6P: </w:t>
      </w:r>
      <w:r w:rsidRPr="000A2127">
        <w:rPr>
          <w:rFonts w:ascii="Times New Roman" w:hAnsi="Times New Roman" w:cs="Times New Roman"/>
          <w:color w:val="000000"/>
          <w:sz w:val="20"/>
          <w:szCs w:val="20"/>
        </w:rPr>
        <w:t>fructose-6-phosphate</w:t>
      </w:r>
    </w:p>
    <w:p w14:paraId="3A63BBAD"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FBP:</w:t>
      </w:r>
      <w:r w:rsidRPr="000A2127">
        <w:rPr>
          <w:rFonts w:ascii="Times New Roman" w:hAnsi="Times New Roman" w:cs="Times New Roman"/>
          <w:color w:val="000000"/>
          <w:sz w:val="20"/>
          <w:szCs w:val="20"/>
          <w:shd w:val="clear" w:color="auto" w:fill="FFFFFF"/>
        </w:rPr>
        <w:t xml:space="preserve"> </w:t>
      </w:r>
      <w:bookmarkStart w:id="37" w:name="_Hlk96245068"/>
      <w:r w:rsidRPr="000A2127">
        <w:rPr>
          <w:rFonts w:ascii="Times New Roman" w:hAnsi="Times New Roman" w:cs="Times New Roman"/>
          <w:color w:val="000000"/>
          <w:sz w:val="20"/>
          <w:szCs w:val="20"/>
          <w:shd w:val="clear" w:color="auto" w:fill="FFFFFF"/>
        </w:rPr>
        <w:t>beta-D-</w:t>
      </w:r>
      <w:bookmarkEnd w:id="37"/>
      <w:r w:rsidRPr="000A2127">
        <w:rPr>
          <w:rFonts w:ascii="Times New Roman" w:hAnsi="Times New Roman" w:cs="Times New Roman"/>
          <w:color w:val="000000"/>
          <w:sz w:val="20"/>
          <w:szCs w:val="20"/>
          <w:shd w:val="clear" w:color="auto" w:fill="FFFFFF"/>
        </w:rPr>
        <w:t>Fructose 1,6-bisphosphate</w:t>
      </w:r>
    </w:p>
    <w:p w14:paraId="1F239EFC"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DHAP: </w:t>
      </w:r>
      <w:r w:rsidRPr="000A2127">
        <w:rPr>
          <w:rFonts w:ascii="Times New Roman" w:hAnsi="Times New Roman" w:cs="Times New Roman"/>
          <w:color w:val="242021"/>
          <w:sz w:val="20"/>
          <w:szCs w:val="20"/>
        </w:rPr>
        <w:t>dihydroxyacetone phosphate</w:t>
      </w:r>
    </w:p>
    <w:p w14:paraId="3496F9CC"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GAP: </w:t>
      </w:r>
      <w:r w:rsidRPr="000A2127">
        <w:rPr>
          <w:rFonts w:ascii="Times New Roman" w:hAnsi="Times New Roman" w:cs="Times New Roman"/>
          <w:color w:val="000000"/>
          <w:sz w:val="20"/>
          <w:szCs w:val="20"/>
        </w:rPr>
        <w:t>glyceraldehyde-3-phosphate</w:t>
      </w:r>
    </w:p>
    <w:p w14:paraId="1EF9CF31"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PGA: </w:t>
      </w:r>
      <w:bookmarkStart w:id="38" w:name="_Hlk96245040"/>
      <w:r w:rsidRPr="000A2127">
        <w:rPr>
          <w:rFonts w:ascii="Times New Roman" w:hAnsi="Times New Roman" w:cs="Times New Roman"/>
          <w:color w:val="000000"/>
          <w:sz w:val="20"/>
          <w:szCs w:val="20"/>
        </w:rPr>
        <w:t>phosphoglycerate</w:t>
      </w:r>
      <w:bookmarkEnd w:id="38"/>
    </w:p>
    <w:p w14:paraId="708E5A99"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PEP: </w:t>
      </w:r>
      <w:r w:rsidRPr="000A2127">
        <w:rPr>
          <w:rFonts w:ascii="Times New Roman" w:hAnsi="Times New Roman" w:cs="Times New Roman"/>
          <w:color w:val="242021"/>
          <w:sz w:val="20"/>
          <w:szCs w:val="20"/>
        </w:rPr>
        <w:t>phosphoenolpyruvate</w:t>
      </w:r>
    </w:p>
    <w:p w14:paraId="20368A95"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PYR: pyruvic acid</w:t>
      </w:r>
    </w:p>
    <w:p w14:paraId="676F384A"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Ac-CoA: acetyl coenzyme A</w:t>
      </w:r>
    </w:p>
    <w:p w14:paraId="30CF57A2"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OGA: 2-oxoglutarate</w:t>
      </w:r>
    </w:p>
    <w:p w14:paraId="1D61B925"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SUC: succinyl-CoA</w:t>
      </w:r>
    </w:p>
    <w:p w14:paraId="49088B5F"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MAL: </w:t>
      </w:r>
      <w:r w:rsidRPr="000A2127">
        <w:rPr>
          <w:rFonts w:ascii="Times New Roman" w:hAnsi="Times New Roman" w:cs="Times New Roman"/>
          <w:color w:val="000000"/>
          <w:sz w:val="20"/>
          <w:szCs w:val="20"/>
        </w:rPr>
        <w:t>malate</w:t>
      </w:r>
    </w:p>
    <w:p w14:paraId="67D78790"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OAA: oxaloacetate</w:t>
      </w:r>
    </w:p>
    <w:p w14:paraId="5278872A"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bG6P:</w:t>
      </w:r>
      <w:r w:rsidRPr="000A2127">
        <w:rPr>
          <w:rFonts w:ascii="Times New Roman" w:hAnsi="Times New Roman" w:cs="Times New Roman"/>
          <w:color w:val="000000"/>
          <w:sz w:val="20"/>
          <w:szCs w:val="20"/>
          <w:shd w:val="clear" w:color="auto" w:fill="FFFFFF"/>
        </w:rPr>
        <w:t xml:space="preserve"> beta-</w:t>
      </w:r>
      <w:r w:rsidRPr="000A2127">
        <w:rPr>
          <w:rFonts w:ascii="Times New Roman" w:hAnsi="Times New Roman" w:cs="Times New Roman"/>
          <w:color w:val="242021"/>
          <w:sz w:val="20"/>
          <w:szCs w:val="20"/>
        </w:rPr>
        <w:t xml:space="preserve"> glucose 6-phosphate</w:t>
      </w:r>
    </w:p>
    <w:p w14:paraId="74E626A7"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6PG:</w:t>
      </w:r>
      <w:r w:rsidRPr="000A2127">
        <w:rPr>
          <w:rFonts w:ascii="Times New Roman" w:hAnsi="Times New Roman" w:cs="Times New Roman"/>
          <w:color w:val="000000"/>
          <w:sz w:val="20"/>
          <w:szCs w:val="20"/>
          <w:shd w:val="clear" w:color="auto" w:fill="FFFFFF"/>
        </w:rPr>
        <w:t xml:space="preserve"> </w:t>
      </w:r>
      <w:bookmarkStart w:id="39" w:name="_Hlk96257503"/>
      <w:r w:rsidRPr="000A2127">
        <w:rPr>
          <w:rFonts w:ascii="Times New Roman" w:hAnsi="Times New Roman" w:cs="Times New Roman"/>
          <w:color w:val="000000"/>
          <w:sz w:val="20"/>
          <w:szCs w:val="20"/>
          <w:shd w:val="clear" w:color="auto" w:fill="FFFFFF"/>
        </w:rPr>
        <w:t>6-Phospho-D-gluconate</w:t>
      </w:r>
    </w:p>
    <w:p w14:paraId="3C65D10D"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 xml:space="preserve">Ru5P: </w:t>
      </w:r>
      <w:r w:rsidRPr="000A2127">
        <w:rPr>
          <w:rFonts w:ascii="Times New Roman" w:hAnsi="Times New Roman" w:cs="Times New Roman"/>
          <w:color w:val="000000"/>
          <w:sz w:val="20"/>
          <w:szCs w:val="20"/>
        </w:rPr>
        <w:t>ribulose-5-phosphate</w:t>
      </w:r>
    </w:p>
    <w:p w14:paraId="2911A748"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Xu5P: xylulose-5-phosphate</w:t>
      </w:r>
    </w:p>
    <w:p w14:paraId="254B3A8B"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R5P: ribose-5-phosphate</w:t>
      </w:r>
    </w:p>
    <w:p w14:paraId="5211A19D"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E4P: erythrose-4-phosphate</w:t>
      </w:r>
    </w:p>
    <w:bookmarkEnd w:id="39"/>
    <w:p w14:paraId="0971E9F1"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S7P: sedoheptulose-7-phosphate</w:t>
      </w:r>
    </w:p>
    <w:p w14:paraId="72287739" w14:textId="77777777" w:rsidR="008706DD" w:rsidRPr="000A2127" w:rsidRDefault="008706DD">
      <w:pPr>
        <w:rPr>
          <w:rFonts w:ascii="Times New Roman" w:hAnsi="Times New Roman" w:cs="Times New Roman"/>
          <w:sz w:val="20"/>
          <w:szCs w:val="20"/>
        </w:rPr>
      </w:pPr>
      <w:r w:rsidRPr="000A2127">
        <w:rPr>
          <w:rFonts w:ascii="Times New Roman" w:hAnsi="Times New Roman" w:cs="Times New Roman"/>
          <w:sz w:val="20"/>
          <w:szCs w:val="20"/>
        </w:rPr>
        <w:t>DAHP: 3-deoxy-arabino-heptulonate 7-phosphate</w:t>
      </w:r>
    </w:p>
    <w:p w14:paraId="4DD3C53F" w14:textId="77777777" w:rsidR="00883BCD" w:rsidRDefault="00883BCD"/>
    <w:sectPr w:rsidR="00883BCD" w:rsidSect="00792913">
      <w:headerReference w:type="default" r:id="rId15"/>
      <w:footerReference w:type="default" r:id="rId16"/>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7A790" w14:textId="77777777" w:rsidR="00514A08" w:rsidRDefault="00514A08">
      <w:r>
        <w:separator/>
      </w:r>
    </w:p>
  </w:endnote>
  <w:endnote w:type="continuationSeparator" w:id="0">
    <w:p w14:paraId="4EABD59A" w14:textId="77777777" w:rsidR="00514A08" w:rsidRDefault="00514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VgkkltGeorgia-Itali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dvOT02ce3bbb.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3FAA" w14:textId="77777777" w:rsidR="00514A08" w:rsidRDefault="00514A0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D7E3A" w14:textId="77777777" w:rsidR="00514A08" w:rsidRDefault="00514A08">
      <w:r>
        <w:separator/>
      </w:r>
    </w:p>
  </w:footnote>
  <w:footnote w:type="continuationSeparator" w:id="0">
    <w:p w14:paraId="11E7427E" w14:textId="77777777" w:rsidR="00514A08" w:rsidRDefault="00514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7B721" w14:textId="77777777" w:rsidR="00514A08" w:rsidRDefault="00514A08">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8706DD"/>
    <w:rsid w:val="00003374"/>
    <w:rsid w:val="000A6EDE"/>
    <w:rsid w:val="000B40B4"/>
    <w:rsid w:val="000B4455"/>
    <w:rsid w:val="000D50AE"/>
    <w:rsid w:val="000E7416"/>
    <w:rsid w:val="001F6564"/>
    <w:rsid w:val="0026171D"/>
    <w:rsid w:val="00276172"/>
    <w:rsid w:val="002A2CEE"/>
    <w:rsid w:val="002D017F"/>
    <w:rsid w:val="00322473"/>
    <w:rsid w:val="00426117"/>
    <w:rsid w:val="004607BA"/>
    <w:rsid w:val="0047138C"/>
    <w:rsid w:val="00492D43"/>
    <w:rsid w:val="004C1F0F"/>
    <w:rsid w:val="004E4C65"/>
    <w:rsid w:val="00514A08"/>
    <w:rsid w:val="005C3462"/>
    <w:rsid w:val="005E1C13"/>
    <w:rsid w:val="00622E2F"/>
    <w:rsid w:val="006557BF"/>
    <w:rsid w:val="006E5F94"/>
    <w:rsid w:val="007001FF"/>
    <w:rsid w:val="00702278"/>
    <w:rsid w:val="00740B0D"/>
    <w:rsid w:val="007446CB"/>
    <w:rsid w:val="007476BF"/>
    <w:rsid w:val="00747A62"/>
    <w:rsid w:val="00792913"/>
    <w:rsid w:val="007B3869"/>
    <w:rsid w:val="007D52A2"/>
    <w:rsid w:val="00837DF6"/>
    <w:rsid w:val="008706DD"/>
    <w:rsid w:val="00883BCD"/>
    <w:rsid w:val="00887792"/>
    <w:rsid w:val="008E072D"/>
    <w:rsid w:val="009C7FB7"/>
    <w:rsid w:val="009D6449"/>
    <w:rsid w:val="00A34557"/>
    <w:rsid w:val="00A37F7A"/>
    <w:rsid w:val="00A75BBF"/>
    <w:rsid w:val="00AE4A5C"/>
    <w:rsid w:val="00BB1B55"/>
    <w:rsid w:val="00BD5A40"/>
    <w:rsid w:val="00CF047A"/>
    <w:rsid w:val="00D34E70"/>
    <w:rsid w:val="00D92C83"/>
    <w:rsid w:val="00DA080B"/>
    <w:rsid w:val="00E01B45"/>
    <w:rsid w:val="00E67C0A"/>
    <w:rsid w:val="00F17FED"/>
    <w:rsid w:val="00F66035"/>
    <w:rsid w:val="00F72419"/>
    <w:rsid w:val="00F95F78"/>
    <w:rsid w:val="00FD3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23AD7"/>
  <w15:chartTrackingRefBased/>
  <w15:docId w15:val="{40D9F91A-CF59-40F4-A804-F0A9EA6B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6DD"/>
    <w:pPr>
      <w:widowControl w:val="0"/>
      <w:jc w:val="both"/>
    </w:pPr>
    <w:rPr>
      <w:rFonts w:ascii="DengXian" w:eastAsia="DengXian" w:hAnsi="DengXian" w:cs="SimSun"/>
    </w:rPr>
  </w:style>
  <w:style w:type="paragraph" w:styleId="Heading1">
    <w:name w:val="heading 1"/>
    <w:basedOn w:val="Normal"/>
    <w:next w:val="Normal"/>
    <w:link w:val="Heading1Char"/>
    <w:uiPriority w:val="9"/>
    <w:qFormat/>
    <w:rsid w:val="008706DD"/>
    <w:pPr>
      <w:keepNext/>
      <w:keepLines/>
      <w:spacing w:after="200" w:line="360" w:lineRule="auto"/>
      <w:outlineLvl w:val="0"/>
    </w:pPr>
    <w:rPr>
      <w:rFonts w:ascii="Arial" w:eastAsia="Arial" w:hAnsi="Arial"/>
      <w:b/>
      <w:bCs/>
      <w:kern w:val="44"/>
      <w:sz w:val="20"/>
      <w:szCs w:val="44"/>
    </w:rPr>
  </w:style>
  <w:style w:type="paragraph" w:styleId="Heading2">
    <w:name w:val="heading 2"/>
    <w:basedOn w:val="Normal"/>
    <w:next w:val="Normal"/>
    <w:link w:val="Heading2Char"/>
    <w:uiPriority w:val="9"/>
    <w:unhideWhenUsed/>
    <w:qFormat/>
    <w:rsid w:val="008706DD"/>
    <w:pPr>
      <w:keepNext/>
      <w:keepLines/>
      <w:spacing w:after="200" w:line="360" w:lineRule="auto"/>
      <w:outlineLvl w:val="1"/>
    </w:pPr>
    <w:rPr>
      <w:rFonts w:ascii="Arial" w:eastAsia="DengXian Light" w:hAnsi="Arial"/>
      <w:b/>
      <w:bCs/>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6DD"/>
    <w:rPr>
      <w:rFonts w:ascii="Arial" w:eastAsia="Arial" w:hAnsi="Arial" w:cs="SimSun"/>
      <w:b/>
      <w:bCs/>
      <w:kern w:val="44"/>
      <w:sz w:val="20"/>
      <w:szCs w:val="44"/>
    </w:rPr>
  </w:style>
  <w:style w:type="character" w:customStyle="1" w:styleId="Heading2Char">
    <w:name w:val="Heading 2 Char"/>
    <w:basedOn w:val="DefaultParagraphFont"/>
    <w:link w:val="Heading2"/>
    <w:uiPriority w:val="9"/>
    <w:rsid w:val="008706DD"/>
    <w:rPr>
      <w:rFonts w:ascii="Arial" w:eastAsia="DengXian Light" w:hAnsi="Arial" w:cs="SimSun"/>
      <w:b/>
      <w:bCs/>
      <w:sz w:val="20"/>
      <w:szCs w:val="32"/>
    </w:rPr>
  </w:style>
  <w:style w:type="paragraph" w:styleId="Header">
    <w:name w:val="header"/>
    <w:basedOn w:val="Normal"/>
    <w:link w:val="HeaderChar"/>
    <w:uiPriority w:val="99"/>
    <w:rsid w:val="008706D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706DD"/>
    <w:rPr>
      <w:rFonts w:ascii="DengXian" w:eastAsia="DengXian" w:hAnsi="DengXian" w:cs="SimSun"/>
      <w:sz w:val="18"/>
      <w:szCs w:val="18"/>
    </w:rPr>
  </w:style>
  <w:style w:type="paragraph" w:styleId="Footer">
    <w:name w:val="footer"/>
    <w:basedOn w:val="Normal"/>
    <w:link w:val="FooterChar"/>
    <w:uiPriority w:val="99"/>
    <w:rsid w:val="008706D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706DD"/>
    <w:rPr>
      <w:rFonts w:ascii="DengXian" w:eastAsia="DengXian" w:hAnsi="DengXian" w:cs="SimSun"/>
      <w:sz w:val="18"/>
      <w:szCs w:val="18"/>
    </w:rPr>
  </w:style>
  <w:style w:type="character" w:customStyle="1" w:styleId="fontstyle01">
    <w:name w:val="fontstyle01"/>
    <w:basedOn w:val="DefaultParagraphFont"/>
    <w:rsid w:val="008706DD"/>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8706DD"/>
    <w:rPr>
      <w:rFonts w:ascii="VgkkltGeorgia-Italic" w:hAnsi="VgkkltGeorgia-Italic" w:hint="default"/>
      <w:b w:val="0"/>
      <w:bCs w:val="0"/>
      <w:i/>
      <w:iCs/>
      <w:color w:val="000000"/>
      <w:sz w:val="18"/>
      <w:szCs w:val="18"/>
    </w:rPr>
  </w:style>
  <w:style w:type="character" w:styleId="Hyperlink">
    <w:name w:val="Hyperlink"/>
    <w:basedOn w:val="DefaultParagraphFont"/>
    <w:uiPriority w:val="99"/>
    <w:rsid w:val="008706DD"/>
    <w:rPr>
      <w:color w:val="0563C1"/>
      <w:u w:val="single"/>
    </w:rPr>
  </w:style>
  <w:style w:type="character" w:customStyle="1" w:styleId="1">
    <w:name w:val="未处理的提及1"/>
    <w:basedOn w:val="DefaultParagraphFont"/>
    <w:uiPriority w:val="99"/>
    <w:rsid w:val="008706DD"/>
    <w:rPr>
      <w:color w:val="605E5C"/>
      <w:shd w:val="clear" w:color="auto" w:fill="E1DFDD"/>
    </w:rPr>
  </w:style>
  <w:style w:type="table" w:styleId="TableGrid">
    <w:name w:val="Table Grid"/>
    <w:basedOn w:val="TableNormal"/>
    <w:uiPriority w:val="39"/>
    <w:rsid w:val="008706DD"/>
    <w:rPr>
      <w:rFonts w:ascii="DengXian" w:eastAsia="DengXian" w:hAnsi="DengXian" w:cs="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0"/>
    <w:rsid w:val="008706DD"/>
    <w:pPr>
      <w:jc w:val="center"/>
    </w:pPr>
    <w:rPr>
      <w:noProof/>
      <w:sz w:val="20"/>
    </w:rPr>
  </w:style>
  <w:style w:type="character" w:customStyle="1" w:styleId="EndNoteBibliographyTitle0">
    <w:name w:val="EndNote Bibliography Title 字符"/>
    <w:basedOn w:val="DefaultParagraphFont"/>
    <w:link w:val="EndNoteBibliographyTitle"/>
    <w:rsid w:val="008706DD"/>
    <w:rPr>
      <w:rFonts w:ascii="DengXian" w:eastAsia="DengXian" w:hAnsi="DengXian" w:cs="SimSun"/>
      <w:noProof/>
      <w:sz w:val="20"/>
    </w:rPr>
  </w:style>
  <w:style w:type="paragraph" w:customStyle="1" w:styleId="EndNoteBibliography">
    <w:name w:val="EndNote Bibliography"/>
    <w:basedOn w:val="Normal"/>
    <w:link w:val="EndNoteBibliography0"/>
    <w:rsid w:val="008706DD"/>
    <w:rPr>
      <w:noProof/>
      <w:sz w:val="20"/>
    </w:rPr>
  </w:style>
  <w:style w:type="character" w:customStyle="1" w:styleId="EndNoteBibliography0">
    <w:name w:val="EndNote Bibliography 字符"/>
    <w:basedOn w:val="DefaultParagraphFont"/>
    <w:link w:val="EndNoteBibliography"/>
    <w:rsid w:val="008706DD"/>
    <w:rPr>
      <w:rFonts w:ascii="DengXian" w:eastAsia="DengXian" w:hAnsi="DengXian" w:cs="SimSun"/>
      <w:noProof/>
      <w:sz w:val="20"/>
    </w:rPr>
  </w:style>
  <w:style w:type="paragraph" w:customStyle="1" w:styleId="E-">
    <w:name w:val="E-一级标题"/>
    <w:basedOn w:val="Normal"/>
    <w:link w:val="E-0"/>
    <w:qFormat/>
    <w:rsid w:val="008706DD"/>
    <w:pPr>
      <w:keepNext/>
      <w:keepLines/>
      <w:spacing w:beforeLines="100" w:before="100" w:line="480" w:lineRule="auto"/>
      <w:outlineLvl w:val="0"/>
    </w:pPr>
    <w:rPr>
      <w:rFonts w:ascii="Calibri" w:eastAsia="Calibri" w:hAnsi="Calibri" w:cs="Calibri"/>
      <w:b/>
      <w:bCs/>
      <w:kern w:val="44"/>
      <w:sz w:val="24"/>
      <w:szCs w:val="44"/>
    </w:rPr>
  </w:style>
  <w:style w:type="character" w:customStyle="1" w:styleId="E-0">
    <w:name w:val="E-一级标题 字符"/>
    <w:basedOn w:val="DefaultParagraphFont"/>
    <w:link w:val="E-"/>
    <w:rsid w:val="008706DD"/>
    <w:rPr>
      <w:rFonts w:ascii="Calibri" w:eastAsia="Calibri" w:hAnsi="Calibri" w:cs="Calibri"/>
      <w:b/>
      <w:bCs/>
      <w:kern w:val="44"/>
      <w:sz w:val="24"/>
      <w:szCs w:val="44"/>
    </w:rPr>
  </w:style>
  <w:style w:type="paragraph" w:styleId="Bibliography">
    <w:name w:val="Bibliography"/>
    <w:basedOn w:val="Normal"/>
    <w:next w:val="Normal"/>
    <w:uiPriority w:val="37"/>
    <w:rsid w:val="008706DD"/>
    <w:pPr>
      <w:tabs>
        <w:tab w:val="left" w:pos="264"/>
      </w:tabs>
      <w:spacing w:line="480" w:lineRule="auto"/>
      <w:ind w:left="264" w:hanging="264"/>
    </w:pPr>
    <w:rPr>
      <w:rFonts w:ascii="Arial" w:hAnsi="Arial"/>
      <w:sz w:val="20"/>
    </w:rPr>
  </w:style>
  <w:style w:type="character" w:styleId="Strong">
    <w:name w:val="Strong"/>
    <w:basedOn w:val="DefaultParagraphFont"/>
    <w:uiPriority w:val="22"/>
    <w:qFormat/>
    <w:rsid w:val="008706DD"/>
    <w:rPr>
      <w:b/>
      <w:bCs/>
    </w:rPr>
  </w:style>
  <w:style w:type="character" w:styleId="PlaceholderText">
    <w:name w:val="Placeholder Text"/>
    <w:basedOn w:val="DefaultParagraphFont"/>
    <w:uiPriority w:val="99"/>
    <w:rsid w:val="008706DD"/>
    <w:rPr>
      <w:color w:val="808080"/>
    </w:rPr>
  </w:style>
  <w:style w:type="character" w:styleId="CommentReference">
    <w:name w:val="annotation reference"/>
    <w:basedOn w:val="DefaultParagraphFont"/>
    <w:uiPriority w:val="99"/>
    <w:rsid w:val="008706DD"/>
    <w:rPr>
      <w:sz w:val="21"/>
      <w:szCs w:val="21"/>
    </w:rPr>
  </w:style>
  <w:style w:type="paragraph" w:styleId="CommentText">
    <w:name w:val="annotation text"/>
    <w:basedOn w:val="Normal"/>
    <w:link w:val="CommentTextChar"/>
    <w:uiPriority w:val="99"/>
    <w:rsid w:val="008706DD"/>
    <w:pPr>
      <w:jc w:val="left"/>
    </w:pPr>
  </w:style>
  <w:style w:type="character" w:customStyle="1" w:styleId="CommentTextChar">
    <w:name w:val="Comment Text Char"/>
    <w:basedOn w:val="DefaultParagraphFont"/>
    <w:link w:val="CommentText"/>
    <w:uiPriority w:val="99"/>
    <w:rsid w:val="008706DD"/>
    <w:rPr>
      <w:rFonts w:ascii="DengXian" w:eastAsia="DengXian" w:hAnsi="DengXian" w:cs="SimSun"/>
    </w:rPr>
  </w:style>
  <w:style w:type="character" w:styleId="LineNumber">
    <w:name w:val="line number"/>
    <w:basedOn w:val="DefaultParagraphFont"/>
    <w:uiPriority w:val="99"/>
    <w:rsid w:val="008706DD"/>
  </w:style>
  <w:style w:type="paragraph" w:styleId="CommentSubject">
    <w:name w:val="annotation subject"/>
    <w:basedOn w:val="CommentText"/>
    <w:next w:val="CommentText"/>
    <w:link w:val="CommentSubjectChar"/>
    <w:uiPriority w:val="99"/>
    <w:rsid w:val="008706DD"/>
    <w:rPr>
      <w:b/>
      <w:bCs/>
    </w:rPr>
  </w:style>
  <w:style w:type="character" w:customStyle="1" w:styleId="CommentSubjectChar">
    <w:name w:val="Comment Subject Char"/>
    <w:basedOn w:val="CommentTextChar"/>
    <w:link w:val="CommentSubject"/>
    <w:uiPriority w:val="99"/>
    <w:rsid w:val="008706DD"/>
    <w:rPr>
      <w:rFonts w:ascii="DengXian" w:eastAsia="DengXian" w:hAnsi="DengXian" w:cs="SimSun"/>
      <w:b/>
      <w:bCs/>
    </w:rPr>
  </w:style>
  <w:style w:type="paragraph" w:styleId="BalloonText">
    <w:name w:val="Balloon Text"/>
    <w:basedOn w:val="Normal"/>
    <w:link w:val="BalloonTextChar"/>
    <w:uiPriority w:val="99"/>
    <w:rsid w:val="008706DD"/>
    <w:rPr>
      <w:sz w:val="18"/>
      <w:szCs w:val="18"/>
    </w:rPr>
  </w:style>
  <w:style w:type="character" w:customStyle="1" w:styleId="BalloonTextChar">
    <w:name w:val="Balloon Text Char"/>
    <w:basedOn w:val="DefaultParagraphFont"/>
    <w:link w:val="BalloonText"/>
    <w:uiPriority w:val="99"/>
    <w:rsid w:val="008706DD"/>
    <w:rPr>
      <w:rFonts w:ascii="DengXian" w:eastAsia="DengXian" w:hAnsi="DengXian" w:cs="SimSun"/>
      <w:sz w:val="18"/>
      <w:szCs w:val="18"/>
    </w:rPr>
  </w:style>
  <w:style w:type="paragraph" w:styleId="Revision">
    <w:name w:val="Revision"/>
    <w:uiPriority w:val="99"/>
    <w:rsid w:val="008706DD"/>
    <w:rPr>
      <w:rFonts w:ascii="DengXian" w:eastAsia="DengXian" w:hAnsi="DengXian" w:cs="SimSun"/>
    </w:rPr>
  </w:style>
  <w:style w:type="paragraph" w:customStyle="1" w:styleId="a">
    <w:name w:val="正"/>
    <w:basedOn w:val="Normal"/>
    <w:link w:val="a0"/>
    <w:qFormat/>
    <w:rsid w:val="008706DD"/>
    <w:pPr>
      <w:spacing w:after="200" w:line="360" w:lineRule="auto"/>
      <w:ind w:firstLineChars="200" w:firstLine="200"/>
    </w:pPr>
    <w:rPr>
      <w:rFonts w:ascii="Arial" w:eastAsia="Arial" w:hAnsi="Arial" w:cs="Arial"/>
      <w:sz w:val="20"/>
      <w:szCs w:val="20"/>
    </w:rPr>
  </w:style>
  <w:style w:type="character" w:customStyle="1" w:styleId="a0">
    <w:name w:val="正 字符"/>
    <w:basedOn w:val="DefaultParagraphFont"/>
    <w:link w:val="a"/>
    <w:rsid w:val="008706DD"/>
    <w:rPr>
      <w:rFonts w:ascii="Arial" w:eastAsia="Arial" w:hAnsi="Arial" w:cs="Arial"/>
      <w:sz w:val="20"/>
      <w:szCs w:val="20"/>
    </w:rPr>
  </w:style>
  <w:style w:type="character" w:customStyle="1" w:styleId="fontstyle11">
    <w:name w:val="fontstyle11"/>
    <w:basedOn w:val="DefaultParagraphFont"/>
    <w:rsid w:val="008706DD"/>
    <w:rPr>
      <w:rFonts w:ascii="AdvOT02ce3bbb.I" w:hAnsi="AdvOT02ce3bbb.I" w:hint="default"/>
      <w:b w:val="0"/>
      <w:bCs w:val="0"/>
      <w:i w:val="0"/>
      <w:iCs w:val="0"/>
      <w:color w:val="000000"/>
      <w:sz w:val="18"/>
      <w:szCs w:val="18"/>
    </w:rPr>
  </w:style>
  <w:style w:type="paragraph" w:customStyle="1" w:styleId="E-1">
    <w:name w:val="&quot;E-正文&quot;"/>
    <w:basedOn w:val="Normal"/>
    <w:qFormat/>
    <w:rsid w:val="008706DD"/>
    <w:pPr>
      <w:spacing w:line="480" w:lineRule="auto"/>
      <w:ind w:firstLine="480"/>
    </w:pPr>
    <w:rPr>
      <w:rFonts w:ascii="Arial" w:eastAsia="SimSun" w:hAnsi="Arial" w:cs="Calibri"/>
      <w:sz w:val="20"/>
      <w:szCs w:val="24"/>
    </w:rPr>
  </w:style>
  <w:style w:type="paragraph" w:styleId="ListParagraph">
    <w:name w:val="List Paragraph"/>
    <w:basedOn w:val="Normal"/>
    <w:qFormat/>
    <w:rsid w:val="008706DD"/>
    <w:pPr>
      <w:spacing w:after="200" w:line="360" w:lineRule="auto"/>
      <w:ind w:firstLineChars="200" w:firstLine="420"/>
    </w:pPr>
    <w:rPr>
      <w:rFonts w:ascii="Arial" w:eastAsia="SimSun" w:hAnsi="Arial" w:cs="Arial"/>
      <w:sz w:val="20"/>
    </w:rPr>
  </w:style>
  <w:style w:type="character" w:customStyle="1" w:styleId="E-2">
    <w:name w:val="E-正文 字符"/>
    <w:basedOn w:val="DefaultParagraphFont"/>
    <w:link w:val="E-3"/>
    <w:rsid w:val="008706DD"/>
    <w:rPr>
      <w:rFonts w:ascii="Arial" w:eastAsia="SimSun" w:hAnsi="Arial" w:cs="Calibri"/>
      <w:sz w:val="20"/>
      <w:szCs w:val="24"/>
    </w:rPr>
  </w:style>
  <w:style w:type="paragraph" w:customStyle="1" w:styleId="E-3">
    <w:name w:val="E-正文"/>
    <w:basedOn w:val="Normal"/>
    <w:link w:val="E-2"/>
    <w:qFormat/>
    <w:rsid w:val="008706DD"/>
    <w:pPr>
      <w:spacing w:line="480" w:lineRule="auto"/>
      <w:ind w:firstLine="482"/>
    </w:pPr>
    <w:rPr>
      <w:rFonts w:ascii="Arial" w:eastAsia="SimSun" w:hAnsi="Arial" w:cs="Calibri"/>
      <w:sz w:val="20"/>
      <w:szCs w:val="24"/>
    </w:rPr>
  </w:style>
  <w:style w:type="paragraph" w:styleId="Title">
    <w:name w:val="Title"/>
    <w:aliases w:val="1级标题"/>
    <w:basedOn w:val="Heading2"/>
    <w:next w:val="Normal"/>
    <w:link w:val="TitleChar"/>
    <w:uiPriority w:val="10"/>
    <w:qFormat/>
    <w:rsid w:val="000B40B4"/>
    <w:pPr>
      <w:widowControl/>
      <w:spacing w:beforeLines="50" w:before="50" w:after="0" w:line="480" w:lineRule="auto"/>
      <w:outlineLvl w:val="0"/>
    </w:pPr>
    <w:rPr>
      <w:rFonts w:eastAsiaTheme="minorEastAsia" w:cstheme="majorBidi"/>
      <w:caps/>
    </w:rPr>
  </w:style>
  <w:style w:type="character" w:customStyle="1" w:styleId="TitleChar">
    <w:name w:val="Title Char"/>
    <w:aliases w:val="1级标题 Char"/>
    <w:basedOn w:val="DefaultParagraphFont"/>
    <w:link w:val="Title"/>
    <w:uiPriority w:val="10"/>
    <w:rsid w:val="000B40B4"/>
    <w:rPr>
      <w:rFonts w:ascii="Arial" w:hAnsi="Arial" w:cstheme="majorBidi"/>
      <w:b/>
      <w:bCs/>
      <w:caps/>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bixinyuJN/Model_Tool"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ongliu@jiangnan.edu.cn"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8B2B9-EFFB-4677-A7BF-43DE16AE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9893</Words>
  <Characters>56391</Characters>
  <Application>Microsoft Office Word</Application>
  <DocSecurity>0</DocSecurity>
  <Lines>469</Lines>
  <Paragraphs>132</Paragraphs>
  <ScaleCrop>false</ScaleCrop>
  <Company/>
  <LinksUpToDate>false</LinksUpToDate>
  <CharactersWithSpaces>66152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bob</dc:creator>
  <cp:keywords/>
  <dc:description/>
  <cp:lastModifiedBy>Ella Barkay</cp:lastModifiedBy>
  <cp:revision>2</cp:revision>
  <dcterms:created xsi:type="dcterms:W3CDTF">2026-04-20T09:48:00Z</dcterms:created>
  <dcterms:modified xsi:type="dcterms:W3CDTF">2026-04-20T09:48:00Z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51a99d84-1fc6-4520-b2e9-e7855cb097a8</vt:lpwstr>
  </property>
</Properties>
</file>