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C2D493" w14:textId="33279FD5" w:rsidR="00D4648F" w:rsidRPr="00CC64D9" w:rsidRDefault="00890379" w:rsidP="008972B7">
      <w:pPr>
        <w:spacing w:line="480" w:lineRule="auto"/>
        <w:jc w:val="both"/>
        <w:rPr>
          <w:b/>
          <w:bCs/>
        </w:rPr>
      </w:pPr>
      <w:proofErr w:type="spellStart"/>
      <w:r w:rsidRPr="00CC64D9">
        <w:rPr>
          <w:b/>
          <w:bCs/>
        </w:rPr>
        <w:t>Ruxolitinib</w:t>
      </w:r>
      <w:proofErr w:type="spellEnd"/>
      <w:r w:rsidRPr="00CC64D9">
        <w:rPr>
          <w:b/>
          <w:bCs/>
        </w:rPr>
        <w:t xml:space="preserve"> for tocilizumab</w:t>
      </w:r>
      <w:r w:rsidR="004B06C1">
        <w:rPr>
          <w:b/>
          <w:bCs/>
        </w:rPr>
        <w:t>-</w:t>
      </w:r>
      <w:r w:rsidRPr="00CC64D9">
        <w:rPr>
          <w:b/>
          <w:bCs/>
        </w:rPr>
        <w:t>refractory severe COVID</w:t>
      </w:r>
      <w:r w:rsidR="00923001" w:rsidRPr="00CC64D9">
        <w:rPr>
          <w:b/>
          <w:bCs/>
        </w:rPr>
        <w:t>-19</w:t>
      </w:r>
      <w:r w:rsidRPr="00CC64D9">
        <w:rPr>
          <w:b/>
          <w:bCs/>
        </w:rPr>
        <w:t xml:space="preserve"> infection </w:t>
      </w:r>
    </w:p>
    <w:p w14:paraId="6B31525E" w14:textId="3C8FF9FA" w:rsidR="00890379" w:rsidRDefault="00890379" w:rsidP="008972B7">
      <w:pPr>
        <w:spacing w:line="480" w:lineRule="auto"/>
        <w:jc w:val="both"/>
      </w:pPr>
      <w:r>
        <w:t>Andrew J Innes</w:t>
      </w:r>
      <w:r w:rsidR="007C15F0" w:rsidRPr="007C15F0">
        <w:rPr>
          <w:vertAlign w:val="superscript"/>
        </w:rPr>
        <w:t>1,2</w:t>
      </w:r>
      <w:r>
        <w:t>, Lucy B Cook</w:t>
      </w:r>
      <w:r w:rsidR="007C15F0" w:rsidRPr="007C15F0">
        <w:rPr>
          <w:vertAlign w:val="superscript"/>
        </w:rPr>
        <w:t>1,2</w:t>
      </w:r>
      <w:r>
        <w:t>, Sasha Marks</w:t>
      </w:r>
      <w:r w:rsidR="007C15F0" w:rsidRPr="007C15F0">
        <w:rPr>
          <w:vertAlign w:val="superscript"/>
        </w:rPr>
        <w:t>2</w:t>
      </w:r>
      <w:r>
        <w:t>, Edward Bataillard</w:t>
      </w:r>
      <w:r w:rsidR="007C15F0" w:rsidRPr="007C15F0">
        <w:rPr>
          <w:vertAlign w:val="superscript"/>
        </w:rPr>
        <w:t>2</w:t>
      </w:r>
      <w:r>
        <w:t xml:space="preserve">, </w:t>
      </w:r>
      <w:r w:rsidR="003C4EDA">
        <w:t>Christina</w:t>
      </w:r>
      <w:r w:rsidR="007C15F0">
        <w:t xml:space="preserve"> C</w:t>
      </w:r>
      <w:r w:rsidR="007C15F0" w:rsidRPr="007C15F0">
        <w:t>rossette-</w:t>
      </w:r>
      <w:r w:rsidR="007C15F0">
        <w:t>T</w:t>
      </w:r>
      <w:r w:rsidR="007C15F0" w:rsidRPr="007C15F0">
        <w:t>hambiah</w:t>
      </w:r>
      <w:r w:rsidR="007C15F0" w:rsidRPr="007C15F0">
        <w:rPr>
          <w:vertAlign w:val="superscript"/>
        </w:rPr>
        <w:t>2</w:t>
      </w:r>
      <w:r w:rsidR="003C4EDA">
        <w:t xml:space="preserve">, </w:t>
      </w:r>
      <w:proofErr w:type="spellStart"/>
      <w:r w:rsidR="007C15F0" w:rsidRPr="007C15F0">
        <w:t>Gayathiri</w:t>
      </w:r>
      <w:proofErr w:type="spellEnd"/>
      <w:r w:rsidR="007C15F0" w:rsidRPr="007C15F0">
        <w:t xml:space="preserve"> </w:t>
      </w:r>
      <w:r w:rsidR="007C15F0">
        <w:t>S</w:t>
      </w:r>
      <w:r w:rsidR="007C15F0" w:rsidRPr="007C15F0">
        <w:t>ivasubramaniam</w:t>
      </w:r>
      <w:r w:rsidR="007C15F0">
        <w:rPr>
          <w:vertAlign w:val="superscript"/>
        </w:rPr>
        <w:t>3</w:t>
      </w:r>
      <w:r w:rsidR="00923001">
        <w:t>,</w:t>
      </w:r>
      <w:r w:rsidR="003C4EDA">
        <w:t xml:space="preserve"> </w:t>
      </w:r>
      <w:r>
        <w:t>Jane Apperley</w:t>
      </w:r>
      <w:r w:rsidR="007C15F0" w:rsidRPr="007C15F0">
        <w:rPr>
          <w:vertAlign w:val="superscript"/>
        </w:rPr>
        <w:t>1,2</w:t>
      </w:r>
      <w:r>
        <w:t xml:space="preserve">, </w:t>
      </w:r>
      <w:proofErr w:type="spellStart"/>
      <w:r>
        <w:t>Dragana</w:t>
      </w:r>
      <w:proofErr w:type="spellEnd"/>
      <w:r>
        <w:t xml:space="preserve"> Milojkovic</w:t>
      </w:r>
      <w:r w:rsidR="007C15F0" w:rsidRPr="007C15F0">
        <w:rPr>
          <w:vertAlign w:val="superscript"/>
        </w:rPr>
        <w:t>1,2</w:t>
      </w:r>
      <w:r w:rsidR="007C15F0">
        <w:t>.</w:t>
      </w:r>
    </w:p>
    <w:p w14:paraId="7A75BE2A" w14:textId="77777777" w:rsidR="00CC64D9" w:rsidRDefault="00CC64D9" w:rsidP="008972B7">
      <w:pPr>
        <w:spacing w:line="480" w:lineRule="auto"/>
        <w:jc w:val="both"/>
      </w:pPr>
    </w:p>
    <w:p w14:paraId="0D3A46AB" w14:textId="120D4301" w:rsidR="00CC64D9" w:rsidRDefault="007C15F0" w:rsidP="008972B7">
      <w:pPr>
        <w:spacing w:line="480" w:lineRule="auto"/>
        <w:jc w:val="both"/>
      </w:pPr>
      <w:r w:rsidRPr="007C15F0">
        <w:rPr>
          <w:vertAlign w:val="superscript"/>
        </w:rPr>
        <w:t>1</w:t>
      </w:r>
      <w:r>
        <w:t xml:space="preserve"> Centre for Haematology, Department of Immunology &amp; Inflammation, Imperial College London, UK, </w:t>
      </w:r>
      <w:r>
        <w:rPr>
          <w:vertAlign w:val="superscript"/>
        </w:rPr>
        <w:t>2</w:t>
      </w:r>
      <w:r>
        <w:t xml:space="preserve"> Department of Haematology, Imperial College Healthcare NHS Trust, Hammersmith Hospital, London, UK, and </w:t>
      </w:r>
      <w:r w:rsidRPr="007C15F0">
        <w:rPr>
          <w:vertAlign w:val="superscript"/>
        </w:rPr>
        <w:t>3</w:t>
      </w:r>
      <w:r>
        <w:t xml:space="preserve"> Department of Respiratory Medicine, Imperial College Healthcare NHS Trust, Hammersmith Hospital, London, UK, </w:t>
      </w:r>
    </w:p>
    <w:p w14:paraId="4B7A74A0" w14:textId="77777777" w:rsidR="00CC64D9" w:rsidRDefault="00CC64D9" w:rsidP="008972B7">
      <w:pPr>
        <w:spacing w:line="480" w:lineRule="auto"/>
        <w:jc w:val="both"/>
      </w:pPr>
    </w:p>
    <w:p w14:paraId="3EBD88B4" w14:textId="0FB5C605" w:rsidR="007C15F0" w:rsidRDefault="007C15F0" w:rsidP="008972B7">
      <w:pPr>
        <w:spacing w:line="480" w:lineRule="auto"/>
        <w:jc w:val="both"/>
      </w:pPr>
      <w:r>
        <w:t>Corresponding author:</w:t>
      </w:r>
    </w:p>
    <w:p w14:paraId="68AEA936" w14:textId="72BD1710" w:rsidR="007C15F0" w:rsidRDefault="007C15F0" w:rsidP="008972B7">
      <w:pPr>
        <w:spacing w:line="480" w:lineRule="auto"/>
        <w:jc w:val="both"/>
      </w:pPr>
      <w:r>
        <w:t>Andrew J Innes,</w:t>
      </w:r>
    </w:p>
    <w:p w14:paraId="5C48C502" w14:textId="1D6246E2" w:rsidR="007C15F0" w:rsidRDefault="007C15F0" w:rsidP="008972B7">
      <w:pPr>
        <w:spacing w:line="480" w:lineRule="auto"/>
        <w:jc w:val="both"/>
      </w:pPr>
      <w:r>
        <w:t xml:space="preserve">Centre for Haematology </w:t>
      </w:r>
    </w:p>
    <w:p w14:paraId="16AA732A" w14:textId="77777777" w:rsidR="007C15F0" w:rsidRDefault="007C15F0" w:rsidP="008972B7">
      <w:pPr>
        <w:spacing w:line="480" w:lineRule="auto"/>
        <w:jc w:val="both"/>
      </w:pPr>
      <w:r>
        <w:t xml:space="preserve">Department of Immunology &amp; Inflammation, </w:t>
      </w:r>
    </w:p>
    <w:p w14:paraId="31F7750C" w14:textId="77777777" w:rsidR="007C15F0" w:rsidRDefault="007C15F0" w:rsidP="008972B7">
      <w:pPr>
        <w:spacing w:line="480" w:lineRule="auto"/>
        <w:jc w:val="both"/>
      </w:pPr>
      <w:r>
        <w:t xml:space="preserve">Imperial College London, </w:t>
      </w:r>
    </w:p>
    <w:p w14:paraId="7C94B03F" w14:textId="77777777" w:rsidR="007C15F0" w:rsidRDefault="007C15F0" w:rsidP="008972B7">
      <w:pPr>
        <w:spacing w:line="480" w:lineRule="auto"/>
        <w:jc w:val="both"/>
      </w:pPr>
      <w:r>
        <w:t>Hammersmith Campus</w:t>
      </w:r>
    </w:p>
    <w:p w14:paraId="25EC1C1B" w14:textId="77777777" w:rsidR="007C15F0" w:rsidRDefault="007C15F0" w:rsidP="008972B7">
      <w:pPr>
        <w:spacing w:line="480" w:lineRule="auto"/>
        <w:jc w:val="both"/>
      </w:pPr>
      <w:r>
        <w:t xml:space="preserve">Du Cane Road </w:t>
      </w:r>
    </w:p>
    <w:p w14:paraId="15F598B7" w14:textId="77777777" w:rsidR="007C15F0" w:rsidRDefault="007C15F0" w:rsidP="008972B7">
      <w:pPr>
        <w:spacing w:line="480" w:lineRule="auto"/>
        <w:jc w:val="both"/>
      </w:pPr>
      <w:r>
        <w:t xml:space="preserve">London </w:t>
      </w:r>
    </w:p>
    <w:p w14:paraId="44EA8050" w14:textId="77777777" w:rsidR="007C15F0" w:rsidRDefault="007C15F0" w:rsidP="008972B7">
      <w:pPr>
        <w:spacing w:line="480" w:lineRule="auto"/>
        <w:jc w:val="both"/>
      </w:pPr>
      <w:r>
        <w:t>United Kingdom</w:t>
      </w:r>
    </w:p>
    <w:p w14:paraId="553E314B" w14:textId="77777777" w:rsidR="007C15F0" w:rsidRDefault="007C15F0" w:rsidP="008972B7">
      <w:pPr>
        <w:spacing w:line="480" w:lineRule="auto"/>
        <w:jc w:val="both"/>
      </w:pPr>
      <w:r>
        <w:t>W12 0NN</w:t>
      </w:r>
    </w:p>
    <w:p w14:paraId="5E461635" w14:textId="4BBE809E" w:rsidR="007C15F0" w:rsidRDefault="007C15F0" w:rsidP="008972B7">
      <w:pPr>
        <w:spacing w:line="480" w:lineRule="auto"/>
        <w:jc w:val="both"/>
      </w:pPr>
      <w:r>
        <w:t>a.innes@imperial.ac.uk</w:t>
      </w:r>
    </w:p>
    <w:p w14:paraId="5E31C4ED" w14:textId="77777777" w:rsidR="00890379" w:rsidRDefault="00890379" w:rsidP="008972B7">
      <w:pPr>
        <w:spacing w:line="480" w:lineRule="auto"/>
        <w:jc w:val="both"/>
      </w:pPr>
    </w:p>
    <w:p w14:paraId="3A2D41A3" w14:textId="77777777" w:rsidR="008972B7" w:rsidRPr="0053049E" w:rsidRDefault="00CC64D9" w:rsidP="008972B7">
      <w:pPr>
        <w:jc w:val="both"/>
        <w:rPr>
          <w:b/>
          <w:bCs/>
        </w:rPr>
      </w:pPr>
      <w:r>
        <w:br w:type="page"/>
      </w:r>
      <w:r w:rsidR="008972B7" w:rsidRPr="0053049E">
        <w:rPr>
          <w:b/>
          <w:bCs/>
        </w:rPr>
        <w:lastRenderedPageBreak/>
        <w:t>Abstract</w:t>
      </w:r>
    </w:p>
    <w:p w14:paraId="12C8DFDE" w14:textId="77777777" w:rsidR="008972B7" w:rsidRDefault="008972B7" w:rsidP="008972B7">
      <w:pPr>
        <w:jc w:val="both"/>
      </w:pPr>
    </w:p>
    <w:p w14:paraId="365C9DC7" w14:textId="4F9E5EC8" w:rsidR="0087085B" w:rsidRDefault="008972B7" w:rsidP="008972B7">
      <w:pPr>
        <w:spacing w:line="480" w:lineRule="auto"/>
        <w:jc w:val="both"/>
      </w:pPr>
      <w:r>
        <w:t xml:space="preserve">Whilst the majority of patients with COVID-19 infection have mild self-limiting symptoms, for some </w:t>
      </w:r>
      <w:r w:rsidR="00E45C94">
        <w:t xml:space="preserve">the </w:t>
      </w:r>
      <w:r>
        <w:t xml:space="preserve">SARS-CoV2 virus can trigger a severe hyperinflammatory syndrome which is life threatening. </w:t>
      </w:r>
      <w:r w:rsidR="006C2A03">
        <w:t xml:space="preserve">Anti-IL6 therapy has shown promise in restraining the </w:t>
      </w:r>
      <w:r w:rsidR="00E45C94">
        <w:t>hyperinflammatory syndrome</w:t>
      </w:r>
      <w:r w:rsidR="006C2A03">
        <w:t xml:space="preserve"> </w:t>
      </w:r>
      <w:r w:rsidR="000E1A2C">
        <w:t xml:space="preserve">and while IL-6 is a </w:t>
      </w:r>
      <w:r w:rsidR="000E1A2C" w:rsidRPr="000E1A2C">
        <w:t>pleiotropic</w:t>
      </w:r>
      <w:r w:rsidR="000E1A2C">
        <w:t xml:space="preserve"> mediatory of the inflammatory </w:t>
      </w:r>
      <w:r w:rsidR="00E45C94">
        <w:t>response</w:t>
      </w:r>
      <w:r w:rsidR="000E1A2C">
        <w:t xml:space="preserve">, redundancy within inflammatory pathways means that </w:t>
      </w:r>
      <w:r w:rsidR="00E45C94">
        <w:t xml:space="preserve">the use of such targeted monoclonal therapy </w:t>
      </w:r>
      <w:r w:rsidR="00D82FC9">
        <w:t xml:space="preserve">may </w:t>
      </w:r>
      <w:r w:rsidR="00E45C94">
        <w:t>have too restricted a repertoire in some patients.</w:t>
      </w:r>
      <w:r w:rsidR="000E1A2C">
        <w:t xml:space="preserve"> </w:t>
      </w:r>
      <w:r>
        <w:t>We present the case of a</w:t>
      </w:r>
      <w:r w:rsidR="006C2A03">
        <w:t xml:space="preserve"> </w:t>
      </w:r>
      <w:r w:rsidR="00E45C94">
        <w:t>53-year-old</w:t>
      </w:r>
      <w:r w:rsidR="006C2A03">
        <w:t xml:space="preserve"> </w:t>
      </w:r>
      <w:proofErr w:type="spellStart"/>
      <w:r w:rsidR="00E45C94">
        <w:t>haematopoetic</w:t>
      </w:r>
      <w:proofErr w:type="spellEnd"/>
      <w:r w:rsidR="00E45C94">
        <w:t xml:space="preserve"> stem cell </w:t>
      </w:r>
      <w:r w:rsidR="006C2A03">
        <w:t xml:space="preserve">transplant </w:t>
      </w:r>
      <w:r w:rsidR="00E45C94">
        <w:t>recipient</w:t>
      </w:r>
      <w:r w:rsidR="006C2A03">
        <w:t xml:space="preserve"> who developed a severe COVID-19 that was refractory to anti-IL6 therapy, but</w:t>
      </w:r>
      <w:r w:rsidR="00E45C94">
        <w:t xml:space="preserve"> responded to </w:t>
      </w:r>
      <w:proofErr w:type="spellStart"/>
      <w:r w:rsidR="00E45C94">
        <w:t>Jak</w:t>
      </w:r>
      <w:proofErr w:type="spellEnd"/>
      <w:r w:rsidR="00E45C94">
        <w:t xml:space="preserve">-Stat inhibition with </w:t>
      </w:r>
      <w:proofErr w:type="spellStart"/>
      <w:r w:rsidR="00E45C94">
        <w:t>ruxolitinib</w:t>
      </w:r>
      <w:proofErr w:type="spellEnd"/>
      <w:r w:rsidR="00E45C94">
        <w:t xml:space="preserve">, demonstrating its safety and efficacy in this setting. </w:t>
      </w:r>
      <w:r>
        <w:br w:type="page"/>
      </w:r>
      <w:r w:rsidR="000E1A2C">
        <w:lastRenderedPageBreak/>
        <w:t xml:space="preserve"> </w:t>
      </w:r>
      <w:r w:rsidR="00890379">
        <w:t>For the majority of patients, the natural</w:t>
      </w:r>
      <w:r w:rsidR="0067114C">
        <w:t xml:space="preserve"> course</w:t>
      </w:r>
      <w:r w:rsidR="00890379">
        <w:t xml:space="preserve"> of COVID</w:t>
      </w:r>
      <w:r w:rsidR="0067114C">
        <w:t>-19 infection is mild and self-limiting, but for</w:t>
      </w:r>
      <w:r w:rsidR="00890379">
        <w:t xml:space="preserve"> </w:t>
      </w:r>
      <w:r w:rsidR="0067114C">
        <w:t>some</w:t>
      </w:r>
      <w:r w:rsidR="006C41B1">
        <w:t>,</w:t>
      </w:r>
      <w:r w:rsidR="0067114C">
        <w:t xml:space="preserve"> the disease is severe and can be catastrophic </w:t>
      </w:r>
      <w:r w:rsidR="00406C47">
        <w:fldChar w:fldCharType="begin" w:fldLock="1"/>
      </w:r>
      <w:r w:rsidR="00417CBD">
        <w:instrText>ADDIN CSL_CITATION {"citationItems":[{"id":"ITEM-1","itemData":{"DOI":"10.1056/NEJMoa2002032","ISSN":"15334406","PMID":"32109013","abstract":"BACKGROUND Since December 2019, when coronavirus disease 2019 (Covid-19) emerged in Wuhan city and rapidly spread throughout China, data have been needed on the clinical characteristics of the affected patients. METHODS We extracted data regarding 1099 patients with laboratory-confirmed Covid-19 from 552 hospitals in 30 provinces, autonomous regions, and municipalities in mainland China through January 29, 2020. The primary composite end point was admission to an intensive care unit (ICU), the use of mechanical ventilation, or death. RESULTS The median age of the patients was 47 years; 41.9% of the patients were female. The primary composite end point occurred in 67 patients (6.1%), including 5.0% who were admitted to the ICU, 2.3% who underwent invasive mechanical ventilation, and 1.4% who died. Only 1.9% of the patients had a history of direct contact with wildlife. Among nonresidents of Wuhan, 72.3% had contact with residents of Wuhan, including 31.3% who had visited the city. The most common symptoms were fever (43.8% on admission and 88.7% during hospitalization) and cough (67.8%). Diarrhea was uncommon (3.8%). The median incubation period was 4 days (interquartile range, 2 to 7). On admission, ground-glass opacity was the most common radiologic finding on chest computed tomography (CT) (56.4%). No radiographic or CT abnormality was found in 157 of 877 patients (17.9%) with nonsevere disease and in 5 of 173 patients (2.9%) with severe disease. Lymphocytopenia was present in 83.2% of the patients on admission. CONCLUSIONS During the first 2 months of the current outbreak, Covid-19 spread rapidly throughout China and caused varying degrees of illness. Patients often presented without fever, and many did not have abnormal radiologic findings.","author":[{"dropping-particle":"","family":"Guan","given":"W.","non-dropping-particle":"","parse-names":false,"suffix":""},{"dropping-particle":"","family":"Ni","given":"Z.","non-dropping-particle":"","parse-names":false,"suffix":""},{"dropping-particle":"","family":"Hu","given":"Yu","non-dropping-particle":"","parse-names":false,"suffix":""},{"dropping-particle":"","family":"Liang","given":"W.","non-dropping-particle":"","parse-names":false,"suffix":""},{"dropping-particle":"","family":"Ou","given":"C.","non-dropping-particle":"","parse-names":false,"suffix":""},{"dropping-particle":"","family":"He","given":"J.","non-dropping-particle":"","parse-names":false,"suffix":""},{"dropping-particle":"","family":"Liu","given":"L.","non-dropping-particle":"","parse-names":false,"suffix":""},{"dropping-particle":"","family":"Shan","given":"H.","non-dropping-particle":"","parse-names":false,"suffix":""},{"dropping-particle":"","family":"Lei","given":"C.","non-dropping-particle":"","parse-names":false,"suffix":""},{"dropping-particle":"","family":"Hui","given":"D. S.C.","non-dropping-particle":"","parse-names":false,"suffix":""},{"dropping-particle":"","family":"Du","given":"B.","non-dropping-particle":"","parse-names":false,"suffix":""},{"dropping-particle":"","family":"Li","given":"L.","non-dropping-particle":"","parse-names":false,"suffix":""},{"dropping-particle":"","family":"Zeng","given":"G.","non-dropping-particle":"","parse-names":false,"suffix":""},{"dropping-particle":"","family":"Yuen","given":"K. Y.","non-dropping-particle":"","parse-names":false,"suffix":""},{"dropping-particle":"","family":"Chen","given":"R.","non-dropping-particle":"","parse-names":false,"suffix":""},{"dropping-particle":"","family":"Tang","given":"C.","non-dropping-particle":"","parse-names":false,"suffix":""},{"dropping-particle":"","family":"Wang","given":"T.","non-dropping-particle":"","parse-names":false,"suffix":""},{"dropping-particle":"","family":"Chen","given":"P.","non-dropping-particle":"","parse-names":false,"suffix":""},{"dropping-particle":"","family":"Xiang","given":"J.","non-dropping-particle":"","parse-names":false,"suffix":""},{"dropping-particle":"","family":"Li","given":"S.","non-dropping-particle":"","parse-names":false,"suffix":""},{"dropping-particle":"","family":"Wang","given":"Jin Lin","non-dropping-particle":"","parse-names":false,"suffix":""},{"dropping-particle":"","family":"Liang","given":"Z.","non-dropping-particle":"","parse-names":false,"suffix":""},{"dropping-particle":"","family":"Peng","given":"Y.","non-dropping-particle":"","parse-names":false,"suffix":""},{"dropping-particle":"","family":"Wei","given":"L.","non-dropping-particle":"","parse-names":false,"suffix":""},{"dropping-particle":"","family":"Liu","given":"Y.","non-dropping-particle":"","parse-names":false,"suffix":""},{"dropping-particle":"","family":"Hu","given":"Ya Hua","non-dropping-particle":"","parse-names":false,"suffix":""},{"dropping-particle":"","family":"Peng","given":"P.","non-dropping-particle":"","parse-names":false,"suffix":""},{"dropping-particle":"","family":"Wang","given":"Jian Ming","non-dropping-particle":"","parse-names":false,"suffix":""},{"dropping-particle":"","family":"Liu","given":"J.","non-dropping-particle":"","parse-names":false,"suffix":""},{"dropping-particle":"","family":"Chen","given":"Z.","non-dropping-particle":"","parse-names":false,"suffix":""},{"dropping-particle":"","family":"Li","given":"G.","non-dropping-particle":"","parse-names":false,"suffix":""},{"dropping-particle":"","family":"Zheng","given":"Z.","non-dropping-particle":"","parse-names":false,"suffix":""},{"dropping-particle":"","family":"Qiu","given":"S.","non-dropping-particle":"","parse-names":false,"suffix":""},{"dropping-particle":"","family":"Luo","given":"J.","non-dropping-particle":"","parse-names":false,"suffix":""},{"dropping-particle":"","family":"Ye","given":"C.","non-dropping-particle":"","parse-names":false,"suffix":""},{"dropping-particle":"","family":"Zhu","given":"S.","non-dropping-particle":"","parse-names":false,"suffix":""},{"dropping-particle":"","family":"Zhong","given":"N.","non-dropping-particle":"","parse-names":false,"suffix":""}],"container-title":"New England Journal of Medicine","id":"ITEM-1","issue":"18","issued":{"date-parts":[["2020"]]},"page":"1708-1720","title":"Clinical characteristics of coronavirus disease 2019 in China","type":"article-journal","volume":"382"},"uris":["http://www.mendeley.com/documents/?uuid=037a1483-19b0-4cc3-bccd-231277f18e82"]}],"mendeley":{"formattedCitation":"(1)","plainTextFormattedCitation":"(1)","previouslyFormattedCitation":"(1)"},"properties":{"noteIndex":0},"schema":"https://github.com/citation-style-language/schema/raw/master/csl-citation.json"}</w:instrText>
      </w:r>
      <w:r w:rsidR="00406C47">
        <w:fldChar w:fldCharType="separate"/>
      </w:r>
      <w:r w:rsidR="00417CBD" w:rsidRPr="00417CBD">
        <w:rPr>
          <w:noProof/>
        </w:rPr>
        <w:t>(1)</w:t>
      </w:r>
      <w:r w:rsidR="00406C47">
        <w:fldChar w:fldCharType="end"/>
      </w:r>
      <w:r w:rsidR="0067114C">
        <w:t>. There is mounting evidence that a viral-induced cytokine storm can drive a hyperinflammatory syndrome, and</w:t>
      </w:r>
      <w:r w:rsidR="0087085B">
        <w:t xml:space="preserve"> raised serum ferritin and IL-6 levels are associated with a worse outcome </w:t>
      </w:r>
      <w:r w:rsidR="00406C47">
        <w:fldChar w:fldCharType="begin" w:fldLock="1"/>
      </w:r>
      <w:r w:rsidR="00417CBD">
        <w:instrText>ADDIN CSL_CITATION {"citationItems":[{"id":"ITEM-1","itemData":{"DOI":"10.1016/S0140-6736(20)30566-3","ISSN":"1474547X","PMID":"32171076","abstract":"Background: Since December, 2019, Wuhan, China, has experienced an outbreak of coronavirus disease 2019 (COVID-19), caused by the severe acute respiratory syndrome coronavirus 2 (SARS-CoV-2). Epidemiological and clinical characteristics of patients with COVID-19 have been reported but risk factors for mortality and a detailed clinical course of illness, including viral shedding, have not been well described. Methods: In this retrospective, multicentre cohort study, we included all adult inpatients (≥18 years old) with laboratory-confirmed COVID-19 from Jinyintan Hospital and Wuhan Pulmonary Hospital (Wuhan, China) who had been discharged or had died by Jan 31, 2020. Demographic, clinical, treatment, and laboratory data, including serial samples for viral RNA detection, were extracted from electronic medical records and compared between survivors and non-survivors. We used univariable and multivariable logistic regression methods to explore the risk factors associated with in-hospital death. Findings: 191 patients (135 from Jinyintan Hospital and 56 from Wuhan Pulmonary Hospital) were included in this study, of whom 137 were discharged and 54 died in hospital. 91 (48%) patients had a comorbidity, with hypertension being the most common (58 [30%] patients), followed by diabetes (36 [19%] patients) and coronary heart disease (15 [8%] patients). Multivariable regression showed increasing odds of in-hospital death associated with older age (odds ratio 1·10, 95% CI 1·03–1·17, per year increase; p=0·0043), higher Sequential Organ Failure Assessment (SOFA) score (5·65, 2·61–12·23; p&lt;0·0001), and d-dimer greater than 1 μg/mL (18·42, 2·64–128·55; p=0·0033) on admission. Median duration of viral shedding was 20·0 days (IQR 17·0–24·0) in survivors, but SARS-CoV-2 was detectable until death in non-survivors. The longest observed duration of viral shedding in survivors was 37 days. Interpretation: The potential risk factors of older age, high SOFA score, and d-dimer greater than 1 μg/mL could help clinicians to identify patients with poor prognosis at an early stage. Prolonged viral shedding provides the rationale for a strategy of isolation of infected patients and optimal antiviral interventions in the future. Funding: Chinese Academy of Medical Sciences Innovation Fund for Medical Sciences; National Science Grant for Distinguished Young Scholars; National Key Research and Development Program of China; The Beijing Science and Technology Project; and Major Projects …","author":[{"dropping-particle":"","family":"Zhou","given":"Fei","non-dropping-particle":"","parse-names":false,"suffix":""},{"dropping-particle":"","family":"Yu","given":"Ting","non-dropping-particle":"","parse-names":false,"suffix":""},{"dropping-particle":"","family":"Du","given":"Ronghui","non-dropping-particle":"","parse-names":false,"suffix":""},{"dropping-particle":"","family":"Fan","given":"Guohui","non-dropping-particle":"","parse-names":false,"suffix":""},{"dropping-particle":"","family":"Liu","given":"Ying","non-dropping-particle":"","parse-names":false,"suffix":""},{"dropping-particle":"","family":"Liu","given":"Zhibo","non-dropping-particle":"","parse-names":false,"suffix":""},{"dropping-particle":"","family":"Xiang","given":"Jie","non-dropping-particle":"","parse-names":false,"suffix":""},{"dropping-particle":"","family":"Wang","given":"Yeming","non-dropping-particle":"","parse-names":false,"suffix":""},{"dropping-particle":"","family":"Song","given":"Bin","non-dropping-particle":"","parse-names":false,"suffix":""},{"dropping-particle":"","family":"Gu","given":"Xiaoying","non-dropping-particle":"","parse-names":false,"suffix":""},{"dropping-particle":"","family":"Guan","given":"Lulu","non-dropping-particle":"","parse-names":false,"suffix":""},{"dropping-particle":"","family":"Wei","given":"Yuan","non-dropping-particle":"","parse-names":false,"suffix":""},{"dropping-particle":"","family":"Li","given":"Hui","non-dropping-particle":"","parse-names":false,"suffix":""},{"dropping-particle":"","family":"Wu","given":"Xudong","non-dropping-particle":"","parse-names":false,"suffix":""},{"dropping-particle":"","family":"Xu","given":"Jiuyang","non-dropping-particle":"","parse-names":false,"suffix":""},{"dropping-particle":"","family":"Tu","given":"Shengjin","non-dropping-particle":"","parse-names":false,"suffix":""},{"dropping-particle":"","family":"Zhang","given":"Yi","non-dropping-particle":"","parse-names":false,"suffix":""},{"dropping-particle":"","family":"Chen","given":"Hua","non-dropping-particle":"","parse-names":false,"suffix":""},{"dropping-particle":"","family":"Cao","given":"Bin","non-dropping-particle":"","parse-names":false,"suffix":""}],"container-title":"The Lancet","id":"ITEM-1","issue":"10229","issued":{"date-parts":[["2020"]]},"page":"1054-1062","publisher":"Elsevier Ltd","title":"Clinical course and risk factors for mortality of adult inpatients with COVID-19 in Wuhan, China: a retrospective cohort study","type":"article-journal","volume":"395"},"uris":["http://www.mendeley.com/documents/?uuid=cbdc4bd7-b475-444b-b546-95d5fbfa3716"]}],"mendeley":{"formattedCitation":"(2)","plainTextFormattedCitation":"(2)","previouslyFormattedCitation":"(2)"},"properties":{"noteIndex":0},"schema":"https://github.com/citation-style-language/schema/raw/master/csl-citation.json"}</w:instrText>
      </w:r>
      <w:r w:rsidR="00406C47">
        <w:fldChar w:fldCharType="separate"/>
      </w:r>
      <w:r w:rsidR="00417CBD" w:rsidRPr="00417CBD">
        <w:rPr>
          <w:noProof/>
        </w:rPr>
        <w:t>(2)</w:t>
      </w:r>
      <w:r w:rsidR="00406C47">
        <w:fldChar w:fldCharType="end"/>
      </w:r>
      <w:r w:rsidR="0087085B">
        <w:t xml:space="preserve">. </w:t>
      </w:r>
      <w:r w:rsidR="00A069B8">
        <w:t xml:space="preserve">Whilst this phenomenon is not unique to the SARS-CoV2 virus, a striking feature in this setting is the hypoxia and lung injury associated with it. Patients who develop respiratory failure and require ventilatory support have </w:t>
      </w:r>
      <w:r w:rsidR="00A069B8" w:rsidRPr="00742BEE">
        <w:t>higher plasma levels</w:t>
      </w:r>
      <w:r w:rsidR="00A069B8">
        <w:t xml:space="preserve"> of an array of inflammatory cytokines including L</w:t>
      </w:r>
      <w:r w:rsidR="00A069B8" w:rsidRPr="00742BEE">
        <w:t>IL2, IL7, IL10, GSCF, IP10, MCP1, MIP1A, and TNFα</w:t>
      </w:r>
      <w:r w:rsidR="00A069B8">
        <w:t>, and their presence is associated with an inferior outcome</w:t>
      </w:r>
      <w:r w:rsidR="00406C47">
        <w:t xml:space="preserve"> </w:t>
      </w:r>
      <w:r w:rsidR="00406C47">
        <w:fldChar w:fldCharType="begin" w:fldLock="1"/>
      </w:r>
      <w:r w:rsidR="00417CBD">
        <w:instrText>ADDIN CSL_CITATION {"citationItems":[{"id":"ITEM-1","itemData":{"DOI":"10.1016/S0140-6736(20)30183-5","ISSN":"1474547X","PMID":"31986264","abstract":"Background: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Huang","given":"Chaolin","non-dropping-particle":"","parse-names":false,"suffix":""},{"dropping-particle":"","family":"Wang","given":"Yeming","non-dropping-particle":"","parse-names":false,"suffix":""},{"dropping-particle":"","family":"Li","given":"Xingwang","non-dropping-particle":"","parse-names":false,"suffix":""},{"dropping-particle":"","family":"Ren","given":"Lili","non-dropping-particle":"","parse-names":false,"suffix":""},{"dropping-particle":"","family":"Zhao","given":"Jianping","non-dropping-particle":"","parse-names":false,"suffix":""},{"dropping-particle":"","family":"Hu","given":"Yi","non-dropping-particle":"","parse-names":false,"suffix":""},{"dropping-particle":"","family":"Zhang","given":"Li","non-dropping-particle":"","parse-names":false,"suffix":""},{"dropping-particle":"","family":"Fan","given":"Guohui","non-dropping-particle":"","parse-names":false,"suffix":""},{"dropping-particle":"","family":"Xu","given":"Jiuyang","non-dropping-particle":"","parse-names":false,"suffix":""},{"dropping-particle":"","family":"Gu","given":"Xiaoying","non-dropping-particle":"","parse-names":false,"suffix":""},{"dropping-particle":"","family":"Cheng","given":"Zhenshun","non-dropping-particle":"","parse-names":false,"suffix":""},{"dropping-particle":"","family":"Yu","given":"Ting","non-dropping-particle":"","parse-names":false,"suffix":""},{"dropping-particle":"","family":"Xia","given":"Jiaan","non-dropping-particle":"","parse-names":false,"suffix":""},{"dropping-particle":"","family":"Wei","given":"Yuan","non-dropping-particle":"","parse-names":false,"suffix":""},{"dropping-particle":"","family":"Wu","given":"Wenjuan","non-dropping-particle":"","parse-names":false,"suffix":""},{"dropping-particle":"","family":"Xie","given":"Xuelei","non-dropping-particle":"","parse-names":false,"suffix":""},{"dropping-particle":"","family":"Yin","given":"Wen","non-dropping-particle":"","parse-names":false,"suffix":""},{"dropping-particle":"","family":"Li","given":"Hui","non-dropping-particle":"","parse-names":false,"suffix":""},{"dropping-particle":"","family":"Liu","given":"Min","non-dropping-particle":"","parse-names":false,"suffix":""},{"dropping-particle":"","family":"Xiao","given":"Yan","non-dropping-particle":"","parse-names":false,"suffix":""},{"dropping-particle":"","family":"Gao","given":"Hong","non-dropping-particle":"","parse-names":false,"suffix":""},{"dropping-particle":"","family":"Guo","given":"Li","non-dropping-particle":"","parse-names":false,"suffix":""},{"dropping-particle":"","family":"Xie","given":"Jungang","non-dropping-particle":"","parse-names":false,"suffix":""},{"dropping-particle":"","family":"Wang","given":"Guangfa","non-dropping-particle":"","parse-names":false,"suffix":""},{"dropping-particle":"","family":"Jiang","given":"Rongmeng","non-dropping-particle":"","parse-names":false,"suffix":""},{"dropping-particle":"","family":"Gao","given":"Zhancheng","non-dropping-particle":"","parse-names":false,"suffix":""},{"dropping-particle":"","family":"Jin","given":"Qi","non-dropping-particle":"","parse-names":false,"suffix":""},{"dropping-particle":"","family":"Wang","given":"Jianwei","non-dropping-particle":"","parse-names":false,"suffix":""},{"dropping-particle":"","family":"Cao","given":"Bin","non-dropping-particle":"","parse-names":false,"suffix":""}],"container-title":"The Lancet","id":"ITEM-1","issue":"10223","issued":{"date-parts":[["2020"]]},"page":"497-506","title":"Clinical features of patients infected with 2019 novel coronavirus in Wuhan, China","type":"article-journal","volume":"395"},"uris":["http://www.mendeley.com/documents/?uuid=0c65cedc-d838-4051-b2b9-98a4625fb4ac"]}],"mendeley":{"formattedCitation":"(3)","plainTextFormattedCitation":"(3)","previouslyFormattedCitation":"(3)"},"properties":{"noteIndex":0},"schema":"https://github.com/citation-style-language/schema/raw/master/csl-citation.json"}</w:instrText>
      </w:r>
      <w:r w:rsidR="00406C47">
        <w:fldChar w:fldCharType="separate"/>
      </w:r>
      <w:r w:rsidR="00417CBD" w:rsidRPr="00417CBD">
        <w:rPr>
          <w:noProof/>
        </w:rPr>
        <w:t>(3)</w:t>
      </w:r>
      <w:r w:rsidR="00406C47">
        <w:fldChar w:fldCharType="end"/>
      </w:r>
      <w:r w:rsidR="00A069B8">
        <w:t xml:space="preserve">. </w:t>
      </w:r>
      <w:r w:rsidR="007C5BE5">
        <w:t xml:space="preserve">The manifestation of the COVID19-hyperinflammatory syndrome are </w:t>
      </w:r>
      <w:r w:rsidR="0087085B">
        <w:t xml:space="preserve">reminiscent of the cytokine </w:t>
      </w:r>
      <w:r w:rsidR="007C5BE5">
        <w:t>release</w:t>
      </w:r>
      <w:r w:rsidR="0087085B">
        <w:t xml:space="preserve"> syndrome seen with chimeric antigen receptor (CAR) T-cell therapy</w:t>
      </w:r>
      <w:r w:rsidR="007C5BE5">
        <w:t>, and this has provoked the use of anti-IL6 therapy with promising results</w:t>
      </w:r>
      <w:r w:rsidR="007C5BE5" w:rsidRPr="007C5BE5">
        <w:t xml:space="preserve"> </w:t>
      </w:r>
      <w:r w:rsidR="00564AAE">
        <w:fldChar w:fldCharType="begin" w:fldLock="1"/>
      </w:r>
      <w:r w:rsidR="00417CBD">
        <w:instrText>ADDIN CSL_CITATION {"citationItems":[{"id":"ITEM-1","itemData":{"DOI":"10.1073/pnas.2005615117","ISSN":"0027-8424","PMID":"32350134","abstract":"After analyzing the immune characteristics of patients with severe coronavirus disease 2019 (COVID-19), we have identified that pathogenic T cells and inflammatory monocytes with large amount of interleukin 6 secreting may incite the inflammatory storm, which may potentially be curbed through monoclonal antibody that targets the IL-6 pathways. Here, we aimed to assess the efficacy of tocilizumab in severe patients with COVID-19 and seek a therapeutic strategy. The patients diagnosed as severe or critical COVID-19 in The First Affiliated Hospital of University of Science and Technology of China (Anhui Provincial Hospital) and Anhui Fuyang Second People’s Hospital were given tocilizumab in addition to routine therapy between 5 and 14 February 2020. The changes of clinical manifestations, computerized tomography (CT) scan image, and laboratory examinations were retrospectively analyzed. Fever returned to normal on the first day, and other symptoms improved remarkably within a few days. Within 5 d after tocilizumab, 15 of the 20 patients (75.0%) had lowered their oxygen intake, and 1 patient needed no oxygen therapy. CT scans manifested that the lung lesion opacity absorbed in 19 patients (90.5%). The percentage of lymphocytes in peripheral blood, which decreased in 85.0% of patients (17/20) before treatment (mean, 15.52 ± 8.89%), returned to normal in 52.6% of patients (10/19) on the fifth day after treatment. Abnormally elevated C-reactive protein decreased significantly in 84.2% of patients (16/19). No obvious adverse reactions were observed. All patients have been discharged on average 15.1 d after giving tocilizumab. Preliminary data show that tocilizumab, which improved the clinical outcome immediately in severe and critical COVID-19 patients, is an effective treatment to reduce mortality.","author":[{"dropping-particle":"","family":"Xu","given":"Xiaoling","non-dropping-particle":"","parse-names":false,"suffix":""},{"dropping-particle":"","family":"Han","given":"Mingfeng","non-dropping-particle":"","parse-names":false,"suffix":""},{"dropping-particle":"","family":"Li","given":"Tiantian","non-dropping-particle":"","parse-names":false,"suffix":""},{"dropping-particle":"","family":"Sun","given":"Wei","non-dropping-particle":"","parse-names":false,"suffix":""},{"dropping-particle":"","family":"Wang","given":"Dongsheng","non-dropping-particle":"","parse-names":false,"suffix":""},{"dropping-particle":"","family":"Fu","given":"Binqing","non-dropping-particle":"","parse-names":false,"suffix":""},{"dropping-particle":"","family":"Zhou","given":"Yonggang","non-dropping-particle":"","parse-names":false,"suffix":""},{"dropping-particle":"","family":"Zheng","given":"Xiaohu","non-dropping-particle":"","parse-names":false,"suffix":""},{"dropping-particle":"","family":"Yang","given":"Yun","non-dropping-particle":"","parse-names":false,"suffix":""},{"dropping-particle":"","family":"Li","given":"Xiuyong","non-dropping-particle":"","parse-names":false,"suffix":""},{"dropping-particle":"","family":"Zhang","given":"Xiaohua","non-dropping-particle":"","parse-names":false,"suffix":""},{"dropping-particle":"","family":"Pan","given":"Aijun","non-dropping-particle":"","parse-names":false,"suffix":""},{"dropping-particle":"","family":"Wei","given":"Haiming","non-dropping-particle":"","parse-names":false,"suffix":""}],"container-title":"Proceedings of the National Academy of Sciences","id":"ITEM-1","issue":"20","issued":{"date-parts":[["2020"]]},"page":"202005615","title":"Effective treatment of severe COVID-19 patients with tocilizumab","type":"article-journal","volume":"117"},"uris":["http://www.mendeley.com/documents/?uuid=c4e2e386-f70e-4d10-970e-0dbe7b98d244"]},{"id":"ITEM-2","itemData":{"DOI":"10.1111/bjh.16787","ISSN":"0007-1048","abstract":"Coronavirus disease 2019 (COVID-19) presents with a broad clinical spectrum, varying from asymptomatic infection to severe pneumonitis, leading to acute respiratory distress syndrome (ARDS) and death(Guan, et al 2020). Accumulating evidence suggests that in severe COVID-19, an acute hyperinflammatory syndrome characterised by fever, hypoxia and increased serum inflammatory markers, occurring 5-10 days from the first symptoms, is the major driver of morbidity and death(Zhou, et al 2020b). Hyperinflammation is not specific to COVID-19. Similar syndromes were previously described in respiratory disease associated with other coronaviruses, including the severe acute respiratory syndrome-coronavirus (SARS-CoV) in 2003 and Middle East respiratory syndrome-coronavirus (MERS-CoV) in 2012(Castilletti, et al 2005, Tseng, et al 2005).","author":[{"dropping-particle":"","family":"Chaidos","given":"Aristeidis","non-dropping-particle":"","parse-names":false,"suffix":""},{"dropping-particle":"","family":"Katsarou","given":"Alexia","non-dropping-particle":"","parse-names":false,"suffix":""},{"dropping-particle":"","family":"Mustafa","given":"Chira","non-dropping-particle":"","parse-names":false,"suffix":""},{"dropping-particle":"","family":"Milojkovic","given":"Dragana","non-dropping-particle":"","parse-names":false,"suffix":""},{"dropping-particle":"","family":"Karadimitris","given":"Anastasios","non-dropping-particle":"","parse-names":false,"suffix":""}],"container-title":"British Journal of Haematology","id":"ITEM-2","issued":{"date-parts":[["2020"]]},"page":"2019-2021","title":"Interleukin 6‐blockade treatment for severe COVID‐19 in two patients with multiple myeloma","type":"article-journal","volume":"2019"},"uris":["http://www.mendeley.com/documents/?uuid=f5b12c48-ec79-41a4-9f39-8e271c79f813"]}],"mendeley":{"formattedCitation":"(4,5)","plainTextFormattedCitation":"(4,5)","previouslyFormattedCitation":"(4,5)"},"properties":{"noteIndex":0},"schema":"https://github.com/citation-style-language/schema/raw/master/csl-citation.json"}</w:instrText>
      </w:r>
      <w:r w:rsidR="00564AAE">
        <w:fldChar w:fldCharType="separate"/>
      </w:r>
      <w:r w:rsidR="00417CBD" w:rsidRPr="00417CBD">
        <w:rPr>
          <w:noProof/>
        </w:rPr>
        <w:t>(4,5)</w:t>
      </w:r>
      <w:r w:rsidR="00564AAE">
        <w:fldChar w:fldCharType="end"/>
      </w:r>
      <w:r w:rsidR="007C5BE5">
        <w:t xml:space="preserve">. However, </w:t>
      </w:r>
      <w:r w:rsidR="007C5BE5" w:rsidRPr="00BB2BC6">
        <w:t>this approach</w:t>
      </w:r>
      <w:r w:rsidR="007C5BE5">
        <w:t xml:space="preserve"> directs therapy again a single facet of the immune response, and whilst IL</w:t>
      </w:r>
      <w:r w:rsidR="00923001">
        <w:t>-</w:t>
      </w:r>
      <w:r w:rsidR="007C5BE5">
        <w:t xml:space="preserve">6 is a </w:t>
      </w:r>
      <w:r w:rsidR="000E1A2C" w:rsidRPr="000E1A2C">
        <w:t>pleiotropic</w:t>
      </w:r>
      <w:r w:rsidR="007C5BE5">
        <w:t xml:space="preserve"> mediator of inflammatory signalling, this </w:t>
      </w:r>
      <w:r w:rsidR="00001A79">
        <w:t xml:space="preserve">strategy </w:t>
      </w:r>
      <w:r w:rsidR="00A069B8">
        <w:t>may be too targeted</w:t>
      </w:r>
      <w:r w:rsidR="00705F22">
        <w:t xml:space="preserve">. </w:t>
      </w:r>
      <w:r w:rsidR="003C4EDA">
        <w:t>There is considerable redundancy in cytokine and inflammatory pathways, so inhibiting a single molecule may permit collateral pathways to continue to drive the hyper</w:t>
      </w:r>
      <w:r w:rsidR="00CC64D9">
        <w:t>inflammatory</w:t>
      </w:r>
      <w:r w:rsidR="003C4EDA">
        <w:t xml:space="preserve"> response. </w:t>
      </w:r>
    </w:p>
    <w:p w14:paraId="1A1DA16E" w14:textId="79E3A847" w:rsidR="00705F22" w:rsidRDefault="00651B11" w:rsidP="008972B7">
      <w:pPr>
        <w:spacing w:line="480" w:lineRule="auto"/>
        <w:jc w:val="both"/>
      </w:pPr>
      <w:proofErr w:type="spellStart"/>
      <w:r>
        <w:t>Ruxolitinib</w:t>
      </w:r>
      <w:proofErr w:type="spellEnd"/>
      <w:r w:rsidR="00705F22" w:rsidRPr="000218E8">
        <w:t xml:space="preserve"> </w:t>
      </w:r>
      <w:r w:rsidR="00705F22">
        <w:t xml:space="preserve">is a </w:t>
      </w:r>
      <w:r w:rsidR="00705F22" w:rsidRPr="000218E8">
        <w:t>JAK1/JAK2 inhibitor</w:t>
      </w:r>
      <w:r w:rsidR="00705F22">
        <w:t xml:space="preserve"> indicated for the treatment of disease-related splenomegaly or constitutional symptoms in patients with myelofibrosis or polycythaemia </w:t>
      </w:r>
      <w:proofErr w:type="spellStart"/>
      <w:r w:rsidR="00705F22">
        <w:t>vera</w:t>
      </w:r>
      <w:proofErr w:type="spellEnd"/>
      <w:r w:rsidR="00705F22">
        <w:t xml:space="preserve">. </w:t>
      </w:r>
      <w:r w:rsidR="003C4EDA">
        <w:t xml:space="preserve">While </w:t>
      </w:r>
      <w:proofErr w:type="spellStart"/>
      <w:r w:rsidR="003C4EDA">
        <w:t>ruxolitininb</w:t>
      </w:r>
      <w:proofErr w:type="spellEnd"/>
      <w:r w:rsidR="003C4EDA">
        <w:t xml:space="preserve"> also significantly reduces </w:t>
      </w:r>
      <w:r w:rsidR="008E6825">
        <w:t xml:space="preserve">serum </w:t>
      </w:r>
      <w:r w:rsidR="003C4EDA">
        <w:t>IL-6 levels</w:t>
      </w:r>
      <w:r w:rsidR="008E6825">
        <w:t xml:space="preserve"> and c-reactive protein</w:t>
      </w:r>
      <w:r w:rsidR="003C4EDA">
        <w:t xml:space="preserve"> </w:t>
      </w:r>
      <w:r w:rsidR="00923001">
        <w:t xml:space="preserve">(CRP) </w:t>
      </w:r>
      <w:r w:rsidR="003C4EDA">
        <w:t>in patients with myelofibrosis</w:t>
      </w:r>
      <w:r w:rsidR="00564AAE">
        <w:t xml:space="preserve"> </w:t>
      </w:r>
      <w:r w:rsidR="00564AAE">
        <w:fldChar w:fldCharType="begin" w:fldLock="1"/>
      </w:r>
      <w:r w:rsidR="00417CBD">
        <w:instrText>ADDIN CSL_CITATION {"citationItems":[{"id":"ITEM-1","itemData":{"DOI":"10.1056/NEJMoa1110557","ISSN":"15334406","PMID":"22375971","abstract":"BACKGROUND: Ruxolitinib, a selective inhibitor of Janus kinase (JAK) 1 and 2, has clinically significant activity in myelofibrosis. METHODS: In this double-blind trial, we randomly assigned patients with intermediate-2 or highrisk myelofibrosis to twice-daily oral ruxolitinib (155 patients) or placebo (154 patients). The primary end point was the proportion of patients with a reduction in spleen volume of 35% or more at 24 weeks, assessed by means of magnetic resonance imaging. Secondary end points included the durability of response, changes in symptom burden (assessed by the total symptom score), and overall survival. RESULTS: The primary end point was reached in 41.9% of patients in the ruxolitinib group as compared with 0.7% in the placebo group (P&lt;0.001). A reduction in spleen volume was maintained in patients who received ruxolitinib; 67.0% of the patients with a response had the response for 48 weeks or more. There was an improvement of 50% or more in the total symptom score at 24 weeks in 45.9% of patients who received ruxolitinib as compared with 5.3% of patients who received placebo (P&lt;0.001). Thirteen deaths occurred in the ruxolitinib group as compared with 24 deaths in the placebo group (hazard ratio, 0.50; 95% confidence interval, 0.25 to 0.98; P = 0.04). The rate of discontinuation of the study drug because of adverse events was 11.0% in the ruxolitinib group and 10.6% in the placebo group. Among patients who received ruxolitinib, anemia and thrombocytopenia were the most common adverse events, but they rarely led to discontinuation of the drug (in one patient for each event). Two patients had transformation to acute myeloid leukemia; both were in the ruxolitinib group. CONCLUSIONS: Ruxolitinib, as compared with placebo, provided significant clinical benefits in patients with myelofibrosis by reducing spleen size, ameliorating debilitating myelofibrosis-related symptoms, and improving overall survival. These benefits came at the cost of more frequent anemia and thrombocytopenia in the early part of the treatment period. (Funded by Incyte; COMFORT-I ClinicalTrials.gov number, NCT00952289.). Copyright © 2012 Massachusetts Medical Society.","author":[{"dropping-particle":"","family":"Verstovsek","given":"Srdan","non-dropping-particle":"","parse-names":false,"suffix":""},{"dropping-particle":"","family":"Mesa","given":"Ruben A.","non-dropping-particle":"","parse-names":false,"suffix":""},{"dropping-particle":"","family":"Gotlib","given":"Jason","non-dropping-particle":"","parse-names":false,"suffix":""},{"dropping-particle":"","family":"Levy","given":"Richard S.","non-dropping-particle":"","parse-names":false,"suffix":""},{"dropping-particle":"","family":"Gupta","given":"Vikas","non-dropping-particle":"","parse-names":false,"suffix":""},{"dropping-particle":"","family":"DiPersio","given":"John F.","non-dropping-particle":"","parse-names":false,"suffix":""},{"dropping-particle":"V.","family":"Catalano","given":"John","non-dropping-particle":"","parse-names":false,"suffix":""},{"dropping-particle":"","family":"Deininger","given":"Michael","non-dropping-particle":"","parse-names":false,"suffix":""},{"dropping-particle":"","family":"Miller","given":"Carole","non-dropping-particle":"","parse-names":false,"suffix":""},{"dropping-particle":"","family":"Silver","given":"Richard T.","non-dropping-particle":"","parse-names":false,"suffix":""},{"dropping-particle":"","family":"Talpaz","given":"Moshe","non-dropping-particle":"","parse-names":false,"suffix":""},{"dropping-particle":"","family":"Winton","given":"Elliott F.","non-dropping-particle":"","parse-names":false,"suffix":""},{"dropping-particle":"","family":"Harvey","given":"Jimmie H.","non-dropping-particle":"","parse-names":false,"suffix":""},{"dropping-particle":"","family":"Arcasoy","given":"Murat O.","non-dropping-particle":"","parse-names":false,"suffix":""},{"dropping-particle":"","family":"Hexner","given":"Elizabeth","non-dropping-particle":"","parse-names":false,"suffix":""},{"dropping-particle":"","family":"Lyons","given":"Roger M.","non-dropping-particle":"","parse-names":false,"suffix":""},{"dropping-particle":"","family":"Paquette","given":"Ronald","non-dropping-particle":"","parse-names":false,"suffix":""},{"dropping-particle":"","family":"Raza","given":"Azra","non-dropping-particle":"","parse-names":false,"suffix":""},{"dropping-particle":"","family":"Vaddi","given":"Kris","non-dropping-particle":"","parse-names":false,"suffix":""},{"dropping-particle":"","family":"Erickson-Viitanen","given":"Susan","non-dropping-particle":"","parse-names":false,"suffix":""},{"dropping-particle":"","family":"Koumenis","given":"Iphigenia L.","non-dropping-particle":"","parse-names":false,"suffix":""},{"dropping-particle":"","family":"Sun","given":"William","non-dropping-particle":"","parse-names":false,"suffix":""},{"dropping-particle":"","family":"Sandor","given":"Victor","non-dropping-particle":"","parse-names":false,"suffix":""},{"dropping-particle":"","family":"Kantarjian","given":"Hagop M.","non-dropping-particle":"","parse-names":false,"suffix":""}],"container-title":"New England Journal of Medicine","id":"ITEM-1","issue":"9","issued":{"date-parts":[["2012"]]},"page":"799-807","title":"A double-blind, placebo-controlled trial of ruxolitinib for myelofibrosis","type":"article-journal","volume":"366"},"uris":["http://www.mendeley.com/documents/?uuid=e0f355a4-07e4-4dfa-b664-71ecd07baa20"]}],"mendeley":{"formattedCitation":"(6)","plainTextFormattedCitation":"(6)","previouslyFormattedCitation":"(6)"},"properties":{"noteIndex":0},"schema":"https://github.com/citation-style-language/schema/raw/master/csl-citation.json"}</w:instrText>
      </w:r>
      <w:r w:rsidR="00564AAE">
        <w:fldChar w:fldCharType="separate"/>
      </w:r>
      <w:r w:rsidR="00417CBD" w:rsidRPr="00417CBD">
        <w:rPr>
          <w:noProof/>
        </w:rPr>
        <w:t>(6)</w:t>
      </w:r>
      <w:r w:rsidR="00564AAE">
        <w:fldChar w:fldCharType="end"/>
      </w:r>
      <w:r w:rsidR="008E6825">
        <w:t>, the central role of the J</w:t>
      </w:r>
      <w:r w:rsidR="003C4EDA">
        <w:t>AK/STAT pathways</w:t>
      </w:r>
      <w:r w:rsidR="00923001">
        <w:t xml:space="preserve"> as</w:t>
      </w:r>
      <w:r w:rsidR="008E6825">
        <w:t xml:space="preserve"> </w:t>
      </w:r>
      <w:r w:rsidR="003C4EDA">
        <w:t>downstream effectors of the inflammatory response</w:t>
      </w:r>
      <w:r w:rsidR="008E6825">
        <w:t xml:space="preserve"> means the end-effector response</w:t>
      </w:r>
      <w:r w:rsidR="00D13FB2">
        <w:t>s</w:t>
      </w:r>
      <w:r w:rsidR="008E6825">
        <w:t xml:space="preserve"> </w:t>
      </w:r>
      <w:r w:rsidR="00923001">
        <w:t>are more far reaching</w:t>
      </w:r>
      <w:r w:rsidR="003C4EDA">
        <w:t>.  JAK1 and JAK2 are critical regulators of IL</w:t>
      </w:r>
      <w:r w:rsidR="008E6825">
        <w:t>-</w:t>
      </w:r>
      <w:r w:rsidR="003C4EDA">
        <w:t>2, IL</w:t>
      </w:r>
      <w:r w:rsidR="008E6825">
        <w:t>-</w:t>
      </w:r>
      <w:r w:rsidR="003C4EDA">
        <w:t>5, IL</w:t>
      </w:r>
      <w:r w:rsidR="008E6825">
        <w:t>-</w:t>
      </w:r>
      <w:r w:rsidR="003C4EDA">
        <w:t>10 as well as many other cytokine implicated in the inflammatory response seen in COVID</w:t>
      </w:r>
      <w:r w:rsidR="00923001">
        <w:t>-</w:t>
      </w:r>
      <w:r w:rsidR="003C4EDA">
        <w:t>19</w:t>
      </w:r>
      <w:r w:rsidR="00564AAE">
        <w:t xml:space="preserve"> </w:t>
      </w:r>
      <w:r w:rsidR="00564AAE">
        <w:fldChar w:fldCharType="begin" w:fldLock="1"/>
      </w:r>
      <w:r w:rsidR="00417CBD">
        <w:instrText>ADDIN CSL_CITATION {"citationItems":[{"id":"ITEM-1","itemData":{"DOI":"10.1016/S0140-6736(20)30183-5","ISSN":"1474547X","PMID":"31986264","abstract":"Background: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Huang","given":"Chaolin","non-dropping-particle":"","parse-names":false,"suffix":""},{"dropping-particle":"","family":"Wang","given":"Yeming","non-dropping-particle":"","parse-names":false,"suffix":""},{"dropping-particle":"","family":"Li","given":"Xingwang","non-dropping-particle":"","parse-names":false,"suffix":""},{"dropping-particle":"","family":"Ren","given":"Lili","non-dropping-particle":"","parse-names":false,"suffix":""},{"dropping-particle":"","family":"Zhao","given":"Jianping","non-dropping-particle":"","parse-names":false,"suffix":""},{"dropping-particle":"","family":"Hu","given":"Yi","non-dropping-particle":"","parse-names":false,"suffix":""},{"dropping-particle":"","family":"Zhang","given":"Li","non-dropping-particle":"","parse-names":false,"suffix":""},{"dropping-particle":"","family":"Fan","given":"Guohui","non-dropping-particle":"","parse-names":false,"suffix":""},{"dropping-particle":"","family":"Xu","given":"Jiuyang","non-dropping-particle":"","parse-names":false,"suffix":""},{"dropping-particle":"","family":"Gu","given":"Xiaoying","non-dropping-particle":"","parse-names":false,"suffix":""},{"dropping-particle":"","family":"Cheng","given":"Zhenshun","non-dropping-particle":"","parse-names":false,"suffix":""},{"dropping-particle":"","family":"Yu","given":"Ting","non-dropping-particle":"","parse-names":false,"suffix":""},{"dropping-particle":"","family":"Xia","given":"Jiaan","non-dropping-particle":"","parse-names":false,"suffix":""},{"dropping-particle":"","family":"Wei","given":"Yuan","non-dropping-particle":"","parse-names":false,"suffix":""},{"dropping-particle":"","family":"Wu","given":"Wenjuan","non-dropping-particle":"","parse-names":false,"suffix":""},{"dropping-particle":"","family":"Xie","given":"Xuelei","non-dropping-particle":"","parse-names":false,"suffix":""},{"dropping-particle":"","family":"Yin","given":"Wen","non-dropping-particle":"","parse-names":false,"suffix":""},{"dropping-particle":"","family":"Li","given":"Hui","non-dropping-particle":"","parse-names":false,"suffix":""},{"dropping-particle":"","family":"Liu","given":"Min","non-dropping-particle":"","parse-names":false,"suffix":""},{"dropping-particle":"","family":"Xiao","given":"Yan","non-dropping-particle":"","parse-names":false,"suffix":""},{"dropping-particle":"","family":"Gao","given":"Hong","non-dropping-particle":"","parse-names":false,"suffix":""},{"dropping-particle":"","family":"Guo","given":"Li","non-dropping-particle":"","parse-names":false,"suffix":""},{"dropping-particle":"","family":"Xie","given":"Jungang","non-dropping-particle":"","parse-names":false,"suffix":""},{"dropping-particle":"","family":"Wang","given":"Guangfa","non-dropping-particle":"","parse-names":false,"suffix":""},{"dropping-particle":"","family":"Jiang","given":"Rongmeng","non-dropping-particle":"","parse-names":false,"suffix":""},{"dropping-particle":"","family":"Gao","given":"Zhancheng","non-dropping-particle":"","parse-names":false,"suffix":""},{"dropping-particle":"","family":"Jin","given":"Qi","non-dropping-particle":"","parse-names":false,"suffix":""},{"dropping-particle":"","family":"Wang","given":"Jianwei","non-dropping-particle":"","parse-names":false,"suffix":""},{"dropping-particle":"","family":"Cao","given":"Bin","non-dropping-particle":"","parse-names":false,"suffix":""}],"container-title":"The Lancet","id":"ITEM-1","issue":"10223","issued":{"date-parts":[["2020"]]},"page":"497-506","title":"Clinical features of patients infected with 2019 novel coronavirus in Wuhan, China","type":"article-journal","volume":"395"},"uris":["http://www.mendeley.com/documents/?uuid=0c65cedc-d838-4051-b2b9-98a4625fb4ac"]},{"id":"ITEM-2","itemData":{"DOI":"10.1074/jbc.R700016200","ISSN":"00219258","author":[{"dropping-particle":"","family":"Schindler","given":"Christian","non-dropping-particle":"","parse-names":false,"suffix":""},{"dropping-particle":"","family":"Levy","given":"David E.","non-dropping-particle":"","parse-names":false,"suffix":""},{"dropping-particle":"","family":"Decker","given":"Thomas","non-dropping-particle":"","parse-names":false,"suffix":""}],"container-title":"Journal of Biological Chemistry","id":"ITEM-2","issue":"28","issued":{"date-parts":[["2007"]]},"page":"20059-20063","title":"JAK-STAT signaling: From interferons to cytokines","type":"article-journal","volume":"282"},"uris":["http://www.mendeley.com/documents/?uuid=eed37ca7-ee2f-42a6-ac2e-ec76b7a1de31"]}],"mendeley":{"formattedCitation":"(3,7)","plainTextFormattedCitation":"(3,7)","previouslyFormattedCitation":"(3,7)"},"properties":{"noteIndex":0},"schema":"https://github.com/citation-style-language/schema/raw/master/csl-citation.json"}</w:instrText>
      </w:r>
      <w:r w:rsidR="00564AAE">
        <w:fldChar w:fldCharType="separate"/>
      </w:r>
      <w:r w:rsidR="00417CBD" w:rsidRPr="00417CBD">
        <w:rPr>
          <w:noProof/>
        </w:rPr>
        <w:t>(3,7)</w:t>
      </w:r>
      <w:r w:rsidR="00564AAE">
        <w:fldChar w:fldCharType="end"/>
      </w:r>
      <w:r w:rsidR="008E6825">
        <w:t>. This,</w:t>
      </w:r>
      <w:r w:rsidR="00564AAE">
        <w:t xml:space="preserve"> </w:t>
      </w:r>
      <w:r w:rsidR="008E6825">
        <w:t xml:space="preserve">coupled with evidence of a rapid mode of actions, </w:t>
      </w:r>
      <w:r w:rsidR="00D13FB2">
        <w:t>with</w:t>
      </w:r>
      <w:r w:rsidR="008E6825">
        <w:t xml:space="preserve"> </w:t>
      </w:r>
      <w:r w:rsidR="003C4EDA">
        <w:t xml:space="preserve">reports of cytokine-induced STAT3 phosphorylation being inhibited within 2 hours of administration </w:t>
      </w:r>
      <w:r w:rsidR="00564AAE">
        <w:fldChar w:fldCharType="begin" w:fldLock="1"/>
      </w:r>
      <w:r w:rsidR="00417CBD">
        <w:instrText>ADDIN CSL_CITATION {"citationItems":[{"id":"ITEM-1","itemData":{"DOI":"10.1182/blood-2011-12-400051.This","ISBN":"0006-4971","ISSN":"1528-0020","PMID":"22422826","abstract":"Background: The JAK family of enzymes has a central role in normal hematopoiesis and immune response. Mutations of JAK2 gene that result in constitutive activation of JAK-STAT signaling and enhanced proliferation and survival signals have been described. This aberrant signaling pathway has been clearly demonstrated in myeloproliferative disorders (MPDs), but also reported in other hematological cancers including acute leukemias. Aim: To explore the activity of INCB018424 in patients (pts) with advanced hematological cancers Method: We are conducting a phase II study of INCB018424 in pts with relapsed/refractory leukemias for which no standard therapies are anticipated to result in a durable remission. Pts with performance status 0 - 2 with adequate organ function and no active, uncontrolled intercurrent illness or infection, receive INCB018424 orally at 25 mg twice daily for 4 weeks (one cycle). Response is assessed after every 2 cycles of treatment. Responding pts or pts with stable disease are allowed to continue until progression. Dose escalation to 50 mg twice daily is permitted in pts demonstrating a benefit. Result: Thirty eight pts [median age, 69 years; (range, 45-88)] with relapsed and refractory leukemias (15 sAML, 13 AML, 3 ALL, 1 MDS, 4 CMML &amp; 2 CML) have been treated. The median number of prior therapies is 2 (range, 1 to 6). Eleven pts (7 with sAML, 2 with AML, and 2 with CMML) had the JAK2 V617F mutation. Cytogenetic analysis showed diploid karyotype in 11, chromosome 5 and 7 abnormalities in 7, t(2;9) in 1, Philadelphia chromosome in 2 and other various abnormalities in 17. Pts who completed 2 cycles of INCB018424 are defined as having stable disease (SD). Pts have received a median of 2 cycles of therapy (range, 1 -18 cycles) with 15 pts having SD or better (5 for 2 cycles, 4 for 3 cycles, 3 for 4 cycles, 2 for 5 cycles and 1 for 18 cycles). Among these, 3 pts (2 with sAML and 1 with CMML with JAK2 mutation) have had a significant reduction in their bone marrow blasts (to &lt; 5%) associated with a significant decrease in spleen size and clinical improvement. Three pts are too early for assessment of response. Pts having benefit include sAML (9, or 60% of pts with sAML), AML (2, 15%), CMML (3, 75%) &amp; MDS (1, 100%). Overall, 22 pts have had no response or progressed (12 after 1 cycle, 4 after 2 cycles, 2 after 3 cycles, 2 after 4 cycles, and 2 after 5 cycles). Nine pts died from causes unrelated to the treatment with INCB018424. Four pts co…","author":[{"dropping-particle":"","family":"Eghtedar","given":"A","non-dropping-particle":"","parse-names":false,"suffix":""},{"dropping-particle":"","family":"Verstovsek","given":"S","non-dropping-particle":"","parse-names":false,"suffix":""},{"dropping-particle":"","family":"Cortes","given":"J E","non-dropping-particle":"","parse-names":false,"suffix":""},{"dropping-particle":"","family":"Estrov","given":"Z","non-dropping-particle":"","parse-names":false,"suffix":""},{"dropping-particle":"","family":"Burger","given":"J a","non-dropping-particle":"","parse-names":false,"suffix":""},{"dropping-particle":"","family":"Bivins","given":"C","non-dropping-particle":"","parse-names":false,"suffix":""},{"dropping-particle":"","family":"Faderl","given":"S","non-dropping-particle":"","parse-names":false,"suffix":""},{"dropping-particle":"","family":"Ferrajoli","given":"A","non-dropping-particle":"","parse-names":false,"suffix":""},{"dropping-particle":"","family":"Borthakur","given":"G","non-dropping-particle":"","parse-names":false,"suffix":""},{"dropping-particle":"","family":"George","given":"S","non-dropping-particle":"","parse-names":false,"suffix":""},{"dropping-particle":"","family":"Newton","given":"R","non-dropping-particle":"","parse-names":false,"suffix":""},{"dropping-particle":"","family":"Kantarjian","given":"H","non-dropping-particle":"","parse-names":false,"suffix":""},{"dropping-particle":"","family":"Ravandi","given":"F","non-dropping-particle":"","parse-names":false,"suffix":""}],"container-title":"Blood","id":"ITEM-1","issue":"20","issued":{"date-parts":[["2010"]]},"page":"4614-4619","title":"Phase II study of the JAK2 inhibitor, ruxolitinib, in patients with refractory leukemias including postmyeloproliferative neoplasm acute myeloid leukemia","type":"article-journal","volume":"116"},"uris":["http://www.mendeley.com/documents/?uuid=20066321-f28c-4e55-b945-c4e78b4df544"]}],"mendeley":{"formattedCitation":"(8)","plainTextFormattedCitation":"(8)","previouslyFormattedCitation":"(8)"},"properties":{"noteIndex":0},"schema":"https://github.com/citation-style-language/schema/raw/master/csl-citation.json"}</w:instrText>
      </w:r>
      <w:r w:rsidR="00564AAE">
        <w:fldChar w:fldCharType="separate"/>
      </w:r>
      <w:r w:rsidR="00417CBD" w:rsidRPr="00417CBD">
        <w:rPr>
          <w:noProof/>
        </w:rPr>
        <w:t>(8)</w:t>
      </w:r>
      <w:r w:rsidR="00564AAE">
        <w:fldChar w:fldCharType="end"/>
      </w:r>
      <w:r w:rsidR="00D13FB2">
        <w:t>,</w:t>
      </w:r>
      <w:r w:rsidR="008E6825">
        <w:t xml:space="preserve"> means </w:t>
      </w:r>
      <w:proofErr w:type="spellStart"/>
      <w:r w:rsidR="008E6825">
        <w:t>ruxolitinib</w:t>
      </w:r>
      <w:proofErr w:type="spellEnd"/>
      <w:r w:rsidR="008E6825">
        <w:t xml:space="preserve"> may offer therapeutic potential in COVID</w:t>
      </w:r>
      <w:r w:rsidR="00923001">
        <w:t>-</w:t>
      </w:r>
      <w:r w:rsidR="008E6825">
        <w:t>19 hyperinflammation.</w:t>
      </w:r>
    </w:p>
    <w:p w14:paraId="722F5731" w14:textId="3162A14E" w:rsidR="00D13FB2" w:rsidRDefault="00923001" w:rsidP="008972B7">
      <w:pPr>
        <w:spacing w:line="480" w:lineRule="auto"/>
        <w:jc w:val="both"/>
      </w:pPr>
      <w:r>
        <w:t xml:space="preserve">We report the case of 53-year-old man who had a </w:t>
      </w:r>
      <w:proofErr w:type="spellStart"/>
      <w:r w:rsidR="00BB2BC6">
        <w:t>haploidential</w:t>
      </w:r>
      <w:proofErr w:type="spellEnd"/>
      <w:r w:rsidR="00AA53FA">
        <w:t xml:space="preserve"> </w:t>
      </w:r>
      <w:r>
        <w:t>stem cell transplant for chronic myeloid leukaemia in blast phase</w:t>
      </w:r>
      <w:r w:rsidR="00AA53FA">
        <w:t xml:space="preserve"> in 2017</w:t>
      </w:r>
      <w:r>
        <w:t xml:space="preserve">. His post-transplant course had been complicated by both </w:t>
      </w:r>
      <w:r>
        <w:lastRenderedPageBreak/>
        <w:t xml:space="preserve">acute and chronic graft-versus-host disease requiring multiple treatments including corticosteroids, infliximab, </w:t>
      </w:r>
      <w:proofErr w:type="spellStart"/>
      <w:r>
        <w:t>etanercerpt</w:t>
      </w:r>
      <w:proofErr w:type="spellEnd"/>
      <w:r>
        <w:t xml:space="preserve"> and mesenchymal stromal cells, but was most recently quiescent with corticosteroid, ciclosporin and mycophenolate</w:t>
      </w:r>
      <w:r w:rsidR="00AA53FA">
        <w:t xml:space="preserve"> maintenance</w:t>
      </w:r>
      <w:r>
        <w:t xml:space="preserve">. He had a history of diabetes which had been poorly controlled recently because </w:t>
      </w:r>
      <w:r w:rsidR="00AA53FA">
        <w:t>of</w:t>
      </w:r>
      <w:r>
        <w:t xml:space="preserve"> </w:t>
      </w:r>
      <w:r w:rsidR="00AA53FA">
        <w:t>ongoi</w:t>
      </w:r>
      <w:r w:rsidR="00BB2BC6">
        <w:t>n</w:t>
      </w:r>
      <w:r w:rsidR="00AA53FA">
        <w:t xml:space="preserve">g </w:t>
      </w:r>
      <w:r>
        <w:t>corticosteroids</w:t>
      </w:r>
      <w:r w:rsidR="00AA53FA">
        <w:t xml:space="preserve"> therapy</w:t>
      </w:r>
      <w:r>
        <w:t>, but otherwise had a good performance status. He presented with a 5-day history of dry cough and breathlessness</w:t>
      </w:r>
      <w:r w:rsidR="00D13FB2">
        <w:t>,</w:t>
      </w:r>
      <w:r>
        <w:t xml:space="preserve"> and on admission his was breathless at rest, with a respiratory rate of 20 and oxygen saturations of 95% on air. His chest x-ray showed basal and patchy peripheral ground-glass shadowing, consistent with mild COVID19, and a throat swab was positive for SARS-CoV2 by PCR. Despite empirical antibiotics</w:t>
      </w:r>
      <w:r w:rsidR="00BB2BC6">
        <w:t>,</w:t>
      </w:r>
      <w:r>
        <w:t xml:space="preserve"> antifungals</w:t>
      </w:r>
      <w:r w:rsidR="00BB2BC6">
        <w:t xml:space="preserve"> and intermediate dose low-molecular weight heparin as per institutional protocol, </w:t>
      </w:r>
      <w:r>
        <w:t xml:space="preserve">over the next 48 hours he deteriorated significantly with </w:t>
      </w:r>
      <w:r w:rsidR="00AA53FA">
        <w:t>tachypnoea</w:t>
      </w:r>
      <w:r>
        <w:t xml:space="preserve">, increasing oxygen requirements and progressive ground-glass shadowing on x-ray. He had evidence of an inflammatory response with raised </w:t>
      </w:r>
      <w:r w:rsidR="00AA53FA">
        <w:t>D-dimer</w:t>
      </w:r>
      <w:r w:rsidR="00BB2BC6">
        <w:t xml:space="preserve">s of </w:t>
      </w:r>
      <w:r w:rsidR="00FD4AC6">
        <w:t>1146</w:t>
      </w:r>
      <w:r w:rsidR="00BB2BC6">
        <w:t xml:space="preserve">ug/L </w:t>
      </w:r>
      <w:r>
        <w:t>and ferritin of 4191ug/L</w:t>
      </w:r>
      <w:r w:rsidR="00D13FB2">
        <w:t>,</w:t>
      </w:r>
      <w:r>
        <w:t xml:space="preserve"> </w:t>
      </w:r>
      <w:r w:rsidR="00AA53FA">
        <w:t>although his CRP was only mildly elevated at 33mg/</w:t>
      </w:r>
      <w:proofErr w:type="gramStart"/>
      <w:r w:rsidR="00AA53FA">
        <w:t>l .</w:t>
      </w:r>
      <w:proofErr w:type="gramEnd"/>
      <w:r w:rsidR="00AA53FA">
        <w:t xml:space="preserve"> He </w:t>
      </w:r>
      <w:r>
        <w:t xml:space="preserve">received two doses of 8mg/kg tocilizumab 24 hours </w:t>
      </w:r>
      <w:r w:rsidR="00AA53FA">
        <w:t>apart and w</w:t>
      </w:r>
      <w:r>
        <w:t>hilst there was a rapid and sustained fall in his CRP, his ferritin continued to rise to 4600ug/L, and his respiratory function continued to deteriorate. Repeat imaging showed progressive ground-glass changes consistent with severe COVID-19, and he required high flow oxygen (</w:t>
      </w:r>
      <w:proofErr w:type="spellStart"/>
      <w:r>
        <w:t>Optiflow</w:t>
      </w:r>
      <w:r w:rsidRPr="00923001">
        <w:rPr>
          <w:b/>
          <w:bCs/>
          <w:vertAlign w:val="superscript"/>
        </w:rPr>
        <w:t>TM</w:t>
      </w:r>
      <w:proofErr w:type="spellEnd"/>
      <w:r>
        <w:t>) with 60% FiO2. Given the progressive</w:t>
      </w:r>
      <w:r w:rsidR="00FD4AC6">
        <w:t xml:space="preserve"> </w:t>
      </w:r>
      <w:r>
        <w:t xml:space="preserve">disease he </w:t>
      </w:r>
      <w:r w:rsidR="00AA53FA">
        <w:t xml:space="preserve">initially </w:t>
      </w:r>
      <w:r>
        <w:t xml:space="preserve">received 5mg twice daily of </w:t>
      </w:r>
      <w:proofErr w:type="spellStart"/>
      <w:r>
        <w:t>ruxolitinib</w:t>
      </w:r>
      <w:proofErr w:type="spellEnd"/>
      <w:r>
        <w:t xml:space="preserve">, which was escalated to 10mg twice daily after 6 doses, by which time he required continuous positive airway pressure (CPAP). Following the introduction of 10mg </w:t>
      </w:r>
      <w:proofErr w:type="spellStart"/>
      <w:r>
        <w:t>ruxolitinib</w:t>
      </w:r>
      <w:proofErr w:type="spellEnd"/>
      <w:r>
        <w:t xml:space="preserve">, there was a contemporaneous improvement in respiratory function, allowing a reduction in level of respiratory support to from CPAP to </w:t>
      </w:r>
      <w:proofErr w:type="spellStart"/>
      <w:r>
        <w:t>optiflow</w:t>
      </w:r>
      <w:proofErr w:type="spellEnd"/>
      <w:r>
        <w:t xml:space="preserve"> then face mask and subsequently nasal cannula, with a corresponding reduction in FiO2</w:t>
      </w:r>
      <w:r w:rsidR="00D13FB2">
        <w:t xml:space="preserve"> (figure 1a)</w:t>
      </w:r>
      <w:r>
        <w:t>, and gradual decline in his serum ferritin</w:t>
      </w:r>
      <w:r w:rsidR="00D13FB2">
        <w:t xml:space="preserve"> (figure 1b)</w:t>
      </w:r>
      <w:r>
        <w:t xml:space="preserve">. No </w:t>
      </w:r>
      <w:r w:rsidR="007C5C36">
        <w:t xml:space="preserve">concurrent improvement </w:t>
      </w:r>
      <w:r>
        <w:t xml:space="preserve">could be made with any antibiotic, antifungal or other factors. </w:t>
      </w:r>
      <w:r w:rsidR="00FD4AC6">
        <w:t xml:space="preserve">His platelets were 77x109/L on the day of initiating </w:t>
      </w:r>
      <w:proofErr w:type="spellStart"/>
      <w:r w:rsidR="00FD4AC6">
        <w:t>ruxolitinib</w:t>
      </w:r>
      <w:proofErr w:type="spellEnd"/>
      <w:r w:rsidR="00FD4AC6">
        <w:t xml:space="preserve"> and did not fall below 50x10^9/L for the duration of treatment. He did not develop </w:t>
      </w:r>
      <w:proofErr w:type="spellStart"/>
      <w:r w:rsidR="00FD4AC6">
        <w:t>cytopaenias</w:t>
      </w:r>
      <w:proofErr w:type="spellEnd"/>
      <w:r w:rsidR="00FD4AC6">
        <w:t xml:space="preserve"> in any other </w:t>
      </w:r>
      <w:proofErr w:type="spellStart"/>
      <w:r w:rsidR="00FD4AC6">
        <w:t>haematopoetic</w:t>
      </w:r>
      <w:proofErr w:type="spellEnd"/>
      <w:r w:rsidR="00FD4AC6">
        <w:t xml:space="preserve"> lineages and liver and renal function remained stable. Despite </w:t>
      </w:r>
      <w:r w:rsidR="00D13FB2">
        <w:t>concomitant</w:t>
      </w:r>
      <w:r w:rsidR="00FD4AC6">
        <w:t xml:space="preserve"> intermediate dose LMWH, he did not manifest any haemorrhagic complications. </w:t>
      </w:r>
      <w:r>
        <w:t xml:space="preserve">He continued to </w:t>
      </w:r>
      <w:r w:rsidR="007C5C36">
        <w:lastRenderedPageBreak/>
        <w:t>recover</w:t>
      </w:r>
      <w:r>
        <w:t xml:space="preserve"> and was discharged home 28 days after admission, </w:t>
      </w:r>
      <w:r w:rsidR="007C5C36">
        <w:t xml:space="preserve">having </w:t>
      </w:r>
      <w:r w:rsidR="00FD4AC6">
        <w:t>c</w:t>
      </w:r>
      <w:r>
        <w:t xml:space="preserve">ompleted 21 days of </w:t>
      </w:r>
      <w:proofErr w:type="spellStart"/>
      <w:r>
        <w:t>ruxolitinib</w:t>
      </w:r>
      <w:proofErr w:type="spellEnd"/>
      <w:r>
        <w:t xml:space="preserve">, with no flare of symptoms on cessation. </w:t>
      </w:r>
    </w:p>
    <w:p w14:paraId="49E91553" w14:textId="42E454E9" w:rsidR="0087085B" w:rsidRDefault="00923001" w:rsidP="008972B7">
      <w:pPr>
        <w:spacing w:line="480" w:lineRule="auto"/>
        <w:jc w:val="both"/>
      </w:pPr>
      <w:r>
        <w:t xml:space="preserve">Our report suggests that patients with evidence of a hyperinflammatory response in severe COVID19 resulting in respiratory failure that does not respond to IL-6 blockade may respond to biological agents targeting alternative components of the inflammatory cascade. Interesting, despite clear evidence of an inflammatory response to SARS-CoV2 this patient had a disproportionately raised ferritin to CRP, which may be accounted for by his existing immunosuppression, and may also identify a group of patients in whom more promiscuous immunosuppression is necessary rather than targeted IL-6 blockade. </w:t>
      </w:r>
    </w:p>
    <w:p w14:paraId="4C9A4410" w14:textId="77777777" w:rsidR="00024625" w:rsidRDefault="00024625" w:rsidP="008972B7">
      <w:pPr>
        <w:spacing w:line="480" w:lineRule="auto"/>
        <w:jc w:val="both"/>
      </w:pPr>
    </w:p>
    <w:p w14:paraId="28A65016" w14:textId="77777777" w:rsidR="00CC64D9" w:rsidRPr="00416D92" w:rsidRDefault="00CC64D9" w:rsidP="008972B7">
      <w:pPr>
        <w:spacing w:line="480" w:lineRule="auto"/>
        <w:jc w:val="both"/>
        <w:rPr>
          <w:b/>
          <w:bCs/>
        </w:rPr>
      </w:pPr>
      <w:r w:rsidRPr="00416D92">
        <w:rPr>
          <w:b/>
          <w:bCs/>
        </w:rPr>
        <w:t xml:space="preserve">Acknowledgements </w:t>
      </w:r>
    </w:p>
    <w:p w14:paraId="1D7A1107" w14:textId="572A5416" w:rsidR="00CC64D9" w:rsidRDefault="00CC64D9" w:rsidP="008972B7">
      <w:pPr>
        <w:spacing w:line="480" w:lineRule="auto"/>
        <w:jc w:val="both"/>
      </w:pPr>
      <w:r>
        <w:t xml:space="preserve">We thank the nurses, doctors and allied healthcare professionals in the haematology and CPAP unit at Hammersmith Hospital. </w:t>
      </w:r>
      <w:r w:rsidR="00C82045">
        <w:t xml:space="preserve">AJI and JFA </w:t>
      </w:r>
      <w:r w:rsidR="00C82045" w:rsidRPr="005813B4">
        <w:rPr>
          <w:rFonts w:eastAsia="Times"/>
          <w:color w:val="000000" w:themeColor="text1"/>
        </w:rPr>
        <w:t>acknowledge support from the NIHR and Imperial Biomedical Research Centre (BRC).</w:t>
      </w:r>
    </w:p>
    <w:p w14:paraId="36C41F56" w14:textId="77777777" w:rsidR="00416D92" w:rsidRDefault="00416D92" w:rsidP="008972B7">
      <w:pPr>
        <w:spacing w:line="480" w:lineRule="auto"/>
        <w:jc w:val="both"/>
      </w:pPr>
    </w:p>
    <w:p w14:paraId="1E7AAE68" w14:textId="5A7E3500" w:rsidR="00CC64D9" w:rsidRPr="00416D92" w:rsidRDefault="00CC64D9" w:rsidP="008972B7">
      <w:pPr>
        <w:spacing w:line="480" w:lineRule="auto"/>
        <w:jc w:val="both"/>
        <w:rPr>
          <w:b/>
          <w:bCs/>
        </w:rPr>
      </w:pPr>
      <w:r w:rsidRPr="00416D92">
        <w:rPr>
          <w:b/>
          <w:bCs/>
        </w:rPr>
        <w:t xml:space="preserve">Author Contributions </w:t>
      </w:r>
    </w:p>
    <w:p w14:paraId="2F882C20" w14:textId="502767C8" w:rsidR="00416D92" w:rsidRDefault="00CC64D9" w:rsidP="008972B7">
      <w:pPr>
        <w:spacing w:line="480" w:lineRule="auto"/>
        <w:jc w:val="both"/>
      </w:pPr>
      <w:r>
        <w:t>AJI, LBC, SM, EB, CCT, GS, JFA and DM were involved in the care of the patient and contributed to data collection and analysis. AJI and DM wrote the manuscript, and all authors reviewed, edited and approved the final draft.</w:t>
      </w:r>
    </w:p>
    <w:p w14:paraId="6E276459" w14:textId="77777777" w:rsidR="00024625" w:rsidRDefault="00024625" w:rsidP="008972B7">
      <w:pPr>
        <w:spacing w:line="480" w:lineRule="auto"/>
        <w:jc w:val="both"/>
        <w:rPr>
          <w:b/>
          <w:bCs/>
        </w:rPr>
      </w:pPr>
    </w:p>
    <w:p w14:paraId="394D335E" w14:textId="5C8B7C2B" w:rsidR="00416D92" w:rsidRPr="00416D92" w:rsidRDefault="00416D92" w:rsidP="008972B7">
      <w:pPr>
        <w:spacing w:line="480" w:lineRule="auto"/>
        <w:jc w:val="both"/>
        <w:rPr>
          <w:b/>
          <w:bCs/>
        </w:rPr>
      </w:pPr>
      <w:r w:rsidRPr="00416D92">
        <w:rPr>
          <w:b/>
          <w:bCs/>
        </w:rPr>
        <w:t xml:space="preserve">Conflict of interest </w:t>
      </w:r>
    </w:p>
    <w:p w14:paraId="65979666" w14:textId="60F7898B" w:rsidR="00416D92" w:rsidRDefault="00416D92" w:rsidP="008972B7">
      <w:pPr>
        <w:spacing w:line="480" w:lineRule="auto"/>
        <w:jc w:val="both"/>
      </w:pPr>
      <w:r>
        <w:t>EB is an employee of</w:t>
      </w:r>
      <w:r w:rsidRPr="00416D92">
        <w:t xml:space="preserve"> F. Hoffmann-La Roche Ltd</w:t>
      </w:r>
      <w:r>
        <w:t>. The other authors have no</w:t>
      </w:r>
      <w:r w:rsidRPr="00416D92">
        <w:t xml:space="preserve"> conflicts of interest </w:t>
      </w:r>
      <w:r>
        <w:t xml:space="preserve">to </w:t>
      </w:r>
      <w:r w:rsidRPr="00416D92">
        <w:t>disclosed</w:t>
      </w:r>
      <w:r>
        <w:t>.</w:t>
      </w:r>
    </w:p>
    <w:p w14:paraId="5531F659" w14:textId="0FA5D952" w:rsidR="00024625" w:rsidRPr="00024625" w:rsidRDefault="00024625" w:rsidP="00024625">
      <w:pPr>
        <w:spacing w:line="480" w:lineRule="auto"/>
        <w:jc w:val="both"/>
        <w:rPr>
          <w:b/>
          <w:bCs/>
        </w:rPr>
      </w:pPr>
      <w:r w:rsidRPr="00024625">
        <w:rPr>
          <w:b/>
          <w:bCs/>
        </w:rPr>
        <w:lastRenderedPageBreak/>
        <w:t xml:space="preserve">Figure Legend </w:t>
      </w:r>
    </w:p>
    <w:p w14:paraId="78C49AAE" w14:textId="533A4B58" w:rsidR="00024625" w:rsidRDefault="00024625" w:rsidP="00024625">
      <w:pPr>
        <w:spacing w:line="480" w:lineRule="auto"/>
        <w:jc w:val="both"/>
      </w:pPr>
      <w:r>
        <w:t>Figure</w:t>
      </w:r>
      <w:r w:rsidR="00E57758">
        <w:t xml:space="preserve"> 1</w:t>
      </w:r>
      <w:r>
        <w:t xml:space="preserve"> – a) Clinical observations and oxygen requirement during hospital admission and treatment with tocilizumab and </w:t>
      </w:r>
      <w:proofErr w:type="spellStart"/>
      <w:r>
        <w:t>ruxolitinib</w:t>
      </w:r>
      <w:proofErr w:type="spellEnd"/>
      <w:r>
        <w:t xml:space="preserve">. b) biochemical parameters over the same duration.  BD, </w:t>
      </w:r>
      <w:r w:rsidRPr="002B48CC">
        <w:t>bis in die</w:t>
      </w:r>
      <w:r>
        <w:t>, twice a day, CPAP, continuous positive airway pressure, FiO2, inspired oxygen concentration, Sp02, oxygen saturation.</w:t>
      </w:r>
    </w:p>
    <w:p w14:paraId="7E6948BB" w14:textId="091C9CEC" w:rsidR="00812E9B" w:rsidRDefault="00812E9B" w:rsidP="00024625">
      <w:pPr>
        <w:spacing w:line="480" w:lineRule="auto"/>
        <w:jc w:val="both"/>
      </w:pPr>
      <w:r w:rsidRPr="00812E9B">
        <w:drawing>
          <wp:inline distT="0" distB="0" distL="0" distR="0" wp14:anchorId="29BCC741" wp14:editId="6D7C3D3A">
            <wp:extent cx="5731510" cy="6790690"/>
            <wp:effectExtent l="0" t="0" r="0" b="3810"/>
            <wp:docPr id="2" name="Picture 1">
              <a:extLst xmlns:a="http://schemas.openxmlformats.org/drawingml/2006/main">
                <a:ext uri="{FF2B5EF4-FFF2-40B4-BE49-F238E27FC236}">
                  <a16:creationId xmlns:a16="http://schemas.microsoft.com/office/drawing/2014/main" id="{965E69B1-A456-9B42-8D23-1248CF8621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965E69B1-A456-9B42-8D23-1248CF86211A}"/>
                        </a:ext>
                      </a:extLst>
                    </pic:cNvPr>
                    <pic:cNvPicPr>
                      <a:picLocks noChangeAspect="1"/>
                    </pic:cNvPicPr>
                  </pic:nvPicPr>
                  <pic:blipFill>
                    <a:blip r:embed="rId5"/>
                    <a:stretch>
                      <a:fillRect/>
                    </a:stretch>
                  </pic:blipFill>
                  <pic:spPr>
                    <a:xfrm>
                      <a:off x="0" y="0"/>
                      <a:ext cx="5731510" cy="6790690"/>
                    </a:xfrm>
                    <a:prstGeom prst="rect">
                      <a:avLst/>
                    </a:prstGeom>
                  </pic:spPr>
                </pic:pic>
              </a:graphicData>
            </a:graphic>
          </wp:inline>
        </w:drawing>
      </w:r>
    </w:p>
    <w:p w14:paraId="325E9717" w14:textId="77777777" w:rsidR="00417CBD" w:rsidRDefault="00417CBD" w:rsidP="008972B7">
      <w:pPr>
        <w:spacing w:line="480" w:lineRule="auto"/>
        <w:jc w:val="both"/>
        <w:rPr>
          <w:b/>
          <w:bCs/>
        </w:rPr>
      </w:pPr>
      <w:r w:rsidRPr="00417CBD">
        <w:rPr>
          <w:b/>
          <w:bCs/>
        </w:rPr>
        <w:lastRenderedPageBreak/>
        <w:t>Reference</w:t>
      </w:r>
      <w:r>
        <w:rPr>
          <w:b/>
          <w:bCs/>
        </w:rPr>
        <w:t>s</w:t>
      </w:r>
    </w:p>
    <w:p w14:paraId="6693FE57" w14:textId="55CE93F5" w:rsidR="00417CBD" w:rsidRPr="00417CBD" w:rsidRDefault="00417CBD" w:rsidP="00417CBD">
      <w:pPr>
        <w:widowControl w:val="0"/>
        <w:autoSpaceDE w:val="0"/>
        <w:autoSpaceDN w:val="0"/>
        <w:adjustRightInd w:val="0"/>
        <w:spacing w:line="480" w:lineRule="auto"/>
        <w:ind w:left="640" w:hanging="640"/>
        <w:rPr>
          <w:rFonts w:ascii="Calibri" w:hAnsi="Calibri" w:cs="Calibri"/>
          <w:noProof/>
        </w:rPr>
      </w:pPr>
      <w:r>
        <w:rPr>
          <w:b/>
          <w:bCs/>
        </w:rPr>
        <w:fldChar w:fldCharType="begin" w:fldLock="1"/>
      </w:r>
      <w:r>
        <w:rPr>
          <w:b/>
          <w:bCs/>
        </w:rPr>
        <w:instrText xml:space="preserve">ADDIN Mendeley Bibliography CSL_BIBLIOGRAPHY </w:instrText>
      </w:r>
      <w:r>
        <w:rPr>
          <w:b/>
          <w:bCs/>
        </w:rPr>
        <w:fldChar w:fldCharType="separate"/>
      </w:r>
      <w:r w:rsidRPr="00417CBD">
        <w:rPr>
          <w:rFonts w:ascii="Calibri" w:hAnsi="Calibri" w:cs="Calibri"/>
          <w:noProof/>
        </w:rPr>
        <w:t xml:space="preserve">1. </w:t>
      </w:r>
      <w:r w:rsidRPr="00417CBD">
        <w:rPr>
          <w:rFonts w:ascii="Calibri" w:hAnsi="Calibri" w:cs="Calibri"/>
          <w:noProof/>
        </w:rPr>
        <w:tab/>
        <w:t xml:space="preserve">Guan W, Ni Z, Hu Y, Liang W, Ou C, He J, et al. Clinical characteristics of coronavirus disease 2019 in China. N Engl J Med. 2020;382(18):1708–20. </w:t>
      </w:r>
    </w:p>
    <w:p w14:paraId="569140AC" w14:textId="09B6AFC8" w:rsidR="00417CBD" w:rsidRPr="00417CBD" w:rsidRDefault="00417CBD" w:rsidP="00417CBD">
      <w:pPr>
        <w:widowControl w:val="0"/>
        <w:autoSpaceDE w:val="0"/>
        <w:autoSpaceDN w:val="0"/>
        <w:adjustRightInd w:val="0"/>
        <w:spacing w:line="480" w:lineRule="auto"/>
        <w:ind w:left="640" w:hanging="640"/>
        <w:rPr>
          <w:rFonts w:ascii="Calibri" w:hAnsi="Calibri" w:cs="Calibri"/>
          <w:noProof/>
        </w:rPr>
      </w:pPr>
      <w:r w:rsidRPr="00417CBD">
        <w:rPr>
          <w:rFonts w:ascii="Calibri" w:hAnsi="Calibri" w:cs="Calibri"/>
          <w:noProof/>
        </w:rPr>
        <w:t xml:space="preserve">2. </w:t>
      </w:r>
      <w:r w:rsidRPr="00417CBD">
        <w:rPr>
          <w:rFonts w:ascii="Calibri" w:hAnsi="Calibri" w:cs="Calibri"/>
          <w:noProof/>
        </w:rPr>
        <w:tab/>
        <w:t xml:space="preserve">Zhou F, Yu T, Du R, Fan G, Liu Y, Liu Z, et al. Clinical course and risk factors for mortality of adult inpatients with COVID-19 in Wuhan, China: a retrospective cohort study. Lancet. 2020;395(10229):1054–62. </w:t>
      </w:r>
    </w:p>
    <w:p w14:paraId="1D6AE3FF" w14:textId="77777777" w:rsidR="00417CBD" w:rsidRPr="00417CBD" w:rsidRDefault="00417CBD" w:rsidP="00417CBD">
      <w:pPr>
        <w:widowControl w:val="0"/>
        <w:autoSpaceDE w:val="0"/>
        <w:autoSpaceDN w:val="0"/>
        <w:adjustRightInd w:val="0"/>
        <w:spacing w:line="480" w:lineRule="auto"/>
        <w:ind w:left="640" w:hanging="640"/>
        <w:rPr>
          <w:rFonts w:ascii="Calibri" w:hAnsi="Calibri" w:cs="Calibri"/>
          <w:noProof/>
        </w:rPr>
      </w:pPr>
      <w:r w:rsidRPr="00417CBD">
        <w:rPr>
          <w:rFonts w:ascii="Calibri" w:hAnsi="Calibri" w:cs="Calibri"/>
          <w:noProof/>
        </w:rPr>
        <w:t xml:space="preserve">3. </w:t>
      </w:r>
      <w:r w:rsidRPr="00417CBD">
        <w:rPr>
          <w:rFonts w:ascii="Calibri" w:hAnsi="Calibri" w:cs="Calibri"/>
          <w:noProof/>
        </w:rPr>
        <w:tab/>
        <w:t xml:space="preserve">Huang C, Wang Y, Li X, Ren L, Zhao J, Hu Y, et al. Clinical features of patients infected with 2019 novel coronavirus in Wuhan, China. Lancet. 2020;395(10223):497–506. </w:t>
      </w:r>
    </w:p>
    <w:p w14:paraId="28B97B7D" w14:textId="77777777" w:rsidR="00417CBD" w:rsidRPr="00417CBD" w:rsidRDefault="00417CBD" w:rsidP="00417CBD">
      <w:pPr>
        <w:widowControl w:val="0"/>
        <w:autoSpaceDE w:val="0"/>
        <w:autoSpaceDN w:val="0"/>
        <w:adjustRightInd w:val="0"/>
        <w:spacing w:line="480" w:lineRule="auto"/>
        <w:ind w:left="640" w:hanging="640"/>
        <w:rPr>
          <w:rFonts w:ascii="Calibri" w:hAnsi="Calibri" w:cs="Calibri"/>
          <w:noProof/>
        </w:rPr>
      </w:pPr>
      <w:r w:rsidRPr="00417CBD">
        <w:rPr>
          <w:rFonts w:ascii="Calibri" w:hAnsi="Calibri" w:cs="Calibri"/>
          <w:noProof/>
        </w:rPr>
        <w:t xml:space="preserve">4. </w:t>
      </w:r>
      <w:r w:rsidRPr="00417CBD">
        <w:rPr>
          <w:rFonts w:ascii="Calibri" w:hAnsi="Calibri" w:cs="Calibri"/>
          <w:noProof/>
        </w:rPr>
        <w:tab/>
        <w:t xml:space="preserve">Xu X, Han M, Li T, Sun W, Wang D, Fu B, et al. Effective treatment of severe COVID-19 patients with tocilizumab. Proc Natl Acad Sci. 2020;117(20):202005615. </w:t>
      </w:r>
    </w:p>
    <w:p w14:paraId="6EC339AF" w14:textId="77777777" w:rsidR="00417CBD" w:rsidRPr="00417CBD" w:rsidRDefault="00417CBD" w:rsidP="00417CBD">
      <w:pPr>
        <w:widowControl w:val="0"/>
        <w:autoSpaceDE w:val="0"/>
        <w:autoSpaceDN w:val="0"/>
        <w:adjustRightInd w:val="0"/>
        <w:spacing w:line="480" w:lineRule="auto"/>
        <w:ind w:left="640" w:hanging="640"/>
        <w:rPr>
          <w:rFonts w:ascii="Calibri" w:hAnsi="Calibri" w:cs="Calibri"/>
          <w:noProof/>
        </w:rPr>
      </w:pPr>
      <w:r w:rsidRPr="00417CBD">
        <w:rPr>
          <w:rFonts w:ascii="Calibri" w:hAnsi="Calibri" w:cs="Calibri"/>
          <w:noProof/>
        </w:rPr>
        <w:t xml:space="preserve">5. </w:t>
      </w:r>
      <w:r w:rsidRPr="00417CBD">
        <w:rPr>
          <w:rFonts w:ascii="Calibri" w:hAnsi="Calibri" w:cs="Calibri"/>
          <w:noProof/>
        </w:rPr>
        <w:tab/>
        <w:t xml:space="preserve">Chaidos A, Katsarou A, Mustafa C, Milojkovic D, Karadimitris A. Interleukin 6‐blockade treatment for severe COVID‐19 in two patients with multiple myeloma. Br J Haematol. 2020;2019:2019–21. </w:t>
      </w:r>
    </w:p>
    <w:p w14:paraId="5288CF28" w14:textId="77777777" w:rsidR="00417CBD" w:rsidRPr="00417CBD" w:rsidRDefault="00417CBD" w:rsidP="00417CBD">
      <w:pPr>
        <w:widowControl w:val="0"/>
        <w:autoSpaceDE w:val="0"/>
        <w:autoSpaceDN w:val="0"/>
        <w:adjustRightInd w:val="0"/>
        <w:spacing w:line="480" w:lineRule="auto"/>
        <w:ind w:left="640" w:hanging="640"/>
        <w:rPr>
          <w:rFonts w:ascii="Calibri" w:hAnsi="Calibri" w:cs="Calibri"/>
          <w:noProof/>
        </w:rPr>
      </w:pPr>
      <w:r w:rsidRPr="00417CBD">
        <w:rPr>
          <w:rFonts w:ascii="Calibri" w:hAnsi="Calibri" w:cs="Calibri"/>
          <w:noProof/>
        </w:rPr>
        <w:t xml:space="preserve">6. </w:t>
      </w:r>
      <w:r w:rsidRPr="00417CBD">
        <w:rPr>
          <w:rFonts w:ascii="Calibri" w:hAnsi="Calibri" w:cs="Calibri"/>
          <w:noProof/>
        </w:rPr>
        <w:tab/>
        <w:t xml:space="preserve">Verstovsek S, Mesa RA, Gotlib J, Levy RS, Gupta V, DiPersio JF, et al. A double-blind, placebo-controlled trial of ruxolitinib for myelofibrosis. N Engl J Med. 2012;366(9):799–807. </w:t>
      </w:r>
    </w:p>
    <w:p w14:paraId="6580109D" w14:textId="77777777" w:rsidR="00417CBD" w:rsidRPr="00417CBD" w:rsidRDefault="00417CBD" w:rsidP="00417CBD">
      <w:pPr>
        <w:widowControl w:val="0"/>
        <w:autoSpaceDE w:val="0"/>
        <w:autoSpaceDN w:val="0"/>
        <w:adjustRightInd w:val="0"/>
        <w:spacing w:line="480" w:lineRule="auto"/>
        <w:ind w:left="640" w:hanging="640"/>
        <w:rPr>
          <w:rFonts w:ascii="Calibri" w:hAnsi="Calibri" w:cs="Calibri"/>
          <w:noProof/>
        </w:rPr>
      </w:pPr>
      <w:r w:rsidRPr="00417CBD">
        <w:rPr>
          <w:rFonts w:ascii="Calibri" w:hAnsi="Calibri" w:cs="Calibri"/>
          <w:noProof/>
        </w:rPr>
        <w:t xml:space="preserve">7. </w:t>
      </w:r>
      <w:r w:rsidRPr="00417CBD">
        <w:rPr>
          <w:rFonts w:ascii="Calibri" w:hAnsi="Calibri" w:cs="Calibri"/>
          <w:noProof/>
        </w:rPr>
        <w:tab/>
        <w:t xml:space="preserve">Schindler C, Levy DE, Decker T. JAK-STAT signaling: From interferons to cytokines. J Biol Chem. 2007;282(28):20059–63. </w:t>
      </w:r>
    </w:p>
    <w:p w14:paraId="7D0A4421" w14:textId="53176519" w:rsidR="00417CBD" w:rsidRPr="00417CBD" w:rsidRDefault="00417CBD" w:rsidP="00417CBD">
      <w:pPr>
        <w:widowControl w:val="0"/>
        <w:autoSpaceDE w:val="0"/>
        <w:autoSpaceDN w:val="0"/>
        <w:adjustRightInd w:val="0"/>
        <w:spacing w:line="480" w:lineRule="auto"/>
        <w:ind w:left="640" w:hanging="640"/>
        <w:rPr>
          <w:rFonts w:ascii="Calibri" w:hAnsi="Calibri" w:cs="Calibri"/>
          <w:noProof/>
        </w:rPr>
      </w:pPr>
      <w:r w:rsidRPr="00417CBD">
        <w:rPr>
          <w:rFonts w:ascii="Calibri" w:hAnsi="Calibri" w:cs="Calibri"/>
          <w:noProof/>
        </w:rPr>
        <w:t xml:space="preserve">8. </w:t>
      </w:r>
      <w:r w:rsidRPr="00417CBD">
        <w:rPr>
          <w:rFonts w:ascii="Calibri" w:hAnsi="Calibri" w:cs="Calibri"/>
          <w:noProof/>
        </w:rPr>
        <w:tab/>
        <w:t xml:space="preserve">Eghtedar A, Verstovsek S, Cortes JE, Estrov Z, Burger J a, Bivins C, et al. Phase II study of the JAK2 inhibitor, ruxolitinib, in patients with refractory leukemias including postmyeloproliferative neoplasm acute myeloid leukemia. Blood. 2010;116(20):4614–9. </w:t>
      </w:r>
    </w:p>
    <w:p w14:paraId="332E5EA8" w14:textId="60AB15FA" w:rsidR="00890379" w:rsidRPr="002B48CC" w:rsidRDefault="00417CBD" w:rsidP="008972B7">
      <w:pPr>
        <w:spacing w:line="480" w:lineRule="auto"/>
        <w:jc w:val="both"/>
        <w:rPr>
          <w:b/>
          <w:bCs/>
        </w:rPr>
      </w:pPr>
      <w:r>
        <w:rPr>
          <w:b/>
          <w:bCs/>
        </w:rPr>
        <w:fldChar w:fldCharType="end"/>
      </w:r>
    </w:p>
    <w:p w14:paraId="1520BADB" w14:textId="00EB4D14" w:rsidR="00923001" w:rsidRDefault="00923001" w:rsidP="00417CBD">
      <w:pPr>
        <w:widowControl w:val="0"/>
        <w:autoSpaceDE w:val="0"/>
        <w:autoSpaceDN w:val="0"/>
        <w:adjustRightInd w:val="0"/>
        <w:spacing w:line="480" w:lineRule="auto"/>
        <w:ind w:left="640" w:hanging="640"/>
      </w:pPr>
    </w:p>
    <w:sectPr w:rsidR="009230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379"/>
    <w:rsid w:val="00001A79"/>
    <w:rsid w:val="00024625"/>
    <w:rsid w:val="000E1A2C"/>
    <w:rsid w:val="002B48CC"/>
    <w:rsid w:val="003C4EDA"/>
    <w:rsid w:val="00406C47"/>
    <w:rsid w:val="00416D92"/>
    <w:rsid w:val="00417CBD"/>
    <w:rsid w:val="004B06C1"/>
    <w:rsid w:val="0053049E"/>
    <w:rsid w:val="00564AAE"/>
    <w:rsid w:val="00625E89"/>
    <w:rsid w:val="00651B11"/>
    <w:rsid w:val="0067114C"/>
    <w:rsid w:val="006C2A03"/>
    <w:rsid w:val="006C41B1"/>
    <w:rsid w:val="00705F22"/>
    <w:rsid w:val="007C15F0"/>
    <w:rsid w:val="007C5BE5"/>
    <w:rsid w:val="007C5C36"/>
    <w:rsid w:val="008060D2"/>
    <w:rsid w:val="00812E9B"/>
    <w:rsid w:val="00825302"/>
    <w:rsid w:val="0087085B"/>
    <w:rsid w:val="00890379"/>
    <w:rsid w:val="008972B7"/>
    <w:rsid w:val="008E6825"/>
    <w:rsid w:val="00923001"/>
    <w:rsid w:val="00A069B8"/>
    <w:rsid w:val="00AA53FA"/>
    <w:rsid w:val="00BB2BC6"/>
    <w:rsid w:val="00C82045"/>
    <w:rsid w:val="00CC64D9"/>
    <w:rsid w:val="00D13FB2"/>
    <w:rsid w:val="00D4648F"/>
    <w:rsid w:val="00D82FC9"/>
    <w:rsid w:val="00E45C94"/>
    <w:rsid w:val="00E57758"/>
    <w:rsid w:val="00EF7641"/>
    <w:rsid w:val="00F52CB5"/>
    <w:rsid w:val="00FD4A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BB4DF"/>
  <w15:chartTrackingRefBased/>
  <w15:docId w15:val="{EF5CD7FC-55B2-4295-BBC4-100FB0BDC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1A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1A79"/>
    <w:rPr>
      <w:rFonts w:ascii="Segoe UI" w:hAnsi="Segoe UI" w:cs="Segoe UI"/>
      <w:sz w:val="18"/>
      <w:szCs w:val="18"/>
    </w:rPr>
  </w:style>
  <w:style w:type="character" w:styleId="CommentReference">
    <w:name w:val="annotation reference"/>
    <w:basedOn w:val="DefaultParagraphFont"/>
    <w:uiPriority w:val="99"/>
    <w:semiHidden/>
    <w:unhideWhenUsed/>
    <w:rsid w:val="00AA53FA"/>
    <w:rPr>
      <w:sz w:val="16"/>
      <w:szCs w:val="16"/>
    </w:rPr>
  </w:style>
  <w:style w:type="paragraph" w:styleId="CommentText">
    <w:name w:val="annotation text"/>
    <w:basedOn w:val="Normal"/>
    <w:link w:val="CommentTextChar"/>
    <w:uiPriority w:val="99"/>
    <w:semiHidden/>
    <w:unhideWhenUsed/>
    <w:rsid w:val="00AA53FA"/>
    <w:pPr>
      <w:spacing w:line="240" w:lineRule="auto"/>
    </w:pPr>
    <w:rPr>
      <w:sz w:val="20"/>
      <w:szCs w:val="20"/>
    </w:rPr>
  </w:style>
  <w:style w:type="character" w:customStyle="1" w:styleId="CommentTextChar">
    <w:name w:val="Comment Text Char"/>
    <w:basedOn w:val="DefaultParagraphFont"/>
    <w:link w:val="CommentText"/>
    <w:uiPriority w:val="99"/>
    <w:semiHidden/>
    <w:rsid w:val="00AA53FA"/>
    <w:rPr>
      <w:sz w:val="20"/>
      <w:szCs w:val="20"/>
    </w:rPr>
  </w:style>
  <w:style w:type="paragraph" w:styleId="CommentSubject">
    <w:name w:val="annotation subject"/>
    <w:basedOn w:val="CommentText"/>
    <w:next w:val="CommentText"/>
    <w:link w:val="CommentSubjectChar"/>
    <w:uiPriority w:val="99"/>
    <w:semiHidden/>
    <w:unhideWhenUsed/>
    <w:rsid w:val="00AA53FA"/>
    <w:rPr>
      <w:b/>
      <w:bCs/>
    </w:rPr>
  </w:style>
  <w:style w:type="character" w:customStyle="1" w:styleId="CommentSubjectChar">
    <w:name w:val="Comment Subject Char"/>
    <w:basedOn w:val="CommentTextChar"/>
    <w:link w:val="CommentSubject"/>
    <w:uiPriority w:val="99"/>
    <w:semiHidden/>
    <w:rsid w:val="00AA53F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6381936">
      <w:bodyDiv w:val="1"/>
      <w:marLeft w:val="0"/>
      <w:marRight w:val="0"/>
      <w:marTop w:val="0"/>
      <w:marBottom w:val="0"/>
      <w:divBdr>
        <w:top w:val="none" w:sz="0" w:space="0" w:color="auto"/>
        <w:left w:val="none" w:sz="0" w:space="0" w:color="auto"/>
        <w:bottom w:val="none" w:sz="0" w:space="0" w:color="auto"/>
        <w:right w:val="none" w:sz="0" w:space="0" w:color="auto"/>
      </w:divBdr>
    </w:div>
    <w:div w:id="997537391">
      <w:bodyDiv w:val="1"/>
      <w:marLeft w:val="0"/>
      <w:marRight w:val="0"/>
      <w:marTop w:val="0"/>
      <w:marBottom w:val="0"/>
      <w:divBdr>
        <w:top w:val="none" w:sz="0" w:space="0" w:color="auto"/>
        <w:left w:val="none" w:sz="0" w:space="0" w:color="auto"/>
        <w:bottom w:val="none" w:sz="0" w:space="0" w:color="auto"/>
        <w:right w:val="none" w:sz="0" w:space="0" w:color="auto"/>
      </w:divBdr>
    </w:div>
    <w:div w:id="1085689930">
      <w:bodyDiv w:val="1"/>
      <w:marLeft w:val="0"/>
      <w:marRight w:val="0"/>
      <w:marTop w:val="0"/>
      <w:marBottom w:val="0"/>
      <w:divBdr>
        <w:top w:val="none" w:sz="0" w:space="0" w:color="auto"/>
        <w:left w:val="none" w:sz="0" w:space="0" w:color="auto"/>
        <w:bottom w:val="none" w:sz="0" w:space="0" w:color="auto"/>
        <w:right w:val="none" w:sz="0" w:space="0" w:color="auto"/>
      </w:divBdr>
    </w:div>
    <w:div w:id="1117025512">
      <w:bodyDiv w:val="1"/>
      <w:marLeft w:val="0"/>
      <w:marRight w:val="0"/>
      <w:marTop w:val="0"/>
      <w:marBottom w:val="0"/>
      <w:divBdr>
        <w:top w:val="none" w:sz="0" w:space="0" w:color="auto"/>
        <w:left w:val="none" w:sz="0" w:space="0" w:color="auto"/>
        <w:bottom w:val="none" w:sz="0" w:space="0" w:color="auto"/>
        <w:right w:val="none" w:sz="0" w:space="0" w:color="auto"/>
      </w:divBdr>
    </w:div>
    <w:div w:id="1512184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09D03-5414-314D-B9C8-40501D0C8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7833</Words>
  <Characters>44650</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Imperial College Healthcare NHS Trust</Company>
  <LinksUpToDate>false</LinksUpToDate>
  <CharactersWithSpaces>52379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Innes, Andrew</dc:creator>
  <cp:keywords/>
  <dc:description/>
  <cp:lastModifiedBy>Innes, Andrew J</cp:lastModifiedBy>
  <cp:revision>2</cp:revision>
  <dcterms:created xsi:type="dcterms:W3CDTF">2020-05-31T22:49:00Z</dcterms:created>
  <dcterms:modified xsi:type="dcterms:W3CDTF">2020-05-31T22:49:00Z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44d462e3-e6f8-3378-b4e0-10f6af74bb13</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