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B28094" w14:textId="77777777" w:rsidR="006F75DB" w:rsidRPr="0095448E" w:rsidRDefault="006F75DB" w:rsidP="00AB34C5">
      <w:pPr>
        <w:pStyle w:val="BBAuthorName"/>
        <w:jc w:val="left"/>
        <w:rPr>
          <w:rFonts w:ascii="Times New Roman" w:hAnsi="Times New Roman"/>
          <w:i w:val="0"/>
          <w:sz w:val="44"/>
        </w:rPr>
      </w:pPr>
      <w:r w:rsidRPr="0095448E">
        <w:rPr>
          <w:rFonts w:ascii="Times New Roman" w:hAnsi="Times New Roman"/>
          <w:i w:val="0"/>
          <w:sz w:val="44"/>
        </w:rPr>
        <w:t>An agent</w:t>
      </w:r>
      <w:r w:rsidR="00F4163E" w:rsidRPr="0095448E">
        <w:rPr>
          <w:rFonts w:ascii="Times New Roman" w:hAnsi="Times New Roman"/>
          <w:i w:val="0"/>
          <w:sz w:val="44"/>
        </w:rPr>
        <w:t>-</w:t>
      </w:r>
      <w:r w:rsidRPr="0095448E">
        <w:rPr>
          <w:rFonts w:ascii="Times New Roman" w:hAnsi="Times New Roman"/>
          <w:i w:val="0"/>
          <w:sz w:val="44"/>
        </w:rPr>
        <w:t>based modelling approach to simulate the investment decision of industrial enterprises</w:t>
      </w:r>
    </w:p>
    <w:p w14:paraId="3DFB95B1" w14:textId="77777777" w:rsidR="006F75DB" w:rsidRPr="0095448E" w:rsidRDefault="006F75DB" w:rsidP="00AB34C5">
      <w:pPr>
        <w:pStyle w:val="BCAuthorAddress"/>
        <w:jc w:val="left"/>
        <w:rPr>
          <w:i/>
        </w:rPr>
      </w:pPr>
      <w:r w:rsidRPr="0095448E">
        <w:rPr>
          <w:i/>
        </w:rPr>
        <w:t>Sara Budinis</w:t>
      </w:r>
      <w:r w:rsidRPr="0095448E">
        <w:rPr>
          <w:i/>
          <w:vertAlign w:val="superscript"/>
        </w:rPr>
        <w:t>1</w:t>
      </w:r>
      <w:r w:rsidRPr="0095448E">
        <w:rPr>
          <w:i/>
        </w:rPr>
        <w:t>, Julia Sachs</w:t>
      </w:r>
      <w:r w:rsidRPr="0095448E">
        <w:rPr>
          <w:i/>
          <w:vertAlign w:val="superscript"/>
        </w:rPr>
        <w:t>1</w:t>
      </w:r>
      <w:r w:rsidRPr="0095448E">
        <w:rPr>
          <w:i/>
        </w:rPr>
        <w:t>, Sara Giarola</w:t>
      </w:r>
      <w:r w:rsidRPr="0095448E">
        <w:rPr>
          <w:i/>
          <w:vertAlign w:val="superscript"/>
        </w:rPr>
        <w:t>2*</w:t>
      </w:r>
      <w:r w:rsidRPr="0095448E">
        <w:rPr>
          <w:i/>
        </w:rPr>
        <w:t xml:space="preserve"> and Adam Hawkes</w:t>
      </w:r>
      <w:r w:rsidRPr="0095448E">
        <w:rPr>
          <w:i/>
          <w:vertAlign w:val="superscript"/>
        </w:rPr>
        <w:t>1</w:t>
      </w:r>
    </w:p>
    <w:p w14:paraId="77AA7EAA" w14:textId="77777777" w:rsidR="006F75DB" w:rsidRPr="0095448E" w:rsidRDefault="006F75DB" w:rsidP="006F75DB">
      <w:pPr>
        <w:pStyle w:val="FACorrespondingAuthorFootnote"/>
        <w:spacing w:after="240"/>
        <w:jc w:val="left"/>
      </w:pPr>
      <w:r w:rsidRPr="0095448E">
        <w:rPr>
          <w:vertAlign w:val="superscript"/>
        </w:rPr>
        <w:t>1</w:t>
      </w:r>
      <w:r w:rsidRPr="0095448E">
        <w:t xml:space="preserve"> Chemical Engineering Department, Imperial College London, South Kensington, London SW7 2AZ, UK</w:t>
      </w:r>
    </w:p>
    <w:p w14:paraId="62CA3804" w14:textId="77777777" w:rsidR="006F75DB" w:rsidRPr="0095448E" w:rsidRDefault="006F75DB" w:rsidP="006F75DB">
      <w:pPr>
        <w:pStyle w:val="FACorrespondingAuthorFootnote"/>
        <w:spacing w:after="240"/>
        <w:jc w:val="left"/>
      </w:pPr>
      <w:r w:rsidRPr="0095448E">
        <w:rPr>
          <w:vertAlign w:val="superscript"/>
        </w:rPr>
        <w:t>2</w:t>
      </w:r>
      <w:r w:rsidRPr="0095448E">
        <w:t xml:space="preserve"> Earth Science and Engineering Department, Imperial College London, South Kensington, London SW7 2AZ, UK</w:t>
      </w:r>
    </w:p>
    <w:p w14:paraId="02D3DFD4" w14:textId="77777777" w:rsidR="000C05CC" w:rsidRPr="0095448E" w:rsidRDefault="006F75DB" w:rsidP="006F75DB">
      <w:pPr>
        <w:pStyle w:val="FACorrespondingAuthorFootnote"/>
        <w:spacing w:after="240"/>
        <w:jc w:val="left"/>
      </w:pPr>
      <w:r w:rsidRPr="0095448E">
        <w:t>*s.giarola10@imperial.ac.uk</w:t>
      </w:r>
    </w:p>
    <w:p w14:paraId="1687DFCF" w14:textId="77777777" w:rsidR="0089463A" w:rsidRPr="0095448E" w:rsidRDefault="0089463A" w:rsidP="00EB5364">
      <w:pPr>
        <w:pStyle w:val="StyleBATitleTimes12ptLeftBefore0ptAfter12pt"/>
      </w:pPr>
      <w:r w:rsidRPr="0095448E">
        <w:t>A</w:t>
      </w:r>
      <w:r w:rsidR="000C5FC0" w:rsidRPr="0095448E">
        <w:t>bstract</w:t>
      </w:r>
    </w:p>
    <w:p w14:paraId="75A1BA9F" w14:textId="722AB450" w:rsidR="00426035" w:rsidRPr="0095448E" w:rsidRDefault="006F37D1" w:rsidP="006F37D1">
      <w:pPr>
        <w:pStyle w:val="BDAbstract"/>
      </w:pPr>
      <w:r w:rsidRPr="0095448E">
        <w:t xml:space="preserve">China is the leading ammonia producer and relies on a coal-based technology which makes the already energy intensive Haber-Bosch process, one of the most emission intensive in the world </w:t>
      </w:r>
      <w:r w:rsidR="006F75DB" w:rsidRPr="0095448E">
        <w:t>This work</w:t>
      </w:r>
      <w:r w:rsidRPr="0095448E">
        <w:t xml:space="preserve"> is the first to propose an agent-based modelling framework to model the Chinese ammonia industry as it </w:t>
      </w:r>
      <w:r w:rsidR="004811D6" w:rsidRPr="0095448E">
        <w:t xml:space="preserve">characterizes the specific </w:t>
      </w:r>
      <w:r w:rsidRPr="0095448E">
        <w:t xml:space="preserve">goals and barriers towards fuel switching and carbon capture and storage adoption </w:t>
      </w:r>
      <w:r w:rsidR="004811D6" w:rsidRPr="0095448E">
        <w:t xml:space="preserve">for </w:t>
      </w:r>
      <w:r w:rsidRPr="0095448E">
        <w:t>small</w:t>
      </w:r>
      <w:r w:rsidR="00AC28DD" w:rsidRPr="0095448E">
        <w:t>,</w:t>
      </w:r>
      <w:r w:rsidRPr="0095448E">
        <w:t xml:space="preserve"> medium</w:t>
      </w:r>
      <w:r w:rsidR="00AC28DD" w:rsidRPr="0095448E">
        <w:t>, and large</w:t>
      </w:r>
      <w:r w:rsidRPr="0095448E">
        <w:t xml:space="preserve"> enterprises either private or state-owned. The results show that facilitated access to capital makes investment</w:t>
      </w:r>
      <w:r w:rsidR="00AC28DD" w:rsidRPr="0095448E">
        <w:t>s</w:t>
      </w:r>
      <w:r w:rsidRPr="0095448E">
        <w:t xml:space="preserve"> </w:t>
      </w:r>
      <w:r w:rsidR="004811D6" w:rsidRPr="0095448E">
        <w:t>in sustainable technologies</w:t>
      </w:r>
      <w:r w:rsidRPr="0095448E">
        <w:t xml:space="preserve"> more attractive for all firms, especially for small and medium enterprises. Without policy instruments such as carbon price, the decrease in emissions in the long-term is due to investment</w:t>
      </w:r>
      <w:r w:rsidR="00AC28DD" w:rsidRPr="0095448E">
        <w:t>s</w:t>
      </w:r>
      <w:r w:rsidRPr="0095448E">
        <w:t xml:space="preserve"> in </w:t>
      </w:r>
      <w:r w:rsidR="00AC28DD" w:rsidRPr="0095448E">
        <w:t xml:space="preserve">natural </w:t>
      </w:r>
      <w:r w:rsidRPr="0095448E">
        <w:t>gas-based technologies, as they typically have lower capital and operating cost</w:t>
      </w:r>
      <w:r w:rsidR="00AC28DD" w:rsidRPr="0095448E">
        <w:t>s</w:t>
      </w:r>
      <w:r w:rsidRPr="0095448E">
        <w:t xml:space="preserve">, and also lower electricity consumption than coal-based production. Conversely, with policy </w:t>
      </w:r>
      <w:r w:rsidRPr="0095448E">
        <w:lastRenderedPageBreak/>
        <w:t xml:space="preserve">instruments in place, a strong decrease in emissions occurs between 2060 and 2080 due to investors choosing </w:t>
      </w:r>
      <w:r w:rsidR="00AC28DD" w:rsidRPr="0095448E">
        <w:t xml:space="preserve">natural </w:t>
      </w:r>
      <w:r w:rsidRPr="0095448E">
        <w:t xml:space="preserve">gas and biomethane-based technologies, with carbon capture and storage. In </w:t>
      </w:r>
      <w:r w:rsidR="00AC28DD" w:rsidRPr="0095448E">
        <w:t>the</w:t>
      </w:r>
      <w:r w:rsidRPr="0095448E">
        <w:t xml:space="preserve"> long term, </w:t>
      </w:r>
      <w:r w:rsidR="00AC28DD" w:rsidRPr="0095448E">
        <w:t xml:space="preserve">natural gas and biomethane </w:t>
      </w:r>
      <w:r w:rsidRPr="0095448E">
        <w:t>could compete, with the outcome depend</w:t>
      </w:r>
      <w:r w:rsidR="00AC28DD" w:rsidRPr="0095448E">
        <w:t>ing</w:t>
      </w:r>
      <w:r w:rsidRPr="0095448E">
        <w:t xml:space="preserve"> on infrastructure, supply chain availability and land use constraints.</w:t>
      </w:r>
      <w:r w:rsidR="00A07336" w:rsidRPr="0095448E">
        <w:t xml:space="preserve"> </w:t>
      </w:r>
    </w:p>
    <w:p w14:paraId="58816F54" w14:textId="010DAFA0" w:rsidR="00505B67" w:rsidRPr="0095448E" w:rsidRDefault="00063A53" w:rsidP="00063A53">
      <w:pPr>
        <w:rPr>
          <w:b/>
        </w:rPr>
      </w:pPr>
      <w:r w:rsidRPr="0095448E">
        <w:rPr>
          <w:b/>
        </w:rPr>
        <w:t>Graphical abstract</w:t>
      </w:r>
    </w:p>
    <w:p w14:paraId="424EF30A" w14:textId="609ADAE2" w:rsidR="00B0779F" w:rsidRPr="0095448E" w:rsidRDefault="00B0779F" w:rsidP="00A102FF">
      <w:pPr>
        <w:pStyle w:val="BGKeywords"/>
        <w:rPr>
          <w:b/>
        </w:rPr>
      </w:pPr>
      <w:r w:rsidRPr="0095448E">
        <w:rPr>
          <w:b/>
          <w:noProof/>
          <w:lang w:val="en-GB" w:eastAsia="en-GB"/>
        </w:rPr>
        <w:drawing>
          <wp:inline distT="0" distB="0" distL="0" distR="0" wp14:anchorId="2FCBF495" wp14:editId="2EE40922">
            <wp:extent cx="5943600" cy="268097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alAbstract.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680970"/>
                    </a:xfrm>
                    <a:prstGeom prst="rect">
                      <a:avLst/>
                    </a:prstGeom>
                  </pic:spPr>
                </pic:pic>
              </a:graphicData>
            </a:graphic>
          </wp:inline>
        </w:drawing>
      </w:r>
    </w:p>
    <w:p w14:paraId="0DCB04CB" w14:textId="4082A8B0" w:rsidR="00A102FF" w:rsidRPr="0095448E" w:rsidRDefault="00A102FF" w:rsidP="00A102FF">
      <w:pPr>
        <w:pStyle w:val="BGKeywords"/>
      </w:pPr>
      <w:r w:rsidRPr="0095448E">
        <w:rPr>
          <w:b/>
        </w:rPr>
        <w:t>K</w:t>
      </w:r>
      <w:r w:rsidR="00063A53" w:rsidRPr="0095448E">
        <w:rPr>
          <w:b/>
        </w:rPr>
        <w:t>eywords</w:t>
      </w:r>
      <w:r w:rsidRPr="0095448E">
        <w:rPr>
          <w:b/>
        </w:rPr>
        <w:t>:</w:t>
      </w:r>
      <w:r w:rsidRPr="0095448E">
        <w:t xml:space="preserve"> Energy systems modelling; agent -based modelling; net-zero emissions; ammonia manufacturing</w:t>
      </w:r>
    </w:p>
    <w:p w14:paraId="7D537371" w14:textId="4E2322BD" w:rsidR="00E52BDC" w:rsidRPr="0095448E" w:rsidRDefault="00E52BDC" w:rsidP="00A102FF">
      <w:pPr>
        <w:pStyle w:val="BGKeywords"/>
        <w:rPr>
          <w:b/>
        </w:rPr>
      </w:pPr>
      <w:r w:rsidRPr="0095448E">
        <w:rPr>
          <w:b/>
        </w:rPr>
        <w:t>H</w:t>
      </w:r>
      <w:r w:rsidR="00063A53" w:rsidRPr="0095448E">
        <w:rPr>
          <w:b/>
        </w:rPr>
        <w:t>ighlights</w:t>
      </w:r>
      <w:r w:rsidRPr="0095448E">
        <w:rPr>
          <w:b/>
        </w:rPr>
        <w:t>:</w:t>
      </w:r>
    </w:p>
    <w:p w14:paraId="671DB40F" w14:textId="49046CAA" w:rsidR="00954899" w:rsidRPr="0095448E" w:rsidRDefault="00954899" w:rsidP="00954899">
      <w:pPr>
        <w:pStyle w:val="BGKeywords"/>
        <w:numPr>
          <w:ilvl w:val="0"/>
          <w:numId w:val="11"/>
        </w:numPr>
      </w:pPr>
      <w:r w:rsidRPr="0095448E">
        <w:t xml:space="preserve">An agent-based model is proposed to characterise investment in industry </w:t>
      </w:r>
    </w:p>
    <w:p w14:paraId="7991A226" w14:textId="6F8F9885" w:rsidR="00954899" w:rsidRPr="0095448E" w:rsidRDefault="00954899" w:rsidP="00954899">
      <w:pPr>
        <w:pStyle w:val="BGKeywords"/>
        <w:numPr>
          <w:ilvl w:val="0"/>
          <w:numId w:val="11"/>
        </w:numPr>
      </w:pPr>
      <w:r w:rsidRPr="0095448E">
        <w:t xml:space="preserve">A carbon price is effective to promote sector decarbonisation </w:t>
      </w:r>
    </w:p>
    <w:p w14:paraId="630691ED" w14:textId="4238488C" w:rsidR="00954899" w:rsidRPr="0095448E" w:rsidRDefault="00954899" w:rsidP="00954899">
      <w:pPr>
        <w:pStyle w:val="BGKeywords"/>
        <w:numPr>
          <w:ilvl w:val="0"/>
          <w:numId w:val="11"/>
        </w:numPr>
      </w:pPr>
      <w:r w:rsidRPr="0095448E">
        <w:t xml:space="preserve">Fuel switching and CCS may be pivotal to reduce emissions </w:t>
      </w:r>
    </w:p>
    <w:p w14:paraId="168180A5" w14:textId="65DAF6E3" w:rsidR="00E52BDC" w:rsidRPr="0095448E" w:rsidRDefault="00954899" w:rsidP="00954899">
      <w:pPr>
        <w:pStyle w:val="BGKeywords"/>
        <w:numPr>
          <w:ilvl w:val="0"/>
          <w:numId w:val="11"/>
        </w:numPr>
      </w:pPr>
      <w:r w:rsidRPr="0095448E">
        <w:t>28% of ammonia market in China may struggle to decarbonise even with a carbon price</w:t>
      </w:r>
    </w:p>
    <w:p w14:paraId="1A5FAB25" w14:textId="77777777" w:rsidR="0089463A" w:rsidRPr="0095448E" w:rsidRDefault="0089463A" w:rsidP="000C5FC0">
      <w:pPr>
        <w:pStyle w:val="Heading1"/>
        <w:spacing w:after="200"/>
        <w:ind w:left="448" w:hanging="448"/>
      </w:pPr>
      <w:r w:rsidRPr="0095448E">
        <w:lastRenderedPageBreak/>
        <w:t>I</w:t>
      </w:r>
      <w:r w:rsidR="000C5FC0" w:rsidRPr="0095448E">
        <w:t>ntroduction</w:t>
      </w:r>
    </w:p>
    <w:p w14:paraId="63355AEB" w14:textId="77777777" w:rsidR="00FA072F" w:rsidRPr="0095448E" w:rsidRDefault="00FA072F" w:rsidP="00FA072F">
      <w:pPr>
        <w:pStyle w:val="TAMainText"/>
      </w:pPr>
      <w:r w:rsidRPr="0095448E">
        <w:t>The industrial sector is one of the most energy and emission intensive sectors, accounting for 36% of global total final energy consumption (TFEC) and for 24% of global CO</w:t>
      </w:r>
      <w:r w:rsidRPr="0095448E">
        <w:rPr>
          <w:vertAlign w:val="subscript"/>
        </w:rPr>
        <w:t>2</w:t>
      </w:r>
      <w:r w:rsidRPr="0095448E">
        <w:t xml:space="preserve"> emissions </w:t>
      </w:r>
      <w:r w:rsidRPr="0095448E">
        <w:fldChar w:fldCharType="begin" w:fldLock="1"/>
      </w:r>
      <w:r w:rsidRPr="0095448E">
        <w:instrText>ADDIN CSL_CITATION { "citationItems" : [ { "id" : "ITEM-1", "itemData" : { "DOI" : "10.1787/energy_tech-2017-en", "ISBN" : "9789264270503", "ISSN" : "1466-187X", "PMID" : "16277811", "author" : [ { "dropping-particle" : "", "family" : "IEA", "given" : "", "non-dropping-particle" : "", "parse-names" : false, "suffix" : "" } ], "id" : "ITEM-1", "issued" : { "date-parts" : [ [ "2017" ] ] }, "title" : "Energy Technology Perspectives 2017 Catalysing Energy Technology Transformations Together Secure Sustainable", "type" : "report" }, "uris" : [ "http://www.mendeley.com/documents/?uuid=d24bd6c4-f8cf-494c-92a7-b10be9352486" ] } ], "mendeley" : { "formattedCitation" : "(IEA, 2017)", "plainTextFormattedCitation" : "(IEA, 2017)", "previouslyFormattedCitation" : "[1]" }, "properties" : { "noteIndex" : 0 }, "schema" : "https://github.com/citation-style-language/schema/raw/master/csl-citation.json" }</w:instrText>
      </w:r>
      <w:r w:rsidRPr="0095448E">
        <w:fldChar w:fldCharType="separate"/>
      </w:r>
      <w:r w:rsidRPr="0095448E">
        <w:rPr>
          <w:noProof/>
        </w:rPr>
        <w:t>(IEA, 2017)</w:t>
      </w:r>
      <w:r w:rsidRPr="0095448E">
        <w:fldChar w:fldCharType="end"/>
      </w:r>
      <w:r w:rsidRPr="0095448E">
        <w:t xml:space="preserve">. Globally, 69% of industrial TFEC is consumed by five subsectors: iron and steel, cement, chemicals and petrochemicals, aluminium, and pulp and paper </w:t>
      </w:r>
      <w:r w:rsidRPr="0095448E">
        <w:fldChar w:fldCharType="begin" w:fldLock="1"/>
      </w:r>
      <w:r w:rsidRPr="0095448E">
        <w:instrText>ADDIN CSL_CITATION { "citationItems" : [ { "id" : "ITEM-1", "itemData" : { "DOI" : "http://dx.doi.org/10.1016/j.enpol.2010.02.048", "ISBN" : "0301-4215", "abstract" : "Significant pressure from increasing CO2 emissions and energy consumption in China\u2019s industrialization process has highlighted a need to understand and mitigate the sources of these emissions. Ammonia production, as one of the most important fundamental industries in China, represents those heavy industries that contribute largely to this sharp increasing trend. In the country with the largest population in the world, ammonia output has undergone fast growth spurred by increasing demand for fertilizer of food production since 1950s. However, various types of technologies implemented in the industry make ammonia plants in China operate with huge differences in both energy consumption and CO2 emissions. With consideration of these unique features, this paper attempts to estimate the amount of CO2 emission from China\u2019s ammonia production, and analyze the potential for carbon mitigation in the industry. Based on the estimation, related policy implications and measures required to realize the potential for mitigation are also discussed.", "author" : [ { "dropping-particle" : "", "family" : "Zhou", "given" : "Wenji", "non-dropping-particle" : "", "parse-names" : false, "suffix" : "" }, { "dropping-particle" : "", "family" : "Zhu", "given" : "Bing", "non-dropping-particle" : "", "parse-names" : false, "suffix" : "" }, { "dropping-particle" : "", "family" : "Li", "given" : "Qiang", "non-dropping-particle" : "", "parse-names" : false, "suffix" : "" }, { "dropping-particle" : "", "family" : "Ma", "given" : "Tieju", "non-dropping-particle" : "", "parse-names" : false, "suffix" : "" }, { "dropping-particle" : "", "family" : "Hu", "given" : "Shanying", "non-dropping-particle" : "", "parse-names" : false, "suffix" : "" }, { "dropping-particle" : "", "family" : "Griffy-Brown", "given" : "Charla", "non-dropping-particle" : "", "parse-names" : false, "suffix" : "" } ], "container-title" : "Energy Policy", "id" : "ITEM-1", "issue" : "7", "issued" : { "date-parts" : [ [ "2010" ] ] }, "page" : "3701-3709", "title" : "CO2 emissions and mitigation potential in China\u2019s ammonia industry", "type" : "article-journal", "volume" : "38" }, "uris" : [ "http://www.mendeley.com/documents/?uuid=28e36679-98a6-4a10-b581-1fd7661992e4" ] } ], "mendeley" : { "formattedCitation" : "(Zhou et al., 2010)", "plainTextFormattedCitation" : "(Zhou et al., 2010)", "previouslyFormattedCitation" : "[2]" }, "properties" : { "noteIndex" : 0 }, "schema" : "https://github.com/citation-style-language/schema/raw/master/csl-citation.json" }</w:instrText>
      </w:r>
      <w:r w:rsidRPr="0095448E">
        <w:fldChar w:fldCharType="separate"/>
      </w:r>
      <w:r w:rsidRPr="0095448E">
        <w:rPr>
          <w:noProof/>
        </w:rPr>
        <w:t>(Zhou et al., 2010)</w:t>
      </w:r>
      <w:r w:rsidRPr="0095448E">
        <w:fldChar w:fldCharType="end"/>
      </w:r>
      <w:r w:rsidRPr="0095448E">
        <w:t>.</w:t>
      </w:r>
    </w:p>
    <w:p w14:paraId="10EDD738" w14:textId="411E89AF" w:rsidR="00FA072F" w:rsidRPr="0095448E" w:rsidRDefault="00FA072F" w:rsidP="00FA072F">
      <w:pPr>
        <w:pStyle w:val="TAMainText"/>
      </w:pPr>
      <w:r w:rsidRPr="0095448E">
        <w:t>The chemicals sector accounts for 28% of the total industrial consumption and for 13% of the total industrial CO</w:t>
      </w:r>
      <w:r w:rsidRPr="0095448E">
        <w:rPr>
          <w:vertAlign w:val="subscript"/>
        </w:rPr>
        <w:t>2</w:t>
      </w:r>
      <w:r w:rsidRPr="0095448E">
        <w:t xml:space="preserve"> emissions </w:t>
      </w:r>
      <w:r w:rsidRPr="0095448E">
        <w:fldChar w:fldCharType="begin" w:fldLock="1"/>
      </w:r>
      <w:r w:rsidRPr="0095448E">
        <w:instrText>ADDIN CSL_CITATION { "citationItems" : [ { "id" : "ITEM-1", "itemData" : { "DOI" : "10.1787/energy_tech-2017-en", "ISBN" : "9789264270503", "ISSN" : "1466-187X", "PMID" : "16277811", "author" : [ { "dropping-particle" : "", "family" : "IEA", "given" : "", "non-dropping-particle" : "", "parse-names" : false, "suffix" : "" } ], "id" : "ITEM-1", "issued" : { "date-parts" : [ [ "2017" ] ] }, "title" : "Energy Technology Perspectives 2017 Catalysing Energy Technology Transformations Together Secure Sustainable", "type" : "report" }, "uris" : [ "http://www.mendeley.com/documents/?uuid=d24bd6c4-f8cf-494c-92a7-b10be9352486" ] } ], "mendeley" : { "formattedCitation" : "(IEA, 2017)", "plainTextFormattedCitation" : "(IEA, 2017)", "previouslyFormattedCitation" : "[1]" }, "properties" : { "noteIndex" : 0 }, "schema" : "https://github.com/citation-style-language/schema/raw/master/csl-citation.json" }</w:instrText>
      </w:r>
      <w:r w:rsidRPr="0095448E">
        <w:fldChar w:fldCharType="separate"/>
      </w:r>
      <w:r w:rsidRPr="0095448E">
        <w:rPr>
          <w:noProof/>
        </w:rPr>
        <w:t>(IEA, 2017)</w:t>
      </w:r>
      <w:r w:rsidRPr="0095448E">
        <w:fldChar w:fldCharType="end"/>
      </w:r>
      <w:r w:rsidRPr="0095448E">
        <w:t>. Among the chemicals, h</w:t>
      </w:r>
      <w:r w:rsidR="007A35AD" w:rsidRPr="0095448E">
        <w:t>igh value chemicals</w:t>
      </w:r>
      <w:r w:rsidRPr="0095448E">
        <w:t>, ammonia and methanol account for 73% of total energy use within the chemicals sector and have recently significantly grown</w:t>
      </w:r>
      <w:r w:rsidR="007340EA" w:rsidRPr="0095448E">
        <w:t xml:space="preserve"> in production</w:t>
      </w:r>
      <w:r w:rsidR="007A35AD" w:rsidRPr="0095448E">
        <w:t xml:space="preserve"> (19% growth for high value chemicals</w:t>
      </w:r>
      <w:r w:rsidRPr="0095448E">
        <w:t xml:space="preserve">, 13% for ammonia and 51% for methanol in the period 2009-2014). </w:t>
      </w:r>
      <w:r w:rsidR="00E35130" w:rsidRPr="0095448E">
        <w:t>In view of reaching</w:t>
      </w:r>
      <w:r w:rsidRPr="0095448E">
        <w:t xml:space="preserve"> carbon neutral</w:t>
      </w:r>
      <w:r w:rsidR="009B4ACC" w:rsidRPr="0095448E">
        <w:t>ity</w:t>
      </w:r>
      <w:r w:rsidR="00AC28DD" w:rsidRPr="0095448E">
        <w:t xml:space="preserve"> by </w:t>
      </w:r>
      <w:r w:rsidR="00E77DD9" w:rsidRPr="0095448E">
        <w:t xml:space="preserve">mid-century </w:t>
      </w:r>
      <w:r w:rsidRPr="0095448E">
        <w:t xml:space="preserve">to limit global warming to less than 2°C </w:t>
      </w:r>
      <w:r w:rsidRPr="0095448E">
        <w:fldChar w:fldCharType="begin" w:fldLock="1"/>
      </w:r>
      <w:r w:rsidRPr="0095448E">
        <w:instrText>ADDIN CSL_CITATION { "citationItems" : [ { "id" : "ITEM-1", "itemData" : { "URL" : "http://www.cop21.gouv.fr/wp-content/uploads/2015/12/l09r01.pdf", "author" : [ { "dropping-particle" : "", "family" : "COP21", "given" : "", "non-dropping-particle" : "", "parse-names" : false, "suffix" : "" } ], "editor" : [ { "dropping-particle" : "", "family" : "COP21", "given" : "", "non-dropping-particle" : "", "parse-names" : false, "suffix" : "" } ], "id" : "ITEM-1", "issue" : "05/ 02/ ", "issued" : { "date-parts" : [ [ "2015" ] ] }, "title" : "Adoption Of The Paris Agreement", "type" : "webpage", "volume" : "2016" }, "uris" : [ "http://www.mendeley.com/documents/?uuid=43b7dfe7-db57-4b2e-99a0-6df9323cebad" ] }, { "id" : "ITEM-2", "itemData" : { "DOI" : "10.1017/CBO9781107415324", "ISBN" : "ISBN 978-1-107-66182-0", "author" : [ { "dropping-particle" : "", "family" : "Edenhofer", "given" : "O", "non-dropping-particle" : "", "parse-names" : false, "suffix" : "" }, { "dropping-particle" : "", "family" : "Pichs-Madruga", "given" : "R", "non-dropping-particle" : "", "parse-names" : false, "suffix" : "" }, { "dropping-particle" : "", "family" : "Sokona", "given" : "Y", "non-dropping-particle" : "", "parse-names" : false, "suffix" : "" }, { "dropping-particle" : "", "family" : "Kadner", "given" : "S", "non-dropping-particle" : "", "parse-names" : false, "suffix" : "" }, { "dropping-particle" : "", "family" : "Minx", "given" : "J C", "non-dropping-particle" : "", "parse-names" : false, "suffix" : "" }, { "dropping-particle" : "", "family" : "Brunner", "given" : "S", "non-dropping-particle" : "", "parse-names" : false, "suffix" : "" }, { "dropping-particle" : "", "family" : "Agrawala", "given" : "S", "non-dropping-particle" : "", "parse-names" : false, "suffix" : "" }, { "dropping-particle" : "", "family" : "Baiocchi", "given" : "G", "non-dropping-particle" : "", "parse-names" : false, "suffix" : "" }, { "dropping-particle" : "", "family" : "Bashmakov", "given" : "I A", "non-dropping-particle" : "", "parse-names" : false, "suffix" : "" }, { "dropping-particle" : "", "family" : "Blanco", "given" : "G", "non-dropping-particle" : "", "parse-names" : false, "suffix" : "" }, { "dropping-particle" : "", "family" : "Broome", "given" : "J", "non-dropping-particle" : "", "parse-names" : false, "suffix" : "" }, { "dropping-particle" : "", "family" : "Bruckner", "given" : "T", "non-dropping-particle" : "", "parse-names" : false, "suffix" : "" }, { "dropping-particle" : "", "family" : "Bustamante", "given" : "M", "non-dropping-particle" : "", "parse-names" : false, "suffix" : "" }, { "dropping-particle" : "", "family" : "Clarke", "given" : "L", "non-dropping-particle" : "", "parse-names" : false, "suffix" : "" }, { "dropping-particle" : "", "family" : "Conte Grand", "given" : "M", "non-dropping-particle" : "", "parse-names" : false, "suffix" : "" }, { "dropping-particle" : "", "family" : "Creutzig", "given" : "F", "non-dropping-particle" : "", "parse-names" : false, "suffix" : "" }, { "dropping-particle" : "", "family" : "Cruz-N\u00fa\u00f1ez", "given" : "X", "non-dropping-particle" : "", "parse-names" : false, "suffix" : "" }, { "dropping-particle" : "", "family" : "Dhakal", "given" : "S", "non-dropping-particle" : "", "parse-names" : false, "suffix" : "" }, { "dropping-particle" : "", "family" : "Dubash", "given" : "N K", "non-dropping-particle" : "", "parse-names" : false, "suffix" : "" }, { "dropping-particle" : "", "family" : "Eickemeier", "given" : "P", "non-dropping-particle" : "", "parse-names" : false, "suffix" : "" }, { "dropping-particle" : "", "family" : "Farahani", "given" : "E", "non-dropping-particle" : "", "parse-names" : false, "suffix" : "" }, { "dropping-particle" : "", "family" : "Fischedick", "given" : "M", "non-dropping-particle" : "", "parse-names" : false, "suffix" : "" }, { "dropping-particle" : "", "family" : "Fleurbaey", "given" : "M", "non-dropping-particle" : "", "parse-names" : false, "suffix" : "" }, { "dropping-particle" : "", "family" : "Gerlagh", "given" : "R", "non-dropping-particle" : "", "parse-names" : false, "suffix" : "" }, { "dropping-particle" : "", "family" : "G\u00f3mez-Echeverri", "given" : "L", "non-dropping-particle" : "", "parse-names" : false, "suffix" : "" }, { "dropping-particle" : "", "family" : "Gupta", "given" : "S", "non-dropping-particle" : "", "parse-names" : false, "suffix" : "" }, { "dropping-particle" : "", "family" : "Harnisch", "given" : "J", "non-dropping-particle" : "", "parse-names" : false, "suffix" : "" }, { "dropping-particle" : "", "family" : "Jiang", "given" : "K", "non-dropping-particle" : "", "parse-names" : false, "suffix" : "" }, { "dropping-particle" : "", "family" : "Jotzo", "given" : "F", "non-dropping-particle" : "", "parse-names" : false, "suffix" : "" }, { "dropping-particle" : "", "family" : "Kartha", "given" : "S", "non-dropping-particle" : "", "parse-names" : false, "suffix" : "" }, { "dropping-particle" : "", "family" : "Klasen", "given" : "S", "non-dropping-particle" : "", "parse-names" : false, "suffix" : "" }, { "dropping-particle" : "", "family" : "Kolstad", "given" : "C", "non-dropping-particle" : "", "parse-names" : false, "suffix" : "" }, { "dropping-particle" : "", "family" : "Krey", "given" : "V", "non-dropping-particle" : "", "parse-names" : false, "suffix" : "" }, { "dropping-particle" : "", "family" : "Kunreuther", "given" : "H", "non-dropping-particle" : "", "parse-names" : false, "suffix" : "" }, { "dropping-particle" : "", "family" : "Lucon", "given" : "O", "non-dropping-particle" : "", "parse-names" : false, "suffix" : "" }, { "dropping-particle" : "", "family" : "Masera", "given" : "O", "non-dropping-particle" : "", "parse-names" : false, "suffix" : "" }, { "dropping-particle" : "", "family" : "Mulugetta", "given" : "Y", "non-dropping-particle" : "", "parse-names" : false, "suffix" : "" }, { "dropping-particle" : "", "family" : "Norgaard", "given" : "R B", "non-dropping-particle" : "", "parse-names" : false, "suffix" : "" }, { "dropping-particle" : "", "family" : "Patt", "given" : "A", "non-dropping-particle" : "", "parse-names" : false, "suffix" : "" }, { "dropping-particle" : "", "family" : "Ravindranath", "given" : "N H", "non-dropping-particle" : "", "parse-names" : false, "suffix" : "" }, { "dropping-particle" : "", "family" : "Riahi", "given" : "K", "non-dropping-particle" : "", "parse-names" : false, "suffix" : "" }, { "dropping-particle" : "", "family" : "Roy", "given" : "J", "non-dropping-particle" : "", "parse-names" : false, "suffix" : "" }, { "dropping-particle" : "", "family" : "Sagar", "given" : "A", "non-dropping-particle" : "", "parse-names" : false, "suffix" : "" }, { "dropping-particle" : "", "family" : "Schaeffer", "given" : "R", "non-dropping-particle" : "", "parse-names" : false, "suffix" : "" }, { "dropping-particle" : "", "family" : "Schl\u00f6mer", "given" : "S", "non-dropping-particle" : "", "parse-names" : false, "suffix" : "" }, { "dropping-particle" : "", "family" : "Seto", "given" : "K C", "non-dropping-particle" : "", "parse-names" : false, "suffix" : "" }, { "dropping-particle" : "", "family" : "Seyboth", "given" : "K", "non-dropping-particle" : "", "parse-names" : false, "suffix" : "" }, { "dropping-particle" : "", "family" : "Sims", "given" : "R", "non-dropping-particle" : "", "parse-names" : false, "suffix" : "" }, { "dropping-particle" : "", "family" : "Smith", "given" : "P", "non-dropping-particle" : "", "parse-names" : false, "suffix" : "" }, { "dropping-particle" : "", "family" : "Somanathan", "given" : "E", "non-dropping-particle" : "", "parse-names" : false, "suffix" : "" }, { "dropping-particle" : "", "family" : "Stavins", "given" : "R", "non-dropping-particle" : "", "parse-names" : false, "suffix" : "" }, { "dropping-particle" : "", "family" : "Stechow", "given" : "C", "non-dropping-particle" : "von", "parse-names" : false, "suffix" : "" }, { "dropping-particle" : "", "family" : "Sterner", "given" : "T", "non-dropping-particle" : "", "parse-names" : false, "suffix" : "" }, { "dropping-particle" : "", "family" : "Sugiyama", "given" : "T", "non-dropping-particle" : "", "parse-names" : false, "suffix" : "" }, { "dropping-particle" : "", "family" : "Suh", "given" : "S", "non-dropping-particle" : "", "parse-names" : false, "suffix" : "" }, { "dropping-particle" : "", "family" : "\u00dcrge-Vorsatz", "given" : "D", "non-dropping-particle" : "", "parse-names" : false, "suffix" : "" }, { "dropping-particle" : "", "family" : "Urama", "given" : "K", "non-dropping-particle" : "", "parse-names" : false, "suffix" : "" }, { "dropping-particle" : "", "family" : "Venables", "given" : "A", "non-dropping-particle" : "", "parse-names" : false, "suffix" : "" }, { "dropping-particle" : "", "family" : "Victor", "given" : "D G", "non-dropping-particle" : "", "parse-names" : false, "suffix" : "" }, { "dropping-particle" : "", "family" : "Weber", "given" : "E", "non-dropping-particle" : "", "parse-names" : false, "suffix" : "" }, { "dropping-particle" : "", "family" : "Zhou", "given" : "D", "non-dropping-particle" : "", "parse-names" : false, "suffix" : "" }, { "dropping-particle" : "", "family" : "Zou", "given" : "J", "non-dropping-particle" : "", "parse-names" : false, "suffix" : "" }, { "dropping-particle" : "", "family" : "Zwickel", "given" : "T", "non-dropping-particle" : "", "parse-names" : false, "suffix" : "" }, { "dropping-particle" : "", "family" : "IPCC", "given" : "", "non-dropping-particle" : "", "parse-names" : false, "suffix" : "" }, { "dropping-particle" : "", "family" : "Stocker", "given" : "T F", "non-dropping-particle" : "", "parse-names" : false, "suffix" : "" }, { "dropping-particle" : "", "family" : "Qin", "given" : "D", "non-dropping-particle" : "", "parse-names" : false, "suffix" : "" }, { "dropping-particle" : "", "family" : "Plattner", "given" : "G.-K.", "non-dropping-particle" : "", "parse-names" : false, "suffix" : "" }, { "dropping-particle" : "", "family" : "Tignor", "given" : "M", "non-dropping-particle" : "", "parse-names" : false, "suffix" : "" }, { "dropping-particle" : "", "family" : "Allen", "given" : "S K", "non-dropping-particle" : "", "parse-names" : false, "suffix" : "" }, { "dropping-particle" : "", "family" : "Boschung", "given" : "J", "non-dropping-particle" : "", "parse-names" : false, "suffix" : "" }, { "dropping-particle" : "", "family" : "Nauels", "given" : "A", "non-dropping-particle" : "", "parse-names" : false, "suffix" : "" }, { "dropping-particle" : "", "family" : "Xia", "given" : "Y", "non-dropping-particle" : "", "parse-names" : false, "suffix" : "" }, { "dropping-particle" : "", "family" : "Bex", "given" : "V", "non-dropping-particle" : "", "parse-names" : false, "suffix" : "" }, { "dropping-particle" : "", "family" : "Midgley", "given" : "P M", "non-dropping-particle" : "", "parse-names" : false, "suffix" : "" } ], "chapter-number" : "Technical", "id" : "ITEM-2", "issued" : { "date-parts" : [ [ "2014" ] ] }, "number-of-pages" : "1535", "publisher" : "Cambridge University Press", "publisher-place" : "Cambridge, United Kingdom and New York, NY, USA", "title" : "Climate Change 2014: Mitigation of Climate Change. Contribution of Working Group III to the Fifth Assessment Report of the Intergovernmental Panel on Climate Change", "type" : "book" }, "uris" : [ "http://www.mendeley.com/documents/?uuid=0a17039f-7a8f-430d-850d-cb4c07c9ad06" ] }, { "id" : "ITEM-3", "itemData" : { "URL" : "https://tntcat.iiasa.ac.at/SspDb/dsd?Action=htmlpage&amp;page=about", "author" : [ { "dropping-particle" : "", "family" : "IIASA", "given" : "", "non-dropping-particle" : "", "parse-names" : false, "suffix" : "" } ], "id" : "ITEM-3", "issue" : "29/ 11/ ", "issued" : { "date-parts" : [ [ "2016" ] ] }, "title" : "SSP Database (Shared Socioeconomic Pathways) - Version 1.1", "type" : "webpage", "volume" : "2017" }, "uris" : [ "http://www.mendeley.com/documents/?uuid=597aae85-7ac7-4264-aff3-5c433a3ec378" ] } ], "mendeley" : { "formattedCitation" : "(COP21, 2015; Edenhofer et al., 2014; IIASA, 2016)", "plainTextFormattedCitation" : "(COP21, 2015; Edenhofer et al., 2014; IIASA, 2016)", "previouslyFormattedCitation" : "[3\u20135]" }, "properties" : { "noteIndex" : 0 }, "schema" : "https://github.com/citation-style-language/schema/raw/master/csl-citation.json" }</w:instrText>
      </w:r>
      <w:r w:rsidRPr="0095448E">
        <w:fldChar w:fldCharType="separate"/>
      </w:r>
      <w:r w:rsidRPr="0095448E">
        <w:rPr>
          <w:noProof/>
        </w:rPr>
        <w:t>(COP21, 2015)</w:t>
      </w:r>
      <w:r w:rsidRPr="0095448E">
        <w:fldChar w:fldCharType="end"/>
      </w:r>
      <w:r w:rsidRPr="0095448E">
        <w:t xml:space="preserve">, the chemical industry would need to reduce its energy consumption from 1.5% per year to 1.2% per year </w:t>
      </w:r>
      <w:r w:rsidRPr="0095448E">
        <w:fldChar w:fldCharType="begin" w:fldLock="1"/>
      </w:r>
      <w:r w:rsidRPr="0095448E">
        <w:instrText>ADDIN CSL_CITATION { "citationItems" : [ { "id" : "ITEM-1", "itemData" : { "DOI" : "10.1787/energy_tech-2017-en", "ISBN" : "9789264270503", "ISSN" : "1466-187X", "PMID" : "16277811", "author" : [ { "dropping-particle" : "", "family" : "IEA", "given" : "", "non-dropping-particle" : "", "parse-names" : false, "suffix" : "" } ], "id" : "ITEM-1", "issued" : { "date-parts" : [ [ "2017" ] ] }, "title" : "Energy Technology Perspectives 2017 Catalysing Energy Technology Transformations Together Secure Sustainable", "type" : "report" }, "uris" : [ "http://www.mendeley.com/documents/?uuid=d24bd6c4-f8cf-494c-92a7-b10be9352486" ] } ], "mendeley" : { "formattedCitation" : "(IEA, 2017)", "plainTextFormattedCitation" : "(IEA, 2017)", "previouslyFormattedCitation" : "[1]" }, "properties" : { "noteIndex" : 0 }, "schema" : "https://github.com/citation-style-language/schema/raw/master/csl-citation.json" }</w:instrText>
      </w:r>
      <w:r w:rsidRPr="0095448E">
        <w:fldChar w:fldCharType="separate"/>
      </w:r>
      <w:r w:rsidRPr="0095448E">
        <w:rPr>
          <w:noProof/>
        </w:rPr>
        <w:t>(IEA, 2017)</w:t>
      </w:r>
      <w:r w:rsidRPr="0095448E">
        <w:fldChar w:fldCharType="end"/>
      </w:r>
      <w:r w:rsidRPr="0095448E">
        <w:t>.</w:t>
      </w:r>
    </w:p>
    <w:p w14:paraId="0F663DC3" w14:textId="25073D84" w:rsidR="00FA072F" w:rsidRPr="0095448E" w:rsidRDefault="00FA072F" w:rsidP="00FA072F">
      <w:pPr>
        <w:pStyle w:val="TAMainText"/>
      </w:pPr>
      <w:r w:rsidRPr="0095448E">
        <w:t xml:space="preserve">Decarbonisation in industry can be achieved through energy saving technologies, fuel switching, management approaches, imposition of standards, fiscal policies and agreements on specific energy targets </w:t>
      </w:r>
      <w:r w:rsidRPr="0095448E">
        <w:fldChar w:fldCharType="begin" w:fldLock="1"/>
      </w:r>
      <w:r w:rsidRPr="0095448E">
        <w:instrText>ADDIN CSL_CITATION { "citationItems" : [ { "id" : "ITEM-1", "itemData" : { "DOI" : "http://dx.doi.org/10.1016/j.rser.2010.09.003", "ISBN" : "1364-0321", "author" : [ { "dropping-particle" : "", "family" : "Abdelaziz", "given" : "E A", "non-dropping-particle" : "", "parse-names" : false, "suffix" : "" }, { "dropping-particle" : "", "family" : "Saidur", "given" : "R", "non-dropping-particle" : "", "parse-names" : false, "suffix" : "" }, { "dropping-particle" : "", "family" : "Mekhilef", "given" : "S", "non-dropping-particle" : "", "parse-names" : false, "suffix" : "" } ], "container-title" : "Renewable and Sustainable Energy Reviews", "id" : "ITEM-1", "issue" : "1", "issued" : { "date-parts" : [ [ "2011" ] ] }, "page" : "150-168", "title" : "A review on energy saving strategies in industrial sector", "type" : "article-journal", "volume" : "15" }, "uris" : [ "http://www.mendeley.com/documents/?uuid=eda5f80f-e7b6-41ee-8c83-a407db8038db" ] } ], "mendeley" : { "formattedCitation" : "(Abdelaziz et al., 2011)", "plainTextFormattedCitation" : "(Abdelaziz et al., 2011)", "previouslyFormattedCitation" : "[7]" }, "properties" : { "noteIndex" : 0 }, "schema" : "https://github.com/citation-style-language/schema/raw/master/csl-citation.json" }</w:instrText>
      </w:r>
      <w:r w:rsidRPr="0095448E">
        <w:fldChar w:fldCharType="separate"/>
      </w:r>
      <w:r w:rsidRPr="0095448E">
        <w:rPr>
          <w:noProof/>
        </w:rPr>
        <w:t>(Abdelaziz et al., 2011)</w:t>
      </w:r>
      <w:r w:rsidRPr="0095448E">
        <w:fldChar w:fldCharType="end"/>
      </w:r>
      <w:r w:rsidRPr="0095448E">
        <w:t xml:space="preserve">, light-weighting, and non-destructive recycling </w:t>
      </w:r>
      <w:r w:rsidRPr="0095448E">
        <w:fldChar w:fldCharType="begin" w:fldLock="1"/>
      </w:r>
      <w:r w:rsidRPr="0095448E">
        <w:instrText>ADDIN CSL_CITATION { "citationItems" : [ { "id" : "ITEM-1", "itemData" : { "DOI" : "10.1021/es902909k", "ISBN" : "0013-936X", "author" : [ { "dropping-particle" : "", "family" : "Allwood", "given" : "Julian M", "non-dropping-particle" : "", "parse-names" : false, "suffix" : "" }, { "dropping-particle" : "", "family" : "Cullen", "given" : "Jonathan M", "non-dropping-particle" : "", "parse-names" : false, "suffix" : "" }, { "dropping-particle" : "", "family" : "Milford", "given" : "Rachel L", "non-dropping-particle" : "", "parse-names" : false, "suffix" : "" } ], "container-title" : "Environmental Science &amp; Technology", "id" : "ITEM-1", "issue" : "6", "issued" : { "date-parts" : [ [ "2010" ] ] }, "page" : "1888-1894", "publisher" : "American Chemical Society", "title" : "Options for Achieving a 50% Cut in Industrial Carbon Emissions by 2050", "type" : "article-journal", "volume" : "44" }, "uris" : [ "http://www.mendeley.com/documents/?uuid=206e6344-25be-44c1-86fb-952e2ad64930" ] } ], "mendeley" : { "formattedCitation" : "(Allwood et al., 2010)", "plainTextFormattedCitation" : "(Allwood et al., 2010)", "previouslyFormattedCitation" : "[8]" }, "properties" : { "noteIndex" : 0 }, "schema" : "https://github.com/citation-style-language/schema/raw/master/csl-citation.json" }</w:instrText>
      </w:r>
      <w:r w:rsidRPr="0095448E">
        <w:fldChar w:fldCharType="separate"/>
      </w:r>
      <w:r w:rsidRPr="0095448E">
        <w:rPr>
          <w:noProof/>
        </w:rPr>
        <w:t>(Allwood et al., 2010)</w:t>
      </w:r>
      <w:r w:rsidRPr="0095448E">
        <w:fldChar w:fldCharType="end"/>
      </w:r>
      <w:r w:rsidRPr="0095448E">
        <w:t xml:space="preserve">. </w:t>
      </w:r>
      <w:r w:rsidR="009B4ACC" w:rsidRPr="0095448E">
        <w:t>In the chemical industry, there is an urgent call for novel processing routes which could move away from the current use of</w:t>
      </w:r>
      <w:r w:rsidRPr="0095448E">
        <w:t xml:space="preserve"> fossil hydrocarbons </w:t>
      </w:r>
      <w:r w:rsidRPr="0095448E">
        <w:fldChar w:fldCharType="begin" w:fldLock="1"/>
      </w:r>
      <w:r w:rsidRPr="0095448E">
        <w:instrText>ADDIN CSL_CITATION { "citationItems" : [ { "id" : "ITEM-1", "itemData" : { "DOI" : "10.1787/energy_tech-2017-en", "ISBN" : "9789264270503", "ISSN" : "1466-187X", "PMID" : "16277811", "author" : [ { "dropping-particle" : "", "family" : "IEA", "given" : "", "non-dropping-particle" : "", "parse-names" : false, "suffix" : "" } ], "id" : "ITEM-1", "issued" : { "date-parts" : [ [ "2017" ] ] }, "title" : "Energy Technology Perspectives 2017 Catalysing Energy Technology Transformations Together Secure Sustainable", "type" : "report" }, "uris" : [ "http://www.mendeley.com/documents/?uuid=d24bd6c4-f8cf-494c-92a7-b10be9352486" ] } ], "mendeley" : { "formattedCitation" : "(IEA, 2017)", "plainTextFormattedCitation" : "(IEA, 2017)", "previouslyFormattedCitation" : "[1]" }, "properties" : { "noteIndex" : 0 }, "schema" : "https://github.com/citation-style-language/schema/raw/master/csl-citation.json" }</w:instrText>
      </w:r>
      <w:r w:rsidRPr="0095448E">
        <w:fldChar w:fldCharType="separate"/>
      </w:r>
      <w:r w:rsidRPr="0095448E">
        <w:rPr>
          <w:noProof/>
        </w:rPr>
        <w:t>(IEA, 2017)</w:t>
      </w:r>
      <w:r w:rsidRPr="0095448E">
        <w:fldChar w:fldCharType="end"/>
      </w:r>
      <w:r w:rsidRPr="0095448E">
        <w:t xml:space="preserve">. </w:t>
      </w:r>
      <w:r w:rsidR="003B509E" w:rsidRPr="0095448E">
        <w:t>H</w:t>
      </w:r>
      <w:r w:rsidRPr="0095448E">
        <w:t>igher capital costs at which novel technologies are available</w:t>
      </w:r>
      <w:r w:rsidR="00B97A67" w:rsidRPr="0095448E">
        <w:t xml:space="preserve"> prevent</w:t>
      </w:r>
      <w:r w:rsidR="003B509E" w:rsidRPr="0095448E">
        <w:t xml:space="preserve"> </w:t>
      </w:r>
      <w:r w:rsidRPr="0095448E">
        <w:t>investment</w:t>
      </w:r>
      <w:r w:rsidR="003B509E" w:rsidRPr="0095448E">
        <w:t>s</w:t>
      </w:r>
      <w:r w:rsidRPr="0095448E">
        <w:t>, especially for small companies in developing countries</w:t>
      </w:r>
      <w:r w:rsidR="007340EA" w:rsidRPr="0095448E">
        <w:t xml:space="preserve"> </w:t>
      </w:r>
      <w:r w:rsidRPr="0095448E">
        <w:fldChar w:fldCharType="begin" w:fldLock="1"/>
      </w:r>
      <w:r w:rsidRPr="0095448E">
        <w:instrText>ADDIN CSL_CITATION { "citationItems" : [ { "id" : "ITEM-1", "itemData" : { "abstract" : "This paper uses survey data compiled by the National Federation of Independent Business to analyze the capital budgeting practices of small firms. While large firms tend to rely on the discounted cash flow analysis favored by finance texts, many small firms evaluate projects using the payback period or the owner\u2019s gut feel. The limited education background of some business owners and small staff sizes partly explain why small firms use these relatively unsophisticated project evaluation tools. However, we also identify specific business reasons\u2014including liquidity concerns and cash flow estimation challenges\u2014to explain why small firms do not exclusively use discounted cash flow analysis when evaluating projects. These results suggest that optimal investment evaluation procedures for large and small firms might differ. [G31]", "author" : [ { "dropping-particle" : "", "family" : "Danielson", "given" : "Morris", "non-dropping-particle" : "", "parse-names" : false, "suffix" : "" }, { "dropping-particle" : "", "family" : "Scott", "given" : "Jonathan", "non-dropping-particle" : "", "parse-names" : false, "suffix" : "" } ], "id" : "ITEM-1", "issued" : { "date-parts" : [ [ "2006" ] ] }, "title" : "The capital budgeting decisions of small businesses", "type" : "book", "volume" : "16" }, "uris" : [ "http://www.mendeley.com/documents/?uuid=c996bf07-8ab0-43e8-ab4f-647ff2dcb520" ] } ], "mendeley" : { "formattedCitation" : "(Danielson and Scott, 2006)", "plainTextFormattedCitation" : "(Danielson and Scott, 2006)", "previouslyFormattedCitation" : "[6]" }, "properties" : { "noteIndex" : 0 }, "schema" : "https://github.com/citation-style-language/schema/raw/master/csl-citation.json" }</w:instrText>
      </w:r>
      <w:r w:rsidRPr="0095448E">
        <w:fldChar w:fldCharType="separate"/>
      </w:r>
      <w:r w:rsidRPr="0095448E">
        <w:rPr>
          <w:noProof/>
        </w:rPr>
        <w:t>(Danielson and Scott, 2006)</w:t>
      </w:r>
      <w:r w:rsidRPr="0095448E">
        <w:fldChar w:fldCharType="end"/>
      </w:r>
      <w:r w:rsidRPr="0095448E">
        <w:t xml:space="preserve">. In many circumstances, also institutional, </w:t>
      </w:r>
      <w:r w:rsidR="009B4ACC" w:rsidRPr="0095448E">
        <w:t>organizational,</w:t>
      </w:r>
      <w:r w:rsidRPr="0095448E">
        <w:t xml:space="preserve"> and individual considerations might come into play leading to apparently irrational behaviours </w:t>
      </w:r>
      <w:r w:rsidRPr="0095448E">
        <w:fldChar w:fldCharType="begin" w:fldLock="1"/>
      </w:r>
      <w:r w:rsidRPr="0095448E">
        <w:instrText>ADDIN CSL_CITATION { "citationItems" : [ { "id" : "ITEM-1", "itemData" : { "DOI" : "http://dx.doi.org/10.1016/j.jclepro.2017.06.143", "ISBN" : "0959-6526", "abstract" : "The integration of environmental, social and governance (ESG) criteria into the evaluation process of assets is a theme that is widely accepted among socially responsible investors. In this process, however, the integration of investors\u2019 preferences has not been adequately developed. The challenge is to integrate the preferences of heterogeneous investors\u2014not only conventional investors but also investors who are particularly sensitive to sustainability issues (socially responsible investors)\u2014considering that socially responsible investors are not necessarily homogeneous. This paper attempts to address this challenge by developing a methodological approach based on an application of fuzzy multicriteria decision-making methods (MCDM) to integrate ESG investors\u2019 preferences, as jointly considered. Because investors\u2019 preferences may vary depending on which material aspects are considered within a sector, this study has been tested using clothing-sector data. Results confirm the usefulness of the methodological approach proposed for a proper generation of a \u2018commercial solution\u2019 that integrates the preferences of various investors and simultaneously is consistent with individually defined preferences.", "author" : [ { "dropping-particle" : "", "family" : "Escrig-Olmedo", "given" : "Elena", "non-dropping-particle" : "", "parse-names" : false, "suffix" : "" }, { "dropping-particle" : "", "family" : "Rivera-Lirio", "given" : "Juana Mar\u00eda", "non-dropping-particle" : "", "parse-names" : false, "suffix" : "" }, { "dropping-particle" : "", "family" : "Mu\u00f1oz-Torres", "given" : "Mar\u00eda Jes\u00fas", "non-dropping-particle" : "", "parse-names" : false, "suffix" : "" }, { "dropping-particle" : "", "family" : "Fern\u00e1ndez-Izquierdo", "given" : "Mar\u00eda \u00c1ngeles", "non-dropping-particle" : "", "parse-names" : false, "suffix" : "" } ], "container-title" : "Journal of Cleaner Production", "id" : "ITEM-1", "issued" : { "date-parts" : [ [ "2017" ] ] }, "page" : "1334-1345", "title" : "Integrating multiple ESG investors' preferences into sustainable investment: A fuzzy multicriteria methodological approach", "type" : "article-journal", "volume" : "162" }, "uris" : [ "http://www.mendeley.com/documents/?uuid=9636b3a0-3a6e-469f-b227-d1519a6e084c" ] } ], "mendeley" : { "formattedCitation" : "(Escrig-Olmedo et al., 2017)", "plainTextFormattedCitation" : "(Escrig-Olmedo et al., 2017)", "previouslyFormattedCitation" : "[41]" }, "properties" : { "noteIndex" : 0 }, "schema" : "https://github.com/citation-style-language/schema/raw/master/csl-citation.json" }</w:instrText>
      </w:r>
      <w:r w:rsidRPr="0095448E">
        <w:fldChar w:fldCharType="separate"/>
      </w:r>
      <w:r w:rsidRPr="0095448E">
        <w:rPr>
          <w:noProof/>
        </w:rPr>
        <w:t>(Escrig-Olmedo et al., 2017)</w:t>
      </w:r>
      <w:r w:rsidRPr="0095448E">
        <w:fldChar w:fldCharType="end"/>
      </w:r>
      <w:r w:rsidRPr="0095448E">
        <w:t>. For example, energy efficient solutions might not be known to the investors, or, if known</w:t>
      </w:r>
      <w:r w:rsidR="00B97A67" w:rsidRPr="0095448E">
        <w:t>, they</w:t>
      </w:r>
      <w:r w:rsidRPr="0095448E">
        <w:t xml:space="preserve"> might be not implemented even when the payback time </w:t>
      </w:r>
      <w:r w:rsidRPr="0095448E">
        <w:lastRenderedPageBreak/>
        <w:t xml:space="preserve">is very short </w:t>
      </w:r>
      <w:r w:rsidRPr="0095448E">
        <w:fldChar w:fldCharType="begin" w:fldLock="1"/>
      </w:r>
      <w:r w:rsidRPr="0095448E">
        <w:instrText>ADDIN CSL_CITATION { "citationItems" : [ { "id" : "ITEM-1", "itemData" : { "DOI" : "http://dx.doi.org/10.1016/j.apenergy.2010.04.019", "ISBN" : "0306-2619", "author" : [ { "dropping-particle" : "", "family" : "Palm", "given" : "Jenny", "non-dropping-particle" : "", "parse-names" : false, "suffix" : "" }, { "dropping-particle" : "", "family" : "Thollander", "given" : "Patrik", "non-dropping-particle" : "", "parse-names" : false, "suffix" : "" } ], "container-title" : "Applied Energy", "id" : "ITEM-1", "issue" : "10", "issued" : { "date-parts" : [ [ "2010" ] ] }, "page" : "2033-2042", "title" : "An interdisciplinary perspective on industrial energy efficiency", "type" : "article-journal", "volume" : "87" }, "uris" : [ "http://www.mendeley.com/documents/?uuid=5d845623-a632-43b0-88a6-04e4bf1ac56f" ] } ], "mendeley" : { "formattedCitation" : "(Palm and Thollander, 2010)", "plainTextFormattedCitation" : "(Palm and Thollander, 2010)", "previouslyFormattedCitation" : "[37]" }, "properties" : { "noteIndex" : 0 }, "schema" : "https://github.com/citation-style-language/schema/raw/master/csl-citation.json" }</w:instrText>
      </w:r>
      <w:r w:rsidRPr="0095448E">
        <w:fldChar w:fldCharType="separate"/>
      </w:r>
      <w:r w:rsidRPr="0095448E">
        <w:rPr>
          <w:noProof/>
        </w:rPr>
        <w:t>(Palm and Thollander, 2010)</w:t>
      </w:r>
      <w:r w:rsidRPr="0095448E">
        <w:fldChar w:fldCharType="end"/>
      </w:r>
      <w:r w:rsidRPr="0095448E">
        <w:t xml:space="preserve">. Hidden costs, access to capital, split incentives, risks and uncertainty are also barriers to technology innovation </w:t>
      </w:r>
      <w:r w:rsidRPr="0095448E">
        <w:fldChar w:fldCharType="begin" w:fldLock="1"/>
      </w:r>
      <w:r w:rsidRPr="0095448E">
        <w:instrText>ADDIN CSL_CITATION { "citationItems" : [ { "id" : "ITEM-1", "itemData" : { "DOI" : "http://dx.doi.org/10.1016/j.rser.2011.03.025", "ISBN" : "1364-0321", "author" : [ { "dropping-particle" : "", "family" : "Fleiter", "given" : "Tobias", "non-dropping-particle" : "", "parse-names" : false, "suffix" : "" }, { "dropping-particle" : "", "family" : "Worrell", "given" : "Ernst", "non-dropping-particle" : "", "parse-names" : false, "suffix" : "" }, { "dropping-particle" : "", "family" : "Eichhammer", "given" : "Wolfgang", "non-dropping-particle" : "", "parse-names" : false, "suffix" : "" } ], "container-title" : "Renewable and Sustainable Energy Reviews", "id" : "ITEM-1", "issue" : "6", "issued" : { "date-parts" : [ [ "2011" ] ] }, "page" : "3099-3111", "title" : "Barriers to energy efficiency in industrial bottom-up energy demand models -- a review", "type" : "article-journal", "volume" : "15" }, "uris" : [ "http://www.mendeley.com/documents/?uuid=581c3689-cb87-4d35-832e-46d03ba500a5" ] } ], "mendeley" : { "formattedCitation" : "(Fleiter et al., 2011)", "plainTextFormattedCitation" : "(Fleiter et al., 2011)", "previouslyFormattedCitation" : "[38]" }, "properties" : { "noteIndex" : 0 }, "schema" : "https://github.com/citation-style-language/schema/raw/master/csl-citation.json" }</w:instrText>
      </w:r>
      <w:r w:rsidRPr="0095448E">
        <w:fldChar w:fldCharType="separate"/>
      </w:r>
      <w:r w:rsidRPr="0095448E">
        <w:rPr>
          <w:noProof/>
        </w:rPr>
        <w:t>(Fleiter et al., 2011)</w:t>
      </w:r>
      <w:r w:rsidRPr="0095448E">
        <w:fldChar w:fldCharType="end"/>
      </w:r>
      <w:r w:rsidRPr="0095448E">
        <w:t>.</w:t>
      </w:r>
    </w:p>
    <w:p w14:paraId="605C2114" w14:textId="0059A7C6" w:rsidR="00FA072F" w:rsidRPr="0095448E" w:rsidRDefault="00FA072F" w:rsidP="00FA072F">
      <w:pPr>
        <w:pStyle w:val="TAMainText"/>
      </w:pPr>
      <w:r w:rsidRPr="0095448E">
        <w:t xml:space="preserve">As the industrial manufacturing is progressively concentrating in the non-OECD regions, there is great attention </w:t>
      </w:r>
      <w:r w:rsidR="009B4ACC" w:rsidRPr="0095448E">
        <w:t>to</w:t>
      </w:r>
      <w:r w:rsidRPr="0095448E">
        <w:t xml:space="preserve"> the decarbonisation of developing countries</w:t>
      </w:r>
      <w:r w:rsidR="00B97A67" w:rsidRPr="0095448E">
        <w:t>. As capital cost</w:t>
      </w:r>
      <w:r w:rsidRPr="0095448E">
        <w:t xml:space="preserve"> is the main metric used for investments decisions </w:t>
      </w:r>
      <w:r w:rsidRPr="0095448E">
        <w:fldChar w:fldCharType="begin" w:fldLock="1"/>
      </w:r>
      <w:r w:rsidRPr="0095448E">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"mendeley" : { "formattedCitation" : "(Hermes et al., 2007)", "plainTextFormattedCitation" : "(Hermes et al., 2007)", "previouslyFormattedCitation" : "[9]" }, "properties" : { "noteIndex" : 0 }, "schema" : "https://github.com/citation-style-language/schema/raw/master/csl-citation.json" }</w:instrText>
      </w:r>
      <w:r w:rsidRPr="0095448E">
        <w:fldChar w:fldCharType="separate"/>
      </w:r>
      <w:r w:rsidRPr="0095448E">
        <w:rPr>
          <w:noProof/>
        </w:rPr>
        <w:t>(Hermes et al., 2007)</w:t>
      </w:r>
      <w:r w:rsidRPr="0095448E">
        <w:fldChar w:fldCharType="end"/>
      </w:r>
      <w:r w:rsidR="00B97A67" w:rsidRPr="0095448E">
        <w:t xml:space="preserve"> in emerging economies, such as China, </w:t>
      </w:r>
      <w:r w:rsidRPr="0095448E">
        <w:t xml:space="preserve">the introduction of novel </w:t>
      </w:r>
      <w:r w:rsidR="00B97A67" w:rsidRPr="0095448E">
        <w:t xml:space="preserve">and low-emitting </w:t>
      </w:r>
      <w:r w:rsidRPr="0095448E">
        <w:t xml:space="preserve">technologies </w:t>
      </w:r>
      <w:r w:rsidR="00B97A67" w:rsidRPr="0095448E">
        <w:t>is more challenged</w:t>
      </w:r>
      <w:r w:rsidRPr="0095448E">
        <w:t>.</w:t>
      </w:r>
    </w:p>
    <w:p w14:paraId="15245E47" w14:textId="268354CD" w:rsidR="00807056" w:rsidRPr="0095448E" w:rsidRDefault="00807056" w:rsidP="00807056">
      <w:pPr>
        <w:pStyle w:val="TAMainText"/>
      </w:pPr>
      <w:r w:rsidRPr="0095448E">
        <w:t xml:space="preserve">With a production of more than 150 Mt in 2015 (USGS, 2017), ammonia is one of most abundantly manufactured </w:t>
      </w:r>
      <w:r w:rsidR="00B26F4D" w:rsidRPr="0095448E">
        <w:t xml:space="preserve">high-value </w:t>
      </w:r>
      <w:r w:rsidRPr="0095448E">
        <w:t>chemicals</w:t>
      </w:r>
      <w:r w:rsidR="009B4ACC" w:rsidRPr="0095448E">
        <w:t xml:space="preserve">, at the same time being highly energy </w:t>
      </w:r>
      <w:r w:rsidR="003B509E" w:rsidRPr="0095448E">
        <w:t xml:space="preserve">and emission intensive, </w:t>
      </w:r>
      <w:r w:rsidR="009B4ACC" w:rsidRPr="0095448E">
        <w:t>with about 1,000 PJ of energy consumption and 360 Mt CO</w:t>
      </w:r>
      <w:r w:rsidR="009B4ACC" w:rsidRPr="0095448E">
        <w:rPr>
          <w:vertAlign w:val="subscript"/>
        </w:rPr>
        <w:t>2</w:t>
      </w:r>
      <w:r w:rsidR="009B4ACC" w:rsidRPr="0095448E">
        <w:t>-eq emitted worldwide</w:t>
      </w:r>
      <w:r w:rsidR="003B509E" w:rsidRPr="0095448E">
        <w:t xml:space="preserve"> in 2015 (Schiffer et al.,</w:t>
      </w:r>
      <w:r w:rsidR="009B4ACC" w:rsidRPr="0095448E">
        <w:t xml:space="preserve"> 2017).</w:t>
      </w:r>
      <w:r w:rsidRPr="0095448E">
        <w:t xml:space="preserve"> </w:t>
      </w:r>
      <w:r w:rsidR="009B4ACC" w:rsidRPr="0095448E">
        <w:t>Ammonia</w:t>
      </w:r>
      <w:r w:rsidRPr="0095448E">
        <w:t xml:space="preserve"> demand is expected to increase mainly driven by urea-based fertilisers which are projected to keep growing although at lower rates compared to t</w:t>
      </w:r>
      <w:r w:rsidR="003B509E" w:rsidRPr="0095448E">
        <w:t>he past because of uncertain</w:t>
      </w:r>
      <w:r w:rsidRPr="0095448E">
        <w:t xml:space="preserve"> biofuel regulation</w:t>
      </w:r>
      <w:r w:rsidR="003B509E" w:rsidRPr="0095448E">
        <w:t>s</w:t>
      </w:r>
      <w:r w:rsidRPr="0095448E">
        <w:t>, limits on nitrogen appli</w:t>
      </w:r>
      <w:r w:rsidR="003B509E" w:rsidRPr="0095448E">
        <w:t>cations</w:t>
      </w:r>
      <w:r w:rsidRPr="0095448E">
        <w:t>, as well as geopolitical tensions affecting the commodity market (IFA, 2019).</w:t>
      </w:r>
      <w:r w:rsidR="0065559B" w:rsidRPr="0095448E">
        <w:t xml:space="preserve"> </w:t>
      </w:r>
      <w:r w:rsidR="001F5DD5" w:rsidRPr="0095448E">
        <w:t>A n</w:t>
      </w:r>
      <w:r w:rsidR="0065559B" w:rsidRPr="0095448E">
        <w:t xml:space="preserve">ew </w:t>
      </w:r>
      <w:r w:rsidR="001F5DD5" w:rsidRPr="0095448E">
        <w:t>demand</w:t>
      </w:r>
      <w:r w:rsidR="0065559B" w:rsidRPr="0095448E">
        <w:t xml:space="preserve"> for ammon</w:t>
      </w:r>
      <w:r w:rsidR="003B509E" w:rsidRPr="0095448E">
        <w:t>ia c</w:t>
      </w:r>
      <w:r w:rsidR="001F5DD5" w:rsidRPr="0095448E">
        <w:t>ould also come from</w:t>
      </w:r>
      <w:r w:rsidR="00F833E3" w:rsidRPr="0095448E">
        <w:t xml:space="preserve"> the fuel market as</w:t>
      </w:r>
      <w:r w:rsidR="001F5DD5" w:rsidRPr="0095448E">
        <w:t xml:space="preserve"> </w:t>
      </w:r>
      <w:r w:rsidR="00F833E3" w:rsidRPr="0095448E">
        <w:t xml:space="preserve">a potential hydrogen carrier </w:t>
      </w:r>
      <w:r w:rsidR="00233573" w:rsidRPr="0095448E">
        <w:t>(Bicer et al., 2017).</w:t>
      </w:r>
    </w:p>
    <w:p w14:paraId="2F417DF2" w14:textId="6A605033" w:rsidR="00807056" w:rsidRPr="0095448E" w:rsidRDefault="00807056" w:rsidP="00807056">
      <w:pPr>
        <w:pStyle w:val="TAMainText"/>
      </w:pPr>
      <w:r w:rsidRPr="0095448E">
        <w:t>Ammonia manufacturing is based on the Haber-Bosch process, which uses molecular hydrogen and nitrogen</w:t>
      </w:r>
      <w:r w:rsidR="00557B62" w:rsidRPr="0095448E">
        <w:t>. The</w:t>
      </w:r>
      <w:r w:rsidRPr="0095448E">
        <w:t xml:space="preserve"> source of hydrogen i</w:t>
      </w:r>
      <w:r w:rsidR="003B509E" w:rsidRPr="0095448E">
        <w:t>s the reforming of fossil-fuels.</w:t>
      </w:r>
      <w:r w:rsidR="00557B62" w:rsidRPr="0095448E">
        <w:t xml:space="preserve"> </w:t>
      </w:r>
      <w:r w:rsidR="003B509E" w:rsidRPr="0095448E">
        <w:t>I</w:t>
      </w:r>
      <w:r w:rsidR="00557B62" w:rsidRPr="0095448E">
        <w:t>n China, the leading producing country with</w:t>
      </w:r>
      <w:r w:rsidRPr="0095448E">
        <w:t xml:space="preserve"> a</w:t>
      </w:r>
      <w:r w:rsidR="00557B62" w:rsidRPr="0095448E">
        <w:t xml:space="preserve">bout a third of </w:t>
      </w:r>
      <w:r w:rsidRPr="0095448E">
        <w:t xml:space="preserve">global </w:t>
      </w:r>
      <w:r w:rsidR="00B26F4D" w:rsidRPr="0095448E">
        <w:t xml:space="preserve">ammonia </w:t>
      </w:r>
      <w:r w:rsidRPr="0095448E">
        <w:t xml:space="preserve">production (USGS, 2017), </w:t>
      </w:r>
      <w:r w:rsidR="00557B62" w:rsidRPr="0095448E">
        <w:t>the reliance on coal results</w:t>
      </w:r>
      <w:r w:rsidRPr="0095448E">
        <w:t xml:space="preserve"> in a highly emitting manufacturing process</w:t>
      </w:r>
      <w:r w:rsidR="00557B62" w:rsidRPr="0095448E">
        <w:t>,</w:t>
      </w:r>
      <w:r w:rsidR="00AC525F" w:rsidRPr="0095448E">
        <w:t xml:space="preserve"> with</w:t>
      </w:r>
      <w:r w:rsidRPr="0095448E">
        <w:t xml:space="preserve"> </w:t>
      </w:r>
      <w:r w:rsidR="00557B62" w:rsidRPr="0095448E">
        <w:t xml:space="preserve">a subsector total </w:t>
      </w:r>
      <w:r w:rsidR="000B0DBD" w:rsidRPr="0095448E">
        <w:t xml:space="preserve">emission </w:t>
      </w:r>
      <w:r w:rsidR="00557B62" w:rsidRPr="0095448E">
        <w:t>equal</w:t>
      </w:r>
      <w:r w:rsidRPr="0095448E">
        <w:t xml:space="preserve"> 185.05 Mt of CO</w:t>
      </w:r>
      <w:r w:rsidRPr="0095448E">
        <w:rPr>
          <w:vertAlign w:val="subscript"/>
        </w:rPr>
        <w:t>2</w:t>
      </w:r>
      <w:r w:rsidRPr="0095448E">
        <w:t xml:space="preserve"> in 2007 (Zhu et al., 2010). Emerging solutions for a less</w:t>
      </w:r>
      <w:r w:rsidR="00557B62" w:rsidRPr="0095448E">
        <w:t xml:space="preserve"> polluting Haber-Bosch process c</w:t>
      </w:r>
      <w:r w:rsidRPr="0095448E">
        <w:t xml:space="preserve">ould come from </w:t>
      </w:r>
      <w:r w:rsidR="00137989" w:rsidRPr="0095448E">
        <w:t>water electrolysis</w:t>
      </w:r>
      <w:r w:rsidRPr="0095448E">
        <w:t>, integrated wi</w:t>
      </w:r>
      <w:r w:rsidR="00557B62" w:rsidRPr="0095448E">
        <w:t>th renewable electricity as a source for hydrogen</w:t>
      </w:r>
      <w:r w:rsidRPr="0095448E">
        <w:t>; in the long-term novel enzymatic catalysts might open alternative synthetic avenues</w:t>
      </w:r>
      <w:r w:rsidR="00C52BD0" w:rsidRPr="0095448E">
        <w:t xml:space="preserve"> (Schiffer et al., 2017)</w:t>
      </w:r>
      <w:r w:rsidR="00557B62" w:rsidRPr="0095448E">
        <w:t xml:space="preserve">. Currently, mostly available solutions would come from </w:t>
      </w:r>
      <w:r w:rsidRPr="0095448E">
        <w:t>fuel swi</w:t>
      </w:r>
      <w:r w:rsidR="00AC525F" w:rsidRPr="0095448E">
        <w:t>tching</w:t>
      </w:r>
      <w:r w:rsidRPr="0095448E">
        <w:t xml:space="preserve"> </w:t>
      </w:r>
      <w:r w:rsidR="00C52BD0" w:rsidRPr="0095448E">
        <w:t xml:space="preserve">and </w:t>
      </w:r>
      <w:r w:rsidRPr="0095448E">
        <w:t>improvement of the efficiency of the technologies used (IEA, 2017).</w:t>
      </w:r>
      <w:r w:rsidR="00C52BD0" w:rsidRPr="0095448E">
        <w:t xml:space="preserve"> </w:t>
      </w:r>
      <w:r w:rsidR="00557B62" w:rsidRPr="0095448E">
        <w:t xml:space="preserve">Ammonia is also a process </w:t>
      </w:r>
      <w:r w:rsidR="00557B62" w:rsidRPr="0095448E">
        <w:lastRenderedPageBreak/>
        <w:t>which releases high-purity CO</w:t>
      </w:r>
      <w:r w:rsidR="00557B62" w:rsidRPr="0095448E">
        <w:rPr>
          <w:vertAlign w:val="subscript"/>
        </w:rPr>
        <w:t>2</w:t>
      </w:r>
      <w:r w:rsidR="00557B62" w:rsidRPr="0095448E">
        <w:t xml:space="preserve"> streams, thus acknowledged as a priority area</w:t>
      </w:r>
      <w:r w:rsidR="00C52BD0" w:rsidRPr="0095448E">
        <w:t xml:space="preserve"> </w:t>
      </w:r>
      <w:r w:rsidR="00557B62" w:rsidRPr="0095448E">
        <w:t>for the carbon capture and storage integration (</w:t>
      </w:r>
      <w:r w:rsidR="00C52BD0" w:rsidRPr="0095448E">
        <w:t>CCS</w:t>
      </w:r>
      <w:r w:rsidR="00557B62" w:rsidRPr="0095448E">
        <w:t>)</w:t>
      </w:r>
      <w:r w:rsidR="00C52BD0" w:rsidRPr="0095448E">
        <w:t xml:space="preserve"> </w:t>
      </w:r>
      <w:r w:rsidR="005143A1" w:rsidRPr="0095448E">
        <w:t>(IEA – UNIDO, 2011)</w:t>
      </w:r>
      <w:r w:rsidR="00C52BD0" w:rsidRPr="0095448E">
        <w:t>.</w:t>
      </w:r>
    </w:p>
    <w:p w14:paraId="7F686C8B" w14:textId="20F3562F" w:rsidR="00807056" w:rsidRPr="0095448E" w:rsidRDefault="00807056" w:rsidP="00807056">
      <w:pPr>
        <w:pStyle w:val="TAMainText"/>
      </w:pPr>
      <w:r w:rsidRPr="0095448E">
        <w:t xml:space="preserve">In this paper, we investigate the </w:t>
      </w:r>
      <w:r w:rsidR="00EF1634" w:rsidRPr="0095448E">
        <w:t>decarbonisation of</w:t>
      </w:r>
      <w:r w:rsidR="00AC525F" w:rsidRPr="0095448E">
        <w:t xml:space="preserve"> the Chinese ammonia industry</w:t>
      </w:r>
      <w:r w:rsidR="00C52BD0" w:rsidRPr="0095448E">
        <w:t xml:space="preserve"> through </w:t>
      </w:r>
      <w:r w:rsidRPr="0095448E">
        <w:t xml:space="preserve">the integration of </w:t>
      </w:r>
      <w:r w:rsidR="00C52BD0" w:rsidRPr="0095448E">
        <w:t>CCS</w:t>
      </w:r>
      <w:r w:rsidR="00B94A15" w:rsidRPr="0095448E">
        <w:t>, in addition to fuel switching,</w:t>
      </w:r>
      <w:r w:rsidR="00AC525F" w:rsidRPr="0095448E">
        <w:t xml:space="preserve"> </w:t>
      </w:r>
      <w:r w:rsidR="00B94A15" w:rsidRPr="0095448E">
        <w:t>investigating</w:t>
      </w:r>
      <w:r w:rsidR="00AC525F" w:rsidRPr="0095448E">
        <w:t xml:space="preserve"> the </w:t>
      </w:r>
      <w:r w:rsidRPr="0095448E">
        <w:t xml:space="preserve">potential </w:t>
      </w:r>
      <w:r w:rsidR="00AC525F" w:rsidRPr="0095448E">
        <w:t xml:space="preserve">uptake </w:t>
      </w:r>
      <w:r w:rsidR="00C52BD0" w:rsidRPr="0095448E">
        <w:t>of</w:t>
      </w:r>
      <w:r w:rsidRPr="0095448E">
        <w:t xml:space="preserve"> negative emissions obtained from the combination of bioenergy with CCS.</w:t>
      </w:r>
      <w:r w:rsidR="00AC525F" w:rsidRPr="0095448E">
        <w:t xml:space="preserve"> The methodology is based on an agent-based formulation </w:t>
      </w:r>
      <w:r w:rsidR="00C52BD0" w:rsidRPr="0095448E">
        <w:t xml:space="preserve">integrated </w:t>
      </w:r>
      <w:r w:rsidR="00EF1634" w:rsidRPr="0095448E">
        <w:t>in</w:t>
      </w:r>
      <w:r w:rsidR="00C52BD0" w:rsidRPr="0095448E">
        <w:t xml:space="preserve">to a simulation-based industrial sector model, </w:t>
      </w:r>
      <w:r w:rsidR="00EF1634" w:rsidRPr="0095448E">
        <w:t xml:space="preserve">which aims to simulate </w:t>
      </w:r>
      <w:r w:rsidR="003B509E" w:rsidRPr="0095448E">
        <w:t>real</w:t>
      </w:r>
      <w:r w:rsidR="00EF1634" w:rsidRPr="0095448E">
        <w:t xml:space="preserve"> investment strategies in the energy sector made by agent-investors in China and allows to model barriers preventing technology innovation</w:t>
      </w:r>
      <w:r w:rsidR="00AC525F" w:rsidRPr="0095448E">
        <w:t xml:space="preserve"> due t</w:t>
      </w:r>
      <w:r w:rsidR="00EF1634" w:rsidRPr="0095448E">
        <w:t>o the decision-making process</w:t>
      </w:r>
      <w:r w:rsidR="00557B62" w:rsidRPr="0095448E">
        <w:t>.</w:t>
      </w:r>
    </w:p>
    <w:p w14:paraId="496DE1CB" w14:textId="6E850046" w:rsidR="00FA072F" w:rsidRPr="0095448E" w:rsidRDefault="00FA072F" w:rsidP="00807056">
      <w:pPr>
        <w:pStyle w:val="TAMainText"/>
      </w:pPr>
      <w:r w:rsidRPr="0095448E">
        <w:t xml:space="preserve">The structure of the paper is as follows. </w:t>
      </w:r>
      <w:r w:rsidR="00207CD9" w:rsidRPr="0095448E">
        <w:t>First, the relevant</w:t>
      </w:r>
      <w:r w:rsidRPr="0095448E">
        <w:t xml:space="preserve"> literature </w:t>
      </w:r>
      <w:r w:rsidR="00E35130" w:rsidRPr="0095448E">
        <w:t>concerning</w:t>
      </w:r>
      <w:r w:rsidRPr="0095448E">
        <w:t xml:space="preserve"> the characterisation of the industry within integrated assessment models</w:t>
      </w:r>
      <w:r w:rsidR="00207CD9" w:rsidRPr="0095448E">
        <w:t xml:space="preserve"> is discussed</w:t>
      </w:r>
      <w:r w:rsidRPr="0095448E">
        <w:t xml:space="preserve">. </w:t>
      </w:r>
      <w:r w:rsidR="00207CD9" w:rsidRPr="0095448E">
        <w:t>Then,</w:t>
      </w:r>
      <w:r w:rsidRPr="0095448E">
        <w:t xml:space="preserve"> the methodology</w:t>
      </w:r>
      <w:r w:rsidR="00207CD9" w:rsidRPr="0095448E">
        <w:t xml:space="preserve"> is presented</w:t>
      </w:r>
      <w:r w:rsidRPr="0095448E">
        <w:t xml:space="preserve">, </w:t>
      </w:r>
      <w:r w:rsidR="00B97A67" w:rsidRPr="0095448E">
        <w:t>with a focus</w:t>
      </w:r>
      <w:r w:rsidRPr="0095448E">
        <w:t xml:space="preserve"> on</w:t>
      </w:r>
      <w:r w:rsidR="00B97A67" w:rsidRPr="0095448E">
        <w:t>:</w:t>
      </w:r>
      <w:r w:rsidRPr="0095448E">
        <w:t xml:space="preserve"> techno-economic characterisati</w:t>
      </w:r>
      <w:r w:rsidR="00B97A67" w:rsidRPr="0095448E">
        <w:t xml:space="preserve">on of production processes, </w:t>
      </w:r>
      <w:r w:rsidRPr="0095448E">
        <w:t>procedure t</w:t>
      </w:r>
      <w:r w:rsidR="00B97A67" w:rsidRPr="0095448E">
        <w:t xml:space="preserve">o estimate commodity demand, </w:t>
      </w:r>
      <w:r w:rsidRPr="0095448E">
        <w:t>investment decision</w:t>
      </w:r>
      <w:r w:rsidR="00B97A67" w:rsidRPr="0095448E">
        <w:t xml:space="preserve">-making algorithm, overview of </w:t>
      </w:r>
      <w:r w:rsidRPr="0095448E">
        <w:t>current</w:t>
      </w:r>
      <w:r w:rsidR="00A97790" w:rsidRPr="0095448E">
        <w:t xml:space="preserve"> ammonia</w:t>
      </w:r>
      <w:r w:rsidRPr="0095448E">
        <w:t xml:space="preserve"> market in China</w:t>
      </w:r>
      <w:r w:rsidR="00B97A67" w:rsidRPr="0095448E">
        <w:t>,</w:t>
      </w:r>
      <w:r w:rsidRPr="0095448E">
        <w:t xml:space="preserve"> and </w:t>
      </w:r>
      <w:r w:rsidR="00A97790" w:rsidRPr="0095448E">
        <w:t>description of key investors</w:t>
      </w:r>
      <w:r w:rsidRPr="0095448E">
        <w:t xml:space="preserve">. </w:t>
      </w:r>
      <w:r w:rsidR="00207CD9" w:rsidRPr="0095448E">
        <w:t>Finally, results are presented and discussed</w:t>
      </w:r>
      <w:r w:rsidRPr="0095448E">
        <w:t xml:space="preserve">. </w:t>
      </w:r>
    </w:p>
    <w:p w14:paraId="177C074F" w14:textId="77777777" w:rsidR="00FA072F" w:rsidRPr="0095448E" w:rsidRDefault="00FA072F" w:rsidP="00FA072F">
      <w:pPr>
        <w:pStyle w:val="TAMainText"/>
      </w:pPr>
    </w:p>
    <w:p w14:paraId="0C311E05" w14:textId="77777777" w:rsidR="00FA072F" w:rsidRPr="0095448E" w:rsidRDefault="0089463A" w:rsidP="00846350">
      <w:pPr>
        <w:pStyle w:val="Heading2"/>
        <w:rPr>
          <w:color w:val="auto"/>
        </w:rPr>
      </w:pPr>
      <w:r w:rsidRPr="0095448E">
        <w:rPr>
          <w:rFonts w:eastAsiaTheme="majorEastAsia"/>
          <w:color w:val="auto"/>
        </w:rPr>
        <w:t>Literature review</w:t>
      </w:r>
    </w:p>
    <w:p w14:paraId="4C4F91A6" w14:textId="6CF0C28B" w:rsidR="00E92942" w:rsidRPr="0095448E" w:rsidRDefault="00FA072F" w:rsidP="00FA072F">
      <w:pPr>
        <w:pStyle w:val="TAMainText"/>
      </w:pPr>
      <w:r w:rsidRPr="0095448E">
        <w:t xml:space="preserve">Integrated assessment models are widely-applied tools to evaluate different pathways for the decarbonisation of the energy system </w:t>
      </w:r>
      <w:r w:rsidRPr="0095448E">
        <w:fldChar w:fldCharType="begin" w:fldLock="1"/>
      </w:r>
      <w:r w:rsidRPr="0095448E">
        <w:instrText>ADDIN CSL_CITATION { "citationItems" : [ { "id" : "ITEM-1", "itemData" : { "URL" : "https://secure.iiasa.ac.at/web-apps/ene/AR5DB/", "author" : [ { "dropping-particle" : "", "family" : "IPCC", "given" : "", "non-dropping-particle" : "", "parse-names" : false, "suffix" : "" } ], "editor" : [ { "dropping-particle" : "", "family" : "2014", "given" : "International Institute for Applied Systems Analysis", "non-dropping-particle" : "", "parse-names" : false, "suffix" : "" } ], "id" : "ITEM-1", "issue" : "05/ 02/ ", "issued" : { "date-parts" : [ [ "2014" ] ] }, "publisher-place" : "Online", "title" : "Integrated Assessment Modelling Consortium (IAMC) AR5 Scenario Database (Working Group III)", "type" : "webpage", "volume" : "2016" }, "uris" : [ "http://www.mendeley.com/documents/?uuid=1ed9ba8f-a4cd-4e80-b068-52532f821193" ] } ], "mendeley" : { "formattedCitation" : "(IPCC, 2014)", "plainTextFormattedCitation" : "(IPCC, 2014)", "previouslyFormattedCitation" : "[10]" }, "properties" : { "noteIndex" : 0 }, "schema" : "https://github.com/citation-style-language/schema/raw/master/csl-citation.json" }</w:instrText>
      </w:r>
      <w:r w:rsidRPr="0095448E">
        <w:fldChar w:fldCharType="separate"/>
      </w:r>
      <w:r w:rsidRPr="0095448E">
        <w:rPr>
          <w:noProof/>
        </w:rPr>
        <w:t>(IPCC, 2014)</w:t>
      </w:r>
      <w:r w:rsidRPr="0095448E">
        <w:fldChar w:fldCharType="end"/>
      </w:r>
      <w:r w:rsidRPr="0095448E">
        <w:t>. They have broad interdisciplinary scope, often covering the energy system, economy, climate system, land use and sometimes water use</w:t>
      </w:r>
      <w:r w:rsidR="004261F0" w:rsidRPr="0095448E">
        <w:t xml:space="preserve"> </w:t>
      </w:r>
      <w:r w:rsidR="004261F0" w:rsidRPr="0095448E">
        <w:rPr>
          <w:noProof/>
        </w:rPr>
        <w:t>(Krey, 2014)</w:t>
      </w:r>
      <w:r w:rsidRPr="0095448E">
        <w:t>. They can be categorised as intertemporal optimi</w:t>
      </w:r>
      <w:r w:rsidR="00E35130" w:rsidRPr="0095448E">
        <w:t>s</w:t>
      </w:r>
      <w:r w:rsidRPr="0095448E">
        <w:t xml:space="preserve">ation models or recursive dynamic models and are the subject of ongoing refinement and development </w:t>
      </w:r>
      <w:r w:rsidRPr="0095448E">
        <w:fldChar w:fldCharType="begin" w:fldLock="1"/>
      </w:r>
      <w:r w:rsidRPr="0095448E">
        <w:instrText>ADDIN CSL_CITATION { "citationItems" : [ { "id" : "ITEM-1", "itemData" : { "DOI" : "10.1002/wene.98", "abstract" : "Long-term energy scenarios are an important input to policy-relevant assessment reports on climate change such as those produced by the Intergovernmental Panel on Climate Change or the United Nations Environment Programme to just name a few examples. They are also used by government agencies to support their decision making in the context of climate change mitigation and other energy-related challenges. In response to this demand, two broader categories of model development are currently pursued by the scientific community: (1) the degree of integration is increasing, in other words, the system boundaries of models are being extended, in particular to address the interlinkages between the energy, land, food, water, and climate more comprehensively and (2) the heterogeneity of the representation of various entities (e.g., spatial, sectoral, socio-economic) is increasing to adequately address distributional effects (e.g., countries within regions, urban vs rural areas, different types of households). Moreover, the energy-climate scenarios that are being developed are designed to be more \u2018realistic\u2019 by going beyond very stylized designs and integrate features that are observed in the real world. This includes delayed action on climate mitigation or fragmented approaches to mitigation that not only exclude major emitters from climate action, but also the exclusion of specific technologies from the portfolio of mitigation options in response to technical challenges or public acceptance issues. Finally, an attempt is made to summarize robust insights that have emerged from individual studies and particularly from modeling comparison exercises. WIREs Energy Environ 2014, 3:363\u2013383. doi: 10.1002/wene.98 This article is categorized under: Energy Systems Economics &gt; Climate and Environment Energy and Climate &gt; Economics and Policy Energy and Climate &gt; Systems and Infrastructure Energy and Climate &gt; Climate and Environment", "author" : [ { "dropping-particle" : "", "family" : "Krey", "given" : "Volker", "non-dropping-particle" : "", "parse-names" : false, "suffix" : "" } ], "container-title" : "Wiley Interdisciplinary Reviews: Energy and Environment", "id" : "ITEM-1", "issue" : "4", "issued" : { "date-parts" : [ [ "2014" ] ] }, "page" : "363-383", "title" : "Global energy-climate scenarios and models: a review", "type" : "article-journal", "volume" : "3" }, "uris" : [ "http://www.mendeley.com/documents/?uuid=7d37e375-497b-4dbd-990a-2744fffdd955" ] }, { "id" : "ITEM-2", "itemData" : { "DOI" : "10.1016/J.TECHFORE.2013.09.020", "ISSN" : "0040-1625", "abstract" : "Integrated assessments of how climate policy interacts with energy-economy systems can be performed by a variety of models with different functional structures. In order to provide insights into why results differ between models, this article proposes a diagnostic scheme that can be applied to a wide range of models. Diagnostics can uncover patterns of model behavior and indicate how results differ between model types. Such insights are informative since model behavior can have a significant impact on projections of climate change mitigation costs and other policy-relevant information. The authors propose diagnostic indicators to characterize model responses to carbon price signals and test these in a diagnostic study of 11 global models. Indicators describe the magnitude of emission abatement and the associated costs relative to a harmonized baseline, the relative changes in carbon intensity and energy intensity, and the extent of transformation in the energy system. This study shows a correlation among indicators suggesting that models can be classified into groups based on common patterns of behavior in response to carbon pricing. Such a classification can help to explain variations among policy-relevant model results.", "author" : [ { "dropping-particle" : "", "family" : "Kriegler", "given" : "Elmar", "non-dropping-particle" : "", "parse-names" : false, "suffix" : "" }, { "dropping-particle" : "", "family" : "Petermann", "given" : "Nils", "non-dropping-particle" : "", "parse-names" : false, "suffix" : "" }, { "dropping-particle" : "", "family" : "Krey", "given" : "Volker", "non-dropping-particle" : "", "parse-names" : false, "suffix" : "" }, { "dropping-particle" : "", "family" : "Schwanitz", "given" : "Valeria Jana", "non-dropping-particle" : "", "parse-names" : false, "suffix" : "" }, { "dropping-particle" : "", "family" : "Luderer", "given" : "Gunnar", "non-dropping-particle" : "", "parse-names" : false, "suffix" : "" }, { "dropping-particle" : "", "family" : "Ashina", "given" : "Shuichi", "non-dropping-particle" : "", "parse-names" : false, "suffix" : "" }, { "dropping-particle" : "", "family" : "Bosetti", "given" : "Valentina", "non-dropping-particle" : "", "parse-names" : false, "suffix" : "" }, { "dropping-particle" : "", "family" : "Eom", "given" : "Jiyong", "non-dropping-particle" : "", "parse-names" : false, "suffix" : "" }, { "dropping-particle" : "", "family" : "Kitous", "given" : "Alban", "non-dropping-particle" : "", "parse-names" : false, "suffix" : "" }, { "dropping-particle" : "", "family" : "M\u00e9jean", "given" : "Aur\u00e9lie", "non-dropping-particle" : "", "parse-names" : false, "suffix" : "" }, { "dropping-particle" : "", "family" : "Paroussos", "given" : "Leonidas", "non-dropping-particle" : "", "parse-names" : false, "suffix" : "" }, { "dropping-particle" : "", "family" : "Sano", "given" : "Fuminori", "non-dropping-particle" : "", "parse-names" : false, "suffix" : "" }, { "dropping-particle" : "", "family" : "Turton", "given" : "Hal", "non-dropping-particle" : "", "parse-names" : false, "suffix" : "" }, { "dropping-particle" : "", "family" : "Wilson", "given" : "Charlie", "non-dropping-particle" : "", "parse-names" : false, "suffix" : "" }, { "dropping-particle" : "", "family" : "Vuuren", "given" : "Detlef P", "non-dropping-particle" : "Van", "parse-names" : false, "suffix" : "" } ], "container-title" : "Technological Forecasting and Social Change", "id" : "ITEM-2", "issued" : { "date-parts" : [ [ "2015", "1" ] ] }, "page" : "45-61", "publisher" : "North-Holland", "title" : "Diagnostic indicators for integrated assessment models of climate policy", "type" : "article-journal", "volume" : "90" }, "uris" : [ "http://www.mendeley.com/documents/?uuid=36384a9b-e84b-4ce2-b2e4-62f7dc46199c" ] }, { "id" : "ITEM-3", "itemData" : { "DOI" : "10.1016/J.RSER.2014.02.003", "ISSN" : "1364-0321", "abstract" : "Energy systems models are important methods used to generate a range of insight and analysis on the supply and demand of energy. Developed over the second half of the twentieth century, they are now seeing increased relevance in the face of stringent climate policy, energy security and economic development concerns, and increasing challenges due to the changing nature of the twenty-first century energy system. In this paper, we look particularly at models relevant to national and international energy policy, grouping them into four categories: energy systems optimization models, energy systems simulation models, power systems and electricity market models, and qualitative and mixed-methods scenarios. We examine four challenges they face and the efforts being taken to address them: (1) resolving time and space, (2) balancing uncertainty and transparency, (3) addressing the growing complexity of the energy system, and (4) integrating human behavior and social risks and opportunities. In discussing these challenges, we present possible avenues for future research and make recommendations to ensure the continued relevance for energy systems models as important sources of information for policy-making.", "author" : [ { "dropping-particle" : "", "family" : "Pfenninger", "given" : "Stefan", "non-dropping-particle" : "", "parse-names" : false, "suffix" : "" }, { "dropping-particle" : "", "family" : "Hawkes", "given" : "Adam", "non-dropping-particle" : "", "parse-names" : false, "suffix" : "" }, { "dropping-particle" : "", "family" : "Keirstead", "given" : "James", "non-dropping-particle" : "", "parse-names" : false, "suffix" : "" } ], "container-title" : "Renewable and Sustainable Energy Reviews", "id" : "ITEM-3", "issued" : { "date-parts" : [ [ "2014", "5", "1" ] ] }, "page" : "74-86", "publisher" : "Pergamon", "title" : "Energy systems modeling for twenty-first century energy challenges", "type" : "article-journal", "volume" : "33" }, "uris" : [ "http://www.mendeley.com/documents/?uuid=ab51f5b9-86e2-3fac-86c5-61eac90f7a9c" ] } ], "mendeley" : { "formattedCitation" : "(Krey, 2014; Kriegler et al., 2015; Pfenninger et al., 2014)", "plainTextFormattedCitation" : "(Krey, 2014; Kriegler et al., 2015; Pfenninger et al., 2014)", "previouslyFormattedCitation" : "[11\u201313]" }, "properties" : { "noteIndex" : 0 }, "schema" : "https://github.com/citation-style-language/schema/raw/master/csl-citation.json" }</w:instrText>
      </w:r>
      <w:r w:rsidRPr="0095448E">
        <w:fldChar w:fldCharType="separate"/>
      </w:r>
      <w:r w:rsidR="004261F0" w:rsidRPr="0095448E">
        <w:rPr>
          <w:noProof/>
        </w:rPr>
        <w:t>(</w:t>
      </w:r>
      <w:r w:rsidRPr="0095448E">
        <w:rPr>
          <w:noProof/>
        </w:rPr>
        <w:t>Kriegler et al., 2015; Pfenninger et al., 2014)</w:t>
      </w:r>
      <w:r w:rsidRPr="0095448E">
        <w:fldChar w:fldCharType="end"/>
      </w:r>
      <w:r w:rsidRPr="0095448E">
        <w:t xml:space="preserve">. Integrated assessment models are used to generate pathways that feed into high impact publications such as the IPCC Special Reports and Assessment Reports </w:t>
      </w:r>
      <w:r w:rsidRPr="0095448E">
        <w:fldChar w:fldCharType="begin" w:fldLock="1"/>
      </w:r>
      <w:r w:rsidRPr="0095448E">
        <w:instrText>ADDIN CSL_CITATION { "citationItems" : [ { "id" : "ITEM-1", "itemData" : { "URL" : "https://www.ipcc.ch/reports/", "author" : [ { "dropping-particle" : "", "family" : "IPCC", "given" : "", "non-dropping-particle" : "", "parse-names" : false, "suffix" : "" } ], "id" : "ITEM-1", "issue" : "08/ 03/ ", "issued" : { "date-parts" : [ [ "2019" ] ] }, "title" : "Reports", "type" : "webpage", "volume" : "2019" }, "uris" : [ "http://www.mendeley.com/documents/?uuid=993c0abd-08f1-4c40-8b2d-ce5a0978bb98" ] } ], "mendeley" : { "formattedCitation" : "(IPCC, 2019)", "plainTextFormattedCitation" : "(IPCC, 2019)", "previouslyFormattedCitation" : "[14]" }, "properties" : { "noteIndex" : 0 }, "schema" : "https://github.com/citation-style-language/schema/raw/master/csl-citation.json" }</w:instrText>
      </w:r>
      <w:r w:rsidRPr="0095448E">
        <w:fldChar w:fldCharType="separate"/>
      </w:r>
      <w:r w:rsidRPr="0095448E">
        <w:rPr>
          <w:noProof/>
        </w:rPr>
        <w:t>(IPCC, 2019)</w:t>
      </w:r>
      <w:r w:rsidRPr="0095448E">
        <w:fldChar w:fldCharType="end"/>
      </w:r>
      <w:r w:rsidRPr="0095448E">
        <w:t xml:space="preserve"> and the IEA </w:t>
      </w:r>
      <w:r w:rsidRPr="0095448E">
        <w:lastRenderedPageBreak/>
        <w:t xml:space="preserve">World Energy Outlook </w:t>
      </w:r>
      <w:r w:rsidRPr="0095448E">
        <w:fldChar w:fldCharType="begin" w:fldLock="1"/>
      </w:r>
      <w:r w:rsidRPr="0095448E">
        <w:instrText>ADDIN CSL_CITATION { "citationItems" : [ { "id" : "ITEM-1", "itemData" : { "URL" : "https://www.iea.org/weo/", "author" : [ { "dropping-particle" : "", "family" : "International Energy Agency (IEA)", "given" : "", "non-dropping-particle" : "", "parse-names" : false, "suffix" : "" } ], "id" : "ITEM-1", "issue" : "08/ 03/ ", "issued" : { "date-parts" : [ [ "2019" ] ] }, "title" : "World Energy Outlook", "type" : "webpage", "volume" : "2019" }, "uris" : [ "http://www.mendeley.com/documents/?uuid=b7fb4bdf-10e7-4c52-be57-90c53e116be9" ] } ], "mendeley" : { "formattedCitation" : "(International Energy Agency (IEA), 2019)", "plainTextFormattedCitation" : "(International Energy Agency (IEA), 2019)", "previouslyFormattedCitation" : "[15]" }, "properties" : { "noteIndex" : 0 }, "schema" : "https://github.com/citation-style-language/schema/raw/master/csl-citation.json" }</w:instrText>
      </w:r>
      <w:r w:rsidRPr="0095448E">
        <w:fldChar w:fldCharType="separate"/>
      </w:r>
      <w:r w:rsidRPr="0095448E">
        <w:rPr>
          <w:noProof/>
        </w:rPr>
        <w:t>(International Energy Agency (IEA), 2019)</w:t>
      </w:r>
      <w:r w:rsidRPr="0095448E">
        <w:fldChar w:fldCharType="end"/>
      </w:r>
      <w:r w:rsidRPr="0095448E">
        <w:t>. The studies on the technological transition of industry tend to highlight tha</w:t>
      </w:r>
      <w:r w:rsidR="00EF44B8" w:rsidRPr="0095448E">
        <w:t>t technological measures for</w:t>
      </w:r>
      <w:r w:rsidRPr="0095448E">
        <w:t xml:space="preserve"> decarbonisation (e.g. energy efficiency measures, fuel switching, alternative production processes or CCS) can be cost-effective in the presence of policy instruments that internalise the cost of climate change impacts such as a carbon price </w:t>
      </w:r>
      <w:r w:rsidRPr="0095448E">
        <w:fldChar w:fldCharType="begin" w:fldLock="1"/>
      </w:r>
      <w:r w:rsidRPr="0095448E">
        <w:instrText>ADDIN CSL_CITATION { "citationItems" : [ { "id" : "ITEM-1", "itemData" : { "DOI" : "10.1016/j.eneco.2014.08.016", "ISBN" : "0140-9883", "abstract" : "This paper applies a computable general equilibrium model to investigate the impacts of a carbon tax on China's economy and carbon emissions based on China's 2010 Input Output Table. To obtain robust simulation results, we further disaggregate the energy sectors into eight departments according to energy use characteristics. The empirical results indicate that a moderate carbon tax would significantly reduce carbon emissions and fossil fuel energy consumption and slightly reduce the pace of economic growth. However, a large carbon tax has a significantly negative impact on China's economy and social welfare. Moreover, a large carbon tax would entail marked price changes in China. Of the fossil fuels in use, reducing coal consumption would have the greatest impact on reducing carbon emissions, and the ad valorem duty rate for coal would be the highest after levying a carbon tax because it has the highest carbon emission coefficient. Therefore, China should strive to promote clean coal technology, which may be crucial to reducing carbon emissions. Moreover, levying a carbon tax would improve the use of clean energy, which would be an effective means of reducing carbon emissions. Therefore, the Chinese government should formulate the regulations for and pass a carbon tax as early as possible to achieve its carbon emission abatement target and further contribute to mitigating climate change. (C) 2014 Elsevier B.V. All rights reserved.", "author" : [ { "dropping-particle" : "", "family" : "Guo", "given" : "Zhengquan", "non-dropping-particle" : "", "parse-names" : false, "suffix" : "" }, { "dropping-particle" : "", "family" : "Zhang", "given" : "Xingping", "non-dropping-particle" : "", "parse-names" : false, "suffix" : "" }, { "dropping-particle" : "", "family" : "Zheng", "given" : "Yuhua", "non-dropping-particle" : "", "parse-names" : false, "suffix" : "" }, { "dropping-particle" : "", "family" : "Rao", "given" : "Rao", "non-dropping-particle" : "", "parse-names" : false, "suffix" : "" } ], "container-title" : "Energy Economics", "id" : "ITEM-1", "issued" : { "date-parts" : [ [ "2014" ] ] }, "note" : "1873-6181", "page" : "455-462", "title" : "Exploring the impacts of a carbon tax on the Chinese economy using a CGE model with a detailed disaggregation of energy sectors", "type" : "article-journal", "volume" : "45" }, "uris" : [ "http://www.mendeley.com/documents/?uuid=4cecb4a4-ea43-47bf-b436-f8bd11869e68" ] }, { "id" : "ITEM-2", "itemData" : { "DOI" : "10.1016/J.RSER.2017.04.044", "ISSN" : "1364-0321", "abstract" : "With fast development, it is not easy for China to achieve carbon reduction targets only by traditional command and control measures (e.g., the measures for energy-efficiency). Carbon tax is advocated as one effective complementary measure and has high possibility to be implemented for China\u2019s future low carbon development. Under such a circumstance, this paper aims at forecasting the possible impact of carbon tax on both carbon reduction and economic loss of 30 Chinese provinces. A 30-Chinese-province CGE (Computational general equilibrium) model has been developed to conduct the provincial evaluation, and seven scenarios including Business-as-Usual (BaU) scenario and six carbon tax scenarios with carbon price from 20 USD/ton to 120 USD/ton up to 2030 are set. The results show that China\u2019s industrial CO2 will be reduced from 12.2 billion tons under BaU scenario to 10.4 billion tons, 9.3 billion tons, 8.5 billion tons, 7.9 billion tons, 7.4 billion tons and 7.0 billion tons under scenarios of TAX20, TAX40, TAX60, TAX80, TAX100 and TAX120 in 2030, respectively. Electricity, Metal and Chemicals sectors have high reduction potentials and are priority sectors for carbon tax policy. Provincial disparity analysis demonstrates that coal production/consumption and total energy consumption are key factors to affect carbon tax effect on CO2 reduction, and Inner Mongolia, Shandong, Shanxi and Hebei have the largest industrial CO2 reduction potentials after levying carbon tax. However, the implementation of carbon tax will impede economic development for all provinces. Therefore, the concept of carbon tax efficiency is further proposed in order to evaluate the effectiveness of carbon tax by considering both CO2 reduction and GDP loss. Policy suggestions indicate that provinces of Shanxi, Inner Mongolia, Hebei and Anhui should be set priority when implementing carbon tax policy in China, and carbon price should be no more than 50 USD/ton.", "author" : [ { "dropping-particle" : "", "family" : "Dong", "given" : "Huijuan", "non-dropping-particle" : "", "parse-names" : false, "suffix" : "" }, { "dropping-particle" : "", "family" : "Dai", "given" : "Hancheng", "non-dropping-particle" : "", "parse-names" : false, "suffix" : "" }, { "dropping-particle" : "", "family" : "Geng", "given" : "Yong", "non-dropping-particle" : "", "parse-names" : false, "suffix" : "" }, { "dropping-particle" : "", "family" : "Fujita", "given" : "Tsuyoshi", "non-dropping-particle" : "", "parse-names" : false, "suffix" : "" }, { "dropping-particle" : "", "family" : "Liu", "given" : "Zhe", "non-dropping-particle" : "", "parse-names" : false, "suffix" : "" }, { "dropping-particle" : "", "family" : "Xie", "given" : "Yang", "non-dropping-particle" : "", "parse-names" : false, "suffix" : "" }, { "dropping-particle" : "", "family" : "Wu", "given" : "Rui", "non-dropping-particle" : "", "parse-names" : false, "suffix" : "" }, { "dropping-particle" : "", "family" : "Fujii", "given" : "Minoru", "non-dropping-particle" : "", "parse-names" : false, "suffix" : "" }, { "dropping-particle" : "", "family" : "Masui", "given" : "Toshihiko", "non-dropping-particle" : "", "parse-names" : false, "suffix" : "" }, { "dropping-particle" : "", "family" : "Tang", "given" : "Liang", "non-dropping-particle" : "", "parse-names" : false, "suffix" : "" } ], "container-title" : "Renewable and Sustainable Energy Reviews", "id" : "ITEM-2", "issued" : { "date-parts" : [ [ "2017", "9", "1" ] ] }, "page" : "596-603", "publisher" : "Pergamon", "title" : "Exploring impact of carbon tax on China\u2019s CO2 reductions and provincial disparities", "type" : "article-journal", "volume" : "77" }, "uris" : [ "http://www.mendeley.com/documents/?uuid=3fdb5503-a3a5-3ecc-843b-186eb278cc94" ] }, { "id" : "ITEM-3", "itemData" : { "DOI" : "10.1016/J.JCLEPRO.2015.04.098", "ISSN" : "0959-6526", "abstract" : "Climate change and its social, environmental, economic and ethical consequences are widely recognized as the major set of interconnected problems facing human societies. Its impacts and costs will be large, serious, and unevenly spread, globally for decades. The main factor causing climate change and global warming is the increase of global carbon emissions produced by human activities such as deforestation and burning of fossil fuels. In this special volume, the articles mainly focus on investigations of technical innovations and policy interventions for improved energy efficiency and carbon emissions reduction in a wide diversity of industrial, construction and agricultural sectors at different scales, from the smallest scales (firm or household), cities, regional, to national and global scales. Some articles in this special volume assess alternative carbon emissions reduction approaches, such as carbon capture and storage and geoengineering schemes. Given the high cost and internal/external uncertainties of carbon capture and storage and risks and side effects of various geoengineering schemes, improved energy efficiency and widespread implementation of low fossil-carbon renewable-energy based systems are clearly the most direct and effective approaches to reduce carbon emissions. This means that we have to radically transform our societal metabolism towards low/no fossil-carbon economies. However, design and implementation of low/no fossil-carbon production will require fundamental changes in the design, production and use of products and these needed changes are evolving but much more needs to be done. Additionally, the design and timing of suitable climate policy interventions, such as various carbon taxation/trading schemes, must be integral in facilitating the development of low fossil carbon products and accelerating the transition to post-fossil carbon societies.", "author" : [ { "dropping-particle" : "", "family" : "Huisingh", "given" : "Donald", "non-dropping-particle" : "", "parse-names" : false, "suffix" : "" }, { "dropping-particle" : "", "family" : "Zhang", "given" : "Zhihua", "non-dropping-particle" : "", "parse-names" : false, "suffix" : "" }, { "dropping-particle" : "", "family" : "Moore", "given" : "John C.", "non-dropping-particle" : "", "parse-names" : false, "suffix" : "" }, { "dropping-particle" : "", "family" : "Qiao", "given" : "Qi", "non-dropping-particle" : "", "parse-names" : false, "suffix" : "" }, { "dropping-particle" : "", "family" : "Li", "given" : "Qi", "non-dropping-particle" : "", "parse-names" : false, "suffix" : "" } ], "container-title" : "Journal of Cleaner Production", "id" : "ITEM-3", "issued" : { "date-parts" : [ [ "2015", "9", "15" ] ] }, "page" : "1-12", "publisher" : "Elsevier", "title" : "Recent advances in carbon emissions reduction: policies, technologies, monitoring, assessment and modeling", "type" : "article-journal", "volume" : "103" }, "uris" : [ "http://www.mendeley.com/documents/?uuid=ad23260f-0aba-3502-b22b-d9c764df74f2" ] } ], "mendeley" : { "formattedCitation" : "(H. Dong et al., 2017; Guo et al., 2014; Huisingh et al., 2015)", "plainTextFormattedCitation" : "(H. Dong et al., 2017; Guo et al., 2014; Huisingh et al., 2015)", "previouslyFormattedCitation" : "[17\u201319]" }, "properties" : { "noteIndex" : 0 }, "schema" : "https://github.com/citation-style-language/schema/raw/master/csl-citation.json" }</w:instrText>
      </w:r>
      <w:r w:rsidRPr="0095448E">
        <w:fldChar w:fldCharType="separate"/>
      </w:r>
      <w:r w:rsidRPr="0095448E">
        <w:rPr>
          <w:noProof/>
        </w:rPr>
        <w:t>(Guo et al., 2014)</w:t>
      </w:r>
      <w:r w:rsidRPr="0095448E">
        <w:fldChar w:fldCharType="end"/>
      </w:r>
      <w:r w:rsidRPr="0095448E">
        <w:t xml:space="preserve">. Integrated assessment models are also used within model comparison </w:t>
      </w:r>
      <w:r w:rsidR="00590449" w:rsidRPr="0095448E">
        <w:t>studies</w:t>
      </w:r>
      <w:r w:rsidRPr="0095448E">
        <w:t xml:space="preserve"> to understand how different modelling approaches influence results </w:t>
      </w:r>
      <w:r w:rsidRPr="0095448E">
        <w:fldChar w:fldCharType="begin" w:fldLock="1"/>
      </w:r>
      <w:r w:rsidRPr="0095448E">
        <w:instrText>ADDIN CSL_CITATION { "citationItems" : [ { "id" : "ITEM-1", "itemData" : { "DOI" : "10.1016/J.ENERGY.2018.12.131", "ISSN" : "0360-5442", "abstract" : "Integrated assessment models are extensively used in the analysis of climate change mitigation and are informing national decision makers as well as contribute to international scientific assessments. This paper conducts a comprehensive review of techno-economic assumptions in the electricity sector among fifteen different global and national integrated assessment models. Particular focus is given to six major economies in the world: Brazil, China, the EU, India, Japan and the US. The comparison reveals that techno-economic characteristics are quite different across integrated assessment models, both for the base year and future years. It is, however, important to recognize that techno-economic assessments from the literature exhibit an equally large range of parameters as the integrated assessment models reviewed. Beyond numerical differences, the representation of technologies also differs among models, which needs to be taken into account when comparing numerical parameters. While desirable, it seems difficult to fully harmonize techno-economic parameters across a broader range of models due to structural differences in the representation of technology. Therefore, making techno-economic parameters available in the future, together with of the technology representation as well as the exact definitions of the parameters should become the standard approach as it allows an open discussion of appropriate assumptions.", "author" : [ { "dropping-particle" : "", "family" : "Krey", "given" : "Volker", "non-dropping-particle" : "", "parse-names" : false, "suffix" : "" }, { "dropping-particle" : "", "family" : "Guo", "given" : "Fei", "non-dropping-particle" : "", "parse-names" : false, "suffix" : "" }, { "dropping-particle" : "", "family" : "Kolp", "given" : "Peter", "non-dropping-particle" : "", "parse-names" : false, "suffix" : "" }, { "dropping-particle" : "", "family" : "Zhou", "given" : "Wenji", "non-dropping-particle" : "", "parse-names" : false, "suffix" : "" }, { "dropping-particle" : "", "family" : "Schaeffer", "given" : "Roberto", "non-dropping-particle" : "", "parse-names" : false, "suffix" : "" }, { "dropping-particle" : "", "family" : "Awasthy", "given" : "Aayushi", "non-dropping-particle" : "", "parse-names" : false, "suffix" : "" }, { "dropping-particle" : "", "family" : "Bertram", "given" : "Christoph", "non-dropping-particle" : "", "parse-names" : false, "suffix" : "" }, { "dropping-particle" : "", "family" : "Boer", "given" : "Harmen-Sytze", "non-dropping-particle" : "de", "parse-names" : false, "suffix" : "" }, { "dropping-particle" : "", "family" : "Fragkos", "given" : "Panagiotis", "non-dropping-particle" : "", "parse-names" : false, "suffix" : "" }, { "dropping-particle" : "", "family" : "Fujimori", "given" : "Shinichiro", "non-dropping-particle" : "", "parse-names" : false, "suffix" : "" }, { "dropping-particle" : "", "family" : "He", "given" : "Chenmin", "non-dropping-particle" : "", "parse-names" : false, "suffix" : "" }, { "dropping-particle" : "", "family" : "Iyer", "given" : "Gokul", "non-dropping-particle" : "", "parse-names" : false, "suffix" : "" }, { "dropping-particle" : "", "family" : "Keramidas", "given" : "Kimon", "non-dropping-particle" : "", "parse-names" : false, "suffix" : "" }, { "dropping-particle" : "", "family" : "K\u00f6berle", "given" : "Alexandre C.", "non-dropping-particle" : "", "parse-names" : false, "suffix" : "" }, { "dropping-particle" : "", "family" : "Oshiro", "given" : "Ken", "non-dropping-particle" : "", "parse-names" : false, "suffix" : "" }, { "dropping-particle" : "", "family" : "Reis", "given" : "Lara Aleluia", "non-dropping-particle" : "", "parse-names" : false, "suffix" : "" }, { "dropping-particle" : "", "family" : "Shoai-Tehrani", "given" : "Bianka", "non-dropping-particle" : "", "parse-names" : false, "suffix" : "" }, { "dropping-particle" : "", "family" : "Vishwanathan", "given" : "Saritha", "non-dropping-particle" : "", "parse-names" : false, "suffix" : "" }, { "dropping-particle" : "", "family" : "Capros", "given" : "Pantelis", "non-dropping-particle" : "", "parse-names" : false, "suffix" : "" }, { "dropping-particle" : "", "family" : "Drouet", "given" : "Laurent", "non-dropping-particle" : "", "parse-names" : false, "suffix" : "" }, { "dropping-particle" : "", "family" : "Edmonds", "given" : "James E.", "non-dropping-particle" : "", "parse-names" : false, "suffix" : "" }, { "dropping-particle" : "", "family" : "Garg", "given" : "Amit", "non-dropping-particle" : "", "parse-names" : false, "suffix" : "" }, { "dropping-particle" : "", "family" : "Gernaat", "given" : "David E.H.J.", "non-dropping-particle" : "", "parse-names" : false, "suffix" : "" }, { "dropping-particle" : "", "family" : "Jiang", "given" : "Kejun", "non-dropping-particle" : "", "parse-names" : false, "suffix" : "" }, { "dropping-particle" : "", "family" : "Kannavou", "given" : "Maria", "non-dropping-particle" : "", "parse-names" : false, "suffix" : "" }, { "dropping-particle" : "", "family" : "Kitous", "given" : "Alban", "non-dropping-particle" : "", "parse-names" : false, "suffix" : "" }, { "dropping-particle" : "", "family" : "Kriegler", "given" : "Elmar", "non-dropping-particle" : "", "parse-names" : false, "suffix" : "" }, { "dropping-particle" : "", "family" : "Luderer", "given" : "Gunnar", "non-dropping-particle" : "", "parse-names" : false, "suffix" : "" }, { "dropping-particle" : "", "family" : "Mathur", "given" : "Ritu", "non-dropping-particle" : "", "parse-names" : false, "suffix" : "" }, { "dropping-particle" : "", "family" : "Muratori", "given" : "Matteo", "non-dropping-particle" : "", "parse-names" : false, "suffix" : "" }, { "dropping-particle" : "", "family" : "Sano", "given" : "Fuminori", "non-dropping-particle" : "", "parse-names" : false, "suffix" : "" }, { "dropping-particle" : "", "family" : "Vuuren", "given" : "Detlef P.", "non-dropping-particle" : "van", "parse-names" : false, "suffix" : "" } ], "container-title" : "Energy", "id" : "ITEM-1", "issued" : { "date-parts" : [ [ "2019", "4", "1" ] ] }, "page" : "1254-1267", "publisher" : "Pergamon", "title" : "Looking under the hood: A comparison of techno-economic assumptions across national and global integrated assessment models", "type" : "article-journal", "volume" : "172" }, "uris" : [ "http://www.mendeley.com/documents/?uuid=36b0f465-a8d3-34ec-8485-20b788e8938d" ] } ], "mendeley" : { "formattedCitation" : "(Krey et al., 2019)", "plainTextFormattedCitation" : "(Krey et al., 2019)", "previouslyFormattedCitation" : "[20]" }, "properties" : { "noteIndex" : 0 }, "schema" : "https://github.com/citation-style-language/schema/raw/master/csl-citation.json" }</w:instrText>
      </w:r>
      <w:r w:rsidRPr="0095448E">
        <w:fldChar w:fldCharType="separate"/>
      </w:r>
      <w:r w:rsidRPr="0095448E">
        <w:rPr>
          <w:noProof/>
        </w:rPr>
        <w:t>(Krey et al., 2019)</w:t>
      </w:r>
      <w:r w:rsidRPr="0095448E">
        <w:fldChar w:fldCharType="end"/>
      </w:r>
      <w:r w:rsidRPr="0095448E">
        <w:t xml:space="preserve">. </w:t>
      </w:r>
      <w:r w:rsidR="00590449" w:rsidRPr="0095448E">
        <w:t>For example,</w:t>
      </w:r>
      <w:r w:rsidRPr="0095448E">
        <w:t xml:space="preserve"> the Ener</w:t>
      </w:r>
      <w:r w:rsidR="00590449" w:rsidRPr="0095448E">
        <w:t>gy Modelling Forum (EMF) aims</w:t>
      </w:r>
      <w:r w:rsidRPr="0095448E">
        <w:t xml:space="preserve"> to improve the use of energy and policy models for better decision making </w:t>
      </w:r>
      <w:r w:rsidRPr="0095448E">
        <w:fldChar w:fldCharType="begin" w:fldLock="1"/>
      </w:r>
      <w:r w:rsidRPr="0095448E">
        <w:instrText>ADDIN CSL_CITATION { "citationItems" : [ { "id" : "ITEM-1", "itemData" : { "URL" : "https://emf.stanford.edu/about", "author" : [ { "dropping-particle" : "", "family" : "EMF", "given" : "", "non-dropping-particle" : "", "parse-names" : false, "suffix" : "" } ], "id" : "ITEM-1", "issued" : { "date-parts" : [ [ "2019" ] ] }, "title" : "Energy Modeling Forum (EMF)", "type" : "webpage" }, "uris" : [ "http://www.mendeley.com/documents/?uuid=0931b30e-1f2d-4052-826e-b79f02b9e6b4" ] }, { "id" : "ITEM-2", "itemData" : { "DOI" : "10.1016/j.egypro.2017.03.1883", "ISSN" : "18766102", "abstract" : "\u00a9 2017 The Authors.  The concept of 'unburnable carbon' emerged in 2011, and stems from the observation that if all known fossil fuel reserves are extracted and converted to CO 2 (unabated), it would exceed the carbon budget and have a very significant effect on the climate. Therefore, if global warming is to be limited to the COP21 target, some of the known fossil fuel reserves should remain unburnt. Several recent reports have highlighted the scale of the challenge, drawing on scenarios of climate change mitigation and their implications for the projected consumption of fossil fuels. Carbon Capture and Storage (CCS) is a critical and available mitigation opportunity and its contribution to timely and cost-effective decarbonisation of the energy system is widely recognised. However, while some studies have considered the role of CCS in enabling access to more fossil fuels, no detailed analysis on this issue has been undertaken. This paper presents a critical review focusing on the technologies that can be applied to enable access to, or 'unlock', fossil fuel reserves in a way that will meet climate targets and mitigate climate change. It also quantifies the impact of CCS in unlocking unburnable carbon in the first and in the second half of the century.", "author" : [ { "dropping-particle" : "", "family" : "Budinis", "given" : "S.", "non-dropping-particle" : "", "parse-names" : false, "suffix" : "" }, { "dropping-particle" : "", "family" : "Dowell", "given" : "N.M.", "non-dropping-particle" : "", "parse-names" : false, "suffix" : "" }, { "dropping-particle" : "", "family" : "Krevor", "given" : "S.", "non-dropping-particle" : "", "parse-names" : false, "suffix" : "" }, { "dropping-particle" : "", "family" : "Dixon", "given" : "T.", "non-dropping-particle" : "", "parse-names" : false, "suffix" : "" }, { "dropping-particle" : "", "family" : "Kemper", "given" : "J.", "non-dropping-particle" : "", "parse-names" : false, "suffix" : "" }, { "dropping-particle" : "", "family" : "Hawkes", "given" : "A.", "non-dropping-particle" : "", "parse-names" : false, "suffix" : "" } ], "container-title" : "Energy Procedia", "id" : "ITEM-2", "issued" : { "date-parts" : [ [ "2017" ] ] }, "title" : "Can Carbon Capture and Storage Unlock 'Unburnable Carbon'?", "type" : "paper-conference", "volume" : "114" }, "uris" : [ "http://www.mendeley.com/documents/?uuid=7f23077e-1655-3007-a16a-9dfd3f197dd4" ] }, { "id" : "ITEM-3", "itemData" : { "DOI" : "10.1007/s10584-013-0953-7", "ISBN" : "0165-0009", "abstract" : "This article presents the synthesis of results from the Stanford Energy Modeling Forum Study 27, an inter-comparison of 18 energy-economy and integrated assessment models. The study investigated the importance of individual mitigation options such as energy intensity improvements, carbon capture and storage (CCS), nuclear power, solar and wind power and bioenergy for climate mitigation. Limiting the atmospheric greenhouse gas concentration to 450 or 550\u00a0ppm CO2 equivalent by 2100 would require a decarbonization of the global energy system in the 21st century. Robust characteristics of the energy transformation are increased energy intensity improvements and the electrification of energy end use coupled with a fast decarbonization of the electricity sector. Non-electric energy end use is hardest to decarbonize, particularly in the transport sector. Technology is a key element of climate mitigation. Versatile technologies such as CCS and bioenergy are found to be most important, due in part to their combined ability to produce negative emissions. The importance of individual low-carbon electricity technologies is more limited due to the many alternatives in the sector. The scale of the energy transformation is larger for the 450\u00a0ppm than for the 550\u00a0ppm CO2e target. As a result, the achievability and the costs of the 450\u00a0ppm target are more sensitive to variations in technology availability.", "author" : [ { "dropping-particle" : "", "family" : "Kriegler", "given" : "Elmar", "non-dropping-particle" : "", "parse-names" : false, "suffix" : "" }, { "dropping-particle" : "", "family" : "Weyant", "given" : "JohnP P", "non-dropping-particle" : "", "parse-names" : false, "suffix" : "" }, { "dropping-particle" : "", "family" : "Blanford", "given" : "GeoffreyJ J", "non-dropping-particle" : "", "parse-names" : false, "suffix" : "" }, { "dropping-particle" : "", "family" : "Krey", "given" : "Volker", "non-dropping-particle" : "", "parse-names" : false, "suffix" : "" }, { "dropping-particle" : "", "family" : "Clarke", "given" : "Leon", "non-dropping-particle" : "", "parse-names" : false, "suffix" : "" }, { "dropping-particle" : "", "family" : "Edmonds", "given" : "Jae", "non-dropping-particle" : "", "parse-names" : false, "suffix" : "" }, { "dropping-particle" : "", "family" : "Fawcett", "given" : "Allen", "non-dropping-particle" : "", "parse-names" : false, "suffix" : "" }, { "dropping-particle" : "", "family" : "Luderer", "given" : "Gunnar", "non-dropping-particle" : "", "parse-names" : false, "suffix" : "" }, { "dropping-particle" : "", "family" : "Riahi", "given" : "Keywan", "non-dropping-particle" : "", "parse-names" : false, "suffix" : "" }, { "dropping-particle" : "", "family" : "Richels", "given" : "Richard", "non-dropping-particle" : "", "parse-names" : false, "suffix" : "" }, { "dropping-particle" : "", "family" : "Rose", "given" : "StevenK K", "non-dropping-particle" : "", "parse-names" : false, "suffix" : "" }, { "dropping-particle" : "", "family" : "Tavoni", "given" : "Massimo", "non-dropping-particle" : "", "parse-names" : false, "suffix" : "" }, { "dropping-particle" : "", "family" : "Vuuren", "given" : "DetlefP P", "non-dropping-particle" : "van", "parse-names" : false, "suffix" : "" } ], "container-title" : "Climatic Change", "id" : "ITEM-3", "issue" : "3", "issued" : { "date-parts" : [ [ "2014" ] ] }, "language" : "English", "page" : "353-367", "publisher" : "Springer Netherlands", "title" : "The role of technology for achieving climate policy objectives: overview of the EMF 27 study on global technology and climate policy strategies", "type" : "article-journal", "volume" : "123" }, "uris" : [ "http://www.mendeley.com/documents/?uuid=faaf57e2-ae55-4c8e-8c81-63e78f92ca11" ] } ], "mendeley" : { "formattedCitation" : "(Budinis et al., 2017; EMF, 2019; Kriegler et al., 2014)", "plainTextFormattedCitation" : "(Budinis et al., 2017; EMF, 2019; Kriegler et al., 2014)", "previouslyFormattedCitation" : "[21\u201323]" }, "properties" : { "noteIndex" : 0 }, "schema" : "https://github.com/citation-style-language/schema/raw/master/csl-citation.json" }</w:instrText>
      </w:r>
      <w:r w:rsidRPr="0095448E">
        <w:fldChar w:fldCharType="separate"/>
      </w:r>
      <w:r w:rsidR="00791118" w:rsidRPr="0095448E">
        <w:rPr>
          <w:noProof/>
        </w:rPr>
        <w:t>(</w:t>
      </w:r>
      <w:r w:rsidRPr="0095448E">
        <w:rPr>
          <w:noProof/>
        </w:rPr>
        <w:t>Kriegler et al., 2014)</w:t>
      </w:r>
      <w:r w:rsidRPr="0095448E">
        <w:fldChar w:fldCharType="end"/>
      </w:r>
      <w:r w:rsidRPr="0095448E">
        <w:t>.</w:t>
      </w:r>
      <w:r w:rsidR="00E92942" w:rsidRPr="0095448E">
        <w:t xml:space="preserve"> </w:t>
      </w:r>
      <w:r w:rsidRPr="0095448E">
        <w:t xml:space="preserve">Within integrated assessment models, the industrial sector is characterised as an end-use demand sector, producing commodities and demanding energy, in the form of fuels (fossil or renewable) and/or electricity. </w:t>
      </w:r>
      <w:r w:rsidR="00E92942" w:rsidRPr="0095448E">
        <w:t>I</w:t>
      </w:r>
      <w:r w:rsidRPr="0095448E">
        <w:t xml:space="preserve">ndustrial commodity demand </w:t>
      </w:r>
      <w:r w:rsidR="00DA0848" w:rsidRPr="0095448E">
        <w:t>is calculated</w:t>
      </w:r>
      <w:r w:rsidRPr="0095448E">
        <w:t xml:space="preserve"> </w:t>
      </w:r>
      <w:r w:rsidR="00DA0848" w:rsidRPr="0095448E">
        <w:t>from</w:t>
      </w:r>
      <w:r w:rsidRPr="0095448E">
        <w:t xml:space="preserve"> macroeconomic drivers </w:t>
      </w:r>
      <w:r w:rsidR="00E92942" w:rsidRPr="0095448E">
        <w:t xml:space="preserve">in the majority of the models </w:t>
      </w:r>
      <w:r w:rsidRPr="0095448E">
        <w:fldChar w:fldCharType="begin" w:fldLock="1"/>
      </w:r>
      <w:r w:rsidRPr="0095448E">
        <w:instrText>ADDIN CSL_CITATION { "citationItems" : [ { "id" : "ITEM-1", "itemData" : { "DOI" : "http://dx.doi.org/10.1016/j.energy.2017.01.017", "ISBN" : "0360-5442", "abstract" : "The industry sector is a major energy consumer and GHG emitter. Effective climate change mitigation strategies will require a significant reduction of industrial emissions. To better understand the variations in the projected industrial pathways for both baseline and mitigation scenarios, we compare key input and structure assumptions used in energy-models in relation to the modeled sectors' mitigation potential. It is shown that although all models show in the short term similar trends in a baseline scenario, where industrial energy demand increases steadily, after 2050 energy demand spans a wide range across the models (between 203 and 451\u00a0EJ/yr). In Non-OECD countries, the sectors energy intensity is projected to decline relatively rapidly but in the 2010\u20132050 period this is offset by economic growth. The ability to switch to alternative fuels to mitigate GHG emissions differs across models with technologically detailed models being less flexible in switching from fossil fuels to electricity. This highlights the importance of understanding economy-wide mitigation responses and costs and is therefore an area for improvements. By looking at the cement sector in more detail, we show that analyzing each industrial sub-sector separately can improve the interpretation and accuracy of outcomes, and provide insights in the feasibility of GHG abatement.", "author" : [ { "dropping-particle" : "", "family" : "Edelenbosch", "given" : "O Y", "non-dropping-particle" : "", "parse-names" : false, "suffix" : "" }, { "dropping-particle" : "", "family" : "Kermeli", "given" : "K", "non-dropping-particle" : "", "parse-names" : false, "suffix" : "" }, { "dropping-particle" : "", "family" : "Crijns-Graus", "given" : "W", "non-dropping-particle" : "", "parse-names" : false, "suffix" : "" }, { "dropping-particle" : "", "family" : "Worrell", "given" : "E", "non-dropping-particle" : "", "parse-names" : false, "suffix" : "" }, { "dropping-particle" : "", "family" : "Bibas", "given" : "R", "non-dropping-particle" : "", "parse-names" : false, "suffix" : "" }, { "dropping-particle" : "", "family" : "Fais", "given" : "B", "non-dropping-particle" : "", "parse-names" : false, "suffix" : "" }, { "dropping-particle" : "", "family" : "Fujimori", "given" : "S", "non-dropping-particle" : "", "parse-names" : false, "suffix" : "" }, { "dropping-particle" : "", "family" : "Kyle", "given" : "P", "non-dropping-particle" : "", "parse-names" : false, "suffix" : "" }, { "dropping-particle" : "", "family" : "Sano", "given" : "F", "non-dropping-particle" : "", "parse-names" : false, "suffix" : "" }, { "dropping-particle" : "", "family" : "Vuuren", "given" : "D P", "non-dropping-particle" : "van", "parse-names" : false, "suffix" : "" } ], "container-title" : "Energy", "id" : "ITEM-1", "issued" : { "date-parts" : [ [ "2017" ] ] }, "page" : "701-710", "title" : "Comparing projections of industrial energy demand and greenhouse gas emissions in long-term energy models", "type" : "article-journal", "volume" : "122" }, "uris" : [ "http://www.mendeley.com/documents/?uuid=705214d2-9d38-4dea-ac9d-742cea306aa7" ] } ], "mendeley" : { "formattedCitation" : "(Edelenbosch et al., 2017)", "plainTextFormattedCitation" : "(Edelenbosch et al., 2017)", "previouslyFormattedCitation" : "[24]" }, "properties" : { "noteIndex" : 0 }, "schema" : "https://github.com/citation-style-language/schema/raw/master/csl-citation.json" }</w:instrText>
      </w:r>
      <w:r w:rsidRPr="0095448E">
        <w:fldChar w:fldCharType="separate"/>
      </w:r>
      <w:r w:rsidRPr="0095448E">
        <w:rPr>
          <w:noProof/>
        </w:rPr>
        <w:t>(Edelenbosch et al., 2017)</w:t>
      </w:r>
      <w:r w:rsidRPr="0095448E">
        <w:fldChar w:fldCharType="end"/>
      </w:r>
      <w:r w:rsidR="00E92942" w:rsidRPr="0095448E">
        <w:t>, although they</w:t>
      </w:r>
      <w:r w:rsidR="00DA0848" w:rsidRPr="0095448E">
        <w:t xml:space="preserve"> widely </w:t>
      </w:r>
      <w:r w:rsidRPr="0095448E">
        <w:t xml:space="preserve">differ in terms of </w:t>
      </w:r>
      <w:r w:rsidR="00DA0848" w:rsidRPr="0095448E">
        <w:t xml:space="preserve">disaggregation into </w:t>
      </w:r>
      <w:r w:rsidR="00E92942" w:rsidRPr="0095448E">
        <w:t xml:space="preserve">market </w:t>
      </w:r>
      <w:r w:rsidR="00DA0848" w:rsidRPr="0095448E">
        <w:t>subsectors, commodities, a</w:t>
      </w:r>
      <w:r w:rsidRPr="0095448E">
        <w:t>nd approach to the technology characterisation.</w:t>
      </w:r>
    </w:p>
    <w:p w14:paraId="4261806D" w14:textId="77777777" w:rsidR="00E92942" w:rsidRPr="0095448E" w:rsidRDefault="00DA0848" w:rsidP="00FA072F">
      <w:pPr>
        <w:pStyle w:val="TAMainText"/>
      </w:pPr>
      <w:r w:rsidRPr="0095448E">
        <w:t>M</w:t>
      </w:r>
      <w:r w:rsidR="00FA072F" w:rsidRPr="0095448E">
        <w:t xml:space="preserve">ost articles focus on specific subsectors, such as cement </w:t>
      </w:r>
      <w:r w:rsidR="00FA072F" w:rsidRPr="0095448E">
        <w:fldChar w:fldCharType="begin" w:fldLock="1"/>
      </w:r>
      <w:r w:rsidR="00FA072F" w:rsidRPr="0095448E">
        <w:instrText>ADDIN CSL_CITATION { "citationItems" : [ { "id" : "ITEM-1", "itemData" : { "DOI" : "http://dx.doi.org/10.1016/j.energy.2017.01.017", "ISBN" : "0360-5442", "abstract" : "The industry sector is a major energy consumer and GHG emitter. Effective climate change mitigation strategies will require a significant reduction of industrial emissions. To better understand the variations in the projected industrial pathways for both baseline and mitigation scenarios, we compare key input and structure assumptions used in energy-models in relation to the modeled sectors' mitigation potential. It is shown that although all models show in the short term similar trends in a baseline scenario, where industrial energy demand increases steadily, after 2050 energy demand spans a wide range across the models (between 203 and 451\u00a0EJ/yr). In Non-OECD countries, the sectors energy intensity is projected to decline relatively rapidly but in the 2010\u20132050 period this is offset by economic growth. The ability to switch to alternative fuels to mitigate GHG emissions differs across models with technologically detailed models being less flexible in switching from fossil fuels to electricity. This highlights the importance of understanding economy-wide mitigation responses and costs and is therefore an area for improvements. By looking at the cement sector in more detail, we show that analyzing each industrial sub-sector separately can improve the interpretation and accuracy of outcomes, and provide insights in the feasibility of GHG abatement.", "author" : [ { "dropping-particle" : "", "family" : "Edelenbosch", "given" : "O Y", "non-dropping-particle" : "", "parse-names" : false, "suffix" : "" }, { "dropping-particle" : "", "family" : "Kermeli", "given" : "K", "non-dropping-particle" : "", "parse-names" : false, "suffix" : "" }, { "dropping-particle" : "", "family" : "Crijns-Graus", "given" : "W", "non-dropping-particle" : "", "parse-names" : false, "suffix" : "" }, { "dropping-particle" : "", "family" : "Worrell", "given" : "E", "non-dropping-particle" : "", "parse-names" : false, "suffix" : "" }, { "dropping-particle" : "", "family" : "Bibas", "given" : "R", "non-dropping-particle" : "", "parse-names" : false, "suffix" : "" }, { "dropping-particle" : "", "family" : "Fais", "given" : "B", "non-dropping-particle" : "", "parse-names" : false, "suffix" : "" }, { "dropping-particle" : "", "family" : "Fujimori", "given" : "S", "non-dropping-particle" : "", "parse-names" : false, "suffix" : "" }, { "dropping-particle" : "", "family" : "Kyle", "given" : "P", "non-dropping-particle" : "", "parse-names" : false, "suffix" : "" }, { "dropping-particle" : "", "family" : "Sano", "given" : "F", "non-dropping-particle" : "", "parse-names" : false, "suffix" : "" }, { "dropping-particle" : "", "family" : "Vuuren", "given" : "D P", "non-dropping-particle" : "van", "parse-names" : false, "suffix" : "" } ], "container-title" : "Energy", "id" : "ITEM-1", "issued" : { "date-parts" : [ [ "2017" ] ] }, "page" : "701-710", "title" : "Comparing projections of industrial energy demand and greenhouse gas emissions in long-term energy models", "type" : "article-journal", "volume" : "122" }, "uris" : [ "http://www.mendeley.com/documents/?uuid=705214d2-9d38-4dea-ac9d-742cea306aa7" ] }, { "id" : "ITEM-2", "itemData" : { "DOI" : "http://dx.doi.org/10.1016/j.resconrec.2016.04.016", "ISBN" : "0921-3449", "abstract" : "This paper presents a global simulation-model for the steel and cement industries. The model covers the full modelling chain from economic activity, to materials consumption, trade, technology choice, production capacity, energy use and CO2 emissions. Without climate policy, the future projections based on the SSP2 scenario show a rapid increase in the consumption of steel and cement over the next few decades, after which demand levels are projected to stabilize. This implies that over the scenario period, CO2 emissions are projected to peak in the next decades followed by a decrease below 2010 levels in 2050. There is considerable scope to mitigate CO2 emissions from steel and cement industries, leading to resp. 80\u201390% and 40\u201380% reduction below 2010 in 2050 for a high carbon tax of 100 $/tCO2+4%pa depending on the availability of Carbon Capture and Sequestration (CCS).", "author" : [ { "dropping-particle" : "", "family" : "Ruijven", "given" : "Bas J", "non-dropping-particle" : "van", "parse-names" : false, "suffix" : "" }, { "dropping-particle" : "", "family" : "Vuuren", "given" : "Detlef P", "non-dropping-particle" : "van", "parse-names" : false, "suffix" : "" }, { "dropping-particle" : "", "family" : "Boskaljon", "given" : "Willem", "non-dropping-particle" : "", "parse-names" : false, "suffix" : "" }, { "dropping-particle" : "", "family" : "Neelis", "given" : "Maarten L", "non-dropping-particle" : "", "parse-names" : false, "suffix" : "" }, { "dropping-particle" : "", "family" : "Saygin", "given" : "Deger", "non-dropping-particle" : "", "parse-names" : false, "suffix" : "" }, { "dropping-particle" : "", "family" : "Patel", "given" : "Martin K", "non-dropping-particle" : "", "parse-names" : false, "suffix" : "" } ], "container-title" : "Resources, Conservation and Recycling", "id" : "ITEM-2", "issued" : { "date-parts" : [ [ "2016" ] ] }, "page" : "15-36", "title" : "Long-term model-based projections of energy use and CO2 emissions from the global steel and cement industries", "type" : "article-journal", "volume" : "112" }, "uris" : [ "http://www.mendeley.com/documents/?uuid=75524104-489b-42b6-b733-a1a108fa2d06" ] }, { "id" : "ITEM-3", "itemData" : { "DOI" : "https://doi.org/10.1016/j.apenergy.2019.01.252", "ISBN" : "0306-2619", "abstract" : "Although the cement industry emits around 6% of global CO2 emissions, most global Integrated Assessment Models (IAMs) barely represent this industrial subsector or do not cover all important processes. This study, describes the state-of-the-art of cement modelling in IAMs, suggests possible improvements and discusses the impacts of these on energy and greenhouse gas emissions (GHG) in the IMAGE global IAM. It is found that two cement-sector specific GHG mitigation measures are often not explicitly accounted for in IAMs, namely: (i) retrofitting and (ii) reducing the clinker to cement ratio. For retrofitting, many measures are identified as cost-effective and when incorporating these in the IMAGE model overall energy use reduces between 2010 and 2035 by 9.8 and 11 EJ (4% and 5%) under the baseline and GHG mitigation scenarios, respectively. When incorporating the clinker to cement ratio by linking material availability to the activities in the steel industry and coal-fired power plants, the 2050 energy use reduces by 15% under the baseline scenario and increases by 9% under the GHG mitigation scenario as fewer coal-fired power plants are in operation. This is even more prominent in the long term. The 2100 energy use is 14% higher in the GHG mitigation scenario as even fewer coal-fired power plants are used drastically limiting the potential for clinker substitution with fly ash. These results highlight the importance of capturing cross-sectoral relationships between industries and of including sector specific mitigation measures in long-term energy models.", "author" : [ { "dropping-particle" : "", "family" : "Kermeli", "given" : "Katerina", "non-dropping-particle" : "", "parse-names" : false, "suffix" : "" }, { "dropping-particle" : "", "family" : "Edelenbosch", "given" : "Oreane Y", "non-dropping-particle" : "", "parse-names" : false, "suffix" : "" }, { "dropping-particle" : "", "family" : "Crijns-Graus", "given" : "Wina", "non-dropping-particle" : "", "parse-names" : false, "suffix" : "" }, { "dropping-particle" : "", "family" : "Ruijven", "given" : "Bas J", "non-dropping-particle" : "van", "parse-names" : false, "suffix" : "" }, { "dropping-particle" : "", "family" : "Mima", "given" : "Silvana", "non-dropping-particle" : "", "parse-names" : false, "suffix" : "" }, { "dropping-particle" : "", "family" : "Vuuren", "given" : "Detlef P", "non-dropping-particle" : "van", "parse-names" : false, "suffix" : "" }, { "dropping-particle" : "", "family" : "Worrell", "given" : "Ernst", "non-dropping-particle" : "", "parse-names" : false, "suffix" : "" } ], "container-title" : "Applied Energy", "id" : "ITEM-3", "issued" : { "date-parts" : [ [ "2019" ] ] }, "page" : "964-985", "title" : "The scope for better industry representation in long-term energy models: Modeling the cement industry", "type" : "article-journal", "volume" : "240" }, "uris" : [ "http://www.mendeley.com/documents/?uuid=c3cc6d67-2958-413a-abc7-20bf7b3309cd" ] } ], "mendeley" : { "formattedCitation" : "(Edelenbosch et al., 2017; Kermeli et al., 2019; van Ruijven et al., 2016)", "plainTextFormattedCitation" : "(Edelenbosch et al., 2017; Kermeli et al., 2019; van Ruijven et al., 2016)", "previouslyFormattedCitation" : "[24\u201326]" }, "properties" : { "noteIndex" : 0 }, "schema" : "https://github.com/citation-style-language/schema/raw/master/csl-citation.json" }</w:instrText>
      </w:r>
      <w:r w:rsidR="00FA072F" w:rsidRPr="0095448E">
        <w:fldChar w:fldCharType="separate"/>
      </w:r>
      <w:r w:rsidR="00FA072F" w:rsidRPr="0095448E">
        <w:rPr>
          <w:noProof/>
        </w:rPr>
        <w:t>(Kermeli et al., 2019</w:t>
      </w:r>
      <w:r w:rsidR="00D34FF5" w:rsidRPr="0095448E">
        <w:rPr>
          <w:noProof/>
        </w:rPr>
        <w:t>) and steel</w:t>
      </w:r>
      <w:r w:rsidR="00FA072F" w:rsidRPr="0095448E">
        <w:rPr>
          <w:noProof/>
        </w:rPr>
        <w:t xml:space="preserve"> </w:t>
      </w:r>
      <w:r w:rsidR="00D34FF5" w:rsidRPr="0095448E">
        <w:rPr>
          <w:noProof/>
        </w:rPr>
        <w:t>(</w:t>
      </w:r>
      <w:r w:rsidR="00FA072F" w:rsidRPr="0095448E">
        <w:rPr>
          <w:noProof/>
        </w:rPr>
        <w:t>van Ruijven et al., 2016)</w:t>
      </w:r>
      <w:r w:rsidR="00FA072F" w:rsidRPr="0095448E">
        <w:fldChar w:fldCharType="end"/>
      </w:r>
      <w:r w:rsidRPr="0095448E">
        <w:t xml:space="preserve"> whereas</w:t>
      </w:r>
      <w:r w:rsidR="00FA072F" w:rsidRPr="0095448E">
        <w:t xml:space="preserve"> </w:t>
      </w:r>
      <w:r w:rsidR="0079580D" w:rsidRPr="0095448E">
        <w:t>o</w:t>
      </w:r>
      <w:r w:rsidR="00FA072F" w:rsidRPr="0095448E">
        <w:t xml:space="preserve">nly a few contributions assess the role of the whole industrial sector decarbonisation potential </w:t>
      </w:r>
      <w:r w:rsidR="00FA072F" w:rsidRPr="0095448E">
        <w:fldChar w:fldCharType="begin" w:fldLock="1"/>
      </w:r>
      <w:r w:rsidR="00FA072F" w:rsidRPr="0095448E">
        <w:instrText>ADDIN CSL_CITATION { "citationItems" : [ { "id" : "ITEM-1", "itemData" : { "DOI" : "http://dx.doi.org/10.1016/j.apenergy.2015.10.112", "ISBN" : "0306-2619", "abstract" : "This paper evaluates the critical contribution of the industry sector to long-term decarbonisation, efficiency and renewable energy policy targets. Its methodological novelty is the incorporation of a process-oriented modelling approach based on a comprehensive technology database for the industry sector in a national energy system model for the UK (UKTM), allowing quantification of the role of both decarbonisation of upstream energy vectors and of mitigation options in the industrial sub-categories. This enhanced model is then applied in a comparative policy scenario analysis that explores various target dimensions on emission mitigation, renewable energy and energy efficiency at both a national and European level. The results show that ambitious emission cuts in the industry sector of up to 77% until 2050 compared to 2010 can be achieved. Moreover, with a reduction in industrial energy demand of up to 31% between 2010 and 2050, the sector is essential for achieving the overall efficiency commitments. The industry sector also makes a moderate contribution to the expansion of renewable energies mostly through the use of biomass for low-temperature heating services. However, additional sub-targets on renewable sources and energy efficiency need to be assessed critically, as they can significantly distort the cost-efficiency of the long-term mitigation pathway.", "author" : [ { "dropping-particle" : "", "family" : "Fais", "given" : "Birgit", "non-dropping-particle" : "", "parse-names" : false, "suffix" : "" }, { "dropping-particle" : "", "family" : "Sabio", "given" : "Nagore", "non-dropping-particle" : "", "parse-names" : false, "suffix" : "" }, { "dropping-particle" : "", "family" : "Strachan", "given" : "Neil", "non-dropping-particle" : "", "parse-names" : false, "suffix" : "" } ], "container-title" : "Applied Energy", "id" : "ITEM-1", "issued" : { "date-parts" : [ [ "2016" ] ] }, "page" : "699-712", "title" : "The critical role of the industrial sector in reaching long-term emission reduction, energy efficiency and renewable targets", "type" : "article-journal", "volume" : "162" }, "uris" : [ "http://www.mendeley.com/documents/?uuid=f206071c-5c9e-48d9-8fdf-40f2e422b8be" ] } ], "mendeley" : { "formattedCitation" : "(Fais et al., 2016)", "plainTextFormattedCitation" : "(Fais et al., 2016)", "previouslyFormattedCitation" : "[27]" }, "properties" : { "noteIndex" : 0 }, "schema" : "https://github.com/citation-style-language/schema/raw/master/csl-citation.json" }</w:instrText>
      </w:r>
      <w:r w:rsidR="00FA072F" w:rsidRPr="0095448E">
        <w:fldChar w:fldCharType="separate"/>
      </w:r>
      <w:r w:rsidR="00FA072F" w:rsidRPr="0095448E">
        <w:rPr>
          <w:noProof/>
        </w:rPr>
        <w:t>(Fais et al., 2016)</w:t>
      </w:r>
      <w:r w:rsidR="00FA072F" w:rsidRPr="0095448E">
        <w:fldChar w:fldCharType="end"/>
      </w:r>
      <w:r w:rsidR="00FA072F" w:rsidRPr="0095448E">
        <w:t>.</w:t>
      </w:r>
      <w:r w:rsidR="00E92942" w:rsidRPr="0095448E">
        <w:t xml:space="preserve"> </w:t>
      </w:r>
      <w:r w:rsidR="0079580D" w:rsidRPr="0095448E">
        <w:t>The</w:t>
      </w:r>
      <w:r w:rsidR="00FA072F" w:rsidRPr="0095448E">
        <w:t xml:space="preserve"> techno</w:t>
      </w:r>
      <w:r w:rsidR="0079580D" w:rsidRPr="0095448E">
        <w:t xml:space="preserve">-economic </w:t>
      </w:r>
      <w:r w:rsidR="00E92942" w:rsidRPr="0095448E">
        <w:t>modelling has various levels of granularity in the literature</w:t>
      </w:r>
      <w:r w:rsidRPr="0095448E">
        <w:t xml:space="preserve">. </w:t>
      </w:r>
    </w:p>
    <w:p w14:paraId="4809695E" w14:textId="77777777" w:rsidR="00E92942" w:rsidRPr="0095448E" w:rsidRDefault="00FA072F" w:rsidP="00E92942">
      <w:pPr>
        <w:pStyle w:val="TAMainText"/>
        <w:numPr>
          <w:ilvl w:val="0"/>
          <w:numId w:val="16"/>
        </w:numPr>
      </w:pPr>
      <w:r w:rsidRPr="0095448E">
        <w:t>POLES-JRC</w:t>
      </w:r>
      <w:r w:rsidR="00DA0848" w:rsidRPr="0095448E">
        <w:t xml:space="preserve"> (the JRC version of the Prospective Outlook on Long-term Energy System)</w:t>
      </w:r>
      <w:r w:rsidRPr="0095448E">
        <w:t xml:space="preserve"> is a partial equilibrium model of the energy system using recursive dynamic simulation</w:t>
      </w:r>
      <w:r w:rsidR="001A6CDA" w:rsidRPr="0095448E">
        <w:t>. It determines</w:t>
      </w:r>
      <w:r w:rsidRPr="0095448E">
        <w:t xml:space="preserve"> the market shares of competing options based on their relative cost and performance </w:t>
      </w:r>
      <w:r w:rsidRPr="0095448E">
        <w:fldChar w:fldCharType="begin" w:fldLock="1"/>
      </w:r>
      <w:r w:rsidRPr="0095448E">
        <w:instrText>ADDIN CSL_CITATION { "citationItems" : [ { "id" : "ITEM-1", "itemData" : { "URL" : "https://ec.europa.eu/jrc/en/publication/poles-jrc-model-documentation-0", "author" : [ { "dropping-particle" : "", "family" : "Jacques", "given" : "DESPR\u00c9S", "non-dropping-particle" : "", "parse-names" : false, "suffix" : "" }, { "dropping-particle" : "", "family" : "Kimon", "given" : "KERAMIDAS", "non-dropping-particle" : "", "parse-names" : false, "suffix" : "" }, { "dropping-particle" : "", "family" : "Andreas", "given" : "SCHMITZ", "non-dropping-particle" : "", "parse-names" : false, "suffix" : "" }, { "dropping-particle" : "", "family" : "Alban", "given" : "KITOUS", "non-dropping-particle" : "", "parse-names" : false, "suffix" : "" }, { "dropping-particle" : "", "family" : "Burkhard", "given" : "SCHADE", "non-dropping-particle" : "", "parse-names" : false, "suffix" : "" }, { "dropping-particle" : "", "family" : "Ana", "given" : "DIAZ VAZQUEZ", "non-dropping-particle" : "", "parse-names" : false, "suffix" : "" }, { "dropping-particle" : "", "family" : "Silvana", "given" : "MIMA", "non-dropping-particle" : "", "parse-names" : false, "suffix" : "" }, { "dropping-particle" : "", "family" : "Peter", "given" : "RUSS Hans", "non-dropping-particle" : "", "parse-names" : false, "suffix" : "" }, { "dropping-particle" : "", "family" : "Tobias", "given" : "WIESENTHAL", "non-dropping-particle" : "", "parse-names" : false, "suffix" : "" } ], "id" : "ITEM-1", "issue" : "08/ 03/ ", "issued" : { "date-parts" : [ [ "2018" ] ] }, "publisher" : "Publications Office of the European Union", "title" : "POLES-JRC model documentation", "type" : "webpage", "volume" : "2019" }, "uris" : [ "http://www.mendeley.com/documents/?uuid=8e7e8f1d-62a2-4056-9670-41e176055459" ] } ], "mendeley" : { "formattedCitation" : "(Jacques et al., 2018)", "plainTextFormattedCitation" : "(Jacques et al., 2018)", "previouslyFormattedCitation" : "[28]" }, "properties" : { "noteIndex" : 0 }, "schema" : "https://github.com/citation-style-language/schema/raw/master/csl-citation.json" }</w:instrText>
      </w:r>
      <w:r w:rsidRPr="0095448E">
        <w:fldChar w:fldCharType="separate"/>
      </w:r>
      <w:r w:rsidRPr="0095448E">
        <w:rPr>
          <w:noProof/>
        </w:rPr>
        <w:t>(Jacques et al., 2018)</w:t>
      </w:r>
      <w:r w:rsidRPr="0095448E">
        <w:fldChar w:fldCharType="end"/>
      </w:r>
      <w:r w:rsidRPr="0095448E">
        <w:t xml:space="preserve">. Within POLES-JRC, the industrial energy demand is broken down into four subsectors (iron and steel; chemicals; non-metallic minerals; </w:t>
      </w:r>
      <w:r w:rsidRPr="0095448E">
        <w:lastRenderedPageBreak/>
        <w:t>others). For steel making, the competition among different technology options is based on pre-existing capacities, evolution of steel consumption and production costs. For the other sectors, first the demand for process h</w:t>
      </w:r>
      <w:r w:rsidR="001A6CDA" w:rsidRPr="0095448E">
        <w:t>eat is calculated, and then the</w:t>
      </w:r>
      <w:r w:rsidRPr="0095448E">
        <w:t xml:space="preserve"> heat demand is fulfilled by different fuels based on their relative costs.</w:t>
      </w:r>
      <w:r w:rsidR="00E92942" w:rsidRPr="0095448E">
        <w:t xml:space="preserve"> </w:t>
      </w:r>
      <w:r w:rsidRPr="0095448E">
        <w:t>Other models only partially chara</w:t>
      </w:r>
      <w:r w:rsidR="00E92942" w:rsidRPr="0095448E">
        <w:t>cterise the chemical subsector.</w:t>
      </w:r>
    </w:p>
    <w:p w14:paraId="6280BEFD" w14:textId="77777777" w:rsidR="00E92942" w:rsidRPr="0095448E" w:rsidRDefault="00FA072F" w:rsidP="00E92942">
      <w:pPr>
        <w:pStyle w:val="TAMainText"/>
        <w:numPr>
          <w:ilvl w:val="0"/>
          <w:numId w:val="16"/>
        </w:numPr>
      </w:pPr>
      <w:r w:rsidRPr="0095448E">
        <w:t xml:space="preserve">The DNE21+ model, a dynamic, linear programming optimisation model of the energy system, uses a bottom-up approach for the energy intensive subsectors in industry </w:t>
      </w:r>
      <w:r w:rsidRPr="0095448E">
        <w:fldChar w:fldCharType="begin" w:fldLock="1"/>
      </w:r>
      <w:r w:rsidRPr="0095448E">
        <w:instrText>ADDIN CSL_CITATION { "citationItems" : [ { "id" : "ITEM-1", "itemData" : { "URL" : "http://www.rite.or.jp/system/en/global-warming-ouyou/modeltodata/overviewdne21/", "author" : [ { "dropping-particle" : "", "family" : "RITE", "given" : "", "non-dropping-particle" : "", "parse-names" : false, "suffix" : "" } ], "id" : "ITEM-1", "issue" : "08/ 03/ ", "issued" : { "date-parts" : [ [ "2008" ] ] }, "title" : "Overview of DNE21+", "type" : "webpage", "volume" : "2019" }, "uris" : [ "http://www.mendeley.com/documents/?uuid=bc022698-7d16-4453-a5a9-3f3a2fef7647" ] } ], "mendeley" : { "formattedCitation" : "(RITE, 2008)", "plainTextFormattedCitation" : "(RITE, 2008)", "previouslyFormattedCitation" : "[29]" }, "properties" : { "noteIndex" : 0 }, "schema" : "https://github.com/citation-style-language/schema/raw/master/csl-citation.json" }</w:instrText>
      </w:r>
      <w:r w:rsidRPr="0095448E">
        <w:fldChar w:fldCharType="separate"/>
      </w:r>
      <w:r w:rsidRPr="0095448E">
        <w:rPr>
          <w:noProof/>
        </w:rPr>
        <w:t>(RITE, 2008)</w:t>
      </w:r>
      <w:r w:rsidRPr="0095448E">
        <w:fldChar w:fldCharType="end"/>
      </w:r>
      <w:r w:rsidRPr="0095448E">
        <w:t>. GCAM (Global Change Assessment Model) a dynamic-recursive model with technology-rich representations of the economy, evaluates the energy demand of the industrial sector by means of energy service price elasticities, with central estimate driven by population level, economic activity (</w:t>
      </w:r>
      <w:r w:rsidR="00E620C0" w:rsidRPr="0095448E">
        <w:t xml:space="preserve">gross domestic product, </w:t>
      </w:r>
      <w:r w:rsidRPr="0095448E">
        <w:t xml:space="preserve">GDP) and the market prices of primary energy </w:t>
      </w:r>
      <w:r w:rsidRPr="0095448E">
        <w:fldChar w:fldCharType="begin" w:fldLock="1"/>
      </w:r>
      <w:r w:rsidRPr="0095448E">
        <w:instrText>ADDIN CSL_CITATION { "citationItems" : [ { "id" : "ITEM-1", "itemData" : { "URL" : "http://www.globalchange.umd.edu/archived-models/minicam/", "author" : [ { "dropping-particle" : "", "family" : "JGCRI", "given" : "", "non-dropping-particle" : "", "parse-names" : false, "suffix" : "" } ], "id" : "ITEM-1", "issue" : "08/ 03/ ", "issued" : { "date-parts" : [ [ "2019" ] ] }, "title" : "MiniCAM", "type" : "webpage", "volume" : "2019" }, "uris" : [ "http://www.mendeley.com/documents/?uuid=f5fe5372-11cf-4821-bed3-f010a846d41e" ] }, { "id" : "ITEM-2", "itemData" : { "URL" : "http://www.globalchange.umd.edu/gcam/", "author" : [ { "dropping-particle" : "", "family" : "JGCRI", "given" : "", "non-dropping-particle" : "", "parse-names" : false, "suffix" : "" } ], "id" : "ITEM-2", "issue" : "08/ 03/ ", "issued" : { "date-parts" : [ [ "2019" ] ] }, "title" : "Global Change Assessment Model", "type" : "webpage", "volume" : "2019" }, "uris" : [ "http://www.mendeley.com/documents/?uuid=1463697e-0c78-4ef2-9973-c12b84f29026" ] }, { "id" : "ITEM-3", "itemData" : { "URL" : "https://www.pnnl.gov/main/publications/external/technical_reports/PNNL-14337.pdf", "author" : [ { "dropping-particle" : "", "family" : "Brenkert", "given" : "A L", "non-dropping-particle" : "", "parse-names" : false, "suffix" : "" }, { "dropping-particle" : "", "family" : "Kim", "given" : "S H", "non-dropping-particle" : "", "parse-names" : false, "suffix" : "" }, { "dropping-particle" : "", "family" : "Smith", "given" : "A J", "non-dropping-particle" : "", "parse-names" : false, "suffix" : "" }, { "dropping-particle" : "", "family" : "Pitcher", "given" : "H M", "non-dropping-particle" : "", "parse-names" : false, "suffix" : "" } ], "editor" : [ { "dropping-particle" : "", "family" : "Laboratory", "given" : "Pacific Northwest National", "non-dropping-particle" : "", "parse-names" : false, "suffix" : "" } ], "id" : "ITEM-3", "issue" : "08/ 03/ ", "issued" : { "date-parts" : [ [ "2003" ] ] }, "title" : "Model Documentation for the MiniCAM", "type" : "webpage", "volume" : "2019" }, "uris" : [ "http://www.mendeley.com/documents/?uuid=48e495cd-c9ba-44b2-9e64-cbe883891e8e" ] } ], "mendeley" : { "formattedCitation" : "(Brenkert et al., 2003; JGCRI, 2019a, 2019b)", "plainTextFormattedCitation" : "(Brenkert et al., 2003; JGCRI, 2019a, 2019b)", "previouslyFormattedCitation" : "[30\u201332]" }, "properties" : { "noteIndex" : 0 }, "schema" : "https://github.com/citation-style-language/schema/raw/master/csl-citation.json" }</w:instrText>
      </w:r>
      <w:r w:rsidRPr="0095448E">
        <w:fldChar w:fldCharType="separate"/>
      </w:r>
      <w:r w:rsidRPr="0095448E">
        <w:rPr>
          <w:noProof/>
        </w:rPr>
        <w:t>(</w:t>
      </w:r>
      <w:r w:rsidR="00F45576" w:rsidRPr="0095448E">
        <w:rPr>
          <w:noProof/>
        </w:rPr>
        <w:t>JGCRI, 2019</w:t>
      </w:r>
      <w:r w:rsidRPr="0095448E">
        <w:rPr>
          <w:noProof/>
        </w:rPr>
        <w:t>)</w:t>
      </w:r>
      <w:r w:rsidRPr="0095448E">
        <w:fldChar w:fldCharType="end"/>
      </w:r>
      <w:r w:rsidRPr="0095448E">
        <w:t xml:space="preserve">. The demand for cement and fertilizers is explicitly determined, while the remaining subsectors are modelled as a single homogeneous industrial good </w:t>
      </w:r>
      <w:r w:rsidRPr="0095448E">
        <w:fldChar w:fldCharType="begin" w:fldLock="1"/>
      </w:r>
      <w:r w:rsidRPr="0095448E">
        <w:instrText>ADDIN CSL_CITATION { "citationItems" : [ { "id" : "ITEM-1", "itemData" : { "DOI" : "http://dx.doi.org/10.1016/j.energy.2017.01.017", "ISBN" : "0360-5442", "abstract" : "The industry sector is a major energy consumer and GHG emitter. Effective climate change mitigation strategies will require a significant reduction of industrial emissions. To better understand the variations in the projected industrial pathways for both baseline and mitigation scenarios, we compare key input and structure assumptions used in energy-models in relation to the modeled sectors' mitigation potential. It is shown that although all models show in the short term similar trends in a baseline scenario, where industrial energy demand increases steadily, after 2050 energy demand spans a wide range across the models (between 203 and 451\u00a0EJ/yr). In Non-OECD countries, the sectors energy intensity is projected to decline relatively rapidly but in the 2010\u20132050 period this is offset by economic growth. The ability to switch to alternative fuels to mitigate GHG emissions differs across models with technologically detailed models being less flexible in switching from fossil fuels to electricity. This highlights the importance of understanding economy-wide mitigation responses and costs and is therefore an area for improvements. By looking at the cement sector in more detail, we show that analyzing each industrial sub-sector separately can improve the interpretation and accuracy of outcomes, and provide insights in the feasibility of GHG abatement.", "author" : [ { "dropping-particle" : "", "family" : "Edelenbosch", "given" : "O Y", "non-dropping-particle" : "", "parse-names" : false, "suffix" : "" }, { "dropping-particle" : "", "family" : "Kermeli", "given" : "K", "non-dropping-particle" : "", "parse-names" : false, "suffix" : "" }, { "dropping-particle" : "", "family" : "Crijns-Graus", "given" : "W", "non-dropping-particle" : "", "parse-names" : false, "suffix" : "" }, { "dropping-particle" : "", "family" : "Worrell", "given" : "E", "non-dropping-particle" : "", "parse-names" : false, "suffix" : "" }, { "dropping-particle" : "", "family" : "Bibas", "given" : "R", "non-dropping-particle" : "", "parse-names" : false, "suffix" : "" }, { "dropping-particle" : "", "family" : "Fais", "given" : "B", "non-dropping-particle" : "", "parse-names" : false, "suffix" : "" }, { "dropping-particle" : "", "family" : "Fujimori", "given" : "S", "non-dropping-particle" : "", "parse-names" : false, "suffix" : "" }, { "dropping-particle" : "", "family" : "Kyle", "given" : "P", "non-dropping-particle" : "", "parse-names" : false, "suffix" : "" }, { "dropping-particle" : "", "family" : "Sano", "given" : "F", "non-dropping-particle" : "", "parse-names" : false, "suffix" : "" }, { "dropping-particle" : "", "family" : "Vuuren", "given" : "D P", "non-dropping-particle" : "van", "parse-names" : false, "suffix" : "" } ], "container-title" : "Energy", "id" : "ITEM-1", "issued" : { "date-parts" : [ [ "2017" ] ] }, "page" : "701-710", "title" : "Comparing projections of industrial energy demand and greenhouse gas emissions in long-term energy models", "type" : "article-journal", "volume" : "122" }, "uris" : [ "http://www.mendeley.com/documents/?uuid=705214d2-9d38-4dea-ac9d-742cea306aa7" ] } ], "mendeley" : { "formattedCitation" : "(Edelenbosch et al., 2017)", "plainTextFormattedCitation" : "(Edelenbosch et al., 2017)", "previouslyFormattedCitation" : "[24]" }, "properties" : { "noteIndex" : 0 }, "schema" : "https://github.com/citation-style-language/schema/raw/master/csl-citation.json" }</w:instrText>
      </w:r>
      <w:r w:rsidRPr="0095448E">
        <w:fldChar w:fldCharType="separate"/>
      </w:r>
      <w:r w:rsidRPr="0095448E">
        <w:rPr>
          <w:noProof/>
        </w:rPr>
        <w:t>(Edelenbosch et al., 2017)</w:t>
      </w:r>
      <w:r w:rsidRPr="0095448E">
        <w:fldChar w:fldCharType="end"/>
      </w:r>
      <w:r w:rsidR="00E92942" w:rsidRPr="0095448E">
        <w:t>.</w:t>
      </w:r>
    </w:p>
    <w:p w14:paraId="240616E3" w14:textId="77777777" w:rsidR="00E92942" w:rsidRPr="0095448E" w:rsidRDefault="00FA072F" w:rsidP="00E92942">
      <w:pPr>
        <w:pStyle w:val="TAMainText"/>
        <w:numPr>
          <w:ilvl w:val="0"/>
          <w:numId w:val="16"/>
        </w:numPr>
      </w:pPr>
      <w:r w:rsidRPr="0095448E">
        <w:t xml:space="preserve">In the WITCH (World Induced Technical Change Hybrid) model, the industrial sector is aggregated together with the service and residential sectors in the category of “non-electric sectors” </w:t>
      </w:r>
      <w:r w:rsidRPr="0095448E">
        <w:fldChar w:fldCharType="begin" w:fldLock="1"/>
      </w:r>
      <w:r w:rsidRPr="0095448E">
        <w:instrText>ADDIN CSL_CITATION { "citationItems" : [ { "id" : "ITEM-1", "itemData" : { "URL" : "https://www.witchmodel.org/documentation/", "author" : [ { "dropping-particle" : "", "family" : "RFF CMCC", "given" : "", "non-dropping-particle" : "", "parse-names" : false, "suffix" : "" } ], "id" : "ITEM-1", "issue" : "08/ 03/ ", "issued" : { "date-parts" : [ [ "2019" ] ] }, "title" : "WITCH documentation", "type" : "webpage", "volume" : "2019" }, "uris" : [ "http://www.mendeley.com/documents/?uuid=776ae477-2b39-4641-8e96-c3f056cff4fd" ] } ], "mendeley" : { "formattedCitation" : "(RFF CMCC, 2019)", "plainTextFormattedCitation" : "(RFF CMCC, 2019)", "previouslyFormattedCitation" : "[33]" }, "properties" : { "noteIndex" : 0 }, "schema" : "https://github.com/citation-style-language/schema/raw/master/csl-citation.json" }</w:instrText>
      </w:r>
      <w:r w:rsidRPr="0095448E">
        <w:fldChar w:fldCharType="separate"/>
      </w:r>
      <w:r w:rsidRPr="0095448E">
        <w:rPr>
          <w:noProof/>
        </w:rPr>
        <w:t>(RFF CMCC, 2019)</w:t>
      </w:r>
      <w:r w:rsidRPr="0095448E">
        <w:fldChar w:fldCharType="end"/>
      </w:r>
      <w:r w:rsidR="00E92942" w:rsidRPr="0095448E">
        <w:t>.</w:t>
      </w:r>
    </w:p>
    <w:p w14:paraId="3A0E188B" w14:textId="77777777" w:rsidR="00E92942" w:rsidRPr="0095448E" w:rsidRDefault="00FA072F" w:rsidP="00E92942">
      <w:pPr>
        <w:pStyle w:val="TAMainText"/>
        <w:numPr>
          <w:ilvl w:val="0"/>
          <w:numId w:val="16"/>
        </w:numPr>
      </w:pPr>
      <w:r w:rsidRPr="0095448E">
        <w:t>In NEMS (the National Energy Model), the Industrial Demand Module estimates energy consumption by energy source (fuels and feedstocks) for fifteen manufacturing (energy-intensive and non-energy intensive) and six non-manufacturing industries (represented in less detail). Each manufacturing industry is modelled using either an end-use model approach (based on three components:</w:t>
      </w:r>
      <w:r w:rsidR="00E620C0" w:rsidRPr="0095448E">
        <w:t xml:space="preserve"> Boiler/Steam/Cogeneration, Buildings, and Process/Assembly</w:t>
      </w:r>
      <w:r w:rsidRPr="0095448E">
        <w:t xml:space="preserve"> activities) or a process-flow model approach (based on two </w:t>
      </w:r>
      <w:r w:rsidRPr="0095448E">
        <w:lastRenderedPageBreak/>
        <w:t xml:space="preserve">components only: </w:t>
      </w:r>
      <w:r w:rsidR="00E620C0" w:rsidRPr="0095448E">
        <w:t>Buildings and Process/Assembly activities</w:t>
      </w:r>
      <w:r w:rsidRPr="0095448E">
        <w:t xml:space="preserve">). The energy intensive manufacturing industries include food products, paper products, bulk chemicals, glass products, cement and lime, iron and steel, and aluminium. The non-energy intensive manufacturing industries include metal-based durables, wood products, and plastic products. Finally, the non-manufacturing industries include agriculture, </w:t>
      </w:r>
      <w:r w:rsidR="002C301F" w:rsidRPr="0095448E">
        <w:t xml:space="preserve">as well as </w:t>
      </w:r>
      <w:r w:rsidRPr="0095448E">
        <w:t>coal mining</w:t>
      </w:r>
      <w:r w:rsidR="002C301F" w:rsidRPr="0095448E">
        <w:t>, natural</w:t>
      </w:r>
      <w:r w:rsidRPr="0095448E">
        <w:t xml:space="preserve"> gas and oil extraction, metal and non-metallic mining, and construction </w:t>
      </w:r>
      <w:r w:rsidRPr="0095448E">
        <w:fldChar w:fldCharType="begin" w:fldLock="1"/>
      </w:r>
      <w:r w:rsidRPr="0095448E">
        <w:instrText>ADDIN CSL_CITATION { "citationItems" : [ { "id" : "ITEM-1", "itemData" : { "URL" : "http://www.eia.gov/forecasts/aeo/nems/documentation/industrial/pdf/m064%282013%29.pdf", "author" : [ { "dropping-particle" : "", "family" : "Eia", "given" : "", "non-dropping-particle" : "", "parse-names" : false, "suffix" : "" } ], "editor" : [ { "dropping-particle" : "", "family" : "Administration", "given" : "U S Energy Information", "non-dropping-particle" : "", "parse-names" : false, "suffix" : "" } ], "id" : "ITEM-1", "issue" : "07/ 06/ ", "issued" : { "date-parts" : [ [ "2013" ] ] }, "title" : "Model documentation report: industrial demand module of the national energy modeling system. Retrieved from the EIA website:,", "type" : "webpage", "volume" : "2016" }, "uris" : [ "http://www.mendeley.com/documents/?uuid=5716fc2d-7fc5-4810-8364-008182f5fc7c" ] } ], "mendeley" : { "formattedCitation" : "(Eia, 2013)", "plainTextFormattedCitation" : "(Eia, 2013)", "previouslyFormattedCitation" : "[34]" }, "properties" : { "noteIndex" : 0 }, "schema" : "https://github.com/citation-style-language/schema/raw/master/csl-citation.json" }</w:instrText>
      </w:r>
      <w:r w:rsidRPr="0095448E">
        <w:fldChar w:fldCharType="separate"/>
      </w:r>
      <w:r w:rsidRPr="0095448E">
        <w:rPr>
          <w:noProof/>
        </w:rPr>
        <w:t>(E</w:t>
      </w:r>
      <w:r w:rsidR="00BC4E2F" w:rsidRPr="0095448E">
        <w:rPr>
          <w:noProof/>
        </w:rPr>
        <w:t>IA</w:t>
      </w:r>
      <w:r w:rsidRPr="0095448E">
        <w:rPr>
          <w:noProof/>
        </w:rPr>
        <w:t>, 2013)</w:t>
      </w:r>
      <w:r w:rsidRPr="0095448E">
        <w:fldChar w:fldCharType="end"/>
      </w:r>
      <w:r w:rsidR="00E92942" w:rsidRPr="0095448E">
        <w:t>.</w:t>
      </w:r>
    </w:p>
    <w:p w14:paraId="04D5971B" w14:textId="77777777" w:rsidR="00224058" w:rsidRPr="0095448E" w:rsidRDefault="00FA072F" w:rsidP="00224058">
      <w:pPr>
        <w:pStyle w:val="TAMainText"/>
        <w:numPr>
          <w:ilvl w:val="0"/>
          <w:numId w:val="16"/>
        </w:numPr>
      </w:pPr>
      <w:r w:rsidRPr="0095448E">
        <w:t xml:space="preserve">In the DECC Energy and Emissions Model, an econometric, partial equilibrium model providing energy demand and emissions projections for the UK, the industrial sector is broken down into ten subsectors (food products, textile products, pulp and paper products, chemicals and chemical products, non-metallic minerals, iron and steel, non-ferrous metals, engineering and vehicles, construction and other manufacturing). The industry subsectors are not explicitly represented from a technology perspective, and instead their energy consumption is projected using an econometric approach based on key macroeconomic drivers </w:t>
      </w:r>
      <w:r w:rsidRPr="0095448E">
        <w:fldChar w:fldCharType="begin" w:fldLock="1"/>
      </w:r>
      <w:r w:rsidRPr="0095448E">
        <w:instrText>ADDIN CSL_CITATION { "citationItems" : [ { "id" : "ITEM-1", "itemData" : { "URL" : "https://www.theccc.org.uk/archive/aws/AEA (2011) Comparative review of the DECC Energy Model.pdf", "author" : [ { "dropping-particle" : "", "family" : "AEA", "given" : "", "non-dropping-particle" : "", "parse-names" : false, "suffix" : "" } ], "editor" : [ { "dropping-particle" : "", "family" : "Change", "given" : "Committee on Climate", "non-dropping-particle" : "", "parse-names" : false, "suffix" : "" } ], "id" : "ITEM-1", "issue" : "08/ 03/ ", "issued" : { "date-parts" : [ [ "2011" ] ] }, "title" : "Comparative Review of the DECC Energy Model", "type" : "webpage", "volume" : "2019" }, "uris" : [ "http://www.mendeley.com/documents/?uuid=250fdf74-550c-4a85-955e-dfca1287b515" ] } ], "mendeley" : { "formattedCitation" : "(AEA, 2011)", "plainTextFormattedCitation" : "(AEA, 2011)", "previouslyFormattedCitation" : "[35]" }, "properties" : { "noteIndex" : 0 }, "schema" : "https://github.com/citation-style-language/schema/raw/master/csl-citation.json" }</w:instrText>
      </w:r>
      <w:r w:rsidRPr="0095448E">
        <w:fldChar w:fldCharType="separate"/>
      </w:r>
      <w:r w:rsidRPr="0095448E">
        <w:rPr>
          <w:noProof/>
        </w:rPr>
        <w:t>(AEA, 2011)</w:t>
      </w:r>
      <w:r w:rsidRPr="0095448E">
        <w:fldChar w:fldCharType="end"/>
      </w:r>
      <w:r w:rsidRPr="0095448E">
        <w:t>.</w:t>
      </w:r>
    </w:p>
    <w:p w14:paraId="65F14E3C" w14:textId="284DB9A5" w:rsidR="003C5840" w:rsidRPr="0095448E" w:rsidRDefault="00224058" w:rsidP="00224058">
      <w:pPr>
        <w:pStyle w:val="TAMainText"/>
        <w:numPr>
          <w:ilvl w:val="0"/>
          <w:numId w:val="16"/>
        </w:numPr>
      </w:pPr>
      <w:r w:rsidRPr="0095448E">
        <w:t>O</w:t>
      </w:r>
      <w:r w:rsidR="00321EB9" w:rsidRPr="0095448E">
        <w:t xml:space="preserve">nly </w:t>
      </w:r>
      <w:r w:rsidR="00321EB9" w:rsidRPr="0095448E">
        <w:rPr>
          <w:lang w:val="en-GB"/>
        </w:rPr>
        <w:t>a</w:t>
      </w:r>
      <w:r w:rsidR="003C5840" w:rsidRPr="0095448E">
        <w:rPr>
          <w:lang w:val="en-GB"/>
        </w:rPr>
        <w:t xml:space="preserve"> few models disaggregate the industrial sector into subsectors (such as chemicals, cement, pulp and paper, iron and steel), and when that happens, the chemical industry is represented through a limited number of commodities </w:t>
      </w:r>
      <w:r w:rsidR="003C5840" w:rsidRPr="0095448E">
        <w:rPr>
          <w:lang w:val="en-GB"/>
        </w:rPr>
        <w:fldChar w:fldCharType="begin" w:fldLock="1"/>
      </w:r>
      <w:r w:rsidR="003C5840" w:rsidRPr="0095448E">
        <w:rPr>
          <w:lang w:val="en-GB"/>
        </w:rPr>
        <w:instrText>ADDIN CSL_CITATION { "citationItems" : [ { "id" : "ITEM-1", "itemData" : { "DOI" : "https://doi.org/10.1016/j.apenergy.2019.01.252", "ISBN" : "0306-2619", "abstract" : "Although the cement industry emits around 6% of global CO2 emissions, most global Integrated Assessment Models (IAMs) barely represent this industrial subsector or do not cover all important processes. This study, describes the state-of-the-art of cement modelling in IAMs, suggests possible improvements and discusses the impacts of these on energy and greenhouse gas emissions (GHG) in the IMAGE global IAM. It is found that two cement-sector specific GHG mitigation measures are often not explicitly accounted for in IAMs, namely: (i) retrofitting and (ii) reducing the clinker to cement ratio. For retrofitting, many measures are identified as cost-effective and when incorporating these in the IMAGE model overall energy use reduces between 2010 and 2035 by 9.8 and 11 EJ (4% and 5%) under the baseline and GHG mitigation scenarios, respectively. When incorporating the clinker to cement ratio by linking material availability to the activities in the steel industry and coal-fired power plants, the 2050 energy use reduces by 15% under the baseline scenario and increases by 9% under the GHG mitigation scenario as fewer coal-fired power plants are in operation. This is even more prominent in the long term. The 2100 energy use is 14% higher in the GHG mitigation scenario as even fewer coal-fired power plants are used drastically limiting the potential for clinker substitution with fly ash. These results highlight the importance of capturing cross-sectoral relationships between industries and of including sector specific mitigation measures in long-term energy models.", "author" : [ { "dropping-particle" : "", "family" : "Kermeli", "given" : "Katerina", "non-dropping-particle" : "", "parse-names" : false, "suffix" : "" }, { "dropping-particle" : "", "family" : "Edelenbosch", "given" : "Oreane Y", "non-dropping-particle" : "", "parse-names" : false, "suffix" : "" }, { "dropping-particle" : "", "family" : "Crijns-Graus", "given" : "Wina", "non-dropping-particle" : "", "parse-names" : false, "suffix" : "" }, { "dropping-particle" : "", "family" : "Ruijven", "given" : "Bas J", "non-dropping-particle" : "van", "parse-names" : false, "suffix" : "" }, { "dropping-particle" : "", "family" : "Mima", "given" : "Silvana", "non-dropping-particle" : "", "parse-names" : false, "suffix" : "" }, { "dropping-particle" : "", "family" : "Vuuren", "given" : "Detlef P", "non-dropping-particle" : "van", "parse-names" : false, "suffix" : "" }, { "dropping-particle" : "", "family" : "Worrell", "given" : "Ernst", "non-dropping-particle" : "", "parse-names" : false, "suffix" : "" } ], "container-title" : "Applied Energy", "id" : "ITEM-1", "issued" : { "date-parts" : [ [ "2019" ] ] }, "page" : "964-985", "title" : "The scope for better industry representation in long-term energy models: Modeling the cement industry", "type" : "article-journal", "volume" : "240" }, "uris" : [ "http://www.mendeley.com/documents/?uuid=c3cc6d67-2958-413a-abc7-20bf7b3309cd" ] } ], "mendeley" : { "formattedCitation" : "(Kermeli et al., 2019)", "plainTextFormattedCitation" : "(Kermeli et al., 2019)", "previouslyFormattedCitation" : "[26]" }, "properties" : { "noteIndex" : 0 }, "schema" : "https://github.com/citation-style-language/schema/raw/master/csl-citation.json" }</w:instrText>
      </w:r>
      <w:r w:rsidR="003C5840" w:rsidRPr="0095448E">
        <w:rPr>
          <w:lang w:val="en-GB"/>
        </w:rPr>
        <w:fldChar w:fldCharType="separate"/>
      </w:r>
      <w:r w:rsidR="003C5840" w:rsidRPr="0095448E">
        <w:rPr>
          <w:noProof/>
          <w:lang w:val="en-GB"/>
        </w:rPr>
        <w:t>(Kermeli et al., 2019)</w:t>
      </w:r>
      <w:r w:rsidR="003C5840" w:rsidRPr="0095448E">
        <w:fldChar w:fldCharType="end"/>
      </w:r>
      <w:r w:rsidR="003C5840" w:rsidRPr="0095448E">
        <w:rPr>
          <w:lang w:val="en-GB"/>
        </w:rPr>
        <w:t xml:space="preserve">. </w:t>
      </w:r>
      <w:r w:rsidR="00EF44B8" w:rsidRPr="0095448E">
        <w:t xml:space="preserve">Only </w:t>
      </w:r>
      <w:r w:rsidR="0079580D" w:rsidRPr="0095448E">
        <w:t xml:space="preserve">key commodities, typically ammonia or urea, </w:t>
      </w:r>
      <w:r w:rsidR="00EF44B8" w:rsidRPr="0095448E">
        <w:t xml:space="preserve">are represented in detail while </w:t>
      </w:r>
      <w:r w:rsidR="001F5DD5" w:rsidRPr="0095448E">
        <w:t>all remaining ones</w:t>
      </w:r>
      <w:r w:rsidR="0079580D" w:rsidRPr="0095448E">
        <w:t xml:space="preserve"> </w:t>
      </w:r>
      <w:r w:rsidR="00EF44B8" w:rsidRPr="0095448E">
        <w:t xml:space="preserve">are collapsed </w:t>
      </w:r>
      <w:r w:rsidR="0079580D" w:rsidRPr="0095448E">
        <w:t xml:space="preserve">into a single macro-category </w:t>
      </w:r>
      <w:r w:rsidR="0079580D" w:rsidRPr="0095448E">
        <w:fldChar w:fldCharType="begin" w:fldLock="1"/>
      </w:r>
      <w:r w:rsidR="0079580D" w:rsidRPr="0095448E">
        <w:instrText>ADDIN CSL_CITATION { "citationItems" : [ { "id" : "ITEM-1", "itemData" : { "URL" : "https://www.iea.org/weo/", "author" : [ { "dropping-particle" : "", "family" : "International Energy Agency (IEA)", "given" : "", "non-dropping-particle" : "", "parse-names" : false, "suffix" : "" } ], "id" : "ITEM-1", "issue" : "08/ 03/ ", "issued" : { "date-parts" : [ [ "2019" ] ] }, "title" : "World Energy Outlook", "type" : "webpage", "volume" : "2019" }, "uris" : [ "http://www.mendeley.com/documents/?uuid=b7fb4bdf-10e7-4c52-be57-90c53e116be9" ] } ], "mendeley" : { "formattedCitation" : "(International Energy Agency (IEA), 2019)", "plainTextFormattedCitation" : "(International Energy Agency (IEA), 2019)", "previouslyFormattedCitation" : "[15]" }, "properties" : { "noteIndex" : 0 }, "schema" : "https://github.com/citation-style-language/schema/raw/master/csl-citation.json" }</w:instrText>
      </w:r>
      <w:r w:rsidR="0079580D" w:rsidRPr="0095448E">
        <w:fldChar w:fldCharType="separate"/>
      </w:r>
      <w:r w:rsidR="0079580D" w:rsidRPr="0095448E">
        <w:rPr>
          <w:noProof/>
        </w:rPr>
        <w:t>(International Energy Agency (IEA), 2019)</w:t>
      </w:r>
      <w:r w:rsidR="0079580D" w:rsidRPr="0095448E">
        <w:fldChar w:fldCharType="end"/>
      </w:r>
      <w:r w:rsidR="0079580D" w:rsidRPr="0095448E">
        <w:t xml:space="preserve">. </w:t>
      </w:r>
      <w:r w:rsidR="003C5840" w:rsidRPr="0095448E">
        <w:rPr>
          <w:lang w:val="en-GB"/>
        </w:rPr>
        <w:t>This is due the high complexity and heterogeneity of the subsector, together with a lack of publicly available data regarding installed capacity and production. In the public domain, only some data are available regarding commodity</w:t>
      </w:r>
      <w:r w:rsidR="009E4E75" w:rsidRPr="0095448E">
        <w:rPr>
          <w:lang w:val="en-GB"/>
        </w:rPr>
        <w:t xml:space="preserve"> trade, for instance from the </w:t>
      </w:r>
      <w:r w:rsidR="009E4E75" w:rsidRPr="0095448E">
        <w:rPr>
          <w:lang w:val="en-GB"/>
        </w:rPr>
        <w:lastRenderedPageBreak/>
        <w:t>United Nations</w:t>
      </w:r>
      <w:r w:rsidR="003C5840" w:rsidRPr="0095448E">
        <w:rPr>
          <w:lang w:val="en-GB"/>
        </w:rPr>
        <w:t xml:space="preserve"> Comtrade Database </w:t>
      </w:r>
      <w:r w:rsidR="003C5840" w:rsidRPr="0095448E">
        <w:rPr>
          <w:lang w:val="en-GB"/>
        </w:rPr>
        <w:fldChar w:fldCharType="begin" w:fldLock="1"/>
      </w:r>
      <w:r w:rsidR="003C5840" w:rsidRPr="0095448E">
        <w:rPr>
          <w:lang w:val="en-GB"/>
        </w:rPr>
        <w:instrText>ADDIN CSL_CITATION { "citationItems" : [ { "id" : "ITEM-1", "itemData" : { "URL" : "https://comtrade.un.org/", "author" : [ { "dropping-particle" : "", "family" : "UN", "given" : "", "non-dropping-particle" : "", "parse-names" : false, "suffix" : "" } ], "id" : "ITEM-1", "issue" : "08/ 03/ ", "issued" : { "date-parts" : [ [ "2019" ] ] }, "title" : "UN Comtrade Database", "type" : "webpage", "volume" : "2019" }, "uris" : [ "http://www.mendeley.com/documents/?uuid=48ef7f44-93ba-45b8-8aaf-a02e62b99766" ] } ], "mendeley" : { "formattedCitation" : "(UN, 2019)", "plainTextFormattedCitation" : "(UN, 2019)", "previouslyFormattedCitation" : "[36]" }, "properties" : { "noteIndex" : 0 }, "schema" : "https://github.com/citation-style-language/schema/raw/master/csl-citation.json" }</w:instrText>
      </w:r>
      <w:r w:rsidR="003C5840" w:rsidRPr="0095448E">
        <w:rPr>
          <w:lang w:val="en-GB"/>
        </w:rPr>
        <w:fldChar w:fldCharType="separate"/>
      </w:r>
      <w:r w:rsidR="003C5840" w:rsidRPr="0095448E">
        <w:rPr>
          <w:noProof/>
          <w:lang w:val="en-GB"/>
        </w:rPr>
        <w:t>(UN, 2019)</w:t>
      </w:r>
      <w:r w:rsidR="003C5840" w:rsidRPr="0095448E">
        <w:fldChar w:fldCharType="end"/>
      </w:r>
      <w:r w:rsidR="003C5840" w:rsidRPr="0095448E">
        <w:rPr>
          <w:lang w:val="en-GB"/>
        </w:rPr>
        <w:t>. Often the description of the adopted modelling approach, via model documentation or scientific publications, is limited.</w:t>
      </w:r>
    </w:p>
    <w:p w14:paraId="7AD3C5AB" w14:textId="0C5CFD09" w:rsidR="00321EB9" w:rsidRPr="0095448E" w:rsidRDefault="00B94046" w:rsidP="00864DCE">
      <w:pPr>
        <w:pStyle w:val="TAMainText"/>
        <w:rPr>
          <w:lang w:val="en-GB"/>
        </w:rPr>
      </w:pPr>
      <w:r w:rsidRPr="0095448E">
        <w:rPr>
          <w:lang w:val="en-GB"/>
        </w:rPr>
        <w:t>In the perspective of decarbonisation of industries</w:t>
      </w:r>
      <w:r w:rsidR="007A64A4" w:rsidRPr="0095448E">
        <w:rPr>
          <w:lang w:val="en-GB"/>
        </w:rPr>
        <w:t xml:space="preserve">, </w:t>
      </w:r>
      <w:r w:rsidR="00F10BAF" w:rsidRPr="0095448E">
        <w:rPr>
          <w:lang w:val="en-GB"/>
        </w:rPr>
        <w:t xml:space="preserve">improved energy efficiency and implementation of low-carbon fuels and </w:t>
      </w:r>
      <w:r w:rsidR="00D82621" w:rsidRPr="0095448E">
        <w:rPr>
          <w:lang w:val="en-GB"/>
        </w:rPr>
        <w:t xml:space="preserve">renewable </w:t>
      </w:r>
      <w:r w:rsidR="00F10BAF" w:rsidRPr="0095448E">
        <w:rPr>
          <w:lang w:val="en-GB"/>
        </w:rPr>
        <w:t>energy rep</w:t>
      </w:r>
      <w:r w:rsidR="00D82621" w:rsidRPr="0095448E">
        <w:rPr>
          <w:lang w:val="en-GB"/>
        </w:rPr>
        <w:t xml:space="preserve">resent a more direct way to </w:t>
      </w:r>
      <w:r w:rsidR="00F10BAF" w:rsidRPr="0095448E">
        <w:rPr>
          <w:lang w:val="en-GB"/>
        </w:rPr>
        <w:t>reduce carbon emissions</w:t>
      </w:r>
      <w:r w:rsidR="00D82621" w:rsidRPr="0095448E">
        <w:rPr>
          <w:lang w:val="en-GB"/>
        </w:rPr>
        <w:t xml:space="preserve"> </w:t>
      </w:r>
      <w:r w:rsidR="00864DCE" w:rsidRPr="0095448E">
        <w:rPr>
          <w:lang w:val="en-GB"/>
        </w:rPr>
        <w:t xml:space="preserve">compared to CCS </w:t>
      </w:r>
      <w:r w:rsidR="00D82621" w:rsidRPr="0095448E">
        <w:rPr>
          <w:lang w:val="en-GB"/>
        </w:rPr>
        <w:t xml:space="preserve">(Huisingh et al., 2015). </w:t>
      </w:r>
      <w:r w:rsidR="00864DCE" w:rsidRPr="0095448E">
        <w:rPr>
          <w:lang w:val="en-GB"/>
        </w:rPr>
        <w:t>The decarbonisation of the Chinese industry has attracted quite a lot of attention in the literature, b</w:t>
      </w:r>
      <w:r w:rsidR="0038784E" w:rsidRPr="0095448E">
        <w:rPr>
          <w:lang w:val="en-GB"/>
        </w:rPr>
        <w:t xml:space="preserve">eing China one of the largest </w:t>
      </w:r>
      <w:r w:rsidR="00864DCE" w:rsidRPr="0095448E">
        <w:rPr>
          <w:lang w:val="en-GB"/>
        </w:rPr>
        <w:t>CO</w:t>
      </w:r>
      <w:r w:rsidR="00864DCE" w:rsidRPr="0095448E">
        <w:rPr>
          <w:vertAlign w:val="subscript"/>
          <w:lang w:val="en-GB"/>
        </w:rPr>
        <w:t>2</w:t>
      </w:r>
      <w:r w:rsidR="00864DCE" w:rsidRPr="0095448E">
        <w:rPr>
          <w:lang w:val="en-GB"/>
        </w:rPr>
        <w:t xml:space="preserve"> </w:t>
      </w:r>
      <w:r w:rsidR="0038784E" w:rsidRPr="0095448E">
        <w:rPr>
          <w:lang w:val="en-GB"/>
        </w:rPr>
        <w:t>emitters</w:t>
      </w:r>
      <w:r w:rsidR="001F5DD5" w:rsidRPr="0095448E">
        <w:rPr>
          <w:lang w:val="en-GB"/>
        </w:rPr>
        <w:t xml:space="preserve"> worldwide</w:t>
      </w:r>
      <w:r w:rsidR="0038784E" w:rsidRPr="0095448E">
        <w:rPr>
          <w:lang w:val="en-GB"/>
        </w:rPr>
        <w:t xml:space="preserve">. </w:t>
      </w:r>
      <w:r w:rsidR="00EF44B8" w:rsidRPr="0095448E">
        <w:rPr>
          <w:lang w:val="en-GB"/>
        </w:rPr>
        <w:t xml:space="preserve">Chang (2015) developed </w:t>
      </w:r>
      <w:r w:rsidR="00806756" w:rsidRPr="0095448E">
        <w:rPr>
          <w:lang w:val="en-GB"/>
        </w:rPr>
        <w:t>an input–output methodology integrated with a multi-objective framework including constraints on resource availability and emission targets to identify key CO</w:t>
      </w:r>
      <w:r w:rsidR="00806756" w:rsidRPr="0095448E">
        <w:rPr>
          <w:vertAlign w:val="subscript"/>
          <w:lang w:val="en-GB"/>
        </w:rPr>
        <w:t>2</w:t>
      </w:r>
      <w:r w:rsidR="00806756" w:rsidRPr="0095448E">
        <w:rPr>
          <w:lang w:val="en-GB"/>
        </w:rPr>
        <w:t xml:space="preserve"> emission sectors and the optimised production structure with respect to the emission reduction targets in the Chinese economy. </w:t>
      </w:r>
      <w:r w:rsidR="00864DCE" w:rsidRPr="0095448E">
        <w:rPr>
          <w:lang w:val="en-GB"/>
        </w:rPr>
        <w:t>Th</w:t>
      </w:r>
      <w:r w:rsidR="007A64A4" w:rsidRPr="0095448E">
        <w:rPr>
          <w:lang w:val="en-GB"/>
        </w:rPr>
        <w:t xml:space="preserve">e uptake of natural gas </w:t>
      </w:r>
      <w:r w:rsidR="00D82621" w:rsidRPr="0095448E">
        <w:rPr>
          <w:lang w:val="en-GB"/>
        </w:rPr>
        <w:t>would be an important step for decarbonising</w:t>
      </w:r>
      <w:r w:rsidR="00864DCE" w:rsidRPr="0095448E">
        <w:rPr>
          <w:lang w:val="en-GB"/>
        </w:rPr>
        <w:t xml:space="preserve"> industries </w:t>
      </w:r>
      <w:r w:rsidR="00D82621" w:rsidRPr="0095448E">
        <w:rPr>
          <w:lang w:val="en-GB"/>
        </w:rPr>
        <w:t xml:space="preserve">as it </w:t>
      </w:r>
      <w:r w:rsidR="00864DCE" w:rsidRPr="0095448E">
        <w:rPr>
          <w:lang w:val="en-GB"/>
        </w:rPr>
        <w:t>would promote a reduction in</w:t>
      </w:r>
      <w:r w:rsidR="00D82621" w:rsidRPr="0095448E">
        <w:rPr>
          <w:lang w:val="en-GB"/>
        </w:rPr>
        <w:t xml:space="preserve"> the dependence on coal</w:t>
      </w:r>
      <w:r w:rsidR="00864DCE" w:rsidRPr="0095448E">
        <w:rPr>
          <w:lang w:val="en-GB"/>
        </w:rPr>
        <w:t xml:space="preserve"> in China</w:t>
      </w:r>
      <w:r w:rsidR="00D82621" w:rsidRPr="0095448E">
        <w:rPr>
          <w:lang w:val="en-GB"/>
        </w:rPr>
        <w:t>. H</w:t>
      </w:r>
      <w:r w:rsidR="00864DCE" w:rsidRPr="0095448E">
        <w:rPr>
          <w:lang w:val="en-GB"/>
        </w:rPr>
        <w:t>owever,</w:t>
      </w:r>
      <w:r w:rsidR="00D82621" w:rsidRPr="0095448E">
        <w:rPr>
          <w:lang w:val="en-GB"/>
        </w:rPr>
        <w:t xml:space="preserve"> governmental intervention </w:t>
      </w:r>
      <w:r w:rsidR="001F5DD5" w:rsidRPr="0095448E">
        <w:rPr>
          <w:lang w:val="en-GB"/>
        </w:rPr>
        <w:t>should</w:t>
      </w:r>
      <w:r w:rsidR="00D82621" w:rsidRPr="0095448E">
        <w:rPr>
          <w:lang w:val="en-GB"/>
        </w:rPr>
        <w:t xml:space="preserve"> guarantee a relatively stable natural gas market price to reduce resistance</w:t>
      </w:r>
      <w:r w:rsidR="001F5DD5" w:rsidRPr="0095448E">
        <w:rPr>
          <w:lang w:val="en-GB"/>
        </w:rPr>
        <w:t xml:space="preserve"> to </w:t>
      </w:r>
      <w:r w:rsidR="00D82621" w:rsidRPr="0095448E">
        <w:rPr>
          <w:lang w:val="en-GB"/>
        </w:rPr>
        <w:t>adoption from</w:t>
      </w:r>
      <w:r w:rsidR="007A64A4" w:rsidRPr="0095448E">
        <w:rPr>
          <w:lang w:val="en-GB"/>
        </w:rPr>
        <w:t xml:space="preserve"> </w:t>
      </w:r>
      <w:r w:rsidR="001F5DD5" w:rsidRPr="0095448E">
        <w:rPr>
          <w:lang w:val="en-GB"/>
        </w:rPr>
        <w:t>the chemical sector,</w:t>
      </w:r>
      <w:r w:rsidR="00F10BAF" w:rsidRPr="0095448E">
        <w:rPr>
          <w:lang w:val="en-GB"/>
        </w:rPr>
        <w:t xml:space="preserve"> one of mostly influenced</w:t>
      </w:r>
      <w:r w:rsidR="00692FD6" w:rsidRPr="0095448E">
        <w:rPr>
          <w:lang w:val="en-GB"/>
        </w:rPr>
        <w:t xml:space="preserve"> </w:t>
      </w:r>
      <w:r w:rsidR="001F5DD5" w:rsidRPr="0095448E">
        <w:rPr>
          <w:lang w:val="en-GB"/>
        </w:rPr>
        <w:t xml:space="preserve">industries </w:t>
      </w:r>
      <w:r w:rsidR="00F10BAF" w:rsidRPr="0095448E">
        <w:rPr>
          <w:lang w:val="en-GB"/>
        </w:rPr>
        <w:t>by</w:t>
      </w:r>
      <w:r w:rsidR="00692FD6" w:rsidRPr="0095448E">
        <w:rPr>
          <w:lang w:val="en-GB"/>
        </w:rPr>
        <w:t xml:space="preserve"> natural gas price variations</w:t>
      </w:r>
      <w:r w:rsidR="00D82621" w:rsidRPr="0095448E">
        <w:rPr>
          <w:lang w:val="en-GB"/>
        </w:rPr>
        <w:t xml:space="preserve"> (Zhang, et al., 2017)</w:t>
      </w:r>
      <w:r w:rsidR="00692FD6" w:rsidRPr="0095448E">
        <w:rPr>
          <w:lang w:val="en-GB"/>
        </w:rPr>
        <w:t>.</w:t>
      </w:r>
      <w:r w:rsidR="000F57A4" w:rsidRPr="0095448E">
        <w:rPr>
          <w:lang w:val="en-GB"/>
        </w:rPr>
        <w:t xml:space="preserve"> </w:t>
      </w:r>
      <w:r w:rsidR="008662A3" w:rsidRPr="0095448E">
        <w:rPr>
          <w:lang w:val="en-GB"/>
        </w:rPr>
        <w:t>T</w:t>
      </w:r>
      <w:r w:rsidR="001F5DD5" w:rsidRPr="0095448E">
        <w:rPr>
          <w:lang w:val="en-GB"/>
        </w:rPr>
        <w:t>he deployment of CCS</w:t>
      </w:r>
      <w:r w:rsidR="008662A3" w:rsidRPr="0095448E">
        <w:rPr>
          <w:lang w:val="en-GB"/>
        </w:rPr>
        <w:t xml:space="preserve"> is necessary to curb emissions in a way aligned with the carbon ne</w:t>
      </w:r>
      <w:r w:rsidR="00EF44B8" w:rsidRPr="0095448E">
        <w:rPr>
          <w:lang w:val="en-GB"/>
        </w:rPr>
        <w:t>utrality targets defined by</w:t>
      </w:r>
      <w:r w:rsidR="008662A3" w:rsidRPr="0095448E">
        <w:rPr>
          <w:lang w:val="en-GB"/>
        </w:rPr>
        <w:t xml:space="preserve"> the Paris Agreement, which China also ratified (IEA, 2017). </w:t>
      </w:r>
      <w:r w:rsidR="00BB43FE" w:rsidRPr="0095448E">
        <w:rPr>
          <w:lang w:val="en-GB"/>
        </w:rPr>
        <w:t xml:space="preserve">High costs, uncertainty around the technology, financial and technical risks, as well as side effects of geoengineering schemes are important barriers (Huisingh et al., 2015). </w:t>
      </w:r>
      <w:r w:rsidR="008662A3" w:rsidRPr="0095448E">
        <w:rPr>
          <w:lang w:val="en-GB"/>
        </w:rPr>
        <w:t>Studies have suggest</w:t>
      </w:r>
      <w:r w:rsidR="00D319F9" w:rsidRPr="0095448E">
        <w:rPr>
          <w:lang w:val="en-GB"/>
        </w:rPr>
        <w:t xml:space="preserve">ed the importance of </w:t>
      </w:r>
      <w:r w:rsidR="00BB43FE" w:rsidRPr="0095448E">
        <w:rPr>
          <w:lang w:val="en-GB"/>
        </w:rPr>
        <w:t>the</w:t>
      </w:r>
      <w:r w:rsidR="008662A3" w:rsidRPr="0095448E">
        <w:rPr>
          <w:lang w:val="en-GB"/>
        </w:rPr>
        <w:t xml:space="preserve"> relative value of the CCS </w:t>
      </w:r>
      <w:r w:rsidR="00BB43FE" w:rsidRPr="0095448E">
        <w:rPr>
          <w:lang w:val="en-GB"/>
        </w:rPr>
        <w:t xml:space="preserve">using the capture readiness addressed </w:t>
      </w:r>
      <w:r w:rsidR="008662A3" w:rsidRPr="0095448E">
        <w:rPr>
          <w:lang w:val="en-GB"/>
        </w:rPr>
        <w:t>along the entire supply chain</w:t>
      </w:r>
      <w:r w:rsidR="00BB43FE" w:rsidRPr="0095448E">
        <w:rPr>
          <w:lang w:val="en-GB"/>
        </w:rPr>
        <w:t xml:space="preserve"> for the iron and steel industry in China (</w:t>
      </w:r>
      <w:r w:rsidR="008662A3" w:rsidRPr="0095448E">
        <w:rPr>
          <w:lang w:val="en-GB"/>
        </w:rPr>
        <w:t>Ding et al.</w:t>
      </w:r>
      <w:r w:rsidR="00BB43FE" w:rsidRPr="0095448E">
        <w:rPr>
          <w:lang w:val="en-GB"/>
        </w:rPr>
        <w:t>,</w:t>
      </w:r>
      <w:r w:rsidR="008662A3" w:rsidRPr="0095448E">
        <w:rPr>
          <w:lang w:val="en-GB"/>
        </w:rPr>
        <w:t xml:space="preserve"> 2020)</w:t>
      </w:r>
      <w:r w:rsidR="00BB43FE" w:rsidRPr="0095448E">
        <w:rPr>
          <w:lang w:val="en-GB"/>
        </w:rPr>
        <w:t xml:space="preserve">. </w:t>
      </w:r>
      <w:r w:rsidR="00C44FA0" w:rsidRPr="0095448E">
        <w:rPr>
          <w:lang w:val="en-GB"/>
        </w:rPr>
        <w:t>The ammonia industry</w:t>
      </w:r>
      <w:r w:rsidR="006749D6" w:rsidRPr="0095448E">
        <w:rPr>
          <w:lang w:val="en-GB"/>
        </w:rPr>
        <w:t>, one of the biggest contributors to Chinese industrial emissions,</w:t>
      </w:r>
      <w:r w:rsidR="00C44FA0" w:rsidRPr="0095448E">
        <w:rPr>
          <w:lang w:val="en-GB"/>
        </w:rPr>
        <w:t xml:space="preserve"> </w:t>
      </w:r>
      <w:r w:rsidR="006749D6" w:rsidRPr="0095448E">
        <w:rPr>
          <w:lang w:val="en-GB"/>
        </w:rPr>
        <w:t>co</w:t>
      </w:r>
      <w:r w:rsidR="00C44FA0" w:rsidRPr="0095448E">
        <w:rPr>
          <w:lang w:val="en-GB"/>
        </w:rPr>
        <w:t xml:space="preserve">uld </w:t>
      </w:r>
      <w:r w:rsidR="006749D6" w:rsidRPr="0095448E">
        <w:rPr>
          <w:lang w:val="en-GB"/>
        </w:rPr>
        <w:t>look at CCS-retrofit as an important opportunity for</w:t>
      </w:r>
      <w:r w:rsidR="00BB43FE" w:rsidRPr="0095448E">
        <w:rPr>
          <w:lang w:val="en-GB"/>
        </w:rPr>
        <w:t xml:space="preserve"> coal gasification-based </w:t>
      </w:r>
      <w:r w:rsidR="006749D6" w:rsidRPr="0095448E">
        <w:rPr>
          <w:lang w:val="en-GB"/>
        </w:rPr>
        <w:t>ammonia</w:t>
      </w:r>
      <w:r w:rsidR="00C44FA0" w:rsidRPr="0095448E">
        <w:rPr>
          <w:lang w:val="en-GB"/>
        </w:rPr>
        <w:t xml:space="preserve"> decarbonisation (Bicer et al., 2017).</w:t>
      </w:r>
      <w:r w:rsidR="006749D6" w:rsidRPr="0095448E">
        <w:rPr>
          <w:lang w:val="en-GB"/>
        </w:rPr>
        <w:t xml:space="preserve"> </w:t>
      </w:r>
      <w:r w:rsidR="00D319F9" w:rsidRPr="0095448E">
        <w:rPr>
          <w:lang w:val="en-GB"/>
        </w:rPr>
        <w:t>However</w:t>
      </w:r>
      <w:r w:rsidR="00043C7E" w:rsidRPr="0095448E">
        <w:rPr>
          <w:lang w:val="en-GB"/>
        </w:rPr>
        <w:t xml:space="preserve">, important barriers to the technology innovation </w:t>
      </w:r>
      <w:r w:rsidR="00D319F9" w:rsidRPr="0095448E">
        <w:rPr>
          <w:lang w:val="en-GB"/>
        </w:rPr>
        <w:t>which affect investors’ choices</w:t>
      </w:r>
      <w:r w:rsidR="00043C7E" w:rsidRPr="0095448E">
        <w:rPr>
          <w:lang w:val="en-GB"/>
        </w:rPr>
        <w:t xml:space="preserve"> may depend on the national context, </w:t>
      </w:r>
      <w:r w:rsidR="00043C7E" w:rsidRPr="0095448E">
        <w:rPr>
          <w:lang w:val="en-GB"/>
        </w:rPr>
        <w:lastRenderedPageBreak/>
        <w:t xml:space="preserve">customary practices, local environment, as well as the firms’ size (Chan et al., 2010). </w:t>
      </w:r>
      <w:r w:rsidR="008955B3" w:rsidRPr="0095448E">
        <w:rPr>
          <w:lang w:val="en-GB"/>
        </w:rPr>
        <w:t>The interactions between investors and the</w:t>
      </w:r>
      <w:r w:rsidR="00E352EA" w:rsidRPr="0095448E">
        <w:rPr>
          <w:lang w:val="en-GB"/>
        </w:rPr>
        <w:t xml:space="preserve"> </w:t>
      </w:r>
      <w:r w:rsidR="008955B3" w:rsidRPr="0095448E">
        <w:rPr>
          <w:lang w:val="en-GB"/>
        </w:rPr>
        <w:t xml:space="preserve">local </w:t>
      </w:r>
      <w:r w:rsidR="00E352EA" w:rsidRPr="0095448E">
        <w:rPr>
          <w:lang w:val="en-GB"/>
        </w:rPr>
        <w:t xml:space="preserve">regulative </w:t>
      </w:r>
      <w:r w:rsidR="008955B3" w:rsidRPr="0095448E">
        <w:rPr>
          <w:lang w:val="en-GB"/>
        </w:rPr>
        <w:t>and geographical</w:t>
      </w:r>
      <w:r w:rsidR="00E352EA" w:rsidRPr="0095448E">
        <w:rPr>
          <w:lang w:val="en-GB"/>
        </w:rPr>
        <w:t xml:space="preserve"> environment</w:t>
      </w:r>
      <w:r w:rsidR="008955B3" w:rsidRPr="0095448E">
        <w:rPr>
          <w:lang w:val="en-GB"/>
        </w:rPr>
        <w:t xml:space="preserve"> </w:t>
      </w:r>
      <w:r w:rsidR="00D319F9" w:rsidRPr="0095448E">
        <w:rPr>
          <w:lang w:val="en-GB"/>
        </w:rPr>
        <w:t xml:space="preserve">are are not a mature field of energy systems modelling research </w:t>
      </w:r>
      <w:r w:rsidR="008955B3" w:rsidRPr="0095448E">
        <w:rPr>
          <w:lang w:val="en-GB"/>
        </w:rPr>
        <w:t>(Lopion et al., 2018) as well as the inclusion of</w:t>
      </w:r>
      <w:r w:rsidR="00272A76" w:rsidRPr="0095448E">
        <w:rPr>
          <w:lang w:val="en-GB"/>
        </w:rPr>
        <w:t xml:space="preserve"> industrial practices</w:t>
      </w:r>
      <w:r w:rsidR="008955B3" w:rsidRPr="0095448E">
        <w:rPr>
          <w:lang w:val="en-GB"/>
        </w:rPr>
        <w:t xml:space="preserve"> in modelling</w:t>
      </w:r>
      <w:r w:rsidR="00272A76" w:rsidRPr="0095448E">
        <w:rPr>
          <w:lang w:val="en-GB"/>
        </w:rPr>
        <w:t xml:space="preserve"> (Edelenbosch et al., 2017). </w:t>
      </w:r>
      <w:r w:rsidR="00E352EA" w:rsidRPr="0095448E">
        <w:rPr>
          <w:lang w:val="en-GB"/>
        </w:rPr>
        <w:t>In the specific context of t</w:t>
      </w:r>
      <w:r w:rsidR="00545B1B" w:rsidRPr="0095448E">
        <w:rPr>
          <w:lang w:val="en-GB"/>
        </w:rPr>
        <w:t>he</w:t>
      </w:r>
      <w:r w:rsidR="00E352EA" w:rsidRPr="0095448E">
        <w:rPr>
          <w:lang w:val="en-GB"/>
        </w:rPr>
        <w:t xml:space="preserve"> ammonia manufacturing,</w:t>
      </w:r>
      <w:r w:rsidR="00353011" w:rsidRPr="0095448E">
        <w:rPr>
          <w:lang w:val="en-GB"/>
        </w:rPr>
        <w:t xml:space="preserve"> </w:t>
      </w:r>
      <w:r w:rsidR="00545B1B" w:rsidRPr="0095448E">
        <w:rPr>
          <w:lang w:val="en-GB"/>
        </w:rPr>
        <w:t xml:space="preserve">China </w:t>
      </w:r>
      <w:r w:rsidR="00E352EA" w:rsidRPr="0095448E">
        <w:rPr>
          <w:lang w:val="en-GB"/>
        </w:rPr>
        <w:t>has specific features related to the market segmentation which leads to</w:t>
      </w:r>
      <w:r w:rsidR="00043C7E" w:rsidRPr="0095448E">
        <w:rPr>
          <w:lang w:val="en-GB"/>
        </w:rPr>
        <w:t xml:space="preserve"> different </w:t>
      </w:r>
      <w:r w:rsidR="00E352EA" w:rsidRPr="0095448E">
        <w:rPr>
          <w:lang w:val="en-GB"/>
        </w:rPr>
        <w:t>investors’ behaviours towards innovation. Profound behavioural divergence can be found between</w:t>
      </w:r>
      <w:r w:rsidR="00353011" w:rsidRPr="0095448E">
        <w:rPr>
          <w:lang w:val="en-GB"/>
        </w:rPr>
        <w:t xml:space="preserve"> </w:t>
      </w:r>
      <w:r w:rsidR="006749D6" w:rsidRPr="0095448E">
        <w:rPr>
          <w:lang w:val="en-GB"/>
        </w:rPr>
        <w:t xml:space="preserve">small and medium enterprises </w:t>
      </w:r>
      <w:r w:rsidR="00545B1B" w:rsidRPr="0095448E">
        <w:rPr>
          <w:lang w:val="en-GB"/>
        </w:rPr>
        <w:t xml:space="preserve">(SME) </w:t>
      </w:r>
      <w:r w:rsidR="00E352EA" w:rsidRPr="0095448E">
        <w:rPr>
          <w:lang w:val="en-GB"/>
        </w:rPr>
        <w:t>versus</w:t>
      </w:r>
      <w:r w:rsidR="00043C7E" w:rsidRPr="0095448E">
        <w:rPr>
          <w:lang w:val="en-GB"/>
        </w:rPr>
        <w:t xml:space="preserve"> large enterprises (LE)</w:t>
      </w:r>
      <w:r w:rsidR="00E352EA" w:rsidRPr="0095448E">
        <w:rPr>
          <w:lang w:val="en-GB"/>
        </w:rPr>
        <w:t>, as well as between</w:t>
      </w:r>
      <w:r w:rsidR="00043C7E" w:rsidRPr="0095448E">
        <w:rPr>
          <w:lang w:val="en-GB"/>
        </w:rPr>
        <w:t xml:space="preserve"> state-contr</w:t>
      </w:r>
      <w:r w:rsidR="00E352EA" w:rsidRPr="0095448E">
        <w:rPr>
          <w:lang w:val="en-GB"/>
        </w:rPr>
        <w:t>olled versus foreign firms</w:t>
      </w:r>
      <w:r w:rsidR="00D319F9" w:rsidRPr="0095448E">
        <w:rPr>
          <w:lang w:val="en-GB"/>
        </w:rPr>
        <w:t>. Such discrepancies</w:t>
      </w:r>
      <w:r w:rsidR="00E352EA" w:rsidRPr="0095448E">
        <w:rPr>
          <w:lang w:val="en-GB"/>
        </w:rPr>
        <w:t xml:space="preserve"> ought </w:t>
      </w:r>
      <w:r w:rsidR="00545B1B" w:rsidRPr="0095448E">
        <w:rPr>
          <w:lang w:val="en-GB"/>
        </w:rPr>
        <w:t xml:space="preserve">to be considered in energy modelling to support decision-making </w:t>
      </w:r>
      <w:r w:rsidR="00E352EA" w:rsidRPr="0095448E">
        <w:rPr>
          <w:lang w:val="en-GB"/>
        </w:rPr>
        <w:t>for the promotion of decarbonisation and sustainability in the sector</w:t>
      </w:r>
      <w:r w:rsidR="00353011" w:rsidRPr="0095448E">
        <w:rPr>
          <w:lang w:val="en-GB"/>
        </w:rPr>
        <w:t xml:space="preserve"> (Yu et al., 2020)</w:t>
      </w:r>
      <w:r w:rsidR="006749D6" w:rsidRPr="0095448E">
        <w:rPr>
          <w:lang w:val="en-GB"/>
        </w:rPr>
        <w:t>.</w:t>
      </w:r>
    </w:p>
    <w:p w14:paraId="397AF830" w14:textId="7D8E4651" w:rsidR="00224B7F" w:rsidRPr="0095448E" w:rsidRDefault="00224B7F" w:rsidP="00846350">
      <w:pPr>
        <w:pStyle w:val="Heading2"/>
        <w:rPr>
          <w:color w:val="auto"/>
        </w:rPr>
      </w:pPr>
      <w:r w:rsidRPr="0095448E">
        <w:rPr>
          <w:rFonts w:eastAsiaTheme="majorEastAsia"/>
          <w:color w:val="auto"/>
        </w:rPr>
        <w:t>Contribution of the study</w:t>
      </w:r>
    </w:p>
    <w:p w14:paraId="164392C6" w14:textId="14419C10" w:rsidR="00F4163E" w:rsidRPr="0095448E" w:rsidRDefault="009F4275" w:rsidP="0094784D">
      <w:pPr>
        <w:pStyle w:val="TAMainText"/>
        <w:rPr>
          <w:lang w:val="en-GB"/>
        </w:rPr>
      </w:pPr>
      <w:r w:rsidRPr="0095448E">
        <w:rPr>
          <w:lang w:val="en-GB"/>
        </w:rPr>
        <w:t>This paper aims to assess the role of fuel switching and CCS for curbing the emissions in the ammonia industry in China, which not only is an industry projected to grow, but also represents a priority sector with high challenges for decarbonisation. This is especially i</w:t>
      </w:r>
      <w:r w:rsidR="00FC314E" w:rsidRPr="0095448E">
        <w:rPr>
          <w:lang w:val="en-GB"/>
        </w:rPr>
        <w:t>mportant, considering that the country</w:t>
      </w:r>
      <w:r w:rsidRPr="0095448E">
        <w:rPr>
          <w:lang w:val="en-GB"/>
        </w:rPr>
        <w:t xml:space="preserve"> has show</w:t>
      </w:r>
      <w:r w:rsidR="00FC314E" w:rsidRPr="0095448E">
        <w:rPr>
          <w:lang w:val="en-GB"/>
        </w:rPr>
        <w:t>n willingness to curb emissions and that ammonia is quite an energy and emission intensive industry where the deployment of CCS, which would be promising despite the challenges, has been overlooked in the literature.</w:t>
      </w:r>
    </w:p>
    <w:p w14:paraId="39626F8D" w14:textId="3B910388" w:rsidR="00F4163E" w:rsidRPr="0095448E" w:rsidRDefault="00FC314E" w:rsidP="00043C7E">
      <w:pPr>
        <w:pStyle w:val="TAMainText"/>
        <w:rPr>
          <w:lang w:val="en-GB"/>
        </w:rPr>
      </w:pPr>
      <w:r w:rsidRPr="0095448E">
        <w:rPr>
          <w:lang w:val="en-GB"/>
        </w:rPr>
        <w:t>This</w:t>
      </w:r>
      <w:r w:rsidR="00545B1B" w:rsidRPr="0095448E">
        <w:rPr>
          <w:lang w:val="en-GB"/>
        </w:rPr>
        <w:t xml:space="preserve"> paper proposes </w:t>
      </w:r>
      <w:r w:rsidR="009F4275" w:rsidRPr="0095448E">
        <w:rPr>
          <w:lang w:val="en-GB"/>
        </w:rPr>
        <w:t>a novel</w:t>
      </w:r>
      <w:r w:rsidR="00545B1B" w:rsidRPr="0095448E">
        <w:rPr>
          <w:lang w:val="en-GB"/>
        </w:rPr>
        <w:t xml:space="preserve"> </w:t>
      </w:r>
      <w:r w:rsidRPr="0095448E">
        <w:rPr>
          <w:lang w:val="en-GB"/>
        </w:rPr>
        <w:t xml:space="preserve">approach to assess the fuel switching and CCS uptake in the Chinese industry. The methodology is based on an </w:t>
      </w:r>
      <w:r w:rsidR="00545B1B" w:rsidRPr="0095448E">
        <w:rPr>
          <w:lang w:val="en-GB"/>
        </w:rPr>
        <w:t xml:space="preserve">agent-based </w:t>
      </w:r>
      <w:r w:rsidRPr="0095448E">
        <w:rPr>
          <w:lang w:val="en-GB"/>
        </w:rPr>
        <w:t>model for the industrial sector module</w:t>
      </w:r>
      <w:r w:rsidR="00F36C95" w:rsidRPr="0095448E">
        <w:rPr>
          <w:lang w:val="en-GB"/>
        </w:rPr>
        <w:t xml:space="preserve"> </w:t>
      </w:r>
      <w:r w:rsidR="0035237F" w:rsidRPr="0095448E">
        <w:rPr>
          <w:lang w:val="en-GB"/>
        </w:rPr>
        <w:t xml:space="preserve">developed within the </w:t>
      </w:r>
      <w:r w:rsidR="003C5840" w:rsidRPr="0095448E">
        <w:rPr>
          <w:lang w:val="en-GB"/>
        </w:rPr>
        <w:t xml:space="preserve">MUSE </w:t>
      </w:r>
      <w:r w:rsidR="00AC0185" w:rsidRPr="0095448E">
        <w:rPr>
          <w:lang w:val="en-GB"/>
        </w:rPr>
        <w:t xml:space="preserve">(ModUlar energy systems Simulation Environment) </w:t>
      </w:r>
      <w:r w:rsidR="0035237F" w:rsidRPr="0095448E">
        <w:rPr>
          <w:lang w:val="en-GB"/>
        </w:rPr>
        <w:t xml:space="preserve">framework. </w:t>
      </w:r>
      <w:r w:rsidRPr="0095448E">
        <w:rPr>
          <w:lang w:val="en-GB"/>
        </w:rPr>
        <w:t>Including the ammonia production,</w:t>
      </w:r>
      <w:r w:rsidR="00F4163E" w:rsidRPr="0095448E">
        <w:rPr>
          <w:lang w:val="en-GB"/>
        </w:rPr>
        <w:t xml:space="preserve"> 200 industrial technologies </w:t>
      </w:r>
      <w:r w:rsidRPr="0095448E">
        <w:rPr>
          <w:lang w:val="en-GB"/>
        </w:rPr>
        <w:t>are modelled in industry</w:t>
      </w:r>
      <w:r w:rsidR="003C5840" w:rsidRPr="0095448E">
        <w:rPr>
          <w:lang w:val="en-GB"/>
        </w:rPr>
        <w:t xml:space="preserve"> using</w:t>
      </w:r>
      <w:r w:rsidRPr="0095448E">
        <w:rPr>
          <w:lang w:val="en-GB"/>
        </w:rPr>
        <w:t xml:space="preserve"> </w:t>
      </w:r>
      <w:r w:rsidR="00F4163E" w:rsidRPr="0095448E">
        <w:rPr>
          <w:lang w:val="en-GB"/>
        </w:rPr>
        <w:t>12 key commodities</w:t>
      </w:r>
      <w:r w:rsidRPr="0095448E">
        <w:rPr>
          <w:lang w:val="en-GB"/>
        </w:rPr>
        <w:t xml:space="preserve">. The </w:t>
      </w:r>
      <w:r w:rsidR="00043C7E" w:rsidRPr="0095448E">
        <w:rPr>
          <w:lang w:val="en-GB"/>
        </w:rPr>
        <w:t xml:space="preserve">model develops energy transition scenarios </w:t>
      </w:r>
      <w:r w:rsidR="00AC0185" w:rsidRPr="0095448E">
        <w:rPr>
          <w:lang w:val="en-GB"/>
        </w:rPr>
        <w:t>adopting</w:t>
      </w:r>
      <w:r w:rsidR="00F4163E" w:rsidRPr="0095448E">
        <w:rPr>
          <w:lang w:val="en-GB"/>
        </w:rPr>
        <w:t xml:space="preserve"> a bottom-up approach</w:t>
      </w:r>
      <w:r w:rsidR="003C5840" w:rsidRPr="0095448E">
        <w:rPr>
          <w:lang w:val="en-GB"/>
        </w:rPr>
        <w:t>,</w:t>
      </w:r>
      <w:r w:rsidR="00F4163E" w:rsidRPr="0095448E">
        <w:rPr>
          <w:lang w:val="en-GB"/>
        </w:rPr>
        <w:t xml:space="preserve"> which quantifies the energy consumption, emissions, capital</w:t>
      </w:r>
      <w:r w:rsidR="00043C7E" w:rsidRPr="0095448E">
        <w:rPr>
          <w:lang w:val="en-GB"/>
        </w:rPr>
        <w:t xml:space="preserve"> costs,</w:t>
      </w:r>
      <w:r w:rsidR="00F4163E" w:rsidRPr="0095448E">
        <w:rPr>
          <w:lang w:val="en-GB"/>
        </w:rPr>
        <w:t xml:space="preserve"> and maintenance costs</w:t>
      </w:r>
      <w:r w:rsidR="00AC0185" w:rsidRPr="0095448E">
        <w:rPr>
          <w:lang w:val="en-GB"/>
        </w:rPr>
        <w:t xml:space="preserve"> of each </w:t>
      </w:r>
      <w:r w:rsidR="00AC0185" w:rsidRPr="0095448E">
        <w:rPr>
          <w:lang w:val="en-GB"/>
        </w:rPr>
        <w:lastRenderedPageBreak/>
        <w:t>single modelled technology</w:t>
      </w:r>
      <w:r w:rsidR="00F4163E" w:rsidRPr="0095448E">
        <w:rPr>
          <w:lang w:val="en-GB"/>
        </w:rPr>
        <w:t xml:space="preserve">. </w:t>
      </w:r>
      <w:r w:rsidR="00043C7E" w:rsidRPr="0095448E">
        <w:rPr>
          <w:lang w:val="en-GB"/>
        </w:rPr>
        <w:t>With this granularity</w:t>
      </w:r>
      <w:r w:rsidRPr="0095448E">
        <w:rPr>
          <w:lang w:val="en-GB"/>
        </w:rPr>
        <w:t xml:space="preserve">, </w:t>
      </w:r>
      <w:r w:rsidR="0035237F" w:rsidRPr="0095448E">
        <w:rPr>
          <w:lang w:val="en-GB"/>
        </w:rPr>
        <w:t xml:space="preserve">the </w:t>
      </w:r>
      <w:r w:rsidR="00043C7E" w:rsidRPr="0095448E">
        <w:rPr>
          <w:lang w:val="en-GB"/>
        </w:rPr>
        <w:t xml:space="preserve">model overcomes the </w:t>
      </w:r>
      <w:r w:rsidR="0035237F" w:rsidRPr="0095448E">
        <w:rPr>
          <w:lang w:val="en-GB"/>
        </w:rPr>
        <w:t>lack of a detailed techno-economic characterisation of the industrial</w:t>
      </w:r>
      <w:r w:rsidR="00043C7E" w:rsidRPr="0095448E">
        <w:rPr>
          <w:lang w:val="en-GB"/>
        </w:rPr>
        <w:t xml:space="preserve"> modelling which is typical of integrated assessment models. In addition, the agent-based formulation </w:t>
      </w:r>
      <w:r w:rsidR="00F4163E" w:rsidRPr="0095448E">
        <w:rPr>
          <w:lang w:val="en-GB"/>
        </w:rPr>
        <w:t>enables the representation of the specific objectives, constraints and decision-making strategies available for selected industrial players, such</w:t>
      </w:r>
      <w:r w:rsidR="00043C7E" w:rsidRPr="0095448E">
        <w:rPr>
          <w:lang w:val="en-GB"/>
        </w:rPr>
        <w:t xml:space="preserve"> as SMEs and LEs</w:t>
      </w:r>
      <w:r w:rsidR="00F4163E" w:rsidRPr="0095448E">
        <w:rPr>
          <w:lang w:val="en-GB"/>
        </w:rPr>
        <w:t>.</w:t>
      </w:r>
    </w:p>
    <w:p w14:paraId="105E41DA" w14:textId="77777777" w:rsidR="003C5840" w:rsidRPr="0095448E" w:rsidRDefault="003C5840" w:rsidP="0094784D">
      <w:pPr>
        <w:pStyle w:val="TAMainText"/>
        <w:rPr>
          <w:lang w:val="en-GB"/>
        </w:rPr>
      </w:pPr>
    </w:p>
    <w:p w14:paraId="0B110291" w14:textId="77777777" w:rsidR="007A7597" w:rsidRPr="0095448E" w:rsidRDefault="000C5FC0" w:rsidP="000C5FC0">
      <w:pPr>
        <w:pStyle w:val="Heading1"/>
        <w:spacing w:after="200"/>
        <w:ind w:left="448" w:hanging="448"/>
      </w:pPr>
      <w:r w:rsidRPr="0095448E">
        <w:t>Materials and methods</w:t>
      </w:r>
    </w:p>
    <w:p w14:paraId="269C3B43" w14:textId="686092E3" w:rsidR="003C5840" w:rsidRPr="0095448E" w:rsidRDefault="00C81990" w:rsidP="0094784D">
      <w:pPr>
        <w:pStyle w:val="TAMainText"/>
        <w:rPr>
          <w:lang w:val="en-GB"/>
        </w:rPr>
      </w:pPr>
      <w:r w:rsidRPr="0095448E">
        <w:rPr>
          <w:lang w:val="en-GB"/>
        </w:rPr>
        <w:t>This paper presents</w:t>
      </w:r>
      <w:r w:rsidR="005225DA" w:rsidRPr="0095448E">
        <w:rPr>
          <w:lang w:val="en-GB"/>
        </w:rPr>
        <w:t xml:space="preserve"> </w:t>
      </w:r>
      <w:r w:rsidR="00483911" w:rsidRPr="0095448E">
        <w:rPr>
          <w:lang w:val="en-GB"/>
        </w:rPr>
        <w:t>a</w:t>
      </w:r>
      <w:r w:rsidRPr="0095448E">
        <w:rPr>
          <w:lang w:val="en-GB"/>
        </w:rPr>
        <w:t xml:space="preserve"> </w:t>
      </w:r>
      <w:r w:rsidR="00483911" w:rsidRPr="0095448E">
        <w:rPr>
          <w:lang w:val="en-GB"/>
        </w:rPr>
        <w:t xml:space="preserve">development </w:t>
      </w:r>
      <w:r w:rsidR="00F91D64" w:rsidRPr="0095448E">
        <w:rPr>
          <w:lang w:val="en-GB"/>
        </w:rPr>
        <w:t xml:space="preserve">of </w:t>
      </w:r>
      <w:r w:rsidR="005225DA" w:rsidRPr="0095448E">
        <w:rPr>
          <w:lang w:val="en-GB"/>
        </w:rPr>
        <w:t>the industrial sector</w:t>
      </w:r>
      <w:r w:rsidR="0005124C" w:rsidRPr="0095448E">
        <w:rPr>
          <w:lang w:val="en-GB"/>
        </w:rPr>
        <w:t xml:space="preserve"> </w:t>
      </w:r>
      <w:r w:rsidR="007E16E1" w:rsidRPr="0095448E">
        <w:rPr>
          <w:lang w:val="en-GB"/>
        </w:rPr>
        <w:t xml:space="preserve">module </w:t>
      </w:r>
      <w:r w:rsidR="00483911" w:rsidRPr="0095448E">
        <w:rPr>
          <w:lang w:val="en-GB"/>
        </w:rPr>
        <w:t xml:space="preserve">in MUSE </w:t>
      </w:r>
      <w:r w:rsidR="0005124C" w:rsidRPr="0095448E">
        <w:rPr>
          <w:lang w:val="en-GB"/>
        </w:rPr>
        <w:t>(ISM)</w:t>
      </w:r>
      <w:r w:rsidR="005225DA" w:rsidRPr="0095448E">
        <w:rPr>
          <w:lang w:val="en-GB"/>
        </w:rPr>
        <w:t xml:space="preserve"> </w:t>
      </w:r>
      <w:r w:rsidR="0027040C" w:rsidRPr="0095448E">
        <w:rPr>
          <w:lang w:val="en-GB"/>
        </w:rPr>
        <w:t>(Luh et al., 2020)</w:t>
      </w:r>
      <w:r w:rsidR="00483911" w:rsidRPr="0095448E">
        <w:rPr>
          <w:lang w:val="en-GB"/>
        </w:rPr>
        <w:t xml:space="preserve"> to </w:t>
      </w:r>
      <w:r w:rsidR="00F36C95" w:rsidRPr="0095448E">
        <w:rPr>
          <w:lang w:val="en-GB"/>
        </w:rPr>
        <w:t>an agent-based framework</w:t>
      </w:r>
      <w:r w:rsidR="007E16E1" w:rsidRPr="0095448E">
        <w:rPr>
          <w:lang w:val="en-GB"/>
        </w:rPr>
        <w:t xml:space="preserve"> (Sachs et al., 2019)</w:t>
      </w:r>
      <w:r w:rsidR="003C5840" w:rsidRPr="0095448E">
        <w:rPr>
          <w:lang w:val="en-GB"/>
        </w:rPr>
        <w:t>.</w:t>
      </w:r>
      <w:r w:rsidR="00DC3466" w:rsidRPr="0095448E">
        <w:rPr>
          <w:lang w:val="en-GB"/>
        </w:rPr>
        <w:t xml:space="preserve"> </w:t>
      </w:r>
      <w:r w:rsidR="00E06856" w:rsidRPr="0095448E">
        <w:t>An</w:t>
      </w:r>
      <w:r w:rsidR="00E06856" w:rsidRPr="0095448E">
        <w:rPr>
          <w:lang w:val="en-GB"/>
        </w:rPr>
        <w:t xml:space="preserve"> overview of MUSE </w:t>
      </w:r>
      <w:r w:rsidR="00DC3466" w:rsidRPr="0095448E">
        <w:rPr>
          <w:lang w:val="en-GB"/>
        </w:rPr>
        <w:t xml:space="preserve">is </w:t>
      </w:r>
      <w:r w:rsidR="00E06856" w:rsidRPr="0095448E">
        <w:rPr>
          <w:lang w:val="en-GB"/>
        </w:rPr>
        <w:t xml:space="preserve">presented </w:t>
      </w:r>
      <w:r w:rsidR="00DC3466" w:rsidRPr="0095448E">
        <w:rPr>
          <w:lang w:val="en-GB"/>
        </w:rPr>
        <w:t xml:space="preserve">in the section </w:t>
      </w:r>
      <w:hyperlink r:id="rId9" w:anchor="Section1_MUSESI" w:history="1">
        <w:r w:rsidR="00DC3466" w:rsidRPr="0095448E">
          <w:rPr>
            <w:rStyle w:val="Hyperlink"/>
            <w:color w:val="auto"/>
            <w:lang w:val="en-GB"/>
          </w:rPr>
          <w:t>1</w:t>
        </w:r>
      </w:hyperlink>
      <w:r w:rsidR="00DC3466" w:rsidRPr="0095448E">
        <w:rPr>
          <w:lang w:val="en-GB"/>
        </w:rPr>
        <w:t xml:space="preserve"> of the supplementary material.</w:t>
      </w:r>
      <w:r w:rsidR="00E64618" w:rsidRPr="0095448E">
        <w:rPr>
          <w:lang w:val="en-GB"/>
        </w:rPr>
        <w:t xml:space="preserve"> </w:t>
      </w:r>
    </w:p>
    <w:p w14:paraId="529A30DC" w14:textId="24C5ED1D" w:rsidR="004D1A87" w:rsidRPr="0095448E" w:rsidRDefault="00E06856" w:rsidP="00C8285F">
      <w:pPr>
        <w:pStyle w:val="TAMainText"/>
        <w:rPr>
          <w:lang w:val="en-GB"/>
        </w:rPr>
      </w:pPr>
      <w:r w:rsidRPr="0095448E">
        <w:rPr>
          <w:lang w:val="en-GB"/>
        </w:rPr>
        <w:t xml:space="preserve">The approach follows the schematic of </w:t>
      </w:r>
      <w:r w:rsidR="007914DA" w:rsidRPr="0095448E">
        <w:t xml:space="preserve">Figure </w:t>
      </w:r>
      <w:hyperlink w:anchor="Figure1" w:history="1">
        <w:r w:rsidR="007914DA" w:rsidRPr="0095448E">
          <w:rPr>
            <w:rStyle w:val="Hyperlink"/>
            <w:color w:val="auto"/>
          </w:rPr>
          <w:t>1</w:t>
        </w:r>
      </w:hyperlink>
      <w:r w:rsidRPr="0095448E">
        <w:t xml:space="preserve">, which shows the integration between the agent-based framework and the industrial sector module. </w:t>
      </w:r>
      <w:r w:rsidR="005225DA" w:rsidRPr="0095448E">
        <w:rPr>
          <w:lang w:val="en-GB"/>
        </w:rPr>
        <w:t xml:space="preserve">The </w:t>
      </w:r>
      <w:r w:rsidR="003C5840" w:rsidRPr="0095448E">
        <w:rPr>
          <w:lang w:val="en-GB"/>
        </w:rPr>
        <w:t xml:space="preserve">ISM </w:t>
      </w:r>
      <w:r w:rsidR="005225DA" w:rsidRPr="0095448E">
        <w:rPr>
          <w:lang w:val="en-GB"/>
        </w:rPr>
        <w:t>first projects the</w:t>
      </w:r>
      <w:r w:rsidR="00C278C6" w:rsidRPr="0095448E">
        <w:rPr>
          <w:lang w:val="en-GB"/>
        </w:rPr>
        <w:t xml:space="preserve"> </w:t>
      </w:r>
      <w:r w:rsidR="005225DA" w:rsidRPr="0095448E">
        <w:rPr>
          <w:lang w:val="en-GB"/>
        </w:rPr>
        <w:t xml:space="preserve">material </w:t>
      </w:r>
      <w:r w:rsidR="00C278C6" w:rsidRPr="0095448E">
        <w:rPr>
          <w:lang w:val="en-GB"/>
        </w:rPr>
        <w:t xml:space="preserve">commodity </w:t>
      </w:r>
      <w:r w:rsidR="005225DA" w:rsidRPr="0095448E">
        <w:rPr>
          <w:lang w:val="en-GB"/>
        </w:rPr>
        <w:t>demand (such as ammonia demand)</w:t>
      </w:r>
      <w:r w:rsidR="00C278C6" w:rsidRPr="0095448E">
        <w:rPr>
          <w:lang w:val="en-GB"/>
        </w:rPr>
        <w:t xml:space="preserve"> </w:t>
      </w:r>
      <w:r w:rsidR="004D1A87" w:rsidRPr="0095448E">
        <w:rPr>
          <w:lang w:val="en-GB"/>
        </w:rPr>
        <w:t>in a region disaggregated into three sub-year time slices (winter, spring-autumn, summer). It</w:t>
      </w:r>
      <w:r w:rsidR="00C278C6" w:rsidRPr="0095448E">
        <w:rPr>
          <w:lang w:val="en-GB"/>
        </w:rPr>
        <w:t xml:space="preserve"> then simulates which technologies should supply the demand using selected metric (such as net present val</w:t>
      </w:r>
      <w:r w:rsidR="004D1A87" w:rsidRPr="0095448E">
        <w:rPr>
          <w:lang w:val="en-GB"/>
        </w:rPr>
        <w:t>ue or capital/operating costs).</w:t>
      </w:r>
    </w:p>
    <w:p w14:paraId="0051589E" w14:textId="77777777" w:rsidR="00C8285F" w:rsidRPr="0095448E" w:rsidRDefault="00331552" w:rsidP="00C8285F">
      <w:pPr>
        <w:pStyle w:val="TAMainText"/>
        <w:rPr>
          <w:lang w:val="en-GB"/>
        </w:rPr>
      </w:pPr>
      <w:r w:rsidRPr="0095448E">
        <w:rPr>
          <w:lang w:val="en-GB"/>
        </w:rPr>
        <w:t>T</w:t>
      </w:r>
      <w:r w:rsidR="00C278C6" w:rsidRPr="0095448E">
        <w:rPr>
          <w:lang w:val="en-GB"/>
        </w:rPr>
        <w:t xml:space="preserve">o project </w:t>
      </w:r>
      <w:r w:rsidR="005225DA" w:rsidRPr="0095448E">
        <w:rPr>
          <w:lang w:val="en-GB"/>
        </w:rPr>
        <w:t>the future demand of a</w:t>
      </w:r>
      <w:r w:rsidR="00C278C6" w:rsidRPr="0095448E">
        <w:rPr>
          <w:lang w:val="en-GB"/>
        </w:rPr>
        <w:t xml:space="preserve"> commodity</w:t>
      </w:r>
      <w:r w:rsidR="004D1A87" w:rsidRPr="0095448E">
        <w:rPr>
          <w:lang w:val="en-GB"/>
        </w:rPr>
        <w:t>,</w:t>
      </w:r>
      <w:r w:rsidR="00C278C6" w:rsidRPr="0095448E">
        <w:rPr>
          <w:lang w:val="en-GB"/>
        </w:rPr>
        <w:t xml:space="preserve"> </w:t>
      </w:r>
      <w:r w:rsidR="005225DA" w:rsidRPr="0095448E">
        <w:rPr>
          <w:lang w:val="en-GB"/>
        </w:rPr>
        <w:t xml:space="preserve">the historical </w:t>
      </w:r>
      <w:r w:rsidR="004D1A87" w:rsidRPr="0095448E">
        <w:rPr>
          <w:lang w:val="en-GB"/>
        </w:rPr>
        <w:t xml:space="preserve">commodity demand </w:t>
      </w:r>
      <w:r w:rsidR="004D1A87" w:rsidRPr="0095448E">
        <w:rPr>
          <w:lang w:val="en-GB"/>
        </w:rPr>
        <w:fldChar w:fldCharType="begin" w:fldLock="1"/>
      </w:r>
      <w:r w:rsidR="004D1A87" w:rsidRPr="0095448E">
        <w:rPr>
          <w:lang w:val="en-GB"/>
        </w:rPr>
        <w:instrText>ADDIN CSL_CITATION { "citationItems" : [ { "id" : "ITEM-1", "itemData" : { "URL" : "https://sustainabledevelopment.un.org/index.php?page=view&amp;type=400&amp;nr=1966&amp;menu=35", "author" : [ { "dropping-particle" : "", "family" : "United Nations Environment Programme", "given" : "", "non-dropping-particle" : "", "parse-names" : false, "suffix" : "" }, { "dropping-particle" : "", "family" : "UNEP", "given" : "", "non-dropping-particle" : "", "parse-names" : false, "suffix" : "" } ], "editor" : [ { "dropping-particle" : "", "family" : "UN", "given" : "", "non-dropping-particle" : "", "parse-names" : false, "suffix" : "" } ], "id" : "ITEM-1", "issue" : "06/ 09/ ", "issued" : { "date-parts" : [ [ "2013" ] ] }, "title" : "Global Chemicals Outlook - Towards Sound Management of Chemicals", "type" : "webpage", "volume" : "2017" }, "uris" : [ "http://www.mendeley.com/documents/?uuid=c3c09406-cfd5-438f-9320-8d4e579914bd" ] } ], "mendeley" : { "formattedCitation" : "(United Nations Environment Programme and UNEP, 2013)", "plainTextFormattedCitation" : "(United Nations Environment Programme and UNEP, 2013)", "previouslyFormattedCitation" : "[49]" }, "properties" : { "noteIndex" : 0 }, "schema" : "https://github.com/citation-style-language/schema/raw/master/csl-citation.json" }</w:instrText>
      </w:r>
      <w:r w:rsidR="004D1A87" w:rsidRPr="0095448E">
        <w:rPr>
          <w:lang w:val="en-GB"/>
        </w:rPr>
        <w:fldChar w:fldCharType="separate"/>
      </w:r>
      <w:r w:rsidR="004D1A87" w:rsidRPr="0095448E">
        <w:rPr>
          <w:noProof/>
          <w:lang w:val="en-GB"/>
        </w:rPr>
        <w:t>(United Nations Environment Programme and UNEP, 2013)</w:t>
      </w:r>
      <w:r w:rsidR="004D1A87" w:rsidRPr="0095448E">
        <w:fldChar w:fldCharType="end"/>
      </w:r>
      <w:r w:rsidR="005225DA" w:rsidRPr="0095448E">
        <w:rPr>
          <w:lang w:val="en-GB"/>
        </w:rPr>
        <w:t xml:space="preserve"> has been regressed against </w:t>
      </w:r>
      <w:r w:rsidR="00C278C6" w:rsidRPr="0095448E">
        <w:rPr>
          <w:lang w:val="en-GB"/>
        </w:rPr>
        <w:t>macroeconomic driver</w:t>
      </w:r>
      <w:r w:rsidR="005225DA" w:rsidRPr="0095448E">
        <w:rPr>
          <w:lang w:val="en-GB"/>
        </w:rPr>
        <w:t xml:space="preserve">s </w:t>
      </w:r>
      <w:r w:rsidR="00C278C6" w:rsidRPr="0095448E">
        <w:rPr>
          <w:lang w:val="en-GB"/>
        </w:rPr>
        <w:fldChar w:fldCharType="begin" w:fldLock="1"/>
      </w:r>
      <w:r w:rsidR="00C278C6" w:rsidRPr="0095448E">
        <w:rPr>
          <w:lang w:val="en-GB"/>
        </w:rPr>
        <w:instrText>ADDIN CSL_CITATION { "citationItems" : [ { "id" : "ITEM-1", "itemData" : { "URL" : "https://tntcat.iiasa.ac.at/SspDb/dsd?Action=htmlpage&amp;page=about", "author" : [ { "dropping-particle" : "", "family" : "IIASA", "given" : "", "non-dropping-particle" : "", "parse-names" : false, "suffix" : "" } ], "id" : "ITEM-1", "issue" : "29/ 11/ ", "issued" : { "date-parts" : [ [ "2016" ] ] }, "title" : "SSP Database (Shared Socioeconomic Pathways) - Version 1.1", "type" : "webpage", "volume" : "2017" }, "uris" : [ "http://www.mendeley.com/documents/?uuid=597aae85-7ac7-4264-aff3-5c433a3ec378" ] } ], "mendeley" : { "formattedCitation" : "(IIASA, 2016)", "plainTextFormattedCitation" : "(IIASA, 2016)", "previouslyFormattedCitation" : "[5]" }, "properties" : { "noteIndex" : 0 }, "schema" : "https://github.com/citation-style-language/schema/raw/master/csl-citation.json" }</w:instrText>
      </w:r>
      <w:r w:rsidR="00C278C6" w:rsidRPr="0095448E">
        <w:rPr>
          <w:lang w:val="en-GB"/>
        </w:rPr>
        <w:fldChar w:fldCharType="separate"/>
      </w:r>
      <w:r w:rsidR="00C278C6" w:rsidRPr="0095448E">
        <w:rPr>
          <w:noProof/>
          <w:lang w:val="en-GB"/>
        </w:rPr>
        <w:t>(IIASA, 2016)</w:t>
      </w:r>
      <w:r w:rsidR="00C278C6" w:rsidRPr="0095448E">
        <w:fldChar w:fldCharType="end"/>
      </w:r>
      <w:r w:rsidR="004D1A87" w:rsidRPr="0095448E">
        <w:t xml:space="preserve"> for a 25 year-long timeseries</w:t>
      </w:r>
      <w:r w:rsidR="005225DA" w:rsidRPr="0095448E">
        <w:rPr>
          <w:lang w:val="en-GB"/>
        </w:rPr>
        <w:t xml:space="preserve">. </w:t>
      </w:r>
      <w:r w:rsidR="004D1A87" w:rsidRPr="0095448E">
        <w:rPr>
          <w:lang w:val="en-GB"/>
        </w:rPr>
        <w:t xml:space="preserve">Specifically, </w:t>
      </w:r>
      <w:r w:rsidR="00DC3466" w:rsidRPr="0095448E">
        <w:rPr>
          <w:lang w:val="en-GB"/>
        </w:rPr>
        <w:t xml:space="preserve">there is </w:t>
      </w:r>
      <w:r w:rsidR="004D1A87" w:rsidRPr="0095448E">
        <w:rPr>
          <w:lang w:val="en-GB"/>
        </w:rPr>
        <w:t>a strong correlation between t</w:t>
      </w:r>
      <w:r w:rsidR="00C8285F" w:rsidRPr="0095448E">
        <w:rPr>
          <w:lang w:val="en-GB"/>
        </w:rPr>
        <w:t>he</w:t>
      </w:r>
      <w:r w:rsidR="004D1A87" w:rsidRPr="0095448E">
        <w:rPr>
          <w:lang w:val="en-GB"/>
        </w:rPr>
        <w:t xml:space="preserve"> commodity demand and the</w:t>
      </w:r>
      <w:r w:rsidR="00C8285F" w:rsidRPr="0095448E">
        <w:rPr>
          <w:lang w:val="en-GB"/>
        </w:rPr>
        <w:t xml:space="preserve"> Gross Domestic Product per capita (</w:t>
      </w:r>
      <m:oMath>
        <m:r>
          <w:rPr>
            <w:rFonts w:ascii="Cambria Math" w:hAnsi="Cambria Math"/>
            <w:lang w:val="en-GB"/>
          </w:rPr>
          <m:t>GDPpc</m:t>
        </m:r>
      </m:oMath>
      <w:r w:rsidR="00C8285F" w:rsidRPr="0095448E">
        <w:rPr>
          <w:lang w:val="en-GB"/>
        </w:rPr>
        <w:t>)</w:t>
      </w:r>
      <w:r w:rsidR="004D1A87" w:rsidRPr="0095448E">
        <w:rPr>
          <w:lang w:val="en-GB"/>
        </w:rPr>
        <w:t>.</w:t>
      </w:r>
      <w:r w:rsidR="00C8285F" w:rsidRPr="0095448E">
        <w:rPr>
          <w:lang w:val="en-GB"/>
        </w:rPr>
        <w:t xml:space="preserve"> </w:t>
      </w:r>
      <w:r w:rsidR="004D1A87" w:rsidRPr="0095448E">
        <w:rPr>
          <w:lang w:val="en-GB"/>
        </w:rPr>
        <w:t>T</w:t>
      </w:r>
      <w:r w:rsidR="00C8285F" w:rsidRPr="0095448E">
        <w:rPr>
          <w:lang w:val="en-GB"/>
        </w:rPr>
        <w:t xml:space="preserve">he Non-Linear Inverse </w:t>
      </w:r>
      <w:r w:rsidR="004D1A87" w:rsidRPr="0095448E">
        <w:rPr>
          <w:lang w:val="en-GB"/>
        </w:rPr>
        <w:t>(</w:t>
      </w:r>
      <w:r w:rsidR="00C8285F" w:rsidRPr="0095448E">
        <w:rPr>
          <w:lang w:val="en-GB"/>
        </w:rPr>
        <w:fldChar w:fldCharType="begin"/>
      </w:r>
      <w:r w:rsidR="00C8285F" w:rsidRPr="0095448E">
        <w:rPr>
          <w:lang w:val="en-GB"/>
        </w:rPr>
        <w:instrText xml:space="preserve"> REF _Ref505243533 \h  \* MERGEFORMAT </w:instrText>
      </w:r>
      <w:r w:rsidR="00C8285F" w:rsidRPr="0095448E">
        <w:rPr>
          <w:lang w:val="en-GB"/>
        </w:rPr>
      </w:r>
      <w:r w:rsidR="00C8285F" w:rsidRPr="0095448E">
        <w:rPr>
          <w:lang w:val="en-GB"/>
        </w:rPr>
        <w:fldChar w:fldCharType="separate"/>
      </w:r>
      <w:r w:rsidR="00C8285F" w:rsidRPr="0095448E">
        <w:rPr>
          <w:lang w:val="en-GB"/>
        </w:rPr>
        <w:t>Equation 1</w:t>
      </w:r>
      <w:r w:rsidR="00C8285F" w:rsidRPr="0095448E">
        <w:fldChar w:fldCharType="end"/>
      </w:r>
      <w:r w:rsidR="004D1A87" w:rsidRPr="0095448E">
        <w:t xml:space="preserve">) best represents the correlation between demand and </w:t>
      </w:r>
      <m:oMath>
        <m:r>
          <w:rPr>
            <w:rFonts w:ascii="Cambria Math" w:hAnsi="Cambria Math"/>
            <w:lang w:val="en-GB"/>
          </w:rPr>
          <m:t>GDPpc</m:t>
        </m:r>
      </m:oMath>
      <w:r w:rsidR="004D1A87" w:rsidRPr="0095448E">
        <w:rPr>
          <w:lang w:val="en-GB"/>
        </w:rPr>
        <w:t xml:space="preserve"> </w:t>
      </w:r>
      <w:r w:rsidR="004D1A87" w:rsidRPr="0095448E">
        <w:rPr>
          <w:lang w:val="en-GB"/>
        </w:rPr>
        <w:fldChar w:fldCharType="begin" w:fldLock="1"/>
      </w:r>
      <w:r w:rsidR="004D1A87" w:rsidRPr="0095448E">
        <w:rPr>
          <w:lang w:val="en-GB"/>
        </w:rPr>
        <w:instrText>ADDIN CSL_CITATION { "citationItems" : [ { "id" : "ITEM-1", "itemData" : { "DOI" : "http://dx.doi.org/10.1016/j.resconrec.2016.04.016", "ISBN" : "0921-3449", "abstract" : "This paper presents a global simulation-model for the steel and cement industries. The model covers the full modelling chain from economic activity, to materials consumption, trade, technology choice, production capacity, energy use and CO2 emissions. Without climate policy, the future projections based on the SSP2 scenario show a rapid increase in the consumption of steel and cement over the next few decades, after which demand levels are projected to stabilize. This implies that over the scenario period, CO2 emissions are projected to peak in the next decades followed by a decrease below 2010 levels in 2050. There is considerable scope to mitigate CO2 emissions from steel and cement industries, leading to resp. 80\u201390% and 40\u201380% reduction below 2010 in 2050 for a high carbon tax of 100 $/tCO2+4%pa depending on the availability of Carbon Capture and Sequestration (CCS).", "author" : [ { "dropping-particle" : "", "family" : "Ruijven", "given" : "Bas J", "non-dropping-particle" : "van", "parse-names" : false, "suffix" : "" }, { "dropping-particle" : "", "family" : "Vuuren", "given" : "Detlef P", "non-dropping-particle" : "van", "parse-names" : false, "suffix" : "" }, { "dropping-particle" : "", "family" : "Boskaljon", "given" : "Willem", "non-dropping-particle" : "", "parse-names" : false, "suffix" : "" }, { "dropping-particle" : "", "family" : "Neelis", "given" : "Maarten L", "non-dropping-particle" : "", "parse-names" : false, "suffix" : "" }, { "dropping-particle" : "", "family" : "Saygin", "given" : "Deger", "non-dropping-particle" : "", "parse-names" : false, "suffix" : "" }, { "dropping-particle" : "", "family" : "Patel", "given" : "Martin K", "non-dropping-particle" : "", "parse-names" : false, "suffix" : "" } ], "container-title" : "Resources, Conservation and Recycling", "id" : "ITEM-1", "issued" : { "date-parts" : [ [ "2016" ] ] }, "page" : "15-36", "title" : "Long-term model-based projections of energy use and CO2 emissions from the global steel and cement industries", "type" : "article-journal", "volume" : "112" }, "uris" : [ "http://www.mendeley.com/documents/?uuid=75524104-489b-42b6-b733-a1a108fa2d06" ] } ], "mendeley" : { "formattedCitation" : "(van Ruijven et al., 2016)", "plainTextFormattedCitation" : "(van Ruijven et al., 2016)", "previouslyFormattedCitation" : "[25]" }, "properties" : { "noteIndex" : 0 }, "schema" : "https://github.com/citation-style-language/schema/raw/master/csl-citation.json" }</w:instrText>
      </w:r>
      <w:r w:rsidR="004D1A87" w:rsidRPr="0095448E">
        <w:rPr>
          <w:lang w:val="en-GB"/>
        </w:rPr>
        <w:fldChar w:fldCharType="separate"/>
      </w:r>
      <w:r w:rsidR="004D1A87" w:rsidRPr="0095448E">
        <w:rPr>
          <w:noProof/>
          <w:lang w:val="en-GB"/>
        </w:rPr>
        <w:t>(van Ruijven et al., 2016)</w:t>
      </w:r>
      <w:r w:rsidR="004D1A87" w:rsidRPr="0095448E">
        <w:fldChar w:fldCharType="end"/>
      </w:r>
      <w:r w:rsidR="004D1A87" w:rsidRPr="0095448E">
        <w:rPr>
          <w:lang w:val="en-GB"/>
        </w:rPr>
        <w:t xml:space="preserve">. In </w:t>
      </w:r>
      <w:r w:rsidR="004D1A87" w:rsidRPr="0095448E">
        <w:rPr>
          <w:lang w:val="en-GB"/>
        </w:rPr>
        <w:fldChar w:fldCharType="begin"/>
      </w:r>
      <w:r w:rsidR="004D1A87" w:rsidRPr="0095448E">
        <w:rPr>
          <w:lang w:val="en-GB"/>
        </w:rPr>
        <w:instrText xml:space="preserve"> REF _Ref505243533 \h  \* MERGEFORMAT </w:instrText>
      </w:r>
      <w:r w:rsidR="004D1A87" w:rsidRPr="0095448E">
        <w:rPr>
          <w:lang w:val="en-GB"/>
        </w:rPr>
      </w:r>
      <w:r w:rsidR="004D1A87" w:rsidRPr="0095448E">
        <w:rPr>
          <w:lang w:val="en-GB"/>
        </w:rPr>
        <w:fldChar w:fldCharType="separate"/>
      </w:r>
      <w:r w:rsidR="004D1A87" w:rsidRPr="0095448E">
        <w:rPr>
          <w:lang w:val="en-GB"/>
        </w:rPr>
        <w:t>Equation 1</w:t>
      </w:r>
      <w:r w:rsidR="004D1A87" w:rsidRPr="0095448E">
        <w:fldChar w:fldCharType="end"/>
      </w:r>
      <w:r w:rsidR="004D1A87" w:rsidRPr="0095448E">
        <w:t>,</w:t>
      </w:r>
      <w:r w:rsidR="00C8285F" w:rsidRPr="0095448E">
        <w:rPr>
          <w:lang w:val="en-GB"/>
        </w:rPr>
        <w:t xml:space="preserve"> </w:t>
      </w:r>
      <m:oMath>
        <m:r>
          <w:rPr>
            <w:rFonts w:ascii="Cambria Math" w:hAnsi="Cambria Math"/>
            <w:lang w:val="en-GB"/>
          </w:rPr>
          <m:t>C</m:t>
        </m:r>
      </m:oMath>
      <w:r w:rsidR="00C8285F" w:rsidRPr="0095448E">
        <w:rPr>
          <w:lang w:val="en-GB"/>
        </w:rPr>
        <w:t xml:space="preserve"> is the material </w:t>
      </w:r>
      <w:r w:rsidR="004D1A87" w:rsidRPr="0095448E">
        <w:rPr>
          <w:lang w:val="en-GB"/>
        </w:rPr>
        <w:t>demand</w:t>
      </w:r>
      <w:r w:rsidR="00C8285F" w:rsidRPr="0095448E">
        <w:rPr>
          <w:lang w:val="en-GB"/>
        </w:rPr>
        <w:t xml:space="preserve"> per capita, </w:t>
      </w:r>
      <m:oMath>
        <m:r>
          <w:rPr>
            <w:rFonts w:ascii="Cambria Math" w:hAnsi="Cambria Math"/>
            <w:lang w:val="en-GB"/>
          </w:rPr>
          <m:t>a</m:t>
        </m:r>
      </m:oMath>
      <w:r w:rsidR="00C8285F" w:rsidRPr="0095448E">
        <w:rPr>
          <w:lang w:val="en-GB"/>
        </w:rPr>
        <w:t xml:space="preserve"> and </w:t>
      </w:r>
      <m:oMath>
        <m:r>
          <w:rPr>
            <w:rFonts w:ascii="Cambria Math" w:hAnsi="Cambria Math"/>
            <w:lang w:val="en-GB"/>
          </w:rPr>
          <m:t>b</m:t>
        </m:r>
      </m:oMath>
      <w:r w:rsidR="00C8285F" w:rsidRPr="0095448E">
        <w:rPr>
          <w:lang w:val="en-GB"/>
        </w:rPr>
        <w:t xml:space="preserve"> are constants</w:t>
      </w:r>
      <w:r w:rsidR="00BC4E2F" w:rsidRPr="0095448E">
        <w:rPr>
          <w:lang w:val="en-GB"/>
        </w:rPr>
        <w:t xml:space="preserve"> obtained through the </w:t>
      </w:r>
      <w:r w:rsidR="00E64618" w:rsidRPr="0095448E">
        <w:rPr>
          <w:lang w:val="en-GB"/>
        </w:rPr>
        <w:t xml:space="preserve">time series </w:t>
      </w:r>
      <w:r w:rsidR="00BC4E2F" w:rsidRPr="0095448E">
        <w:rPr>
          <w:lang w:val="en-GB"/>
        </w:rPr>
        <w:t>correlation</w:t>
      </w:r>
      <w:r w:rsidR="00C8285F" w:rsidRPr="0095448E">
        <w:rPr>
          <w:lang w:val="en-GB"/>
        </w:rPr>
        <w:t>.</w:t>
      </w:r>
    </w:p>
    <w:tbl>
      <w:tblPr>
        <w:tblW w:w="0" w:type="auto"/>
        <w:jc w:val="center"/>
        <w:tblLook w:val="04A0" w:firstRow="1" w:lastRow="0" w:firstColumn="1" w:lastColumn="0" w:noHBand="0" w:noVBand="1"/>
      </w:tblPr>
      <w:tblGrid>
        <w:gridCol w:w="2122"/>
        <w:gridCol w:w="5343"/>
        <w:gridCol w:w="1551"/>
      </w:tblGrid>
      <w:tr w:rsidR="0095448E" w:rsidRPr="0095448E" w14:paraId="5DC8F29C" w14:textId="77777777" w:rsidTr="009D3A16">
        <w:trPr>
          <w:trHeight w:val="625"/>
          <w:jc w:val="center"/>
        </w:trPr>
        <w:tc>
          <w:tcPr>
            <w:tcW w:w="2122" w:type="dxa"/>
            <w:vAlign w:val="center"/>
          </w:tcPr>
          <w:p w14:paraId="4BC16011" w14:textId="77777777" w:rsidR="00C8285F" w:rsidRPr="0095448E" w:rsidRDefault="00C8285F" w:rsidP="009D3A16">
            <w:pPr>
              <w:pStyle w:val="TAMainText"/>
            </w:pPr>
          </w:p>
        </w:tc>
        <w:tc>
          <w:tcPr>
            <w:tcW w:w="5343" w:type="dxa"/>
            <w:vAlign w:val="center"/>
          </w:tcPr>
          <w:p w14:paraId="548F4EA2" w14:textId="77777777" w:rsidR="00C8285F" w:rsidRPr="0095448E" w:rsidRDefault="00C8285F" w:rsidP="009D3A16">
            <w:pPr>
              <w:pStyle w:val="TAMainText"/>
            </w:pPr>
            <m:oMathPara>
              <m:oMath>
                <m:r>
                  <w:rPr>
                    <w:rFonts w:ascii="Cambria Math" w:hAnsi="Cambria Math"/>
                  </w:rPr>
                  <m:t xml:space="preserve">C= a× </m:t>
                </m:r>
                <m:sSup>
                  <m:sSupPr>
                    <m:ctrlPr>
                      <w:rPr>
                        <w:rFonts w:ascii="Cambria Math" w:hAnsi="Cambria Math"/>
                        <w:i/>
                      </w:rPr>
                    </m:ctrlPr>
                  </m:sSupPr>
                  <m:e>
                    <m:r>
                      <w:rPr>
                        <w:rFonts w:ascii="Cambria Math" w:hAnsi="Cambria Math"/>
                      </w:rPr>
                      <m:t>e</m:t>
                    </m:r>
                  </m:e>
                  <m:sup>
                    <m:r>
                      <w:rPr>
                        <w:rFonts w:ascii="Cambria Math" w:hAnsi="Cambria Math"/>
                      </w:rPr>
                      <m:t>b/GDPpc</m:t>
                    </m:r>
                  </m:sup>
                </m:sSup>
              </m:oMath>
            </m:oMathPara>
          </w:p>
        </w:tc>
        <w:tc>
          <w:tcPr>
            <w:tcW w:w="1551" w:type="dxa"/>
            <w:vAlign w:val="bottom"/>
          </w:tcPr>
          <w:p w14:paraId="18C878A4" w14:textId="77777777" w:rsidR="00C8285F" w:rsidRPr="0095448E" w:rsidRDefault="00C8285F" w:rsidP="009D3A16">
            <w:pPr>
              <w:pStyle w:val="TAMainText"/>
              <w:rPr>
                <w:i/>
                <w:iCs/>
              </w:rPr>
            </w:pPr>
            <w:bookmarkStart w:id="0" w:name="_Toc5264964"/>
            <w:bookmarkStart w:id="1" w:name="_Ref505243533"/>
            <w:r w:rsidRPr="0095448E">
              <w:rPr>
                <w:i/>
                <w:iCs/>
              </w:rPr>
              <w:t xml:space="preserve">Equation </w:t>
            </w:r>
            <w:r w:rsidRPr="0095448E">
              <w:rPr>
                <w:i/>
                <w:iCs/>
              </w:rPr>
              <w:fldChar w:fldCharType="begin"/>
            </w:r>
            <w:r w:rsidRPr="0095448E">
              <w:rPr>
                <w:i/>
                <w:iCs/>
              </w:rPr>
              <w:instrText xml:space="preserve"> SEQ Equation \* ARABIC </w:instrText>
            </w:r>
            <w:r w:rsidRPr="0095448E">
              <w:rPr>
                <w:i/>
                <w:iCs/>
              </w:rPr>
              <w:fldChar w:fldCharType="separate"/>
            </w:r>
            <w:r w:rsidR="00721C1E" w:rsidRPr="0095448E">
              <w:rPr>
                <w:i/>
                <w:iCs/>
                <w:noProof/>
              </w:rPr>
              <w:t>1</w:t>
            </w:r>
            <w:bookmarkEnd w:id="0"/>
            <w:r w:rsidRPr="0095448E">
              <w:fldChar w:fldCharType="end"/>
            </w:r>
            <w:bookmarkEnd w:id="1"/>
          </w:p>
        </w:tc>
      </w:tr>
    </w:tbl>
    <w:p w14:paraId="01102C02" w14:textId="7F38217A" w:rsidR="001A736E" w:rsidRPr="0095448E" w:rsidRDefault="00331552" w:rsidP="0094784D">
      <w:pPr>
        <w:pStyle w:val="TAMainText"/>
        <w:rPr>
          <w:lang w:val="en-GB"/>
        </w:rPr>
      </w:pPr>
      <w:r w:rsidRPr="0095448E">
        <w:rPr>
          <w:lang w:val="en-GB"/>
        </w:rPr>
        <w:t>T</w:t>
      </w:r>
      <w:r w:rsidR="00C278C6" w:rsidRPr="0095448E">
        <w:rPr>
          <w:lang w:val="en-GB"/>
        </w:rPr>
        <w:t xml:space="preserve">o </w:t>
      </w:r>
      <w:r w:rsidR="004D1A87" w:rsidRPr="0095448E">
        <w:rPr>
          <w:lang w:val="en-GB"/>
        </w:rPr>
        <w:t>decide on which technologies could fulfil demand, the ISM</w:t>
      </w:r>
      <w:r w:rsidR="00C278C6" w:rsidRPr="0095448E">
        <w:rPr>
          <w:lang w:val="en-GB"/>
        </w:rPr>
        <w:t xml:space="preserve"> </w:t>
      </w:r>
      <w:r w:rsidR="00EE1A51" w:rsidRPr="0095448E">
        <w:rPr>
          <w:lang w:val="en-GB"/>
        </w:rPr>
        <w:t>applies a sorting method based on the</w:t>
      </w:r>
      <w:r w:rsidR="00C81990" w:rsidRPr="0095448E">
        <w:rPr>
          <w:lang w:val="en-GB"/>
        </w:rPr>
        <w:t xml:space="preserve"> characterisation of each industrial process installed in the base year (2010), along with projected improvements </w:t>
      </w:r>
      <w:r w:rsidR="00C81990" w:rsidRPr="0095448E">
        <w:t>of these processes in the future</w:t>
      </w:r>
      <w:r w:rsidR="008C5A9B" w:rsidRPr="0095448E">
        <w:t xml:space="preserve">. </w:t>
      </w:r>
      <w:r w:rsidR="007E16E1" w:rsidRPr="0095448E">
        <w:t xml:space="preserve">As further detailed in section </w:t>
      </w:r>
      <w:r w:rsidR="007E16E1" w:rsidRPr="0095448E">
        <w:fldChar w:fldCharType="begin"/>
      </w:r>
      <w:r w:rsidR="007E16E1" w:rsidRPr="0095448E">
        <w:instrText xml:space="preserve"> REF _Ref37356837 \r \h </w:instrText>
      </w:r>
      <w:r w:rsidR="007E16E1" w:rsidRPr="0095448E">
        <w:fldChar w:fldCharType="separate"/>
      </w:r>
      <w:r w:rsidR="007E16E1" w:rsidRPr="0095448E">
        <w:t>2.1</w:t>
      </w:r>
      <w:r w:rsidR="007E16E1" w:rsidRPr="0095448E">
        <w:fldChar w:fldCharType="end"/>
      </w:r>
      <w:r w:rsidR="007E16E1" w:rsidRPr="0095448E">
        <w:t>, t</w:t>
      </w:r>
      <w:r w:rsidR="001A736E" w:rsidRPr="0095448E">
        <w:t>he</w:t>
      </w:r>
      <w:r w:rsidR="001A736E" w:rsidRPr="0095448E">
        <w:rPr>
          <w:lang w:val="en-GB"/>
        </w:rPr>
        <w:t xml:space="preserve"> </w:t>
      </w:r>
      <w:r w:rsidR="00EE1A51" w:rsidRPr="0095448E">
        <w:rPr>
          <w:lang w:val="en-GB"/>
        </w:rPr>
        <w:t xml:space="preserve">technology </w:t>
      </w:r>
      <w:r w:rsidR="001A736E" w:rsidRPr="0095448E">
        <w:rPr>
          <w:lang w:val="en-GB"/>
        </w:rPr>
        <w:t xml:space="preserve">characterisation </w:t>
      </w:r>
      <w:r w:rsidR="00CC469F" w:rsidRPr="0095448E">
        <w:rPr>
          <w:lang w:val="en-GB"/>
        </w:rPr>
        <w:t xml:space="preserve">includes </w:t>
      </w:r>
      <w:r w:rsidR="00EE1A51" w:rsidRPr="0095448E">
        <w:rPr>
          <w:lang w:val="en-GB"/>
        </w:rPr>
        <w:t xml:space="preserve">unit </w:t>
      </w:r>
      <w:r w:rsidR="001A736E" w:rsidRPr="0095448E">
        <w:rPr>
          <w:lang w:val="en-GB"/>
        </w:rPr>
        <w:t>input energy comm</w:t>
      </w:r>
      <w:r w:rsidR="00EE1A51" w:rsidRPr="0095448E">
        <w:rPr>
          <w:lang w:val="en-GB"/>
        </w:rPr>
        <w:t>odities</w:t>
      </w:r>
      <w:r w:rsidR="001A736E" w:rsidRPr="0095448E">
        <w:rPr>
          <w:lang w:val="en-GB"/>
        </w:rPr>
        <w:t xml:space="preserve">, </w:t>
      </w:r>
      <w:r w:rsidR="00EE1A51" w:rsidRPr="0095448E">
        <w:rPr>
          <w:lang w:val="en-GB"/>
        </w:rPr>
        <w:t xml:space="preserve">unit </w:t>
      </w:r>
      <w:r w:rsidR="001A736E" w:rsidRPr="0095448E">
        <w:rPr>
          <w:lang w:val="en-GB"/>
        </w:rPr>
        <w:t>out</w:t>
      </w:r>
      <w:r w:rsidR="00EE1A51" w:rsidRPr="0095448E">
        <w:rPr>
          <w:lang w:val="en-GB"/>
        </w:rPr>
        <w:t>put material commodities</w:t>
      </w:r>
      <w:r w:rsidR="001A736E" w:rsidRPr="0095448E">
        <w:rPr>
          <w:lang w:val="en-GB"/>
        </w:rPr>
        <w:t xml:space="preserve">, </w:t>
      </w:r>
      <w:r w:rsidR="00EE1A51" w:rsidRPr="0095448E">
        <w:rPr>
          <w:lang w:val="en-GB"/>
        </w:rPr>
        <w:t xml:space="preserve">unit emissions, technical life, utilisation factor, </w:t>
      </w:r>
      <w:r w:rsidR="001A736E" w:rsidRPr="0095448E">
        <w:rPr>
          <w:lang w:val="en-GB"/>
        </w:rPr>
        <w:t>capital (capex), var</w:t>
      </w:r>
      <w:r w:rsidR="00EE1A51" w:rsidRPr="0095448E">
        <w:rPr>
          <w:lang w:val="en-GB"/>
        </w:rPr>
        <w:t xml:space="preserve">iable and fixed operating costs, </w:t>
      </w:r>
      <w:r w:rsidR="001A736E" w:rsidRPr="0095448E">
        <w:rPr>
          <w:lang w:val="en-GB"/>
        </w:rPr>
        <w:t xml:space="preserve">installed capacity in </w:t>
      </w:r>
      <w:r w:rsidR="00EE1A51" w:rsidRPr="0095448E">
        <w:rPr>
          <w:lang w:val="en-GB"/>
        </w:rPr>
        <w:t>2010,</w:t>
      </w:r>
      <w:r w:rsidR="001A736E" w:rsidRPr="0095448E">
        <w:rPr>
          <w:lang w:val="en-GB"/>
        </w:rPr>
        <w:t xml:space="preserve"> </w:t>
      </w:r>
      <w:r w:rsidR="00EE1A51" w:rsidRPr="0095448E">
        <w:rPr>
          <w:lang w:val="en-GB"/>
        </w:rPr>
        <w:t>decommissioning profile, maximum capacity addition, percentage growth</w:t>
      </w:r>
      <w:r w:rsidR="001A736E" w:rsidRPr="0095448E">
        <w:rPr>
          <w:lang w:val="en-GB"/>
        </w:rPr>
        <w:t xml:space="preserve">, </w:t>
      </w:r>
      <w:r w:rsidR="00EE1A51" w:rsidRPr="0095448E">
        <w:rPr>
          <w:lang w:val="en-GB"/>
        </w:rPr>
        <w:t>and total capacity limit per year</w:t>
      </w:r>
      <w:r w:rsidR="001A736E" w:rsidRPr="0095448E">
        <w:rPr>
          <w:lang w:val="en-GB"/>
        </w:rPr>
        <w:t>.</w:t>
      </w:r>
      <w:r w:rsidR="00DC3466" w:rsidRPr="0095448E">
        <w:rPr>
          <w:lang w:val="en-GB"/>
        </w:rPr>
        <w:t xml:space="preserve"> Section </w:t>
      </w:r>
      <w:hyperlink r:id="rId10" w:anchor="Section2_ISMSI" w:history="1">
        <w:r w:rsidR="00DC3466" w:rsidRPr="0095448E">
          <w:rPr>
            <w:rStyle w:val="Hyperlink"/>
            <w:color w:val="auto"/>
            <w:lang w:val="en-GB"/>
          </w:rPr>
          <w:t>2</w:t>
        </w:r>
      </w:hyperlink>
      <w:r w:rsidR="00DC3466" w:rsidRPr="0095448E">
        <w:rPr>
          <w:lang w:val="en-GB"/>
        </w:rPr>
        <w:t xml:space="preserve"> of the supplementary material reports the full list of the modelled technologies in the ISM.</w:t>
      </w:r>
    </w:p>
    <w:p w14:paraId="6474FA54" w14:textId="12EFF2BC" w:rsidR="00325D83" w:rsidRPr="0095448E" w:rsidRDefault="00325D83" w:rsidP="0094784D">
      <w:pPr>
        <w:pStyle w:val="TAMainText"/>
        <w:rPr>
          <w:lang w:val="en-GB"/>
        </w:rPr>
      </w:pPr>
    </w:p>
    <w:p w14:paraId="1A3FD191" w14:textId="66AB3261" w:rsidR="00E06856" w:rsidRPr="0095448E" w:rsidRDefault="00E06856" w:rsidP="0094784D">
      <w:pPr>
        <w:pStyle w:val="TAMainText"/>
        <w:rPr>
          <w:lang w:val="en-GB"/>
        </w:rPr>
      </w:pPr>
      <w:r w:rsidRPr="0095448E">
        <w:rPr>
          <w:noProof/>
          <w:lang w:val="en-GB" w:eastAsia="en-GB"/>
        </w:rPr>
        <w:drawing>
          <wp:inline distT="0" distB="0" distL="0" distR="0" wp14:anchorId="50B89FF5" wp14:editId="2CE77552">
            <wp:extent cx="5580000" cy="1335145"/>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pproach.png"/>
                    <pic:cNvPicPr/>
                  </pic:nvPicPr>
                  <pic:blipFill>
                    <a:blip r:embed="rId11">
                      <a:extLst>
                        <a:ext uri="{28A0092B-C50C-407E-A947-70E740481C1C}">
                          <a14:useLocalDpi xmlns:a14="http://schemas.microsoft.com/office/drawing/2010/main" val="0"/>
                        </a:ext>
                      </a:extLst>
                    </a:blip>
                    <a:stretch>
                      <a:fillRect/>
                    </a:stretch>
                  </pic:blipFill>
                  <pic:spPr>
                    <a:xfrm>
                      <a:off x="0" y="0"/>
                      <a:ext cx="5580000" cy="1335145"/>
                    </a:xfrm>
                    <a:prstGeom prst="rect">
                      <a:avLst/>
                    </a:prstGeom>
                  </pic:spPr>
                </pic:pic>
              </a:graphicData>
            </a:graphic>
          </wp:inline>
        </w:drawing>
      </w:r>
    </w:p>
    <w:tbl>
      <w:tblPr>
        <w:tblW w:w="0" w:type="auto"/>
        <w:tblLook w:val="04A0" w:firstRow="1" w:lastRow="0" w:firstColumn="1" w:lastColumn="0" w:noHBand="0" w:noVBand="1"/>
      </w:tblPr>
      <w:tblGrid>
        <w:gridCol w:w="9016"/>
      </w:tblGrid>
      <w:tr w:rsidR="0095448E" w:rsidRPr="0095448E" w14:paraId="7DCCA9E5" w14:textId="77777777" w:rsidTr="00494925">
        <w:tc>
          <w:tcPr>
            <w:tcW w:w="9016" w:type="dxa"/>
          </w:tcPr>
          <w:p w14:paraId="76B44BCB" w14:textId="77777777" w:rsidR="00207CD9" w:rsidRPr="0095448E" w:rsidRDefault="00207CD9" w:rsidP="00494925">
            <w:pPr>
              <w:pStyle w:val="BGKeywords"/>
            </w:pPr>
            <w:r w:rsidRPr="0095448E">
              <w:rPr>
                <w:noProof/>
                <w:lang w:val="en-GB" w:eastAsia="en-GB"/>
              </w:rPr>
              <w:drawing>
                <wp:inline distT="0" distB="0" distL="0" distR="0" wp14:anchorId="6FA8FF29" wp14:editId="4151CACB">
                  <wp:extent cx="5464369" cy="2520268"/>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73718" cy="2524580"/>
                          </a:xfrm>
                          <a:prstGeom prst="rect">
                            <a:avLst/>
                          </a:prstGeom>
                          <a:noFill/>
                        </pic:spPr>
                      </pic:pic>
                    </a:graphicData>
                  </a:graphic>
                </wp:inline>
              </w:drawing>
            </w:r>
          </w:p>
        </w:tc>
      </w:tr>
    </w:tbl>
    <w:p w14:paraId="78324224" w14:textId="242082EB" w:rsidR="00207CD9" w:rsidRPr="0095448E" w:rsidRDefault="00325D83" w:rsidP="00C8285F">
      <w:pPr>
        <w:pStyle w:val="VBChartTitle"/>
        <w:rPr>
          <w:lang w:val="en-GB"/>
        </w:rPr>
      </w:pPr>
      <w:bookmarkStart w:id="2" w:name="_Ref24878719"/>
      <w:bookmarkStart w:id="3" w:name="Figure1"/>
      <w:r w:rsidRPr="0095448E">
        <w:rPr>
          <w:lang w:val="en-GB"/>
        </w:rPr>
        <w:lastRenderedPageBreak/>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1</w:t>
      </w:r>
      <w:r w:rsidR="00092D00" w:rsidRPr="0095448E">
        <w:rPr>
          <w:lang w:val="en-GB"/>
        </w:rPr>
        <w:fldChar w:fldCharType="end"/>
      </w:r>
      <w:bookmarkEnd w:id="2"/>
      <w:bookmarkEnd w:id="3"/>
      <w:r w:rsidRPr="0095448E">
        <w:rPr>
          <w:lang w:val="en-GB"/>
        </w:rPr>
        <w:t>.</w:t>
      </w:r>
      <w:r w:rsidR="00207CD9" w:rsidRPr="0095448E">
        <w:rPr>
          <w:lang w:val="en-GB"/>
        </w:rPr>
        <w:t xml:space="preserve"> </w:t>
      </w:r>
      <w:r w:rsidR="00E06856" w:rsidRPr="0095448E">
        <w:rPr>
          <w:lang w:val="en-GB"/>
        </w:rPr>
        <w:t xml:space="preserve">a) The </w:t>
      </w:r>
      <w:r w:rsidR="0012027F" w:rsidRPr="0095448E">
        <w:rPr>
          <w:lang w:val="en-GB"/>
        </w:rPr>
        <w:t xml:space="preserve">approach used in the agent-based development of the </w:t>
      </w:r>
      <w:r w:rsidR="00E06856" w:rsidRPr="0095448E">
        <w:rPr>
          <w:lang w:val="en-GB"/>
        </w:rPr>
        <w:t>ISM model</w:t>
      </w:r>
      <w:r w:rsidR="007E16E1" w:rsidRPr="0095448E">
        <w:rPr>
          <w:lang w:val="en-GB"/>
        </w:rPr>
        <w:t xml:space="preserve"> (top)</w:t>
      </w:r>
      <w:r w:rsidR="00E06856" w:rsidRPr="0095448E">
        <w:rPr>
          <w:lang w:val="en-GB"/>
        </w:rPr>
        <w:t xml:space="preserve">, b) </w:t>
      </w:r>
      <w:r w:rsidR="00207CD9" w:rsidRPr="0095448E">
        <w:rPr>
          <w:lang w:val="en-GB"/>
        </w:rPr>
        <w:t>Input/output structure of the Industrial Sector Module (ISM)</w:t>
      </w:r>
      <w:r w:rsidR="000D4384" w:rsidRPr="0095448E">
        <w:rPr>
          <w:lang w:val="en-GB"/>
        </w:rPr>
        <w:t xml:space="preserve"> </w:t>
      </w:r>
      <w:r w:rsidR="007E16E1" w:rsidRPr="0095448E">
        <w:rPr>
          <w:lang w:val="en-GB"/>
        </w:rPr>
        <w:t>(bottom</w:t>
      </w:r>
      <w:r w:rsidR="000D4384" w:rsidRPr="0095448E">
        <w:rPr>
          <w:lang w:val="en-GB"/>
        </w:rPr>
        <w:t>)</w:t>
      </w:r>
    </w:p>
    <w:p w14:paraId="3B205145" w14:textId="77777777" w:rsidR="00594C4A" w:rsidRPr="0095448E" w:rsidRDefault="00C81990" w:rsidP="00594C4A">
      <w:pPr>
        <w:pStyle w:val="TAMainText"/>
        <w:rPr>
          <w:lang w:val="en-GB"/>
        </w:rPr>
      </w:pPr>
      <w:r w:rsidRPr="0095448E">
        <w:rPr>
          <w:lang w:val="en-GB"/>
        </w:rPr>
        <w:t xml:space="preserve">The </w:t>
      </w:r>
      <w:r w:rsidR="00A0069B" w:rsidRPr="0095448E">
        <w:rPr>
          <w:lang w:val="en-GB"/>
        </w:rPr>
        <w:t>ISM</w:t>
      </w:r>
      <w:r w:rsidRPr="0095448E">
        <w:rPr>
          <w:lang w:val="en-GB"/>
        </w:rPr>
        <w:t xml:space="preserve"> </w:t>
      </w:r>
      <w:r w:rsidR="00B15C02" w:rsidRPr="0095448E">
        <w:rPr>
          <w:lang w:val="en-GB"/>
        </w:rPr>
        <w:t>uses</w:t>
      </w:r>
      <w:r w:rsidRPr="0095448E">
        <w:rPr>
          <w:lang w:val="en-GB"/>
        </w:rPr>
        <w:t xml:space="preserve"> a two-step simulation approach to model investment decisions and operating strategies representing real investors’ behaviour in the market. The investment algorithm initially calculates the future stock of assets by taking into account the total assets in the base year and their decommissioning profile over time. The future stock and its supply potential (estimated as installed capacity multiplied by the utilisation factor) are then compared with the commodity demand. If the demand is equal or below the supply potential, there is no investment, and the model </w:t>
      </w:r>
      <w:r w:rsidR="00EE1A51" w:rsidRPr="0095448E">
        <w:rPr>
          <w:lang w:val="en-GB"/>
        </w:rPr>
        <w:t>sorts</w:t>
      </w:r>
      <w:r w:rsidRPr="0095448E">
        <w:rPr>
          <w:lang w:val="en-GB"/>
        </w:rPr>
        <w:t xml:space="preserve"> the existing technologies usi</w:t>
      </w:r>
      <w:r w:rsidR="001A33C8" w:rsidRPr="0095448E">
        <w:rPr>
          <w:lang w:val="en-GB"/>
        </w:rPr>
        <w:t xml:space="preserve">ng an indicator </w:t>
      </w:r>
      <w:r w:rsidRPr="0095448E">
        <w:rPr>
          <w:lang w:val="en-GB"/>
        </w:rPr>
        <w:t>such as the Discounted Cash Flow (DCF) in order to decide which ones to operate (step 1). If the demand is higher than the supply p</w:t>
      </w:r>
      <w:r w:rsidR="001A33C8" w:rsidRPr="0095448E">
        <w:rPr>
          <w:lang w:val="en-GB"/>
        </w:rPr>
        <w:t>otential, the model invests in new assets</w:t>
      </w:r>
      <w:r w:rsidRPr="0095448E">
        <w:rPr>
          <w:lang w:val="en-GB"/>
        </w:rPr>
        <w:t xml:space="preserve"> (step 2).</w:t>
      </w:r>
      <w:r w:rsidR="001A33C8" w:rsidRPr="0095448E">
        <w:rPr>
          <w:lang w:val="en-GB"/>
        </w:rPr>
        <w:t xml:space="preserve"> </w:t>
      </w:r>
      <w:r w:rsidR="00594C4A" w:rsidRPr="0095448E">
        <w:rPr>
          <w:lang w:val="en-GB"/>
        </w:rPr>
        <w:t>The step 2 of the ISM algorithm embeds an agent-based formulation</w:t>
      </w:r>
      <w:r w:rsidR="006638F5" w:rsidRPr="0095448E">
        <w:rPr>
          <w:lang w:val="en-GB"/>
        </w:rPr>
        <w:t>, as explained in the remaining part of the section</w:t>
      </w:r>
      <w:r w:rsidR="00594C4A" w:rsidRPr="0095448E">
        <w:rPr>
          <w:lang w:val="en-GB"/>
        </w:rPr>
        <w:t>.</w:t>
      </w:r>
    </w:p>
    <w:p w14:paraId="19E02ADB" w14:textId="2D3422EC" w:rsidR="007A7597" w:rsidRPr="0095448E" w:rsidRDefault="001A33C8" w:rsidP="0012027F">
      <w:pPr>
        <w:pStyle w:val="TAMainText"/>
        <w:rPr>
          <w:lang w:val="en-GB"/>
        </w:rPr>
      </w:pPr>
      <w:r w:rsidRPr="0095448E">
        <w:rPr>
          <w:lang w:val="en-GB"/>
        </w:rPr>
        <w:t xml:space="preserve">In each time period, the selected indicator </w:t>
      </w:r>
      <w:r w:rsidR="00594C4A" w:rsidRPr="0095448E">
        <w:rPr>
          <w:lang w:val="en-GB"/>
        </w:rPr>
        <w:t xml:space="preserve">for technology sorting </w:t>
      </w:r>
      <w:r w:rsidRPr="0095448E">
        <w:rPr>
          <w:lang w:val="en-GB"/>
        </w:rPr>
        <w:t>is estimated using the updated capital costs, efficiencies, energy (fuels consumed by operation of a technology), material (output commodities produced by the operation of a technology) and CO</w:t>
      </w:r>
      <w:r w:rsidRPr="0095448E">
        <w:rPr>
          <w:vertAlign w:val="subscript"/>
          <w:lang w:val="en-GB"/>
        </w:rPr>
        <w:t>2</w:t>
      </w:r>
      <w:r w:rsidRPr="0095448E">
        <w:rPr>
          <w:lang w:val="en-GB"/>
        </w:rPr>
        <w:t xml:space="preserve"> prices (emissions from the operation of a technology). </w:t>
      </w:r>
    </w:p>
    <w:p w14:paraId="33E5A47E" w14:textId="77777777" w:rsidR="009D7683" w:rsidRPr="0095448E" w:rsidRDefault="009D7683" w:rsidP="00C81990">
      <w:pPr>
        <w:pStyle w:val="BGKeywords"/>
        <w:rPr>
          <w:lang w:val="en-GB"/>
        </w:rPr>
      </w:pPr>
    </w:p>
    <w:p w14:paraId="47D8C217" w14:textId="77777777" w:rsidR="00C81990" w:rsidRPr="0095448E" w:rsidRDefault="00C81990" w:rsidP="00846350">
      <w:pPr>
        <w:pStyle w:val="Heading2"/>
        <w:rPr>
          <w:rFonts w:eastAsiaTheme="majorEastAsia"/>
          <w:color w:val="auto"/>
        </w:rPr>
      </w:pPr>
      <w:bookmarkStart w:id="4" w:name="_Ref37356837"/>
      <w:r w:rsidRPr="0095448E">
        <w:rPr>
          <w:rFonts w:eastAsiaTheme="majorEastAsia"/>
          <w:color w:val="auto"/>
        </w:rPr>
        <w:t>Agent based modelling approach for investment</w:t>
      </w:r>
      <w:bookmarkEnd w:id="4"/>
    </w:p>
    <w:p w14:paraId="19615816" w14:textId="192C6FE8" w:rsidR="008E34E1" w:rsidRPr="0095448E" w:rsidRDefault="00075A0B" w:rsidP="008E34E1">
      <w:pPr>
        <w:pStyle w:val="TAMainText"/>
        <w:rPr>
          <w:lang w:val="en-GB"/>
        </w:rPr>
      </w:pPr>
      <w:r w:rsidRPr="0095448E">
        <w:rPr>
          <w:lang w:val="en-GB"/>
        </w:rPr>
        <w:t>T</w:t>
      </w:r>
      <w:r w:rsidR="008E34E1" w:rsidRPr="0095448E">
        <w:rPr>
          <w:lang w:val="en-GB"/>
        </w:rPr>
        <w:t xml:space="preserve">he industrial subsector modelling is based on the definition of private investors in energy technologies, acknowledged as being agent-investors. The agents operate with bounded rationality. The bounded rationality is based on the acknowledgement that individuals and organizations act with incomplete knowledge of all the possible alternatives to a specific decision and with inability to evaluate all the possible consequences of their decisions (Gigerenzer and </w:t>
      </w:r>
      <w:r w:rsidR="008E34E1" w:rsidRPr="0095448E">
        <w:rPr>
          <w:lang w:val="en-GB"/>
        </w:rPr>
        <w:lastRenderedPageBreak/>
        <w:t>Selten, 2001). In this work, we extend the implementation of the a</w:t>
      </w:r>
      <w:r w:rsidR="001957E1" w:rsidRPr="0095448E">
        <w:rPr>
          <w:lang w:val="en-GB"/>
        </w:rPr>
        <w:t xml:space="preserve">gent-based formulation in MUSE </w:t>
      </w:r>
      <w:r w:rsidR="008E34E1" w:rsidRPr="0095448E">
        <w:rPr>
          <w:lang w:val="en-GB"/>
        </w:rPr>
        <w:t>(Sachs et al., 2019)</w:t>
      </w:r>
      <w:r w:rsidR="001957E1" w:rsidRPr="0095448E">
        <w:rPr>
          <w:lang w:val="en-GB"/>
        </w:rPr>
        <w:t xml:space="preserve"> to the industrial sector</w:t>
      </w:r>
      <w:r w:rsidR="008E34E1" w:rsidRPr="0095448E">
        <w:rPr>
          <w:lang w:val="en-GB"/>
        </w:rPr>
        <w:t xml:space="preserve"> module ISM (Luh et al., 2020). In the energy context, models of bounded rationality would specify the process and outcome leading to new investments in energy technologies by each agent characterising:</w:t>
      </w:r>
    </w:p>
    <w:p w14:paraId="467CF525" w14:textId="1170DA34" w:rsidR="008E34E1" w:rsidRPr="0095448E" w:rsidRDefault="008E34E1" w:rsidP="008E34E1">
      <w:pPr>
        <w:pStyle w:val="TAMainText"/>
        <w:numPr>
          <w:ilvl w:val="0"/>
          <w:numId w:val="13"/>
        </w:numPr>
        <w:rPr>
          <w:lang w:val="en-GB"/>
        </w:rPr>
      </w:pPr>
      <w:r w:rsidRPr="0095448E">
        <w:rPr>
          <w:lang w:val="en-GB"/>
        </w:rPr>
        <w:t>Goals: objectives leading to agents’ investments, which is obtained from survey or reviews of surveys of firms, as described later in this work. From sectoral level surveys, industrial investors tend to behave rationally (Sorrell et al., 2004), and, especially in energy-intensive industries tend to prioritise cost goals and perceive that hidden costs are barriers to the introduction of novel technologies.</w:t>
      </w:r>
    </w:p>
    <w:p w14:paraId="42D56C46" w14:textId="77777777" w:rsidR="008E34E1" w:rsidRPr="0095448E" w:rsidRDefault="008E34E1" w:rsidP="008E34E1">
      <w:pPr>
        <w:pStyle w:val="TAMainText"/>
        <w:numPr>
          <w:ilvl w:val="0"/>
          <w:numId w:val="13"/>
        </w:numPr>
        <w:rPr>
          <w:lang w:val="en-GB"/>
        </w:rPr>
      </w:pPr>
      <w:r w:rsidRPr="0095448E">
        <w:rPr>
          <w:lang w:val="en-GB"/>
        </w:rPr>
        <w:t>Search rule: procedure for acquiring information about a novel investment and identify all the possible alternative energy technologies for the decision</w:t>
      </w:r>
    </w:p>
    <w:p w14:paraId="10A79F7C" w14:textId="77777777" w:rsidR="008E34E1" w:rsidRPr="0095448E" w:rsidRDefault="008E34E1" w:rsidP="008E34E1">
      <w:pPr>
        <w:pStyle w:val="TAMainText"/>
        <w:numPr>
          <w:ilvl w:val="0"/>
          <w:numId w:val="13"/>
        </w:numPr>
        <w:rPr>
          <w:lang w:val="en-GB"/>
        </w:rPr>
      </w:pPr>
      <w:r w:rsidRPr="0095448E">
        <w:rPr>
          <w:lang w:val="en-GB"/>
        </w:rPr>
        <w:t>Stopping rules: when more alternatives are available, available energy technologies are sorted according to the selected metric until a decision is made.</w:t>
      </w:r>
    </w:p>
    <w:p w14:paraId="11718B3B" w14:textId="77777777" w:rsidR="008E34E1" w:rsidRPr="0095448E" w:rsidRDefault="008E34E1" w:rsidP="008E34E1">
      <w:pPr>
        <w:pStyle w:val="TAMainText"/>
        <w:numPr>
          <w:ilvl w:val="0"/>
          <w:numId w:val="13"/>
        </w:numPr>
        <w:rPr>
          <w:lang w:val="en-GB"/>
        </w:rPr>
      </w:pPr>
      <w:r w:rsidRPr="0095448E">
        <w:rPr>
          <w:lang w:val="en-GB"/>
        </w:rPr>
        <w:t>Budget: defines an upper bound on the available budget to face investment decisions.</w:t>
      </w:r>
    </w:p>
    <w:p w14:paraId="4BF71500" w14:textId="77777777" w:rsidR="008E34E1" w:rsidRPr="0095448E" w:rsidRDefault="008E34E1" w:rsidP="008E34E1">
      <w:pPr>
        <w:pStyle w:val="TAMainText"/>
        <w:numPr>
          <w:ilvl w:val="0"/>
          <w:numId w:val="13"/>
        </w:numPr>
        <w:rPr>
          <w:lang w:val="en-GB"/>
        </w:rPr>
      </w:pPr>
      <w:r w:rsidRPr="0095448E">
        <w:rPr>
          <w:lang w:val="en-GB"/>
        </w:rPr>
        <w:t>Maturity threshold: defines a threshold of maturity readiness acceptable by investors before investing</w:t>
      </w:r>
    </w:p>
    <w:p w14:paraId="60ED6E2D" w14:textId="3FD2B256" w:rsidR="008E34E1" w:rsidRPr="0095448E" w:rsidRDefault="008E34E1" w:rsidP="008E34E1">
      <w:pPr>
        <w:pStyle w:val="TAMainText"/>
        <w:numPr>
          <w:ilvl w:val="0"/>
          <w:numId w:val="13"/>
        </w:numPr>
        <w:rPr>
          <w:lang w:val="en-GB"/>
        </w:rPr>
      </w:pPr>
      <w:r w:rsidRPr="0095448E">
        <w:rPr>
          <w:lang w:val="en-GB"/>
        </w:rPr>
        <w:t>Technology stock: technology capacity available in the base year</w:t>
      </w:r>
      <w:r w:rsidR="007E16E1" w:rsidRPr="0095448E">
        <w:rPr>
          <w:lang w:val="en-GB"/>
        </w:rPr>
        <w:t>. The stock then retires over time depending on the technology lifetime.</w:t>
      </w:r>
    </w:p>
    <w:p w14:paraId="089DB73C" w14:textId="77777777" w:rsidR="008E34E1" w:rsidRPr="0095448E" w:rsidRDefault="008E34E1" w:rsidP="009B4ACC">
      <w:pPr>
        <w:pStyle w:val="TAMainText"/>
        <w:numPr>
          <w:ilvl w:val="0"/>
          <w:numId w:val="13"/>
        </w:numPr>
        <w:rPr>
          <w:lang w:val="en-GB"/>
        </w:rPr>
      </w:pPr>
      <w:r w:rsidRPr="0095448E">
        <w:rPr>
          <w:lang w:val="en-GB"/>
        </w:rPr>
        <w:t xml:space="preserve">Percentage: fraction of the market served by each agent. </w:t>
      </w:r>
      <w:r w:rsidR="00721C1E" w:rsidRPr="0095448E">
        <w:rPr>
          <w:lang w:val="en-GB"/>
        </w:rPr>
        <w:t xml:space="preserve">Each agent is apportioned a certain fraction of the market which it would fulfil performing an investment, first looking at all the available technologies able to supply a certain commodity, then considering the possibilities of buying new technological assets. </w:t>
      </w:r>
    </w:p>
    <w:p w14:paraId="088A2B29" w14:textId="5FC7037F" w:rsidR="00C81990" w:rsidRPr="0095448E" w:rsidRDefault="008E34E1" w:rsidP="009B4ACC">
      <w:pPr>
        <w:numPr>
          <w:ilvl w:val="0"/>
          <w:numId w:val="13"/>
        </w:numPr>
        <w:spacing w:after="0" w:line="480" w:lineRule="auto"/>
        <w:rPr>
          <w:i/>
          <w:iCs/>
          <w:lang w:val="en-GB"/>
        </w:rPr>
      </w:pPr>
      <w:r w:rsidRPr="0095448E">
        <w:rPr>
          <w:lang w:val="en-GB"/>
        </w:rPr>
        <w:lastRenderedPageBreak/>
        <w:t xml:space="preserve">Decision Strategy: accounts for the way goals are prioritized to select among alternatives; it could be either one or multiple goals. Multiple objective could be rationally counterbalanced using a weighted sum approach. </w:t>
      </w:r>
      <w:r w:rsidR="00721C1E" w:rsidRPr="0095448E">
        <w:rPr>
          <w:lang w:val="en-GB"/>
        </w:rPr>
        <w:t xml:space="preserve">When the full space of technologies is known, each agent would sort the space with a user-defined objective (or several objectives) such as the Net Present Value (NPV). Accordingly, the technologies are ordered by each agent from the most profitable (highest NPV) to the least profitable (lowest NPV). The model invests in the most profitable technology calculating a supply potential, until an upper constraint (represented by either a capacity growth rate limit, the maximum capacity addition per period, or the maximum total capacity) is hit, and then moves on to invest into the second most profitable technology, and so on, until the supply meets the demand. </w:t>
      </w:r>
      <w:r w:rsidR="00BD6819" w:rsidRPr="0095448E">
        <w:rPr>
          <w:lang w:val="en-GB"/>
        </w:rPr>
        <w:t xml:space="preserve">The investment decision making process takes into account investors with single or multiple objectives, for example shifting from a single economic criterion (e.g. DCF, NPV) to also include Socially Responsible Investment (SRI) criteria, environmental (e.g. emissions reduction), social (e.g. value-driven orientation) and governance (e.g. risk attitude) preferences </w:t>
      </w:r>
      <w:r w:rsidR="00BD6819" w:rsidRPr="0095448E">
        <w:rPr>
          <w:lang w:val="en-GB"/>
        </w:rPr>
        <w:fldChar w:fldCharType="begin" w:fldLock="1"/>
      </w:r>
      <w:r w:rsidR="00BD6819" w:rsidRPr="0095448E">
        <w:rPr>
          <w:lang w:val="en-GB"/>
        </w:rPr>
        <w:instrText>ADDIN CSL_CITATION { "citationItems" : [ { "id" : "ITEM-1", "itemData" : { "DOI" : "http://dx.doi.org/10.1016/j.jclepro.2017.06.143", "ISBN" : "0959-6526", "abstract" : "The integration of environmental, social and governance (ESG) criteria into the evaluation process of assets is a theme that is widely accepted among socially responsible investors. In this process, however, the integration of investors\u2019 preferences has not been adequately developed. The challenge is to integrate the preferences of heterogeneous investors\u2014not only conventional investors but also investors who are particularly sensitive to sustainability issues (socially responsible investors)\u2014considering that socially responsible investors are not necessarily homogeneous. This paper attempts to address this challenge by developing a methodological approach based on an application of fuzzy multicriteria decision-making methods (MCDM) to integrate ESG investors\u2019 preferences, as jointly considered. Because investors\u2019 preferences may vary depending on which material aspects are considered within a sector, this study has been tested using clothing-sector data. Results confirm the usefulness of the methodological approach proposed for a proper generation of a \u2018commercial solution\u2019 that integrates the preferences of various investors and simultaneously is consistent with individually defined preferences.", "author" : [ { "dropping-particle" : "", "family" : "Escrig-Olmedo", "given" : "Elena", "non-dropping-particle" : "", "parse-names" : false, "suffix" : "" }, { "dropping-particle" : "", "family" : "Rivera-Lirio", "given" : "Juana Mar\u00eda", "non-dropping-particle" : "", "parse-names" : false, "suffix" : "" }, { "dropping-particle" : "", "family" : "Mu\u00f1oz-Torres", "given" : "Mar\u00eda Jes\u00fas", "non-dropping-particle" : "", "parse-names" : false, "suffix" : "" }, { "dropping-particle" : "", "family" : "Fern\u00e1ndez-Izquierdo", "given" : "Mar\u00eda \u00c1ngeles", "non-dropping-particle" : "", "parse-names" : false, "suffix" : "" } ], "container-title" : "Journal of Cleaner Production", "id" : "ITEM-1", "issued" : { "date-parts" : [ [ "2017" ] ] }, "page" : "1334-1345", "title" : "Integrating multiple ESG investors' preferences into sustainable investment: A fuzzy multicriteria methodological approach", "type" : "article-journal", "volume" : "162" }, "uris" : [ "http://www.mendeley.com/documents/?uuid=9636b3a0-3a6e-469f-b227-d1519a6e084c" ] } ], "mendeley" : { "formattedCitation" : "(Escrig-Olmedo et al., 2017)", "plainTextFormattedCitation" : "(Escrig-Olmedo et al., 2017)", "previouslyFormattedCitation" : "[41]" }, "properties" : { "noteIndex" : 0 }, "schema" : "https://github.com/citation-style-language/schema/raw/master/csl-citation.json" }</w:instrText>
      </w:r>
      <w:r w:rsidR="00BD6819" w:rsidRPr="0095448E">
        <w:rPr>
          <w:lang w:val="en-GB"/>
        </w:rPr>
        <w:fldChar w:fldCharType="separate"/>
      </w:r>
      <w:r w:rsidR="00BD6819" w:rsidRPr="0095448E">
        <w:rPr>
          <w:noProof/>
          <w:lang w:val="en-GB"/>
        </w:rPr>
        <w:t>(Escrig-Olmedo et al., 2017)</w:t>
      </w:r>
      <w:r w:rsidR="00BD6819" w:rsidRPr="0095448E">
        <w:fldChar w:fldCharType="end"/>
      </w:r>
      <w:r w:rsidR="00BD6819" w:rsidRPr="0095448E">
        <w:rPr>
          <w:lang w:val="en-GB"/>
        </w:rPr>
        <w:t xml:space="preserve">. </w:t>
      </w:r>
      <w:bookmarkStart w:id="5" w:name="_Ref26684097"/>
      <w:r w:rsidR="001765BD" w:rsidRPr="0095448E">
        <w:rPr>
          <w:iCs/>
          <w:lang w:val="en-GB"/>
        </w:rPr>
        <w:t>When multiple objectives are present, a decision rule applies to prioritise the investment decisions.</w:t>
      </w:r>
      <w:r w:rsidR="00C81990" w:rsidRPr="0095448E">
        <w:rPr>
          <w:iCs/>
          <w:lang w:val="en-GB"/>
        </w:rPr>
        <w:t xml:space="preserve"> </w:t>
      </w:r>
      <w:r w:rsidR="001765BD" w:rsidRPr="0095448E">
        <w:rPr>
          <w:iCs/>
          <w:lang w:val="en-GB"/>
        </w:rPr>
        <w:t xml:space="preserve">Specifically, the weighted sum strategy is the most appropriate to represent a decision process where multiple criteria are </w:t>
      </w:r>
      <w:r w:rsidR="000815C5" w:rsidRPr="0095448E">
        <w:rPr>
          <w:iCs/>
          <w:lang w:val="en-GB"/>
        </w:rPr>
        <w:t>considered altogether,</w:t>
      </w:r>
      <w:r w:rsidR="001765BD" w:rsidRPr="0095448E">
        <w:rPr>
          <w:iCs/>
          <w:lang w:val="en-GB"/>
        </w:rPr>
        <w:t xml:space="preserve"> as characteristic of the industrial sector. T</w:t>
      </w:r>
      <w:r w:rsidR="00C81990" w:rsidRPr="0095448E">
        <w:rPr>
          <w:iCs/>
          <w:lang w:val="en-GB"/>
        </w:rPr>
        <w:t xml:space="preserve">he weighted sum strategy, which transforms the set of objectives </w:t>
      </w:r>
      <m:oMath>
        <m:sSub>
          <m:sSubPr>
            <m:ctrlPr>
              <w:rPr>
                <w:rFonts w:ascii="Cambria Math" w:hAnsi="Cambria Math"/>
                <w:iCs/>
                <w:lang w:val="en-GB"/>
              </w:rPr>
            </m:ctrlPr>
          </m:sSubPr>
          <m:e>
            <m:r>
              <m:rPr>
                <m:sty m:val="p"/>
              </m:rPr>
              <w:rPr>
                <w:rFonts w:ascii="Cambria Math" w:hAnsi="Cambria Math"/>
                <w:lang w:val="en-GB"/>
              </w:rPr>
              <m:t>obj</m:t>
            </m:r>
          </m:e>
          <m:sub>
            <m:r>
              <m:rPr>
                <m:sty m:val="p"/>
              </m:rPr>
              <w:rPr>
                <w:rFonts w:ascii="Cambria Math" w:hAnsi="Cambria Math"/>
                <w:lang w:val="en-GB"/>
              </w:rPr>
              <m:t>i</m:t>
            </m:r>
          </m:sub>
        </m:sSub>
      </m:oMath>
      <w:r w:rsidR="00C81990" w:rsidRPr="0095448E">
        <w:rPr>
          <w:iCs/>
          <w:lang w:val="en-GB"/>
        </w:rPr>
        <w:t xml:space="preserve"> into a single objective </w:t>
      </w:r>
      <m:oMath>
        <m:sSub>
          <m:sSubPr>
            <m:ctrlPr>
              <w:rPr>
                <w:rFonts w:ascii="Cambria Math" w:hAnsi="Cambria Math"/>
                <w:iCs/>
                <w:lang w:val="en-GB"/>
              </w:rPr>
            </m:ctrlPr>
          </m:sSubPr>
          <m:e>
            <m:r>
              <m:rPr>
                <m:sty m:val="p"/>
              </m:rPr>
              <w:rPr>
                <w:rFonts w:ascii="Cambria Math" w:hAnsi="Cambria Math"/>
                <w:lang w:val="en-GB"/>
              </w:rPr>
              <m:t>obj</m:t>
            </m:r>
          </m:e>
          <m:sub>
            <m:r>
              <m:rPr>
                <m:sty m:val="p"/>
              </m:rPr>
              <w:rPr>
                <w:rFonts w:ascii="Cambria Math" w:hAnsi="Cambria Math"/>
                <w:lang w:val="en-GB"/>
              </w:rPr>
              <m:t>WS</m:t>
            </m:r>
          </m:sub>
        </m:sSub>
      </m:oMath>
      <w:r w:rsidR="00C81990" w:rsidRPr="0095448E">
        <w:rPr>
          <w:iCs/>
          <w:lang w:val="en-GB"/>
        </w:rPr>
        <w:t xml:space="preserve"> by multiplying each objective by a </w:t>
      </w:r>
      <w:r w:rsidR="001765BD" w:rsidRPr="0095448E">
        <w:rPr>
          <w:iCs/>
          <w:lang w:val="en-GB"/>
        </w:rPr>
        <w:t>weight</w:t>
      </w:r>
      <w:r w:rsidR="00463742" w:rsidRPr="0095448E">
        <w:rPr>
          <w:iCs/>
          <w:lang w:val="en-GB"/>
        </w:rPr>
        <w:t>,</w:t>
      </w:r>
      <w:r w:rsidR="001765BD" w:rsidRPr="0095448E">
        <w:rPr>
          <w:iCs/>
          <w:lang w:val="en-GB"/>
        </w:rPr>
        <w:t xml:space="preserve"> </w:t>
      </w:r>
      <m:oMath>
        <m:sSub>
          <m:sSubPr>
            <m:ctrlPr>
              <w:rPr>
                <w:rFonts w:ascii="Cambria Math" w:hAnsi="Cambria Math"/>
                <w:iCs/>
                <w:lang w:val="en-GB"/>
              </w:rPr>
            </m:ctrlPr>
          </m:sSubPr>
          <m:e>
            <m:r>
              <m:rPr>
                <m:sty m:val="p"/>
              </m:rPr>
              <w:rPr>
                <w:rFonts w:ascii="Cambria Math" w:hAnsi="Cambria Math"/>
                <w:lang w:val="en-GB"/>
              </w:rPr>
              <m:t>w</m:t>
            </m:r>
          </m:e>
          <m:sub>
            <m:r>
              <m:rPr>
                <m:sty m:val="p"/>
              </m:rPr>
              <w:rPr>
                <w:rFonts w:ascii="Cambria Math" w:hAnsi="Cambria Math"/>
                <w:lang w:val="en-GB"/>
              </w:rPr>
              <m:t>i</m:t>
            </m:r>
          </m:sub>
        </m:sSub>
      </m:oMath>
      <w:r w:rsidR="001765BD" w:rsidRPr="0095448E">
        <w:rPr>
          <w:iCs/>
          <w:lang w:val="en-GB"/>
        </w:rPr>
        <w:t xml:space="preserve">, has been used as reported in </w:t>
      </w:r>
      <w:bookmarkEnd w:id="5"/>
      <w:r w:rsidR="00721C1E" w:rsidRPr="0095448E">
        <w:rPr>
          <w:iCs/>
        </w:rPr>
        <w:fldChar w:fldCharType="begin"/>
      </w:r>
      <w:r w:rsidR="00721C1E" w:rsidRPr="0095448E">
        <w:rPr>
          <w:iCs/>
        </w:rPr>
        <w:instrText xml:space="preserve"> REF _Ref26684241 \h  \* MERGEFORMAT </w:instrText>
      </w:r>
      <w:r w:rsidR="00721C1E" w:rsidRPr="0095448E">
        <w:rPr>
          <w:iCs/>
        </w:rPr>
      </w:r>
      <w:r w:rsidR="00721C1E" w:rsidRPr="0095448E">
        <w:rPr>
          <w:iCs/>
        </w:rPr>
        <w:fldChar w:fldCharType="separate"/>
      </w:r>
      <w:r w:rsidR="00721C1E" w:rsidRPr="0095448E">
        <w:rPr>
          <w:iCs/>
        </w:rPr>
        <w:t>Equation 2</w:t>
      </w:r>
      <w:r w:rsidR="00721C1E" w:rsidRPr="0095448E">
        <w:rPr>
          <w:iCs/>
        </w:rPr>
        <w:fldChar w:fldCharType="end"/>
      </w:r>
      <w:r w:rsidR="00721C1E" w:rsidRPr="0095448E">
        <w:rPr>
          <w:iCs/>
        </w:rPr>
        <w:t>.</w:t>
      </w:r>
    </w:p>
    <w:tbl>
      <w:tblPr>
        <w:tblW w:w="0" w:type="auto"/>
        <w:tblLook w:val="04A0" w:firstRow="1" w:lastRow="0" w:firstColumn="1" w:lastColumn="0" w:noHBand="0" w:noVBand="1"/>
      </w:tblPr>
      <w:tblGrid>
        <w:gridCol w:w="2122"/>
        <w:gridCol w:w="5343"/>
        <w:gridCol w:w="1551"/>
      </w:tblGrid>
      <w:tr w:rsidR="0095448E" w:rsidRPr="0095448E" w14:paraId="3F99B34B" w14:textId="77777777" w:rsidTr="00C81990">
        <w:tc>
          <w:tcPr>
            <w:tcW w:w="2122" w:type="dxa"/>
            <w:vAlign w:val="center"/>
          </w:tcPr>
          <w:p w14:paraId="37A67965" w14:textId="77777777" w:rsidR="00C81990" w:rsidRPr="0095448E" w:rsidRDefault="00C81990" w:rsidP="0094784D">
            <w:pPr>
              <w:pStyle w:val="TAMainText"/>
            </w:pPr>
          </w:p>
        </w:tc>
        <w:tc>
          <w:tcPr>
            <w:tcW w:w="5343" w:type="dxa"/>
            <w:vAlign w:val="center"/>
          </w:tcPr>
          <w:p w14:paraId="79F79482" w14:textId="72A81B53" w:rsidR="00C81990" w:rsidRPr="0095448E" w:rsidRDefault="008D4F9B" w:rsidP="00075A0B">
            <w:pPr>
              <w:pStyle w:val="TAMainText"/>
            </w:pPr>
            <m:oMathPara>
              <m:oMath>
                <m:sSub>
                  <m:sSubPr>
                    <m:ctrlPr>
                      <w:rPr>
                        <w:rFonts w:ascii="Cambria Math" w:hAnsi="Cambria Math"/>
                        <w:i/>
                      </w:rPr>
                    </m:ctrlPr>
                  </m:sSubPr>
                  <m:e>
                    <m:r>
                      <w:rPr>
                        <w:rFonts w:ascii="Cambria Math" w:hAnsi="Cambria Math"/>
                      </w:rPr>
                      <m:t>obj</m:t>
                    </m:r>
                  </m:e>
                  <m:sub>
                    <m:r>
                      <w:rPr>
                        <w:rFonts w:ascii="Cambria Math" w:hAnsi="Cambria Math"/>
                      </w:rPr>
                      <m:t>WS</m:t>
                    </m:r>
                  </m:sub>
                </m:sSub>
                <m:r>
                  <w:rPr>
                    <w:rFonts w:ascii="Cambria Math" w:hAnsi="Cambria Math"/>
                  </w:rPr>
                  <m:t>= min</m:t>
                </m:r>
                <m:nary>
                  <m:naryPr>
                    <m:chr m:val="∑"/>
                    <m:limLoc m:val="undOvr"/>
                    <m:ctrlPr>
                      <w:rPr>
                        <w:rFonts w:ascii="Cambria Math" w:hAnsi="Cambria Math"/>
                        <w:i/>
                      </w:rPr>
                    </m:ctrlPr>
                  </m:naryPr>
                  <m:sub>
                    <m:r>
                      <w:rPr>
                        <w:rFonts w:ascii="Cambria Math" w:hAnsi="Cambria Math"/>
                      </w:rPr>
                      <m:t>i=1</m:t>
                    </m:r>
                  </m:sub>
                  <m:sup>
                    <m:r>
                      <w:rPr>
                        <w:rFonts w:ascii="Cambria Math" w:hAnsi="Cambria Math"/>
                      </w:rPr>
                      <m:t>3</m:t>
                    </m:r>
                  </m:sup>
                  <m:e>
                    <m:sSub>
                      <m:sSubPr>
                        <m:ctrlPr>
                          <w:rPr>
                            <w:rFonts w:ascii="Cambria Math" w:hAnsi="Cambria Math"/>
                            <w:i/>
                          </w:rPr>
                        </m:ctrlPr>
                      </m:sSubPr>
                      <m:e>
                        <m:r>
                          <w:rPr>
                            <w:rFonts w:ascii="Cambria Math" w:hAnsi="Cambria Math"/>
                          </w:rPr>
                          <m:t>w</m:t>
                        </m:r>
                      </m:e>
                      <m:sub>
                        <m:r>
                          <w:rPr>
                            <w:rFonts w:ascii="Cambria Math" w:hAnsi="Cambria Math"/>
                          </w:rPr>
                          <m:t>i</m:t>
                        </m:r>
                      </m:sub>
                    </m:sSub>
                  </m:e>
                </m:nary>
                <m:sSub>
                  <m:sSubPr>
                    <m:ctrlPr>
                      <w:rPr>
                        <w:rFonts w:ascii="Cambria Math" w:hAnsi="Cambria Math"/>
                        <w:i/>
                      </w:rPr>
                    </m:ctrlPr>
                  </m:sSubPr>
                  <m:e>
                    <m:r>
                      <w:rPr>
                        <w:rFonts w:ascii="Cambria Math" w:hAnsi="Cambria Math"/>
                      </w:rPr>
                      <m:t>obj</m:t>
                    </m:r>
                  </m:e>
                  <m:sub>
                    <m:r>
                      <w:rPr>
                        <w:rFonts w:ascii="Cambria Math" w:hAnsi="Cambria Math"/>
                      </w:rPr>
                      <m:t>i</m:t>
                    </m:r>
                  </m:sub>
                </m:sSub>
              </m:oMath>
            </m:oMathPara>
          </w:p>
        </w:tc>
        <w:tc>
          <w:tcPr>
            <w:tcW w:w="1551" w:type="dxa"/>
            <w:vAlign w:val="center"/>
          </w:tcPr>
          <w:p w14:paraId="2A093DEF" w14:textId="77777777" w:rsidR="00C81990" w:rsidRPr="0095448E" w:rsidRDefault="00721C1E" w:rsidP="00721C1E">
            <w:pPr>
              <w:pStyle w:val="Caption"/>
              <w:rPr>
                <w:iCs w:val="0"/>
                <w:color w:val="auto"/>
              </w:rPr>
            </w:pPr>
            <w:bookmarkStart w:id="6" w:name="_Ref26684241"/>
            <w:r w:rsidRPr="0095448E">
              <w:rPr>
                <w:rFonts w:ascii="Times" w:hAnsi="Times"/>
                <w:iCs w:val="0"/>
                <w:color w:val="auto"/>
                <w:sz w:val="24"/>
                <w:szCs w:val="20"/>
              </w:rPr>
              <w:t xml:space="preserve">Equation </w:t>
            </w:r>
            <w:r w:rsidRPr="0095448E">
              <w:rPr>
                <w:rFonts w:ascii="Times" w:hAnsi="Times"/>
                <w:iCs w:val="0"/>
                <w:color w:val="auto"/>
                <w:sz w:val="24"/>
                <w:szCs w:val="20"/>
              </w:rPr>
              <w:fldChar w:fldCharType="begin"/>
            </w:r>
            <w:r w:rsidRPr="0095448E">
              <w:rPr>
                <w:rFonts w:ascii="Times" w:hAnsi="Times"/>
                <w:iCs w:val="0"/>
                <w:color w:val="auto"/>
                <w:sz w:val="24"/>
                <w:szCs w:val="20"/>
              </w:rPr>
              <w:instrText xml:space="preserve"> SEQ Equation \* ARABIC </w:instrText>
            </w:r>
            <w:r w:rsidRPr="0095448E">
              <w:rPr>
                <w:rFonts w:ascii="Times" w:hAnsi="Times"/>
                <w:iCs w:val="0"/>
                <w:color w:val="auto"/>
                <w:sz w:val="24"/>
                <w:szCs w:val="20"/>
              </w:rPr>
              <w:fldChar w:fldCharType="separate"/>
            </w:r>
            <w:r w:rsidRPr="0095448E">
              <w:rPr>
                <w:rFonts w:ascii="Times" w:hAnsi="Times"/>
                <w:iCs w:val="0"/>
                <w:color w:val="auto"/>
                <w:sz w:val="24"/>
                <w:szCs w:val="20"/>
              </w:rPr>
              <w:t>2</w:t>
            </w:r>
            <w:r w:rsidRPr="0095448E">
              <w:rPr>
                <w:rFonts w:ascii="Times" w:hAnsi="Times"/>
                <w:iCs w:val="0"/>
                <w:color w:val="auto"/>
                <w:sz w:val="24"/>
                <w:szCs w:val="20"/>
              </w:rPr>
              <w:fldChar w:fldCharType="end"/>
            </w:r>
            <w:bookmarkEnd w:id="6"/>
          </w:p>
        </w:tc>
      </w:tr>
    </w:tbl>
    <w:p w14:paraId="234BFACD" w14:textId="5D1D9DB0" w:rsidR="00075A0B" w:rsidRPr="0095448E" w:rsidRDefault="00075A0B" w:rsidP="00075A0B">
      <w:pPr>
        <w:spacing w:line="480" w:lineRule="auto"/>
        <w:ind w:firstLine="204"/>
        <w:rPr>
          <w:iCs/>
          <w:lang w:val="en-GB"/>
        </w:rPr>
      </w:pPr>
      <w:bookmarkStart w:id="7" w:name="_Ref4939301"/>
      <w:r w:rsidRPr="0095448E">
        <w:rPr>
          <w:iCs/>
          <w:lang w:val="en-GB"/>
        </w:rPr>
        <w:lastRenderedPageBreak/>
        <w:t>The ISM applies a technology-oriented bottom-up model to simulate decisions on future investments, where the macro-level appraisal of consumption, emissions, and costs is estimated from the aggregation of each single technology. Each technology is characterized in terms of</w:t>
      </w:r>
    </w:p>
    <w:p w14:paraId="34E155ED" w14:textId="77777777" w:rsidR="00075A0B" w:rsidRPr="0095448E" w:rsidRDefault="00075A0B" w:rsidP="00075A0B">
      <w:pPr>
        <w:pStyle w:val="ListParagraph"/>
        <w:numPr>
          <w:ilvl w:val="0"/>
          <w:numId w:val="12"/>
        </w:numPr>
        <w:spacing w:line="480" w:lineRule="auto"/>
        <w:ind w:firstLine="204"/>
      </w:pPr>
      <w:r w:rsidRPr="0095448E">
        <w:t>Input energy consumption: energy required to produce one output material commodity. Fuel and electricity consumptions have been estimated based on the (IEA, 2009) and (Tunå et al., 2014)</w:t>
      </w:r>
    </w:p>
    <w:p w14:paraId="43AA3B91" w14:textId="77777777" w:rsidR="00075A0B" w:rsidRPr="0095448E" w:rsidRDefault="00075A0B" w:rsidP="00075A0B">
      <w:pPr>
        <w:pStyle w:val="ListParagraph"/>
        <w:numPr>
          <w:ilvl w:val="0"/>
          <w:numId w:val="12"/>
        </w:numPr>
        <w:spacing w:line="480" w:lineRule="auto"/>
        <w:ind w:firstLine="204"/>
      </w:pPr>
      <w:r w:rsidRPr="0095448E">
        <w:t>Output material commodities: output material commodity per unit of technologies’ main input material commodity</w:t>
      </w:r>
    </w:p>
    <w:p w14:paraId="74BBF4AD" w14:textId="77777777" w:rsidR="00075A0B" w:rsidRPr="0095448E" w:rsidRDefault="00075A0B" w:rsidP="00075A0B">
      <w:pPr>
        <w:pStyle w:val="ListParagraph"/>
        <w:numPr>
          <w:ilvl w:val="0"/>
          <w:numId w:val="12"/>
        </w:numPr>
        <w:spacing w:line="480" w:lineRule="auto"/>
        <w:ind w:firstLine="204"/>
      </w:pPr>
      <w:r w:rsidRPr="0095448E">
        <w:t>Emissions: CO</w:t>
      </w:r>
      <w:r w:rsidRPr="0095448E">
        <w:rPr>
          <w:vertAlign w:val="subscript"/>
        </w:rPr>
        <w:t>2</w:t>
      </w:r>
      <w:r w:rsidRPr="0095448E">
        <w:t xml:space="preserve"> (emitted or captured) and N</w:t>
      </w:r>
      <w:r w:rsidRPr="0095448E">
        <w:rPr>
          <w:vertAlign w:val="subscript"/>
        </w:rPr>
        <w:t>2</w:t>
      </w:r>
      <w:r w:rsidRPr="0095448E">
        <w:t>O, emissions per unit of output material commodity. CO</w:t>
      </w:r>
      <w:r w:rsidRPr="0095448E">
        <w:rPr>
          <w:vertAlign w:val="subscript"/>
        </w:rPr>
        <w:t>2</w:t>
      </w:r>
      <w:r w:rsidRPr="0095448E">
        <w:t xml:space="preserve"> and N</w:t>
      </w:r>
      <w:r w:rsidRPr="0095448E">
        <w:rPr>
          <w:vertAlign w:val="subscript"/>
        </w:rPr>
        <w:t>2</w:t>
      </w:r>
      <w:r w:rsidRPr="0095448E">
        <w:t>O emissions have been estimated based on the fuel consumption using the 2006 IPCC Guidelines (IPCC, 2006). Negative emissions for biomass coupled with CCS are modelled according to (Zakkour et al., 2014).</w:t>
      </w:r>
    </w:p>
    <w:p w14:paraId="69A68A3B" w14:textId="77777777" w:rsidR="00075A0B" w:rsidRPr="0095448E" w:rsidRDefault="00075A0B" w:rsidP="00075A0B">
      <w:pPr>
        <w:pStyle w:val="ListParagraph"/>
        <w:numPr>
          <w:ilvl w:val="0"/>
          <w:numId w:val="12"/>
        </w:numPr>
        <w:spacing w:line="480" w:lineRule="auto"/>
        <w:ind w:firstLine="204"/>
      </w:pPr>
      <w:r w:rsidRPr="0095448E">
        <w:t>Specific capital investment (CAPEX): unit costs for investments in new capacity. Capex have been estimated based on (Daly and Fais, 2014)</w:t>
      </w:r>
    </w:p>
    <w:p w14:paraId="3511DD2A" w14:textId="2F405D0A" w:rsidR="00075A0B" w:rsidRPr="0095448E" w:rsidRDefault="00075A0B" w:rsidP="00075A0B">
      <w:pPr>
        <w:pStyle w:val="ListParagraph"/>
        <w:numPr>
          <w:ilvl w:val="0"/>
          <w:numId w:val="12"/>
        </w:numPr>
        <w:spacing w:line="480" w:lineRule="auto"/>
        <w:ind w:firstLine="204"/>
      </w:pPr>
      <w:r w:rsidRPr="0095448E">
        <w:t>Specific fixed operating expenditures (fixed OPEX): unit fixed operating costs due to regular maintenance or closures of facilities. Fixed opex have been assumed to be</w:t>
      </w:r>
      <w:r w:rsidR="006767C8" w:rsidRPr="0095448E">
        <w:t xml:space="preserve"> equal to 10% of capex (Sinnott</w:t>
      </w:r>
      <w:r w:rsidRPr="0095448E">
        <w:t>, 1993)</w:t>
      </w:r>
    </w:p>
    <w:p w14:paraId="095E6509" w14:textId="77777777" w:rsidR="00075A0B" w:rsidRPr="0095448E" w:rsidRDefault="00075A0B" w:rsidP="00075A0B">
      <w:pPr>
        <w:pStyle w:val="ListParagraph"/>
        <w:numPr>
          <w:ilvl w:val="0"/>
          <w:numId w:val="12"/>
        </w:numPr>
        <w:spacing w:line="480" w:lineRule="auto"/>
        <w:ind w:firstLine="204"/>
      </w:pPr>
      <w:r w:rsidRPr="0095448E">
        <w:t>Initial stock: capacity installed in the base year of the simulation</w:t>
      </w:r>
    </w:p>
    <w:p w14:paraId="0556B668" w14:textId="77777777" w:rsidR="00075A0B" w:rsidRPr="0095448E" w:rsidRDefault="00075A0B" w:rsidP="00075A0B">
      <w:pPr>
        <w:pStyle w:val="ListParagraph"/>
        <w:numPr>
          <w:ilvl w:val="0"/>
          <w:numId w:val="12"/>
        </w:numPr>
        <w:spacing w:line="480" w:lineRule="auto"/>
        <w:ind w:firstLine="204"/>
      </w:pPr>
      <w:r w:rsidRPr="0095448E">
        <w:t>Maximum capacity addition per year: Upper boundary for absolute amount of annual capacity addition</w:t>
      </w:r>
    </w:p>
    <w:p w14:paraId="6AA066BB" w14:textId="77777777" w:rsidR="00075A0B" w:rsidRPr="0095448E" w:rsidRDefault="00075A0B" w:rsidP="00075A0B">
      <w:pPr>
        <w:pStyle w:val="ListParagraph"/>
        <w:numPr>
          <w:ilvl w:val="0"/>
          <w:numId w:val="12"/>
        </w:numPr>
        <w:spacing w:line="480" w:lineRule="auto"/>
        <w:ind w:firstLine="204"/>
      </w:pPr>
      <w:r w:rsidRPr="0095448E">
        <w:t>Maximum capacity growth per year: Upper boundary for annual capacity growth in relation to the already existing capacity</w:t>
      </w:r>
    </w:p>
    <w:p w14:paraId="2692018E" w14:textId="77777777" w:rsidR="00075A0B" w:rsidRPr="0095448E" w:rsidRDefault="00075A0B" w:rsidP="00075A0B">
      <w:pPr>
        <w:pStyle w:val="ListParagraph"/>
        <w:numPr>
          <w:ilvl w:val="0"/>
          <w:numId w:val="12"/>
        </w:numPr>
        <w:spacing w:line="480" w:lineRule="auto"/>
        <w:ind w:firstLine="204"/>
      </w:pPr>
      <w:r w:rsidRPr="0095448E">
        <w:t>Technical lifetime: operational year before capacity is decommissioned</w:t>
      </w:r>
    </w:p>
    <w:p w14:paraId="4A527476" w14:textId="77777777" w:rsidR="00075A0B" w:rsidRPr="0095448E" w:rsidRDefault="00075A0B" w:rsidP="00075A0B">
      <w:pPr>
        <w:pStyle w:val="ListParagraph"/>
        <w:numPr>
          <w:ilvl w:val="0"/>
          <w:numId w:val="12"/>
        </w:numPr>
        <w:spacing w:line="480" w:lineRule="auto"/>
        <w:ind w:firstLine="204"/>
      </w:pPr>
      <w:r w:rsidRPr="0095448E">
        <w:lastRenderedPageBreak/>
        <w:t>Utilisation factor: ratio of operating hours of a plant in a year over the total number of hours in a year (number of shutdowns for the planned maintenance of the plants in a year)</w:t>
      </w:r>
    </w:p>
    <w:p w14:paraId="2AEF51DC" w14:textId="768A7AEB" w:rsidR="00075A0B" w:rsidRPr="0095448E" w:rsidRDefault="00075A0B" w:rsidP="00075A0B">
      <w:pPr>
        <w:spacing w:line="480" w:lineRule="auto"/>
        <w:ind w:firstLine="204"/>
        <w:rPr>
          <w:rFonts w:eastAsiaTheme="majorEastAsia"/>
        </w:rPr>
      </w:pPr>
      <w:r w:rsidRPr="0095448E">
        <w:t xml:space="preserve">Technological modelling is dynamic over time. As shown in Table </w:t>
      </w:r>
      <w:hyperlink r:id="rId13" w:anchor="Tableb" w:history="1">
        <w:r w:rsidRPr="0095448E">
          <w:rPr>
            <w:rStyle w:val="Hyperlink"/>
            <w:rFonts w:eastAsiaTheme="majorEastAsia"/>
            <w:color w:val="auto"/>
          </w:rPr>
          <w:t>b</w:t>
        </w:r>
      </w:hyperlink>
      <w:r w:rsidRPr="0095448E">
        <w:t xml:space="preserve"> of the supporting information energy intensity and emission intensity for the modelled technologies in China are reported in relation to the values of coal-based technologies. Specifically, a 1.5 % per year of fuel reduction in fuel consumption is assumed on all the technologies (ICF International, 2015). Technologies using CCS perform a 90 % capture rate and show energy efficiency penalties which was modelled assuming an increase in consumption, according to the hypotheses presented in (IEA-ETSAP, 2018). CAPEX and OPEX are reported in relation to coal technologies in Table </w:t>
      </w:r>
      <w:hyperlink r:id="rId14" w:anchor="Tablec" w:history="1">
        <w:r w:rsidRPr="0095448E">
          <w:rPr>
            <w:rStyle w:val="Hyperlink"/>
            <w:rFonts w:eastAsiaTheme="majorEastAsia"/>
            <w:color w:val="auto"/>
          </w:rPr>
          <w:t>c</w:t>
        </w:r>
      </w:hyperlink>
      <w:r w:rsidRPr="0095448E">
        <w:t xml:space="preserve"> of the supporting information. As natural gas, oil, and coal technologies are mature, their costs remain constant over time. For plants with CCS, the relative additional costs in comparison to the same plants without CCS are assumed to decrease over time: CAPEX and OPEX of plants with CCS are in 2010 48% higher, and from 2030 onwards 32% higher than the same plants without CCS (IEA-ETSAP, 2018). Over time exogenous technological learning is modelled, assuming with cost reduction equal of 2.5 % per year.</w:t>
      </w:r>
    </w:p>
    <w:p w14:paraId="06802A4D" w14:textId="3D095ADB" w:rsidR="00034246" w:rsidRPr="0095448E" w:rsidRDefault="00034246" w:rsidP="00846350">
      <w:pPr>
        <w:pStyle w:val="Heading2"/>
        <w:rPr>
          <w:rFonts w:eastAsiaTheme="majorEastAsia"/>
          <w:color w:val="auto"/>
        </w:rPr>
      </w:pPr>
      <w:r w:rsidRPr="0095448E">
        <w:rPr>
          <w:rFonts w:eastAsiaTheme="majorEastAsia"/>
          <w:color w:val="auto"/>
        </w:rPr>
        <w:t>Case study</w:t>
      </w:r>
      <w:bookmarkEnd w:id="7"/>
      <w:r w:rsidRPr="0095448E">
        <w:rPr>
          <w:rFonts w:eastAsiaTheme="majorEastAsia"/>
          <w:color w:val="auto"/>
        </w:rPr>
        <w:t>: ammonia production in China</w:t>
      </w:r>
    </w:p>
    <w:p w14:paraId="7DE38E95" w14:textId="77777777" w:rsidR="00837054" w:rsidRPr="0095448E" w:rsidRDefault="00034246" w:rsidP="0094784D">
      <w:pPr>
        <w:pStyle w:val="TAMainText"/>
        <w:rPr>
          <w:lang w:val="en-GB"/>
        </w:rPr>
      </w:pPr>
      <w:r w:rsidRPr="0095448E">
        <w:rPr>
          <w:lang w:val="en-GB"/>
        </w:rPr>
        <w:t xml:space="preserve">Worldwide, 88% of ammonia demand is driven by the production of nitrogen-based fertilizers </w:t>
      </w:r>
      <w:r w:rsidRPr="0095448E">
        <w:rPr>
          <w:lang w:val="en-GB"/>
        </w:rPr>
        <w:fldChar w:fldCharType="begin" w:fldLock="1"/>
      </w:r>
      <w:r w:rsidRPr="0095448E">
        <w:rPr>
          <w:lang w:val="en-GB"/>
        </w:rPr>
        <w:instrText>ADDIN CSL_CITATION { "citationItems" : [ { "id" : "ITEM-1", "itemData" : { "author" : [ { "dropping-particle" : "", "family" : "IEAGHG", "given" : "", "non-dropping-particle" : "", "parse-names" : false, "suffix" : "" } ], "id" : "ITEM-1", "issued" : { "date-parts" : [ [ "2019" ] ] }, "title" : "Sustainability in Petrochemicals", "type" : "report" }, "uris" : [ "http://www.mendeley.com/documents/?uuid=d853e64a-2563-48f6-92b0-30f491e6f8bc" ] } ], "mendeley" : { "formattedCitation" : "(IEAGHG, 2019)", "plainTextFormattedCitation" : "(IEAGHG, 2019)", "previouslyFormattedCitation" : "[54]" }, "properties" : { "noteIndex" : 0 }, "schema" : "https://github.com/citation-style-language/schema/raw/master/csl-citation.json" }</w:instrText>
      </w:r>
      <w:r w:rsidRPr="0095448E">
        <w:rPr>
          <w:lang w:val="en-GB"/>
        </w:rPr>
        <w:fldChar w:fldCharType="separate"/>
      </w:r>
      <w:r w:rsidRPr="0095448E">
        <w:rPr>
          <w:lang w:val="en-GB"/>
        </w:rPr>
        <w:t>(IEAGHG, 2019)</w:t>
      </w:r>
      <w:r w:rsidRPr="0095448E">
        <w:rPr>
          <w:lang w:val="en-GB"/>
        </w:rPr>
        <w:fldChar w:fldCharType="end"/>
      </w:r>
      <w:r w:rsidRPr="0095448E">
        <w:rPr>
          <w:lang w:val="en-GB"/>
        </w:rPr>
        <w:t xml:space="preserve">. China, Russia, USA and India are the largest producers, with a production share of 34%, 8%, 7% and 7%, respectively. Due to the strategic role of ammonia production for food security, it is often the subject of preferential policies in many countries, sometimes resulting in less restrictive constraints on energy consumption and atmospheric emissions </w:t>
      </w:r>
      <w:r w:rsidRPr="0095448E">
        <w:rPr>
          <w:lang w:val="en-GB"/>
        </w:rPr>
        <w:fldChar w:fldCharType="begin" w:fldLock="1"/>
      </w:r>
      <w:r w:rsidRPr="0095448E">
        <w:rPr>
          <w:lang w:val="en-GB"/>
        </w:rPr>
        <w:instrText>ADDIN CSL_CITATION { "citationItems" : [ { "id" : "ITEM-1", "itemData" : { "DOI" : "http://dx.doi.org/10.1016/j.enpol.2010.02.048", "ISBN" : "0301-4215", "abstract" : "Significant pressure from increasing CO2 emissions and energy consumption in China\u2019s industrialization process has highlighted a need to understand and mitigate the sources of these emissions. Ammonia production, as one of the most important fundamental industries in China, represents those heavy industries that contribute largely to this sharp increasing trend. In the country with the largest population in the world, ammonia output has undergone fast growth spurred by increasing demand for fertilizer of food production since 1950s. However, various types of technologies implemented in the industry make ammonia plants in China operate with huge differences in both energy consumption and CO2 emissions. With consideration of these unique features, this paper attempts to estimate the amount of CO2 emission from China\u2019s ammonia production, and analyze the potential for carbon mitigation in the industry. Based on the estimation, related policy implications and measures required to realize the potential for mitigation are also discussed.", "author" : [ { "dropping-particle" : "", "family" : "Zhou", "given" : "Wenji", "non-dropping-particle" : "", "parse-names" : false, "suffix" : "" }, { "dropping-particle" : "", "family" : "Zhu", "given" : "Bing", "non-dropping-particle" : "", "parse-names" : false, "suffix" : "" }, { "dropping-particle" : "", "family" : "Li", "given" : "Qiang", "non-dropping-particle" : "", "parse-names" : false, "suffix" : "" }, { "dropping-particle" : "", "family" : "Ma", "given" : "Tieju", "non-dropping-particle" : "", "parse-names" : false, "suffix" : "" }, { "dropping-particle" : "", "family" : "Hu", "given" : "Shanying", "non-dropping-particle" : "", "parse-names" : false, "suffix" : "" }, { "dropping-particle" : "", "family" : "Griffy-Brown", "given" : "Charla", "non-dropping-particle" : "", "parse-names" : false, "suffix" : "" } ], "container-title" : "Energy Policy", "id" : "ITEM-1", "issue" : "7", "issued" : { "date-parts" : [ [ "2010" ] ] }, "page" : "3701-3709", "title" : "CO2 emissions and mitigation potential in China\u2019s ammonia industry", "type" : "article-journal", "volume" : "38" }, "uris" : [ "http://www.mendeley.com/documents/?uuid=28e36679-98a6-4a10-b581-1fd7661992e4" ] } ], "mendeley" : { "formattedCitation" : "(Zhou et al., 2010)", "plainTextFormattedCitation" : "(Zhou et al., 2010)", "previouslyFormattedCitation" : "[2]" }, "properties" : { "noteIndex" : 0 }, "schema" : "https://github.com/citation-style-language/schema/raw/master/csl-citation.json" }</w:instrText>
      </w:r>
      <w:r w:rsidRPr="0095448E">
        <w:rPr>
          <w:lang w:val="en-GB"/>
        </w:rPr>
        <w:fldChar w:fldCharType="separate"/>
      </w:r>
      <w:r w:rsidRPr="0095448E">
        <w:rPr>
          <w:lang w:val="en-GB"/>
        </w:rPr>
        <w:t>(Zhou et al., 2010)</w:t>
      </w:r>
      <w:r w:rsidRPr="0095448E">
        <w:rPr>
          <w:lang w:val="en-GB"/>
        </w:rPr>
        <w:fldChar w:fldCharType="end"/>
      </w:r>
      <w:r w:rsidRPr="0095448E">
        <w:rPr>
          <w:lang w:val="en-GB"/>
        </w:rPr>
        <w:t xml:space="preserve">. On a global scale, natural gas (i.e. gas) is the main feedstock (71%), followed by coal (21%) and </w:t>
      </w:r>
      <w:r w:rsidRPr="0095448E">
        <w:rPr>
          <w:lang w:val="en-GB"/>
        </w:rPr>
        <w:lastRenderedPageBreak/>
        <w:t xml:space="preserve">HFO (8%) </w:t>
      </w:r>
      <w:r w:rsidRPr="0095448E">
        <w:rPr>
          <w:lang w:val="en-GB"/>
        </w:rPr>
        <w:fldChar w:fldCharType="begin" w:fldLock="1"/>
      </w:r>
      <w:r w:rsidRPr="0095448E">
        <w:rPr>
          <w:lang w:val="en-GB"/>
        </w:rPr>
        <w:instrText>ADDIN CSL_CITATION { "citationItems" : [ { "id" : "ITEM-1", "itemData" : { "URL" : "https://www.iea.org/publications/freepublications/publication/chemical_petrochemical_sector.pdf", "author" : [ { "dropping-particle" : "", "family" : "IEA", "given" : "", "non-dropping-particle" : "", "parse-names" : false, "suffix" : "" } ], "id" : "ITEM-1", "issue" : "06/ 09/ ", "issued" : { "date-parts" : [ [ "2009" ] ] }, "title" : "Chemical and Petrochemical Sector: Potential of best practice technology and other measures for improving energy efficiency", "type" : "webpage", "volume" : "2017" }, "uris" : [ "http://www.mendeley.com/documents/?uuid=96ea732c-d64c-4225-a67d-5dee9548fc36" ] } ], "mendeley" : { "formattedCitation" : "(IEA, 2009)", "plainTextFormattedCitation" : "(IEA, 2009)", "previouslyFormattedCitation" : "[45]" }, "properties" : { "noteIndex" : 0 }, "schema" : "https://github.com/citation-style-language/schema/raw/master/csl-citation.json" }</w:instrText>
      </w:r>
      <w:r w:rsidRPr="0095448E">
        <w:rPr>
          <w:lang w:val="en-GB"/>
        </w:rPr>
        <w:fldChar w:fldCharType="separate"/>
      </w:r>
      <w:r w:rsidRPr="0095448E">
        <w:rPr>
          <w:lang w:val="en-GB"/>
        </w:rPr>
        <w:t>(IEA, 2009)</w:t>
      </w:r>
      <w:r w:rsidRPr="0095448E">
        <w:rPr>
          <w:lang w:val="en-GB"/>
        </w:rPr>
        <w:fldChar w:fldCharType="end"/>
      </w:r>
      <w:r w:rsidRPr="0095448E">
        <w:rPr>
          <w:lang w:val="en-GB"/>
        </w:rPr>
        <w:t xml:space="preserve">, while biomass-based and electrolysis-based ammonia production are currently at pilot scale. </w:t>
      </w:r>
    </w:p>
    <w:p w14:paraId="447F086E" w14:textId="77777777" w:rsidR="00A6074D" w:rsidRPr="0095448E" w:rsidRDefault="00837054" w:rsidP="0094784D">
      <w:pPr>
        <w:pStyle w:val="TAMainText"/>
        <w:rPr>
          <w:lang w:val="en-GB"/>
        </w:rPr>
      </w:pPr>
      <w:r w:rsidRPr="0095448E">
        <w:rPr>
          <w:lang w:val="en-GB"/>
        </w:rPr>
        <w:t>T</w:t>
      </w:r>
      <w:r w:rsidR="00034246" w:rsidRPr="0095448E">
        <w:rPr>
          <w:lang w:val="en-GB"/>
        </w:rPr>
        <w:t xml:space="preserve">he outlook is different for China, where due to abundant local resources, coal is the main feedstock (71%), followed by natural gas (21%) and HFO (8%). Ammonia is produced by means of coal gasification, steam reformation of natural gas or partial oxidation of HFO, with a huge variability in terms of plant performances </w:t>
      </w:r>
      <w:r w:rsidR="00034246" w:rsidRPr="0095448E">
        <w:rPr>
          <w:lang w:val="en-GB"/>
        </w:rPr>
        <w:fldChar w:fldCharType="begin" w:fldLock="1"/>
      </w:r>
      <w:r w:rsidR="00034246" w:rsidRPr="0095448E">
        <w:rPr>
          <w:lang w:val="en-GB"/>
        </w:rPr>
        <w:instrText>ADDIN CSL_CITATION { "citationItems" : [ { "id" : "ITEM-1", "itemData" : { "DOI" : "http://dx.doi.org/10.1016/j.enpol.2010.02.048", "ISBN" : "0301-4215", "abstract" : "Significant pressure from increasing CO2 emissions and energy consumption in China\u2019s industrialization process has highlighted a need to understand and mitigate the sources of these emissions. Ammonia production, as one of the most important fundamental industries in China, represents those heavy industries that contribute largely to this sharp increasing trend. In the country with the largest population in the world, ammonia output has undergone fast growth spurred by increasing demand for fertilizer of food production since 1950s. However, various types of technologies implemented in the industry make ammonia plants in China operate with huge differences in both energy consumption and CO2 emissions. With consideration of these unique features, this paper attempts to estimate the amount of CO2 emission from China\u2019s ammonia production, and analyze the potential for carbon mitigation in the industry. Based on the estimation, related policy implications and measures required to realize the potential for mitigation are also discussed.", "author" : [ { "dropping-particle" : "", "family" : "Zhou", "given" : "Wenji", "non-dropping-particle" : "", "parse-names" : false, "suffix" : "" }, { "dropping-particle" : "", "family" : "Zhu", "given" : "Bing", "non-dropping-particle" : "", "parse-names" : false, "suffix" : "" }, { "dropping-particle" : "", "family" : "Li", "given" : "Qiang", "non-dropping-particle" : "", "parse-names" : false, "suffix" : "" }, { "dropping-particle" : "", "family" : "Ma", "given" : "Tieju", "non-dropping-particle" : "", "parse-names" : false, "suffix" : "" }, { "dropping-particle" : "", "family" : "Hu", "given" : "Shanying", "non-dropping-particle" : "", "parse-names" : false, "suffix" : "" }, { "dropping-particle" : "", "family" : "Griffy-Brown", "given" : "Charla", "non-dropping-particle" : "", "parse-names" : false, "suffix" : "" } ], "container-title" : "Energy Policy", "id" : "ITEM-1", "issue" : "7", "issued" : { "date-parts" : [ [ "2010" ] ] }, "page" : "3701-3709", "title" : "CO2 emissions and mitigation potential in China\u2019s ammonia industry", "type" : "article-journal", "volume" : "38" }, "uris" : [ "http://www.mendeley.com/documents/?uuid=28e36679-98a6-4a10-b581-1fd7661992e4" ] } ], "mendeley" : { "formattedCitation" : "(Zhou et al., 2010)", "plainTextFormattedCitation" : "(Zhou et al., 2010)", "previouslyFormattedCitation" : "[2]" }, "properties" : { "noteIndex" : 0 }, "schema" : "https://github.com/citation-style-language/schema/raw/master/csl-citation.json" }</w:instrText>
      </w:r>
      <w:r w:rsidR="00034246" w:rsidRPr="0095448E">
        <w:rPr>
          <w:lang w:val="en-GB"/>
        </w:rPr>
        <w:fldChar w:fldCharType="separate"/>
      </w:r>
      <w:r w:rsidR="00034246" w:rsidRPr="0095448E">
        <w:rPr>
          <w:lang w:val="en-GB"/>
        </w:rPr>
        <w:t>(Zhou et al., 2010)</w:t>
      </w:r>
      <w:r w:rsidR="00034246" w:rsidRPr="0095448E">
        <w:rPr>
          <w:lang w:val="en-GB"/>
        </w:rPr>
        <w:fldChar w:fldCharType="end"/>
      </w:r>
      <w:r w:rsidR="00034246" w:rsidRPr="0095448E">
        <w:rPr>
          <w:lang w:val="en-GB"/>
        </w:rPr>
        <w:t>.</w:t>
      </w:r>
      <w:r w:rsidR="000B0DBD" w:rsidRPr="0095448E">
        <w:rPr>
          <w:lang w:val="en-GB"/>
        </w:rPr>
        <w:t xml:space="preserve"> Ammonia </w:t>
      </w:r>
      <w:r w:rsidR="00550DBC" w:rsidRPr="0095448E">
        <w:rPr>
          <w:lang w:val="en-GB"/>
        </w:rPr>
        <w:t>manufacturing in China is one of the most emission intensive in the world, with up to 5.21 t of CO</w:t>
      </w:r>
      <w:r w:rsidR="00550DBC" w:rsidRPr="0095448E">
        <w:rPr>
          <w:vertAlign w:val="subscript"/>
          <w:lang w:val="en-GB"/>
        </w:rPr>
        <w:t>2</w:t>
      </w:r>
      <w:r w:rsidR="00550DBC" w:rsidRPr="0095448E">
        <w:rPr>
          <w:lang w:val="en-GB"/>
        </w:rPr>
        <w:t xml:space="preserve"> equivalent per t of ammonia (Bicer et al., 2017).</w:t>
      </w:r>
    </w:p>
    <w:p w14:paraId="31793BDF" w14:textId="77777777" w:rsidR="00CB6894" w:rsidRPr="0095448E" w:rsidRDefault="00CB6894" w:rsidP="004D545C">
      <w:pPr>
        <w:pStyle w:val="TAMainText"/>
        <w:rPr>
          <w:lang w:val="en-GB"/>
        </w:rPr>
      </w:pPr>
    </w:p>
    <w:p w14:paraId="6E71F14F" w14:textId="77777777" w:rsidR="00034246" w:rsidRPr="0095448E" w:rsidRDefault="00034246" w:rsidP="00846350">
      <w:pPr>
        <w:pStyle w:val="Heading2"/>
        <w:rPr>
          <w:rFonts w:eastAsiaTheme="majorEastAsia"/>
          <w:color w:val="auto"/>
        </w:rPr>
      </w:pPr>
      <w:bookmarkStart w:id="8" w:name="_Ref522112367"/>
      <w:bookmarkStart w:id="9" w:name="_Ref3561452"/>
      <w:r w:rsidRPr="0095448E">
        <w:rPr>
          <w:rFonts w:eastAsiaTheme="majorEastAsia"/>
          <w:color w:val="auto"/>
        </w:rPr>
        <w:t>Agents</w:t>
      </w:r>
      <w:r w:rsidR="00AB33CF" w:rsidRPr="0095448E">
        <w:rPr>
          <w:rFonts w:eastAsiaTheme="majorEastAsia"/>
          <w:color w:val="auto"/>
        </w:rPr>
        <w:t>’</w:t>
      </w:r>
      <w:r w:rsidRPr="0095448E">
        <w:rPr>
          <w:rFonts w:eastAsiaTheme="majorEastAsia"/>
          <w:color w:val="auto"/>
        </w:rPr>
        <w:t xml:space="preserve"> definition</w:t>
      </w:r>
      <w:bookmarkEnd w:id="8"/>
      <w:bookmarkEnd w:id="9"/>
      <w:r w:rsidRPr="0095448E">
        <w:rPr>
          <w:rFonts w:eastAsiaTheme="majorEastAsia"/>
          <w:color w:val="auto"/>
        </w:rPr>
        <w:t xml:space="preserve"> and simulated scenarios</w:t>
      </w:r>
    </w:p>
    <w:p w14:paraId="227FB406" w14:textId="5F618DF9" w:rsidR="00FA6D09" w:rsidRPr="0095448E" w:rsidRDefault="00B11EBA" w:rsidP="0094784D">
      <w:pPr>
        <w:pStyle w:val="TAMainText"/>
        <w:rPr>
          <w:lang w:val="en-GB"/>
        </w:rPr>
      </w:pPr>
      <w:r w:rsidRPr="0095448E">
        <w:rPr>
          <w:lang w:val="en-GB"/>
        </w:rPr>
        <w:t>The defini</w:t>
      </w:r>
      <w:r w:rsidR="00FA6D09" w:rsidRPr="0095448E">
        <w:rPr>
          <w:lang w:val="en-GB"/>
        </w:rPr>
        <w:t>tion</w:t>
      </w:r>
      <w:r w:rsidR="0024258C" w:rsidRPr="0095448E">
        <w:rPr>
          <w:lang w:val="en-GB"/>
        </w:rPr>
        <w:t xml:space="preserve"> of the agents in terms of type was based on a critical assessment</w:t>
      </w:r>
      <w:r w:rsidR="00FA6D09" w:rsidRPr="0095448E">
        <w:rPr>
          <w:lang w:val="en-GB"/>
        </w:rPr>
        <w:t xml:space="preserve"> of multiple sources:</w:t>
      </w:r>
    </w:p>
    <w:p w14:paraId="124AEEBD" w14:textId="1324465A" w:rsidR="005F07C5" w:rsidRPr="0095448E" w:rsidRDefault="00343E76" w:rsidP="00E5344D">
      <w:pPr>
        <w:pStyle w:val="TAMainText"/>
        <w:numPr>
          <w:ilvl w:val="0"/>
          <w:numId w:val="12"/>
        </w:numPr>
        <w:rPr>
          <w:lang w:val="en-GB"/>
        </w:rPr>
      </w:pPr>
      <w:r w:rsidRPr="0095448E">
        <w:rPr>
          <w:lang w:val="en-GB"/>
        </w:rPr>
        <w:t>71 % of</w:t>
      </w:r>
      <w:r w:rsidR="009F3E39" w:rsidRPr="0095448E">
        <w:rPr>
          <w:lang w:val="en-GB"/>
        </w:rPr>
        <w:t xml:space="preserve"> ammonia capacity production in China </w:t>
      </w:r>
      <w:r w:rsidRPr="0095448E">
        <w:rPr>
          <w:lang w:val="en-GB"/>
        </w:rPr>
        <w:t>included</w:t>
      </w:r>
      <w:r w:rsidR="009F3E39" w:rsidRPr="0095448E">
        <w:rPr>
          <w:lang w:val="en-GB"/>
        </w:rPr>
        <w:t xml:space="preserve"> </w:t>
      </w:r>
      <w:r w:rsidR="00E5344D" w:rsidRPr="0095448E">
        <w:rPr>
          <w:lang w:val="en-GB"/>
        </w:rPr>
        <w:t xml:space="preserve">plants </w:t>
      </w:r>
      <w:r w:rsidR="00B8751E" w:rsidRPr="0095448E">
        <w:rPr>
          <w:lang w:val="en-GB"/>
        </w:rPr>
        <w:t xml:space="preserve">with a capacity lower than 300,000 </w:t>
      </w:r>
      <w:r w:rsidRPr="0095448E">
        <w:rPr>
          <w:lang w:val="en-GB"/>
        </w:rPr>
        <w:t>t per year in 2014 (Zeng, 2014)</w:t>
      </w:r>
      <w:r w:rsidR="00E5344D" w:rsidRPr="0095448E">
        <w:rPr>
          <w:lang w:val="en-GB"/>
        </w:rPr>
        <w:t>.</w:t>
      </w:r>
      <w:r w:rsidRPr="0095448E">
        <w:rPr>
          <w:lang w:val="en-GB"/>
        </w:rPr>
        <w:t xml:space="preserve"> </w:t>
      </w:r>
      <w:r w:rsidR="00E5344D" w:rsidRPr="0095448E">
        <w:rPr>
          <w:lang w:val="en-GB"/>
        </w:rPr>
        <w:t>SMEs</w:t>
      </w:r>
      <w:r w:rsidRPr="0095448E">
        <w:rPr>
          <w:lang w:val="en-GB"/>
        </w:rPr>
        <w:t xml:space="preserve"> </w:t>
      </w:r>
      <w:r w:rsidR="00E5344D" w:rsidRPr="0095448E">
        <w:rPr>
          <w:lang w:val="en-GB"/>
        </w:rPr>
        <w:t>tend to use intern</w:t>
      </w:r>
      <w:r w:rsidR="00931796" w:rsidRPr="0095448E">
        <w:rPr>
          <w:lang w:val="en-GB"/>
        </w:rPr>
        <w:t>al</w:t>
      </w:r>
      <w:r w:rsidR="00FA6D09" w:rsidRPr="0095448E">
        <w:rPr>
          <w:lang w:val="en-GB"/>
        </w:rPr>
        <w:t xml:space="preserve"> R&amp;D</w:t>
      </w:r>
      <w:r w:rsidR="00931796" w:rsidRPr="0095448E">
        <w:rPr>
          <w:lang w:val="en-GB"/>
        </w:rPr>
        <w:t xml:space="preserve"> and exploit </w:t>
      </w:r>
      <w:r w:rsidR="00FA6D09" w:rsidRPr="0095448E">
        <w:rPr>
          <w:lang w:val="en-GB"/>
        </w:rPr>
        <w:t>local r</w:t>
      </w:r>
      <w:r w:rsidR="00E5344D" w:rsidRPr="0095448E">
        <w:rPr>
          <w:lang w:val="en-GB"/>
        </w:rPr>
        <w:t>esources such as coal and oil (Zhuo et al., 2010).</w:t>
      </w:r>
    </w:p>
    <w:p w14:paraId="00E21EA9" w14:textId="5365A91F" w:rsidR="00FA6D09" w:rsidRPr="0095448E" w:rsidRDefault="005F07C5" w:rsidP="00E5344D">
      <w:pPr>
        <w:pStyle w:val="TAMainText"/>
        <w:numPr>
          <w:ilvl w:val="0"/>
          <w:numId w:val="12"/>
        </w:numPr>
        <w:rPr>
          <w:lang w:val="en-GB"/>
        </w:rPr>
      </w:pPr>
      <w:r w:rsidRPr="0095448E">
        <w:rPr>
          <w:lang w:val="en-GB"/>
        </w:rPr>
        <w:t>F</w:t>
      </w:r>
      <w:r w:rsidR="00CB6894" w:rsidRPr="0095448E">
        <w:rPr>
          <w:lang w:val="en-GB"/>
        </w:rPr>
        <w:t xml:space="preserve">oreign </w:t>
      </w:r>
      <w:r w:rsidRPr="0095448E">
        <w:rPr>
          <w:lang w:val="en-GB"/>
        </w:rPr>
        <w:t>large companies</w:t>
      </w:r>
      <w:r w:rsidR="00CB6894" w:rsidRPr="0095448E">
        <w:rPr>
          <w:lang w:val="en-GB"/>
        </w:rPr>
        <w:t xml:space="preserve"> </w:t>
      </w:r>
      <w:r w:rsidR="00E5344D" w:rsidRPr="0095448E">
        <w:rPr>
          <w:lang w:val="en-GB"/>
        </w:rPr>
        <w:t>import</w:t>
      </w:r>
      <w:r w:rsidR="00601FD5" w:rsidRPr="0095448E">
        <w:rPr>
          <w:lang w:val="en-GB"/>
        </w:rPr>
        <w:t xml:space="preserve"> their own technology and mainly </w:t>
      </w:r>
      <w:r w:rsidR="00E5344D" w:rsidRPr="0095448E">
        <w:rPr>
          <w:lang w:val="en-GB"/>
        </w:rPr>
        <w:t>use</w:t>
      </w:r>
      <w:r w:rsidR="00CB6894" w:rsidRPr="0095448E">
        <w:rPr>
          <w:lang w:val="en-GB"/>
        </w:rPr>
        <w:t xml:space="preserve"> natural gas as a feedstock</w:t>
      </w:r>
      <w:r w:rsidRPr="0095448E">
        <w:rPr>
          <w:lang w:val="en-GB"/>
        </w:rPr>
        <w:t xml:space="preserve"> </w:t>
      </w:r>
      <w:r w:rsidR="00FA6D09" w:rsidRPr="0095448E">
        <w:rPr>
          <w:lang w:val="en-GB"/>
        </w:rPr>
        <w:t>(Zhou et al., 2010)</w:t>
      </w:r>
      <w:r w:rsidR="00931796" w:rsidRPr="0095448E">
        <w:rPr>
          <w:lang w:val="en-GB"/>
        </w:rPr>
        <w:t xml:space="preserve">. </w:t>
      </w:r>
      <w:r w:rsidR="00601FD5" w:rsidRPr="0095448E">
        <w:rPr>
          <w:lang w:val="en-GB"/>
        </w:rPr>
        <w:t>Foreign investors would include g</w:t>
      </w:r>
      <w:r w:rsidR="00931796" w:rsidRPr="0095448E">
        <w:rPr>
          <w:lang w:val="en-GB"/>
        </w:rPr>
        <w:t>lobal players operating in the industry</w:t>
      </w:r>
      <w:r w:rsidR="00601FD5" w:rsidRPr="0095448E">
        <w:rPr>
          <w:lang w:val="en-GB"/>
        </w:rPr>
        <w:t>, such as</w:t>
      </w:r>
      <w:r w:rsidR="00931796" w:rsidRPr="0095448E">
        <w:rPr>
          <w:lang w:val="en-GB"/>
        </w:rPr>
        <w:t xml:space="preserve"> Yara International and BASF SE</w:t>
      </w:r>
      <w:r w:rsidR="00601FD5" w:rsidRPr="0095448E">
        <w:rPr>
          <w:lang w:val="en-GB"/>
        </w:rPr>
        <w:t xml:space="preserve"> (company websites)</w:t>
      </w:r>
      <w:r w:rsidR="00931796" w:rsidRPr="0095448E">
        <w:rPr>
          <w:lang w:val="en-GB"/>
        </w:rPr>
        <w:t>.</w:t>
      </w:r>
    </w:p>
    <w:p w14:paraId="2A21A736" w14:textId="7E15F5DB" w:rsidR="00F93DA4" w:rsidRPr="0095448E" w:rsidRDefault="00F93DA4" w:rsidP="00E5344D">
      <w:pPr>
        <w:pStyle w:val="TAMainText"/>
        <w:numPr>
          <w:ilvl w:val="0"/>
          <w:numId w:val="12"/>
        </w:numPr>
        <w:rPr>
          <w:lang w:val="en-GB"/>
        </w:rPr>
      </w:pPr>
      <w:r w:rsidRPr="0095448E">
        <w:rPr>
          <w:lang w:val="en-GB"/>
        </w:rPr>
        <w:t>From a financial perspective, when foreign investors are large companies with a wide access to capital, they may choose more easily capital-intensive plants investments, than SMEs which may struggle to afford these options without subsidies (Poncet et al., 2010).</w:t>
      </w:r>
    </w:p>
    <w:p w14:paraId="11B0E481" w14:textId="7EAD2BB0" w:rsidR="00E5344D" w:rsidRPr="0095448E" w:rsidRDefault="00F93DA4" w:rsidP="00E5344D">
      <w:pPr>
        <w:pStyle w:val="TAMainText"/>
        <w:numPr>
          <w:ilvl w:val="0"/>
          <w:numId w:val="12"/>
        </w:numPr>
        <w:rPr>
          <w:lang w:val="en-GB"/>
        </w:rPr>
      </w:pPr>
      <w:r w:rsidRPr="0095448E">
        <w:rPr>
          <w:lang w:val="en-GB"/>
        </w:rPr>
        <w:lastRenderedPageBreak/>
        <w:t>The top t</w:t>
      </w:r>
      <w:r w:rsidR="005F07C5" w:rsidRPr="0095448E">
        <w:rPr>
          <w:lang w:val="en-GB"/>
        </w:rPr>
        <w:t xml:space="preserve">en </w:t>
      </w:r>
      <w:r w:rsidRPr="0095448E">
        <w:rPr>
          <w:lang w:val="en-GB"/>
        </w:rPr>
        <w:t>companies accounting for m</w:t>
      </w:r>
      <w:r w:rsidR="005F07C5" w:rsidRPr="0095448E">
        <w:rPr>
          <w:lang w:val="en-GB"/>
        </w:rPr>
        <w:t>ore than 3</w:t>
      </w:r>
      <w:r w:rsidRPr="0095448E">
        <w:rPr>
          <w:lang w:val="en-GB"/>
        </w:rPr>
        <w:t xml:space="preserve">0 % of the </w:t>
      </w:r>
      <w:r w:rsidR="005F07C5" w:rsidRPr="0095448E">
        <w:rPr>
          <w:lang w:val="en-GB"/>
        </w:rPr>
        <w:t xml:space="preserve">total </w:t>
      </w:r>
      <w:r w:rsidRPr="0095448E">
        <w:rPr>
          <w:lang w:val="en-GB"/>
        </w:rPr>
        <w:t>installed ammonia production capacity in the country in 2013,</w:t>
      </w:r>
      <w:r w:rsidR="005F07C5" w:rsidRPr="0095448E">
        <w:rPr>
          <w:lang w:val="en-GB"/>
        </w:rPr>
        <w:t xml:space="preserve"> include</w:t>
      </w:r>
      <w:r w:rsidRPr="0095448E">
        <w:rPr>
          <w:lang w:val="en-GB"/>
        </w:rPr>
        <w:t xml:space="preserve"> Jinmei group, Yihua group, and PetroChina, </w:t>
      </w:r>
      <w:r w:rsidR="005F07C5" w:rsidRPr="0095448E">
        <w:rPr>
          <w:lang w:val="en-GB"/>
        </w:rPr>
        <w:t xml:space="preserve">and </w:t>
      </w:r>
      <w:r w:rsidRPr="0095448E">
        <w:rPr>
          <w:lang w:val="en-GB"/>
        </w:rPr>
        <w:t xml:space="preserve">are state </w:t>
      </w:r>
      <w:r w:rsidR="00E5344D" w:rsidRPr="0095448E">
        <w:rPr>
          <w:lang w:val="en-GB"/>
        </w:rPr>
        <w:t xml:space="preserve">or </w:t>
      </w:r>
      <w:r w:rsidRPr="0095448E">
        <w:rPr>
          <w:lang w:val="en-GB"/>
        </w:rPr>
        <w:t>provincial government-owned companies.</w:t>
      </w:r>
    </w:p>
    <w:p w14:paraId="58EB9593" w14:textId="47FA5814" w:rsidR="00E5344D" w:rsidRPr="0095448E" w:rsidRDefault="00E5344D" w:rsidP="00E5344D">
      <w:pPr>
        <w:pStyle w:val="TAMainText"/>
        <w:numPr>
          <w:ilvl w:val="0"/>
          <w:numId w:val="12"/>
        </w:numPr>
        <w:rPr>
          <w:lang w:val="en-GB"/>
        </w:rPr>
      </w:pPr>
      <w:r w:rsidRPr="0095448E">
        <w:rPr>
          <w:lang w:val="en-GB"/>
        </w:rPr>
        <w:t>More than 80 % of ammonia capacity uses coal as the main feedstock, while the remaining facilities make use of natural gas (Zeng, 2014).</w:t>
      </w:r>
    </w:p>
    <w:p w14:paraId="60B6F9D7" w14:textId="15DE67F1" w:rsidR="00E5344D" w:rsidRPr="0095448E" w:rsidRDefault="00E5344D" w:rsidP="0094784D">
      <w:pPr>
        <w:pStyle w:val="TAMainText"/>
        <w:rPr>
          <w:lang w:val="en-GB"/>
        </w:rPr>
      </w:pPr>
      <w:r w:rsidRPr="0095448E">
        <w:rPr>
          <w:lang w:val="en-GB"/>
        </w:rPr>
        <w:t>As the factory utilisation factor may vary, there is uncertainty on the actual production levels, SMEs could represent up to 82 % of the total production, while the remaining fraction would mainly come from foreign industries (Zhuo et al., 2010).</w:t>
      </w:r>
    </w:p>
    <w:p w14:paraId="476531C9" w14:textId="3DF88EFD" w:rsidR="00034246" w:rsidRPr="0095448E" w:rsidRDefault="00E5344D" w:rsidP="0094784D">
      <w:pPr>
        <w:pStyle w:val="TAMainText"/>
        <w:rPr>
          <w:lang w:val="en-GB"/>
        </w:rPr>
      </w:pPr>
      <w:r w:rsidRPr="0095448E">
        <w:rPr>
          <w:lang w:val="en-GB"/>
        </w:rPr>
        <w:t>From the market analysis, the identified agents</w:t>
      </w:r>
      <w:r w:rsidR="00A772C6" w:rsidRPr="0095448E">
        <w:rPr>
          <w:lang w:val="en-GB"/>
        </w:rPr>
        <w:t xml:space="preserve"> </w:t>
      </w:r>
      <w:r w:rsidRPr="0095448E">
        <w:rPr>
          <w:lang w:val="en-GB"/>
        </w:rPr>
        <w:t>were</w:t>
      </w:r>
      <w:r w:rsidR="00A772C6" w:rsidRPr="0095448E">
        <w:rPr>
          <w:lang w:val="en-GB"/>
        </w:rPr>
        <w:t xml:space="preserve"> </w:t>
      </w:r>
      <w:r w:rsidR="00C73A5F" w:rsidRPr="0095448E">
        <w:rPr>
          <w:lang w:val="en-GB"/>
        </w:rPr>
        <w:t>distinguished</w:t>
      </w:r>
      <w:r w:rsidR="00A772C6" w:rsidRPr="0095448E">
        <w:rPr>
          <w:lang w:val="en-GB"/>
        </w:rPr>
        <w:t xml:space="preserve"> by </w:t>
      </w:r>
      <w:r w:rsidR="00034246" w:rsidRPr="0095448E">
        <w:rPr>
          <w:lang w:val="en-GB"/>
        </w:rPr>
        <w:t xml:space="preserve">the size (SMEs versus LEs) and ownership (private versus public; Chinese versus foreign). Based on the information reported by the National Bureau of Statistics of China </w:t>
      </w:r>
      <w:r w:rsidR="00034246" w:rsidRPr="0095448E">
        <w:rPr>
          <w:lang w:val="en-GB"/>
        </w:rPr>
        <w:fldChar w:fldCharType="begin" w:fldLock="1"/>
      </w:r>
      <w:r w:rsidR="00034246" w:rsidRPr="0095448E">
        <w:rPr>
          <w:lang w:val="en-GB"/>
        </w:rPr>
        <w:instrText>ADDIN CSL_CITATION { "citationItems" : [ { "id" : "ITEM-1", "itemData" : { "URL" : "http://www.stats.gov.cn/tjsj/ndsj/2011/indexeh.htm", "author" : [ { "dropping-particle" : "", "family" : "The State Council of the People's Republic of China", "given" : "", "non-dropping-particle" : "", "parse-names" : false, "suffix" : "" } ], "id" : "ITEM-1", "issue" : "08/ 03/ ", "issued" : { "date-parts" : [ [ "2011" ] ] }, "title" : "National Bureau of Statistics of China", "type" : "webpage", "volume" : "2019" }, "uris" : [ "http://www.mendeley.com/documents/?uuid=6024e099-0ccf-421f-bfa2-6b3d8ca52ae7" ] } ], "mendeley" : { "formattedCitation" : "(The State Council of the People\u2019s Republic of China, 2011)", "plainTextFormattedCitation" : "(The State Council of the People\u2019s Republic of China, 2011)", "previouslyFormattedCitation" : "[64]" }, "properties" : { "noteIndex" : 0 }, "schema" : "https://github.com/citation-style-language/schema/raw/master/csl-citation.json" }</w:instrText>
      </w:r>
      <w:r w:rsidR="00034246" w:rsidRPr="0095448E">
        <w:rPr>
          <w:lang w:val="en-GB"/>
        </w:rPr>
        <w:fldChar w:fldCharType="separate"/>
      </w:r>
      <w:r w:rsidR="00034246" w:rsidRPr="0095448E">
        <w:rPr>
          <w:lang w:val="en-GB"/>
        </w:rPr>
        <w:t>(The State Council of the People’s Republic of China, 2011)</w:t>
      </w:r>
      <w:r w:rsidR="00034246" w:rsidRPr="0095448E">
        <w:rPr>
          <w:lang w:val="en-GB"/>
        </w:rPr>
        <w:fldChar w:fldCharType="end"/>
      </w:r>
      <w:r w:rsidR="00034246" w:rsidRPr="0095448E">
        <w:rPr>
          <w:lang w:val="en-GB"/>
        </w:rPr>
        <w:t xml:space="preserve"> for the year 2010, the full market has been divided into the following six agents (also reported in </w:t>
      </w:r>
      <w:r w:rsidR="00034246" w:rsidRPr="0095448E">
        <w:rPr>
          <w:lang w:val="en-GB"/>
        </w:rPr>
        <w:fldChar w:fldCharType="begin"/>
      </w:r>
      <w:r w:rsidR="00034246" w:rsidRPr="0095448E">
        <w:rPr>
          <w:lang w:val="en-GB"/>
        </w:rPr>
        <w:instrText xml:space="preserve"> REF _Ref536449512 \h  \* MERGEFORMAT </w:instrText>
      </w:r>
      <w:r w:rsidR="00034246" w:rsidRPr="0095448E">
        <w:rPr>
          <w:lang w:val="en-GB"/>
        </w:rPr>
      </w:r>
      <w:r w:rsidR="00034246" w:rsidRPr="0095448E">
        <w:rPr>
          <w:lang w:val="en-GB"/>
        </w:rPr>
        <w:fldChar w:fldCharType="separate"/>
      </w:r>
      <w:r w:rsidR="00034246" w:rsidRPr="0095448E">
        <w:rPr>
          <w:lang w:val="en-GB"/>
        </w:rPr>
        <w:t>Table 4</w:t>
      </w:r>
      <w:r w:rsidR="00034246" w:rsidRPr="0095448E">
        <w:rPr>
          <w:lang w:val="en-GB"/>
        </w:rPr>
        <w:fldChar w:fldCharType="end"/>
      </w:r>
      <w:r w:rsidR="00034246" w:rsidRPr="0095448E">
        <w:rPr>
          <w:lang w:val="en-GB"/>
        </w:rPr>
        <w:t>):</w:t>
      </w:r>
    </w:p>
    <w:p w14:paraId="1033D586" w14:textId="77777777" w:rsidR="00034246" w:rsidRPr="0095448E" w:rsidRDefault="00034246" w:rsidP="000C5FC0">
      <w:pPr>
        <w:pStyle w:val="TAMainText"/>
        <w:numPr>
          <w:ilvl w:val="0"/>
          <w:numId w:val="3"/>
        </w:numPr>
        <w:rPr>
          <w:lang w:val="en-GB"/>
        </w:rPr>
      </w:pPr>
      <w:r w:rsidRPr="0095448E">
        <w:rPr>
          <w:lang w:val="en-GB"/>
        </w:rPr>
        <w:t>Agent 1 represents a private, Chinese SME</w:t>
      </w:r>
    </w:p>
    <w:p w14:paraId="2F931F91" w14:textId="77777777" w:rsidR="00034246" w:rsidRPr="0095448E" w:rsidRDefault="00034246" w:rsidP="000C5FC0">
      <w:pPr>
        <w:pStyle w:val="TAMainText"/>
        <w:numPr>
          <w:ilvl w:val="0"/>
          <w:numId w:val="3"/>
        </w:numPr>
        <w:rPr>
          <w:lang w:val="en-GB"/>
        </w:rPr>
      </w:pPr>
      <w:r w:rsidRPr="0095448E">
        <w:rPr>
          <w:lang w:val="en-GB"/>
        </w:rPr>
        <w:t>Agent 2 represents a private, foreign SME</w:t>
      </w:r>
    </w:p>
    <w:p w14:paraId="3A2EC5C2" w14:textId="77777777" w:rsidR="00034246" w:rsidRPr="0095448E" w:rsidRDefault="00034246" w:rsidP="000C5FC0">
      <w:pPr>
        <w:pStyle w:val="TAMainText"/>
        <w:numPr>
          <w:ilvl w:val="0"/>
          <w:numId w:val="3"/>
        </w:numPr>
        <w:rPr>
          <w:lang w:val="en-GB"/>
        </w:rPr>
      </w:pPr>
      <w:r w:rsidRPr="0095448E">
        <w:rPr>
          <w:lang w:val="en-GB"/>
        </w:rPr>
        <w:t>Agent 3 represents a public, Chinese SME</w:t>
      </w:r>
    </w:p>
    <w:p w14:paraId="2F657347" w14:textId="77777777" w:rsidR="00034246" w:rsidRPr="0095448E" w:rsidRDefault="00034246" w:rsidP="000C5FC0">
      <w:pPr>
        <w:pStyle w:val="TAMainText"/>
        <w:numPr>
          <w:ilvl w:val="0"/>
          <w:numId w:val="3"/>
        </w:numPr>
        <w:rPr>
          <w:lang w:val="en-GB"/>
        </w:rPr>
      </w:pPr>
      <w:r w:rsidRPr="0095448E">
        <w:rPr>
          <w:lang w:val="en-GB"/>
        </w:rPr>
        <w:t>Agent 4 represents a private, Chinese LE</w:t>
      </w:r>
    </w:p>
    <w:p w14:paraId="62042F6D" w14:textId="77777777" w:rsidR="00034246" w:rsidRPr="0095448E" w:rsidRDefault="00034246" w:rsidP="000C5FC0">
      <w:pPr>
        <w:pStyle w:val="TAMainText"/>
        <w:numPr>
          <w:ilvl w:val="0"/>
          <w:numId w:val="3"/>
        </w:numPr>
        <w:rPr>
          <w:lang w:val="en-GB"/>
        </w:rPr>
      </w:pPr>
      <w:r w:rsidRPr="0095448E">
        <w:rPr>
          <w:lang w:val="en-GB"/>
        </w:rPr>
        <w:t>Agent 5 represents a private, foreign LE</w:t>
      </w:r>
    </w:p>
    <w:p w14:paraId="559C511F" w14:textId="77777777" w:rsidR="00034246" w:rsidRPr="0095448E" w:rsidRDefault="00034246" w:rsidP="000C5FC0">
      <w:pPr>
        <w:pStyle w:val="TAMainText"/>
        <w:numPr>
          <w:ilvl w:val="0"/>
          <w:numId w:val="3"/>
        </w:numPr>
        <w:rPr>
          <w:lang w:val="en-GB"/>
        </w:rPr>
      </w:pPr>
      <w:r w:rsidRPr="0095448E">
        <w:rPr>
          <w:lang w:val="en-GB"/>
        </w:rPr>
        <w:t>Agent 6 represents a public, Chinese LE.</w:t>
      </w:r>
    </w:p>
    <w:p w14:paraId="1A0A7962" w14:textId="0217EA51" w:rsidR="00656A88" w:rsidRPr="0095448E" w:rsidRDefault="00E32DE8" w:rsidP="00656A88">
      <w:pPr>
        <w:pStyle w:val="TAMainText"/>
        <w:rPr>
          <w:lang w:val="en-GB"/>
        </w:rPr>
      </w:pPr>
      <w:r w:rsidRPr="0095448E">
        <w:rPr>
          <w:lang w:val="en-GB"/>
        </w:rPr>
        <w:t>The</w:t>
      </w:r>
      <w:r w:rsidR="0024258C" w:rsidRPr="0095448E">
        <w:rPr>
          <w:lang w:val="en-GB"/>
        </w:rPr>
        <w:t xml:space="preserve"> definition of the decision metric per agent</w:t>
      </w:r>
      <w:r w:rsidR="00034246" w:rsidRPr="0095448E">
        <w:rPr>
          <w:lang w:val="en-GB"/>
        </w:rPr>
        <w:t xml:space="preserve"> and their weights </w:t>
      </w:r>
      <w:r w:rsidRPr="0095448E">
        <w:rPr>
          <w:lang w:val="en-GB"/>
        </w:rPr>
        <w:t xml:space="preserve">(used in </w:t>
      </w:r>
      <w:r w:rsidR="00904178" w:rsidRPr="0095448E">
        <w:rPr>
          <w:lang w:val="en-GB"/>
        </w:rPr>
        <w:fldChar w:fldCharType="begin"/>
      </w:r>
      <w:r w:rsidR="00904178" w:rsidRPr="0095448E">
        <w:rPr>
          <w:lang w:val="en-GB"/>
        </w:rPr>
        <w:instrText xml:space="preserve"> REF _Ref26684241 \h </w:instrText>
      </w:r>
      <w:r w:rsidR="00904178" w:rsidRPr="0095448E">
        <w:rPr>
          <w:lang w:val="en-GB"/>
        </w:rPr>
      </w:r>
      <w:r w:rsidR="00904178" w:rsidRPr="0095448E">
        <w:rPr>
          <w:lang w:val="en-GB"/>
        </w:rPr>
        <w:fldChar w:fldCharType="separate"/>
      </w:r>
      <w:r w:rsidR="00904178" w:rsidRPr="0095448E">
        <w:rPr>
          <w:iCs/>
        </w:rPr>
        <w:t>Equation 2</w:t>
      </w:r>
      <w:r w:rsidR="00904178" w:rsidRPr="0095448E">
        <w:rPr>
          <w:lang w:val="en-GB"/>
        </w:rPr>
        <w:fldChar w:fldCharType="end"/>
      </w:r>
      <w:r w:rsidRPr="0095448E">
        <w:rPr>
          <w:lang w:val="en-GB"/>
        </w:rPr>
        <w:t xml:space="preserve">) </w:t>
      </w:r>
      <w:r w:rsidR="0024258C" w:rsidRPr="0095448E">
        <w:rPr>
          <w:lang w:val="en-GB"/>
        </w:rPr>
        <w:t>was</w:t>
      </w:r>
      <w:r w:rsidR="00034246" w:rsidRPr="0095448E">
        <w:rPr>
          <w:lang w:val="en-GB"/>
        </w:rPr>
        <w:t xml:space="preserve"> based on the </w:t>
      </w:r>
      <w:r w:rsidRPr="0095448E">
        <w:rPr>
          <w:lang w:val="en-GB"/>
        </w:rPr>
        <w:t>available surveys</w:t>
      </w:r>
      <w:r w:rsidR="0024258C" w:rsidRPr="0095448E">
        <w:rPr>
          <w:lang w:val="en-GB"/>
        </w:rPr>
        <w:t>,</w:t>
      </w:r>
      <w:r w:rsidR="00656A88" w:rsidRPr="0095448E">
        <w:rPr>
          <w:lang w:val="en-GB"/>
        </w:rPr>
        <w:t xml:space="preserve"> summarised in section </w:t>
      </w:r>
      <w:hyperlink r:id="rId15" w:anchor="Section3_AgentSI" w:history="1">
        <w:r w:rsidR="00656A88" w:rsidRPr="0095448E">
          <w:rPr>
            <w:rStyle w:val="Hyperlink"/>
            <w:color w:val="auto"/>
            <w:lang w:val="en-GB"/>
          </w:rPr>
          <w:t>3</w:t>
        </w:r>
      </w:hyperlink>
      <w:r w:rsidR="00656A88" w:rsidRPr="0095448E">
        <w:rPr>
          <w:lang w:val="en-GB"/>
        </w:rPr>
        <w:t xml:space="preserve"> of the supplementary material</w:t>
      </w:r>
      <w:r w:rsidR="00034246" w:rsidRPr="0095448E">
        <w:rPr>
          <w:lang w:val="en-GB"/>
        </w:rPr>
        <w:t xml:space="preserve">. </w:t>
      </w:r>
      <w:r w:rsidR="0024258C" w:rsidRPr="0095448E">
        <w:rPr>
          <w:lang w:val="en-GB"/>
        </w:rPr>
        <w:t xml:space="preserve">The analysis of the surveys highlighted that </w:t>
      </w:r>
      <w:r w:rsidR="000815C5" w:rsidRPr="0095448E">
        <w:rPr>
          <w:lang w:val="en-GB"/>
        </w:rPr>
        <w:t xml:space="preserve">there is a </w:t>
      </w:r>
      <w:r w:rsidR="0024258C" w:rsidRPr="0095448E">
        <w:rPr>
          <w:lang w:val="en-GB"/>
        </w:rPr>
        <w:t xml:space="preserve">clear </w:t>
      </w:r>
      <w:r w:rsidR="000815C5" w:rsidRPr="0095448E">
        <w:rPr>
          <w:lang w:val="en-GB"/>
        </w:rPr>
        <w:t>distinction between local and foreign industries as well as between small and private companies. Specifically:</w:t>
      </w:r>
    </w:p>
    <w:p w14:paraId="1EDF6F88" w14:textId="77777777" w:rsidR="00656A88" w:rsidRPr="0095448E" w:rsidRDefault="00656A88" w:rsidP="000C5FC0">
      <w:pPr>
        <w:pStyle w:val="TAMainText"/>
        <w:numPr>
          <w:ilvl w:val="0"/>
          <w:numId w:val="6"/>
        </w:numPr>
        <w:rPr>
          <w:lang w:val="en-GB"/>
        </w:rPr>
      </w:pPr>
      <w:r w:rsidRPr="0095448E">
        <w:rPr>
          <w:lang w:val="en-GB"/>
        </w:rPr>
        <w:lastRenderedPageBreak/>
        <w:t>Chinese firms are more likely to make use of non-discounted investment metrics (PB i.e. Payback Time</w:t>
      </w:r>
      <w:r w:rsidR="00ED5672" w:rsidRPr="0095448E">
        <w:rPr>
          <w:lang w:val="en-GB"/>
        </w:rPr>
        <w:t>; capex</w:t>
      </w:r>
      <w:r w:rsidRPr="0095448E">
        <w:rPr>
          <w:lang w:val="en-GB"/>
        </w:rPr>
        <w:t>) compared to foreign firms, which usually rely on discounted investment metrics (such as NPV (Net Present Value) and IRR (Internal Rate of Return)) (</w:t>
      </w:r>
      <w:r w:rsidRPr="0095448E">
        <w:rPr>
          <w:lang w:val="en-GB"/>
        </w:rPr>
        <w:fldChar w:fldCharType="begin" w:fldLock="1"/>
      </w:r>
      <w:r w:rsidRPr="0095448E">
        <w:rPr>
          <w:lang w:val="en-GB"/>
        </w:rPr>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"mendeley" : { "formattedCitation" : "(Hermes et al., 2007)", "plainTextFormattedCitation" : "(Hermes et al., 2007)", "previouslyFormattedCitation" : "[9]" }, "properties" : { "noteIndex" : 0 }, "schema" : "https://github.com/citation-style-language/schema/raw/master/csl-citation.json" }</w:instrText>
      </w:r>
      <w:r w:rsidRPr="0095448E">
        <w:rPr>
          <w:lang w:val="en-GB"/>
        </w:rPr>
        <w:fldChar w:fldCharType="separate"/>
      </w:r>
      <w:r w:rsidRPr="0095448E">
        <w:rPr>
          <w:lang w:val="en-GB"/>
        </w:rPr>
        <w:t>Hermes et al., 2007</w:t>
      </w:r>
      <w:r w:rsidRPr="0095448E">
        <w:rPr>
          <w:lang w:val="en-GB"/>
        </w:rPr>
        <w:fldChar w:fldCharType="end"/>
      </w:r>
      <w:r w:rsidRPr="0095448E">
        <w:rPr>
          <w:lang w:val="en-GB"/>
        </w:rPr>
        <w:t xml:space="preserve">; </w:t>
      </w:r>
      <w:r w:rsidRPr="0095448E">
        <w:rPr>
          <w:lang w:val="en-GB"/>
        </w:rPr>
        <w:fldChar w:fldCharType="begin" w:fldLock="1"/>
      </w:r>
      <w:r w:rsidRPr="0095448E">
        <w:rPr>
          <w:lang w:val="en-GB"/>
        </w:rPr>
        <w:instrText>ADDIN CSL_CITATION { "citationItems" : [ { "id" : "ITEM-1", "itemData" : { "URL" : "http://www.jgbm.org/page/18 Kamal M. Haddad .pdf", "author" : [ { "dropping-particle" : "", "family" : "Chan", "given" : "Hung", "non-dropping-particle" : "", "parse-names" : false, "suffix" : "" }, { "dropping-particle" : "", "family" : "Haddad", "given" : "Kamal M", "non-dropping-particle" : "", "parse-names" : false, "suffix" : "" }, { "dropping-particle" : "", "family" : "Sterk", "given" : "William", "non-dropping-particle" : "", "parse-names" : false, "suffix" : "" } ], "container-title" : "Journal of Global Business Management", "id" : "ITEM-1", "issue" : "08/ 03/ ", "issued" : { "date-parts" : [ [ "2010" ] ] }, "title" : "Capital Budgeting Practices of Chinese Firms", "type" : "webpage", "volume" : "2019" }, "uris" : [ "http://www.mendeley.com/documents/?uuid=fbf246d4-b321-4198-b465-e0fdbf9018bb" ] } ], "mendeley" : { "formattedCitation" : "(Chan et al., 2010)", "plainTextFormattedCitation" : "(Chan et al., 2010)", "previouslyFormattedCitation" : "[40]" }, "properties" : { "noteIndex" : 0 }, "schema" : "https://github.com/citation-style-language/schema/raw/master/csl-citation.json" }</w:instrText>
      </w:r>
      <w:r w:rsidRPr="0095448E">
        <w:rPr>
          <w:lang w:val="en-GB"/>
        </w:rPr>
        <w:fldChar w:fldCharType="separate"/>
      </w:r>
      <w:r w:rsidRPr="0095448E">
        <w:rPr>
          <w:lang w:val="en-GB"/>
        </w:rPr>
        <w:t>Chan et al., 2010)</w:t>
      </w:r>
      <w:r w:rsidRPr="0095448E">
        <w:rPr>
          <w:lang w:val="en-GB"/>
        </w:rPr>
        <w:fldChar w:fldCharType="end"/>
      </w:r>
    </w:p>
    <w:p w14:paraId="7CC68075" w14:textId="77777777" w:rsidR="00ED5672" w:rsidRPr="0095448E" w:rsidRDefault="00656A88" w:rsidP="000C5FC0">
      <w:pPr>
        <w:pStyle w:val="TAMainText"/>
        <w:numPr>
          <w:ilvl w:val="0"/>
          <w:numId w:val="6"/>
        </w:numPr>
        <w:rPr>
          <w:lang w:val="en-GB"/>
        </w:rPr>
      </w:pPr>
      <w:r w:rsidRPr="0095448E">
        <w:rPr>
          <w:lang w:val="en-GB"/>
        </w:rPr>
        <w:t xml:space="preserve">Small and privately owned Chinese enterprise are likely to be more capital constrained, than public Chinese firms and large foreign firms </w:t>
      </w:r>
      <w:r w:rsidRPr="0095448E">
        <w:rPr>
          <w:lang w:val="en-GB"/>
        </w:rPr>
        <w:fldChar w:fldCharType="begin" w:fldLock="1"/>
      </w:r>
      <w:r w:rsidRPr="0095448E">
        <w:rPr>
          <w:lang w:val="en-GB"/>
        </w:rPr>
        <w:instrText>ADDIN CSL_CITATION { "citationItems" : [ { "id" : "ITEM-1", "itemData" : { "DOI" : "10.1016/j.chieco.2010.03.001", "ISBN" : "1043-951X", "abstract" : "Using a unique micro-level data set over the period 1998-2005 on Chinese firms, this paper presents empirical findings on the presence of credit constraints. Our findings are threefold. Firstly, private Chinese firms are credit constrained while state-owned firms and foreign-owned firms in China are not; Secondly, the geographical and sectoral presence of foreign capital alleviates credit constraints faced by private Chinese firms. Thirdly, geographical and sectoral presence of state firms aggravates financial constraints for private Chinese firms (\"crowding out\"). (C) 2010 Elsevier Inc. All rights reserved.", "author" : [ { "dropping-particle" : "", "family" : "Poncet", "given" : "S", "non-dropping-particle" : "", "parse-names" : false, "suffix" : "" }, { "dropping-particle" : "", "family" : "Steingress", "given" : "W", "non-dropping-particle" : "", "parse-names" : false, "suffix" : "" }, { "dropping-particle" : "", "family" : "Vandenbussche", "given" : "H", "non-dropping-particle" : "", "parse-names" : false, "suffix" : "" } ], "container-title" : "China Economic Review", "id" : "ITEM-1", "issue" : "3", "issued" : { "date-parts" : [ [ "2010" ] ] }, "language" : "English", "note" : "ISI Document Delivery No.: 611RV\nTimes Cited: 74\nCited Reference Count: 42\nPoncet, Sandra Steingress, Walter Vandenbussche, Hylke\n75\n6\n24\nElsevier science inc\nNew york", "page" : "411-422", "title" : "Financial constraints in China: Firm-level evidence", "type" : "article-journal", "volume" : "21" }, "uris" : [ "http://www.mendeley.com/documents/?uuid=82428f17-1d9c-4738-a7b7-1be57349ab0b" ] } ], "mendeley" : { "formattedCitation" : "(Poncet et al., 2010)", "plainTextFormattedCitation" : "(Poncet et al., 2010)", "previouslyFormattedCitation" : "[39]" }, "properties" : { "noteIndex" : 0 }, "schema" : "https://github.com/citation-style-language/schema/raw/master/csl-citation.json" }</w:instrText>
      </w:r>
      <w:r w:rsidRPr="0095448E">
        <w:rPr>
          <w:lang w:val="en-GB"/>
        </w:rPr>
        <w:fldChar w:fldCharType="separate"/>
      </w:r>
      <w:r w:rsidRPr="0095448E">
        <w:rPr>
          <w:lang w:val="en-GB"/>
        </w:rPr>
        <w:t>( Danielson and Scott, 2006; Poncet et al., 2010)</w:t>
      </w:r>
      <w:r w:rsidRPr="0095448E">
        <w:rPr>
          <w:lang w:val="en-GB"/>
        </w:rPr>
        <w:fldChar w:fldCharType="end"/>
      </w:r>
    </w:p>
    <w:p w14:paraId="663AF05A" w14:textId="4BFE3562" w:rsidR="00ED5672" w:rsidRPr="0095448E" w:rsidRDefault="00A422C9" w:rsidP="00ED5672">
      <w:pPr>
        <w:pStyle w:val="TAMainText"/>
        <w:ind w:firstLine="204"/>
        <w:rPr>
          <w:lang w:val="en-GB"/>
        </w:rPr>
      </w:pPr>
      <w:r w:rsidRPr="0095448E">
        <w:rPr>
          <w:lang w:val="en-GB"/>
        </w:rPr>
        <w:t>In order to represent the uncertainty</w:t>
      </w:r>
      <w:r w:rsidR="00DB30E8" w:rsidRPr="0095448E">
        <w:rPr>
          <w:lang w:val="en-GB"/>
        </w:rPr>
        <w:t xml:space="preserve"> in the decision metrics adopted by the </w:t>
      </w:r>
      <w:r w:rsidRPr="0095448E">
        <w:rPr>
          <w:lang w:val="en-GB"/>
        </w:rPr>
        <w:t xml:space="preserve">selected </w:t>
      </w:r>
      <w:r w:rsidR="00DB30E8" w:rsidRPr="0095448E">
        <w:rPr>
          <w:lang w:val="en-GB"/>
        </w:rPr>
        <w:t xml:space="preserve">agents, in addition to a baseline tuning additional sensitivity tunings have been applied, which differ from the relative importance given to each metric, as reported in </w:t>
      </w:r>
      <w:r w:rsidR="00ED5672" w:rsidRPr="0095448E">
        <w:rPr>
          <w:lang w:val="en-GB"/>
        </w:rPr>
        <w:fldChar w:fldCharType="begin"/>
      </w:r>
      <w:r w:rsidR="00ED5672" w:rsidRPr="0095448E">
        <w:rPr>
          <w:lang w:val="en-GB"/>
        </w:rPr>
        <w:instrText xml:space="preserve"> REF _Ref535497587 \h  \* MERGEFORMAT </w:instrText>
      </w:r>
      <w:r w:rsidR="00ED5672" w:rsidRPr="0095448E">
        <w:rPr>
          <w:lang w:val="en-GB"/>
        </w:rPr>
      </w:r>
      <w:r w:rsidR="00ED5672" w:rsidRPr="0095448E">
        <w:rPr>
          <w:lang w:val="en-GB"/>
        </w:rPr>
        <w:fldChar w:fldCharType="separate"/>
      </w:r>
      <w:r w:rsidR="00ED5672" w:rsidRPr="0095448E">
        <w:rPr>
          <w:lang w:val="en-GB"/>
        </w:rPr>
        <w:t>Table 5</w:t>
      </w:r>
      <w:r w:rsidR="00ED5672" w:rsidRPr="0095448E">
        <w:rPr>
          <w:lang w:val="en-GB"/>
        </w:rPr>
        <w:fldChar w:fldCharType="end"/>
      </w:r>
      <w:r w:rsidR="00ED5672" w:rsidRPr="0095448E">
        <w:rPr>
          <w:lang w:val="en-GB"/>
        </w:rPr>
        <w:t>.</w:t>
      </w:r>
    </w:p>
    <w:p w14:paraId="7B7CC273" w14:textId="77777777" w:rsidR="00034246" w:rsidRPr="0095448E" w:rsidRDefault="00034246" w:rsidP="0094784D">
      <w:pPr>
        <w:pStyle w:val="TAMainText"/>
        <w:rPr>
          <w:lang w:val="en-GB"/>
        </w:rPr>
      </w:pPr>
      <w:r w:rsidRPr="0095448E">
        <w:rPr>
          <w:lang w:val="en-GB"/>
        </w:rPr>
        <w:t>The timeframe for the simulations goes from the base year 2010 until the year 2100, broken into 10</w:t>
      </w:r>
      <w:r w:rsidR="00207CD9" w:rsidRPr="0095448E">
        <w:rPr>
          <w:lang w:val="en-GB"/>
        </w:rPr>
        <w:t>-</w:t>
      </w:r>
      <w:r w:rsidRPr="0095448E">
        <w:rPr>
          <w:lang w:val="en-GB"/>
        </w:rPr>
        <w:t>year time intervals, in order to analyse both me</w:t>
      </w:r>
      <w:r w:rsidR="00BC5805" w:rsidRPr="0095448E">
        <w:rPr>
          <w:lang w:val="en-GB"/>
        </w:rPr>
        <w:t>dium and long-</w:t>
      </w:r>
      <w:r w:rsidRPr="0095448E">
        <w:rPr>
          <w:lang w:val="en-GB"/>
        </w:rPr>
        <w:t xml:space="preserve">term effect of the investment decision making on the ammonia market. Fuel price profiles for electricity, hard coal, natural gas, HFO and biomethane have been assumed according to the </w:t>
      </w:r>
      <w:r w:rsidRPr="0095448E">
        <w:rPr>
          <w:lang w:val="en-GB"/>
        </w:rPr>
        <w:fldChar w:fldCharType="begin" w:fldLock="1"/>
      </w:r>
      <w:r w:rsidRPr="0095448E">
        <w:rPr>
          <w:lang w:val="en-GB"/>
        </w:rPr>
        <w:instrText>ADDIN CSL_CITATION { "citationItems" : [ { "id" : "ITEM-1", "itemData" : { "URL" : "https://www.iea.org/weo/weomodel/", "accessed" : { "date-parts" : [ [ "2019", "5", "21" ] ] }, "author" : [ { "dropping-particle" : "", "family" : "IEA", "given" : "", "non-dropping-particle" : "", "parse-names" : false, "suffix" : "" } ], "id" : "ITEM-1", "issue" : "30/ 01/ ", "issued" : { "date-parts" : [ [ "2018" ] ] }, "title" : "WEO Model", "type" : "webpage", "volume" : "2018" }, "uris" : [ "http://www.mendeley.com/documents/?uuid=3e625fb0-eeda-4a8f-bda7-a8b1e34d8a69" ] } ], "mendeley" : { "formattedCitation" : "(IEA, 2018a)", "plainTextFormattedCitation" : "(IEA, 2018a)", "previouslyFormattedCitation" : "[65]" }, "properties" : { "noteIndex" : 0 }, "schema" : "https://github.com/citation-style-language/schema/raw/master/csl-citation.json" }</w:instrText>
      </w:r>
      <w:r w:rsidRPr="0095448E">
        <w:rPr>
          <w:lang w:val="en-GB"/>
        </w:rPr>
        <w:fldChar w:fldCharType="separate"/>
      </w:r>
      <w:r w:rsidRPr="0095448E">
        <w:rPr>
          <w:lang w:val="en-GB"/>
        </w:rPr>
        <w:t>(IEA, 2018a)</w:t>
      </w:r>
      <w:r w:rsidRPr="0095448E">
        <w:rPr>
          <w:lang w:val="en-GB"/>
        </w:rPr>
        <w:fldChar w:fldCharType="end"/>
      </w:r>
      <w:r w:rsidRPr="0095448E">
        <w:rPr>
          <w:lang w:val="en-GB"/>
        </w:rPr>
        <w:t xml:space="preserve">. </w:t>
      </w:r>
    </w:p>
    <w:p w14:paraId="7C3C9FDF" w14:textId="77777777" w:rsidR="007A7597" w:rsidRPr="0095448E" w:rsidRDefault="007A7597" w:rsidP="00034246">
      <w:pPr>
        <w:pStyle w:val="BGKeywords"/>
        <w:rPr>
          <w:lang w:val="en-GB"/>
        </w:rPr>
      </w:pPr>
    </w:p>
    <w:p w14:paraId="3CCE3602" w14:textId="77777777" w:rsidR="006D424A" w:rsidRPr="0095448E" w:rsidRDefault="006D424A" w:rsidP="006145B5">
      <w:pPr>
        <w:pStyle w:val="VDTableTitle"/>
        <w:rPr>
          <w:lang w:val="en-GB"/>
        </w:rPr>
      </w:pPr>
      <w:bookmarkStart w:id="10" w:name="_Ref536449512"/>
      <w:bookmarkStart w:id="11" w:name="_Toc5264962"/>
      <w:r w:rsidRPr="0095448E">
        <w:rPr>
          <w:lang w:val="en-GB"/>
        </w:rPr>
        <w:t xml:space="preserve">Table </w:t>
      </w:r>
      <w:r w:rsidRPr="0095448E">
        <w:rPr>
          <w:lang w:val="en-GB"/>
        </w:rPr>
        <w:fldChar w:fldCharType="begin"/>
      </w:r>
      <w:r w:rsidRPr="0095448E">
        <w:rPr>
          <w:lang w:val="en-GB"/>
        </w:rPr>
        <w:instrText xml:space="preserve"> SEQ Table \* ARABIC </w:instrText>
      </w:r>
      <w:r w:rsidRPr="0095448E">
        <w:rPr>
          <w:lang w:val="en-GB"/>
        </w:rPr>
        <w:fldChar w:fldCharType="separate"/>
      </w:r>
      <w:r w:rsidRPr="0095448E">
        <w:rPr>
          <w:lang w:val="en-GB"/>
        </w:rPr>
        <w:t>4</w:t>
      </w:r>
      <w:r w:rsidRPr="0095448E">
        <w:fldChar w:fldCharType="end"/>
      </w:r>
      <w:bookmarkEnd w:id="10"/>
      <w:r w:rsidRPr="0095448E">
        <w:rPr>
          <w:lang w:val="en-GB"/>
        </w:rPr>
        <w:t>. Agents’ definition</w:t>
      </w:r>
      <w:bookmarkEnd w:id="11"/>
      <w:r w:rsidRPr="0095448E">
        <w:rPr>
          <w:lang w:val="en-GB"/>
        </w:rPr>
        <w:t xml:space="preserve"> and market share</w:t>
      </w:r>
    </w:p>
    <w:tbl>
      <w:tblPr>
        <w:tblW w:w="6875" w:type="dxa"/>
        <w:jc w:val="center"/>
        <w:tblLayout w:type="fixed"/>
        <w:tblLook w:val="04A0" w:firstRow="1" w:lastRow="0" w:firstColumn="1" w:lastColumn="0" w:noHBand="0" w:noVBand="1"/>
      </w:tblPr>
      <w:tblGrid>
        <w:gridCol w:w="1413"/>
        <w:gridCol w:w="1002"/>
        <w:gridCol w:w="636"/>
        <w:gridCol w:w="470"/>
        <w:gridCol w:w="837"/>
        <w:gridCol w:w="759"/>
        <w:gridCol w:w="892"/>
        <w:gridCol w:w="866"/>
      </w:tblGrid>
      <w:tr w:rsidR="00176C0D" w:rsidRPr="0095448E" w14:paraId="5C1340E0" w14:textId="77777777" w:rsidTr="006D424A">
        <w:trPr>
          <w:trHeight w:val="300"/>
          <w:tblHeader/>
          <w:jc w:val="center"/>
        </w:trPr>
        <w:tc>
          <w:tcPr>
            <w:tcW w:w="1413" w:type="dxa"/>
            <w:tcBorders>
              <w:top w:val="single" w:sz="4" w:space="0" w:color="auto"/>
              <w:bottom w:val="single" w:sz="4" w:space="0" w:color="auto"/>
            </w:tcBorders>
            <w:noWrap/>
            <w:hideMark/>
          </w:tcPr>
          <w:p w14:paraId="4DFAB847" w14:textId="77777777" w:rsidR="006D424A" w:rsidRPr="0095448E" w:rsidRDefault="006D424A" w:rsidP="0094784D">
            <w:pPr>
              <w:pStyle w:val="TCTableBody"/>
            </w:pPr>
            <w:r w:rsidRPr="0095448E">
              <w:t>Agent #</w:t>
            </w:r>
          </w:p>
        </w:tc>
        <w:tc>
          <w:tcPr>
            <w:tcW w:w="1002" w:type="dxa"/>
            <w:tcBorders>
              <w:top w:val="single" w:sz="4" w:space="0" w:color="auto"/>
              <w:bottom w:val="single" w:sz="4" w:space="0" w:color="auto"/>
            </w:tcBorders>
          </w:tcPr>
          <w:p w14:paraId="267C558F" w14:textId="77777777" w:rsidR="006D424A" w:rsidRPr="0095448E" w:rsidRDefault="006D424A" w:rsidP="0094784D">
            <w:pPr>
              <w:pStyle w:val="TCTableBody"/>
            </w:pPr>
            <w:r w:rsidRPr="0095448E">
              <w:t>Market</w:t>
            </w:r>
          </w:p>
          <w:p w14:paraId="0AEB19A8" w14:textId="77777777" w:rsidR="006D424A" w:rsidRPr="0095448E" w:rsidRDefault="006D424A" w:rsidP="0094784D">
            <w:pPr>
              <w:pStyle w:val="TCTableBody"/>
            </w:pPr>
            <w:r w:rsidRPr="0095448E">
              <w:t>share (%)</w:t>
            </w:r>
          </w:p>
        </w:tc>
        <w:tc>
          <w:tcPr>
            <w:tcW w:w="636" w:type="dxa"/>
            <w:tcBorders>
              <w:top w:val="single" w:sz="4" w:space="0" w:color="auto"/>
              <w:bottom w:val="single" w:sz="4" w:space="0" w:color="auto"/>
            </w:tcBorders>
            <w:noWrap/>
            <w:hideMark/>
          </w:tcPr>
          <w:p w14:paraId="7843F92D" w14:textId="77777777" w:rsidR="006D424A" w:rsidRPr="0095448E" w:rsidRDefault="006D424A" w:rsidP="0094784D">
            <w:pPr>
              <w:pStyle w:val="TCTableBody"/>
            </w:pPr>
            <w:r w:rsidRPr="0095448E">
              <w:t>SME</w:t>
            </w:r>
          </w:p>
        </w:tc>
        <w:tc>
          <w:tcPr>
            <w:tcW w:w="470" w:type="dxa"/>
            <w:tcBorders>
              <w:top w:val="single" w:sz="4" w:space="0" w:color="auto"/>
              <w:bottom w:val="single" w:sz="4" w:space="0" w:color="auto"/>
            </w:tcBorders>
            <w:noWrap/>
            <w:hideMark/>
          </w:tcPr>
          <w:p w14:paraId="62BB278F" w14:textId="77777777" w:rsidR="006D424A" w:rsidRPr="0095448E" w:rsidRDefault="006D424A" w:rsidP="0094784D">
            <w:pPr>
              <w:pStyle w:val="TCTableBody"/>
            </w:pPr>
            <w:r w:rsidRPr="0095448E">
              <w:t>LE</w:t>
            </w:r>
          </w:p>
        </w:tc>
        <w:tc>
          <w:tcPr>
            <w:tcW w:w="837" w:type="dxa"/>
            <w:tcBorders>
              <w:top w:val="single" w:sz="4" w:space="0" w:color="auto"/>
              <w:bottom w:val="single" w:sz="4" w:space="0" w:color="auto"/>
            </w:tcBorders>
            <w:noWrap/>
            <w:hideMark/>
          </w:tcPr>
          <w:p w14:paraId="40E98EA9" w14:textId="77777777" w:rsidR="006D424A" w:rsidRPr="0095448E" w:rsidRDefault="006D424A" w:rsidP="0094784D">
            <w:pPr>
              <w:pStyle w:val="TCTableBody"/>
            </w:pPr>
            <w:r w:rsidRPr="0095448E">
              <w:t>Private</w:t>
            </w:r>
          </w:p>
        </w:tc>
        <w:tc>
          <w:tcPr>
            <w:tcW w:w="759" w:type="dxa"/>
            <w:tcBorders>
              <w:top w:val="single" w:sz="4" w:space="0" w:color="auto"/>
              <w:bottom w:val="single" w:sz="4" w:space="0" w:color="auto"/>
            </w:tcBorders>
            <w:noWrap/>
            <w:hideMark/>
          </w:tcPr>
          <w:p w14:paraId="5B12D0F2" w14:textId="77777777" w:rsidR="006D424A" w:rsidRPr="0095448E" w:rsidRDefault="006D424A" w:rsidP="0094784D">
            <w:pPr>
              <w:pStyle w:val="TCTableBody"/>
            </w:pPr>
            <w:r w:rsidRPr="0095448E">
              <w:t>Public</w:t>
            </w:r>
          </w:p>
        </w:tc>
        <w:tc>
          <w:tcPr>
            <w:tcW w:w="892" w:type="dxa"/>
            <w:tcBorders>
              <w:top w:val="single" w:sz="4" w:space="0" w:color="auto"/>
              <w:bottom w:val="single" w:sz="4" w:space="0" w:color="auto"/>
            </w:tcBorders>
            <w:noWrap/>
            <w:hideMark/>
          </w:tcPr>
          <w:p w14:paraId="7BE6AECC" w14:textId="77777777" w:rsidR="006D424A" w:rsidRPr="0095448E" w:rsidRDefault="006D424A" w:rsidP="0094784D">
            <w:pPr>
              <w:pStyle w:val="TCTableBody"/>
            </w:pPr>
            <w:r w:rsidRPr="0095448E">
              <w:t>Chinese</w:t>
            </w:r>
          </w:p>
        </w:tc>
        <w:tc>
          <w:tcPr>
            <w:tcW w:w="866" w:type="dxa"/>
            <w:tcBorders>
              <w:top w:val="single" w:sz="4" w:space="0" w:color="auto"/>
              <w:bottom w:val="single" w:sz="4" w:space="0" w:color="auto"/>
            </w:tcBorders>
            <w:noWrap/>
            <w:hideMark/>
          </w:tcPr>
          <w:p w14:paraId="5BCCD4F9" w14:textId="77777777" w:rsidR="006D424A" w:rsidRPr="0095448E" w:rsidRDefault="006D424A" w:rsidP="0094784D">
            <w:pPr>
              <w:pStyle w:val="TCTableBody"/>
            </w:pPr>
            <w:r w:rsidRPr="0095448E">
              <w:t>Foreign</w:t>
            </w:r>
          </w:p>
        </w:tc>
      </w:tr>
      <w:tr w:rsidR="00176C0D" w:rsidRPr="0095448E" w14:paraId="6CC3C617" w14:textId="77777777" w:rsidTr="006D424A">
        <w:trPr>
          <w:trHeight w:val="300"/>
          <w:jc w:val="center"/>
        </w:trPr>
        <w:tc>
          <w:tcPr>
            <w:tcW w:w="1413" w:type="dxa"/>
            <w:tcBorders>
              <w:top w:val="single" w:sz="4" w:space="0" w:color="auto"/>
            </w:tcBorders>
            <w:noWrap/>
            <w:hideMark/>
          </w:tcPr>
          <w:p w14:paraId="69ACCB35" w14:textId="77777777" w:rsidR="006D424A" w:rsidRPr="0095448E" w:rsidRDefault="006D424A" w:rsidP="0094784D">
            <w:pPr>
              <w:pStyle w:val="TCTableBody"/>
            </w:pPr>
            <w:r w:rsidRPr="0095448E">
              <w:t>Agent 1</w:t>
            </w:r>
          </w:p>
        </w:tc>
        <w:tc>
          <w:tcPr>
            <w:tcW w:w="1002" w:type="dxa"/>
            <w:tcBorders>
              <w:top w:val="single" w:sz="4" w:space="0" w:color="auto"/>
            </w:tcBorders>
          </w:tcPr>
          <w:p w14:paraId="24FC976F" w14:textId="77777777" w:rsidR="006D424A" w:rsidRPr="0095448E" w:rsidRDefault="006D424A" w:rsidP="0094784D">
            <w:pPr>
              <w:pStyle w:val="TCTableBody"/>
            </w:pPr>
            <w:r w:rsidRPr="0095448E">
              <w:t>19.0</w:t>
            </w:r>
          </w:p>
        </w:tc>
        <w:tc>
          <w:tcPr>
            <w:tcW w:w="636" w:type="dxa"/>
            <w:tcBorders>
              <w:top w:val="single" w:sz="4" w:space="0" w:color="auto"/>
            </w:tcBorders>
            <w:noWrap/>
          </w:tcPr>
          <w:p w14:paraId="094A3560" w14:textId="77777777" w:rsidR="006D424A" w:rsidRPr="0095448E" w:rsidRDefault="006D424A" w:rsidP="0094784D">
            <w:pPr>
              <w:pStyle w:val="TCTableBody"/>
            </w:pPr>
            <w:r w:rsidRPr="0095448E">
              <w:t>x</w:t>
            </w:r>
          </w:p>
        </w:tc>
        <w:tc>
          <w:tcPr>
            <w:tcW w:w="470" w:type="dxa"/>
            <w:tcBorders>
              <w:top w:val="single" w:sz="4" w:space="0" w:color="auto"/>
            </w:tcBorders>
            <w:noWrap/>
          </w:tcPr>
          <w:p w14:paraId="7EEE5241" w14:textId="77777777" w:rsidR="006D424A" w:rsidRPr="0095448E" w:rsidRDefault="006D424A" w:rsidP="0094784D">
            <w:pPr>
              <w:pStyle w:val="TCTableBody"/>
            </w:pPr>
          </w:p>
        </w:tc>
        <w:tc>
          <w:tcPr>
            <w:tcW w:w="837" w:type="dxa"/>
            <w:tcBorders>
              <w:top w:val="single" w:sz="4" w:space="0" w:color="auto"/>
            </w:tcBorders>
            <w:noWrap/>
          </w:tcPr>
          <w:p w14:paraId="17D6722A" w14:textId="77777777" w:rsidR="006D424A" w:rsidRPr="0095448E" w:rsidRDefault="006D424A" w:rsidP="0094784D">
            <w:pPr>
              <w:pStyle w:val="TCTableBody"/>
            </w:pPr>
            <w:r w:rsidRPr="0095448E">
              <w:t>x</w:t>
            </w:r>
          </w:p>
        </w:tc>
        <w:tc>
          <w:tcPr>
            <w:tcW w:w="759" w:type="dxa"/>
            <w:tcBorders>
              <w:top w:val="single" w:sz="4" w:space="0" w:color="auto"/>
            </w:tcBorders>
            <w:noWrap/>
          </w:tcPr>
          <w:p w14:paraId="18E67420" w14:textId="77777777" w:rsidR="006D424A" w:rsidRPr="0095448E" w:rsidRDefault="006D424A" w:rsidP="0094784D">
            <w:pPr>
              <w:pStyle w:val="TCTableBody"/>
            </w:pPr>
          </w:p>
        </w:tc>
        <w:tc>
          <w:tcPr>
            <w:tcW w:w="892" w:type="dxa"/>
            <w:tcBorders>
              <w:top w:val="single" w:sz="4" w:space="0" w:color="auto"/>
            </w:tcBorders>
            <w:noWrap/>
          </w:tcPr>
          <w:p w14:paraId="5C01B24F" w14:textId="77777777" w:rsidR="006D424A" w:rsidRPr="0095448E" w:rsidRDefault="006D424A" w:rsidP="0094784D">
            <w:pPr>
              <w:pStyle w:val="TCTableBody"/>
            </w:pPr>
            <w:r w:rsidRPr="0095448E">
              <w:t>x</w:t>
            </w:r>
          </w:p>
        </w:tc>
        <w:tc>
          <w:tcPr>
            <w:tcW w:w="866" w:type="dxa"/>
            <w:tcBorders>
              <w:top w:val="single" w:sz="4" w:space="0" w:color="auto"/>
            </w:tcBorders>
            <w:noWrap/>
          </w:tcPr>
          <w:p w14:paraId="482273DD" w14:textId="77777777" w:rsidR="006D424A" w:rsidRPr="0095448E" w:rsidRDefault="006D424A" w:rsidP="0094784D">
            <w:pPr>
              <w:pStyle w:val="TCTableBody"/>
            </w:pPr>
          </w:p>
        </w:tc>
      </w:tr>
      <w:tr w:rsidR="00176C0D" w:rsidRPr="0095448E" w14:paraId="03769C84" w14:textId="77777777" w:rsidTr="00494925">
        <w:trPr>
          <w:trHeight w:val="300"/>
          <w:jc w:val="center"/>
        </w:trPr>
        <w:tc>
          <w:tcPr>
            <w:tcW w:w="1413" w:type="dxa"/>
            <w:noWrap/>
            <w:hideMark/>
          </w:tcPr>
          <w:p w14:paraId="2D935445" w14:textId="77777777" w:rsidR="006D424A" w:rsidRPr="0095448E" w:rsidRDefault="006D424A" w:rsidP="0094784D">
            <w:pPr>
              <w:pStyle w:val="TCTableBody"/>
            </w:pPr>
            <w:r w:rsidRPr="0095448E">
              <w:t>Agent 2</w:t>
            </w:r>
          </w:p>
        </w:tc>
        <w:tc>
          <w:tcPr>
            <w:tcW w:w="1002" w:type="dxa"/>
          </w:tcPr>
          <w:p w14:paraId="0814B4E9" w14:textId="77777777" w:rsidR="006D424A" w:rsidRPr="0095448E" w:rsidRDefault="006D424A" w:rsidP="0094784D">
            <w:pPr>
              <w:pStyle w:val="TCTableBody"/>
            </w:pPr>
            <w:r w:rsidRPr="0095448E">
              <w:t>18.9</w:t>
            </w:r>
          </w:p>
        </w:tc>
        <w:tc>
          <w:tcPr>
            <w:tcW w:w="636" w:type="dxa"/>
            <w:noWrap/>
          </w:tcPr>
          <w:p w14:paraId="1D6CF9F5" w14:textId="77777777" w:rsidR="006D424A" w:rsidRPr="0095448E" w:rsidRDefault="006D424A" w:rsidP="0094784D">
            <w:pPr>
              <w:pStyle w:val="TCTableBody"/>
            </w:pPr>
            <w:r w:rsidRPr="0095448E">
              <w:t>x</w:t>
            </w:r>
          </w:p>
        </w:tc>
        <w:tc>
          <w:tcPr>
            <w:tcW w:w="470" w:type="dxa"/>
            <w:noWrap/>
          </w:tcPr>
          <w:p w14:paraId="78BDDF07" w14:textId="77777777" w:rsidR="006D424A" w:rsidRPr="0095448E" w:rsidRDefault="006D424A" w:rsidP="0094784D">
            <w:pPr>
              <w:pStyle w:val="TCTableBody"/>
            </w:pPr>
          </w:p>
        </w:tc>
        <w:tc>
          <w:tcPr>
            <w:tcW w:w="837" w:type="dxa"/>
            <w:noWrap/>
          </w:tcPr>
          <w:p w14:paraId="27220422" w14:textId="77777777" w:rsidR="006D424A" w:rsidRPr="0095448E" w:rsidRDefault="006D424A" w:rsidP="0094784D">
            <w:pPr>
              <w:pStyle w:val="TCTableBody"/>
            </w:pPr>
            <w:r w:rsidRPr="0095448E">
              <w:t>x</w:t>
            </w:r>
          </w:p>
        </w:tc>
        <w:tc>
          <w:tcPr>
            <w:tcW w:w="759" w:type="dxa"/>
            <w:noWrap/>
          </w:tcPr>
          <w:p w14:paraId="5F05581A" w14:textId="77777777" w:rsidR="006D424A" w:rsidRPr="0095448E" w:rsidRDefault="006D424A" w:rsidP="0094784D">
            <w:pPr>
              <w:pStyle w:val="TCTableBody"/>
            </w:pPr>
          </w:p>
        </w:tc>
        <w:tc>
          <w:tcPr>
            <w:tcW w:w="892" w:type="dxa"/>
            <w:noWrap/>
          </w:tcPr>
          <w:p w14:paraId="6B11CFC9" w14:textId="77777777" w:rsidR="006D424A" w:rsidRPr="0095448E" w:rsidRDefault="006D424A" w:rsidP="0094784D">
            <w:pPr>
              <w:pStyle w:val="TCTableBody"/>
            </w:pPr>
          </w:p>
        </w:tc>
        <w:tc>
          <w:tcPr>
            <w:tcW w:w="866" w:type="dxa"/>
            <w:noWrap/>
          </w:tcPr>
          <w:p w14:paraId="255D32E7" w14:textId="77777777" w:rsidR="006D424A" w:rsidRPr="0095448E" w:rsidRDefault="006D424A" w:rsidP="0094784D">
            <w:pPr>
              <w:pStyle w:val="TCTableBody"/>
            </w:pPr>
            <w:r w:rsidRPr="0095448E">
              <w:t>x</w:t>
            </w:r>
          </w:p>
        </w:tc>
      </w:tr>
      <w:tr w:rsidR="00176C0D" w:rsidRPr="0095448E" w14:paraId="3B4D9A2F" w14:textId="77777777" w:rsidTr="00494925">
        <w:trPr>
          <w:trHeight w:val="300"/>
          <w:jc w:val="center"/>
        </w:trPr>
        <w:tc>
          <w:tcPr>
            <w:tcW w:w="1413" w:type="dxa"/>
            <w:noWrap/>
            <w:hideMark/>
          </w:tcPr>
          <w:p w14:paraId="785F2A33" w14:textId="77777777" w:rsidR="006D424A" w:rsidRPr="0095448E" w:rsidRDefault="006D424A" w:rsidP="0094784D">
            <w:pPr>
              <w:pStyle w:val="TCTableBody"/>
            </w:pPr>
            <w:r w:rsidRPr="0095448E">
              <w:t>Agent 3</w:t>
            </w:r>
          </w:p>
        </w:tc>
        <w:tc>
          <w:tcPr>
            <w:tcW w:w="1002" w:type="dxa"/>
          </w:tcPr>
          <w:p w14:paraId="75E2D3D8" w14:textId="77777777" w:rsidR="006D424A" w:rsidRPr="0095448E" w:rsidRDefault="006D424A" w:rsidP="0094784D">
            <w:pPr>
              <w:pStyle w:val="TCTableBody"/>
            </w:pPr>
            <w:r w:rsidRPr="0095448E">
              <w:t>28.9</w:t>
            </w:r>
          </w:p>
        </w:tc>
        <w:tc>
          <w:tcPr>
            <w:tcW w:w="636" w:type="dxa"/>
            <w:noWrap/>
          </w:tcPr>
          <w:p w14:paraId="19E60646" w14:textId="77777777" w:rsidR="006D424A" w:rsidRPr="0095448E" w:rsidRDefault="006D424A" w:rsidP="0094784D">
            <w:pPr>
              <w:pStyle w:val="TCTableBody"/>
            </w:pPr>
            <w:r w:rsidRPr="0095448E">
              <w:t>x</w:t>
            </w:r>
          </w:p>
        </w:tc>
        <w:tc>
          <w:tcPr>
            <w:tcW w:w="470" w:type="dxa"/>
            <w:noWrap/>
          </w:tcPr>
          <w:p w14:paraId="288B6833" w14:textId="77777777" w:rsidR="006D424A" w:rsidRPr="0095448E" w:rsidRDefault="006D424A" w:rsidP="0094784D">
            <w:pPr>
              <w:pStyle w:val="TCTableBody"/>
            </w:pPr>
          </w:p>
        </w:tc>
        <w:tc>
          <w:tcPr>
            <w:tcW w:w="837" w:type="dxa"/>
            <w:noWrap/>
          </w:tcPr>
          <w:p w14:paraId="07292BEC" w14:textId="77777777" w:rsidR="006D424A" w:rsidRPr="0095448E" w:rsidRDefault="006D424A" w:rsidP="0094784D">
            <w:pPr>
              <w:pStyle w:val="TCTableBody"/>
            </w:pPr>
          </w:p>
        </w:tc>
        <w:tc>
          <w:tcPr>
            <w:tcW w:w="759" w:type="dxa"/>
            <w:noWrap/>
          </w:tcPr>
          <w:p w14:paraId="5186A379" w14:textId="77777777" w:rsidR="006D424A" w:rsidRPr="0095448E" w:rsidRDefault="006D424A" w:rsidP="0094784D">
            <w:pPr>
              <w:pStyle w:val="TCTableBody"/>
            </w:pPr>
            <w:r w:rsidRPr="0095448E">
              <w:t>x</w:t>
            </w:r>
          </w:p>
        </w:tc>
        <w:tc>
          <w:tcPr>
            <w:tcW w:w="892" w:type="dxa"/>
            <w:noWrap/>
          </w:tcPr>
          <w:p w14:paraId="353A2F47" w14:textId="77777777" w:rsidR="006D424A" w:rsidRPr="0095448E" w:rsidRDefault="006D424A" w:rsidP="0094784D">
            <w:pPr>
              <w:pStyle w:val="TCTableBody"/>
            </w:pPr>
            <w:r w:rsidRPr="0095448E">
              <w:t>x</w:t>
            </w:r>
          </w:p>
        </w:tc>
        <w:tc>
          <w:tcPr>
            <w:tcW w:w="866" w:type="dxa"/>
            <w:noWrap/>
          </w:tcPr>
          <w:p w14:paraId="143473DD" w14:textId="77777777" w:rsidR="006D424A" w:rsidRPr="0095448E" w:rsidRDefault="006D424A" w:rsidP="0094784D">
            <w:pPr>
              <w:pStyle w:val="TCTableBody"/>
            </w:pPr>
          </w:p>
        </w:tc>
      </w:tr>
      <w:tr w:rsidR="00176C0D" w:rsidRPr="0095448E" w14:paraId="195E4740" w14:textId="77777777" w:rsidTr="00494925">
        <w:trPr>
          <w:trHeight w:val="300"/>
          <w:jc w:val="center"/>
        </w:trPr>
        <w:tc>
          <w:tcPr>
            <w:tcW w:w="1413" w:type="dxa"/>
            <w:noWrap/>
            <w:hideMark/>
          </w:tcPr>
          <w:p w14:paraId="2B20E00E" w14:textId="77777777" w:rsidR="006D424A" w:rsidRPr="0095448E" w:rsidRDefault="006D424A" w:rsidP="0094784D">
            <w:pPr>
              <w:pStyle w:val="TCTableBody"/>
            </w:pPr>
            <w:r w:rsidRPr="0095448E">
              <w:t>Agent 4</w:t>
            </w:r>
          </w:p>
        </w:tc>
        <w:tc>
          <w:tcPr>
            <w:tcW w:w="1002" w:type="dxa"/>
          </w:tcPr>
          <w:p w14:paraId="274050E7" w14:textId="77777777" w:rsidR="006D424A" w:rsidRPr="0095448E" w:rsidRDefault="006D424A" w:rsidP="0094784D">
            <w:pPr>
              <w:pStyle w:val="TCTableBody"/>
            </w:pPr>
            <w:r w:rsidRPr="0095448E">
              <w:t>9.5</w:t>
            </w:r>
          </w:p>
        </w:tc>
        <w:tc>
          <w:tcPr>
            <w:tcW w:w="636" w:type="dxa"/>
            <w:noWrap/>
          </w:tcPr>
          <w:p w14:paraId="696C8342" w14:textId="77777777" w:rsidR="006D424A" w:rsidRPr="0095448E" w:rsidRDefault="006D424A" w:rsidP="0094784D">
            <w:pPr>
              <w:pStyle w:val="TCTableBody"/>
            </w:pPr>
          </w:p>
        </w:tc>
        <w:tc>
          <w:tcPr>
            <w:tcW w:w="470" w:type="dxa"/>
            <w:noWrap/>
          </w:tcPr>
          <w:p w14:paraId="02F476E9" w14:textId="77777777" w:rsidR="006D424A" w:rsidRPr="0095448E" w:rsidRDefault="006D424A" w:rsidP="0094784D">
            <w:pPr>
              <w:pStyle w:val="TCTableBody"/>
            </w:pPr>
            <w:r w:rsidRPr="0095448E">
              <w:t>x</w:t>
            </w:r>
          </w:p>
        </w:tc>
        <w:tc>
          <w:tcPr>
            <w:tcW w:w="837" w:type="dxa"/>
            <w:noWrap/>
          </w:tcPr>
          <w:p w14:paraId="77828CC0" w14:textId="77777777" w:rsidR="006D424A" w:rsidRPr="0095448E" w:rsidRDefault="006D424A" w:rsidP="0094784D">
            <w:pPr>
              <w:pStyle w:val="TCTableBody"/>
            </w:pPr>
            <w:r w:rsidRPr="0095448E">
              <w:t>x</w:t>
            </w:r>
          </w:p>
        </w:tc>
        <w:tc>
          <w:tcPr>
            <w:tcW w:w="759" w:type="dxa"/>
            <w:noWrap/>
          </w:tcPr>
          <w:p w14:paraId="665EA639" w14:textId="77777777" w:rsidR="006D424A" w:rsidRPr="0095448E" w:rsidRDefault="006D424A" w:rsidP="0094784D">
            <w:pPr>
              <w:pStyle w:val="TCTableBody"/>
            </w:pPr>
          </w:p>
        </w:tc>
        <w:tc>
          <w:tcPr>
            <w:tcW w:w="892" w:type="dxa"/>
            <w:noWrap/>
          </w:tcPr>
          <w:p w14:paraId="581BCF05" w14:textId="77777777" w:rsidR="006D424A" w:rsidRPr="0095448E" w:rsidRDefault="006D424A" w:rsidP="0094784D">
            <w:pPr>
              <w:pStyle w:val="TCTableBody"/>
            </w:pPr>
            <w:r w:rsidRPr="0095448E">
              <w:t>x</w:t>
            </w:r>
          </w:p>
        </w:tc>
        <w:tc>
          <w:tcPr>
            <w:tcW w:w="866" w:type="dxa"/>
            <w:noWrap/>
          </w:tcPr>
          <w:p w14:paraId="3DE1C563" w14:textId="77777777" w:rsidR="006D424A" w:rsidRPr="0095448E" w:rsidRDefault="006D424A" w:rsidP="0094784D">
            <w:pPr>
              <w:pStyle w:val="TCTableBody"/>
            </w:pPr>
          </w:p>
        </w:tc>
      </w:tr>
      <w:tr w:rsidR="00176C0D" w:rsidRPr="0095448E" w14:paraId="54CEFA25" w14:textId="77777777" w:rsidTr="006D424A">
        <w:trPr>
          <w:trHeight w:val="300"/>
          <w:jc w:val="center"/>
        </w:trPr>
        <w:tc>
          <w:tcPr>
            <w:tcW w:w="1413" w:type="dxa"/>
            <w:noWrap/>
            <w:hideMark/>
          </w:tcPr>
          <w:p w14:paraId="50E02563" w14:textId="77777777" w:rsidR="006D424A" w:rsidRPr="0095448E" w:rsidRDefault="006D424A" w:rsidP="0094784D">
            <w:pPr>
              <w:pStyle w:val="TCTableBody"/>
            </w:pPr>
            <w:r w:rsidRPr="0095448E">
              <w:t>Agent 5</w:t>
            </w:r>
          </w:p>
        </w:tc>
        <w:tc>
          <w:tcPr>
            <w:tcW w:w="1002" w:type="dxa"/>
          </w:tcPr>
          <w:p w14:paraId="42071737" w14:textId="77777777" w:rsidR="006D424A" w:rsidRPr="0095448E" w:rsidRDefault="006D424A" w:rsidP="0094784D">
            <w:pPr>
              <w:pStyle w:val="TCTableBody"/>
            </w:pPr>
            <w:r w:rsidRPr="0095448E">
              <w:t>9.4</w:t>
            </w:r>
          </w:p>
        </w:tc>
        <w:tc>
          <w:tcPr>
            <w:tcW w:w="636" w:type="dxa"/>
            <w:noWrap/>
          </w:tcPr>
          <w:p w14:paraId="25126110" w14:textId="77777777" w:rsidR="006D424A" w:rsidRPr="0095448E" w:rsidRDefault="006D424A" w:rsidP="0094784D">
            <w:pPr>
              <w:pStyle w:val="TCTableBody"/>
            </w:pPr>
          </w:p>
        </w:tc>
        <w:tc>
          <w:tcPr>
            <w:tcW w:w="470" w:type="dxa"/>
            <w:noWrap/>
          </w:tcPr>
          <w:p w14:paraId="4D22729C" w14:textId="77777777" w:rsidR="006D424A" w:rsidRPr="0095448E" w:rsidRDefault="006D424A" w:rsidP="0094784D">
            <w:pPr>
              <w:pStyle w:val="TCTableBody"/>
            </w:pPr>
            <w:r w:rsidRPr="0095448E">
              <w:t>x</w:t>
            </w:r>
          </w:p>
        </w:tc>
        <w:tc>
          <w:tcPr>
            <w:tcW w:w="837" w:type="dxa"/>
            <w:noWrap/>
          </w:tcPr>
          <w:p w14:paraId="3D93B5AC" w14:textId="77777777" w:rsidR="006D424A" w:rsidRPr="0095448E" w:rsidRDefault="006D424A" w:rsidP="0094784D">
            <w:pPr>
              <w:pStyle w:val="TCTableBody"/>
            </w:pPr>
            <w:r w:rsidRPr="0095448E">
              <w:t>x</w:t>
            </w:r>
          </w:p>
        </w:tc>
        <w:tc>
          <w:tcPr>
            <w:tcW w:w="759" w:type="dxa"/>
            <w:noWrap/>
          </w:tcPr>
          <w:p w14:paraId="66AD49A5" w14:textId="77777777" w:rsidR="006D424A" w:rsidRPr="0095448E" w:rsidRDefault="006D424A" w:rsidP="0094784D">
            <w:pPr>
              <w:pStyle w:val="TCTableBody"/>
            </w:pPr>
          </w:p>
        </w:tc>
        <w:tc>
          <w:tcPr>
            <w:tcW w:w="892" w:type="dxa"/>
            <w:noWrap/>
          </w:tcPr>
          <w:p w14:paraId="20EF27B2" w14:textId="77777777" w:rsidR="006D424A" w:rsidRPr="0095448E" w:rsidRDefault="006D424A" w:rsidP="0094784D">
            <w:pPr>
              <w:pStyle w:val="TCTableBody"/>
            </w:pPr>
          </w:p>
        </w:tc>
        <w:tc>
          <w:tcPr>
            <w:tcW w:w="866" w:type="dxa"/>
            <w:noWrap/>
          </w:tcPr>
          <w:p w14:paraId="11D28898" w14:textId="77777777" w:rsidR="006D424A" w:rsidRPr="0095448E" w:rsidRDefault="006D424A" w:rsidP="0094784D">
            <w:pPr>
              <w:pStyle w:val="TCTableBody"/>
            </w:pPr>
            <w:r w:rsidRPr="0095448E">
              <w:t>x</w:t>
            </w:r>
          </w:p>
        </w:tc>
      </w:tr>
      <w:tr w:rsidR="006D424A" w:rsidRPr="0095448E" w14:paraId="2A9FB665" w14:textId="77777777" w:rsidTr="006D424A">
        <w:trPr>
          <w:trHeight w:val="300"/>
          <w:jc w:val="center"/>
        </w:trPr>
        <w:tc>
          <w:tcPr>
            <w:tcW w:w="1413" w:type="dxa"/>
            <w:tcBorders>
              <w:bottom w:val="single" w:sz="4" w:space="0" w:color="auto"/>
            </w:tcBorders>
            <w:noWrap/>
          </w:tcPr>
          <w:p w14:paraId="235F4FDC" w14:textId="77777777" w:rsidR="006D424A" w:rsidRPr="0095448E" w:rsidRDefault="006D424A" w:rsidP="0094784D">
            <w:pPr>
              <w:pStyle w:val="TCTableBody"/>
            </w:pPr>
            <w:r w:rsidRPr="0095448E">
              <w:lastRenderedPageBreak/>
              <w:t>Agent 6</w:t>
            </w:r>
          </w:p>
        </w:tc>
        <w:tc>
          <w:tcPr>
            <w:tcW w:w="1002" w:type="dxa"/>
            <w:tcBorders>
              <w:bottom w:val="single" w:sz="4" w:space="0" w:color="auto"/>
            </w:tcBorders>
          </w:tcPr>
          <w:p w14:paraId="1A876C69" w14:textId="77777777" w:rsidR="006D424A" w:rsidRPr="0095448E" w:rsidRDefault="006D424A" w:rsidP="0094784D">
            <w:pPr>
              <w:pStyle w:val="TCTableBody"/>
            </w:pPr>
            <w:r w:rsidRPr="0095448E">
              <w:t>14.3</w:t>
            </w:r>
          </w:p>
        </w:tc>
        <w:tc>
          <w:tcPr>
            <w:tcW w:w="636" w:type="dxa"/>
            <w:tcBorders>
              <w:bottom w:val="single" w:sz="4" w:space="0" w:color="auto"/>
            </w:tcBorders>
            <w:noWrap/>
          </w:tcPr>
          <w:p w14:paraId="5856C88B" w14:textId="77777777" w:rsidR="006D424A" w:rsidRPr="0095448E" w:rsidRDefault="006D424A" w:rsidP="0094784D">
            <w:pPr>
              <w:pStyle w:val="TCTableBody"/>
            </w:pPr>
          </w:p>
        </w:tc>
        <w:tc>
          <w:tcPr>
            <w:tcW w:w="470" w:type="dxa"/>
            <w:tcBorders>
              <w:bottom w:val="single" w:sz="4" w:space="0" w:color="auto"/>
            </w:tcBorders>
            <w:noWrap/>
          </w:tcPr>
          <w:p w14:paraId="14585284" w14:textId="77777777" w:rsidR="006D424A" w:rsidRPr="0095448E" w:rsidRDefault="006D424A" w:rsidP="0094784D">
            <w:pPr>
              <w:pStyle w:val="TCTableBody"/>
            </w:pPr>
            <w:r w:rsidRPr="0095448E">
              <w:t>x</w:t>
            </w:r>
          </w:p>
        </w:tc>
        <w:tc>
          <w:tcPr>
            <w:tcW w:w="837" w:type="dxa"/>
            <w:tcBorders>
              <w:bottom w:val="single" w:sz="4" w:space="0" w:color="auto"/>
            </w:tcBorders>
            <w:noWrap/>
          </w:tcPr>
          <w:p w14:paraId="1B625983" w14:textId="77777777" w:rsidR="006D424A" w:rsidRPr="0095448E" w:rsidRDefault="006D424A" w:rsidP="0094784D">
            <w:pPr>
              <w:pStyle w:val="TCTableBody"/>
            </w:pPr>
          </w:p>
        </w:tc>
        <w:tc>
          <w:tcPr>
            <w:tcW w:w="759" w:type="dxa"/>
            <w:tcBorders>
              <w:bottom w:val="single" w:sz="4" w:space="0" w:color="auto"/>
            </w:tcBorders>
            <w:noWrap/>
          </w:tcPr>
          <w:p w14:paraId="2710BBFA" w14:textId="77777777" w:rsidR="006D424A" w:rsidRPr="0095448E" w:rsidRDefault="006D424A" w:rsidP="0094784D">
            <w:pPr>
              <w:pStyle w:val="TCTableBody"/>
            </w:pPr>
            <w:r w:rsidRPr="0095448E">
              <w:t>x</w:t>
            </w:r>
          </w:p>
        </w:tc>
        <w:tc>
          <w:tcPr>
            <w:tcW w:w="892" w:type="dxa"/>
            <w:tcBorders>
              <w:bottom w:val="single" w:sz="4" w:space="0" w:color="auto"/>
            </w:tcBorders>
            <w:noWrap/>
          </w:tcPr>
          <w:p w14:paraId="480820F0" w14:textId="77777777" w:rsidR="006D424A" w:rsidRPr="0095448E" w:rsidRDefault="006D424A" w:rsidP="0094784D">
            <w:pPr>
              <w:pStyle w:val="TCTableBody"/>
            </w:pPr>
            <w:r w:rsidRPr="0095448E">
              <w:t>x</w:t>
            </w:r>
          </w:p>
        </w:tc>
        <w:tc>
          <w:tcPr>
            <w:tcW w:w="866" w:type="dxa"/>
            <w:tcBorders>
              <w:bottom w:val="single" w:sz="4" w:space="0" w:color="auto"/>
            </w:tcBorders>
            <w:noWrap/>
          </w:tcPr>
          <w:p w14:paraId="7AE47D16" w14:textId="77777777" w:rsidR="006D424A" w:rsidRPr="0095448E" w:rsidRDefault="006D424A" w:rsidP="0094784D">
            <w:pPr>
              <w:pStyle w:val="TCTableBody"/>
            </w:pPr>
          </w:p>
        </w:tc>
      </w:tr>
    </w:tbl>
    <w:p w14:paraId="4C250ED7" w14:textId="77777777" w:rsidR="00BC5805" w:rsidRPr="0095448E" w:rsidRDefault="00BC5805" w:rsidP="00034246">
      <w:pPr>
        <w:pStyle w:val="BGKeywords"/>
        <w:rPr>
          <w:lang w:val="en-GB"/>
        </w:rPr>
      </w:pPr>
    </w:p>
    <w:p w14:paraId="44B73941" w14:textId="77777777" w:rsidR="00BC5805" w:rsidRPr="0095448E" w:rsidRDefault="00BC5805" w:rsidP="006145B5">
      <w:pPr>
        <w:pStyle w:val="VDTableTitle"/>
        <w:rPr>
          <w:lang w:val="en-GB"/>
        </w:rPr>
      </w:pPr>
      <w:bookmarkStart w:id="12" w:name="_Ref535497587"/>
      <w:bookmarkStart w:id="13" w:name="_Toc5264963"/>
      <w:r w:rsidRPr="0095448E">
        <w:rPr>
          <w:lang w:val="en-GB"/>
        </w:rPr>
        <w:t xml:space="preserve">Table </w:t>
      </w:r>
      <w:r w:rsidRPr="0095448E">
        <w:rPr>
          <w:lang w:val="en-GB"/>
        </w:rPr>
        <w:fldChar w:fldCharType="begin"/>
      </w:r>
      <w:r w:rsidRPr="0095448E">
        <w:rPr>
          <w:lang w:val="en-GB"/>
        </w:rPr>
        <w:instrText xml:space="preserve"> SEQ Table \* ARABIC </w:instrText>
      </w:r>
      <w:r w:rsidRPr="0095448E">
        <w:rPr>
          <w:lang w:val="en-GB"/>
        </w:rPr>
        <w:fldChar w:fldCharType="separate"/>
      </w:r>
      <w:r w:rsidRPr="0095448E">
        <w:rPr>
          <w:lang w:val="en-GB"/>
        </w:rPr>
        <w:t>5</w:t>
      </w:r>
      <w:r w:rsidRPr="0095448E">
        <w:fldChar w:fldCharType="end"/>
      </w:r>
      <w:bookmarkEnd w:id="12"/>
      <w:r w:rsidRPr="0095448E">
        <w:rPr>
          <w:lang w:val="en-GB"/>
        </w:rPr>
        <w:t>. Agents’ weights based on mentioned references (pub: public; pr.: private; Ch.: Chinese; for: foreign; SME: Small Medium Enterprise; LE: Large Enterprise; NPV: Net Present Value; PB: Payback Time)</w:t>
      </w:r>
      <w:bookmarkEnd w:id="13"/>
    </w:p>
    <w:tbl>
      <w:tblPr>
        <w:tblW w:w="7999" w:type="dxa"/>
        <w:tblInd w:w="846" w:type="dxa"/>
        <w:tblLook w:val="04A0" w:firstRow="1" w:lastRow="0" w:firstColumn="1" w:lastColumn="0" w:noHBand="0" w:noVBand="1"/>
      </w:tblPr>
      <w:tblGrid>
        <w:gridCol w:w="1003"/>
        <w:gridCol w:w="1259"/>
        <w:gridCol w:w="1237"/>
        <w:gridCol w:w="1340"/>
        <w:gridCol w:w="1062"/>
        <w:gridCol w:w="1134"/>
        <w:gridCol w:w="1174"/>
      </w:tblGrid>
      <w:tr w:rsidR="0095448E" w:rsidRPr="0095448E" w14:paraId="19E434B5" w14:textId="77777777" w:rsidTr="00656A88">
        <w:trPr>
          <w:trHeight w:val="227"/>
          <w:tblHeader/>
        </w:trPr>
        <w:tc>
          <w:tcPr>
            <w:tcW w:w="793" w:type="dxa"/>
            <w:tcBorders>
              <w:top w:val="single" w:sz="4" w:space="0" w:color="auto"/>
              <w:bottom w:val="single" w:sz="4" w:space="0" w:color="auto"/>
            </w:tcBorders>
            <w:noWrap/>
            <w:vAlign w:val="center"/>
            <w:hideMark/>
          </w:tcPr>
          <w:p w14:paraId="441C42B6" w14:textId="77777777" w:rsidR="00BC5805" w:rsidRPr="0095448E" w:rsidRDefault="00BC5805" w:rsidP="0094784D">
            <w:pPr>
              <w:pStyle w:val="TCTableBody"/>
            </w:pPr>
          </w:p>
        </w:tc>
        <w:tc>
          <w:tcPr>
            <w:tcW w:w="1259" w:type="dxa"/>
            <w:tcBorders>
              <w:top w:val="single" w:sz="4" w:space="0" w:color="auto"/>
              <w:bottom w:val="single" w:sz="4" w:space="0" w:color="auto"/>
            </w:tcBorders>
            <w:noWrap/>
            <w:vAlign w:val="center"/>
            <w:hideMark/>
          </w:tcPr>
          <w:p w14:paraId="0B3820A1" w14:textId="77777777" w:rsidR="00BC5805" w:rsidRPr="0095448E" w:rsidRDefault="00BC5805" w:rsidP="0094784D">
            <w:pPr>
              <w:pStyle w:val="TCTableBody"/>
            </w:pPr>
            <w:r w:rsidRPr="0095448E">
              <w:t>Agent # 1</w:t>
            </w:r>
          </w:p>
          <w:p w14:paraId="0348722B" w14:textId="77777777" w:rsidR="00BC5805" w:rsidRPr="0095448E" w:rsidRDefault="00BC5805" w:rsidP="0094784D">
            <w:pPr>
              <w:pStyle w:val="TCTableBody"/>
            </w:pPr>
            <w:r w:rsidRPr="0095448E">
              <w:t>SME, pr., Ch.</w:t>
            </w:r>
          </w:p>
        </w:tc>
        <w:tc>
          <w:tcPr>
            <w:tcW w:w="1237" w:type="dxa"/>
            <w:tcBorders>
              <w:top w:val="single" w:sz="4" w:space="0" w:color="auto"/>
              <w:bottom w:val="single" w:sz="4" w:space="0" w:color="auto"/>
            </w:tcBorders>
            <w:noWrap/>
            <w:vAlign w:val="center"/>
            <w:hideMark/>
          </w:tcPr>
          <w:p w14:paraId="0D509F82" w14:textId="77777777" w:rsidR="00BC5805" w:rsidRPr="0095448E" w:rsidRDefault="00BC5805" w:rsidP="0094784D">
            <w:pPr>
              <w:pStyle w:val="TCTableBody"/>
            </w:pPr>
            <w:r w:rsidRPr="0095448E">
              <w:t>Agent # 2</w:t>
            </w:r>
          </w:p>
          <w:p w14:paraId="6904076F" w14:textId="77777777" w:rsidR="00BC5805" w:rsidRPr="0095448E" w:rsidRDefault="00BC5805" w:rsidP="0094784D">
            <w:pPr>
              <w:pStyle w:val="TCTableBody"/>
            </w:pPr>
            <w:r w:rsidRPr="0095448E">
              <w:t>SME, pr., for.</w:t>
            </w:r>
          </w:p>
        </w:tc>
        <w:tc>
          <w:tcPr>
            <w:tcW w:w="1340" w:type="dxa"/>
            <w:tcBorders>
              <w:top w:val="single" w:sz="4" w:space="0" w:color="auto"/>
              <w:bottom w:val="single" w:sz="4" w:space="0" w:color="auto"/>
            </w:tcBorders>
            <w:noWrap/>
            <w:vAlign w:val="center"/>
            <w:hideMark/>
          </w:tcPr>
          <w:p w14:paraId="5A9E098D" w14:textId="77777777" w:rsidR="00BC5805" w:rsidRPr="0095448E" w:rsidRDefault="00BC5805" w:rsidP="0094784D">
            <w:pPr>
              <w:pStyle w:val="TCTableBody"/>
            </w:pPr>
            <w:r w:rsidRPr="0095448E">
              <w:t>Agent # 3</w:t>
            </w:r>
          </w:p>
          <w:p w14:paraId="7BE147C7" w14:textId="77777777" w:rsidR="00BC5805" w:rsidRPr="0095448E" w:rsidRDefault="00BC5805" w:rsidP="0094784D">
            <w:pPr>
              <w:pStyle w:val="TCTableBody"/>
            </w:pPr>
            <w:r w:rsidRPr="0095448E">
              <w:t>SME, pub., Ch.</w:t>
            </w:r>
          </w:p>
        </w:tc>
        <w:tc>
          <w:tcPr>
            <w:tcW w:w="1062" w:type="dxa"/>
            <w:tcBorders>
              <w:top w:val="single" w:sz="4" w:space="0" w:color="auto"/>
              <w:bottom w:val="single" w:sz="4" w:space="0" w:color="auto"/>
            </w:tcBorders>
            <w:noWrap/>
            <w:vAlign w:val="center"/>
            <w:hideMark/>
          </w:tcPr>
          <w:p w14:paraId="0C8B8A2B" w14:textId="77777777" w:rsidR="00BC5805" w:rsidRPr="0095448E" w:rsidRDefault="00BC5805" w:rsidP="0094784D">
            <w:pPr>
              <w:pStyle w:val="TCTableBody"/>
            </w:pPr>
            <w:r w:rsidRPr="0095448E">
              <w:t>Agent # 4</w:t>
            </w:r>
          </w:p>
          <w:p w14:paraId="6040443F" w14:textId="77777777" w:rsidR="00BC5805" w:rsidRPr="0095448E" w:rsidRDefault="00BC5805" w:rsidP="0094784D">
            <w:pPr>
              <w:pStyle w:val="TCTableBody"/>
            </w:pPr>
            <w:r w:rsidRPr="0095448E">
              <w:t>LE, pr., Ch.</w:t>
            </w:r>
          </w:p>
        </w:tc>
        <w:tc>
          <w:tcPr>
            <w:tcW w:w="1134" w:type="dxa"/>
            <w:tcBorders>
              <w:top w:val="single" w:sz="4" w:space="0" w:color="auto"/>
              <w:bottom w:val="single" w:sz="4" w:space="0" w:color="auto"/>
            </w:tcBorders>
            <w:noWrap/>
            <w:vAlign w:val="center"/>
            <w:hideMark/>
          </w:tcPr>
          <w:p w14:paraId="1C8720AC" w14:textId="77777777" w:rsidR="00BC5805" w:rsidRPr="0095448E" w:rsidRDefault="00BC5805" w:rsidP="0094784D">
            <w:pPr>
              <w:pStyle w:val="TCTableBody"/>
            </w:pPr>
            <w:r w:rsidRPr="0095448E">
              <w:t>Agent # 5</w:t>
            </w:r>
          </w:p>
          <w:p w14:paraId="06FD1CA9" w14:textId="77777777" w:rsidR="00BC5805" w:rsidRPr="0095448E" w:rsidRDefault="00BC5805" w:rsidP="0094784D">
            <w:pPr>
              <w:pStyle w:val="TCTableBody"/>
            </w:pPr>
            <w:r w:rsidRPr="0095448E">
              <w:t>LE, pr., for.</w:t>
            </w:r>
          </w:p>
        </w:tc>
        <w:tc>
          <w:tcPr>
            <w:tcW w:w="1174" w:type="dxa"/>
            <w:tcBorders>
              <w:top w:val="single" w:sz="4" w:space="0" w:color="auto"/>
              <w:bottom w:val="single" w:sz="4" w:space="0" w:color="auto"/>
            </w:tcBorders>
            <w:noWrap/>
            <w:vAlign w:val="center"/>
            <w:hideMark/>
          </w:tcPr>
          <w:p w14:paraId="37413F62" w14:textId="77777777" w:rsidR="00BC5805" w:rsidRPr="0095448E" w:rsidRDefault="00BC5805" w:rsidP="0094784D">
            <w:pPr>
              <w:pStyle w:val="TCTableBody"/>
            </w:pPr>
            <w:r w:rsidRPr="0095448E">
              <w:t>Agent # 6</w:t>
            </w:r>
          </w:p>
          <w:p w14:paraId="5D297116" w14:textId="77777777" w:rsidR="00BC5805" w:rsidRPr="0095448E" w:rsidRDefault="00BC5805" w:rsidP="0094784D">
            <w:pPr>
              <w:pStyle w:val="TCTableBody"/>
            </w:pPr>
            <w:r w:rsidRPr="0095448E">
              <w:t>LE, pub., Ch.</w:t>
            </w:r>
          </w:p>
        </w:tc>
      </w:tr>
      <w:tr w:rsidR="0095448E" w:rsidRPr="0095448E" w14:paraId="7E530E60" w14:textId="77777777" w:rsidTr="00656A88">
        <w:trPr>
          <w:trHeight w:val="227"/>
        </w:trPr>
        <w:tc>
          <w:tcPr>
            <w:tcW w:w="7999" w:type="dxa"/>
            <w:gridSpan w:val="7"/>
            <w:tcBorders>
              <w:top w:val="single" w:sz="4" w:space="0" w:color="auto"/>
              <w:bottom w:val="single" w:sz="4" w:space="0" w:color="auto"/>
            </w:tcBorders>
            <w:noWrap/>
            <w:vAlign w:val="center"/>
            <w:hideMark/>
          </w:tcPr>
          <w:p w14:paraId="62C6C3D1" w14:textId="77777777" w:rsidR="00BC5805" w:rsidRPr="0095448E" w:rsidRDefault="00BC5805" w:rsidP="0094784D">
            <w:pPr>
              <w:pStyle w:val="TCTableBody"/>
            </w:pPr>
            <w:r w:rsidRPr="0095448E">
              <w:t>baseline tuning</w:t>
            </w:r>
          </w:p>
        </w:tc>
      </w:tr>
      <w:tr w:rsidR="0095448E" w:rsidRPr="0095448E" w14:paraId="580CC482" w14:textId="77777777" w:rsidTr="00656A88">
        <w:trPr>
          <w:trHeight w:val="227"/>
        </w:trPr>
        <w:tc>
          <w:tcPr>
            <w:tcW w:w="793" w:type="dxa"/>
            <w:tcBorders>
              <w:top w:val="single" w:sz="4" w:space="0" w:color="auto"/>
            </w:tcBorders>
            <w:noWrap/>
            <w:vAlign w:val="center"/>
            <w:hideMark/>
          </w:tcPr>
          <w:p w14:paraId="535B76D4" w14:textId="77777777" w:rsidR="00BC5805" w:rsidRPr="0095448E" w:rsidRDefault="00BC5805" w:rsidP="0094784D">
            <w:pPr>
              <w:pStyle w:val="TCTableBody"/>
            </w:pPr>
            <w:r w:rsidRPr="0095448E">
              <w:t>NPV</w:t>
            </w:r>
          </w:p>
        </w:tc>
        <w:tc>
          <w:tcPr>
            <w:tcW w:w="1259" w:type="dxa"/>
            <w:tcBorders>
              <w:top w:val="single" w:sz="4" w:space="0" w:color="auto"/>
            </w:tcBorders>
            <w:noWrap/>
            <w:vAlign w:val="center"/>
            <w:hideMark/>
          </w:tcPr>
          <w:p w14:paraId="76EA89E4" w14:textId="77777777" w:rsidR="00BC5805" w:rsidRPr="0095448E" w:rsidRDefault="00BC5805" w:rsidP="0094784D">
            <w:pPr>
              <w:pStyle w:val="TCTableBody"/>
            </w:pPr>
            <w:r w:rsidRPr="0095448E">
              <w:t>0.2</w:t>
            </w:r>
          </w:p>
        </w:tc>
        <w:tc>
          <w:tcPr>
            <w:tcW w:w="1237" w:type="dxa"/>
            <w:tcBorders>
              <w:top w:val="single" w:sz="4" w:space="0" w:color="auto"/>
            </w:tcBorders>
            <w:noWrap/>
            <w:vAlign w:val="center"/>
            <w:hideMark/>
          </w:tcPr>
          <w:p w14:paraId="1EB8D8BB" w14:textId="77777777" w:rsidR="00BC5805" w:rsidRPr="0095448E" w:rsidRDefault="00BC5805" w:rsidP="0094784D">
            <w:pPr>
              <w:pStyle w:val="TCTableBody"/>
            </w:pPr>
            <w:r w:rsidRPr="0095448E">
              <w:t>0.75</w:t>
            </w:r>
          </w:p>
        </w:tc>
        <w:tc>
          <w:tcPr>
            <w:tcW w:w="1340" w:type="dxa"/>
            <w:tcBorders>
              <w:top w:val="single" w:sz="4" w:space="0" w:color="auto"/>
            </w:tcBorders>
            <w:noWrap/>
            <w:vAlign w:val="center"/>
            <w:hideMark/>
          </w:tcPr>
          <w:p w14:paraId="345F3CCD" w14:textId="77777777" w:rsidR="00BC5805" w:rsidRPr="0095448E" w:rsidRDefault="00BC5805" w:rsidP="0094784D">
            <w:pPr>
              <w:pStyle w:val="TCTableBody"/>
            </w:pPr>
            <w:r w:rsidRPr="0095448E">
              <w:t>0.4</w:t>
            </w:r>
          </w:p>
        </w:tc>
        <w:tc>
          <w:tcPr>
            <w:tcW w:w="1062" w:type="dxa"/>
            <w:tcBorders>
              <w:top w:val="single" w:sz="4" w:space="0" w:color="auto"/>
            </w:tcBorders>
            <w:noWrap/>
            <w:vAlign w:val="center"/>
            <w:hideMark/>
          </w:tcPr>
          <w:p w14:paraId="44AC4729" w14:textId="77777777" w:rsidR="00BC5805" w:rsidRPr="0095448E" w:rsidRDefault="00BC5805" w:rsidP="0094784D">
            <w:pPr>
              <w:pStyle w:val="TCTableBody"/>
            </w:pPr>
            <w:r w:rsidRPr="0095448E">
              <w:t>0.36</w:t>
            </w:r>
          </w:p>
        </w:tc>
        <w:tc>
          <w:tcPr>
            <w:tcW w:w="1134" w:type="dxa"/>
            <w:tcBorders>
              <w:top w:val="single" w:sz="4" w:space="0" w:color="auto"/>
            </w:tcBorders>
            <w:noWrap/>
            <w:vAlign w:val="center"/>
            <w:hideMark/>
          </w:tcPr>
          <w:p w14:paraId="2032BCB3" w14:textId="77777777" w:rsidR="00BC5805" w:rsidRPr="0095448E" w:rsidRDefault="00BC5805" w:rsidP="0094784D">
            <w:pPr>
              <w:pStyle w:val="TCTableBody"/>
            </w:pPr>
            <w:r w:rsidRPr="0095448E">
              <w:t>1</w:t>
            </w:r>
          </w:p>
        </w:tc>
        <w:tc>
          <w:tcPr>
            <w:tcW w:w="1174" w:type="dxa"/>
            <w:tcBorders>
              <w:top w:val="single" w:sz="4" w:space="0" w:color="auto"/>
            </w:tcBorders>
            <w:noWrap/>
            <w:vAlign w:val="center"/>
            <w:hideMark/>
          </w:tcPr>
          <w:p w14:paraId="557DD978" w14:textId="77777777" w:rsidR="00BC5805" w:rsidRPr="0095448E" w:rsidRDefault="00BC5805" w:rsidP="0094784D">
            <w:pPr>
              <w:pStyle w:val="TCTableBody"/>
            </w:pPr>
            <w:r w:rsidRPr="0095448E">
              <w:t>0.6</w:t>
            </w:r>
          </w:p>
        </w:tc>
      </w:tr>
      <w:tr w:rsidR="0095448E" w:rsidRPr="0095448E" w14:paraId="161540C9" w14:textId="77777777" w:rsidTr="00494925">
        <w:trPr>
          <w:trHeight w:val="227"/>
        </w:trPr>
        <w:tc>
          <w:tcPr>
            <w:tcW w:w="793" w:type="dxa"/>
            <w:noWrap/>
            <w:vAlign w:val="center"/>
            <w:hideMark/>
          </w:tcPr>
          <w:p w14:paraId="7CDB88FD" w14:textId="77777777" w:rsidR="00BC5805" w:rsidRPr="0095448E" w:rsidRDefault="00BC5805" w:rsidP="0094784D">
            <w:pPr>
              <w:pStyle w:val="TCTableBody"/>
            </w:pPr>
            <w:r w:rsidRPr="0095448E">
              <w:t>CAPEX</w:t>
            </w:r>
          </w:p>
        </w:tc>
        <w:tc>
          <w:tcPr>
            <w:tcW w:w="1259" w:type="dxa"/>
            <w:noWrap/>
            <w:vAlign w:val="center"/>
            <w:hideMark/>
          </w:tcPr>
          <w:p w14:paraId="0D2342FB" w14:textId="77777777" w:rsidR="00BC5805" w:rsidRPr="0095448E" w:rsidRDefault="00BC5805" w:rsidP="0094784D">
            <w:pPr>
              <w:pStyle w:val="TCTableBody"/>
            </w:pPr>
            <w:r w:rsidRPr="0095448E">
              <w:t>0.2</w:t>
            </w:r>
          </w:p>
        </w:tc>
        <w:tc>
          <w:tcPr>
            <w:tcW w:w="1237" w:type="dxa"/>
            <w:noWrap/>
            <w:vAlign w:val="center"/>
            <w:hideMark/>
          </w:tcPr>
          <w:p w14:paraId="1CCD4E69" w14:textId="77777777" w:rsidR="00BC5805" w:rsidRPr="0095448E" w:rsidRDefault="00BC5805" w:rsidP="0094784D">
            <w:pPr>
              <w:pStyle w:val="TCTableBody"/>
            </w:pPr>
            <w:r w:rsidRPr="0095448E">
              <w:t>0</w:t>
            </w:r>
          </w:p>
        </w:tc>
        <w:tc>
          <w:tcPr>
            <w:tcW w:w="1340" w:type="dxa"/>
            <w:noWrap/>
            <w:vAlign w:val="center"/>
            <w:hideMark/>
          </w:tcPr>
          <w:p w14:paraId="0B45C09B" w14:textId="77777777" w:rsidR="00BC5805" w:rsidRPr="0095448E" w:rsidRDefault="00BC5805" w:rsidP="0094784D">
            <w:pPr>
              <w:pStyle w:val="TCTableBody"/>
            </w:pPr>
            <w:r w:rsidRPr="0095448E">
              <w:t>0</w:t>
            </w:r>
          </w:p>
        </w:tc>
        <w:tc>
          <w:tcPr>
            <w:tcW w:w="1062" w:type="dxa"/>
            <w:noWrap/>
            <w:vAlign w:val="center"/>
            <w:hideMark/>
          </w:tcPr>
          <w:p w14:paraId="0DFA9F1A" w14:textId="77777777" w:rsidR="00BC5805" w:rsidRPr="0095448E" w:rsidRDefault="00BC5805" w:rsidP="0094784D">
            <w:pPr>
              <w:pStyle w:val="TCTableBody"/>
            </w:pPr>
            <w:r w:rsidRPr="0095448E">
              <w:t>0.2</w:t>
            </w:r>
          </w:p>
        </w:tc>
        <w:tc>
          <w:tcPr>
            <w:tcW w:w="1134" w:type="dxa"/>
            <w:noWrap/>
            <w:vAlign w:val="center"/>
            <w:hideMark/>
          </w:tcPr>
          <w:p w14:paraId="62B6630A" w14:textId="77777777" w:rsidR="00BC5805" w:rsidRPr="0095448E" w:rsidRDefault="00BC5805" w:rsidP="0094784D">
            <w:pPr>
              <w:pStyle w:val="TCTableBody"/>
            </w:pPr>
            <w:r w:rsidRPr="0095448E">
              <w:t>0</w:t>
            </w:r>
          </w:p>
        </w:tc>
        <w:tc>
          <w:tcPr>
            <w:tcW w:w="1174" w:type="dxa"/>
            <w:noWrap/>
            <w:vAlign w:val="center"/>
            <w:hideMark/>
          </w:tcPr>
          <w:p w14:paraId="0A025220" w14:textId="77777777" w:rsidR="00BC5805" w:rsidRPr="0095448E" w:rsidRDefault="00BC5805" w:rsidP="0094784D">
            <w:pPr>
              <w:pStyle w:val="TCTableBody"/>
            </w:pPr>
            <w:r w:rsidRPr="0095448E">
              <w:t>0</w:t>
            </w:r>
          </w:p>
        </w:tc>
      </w:tr>
      <w:tr w:rsidR="0095448E" w:rsidRPr="0095448E" w14:paraId="35247442" w14:textId="77777777" w:rsidTr="00656A88">
        <w:trPr>
          <w:trHeight w:val="227"/>
        </w:trPr>
        <w:tc>
          <w:tcPr>
            <w:tcW w:w="793" w:type="dxa"/>
            <w:tcBorders>
              <w:bottom w:val="single" w:sz="4" w:space="0" w:color="auto"/>
            </w:tcBorders>
            <w:noWrap/>
            <w:vAlign w:val="center"/>
            <w:hideMark/>
          </w:tcPr>
          <w:p w14:paraId="48632A79" w14:textId="77777777" w:rsidR="00BC5805" w:rsidRPr="0095448E" w:rsidRDefault="00BC5805" w:rsidP="0094784D">
            <w:pPr>
              <w:pStyle w:val="TCTableBody"/>
            </w:pPr>
            <w:r w:rsidRPr="0095448E">
              <w:t>PB</w:t>
            </w:r>
          </w:p>
        </w:tc>
        <w:tc>
          <w:tcPr>
            <w:tcW w:w="1259" w:type="dxa"/>
            <w:tcBorders>
              <w:bottom w:val="single" w:sz="4" w:space="0" w:color="auto"/>
            </w:tcBorders>
            <w:noWrap/>
            <w:vAlign w:val="center"/>
            <w:hideMark/>
          </w:tcPr>
          <w:p w14:paraId="1F613A6D" w14:textId="77777777" w:rsidR="00BC5805" w:rsidRPr="0095448E" w:rsidRDefault="00BC5805" w:rsidP="0094784D">
            <w:pPr>
              <w:pStyle w:val="TCTableBody"/>
            </w:pPr>
            <w:r w:rsidRPr="0095448E">
              <w:t>0.6</w:t>
            </w:r>
          </w:p>
        </w:tc>
        <w:tc>
          <w:tcPr>
            <w:tcW w:w="1237" w:type="dxa"/>
            <w:tcBorders>
              <w:bottom w:val="single" w:sz="4" w:space="0" w:color="auto"/>
            </w:tcBorders>
            <w:noWrap/>
            <w:vAlign w:val="center"/>
            <w:hideMark/>
          </w:tcPr>
          <w:p w14:paraId="700B3299" w14:textId="77777777" w:rsidR="00BC5805" w:rsidRPr="0095448E" w:rsidRDefault="00BC5805" w:rsidP="0094784D">
            <w:pPr>
              <w:pStyle w:val="TCTableBody"/>
            </w:pPr>
            <w:r w:rsidRPr="0095448E">
              <w:t>0.25</w:t>
            </w:r>
          </w:p>
        </w:tc>
        <w:tc>
          <w:tcPr>
            <w:tcW w:w="1340" w:type="dxa"/>
            <w:tcBorders>
              <w:bottom w:val="single" w:sz="4" w:space="0" w:color="auto"/>
            </w:tcBorders>
            <w:noWrap/>
            <w:vAlign w:val="center"/>
            <w:hideMark/>
          </w:tcPr>
          <w:p w14:paraId="78A110F6" w14:textId="77777777" w:rsidR="00BC5805" w:rsidRPr="0095448E" w:rsidRDefault="00BC5805" w:rsidP="0094784D">
            <w:pPr>
              <w:pStyle w:val="TCTableBody"/>
            </w:pPr>
            <w:r w:rsidRPr="0095448E">
              <w:t>0.6</w:t>
            </w:r>
          </w:p>
        </w:tc>
        <w:tc>
          <w:tcPr>
            <w:tcW w:w="1062" w:type="dxa"/>
            <w:tcBorders>
              <w:bottom w:val="single" w:sz="4" w:space="0" w:color="auto"/>
            </w:tcBorders>
            <w:noWrap/>
            <w:vAlign w:val="center"/>
            <w:hideMark/>
          </w:tcPr>
          <w:p w14:paraId="5614B776" w14:textId="77777777" w:rsidR="00BC5805" w:rsidRPr="0095448E" w:rsidRDefault="00BC5805" w:rsidP="0094784D">
            <w:pPr>
              <w:pStyle w:val="TCTableBody"/>
            </w:pPr>
            <w:r w:rsidRPr="0095448E">
              <w:t>0.44</w:t>
            </w:r>
          </w:p>
        </w:tc>
        <w:tc>
          <w:tcPr>
            <w:tcW w:w="1134" w:type="dxa"/>
            <w:tcBorders>
              <w:bottom w:val="single" w:sz="4" w:space="0" w:color="auto"/>
            </w:tcBorders>
            <w:noWrap/>
            <w:vAlign w:val="center"/>
            <w:hideMark/>
          </w:tcPr>
          <w:p w14:paraId="73CEFAB6" w14:textId="77777777" w:rsidR="00BC5805" w:rsidRPr="0095448E" w:rsidRDefault="00BC5805" w:rsidP="0094784D">
            <w:pPr>
              <w:pStyle w:val="TCTableBody"/>
            </w:pPr>
            <w:r w:rsidRPr="0095448E">
              <w:t>0</w:t>
            </w:r>
          </w:p>
        </w:tc>
        <w:tc>
          <w:tcPr>
            <w:tcW w:w="1174" w:type="dxa"/>
            <w:tcBorders>
              <w:bottom w:val="single" w:sz="4" w:space="0" w:color="auto"/>
            </w:tcBorders>
            <w:noWrap/>
            <w:vAlign w:val="center"/>
            <w:hideMark/>
          </w:tcPr>
          <w:p w14:paraId="667517F1" w14:textId="77777777" w:rsidR="00BC5805" w:rsidRPr="0095448E" w:rsidRDefault="00BC5805" w:rsidP="0094784D">
            <w:pPr>
              <w:pStyle w:val="TCTableBody"/>
            </w:pPr>
            <w:r w:rsidRPr="0095448E">
              <w:t>0.4</w:t>
            </w:r>
          </w:p>
        </w:tc>
      </w:tr>
      <w:tr w:rsidR="0095448E" w:rsidRPr="0095448E" w14:paraId="011C07F9" w14:textId="77777777" w:rsidTr="00656A88">
        <w:trPr>
          <w:trHeight w:val="227"/>
        </w:trPr>
        <w:tc>
          <w:tcPr>
            <w:tcW w:w="7999" w:type="dxa"/>
            <w:gridSpan w:val="7"/>
            <w:tcBorders>
              <w:top w:val="single" w:sz="4" w:space="0" w:color="auto"/>
              <w:bottom w:val="single" w:sz="4" w:space="0" w:color="auto"/>
            </w:tcBorders>
            <w:noWrap/>
            <w:vAlign w:val="center"/>
            <w:hideMark/>
          </w:tcPr>
          <w:p w14:paraId="528CDD8B" w14:textId="77777777" w:rsidR="00BC5805" w:rsidRPr="0095448E" w:rsidRDefault="00BC5805" w:rsidP="0094784D">
            <w:pPr>
              <w:pStyle w:val="TCTableBody"/>
            </w:pPr>
            <w:r w:rsidRPr="0095448E">
              <w:fldChar w:fldCharType="begin" w:fldLock="1"/>
            </w:r>
            <w:r w:rsidRPr="0095448E">
              <w:instrText>ADDIN CSL_CITATION { "citationItems" : [ { "id" : "ITEM-1", "itemData" : { "abstract" : "This paper uses survey data compiled by the National Federation of Independent Business to analyze the capital budgeting practices of small firms. While large firms tend to rely on the discounted cash flow analysis favored by finance texts, many small firms evaluate projects using the payback period or the owner\u2019s gut feel. The limited education background of some business owners and small staff sizes partly explain why small firms use these relatively unsophisticated project evaluation tools. However, we also identify specific business reasons\u2014including liquidity concerns and cash flow estimation challenges\u2014to explain why small firms do not exclusively use discounted cash flow analysis when evaluating projects. These results suggest that optimal investment evaluation procedures for large and small firms might differ. [G31]", "author" : [ { "dropping-particle" : "", "family" : "Danielson", "given" : "Morris", "non-dropping-particle" : "", "parse-names" : false, "suffix" : "" }, { "dropping-particle" : "", "family" : "Scott", "given" : "Jonathan", "non-dropping-particle" : "", "parse-names" : false, "suffix" : "" } ], "id" : "ITEM-1", "issued" : { "date-parts" : [ [ "2006" ] ] }, "title" : "The capital budgeting decisions of small businesses", "type" : "book", "volume" : "16" }, "uris" : [ "http://www.mendeley.com/documents/?uuid=c996bf07-8ab0-43e8-ab4f-647ff2dcb520" ] } ], "mendeley" : { "formattedCitation" : "(Danielson and Scott, 2006)", "plainTextFormattedCitation" : "(Danielson and Scott, 2006)", "previouslyFormattedCitation" : "[6]" }, "properties" : { "noteIndex" : 0 }, "schema" : "https://github.com/citation-style-language/schema/raw/master/csl-citation.json" }</w:instrText>
            </w:r>
            <w:r w:rsidRPr="0095448E">
              <w:fldChar w:fldCharType="separate"/>
            </w:r>
            <w:r w:rsidRPr="0095448E">
              <w:rPr>
                <w:noProof/>
              </w:rPr>
              <w:t>(Danielson and Scott, 2006)</w:t>
            </w:r>
            <w:r w:rsidRPr="0095448E">
              <w:fldChar w:fldCharType="end"/>
            </w:r>
            <w:r w:rsidRPr="0095448E">
              <w:t xml:space="preserve"> </w:t>
            </w:r>
          </w:p>
        </w:tc>
      </w:tr>
      <w:tr w:rsidR="0095448E" w:rsidRPr="0095448E" w14:paraId="6F0ABF25" w14:textId="77777777" w:rsidTr="00656A88">
        <w:trPr>
          <w:trHeight w:val="227"/>
        </w:trPr>
        <w:tc>
          <w:tcPr>
            <w:tcW w:w="793" w:type="dxa"/>
            <w:tcBorders>
              <w:top w:val="single" w:sz="4" w:space="0" w:color="auto"/>
            </w:tcBorders>
            <w:noWrap/>
            <w:vAlign w:val="center"/>
            <w:hideMark/>
          </w:tcPr>
          <w:p w14:paraId="2B6A9335" w14:textId="77777777" w:rsidR="00BC5805" w:rsidRPr="0095448E" w:rsidRDefault="00BC5805" w:rsidP="0094784D">
            <w:pPr>
              <w:pStyle w:val="TCTableBody"/>
            </w:pPr>
            <w:r w:rsidRPr="0095448E">
              <w:t>NPV</w:t>
            </w:r>
          </w:p>
        </w:tc>
        <w:tc>
          <w:tcPr>
            <w:tcW w:w="1259" w:type="dxa"/>
            <w:tcBorders>
              <w:top w:val="single" w:sz="4" w:space="0" w:color="auto"/>
            </w:tcBorders>
            <w:noWrap/>
            <w:vAlign w:val="center"/>
            <w:hideMark/>
          </w:tcPr>
          <w:p w14:paraId="329E1120" w14:textId="77777777" w:rsidR="00BC5805" w:rsidRPr="0095448E" w:rsidRDefault="00BC5805" w:rsidP="0094784D">
            <w:pPr>
              <w:pStyle w:val="TCTableBody"/>
            </w:pPr>
            <w:r w:rsidRPr="0095448E">
              <w:t>0</w:t>
            </w:r>
          </w:p>
        </w:tc>
        <w:tc>
          <w:tcPr>
            <w:tcW w:w="1237" w:type="dxa"/>
            <w:tcBorders>
              <w:top w:val="single" w:sz="4" w:space="0" w:color="auto"/>
            </w:tcBorders>
            <w:noWrap/>
            <w:vAlign w:val="center"/>
            <w:hideMark/>
          </w:tcPr>
          <w:p w14:paraId="7503D8CB" w14:textId="77777777" w:rsidR="00BC5805" w:rsidRPr="0095448E" w:rsidRDefault="00BC5805" w:rsidP="0094784D">
            <w:pPr>
              <w:pStyle w:val="TCTableBody"/>
            </w:pPr>
            <w:r w:rsidRPr="0095448E">
              <w:t>0</w:t>
            </w:r>
          </w:p>
        </w:tc>
        <w:tc>
          <w:tcPr>
            <w:tcW w:w="1340" w:type="dxa"/>
            <w:tcBorders>
              <w:top w:val="single" w:sz="4" w:space="0" w:color="auto"/>
            </w:tcBorders>
            <w:noWrap/>
            <w:vAlign w:val="center"/>
            <w:hideMark/>
          </w:tcPr>
          <w:p w14:paraId="2FA0D5FA" w14:textId="77777777" w:rsidR="00BC5805" w:rsidRPr="0095448E" w:rsidRDefault="00BC5805" w:rsidP="0094784D">
            <w:pPr>
              <w:pStyle w:val="TCTableBody"/>
            </w:pPr>
            <w:r w:rsidRPr="0095448E">
              <w:t>0</w:t>
            </w:r>
          </w:p>
        </w:tc>
        <w:tc>
          <w:tcPr>
            <w:tcW w:w="1062" w:type="dxa"/>
            <w:tcBorders>
              <w:top w:val="single" w:sz="4" w:space="0" w:color="auto"/>
            </w:tcBorders>
            <w:noWrap/>
            <w:vAlign w:val="center"/>
            <w:hideMark/>
          </w:tcPr>
          <w:p w14:paraId="483D9B2E" w14:textId="77777777" w:rsidR="00BC5805" w:rsidRPr="0095448E" w:rsidRDefault="00BC5805" w:rsidP="0094784D">
            <w:pPr>
              <w:pStyle w:val="TCTableBody"/>
            </w:pPr>
            <w:r w:rsidRPr="0095448E">
              <w:t>1</w:t>
            </w:r>
          </w:p>
        </w:tc>
        <w:tc>
          <w:tcPr>
            <w:tcW w:w="1134" w:type="dxa"/>
            <w:tcBorders>
              <w:top w:val="single" w:sz="4" w:space="0" w:color="auto"/>
            </w:tcBorders>
            <w:noWrap/>
            <w:vAlign w:val="center"/>
            <w:hideMark/>
          </w:tcPr>
          <w:p w14:paraId="7E7718DC" w14:textId="77777777" w:rsidR="00BC5805" w:rsidRPr="0095448E" w:rsidRDefault="00BC5805" w:rsidP="0094784D">
            <w:pPr>
              <w:pStyle w:val="TCTableBody"/>
            </w:pPr>
            <w:r w:rsidRPr="0095448E">
              <w:t>1</w:t>
            </w:r>
          </w:p>
        </w:tc>
        <w:tc>
          <w:tcPr>
            <w:tcW w:w="1174" w:type="dxa"/>
            <w:tcBorders>
              <w:top w:val="single" w:sz="4" w:space="0" w:color="auto"/>
            </w:tcBorders>
            <w:noWrap/>
            <w:vAlign w:val="center"/>
            <w:hideMark/>
          </w:tcPr>
          <w:p w14:paraId="3A01B85E" w14:textId="77777777" w:rsidR="00BC5805" w:rsidRPr="0095448E" w:rsidRDefault="00BC5805" w:rsidP="0094784D">
            <w:pPr>
              <w:pStyle w:val="TCTableBody"/>
            </w:pPr>
            <w:r w:rsidRPr="0095448E">
              <w:t>1</w:t>
            </w:r>
          </w:p>
        </w:tc>
      </w:tr>
      <w:tr w:rsidR="0095448E" w:rsidRPr="0095448E" w14:paraId="4BB31665" w14:textId="77777777" w:rsidTr="00494925">
        <w:trPr>
          <w:trHeight w:val="227"/>
        </w:trPr>
        <w:tc>
          <w:tcPr>
            <w:tcW w:w="793" w:type="dxa"/>
            <w:noWrap/>
            <w:vAlign w:val="center"/>
            <w:hideMark/>
          </w:tcPr>
          <w:p w14:paraId="0A53D5D9" w14:textId="77777777" w:rsidR="00BC5805" w:rsidRPr="0095448E" w:rsidRDefault="00BC5805" w:rsidP="0094784D">
            <w:pPr>
              <w:pStyle w:val="TCTableBody"/>
            </w:pPr>
            <w:r w:rsidRPr="0095448E">
              <w:t>CAPEX</w:t>
            </w:r>
          </w:p>
        </w:tc>
        <w:tc>
          <w:tcPr>
            <w:tcW w:w="1259" w:type="dxa"/>
            <w:noWrap/>
            <w:vAlign w:val="center"/>
            <w:hideMark/>
          </w:tcPr>
          <w:p w14:paraId="4D3F8C6B" w14:textId="77777777" w:rsidR="00BC5805" w:rsidRPr="0095448E" w:rsidRDefault="00BC5805" w:rsidP="0094784D">
            <w:pPr>
              <w:pStyle w:val="TCTableBody"/>
            </w:pPr>
            <w:r w:rsidRPr="0095448E">
              <w:t>0</w:t>
            </w:r>
          </w:p>
        </w:tc>
        <w:tc>
          <w:tcPr>
            <w:tcW w:w="1237" w:type="dxa"/>
            <w:noWrap/>
            <w:vAlign w:val="center"/>
            <w:hideMark/>
          </w:tcPr>
          <w:p w14:paraId="19FAD39E" w14:textId="77777777" w:rsidR="00BC5805" w:rsidRPr="0095448E" w:rsidRDefault="00BC5805" w:rsidP="0094784D">
            <w:pPr>
              <w:pStyle w:val="TCTableBody"/>
            </w:pPr>
            <w:r w:rsidRPr="0095448E">
              <w:t>0</w:t>
            </w:r>
          </w:p>
        </w:tc>
        <w:tc>
          <w:tcPr>
            <w:tcW w:w="1340" w:type="dxa"/>
            <w:noWrap/>
            <w:vAlign w:val="center"/>
            <w:hideMark/>
          </w:tcPr>
          <w:p w14:paraId="469519B5" w14:textId="77777777" w:rsidR="00BC5805" w:rsidRPr="0095448E" w:rsidRDefault="00BC5805" w:rsidP="0094784D">
            <w:pPr>
              <w:pStyle w:val="TCTableBody"/>
            </w:pPr>
            <w:r w:rsidRPr="0095448E">
              <w:t>0</w:t>
            </w:r>
          </w:p>
        </w:tc>
        <w:tc>
          <w:tcPr>
            <w:tcW w:w="1062" w:type="dxa"/>
            <w:noWrap/>
            <w:vAlign w:val="center"/>
            <w:hideMark/>
          </w:tcPr>
          <w:p w14:paraId="61080F44" w14:textId="77777777" w:rsidR="00BC5805" w:rsidRPr="0095448E" w:rsidRDefault="00BC5805" w:rsidP="0094784D">
            <w:pPr>
              <w:pStyle w:val="TCTableBody"/>
            </w:pPr>
            <w:r w:rsidRPr="0095448E">
              <w:t>0</w:t>
            </w:r>
          </w:p>
        </w:tc>
        <w:tc>
          <w:tcPr>
            <w:tcW w:w="1134" w:type="dxa"/>
            <w:noWrap/>
            <w:vAlign w:val="center"/>
            <w:hideMark/>
          </w:tcPr>
          <w:p w14:paraId="0D3E8DBB" w14:textId="77777777" w:rsidR="00BC5805" w:rsidRPr="0095448E" w:rsidRDefault="00BC5805" w:rsidP="0094784D">
            <w:pPr>
              <w:pStyle w:val="TCTableBody"/>
            </w:pPr>
            <w:r w:rsidRPr="0095448E">
              <w:t>0</w:t>
            </w:r>
          </w:p>
        </w:tc>
        <w:tc>
          <w:tcPr>
            <w:tcW w:w="1174" w:type="dxa"/>
            <w:noWrap/>
            <w:vAlign w:val="center"/>
            <w:hideMark/>
          </w:tcPr>
          <w:p w14:paraId="33CFF33C" w14:textId="77777777" w:rsidR="00BC5805" w:rsidRPr="0095448E" w:rsidRDefault="00BC5805" w:rsidP="0094784D">
            <w:pPr>
              <w:pStyle w:val="TCTableBody"/>
            </w:pPr>
            <w:r w:rsidRPr="0095448E">
              <w:t>0</w:t>
            </w:r>
          </w:p>
        </w:tc>
      </w:tr>
      <w:tr w:rsidR="0095448E" w:rsidRPr="0095448E" w14:paraId="174AD32D" w14:textId="77777777" w:rsidTr="00656A88">
        <w:trPr>
          <w:trHeight w:val="227"/>
        </w:trPr>
        <w:tc>
          <w:tcPr>
            <w:tcW w:w="793" w:type="dxa"/>
            <w:tcBorders>
              <w:bottom w:val="single" w:sz="4" w:space="0" w:color="auto"/>
            </w:tcBorders>
            <w:noWrap/>
            <w:vAlign w:val="center"/>
            <w:hideMark/>
          </w:tcPr>
          <w:p w14:paraId="306EF31D" w14:textId="77777777" w:rsidR="00BC5805" w:rsidRPr="0095448E" w:rsidRDefault="00BC5805" w:rsidP="0094784D">
            <w:pPr>
              <w:pStyle w:val="TCTableBody"/>
            </w:pPr>
            <w:r w:rsidRPr="0095448E">
              <w:t>PB</w:t>
            </w:r>
          </w:p>
        </w:tc>
        <w:tc>
          <w:tcPr>
            <w:tcW w:w="1259" w:type="dxa"/>
            <w:tcBorders>
              <w:bottom w:val="single" w:sz="4" w:space="0" w:color="auto"/>
            </w:tcBorders>
            <w:noWrap/>
            <w:vAlign w:val="center"/>
            <w:hideMark/>
          </w:tcPr>
          <w:p w14:paraId="2B7171E2" w14:textId="77777777" w:rsidR="00BC5805" w:rsidRPr="0095448E" w:rsidRDefault="00BC5805" w:rsidP="0094784D">
            <w:pPr>
              <w:pStyle w:val="TCTableBody"/>
            </w:pPr>
            <w:r w:rsidRPr="0095448E">
              <w:t>1</w:t>
            </w:r>
          </w:p>
        </w:tc>
        <w:tc>
          <w:tcPr>
            <w:tcW w:w="1237" w:type="dxa"/>
            <w:tcBorders>
              <w:bottom w:val="single" w:sz="4" w:space="0" w:color="auto"/>
            </w:tcBorders>
            <w:noWrap/>
            <w:vAlign w:val="center"/>
            <w:hideMark/>
          </w:tcPr>
          <w:p w14:paraId="3A2AB67B" w14:textId="77777777" w:rsidR="00BC5805" w:rsidRPr="0095448E" w:rsidRDefault="00BC5805" w:rsidP="0094784D">
            <w:pPr>
              <w:pStyle w:val="TCTableBody"/>
            </w:pPr>
            <w:r w:rsidRPr="0095448E">
              <w:t>1</w:t>
            </w:r>
          </w:p>
        </w:tc>
        <w:tc>
          <w:tcPr>
            <w:tcW w:w="1340" w:type="dxa"/>
            <w:tcBorders>
              <w:bottom w:val="single" w:sz="4" w:space="0" w:color="auto"/>
            </w:tcBorders>
            <w:noWrap/>
            <w:vAlign w:val="center"/>
            <w:hideMark/>
          </w:tcPr>
          <w:p w14:paraId="13A75C2F" w14:textId="77777777" w:rsidR="00BC5805" w:rsidRPr="0095448E" w:rsidRDefault="00BC5805" w:rsidP="0094784D">
            <w:pPr>
              <w:pStyle w:val="TCTableBody"/>
            </w:pPr>
            <w:r w:rsidRPr="0095448E">
              <w:t>1</w:t>
            </w:r>
          </w:p>
        </w:tc>
        <w:tc>
          <w:tcPr>
            <w:tcW w:w="1062" w:type="dxa"/>
            <w:tcBorders>
              <w:bottom w:val="single" w:sz="4" w:space="0" w:color="auto"/>
            </w:tcBorders>
            <w:noWrap/>
            <w:vAlign w:val="center"/>
            <w:hideMark/>
          </w:tcPr>
          <w:p w14:paraId="16884634" w14:textId="77777777" w:rsidR="00BC5805" w:rsidRPr="0095448E" w:rsidRDefault="00BC5805" w:rsidP="0094784D">
            <w:pPr>
              <w:pStyle w:val="TCTableBody"/>
            </w:pPr>
            <w:r w:rsidRPr="0095448E">
              <w:t>0</w:t>
            </w:r>
          </w:p>
        </w:tc>
        <w:tc>
          <w:tcPr>
            <w:tcW w:w="1134" w:type="dxa"/>
            <w:tcBorders>
              <w:bottom w:val="single" w:sz="4" w:space="0" w:color="auto"/>
            </w:tcBorders>
            <w:noWrap/>
            <w:vAlign w:val="center"/>
            <w:hideMark/>
          </w:tcPr>
          <w:p w14:paraId="04F9E52D" w14:textId="77777777" w:rsidR="00BC5805" w:rsidRPr="0095448E" w:rsidRDefault="00BC5805" w:rsidP="0094784D">
            <w:pPr>
              <w:pStyle w:val="TCTableBody"/>
            </w:pPr>
            <w:r w:rsidRPr="0095448E">
              <w:t>0</w:t>
            </w:r>
          </w:p>
        </w:tc>
        <w:tc>
          <w:tcPr>
            <w:tcW w:w="1174" w:type="dxa"/>
            <w:tcBorders>
              <w:bottom w:val="single" w:sz="4" w:space="0" w:color="auto"/>
            </w:tcBorders>
            <w:noWrap/>
            <w:vAlign w:val="center"/>
            <w:hideMark/>
          </w:tcPr>
          <w:p w14:paraId="01D9B03D" w14:textId="77777777" w:rsidR="00BC5805" w:rsidRPr="0095448E" w:rsidRDefault="00BC5805" w:rsidP="0094784D">
            <w:pPr>
              <w:pStyle w:val="TCTableBody"/>
            </w:pPr>
            <w:r w:rsidRPr="0095448E">
              <w:t>0</w:t>
            </w:r>
          </w:p>
        </w:tc>
      </w:tr>
      <w:tr w:rsidR="0095448E" w:rsidRPr="0095448E" w14:paraId="4CE76D05" w14:textId="77777777" w:rsidTr="00656A88">
        <w:trPr>
          <w:trHeight w:val="227"/>
        </w:trPr>
        <w:tc>
          <w:tcPr>
            <w:tcW w:w="7999" w:type="dxa"/>
            <w:gridSpan w:val="7"/>
            <w:tcBorders>
              <w:top w:val="single" w:sz="4" w:space="0" w:color="auto"/>
              <w:bottom w:val="single" w:sz="4" w:space="0" w:color="auto"/>
            </w:tcBorders>
            <w:noWrap/>
            <w:vAlign w:val="center"/>
            <w:hideMark/>
          </w:tcPr>
          <w:p w14:paraId="2C9435F9" w14:textId="77777777" w:rsidR="00BC5805" w:rsidRPr="0095448E" w:rsidRDefault="00BC5805" w:rsidP="0094784D">
            <w:pPr>
              <w:pStyle w:val="TCTableBody"/>
            </w:pPr>
            <w:r w:rsidRPr="0095448E">
              <w:rPr>
                <w:noProof/>
              </w:rPr>
              <w:fldChar w:fldCharType="begin" w:fldLock="1"/>
            </w:r>
            <w:r w:rsidRPr="0095448E">
              <w:rPr>
                <w:noProof/>
              </w:rPr>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"mendeley" : { "formattedCitation" : "(Hermes et al., 2007)", "plainTextFormattedCitation" : "(Hermes et al., 2007)", "previouslyFormattedCitation" : "[9]" }, "properties" : { "noteIndex" : 0 }, "schema" : "https://github.com/citation-style-language/schema/raw/master/csl-citation.json" }</w:instrText>
            </w:r>
            <w:r w:rsidRPr="0095448E">
              <w:rPr>
                <w:noProof/>
              </w:rPr>
              <w:fldChar w:fldCharType="separate"/>
            </w:r>
            <w:r w:rsidRPr="0095448E">
              <w:rPr>
                <w:noProof/>
              </w:rPr>
              <w:t>(Hermes et al., 2007)</w:t>
            </w:r>
            <w:r w:rsidRPr="0095448E">
              <w:rPr>
                <w:noProof/>
              </w:rPr>
              <w:fldChar w:fldCharType="end"/>
            </w:r>
            <w:r w:rsidRPr="0095448E">
              <w:rPr>
                <w:noProof/>
              </w:rPr>
              <w:t xml:space="preserve"> </w:t>
            </w:r>
          </w:p>
        </w:tc>
      </w:tr>
      <w:tr w:rsidR="0095448E" w:rsidRPr="0095448E" w14:paraId="467AA4FA" w14:textId="77777777" w:rsidTr="00656A88">
        <w:trPr>
          <w:trHeight w:val="227"/>
        </w:trPr>
        <w:tc>
          <w:tcPr>
            <w:tcW w:w="793" w:type="dxa"/>
            <w:tcBorders>
              <w:top w:val="single" w:sz="4" w:space="0" w:color="auto"/>
            </w:tcBorders>
            <w:noWrap/>
            <w:vAlign w:val="center"/>
            <w:hideMark/>
          </w:tcPr>
          <w:p w14:paraId="654E314E" w14:textId="77777777" w:rsidR="00BC5805" w:rsidRPr="0095448E" w:rsidRDefault="00BC5805" w:rsidP="0094784D">
            <w:pPr>
              <w:pStyle w:val="TCTableBody"/>
            </w:pPr>
            <w:r w:rsidRPr="0095448E">
              <w:t>NPV</w:t>
            </w:r>
          </w:p>
        </w:tc>
        <w:tc>
          <w:tcPr>
            <w:tcW w:w="1259" w:type="dxa"/>
            <w:tcBorders>
              <w:top w:val="single" w:sz="4" w:space="0" w:color="auto"/>
            </w:tcBorders>
            <w:noWrap/>
            <w:vAlign w:val="center"/>
            <w:hideMark/>
          </w:tcPr>
          <w:p w14:paraId="03C66B09" w14:textId="77777777" w:rsidR="00BC5805" w:rsidRPr="0095448E" w:rsidRDefault="00BC5805" w:rsidP="0094784D">
            <w:pPr>
              <w:pStyle w:val="TCTableBody"/>
            </w:pPr>
            <w:r w:rsidRPr="0095448E">
              <w:t>0</w:t>
            </w:r>
          </w:p>
        </w:tc>
        <w:tc>
          <w:tcPr>
            <w:tcW w:w="1237" w:type="dxa"/>
            <w:tcBorders>
              <w:top w:val="single" w:sz="4" w:space="0" w:color="auto"/>
            </w:tcBorders>
            <w:noWrap/>
            <w:vAlign w:val="center"/>
            <w:hideMark/>
          </w:tcPr>
          <w:p w14:paraId="6E04E8BF" w14:textId="77777777" w:rsidR="00BC5805" w:rsidRPr="0095448E" w:rsidRDefault="00BC5805" w:rsidP="0094784D">
            <w:pPr>
              <w:pStyle w:val="TCTableBody"/>
            </w:pPr>
            <w:r w:rsidRPr="0095448E">
              <w:t>1</w:t>
            </w:r>
          </w:p>
        </w:tc>
        <w:tc>
          <w:tcPr>
            <w:tcW w:w="1340" w:type="dxa"/>
            <w:tcBorders>
              <w:top w:val="single" w:sz="4" w:space="0" w:color="auto"/>
            </w:tcBorders>
            <w:noWrap/>
            <w:vAlign w:val="center"/>
            <w:hideMark/>
          </w:tcPr>
          <w:p w14:paraId="4D61D53B" w14:textId="77777777" w:rsidR="00BC5805" w:rsidRPr="0095448E" w:rsidRDefault="00BC5805" w:rsidP="0094784D">
            <w:pPr>
              <w:pStyle w:val="TCTableBody"/>
            </w:pPr>
            <w:r w:rsidRPr="0095448E">
              <w:t>0</w:t>
            </w:r>
          </w:p>
        </w:tc>
        <w:tc>
          <w:tcPr>
            <w:tcW w:w="1062" w:type="dxa"/>
            <w:tcBorders>
              <w:top w:val="single" w:sz="4" w:space="0" w:color="auto"/>
            </w:tcBorders>
            <w:noWrap/>
            <w:vAlign w:val="center"/>
            <w:hideMark/>
          </w:tcPr>
          <w:p w14:paraId="3D3E1D5D" w14:textId="77777777" w:rsidR="00BC5805" w:rsidRPr="0095448E" w:rsidRDefault="00BC5805" w:rsidP="0094784D">
            <w:pPr>
              <w:pStyle w:val="TCTableBody"/>
            </w:pPr>
            <w:r w:rsidRPr="0095448E">
              <w:t>0</w:t>
            </w:r>
          </w:p>
        </w:tc>
        <w:tc>
          <w:tcPr>
            <w:tcW w:w="1134" w:type="dxa"/>
            <w:tcBorders>
              <w:top w:val="single" w:sz="4" w:space="0" w:color="auto"/>
            </w:tcBorders>
            <w:noWrap/>
            <w:vAlign w:val="center"/>
            <w:hideMark/>
          </w:tcPr>
          <w:p w14:paraId="12F945F7" w14:textId="77777777" w:rsidR="00BC5805" w:rsidRPr="0095448E" w:rsidRDefault="00BC5805" w:rsidP="0094784D">
            <w:pPr>
              <w:pStyle w:val="TCTableBody"/>
            </w:pPr>
            <w:r w:rsidRPr="0095448E">
              <w:t>1</w:t>
            </w:r>
          </w:p>
        </w:tc>
        <w:tc>
          <w:tcPr>
            <w:tcW w:w="1174" w:type="dxa"/>
            <w:tcBorders>
              <w:top w:val="single" w:sz="4" w:space="0" w:color="auto"/>
            </w:tcBorders>
            <w:noWrap/>
            <w:vAlign w:val="center"/>
            <w:hideMark/>
          </w:tcPr>
          <w:p w14:paraId="7FFDCBA6" w14:textId="77777777" w:rsidR="00BC5805" w:rsidRPr="0095448E" w:rsidRDefault="00BC5805" w:rsidP="0094784D">
            <w:pPr>
              <w:pStyle w:val="TCTableBody"/>
            </w:pPr>
            <w:r w:rsidRPr="0095448E">
              <w:t>0</w:t>
            </w:r>
          </w:p>
        </w:tc>
      </w:tr>
      <w:tr w:rsidR="0095448E" w:rsidRPr="0095448E" w14:paraId="5C6E4C6C" w14:textId="77777777" w:rsidTr="00494925">
        <w:trPr>
          <w:trHeight w:val="227"/>
        </w:trPr>
        <w:tc>
          <w:tcPr>
            <w:tcW w:w="793" w:type="dxa"/>
            <w:noWrap/>
            <w:vAlign w:val="center"/>
            <w:hideMark/>
          </w:tcPr>
          <w:p w14:paraId="6A17E675" w14:textId="77777777" w:rsidR="00BC5805" w:rsidRPr="0095448E" w:rsidRDefault="00BC5805" w:rsidP="0094784D">
            <w:pPr>
              <w:pStyle w:val="TCTableBody"/>
            </w:pPr>
            <w:r w:rsidRPr="0095448E">
              <w:t>CAPEX</w:t>
            </w:r>
          </w:p>
        </w:tc>
        <w:tc>
          <w:tcPr>
            <w:tcW w:w="1259" w:type="dxa"/>
            <w:noWrap/>
            <w:vAlign w:val="center"/>
            <w:hideMark/>
          </w:tcPr>
          <w:p w14:paraId="31F0F5F7" w14:textId="77777777" w:rsidR="00BC5805" w:rsidRPr="0095448E" w:rsidRDefault="00BC5805" w:rsidP="0094784D">
            <w:pPr>
              <w:pStyle w:val="TCTableBody"/>
            </w:pPr>
            <w:r w:rsidRPr="0095448E">
              <w:t>0</w:t>
            </w:r>
          </w:p>
        </w:tc>
        <w:tc>
          <w:tcPr>
            <w:tcW w:w="1237" w:type="dxa"/>
            <w:noWrap/>
            <w:vAlign w:val="center"/>
            <w:hideMark/>
          </w:tcPr>
          <w:p w14:paraId="0418C7F2" w14:textId="77777777" w:rsidR="00BC5805" w:rsidRPr="0095448E" w:rsidRDefault="00BC5805" w:rsidP="0094784D">
            <w:pPr>
              <w:pStyle w:val="TCTableBody"/>
            </w:pPr>
            <w:r w:rsidRPr="0095448E">
              <w:t>0</w:t>
            </w:r>
          </w:p>
        </w:tc>
        <w:tc>
          <w:tcPr>
            <w:tcW w:w="1340" w:type="dxa"/>
            <w:noWrap/>
            <w:vAlign w:val="center"/>
            <w:hideMark/>
          </w:tcPr>
          <w:p w14:paraId="45BB3FC4" w14:textId="77777777" w:rsidR="00BC5805" w:rsidRPr="0095448E" w:rsidRDefault="00BC5805" w:rsidP="0094784D">
            <w:pPr>
              <w:pStyle w:val="TCTableBody"/>
            </w:pPr>
            <w:r w:rsidRPr="0095448E">
              <w:t>0</w:t>
            </w:r>
          </w:p>
        </w:tc>
        <w:tc>
          <w:tcPr>
            <w:tcW w:w="1062" w:type="dxa"/>
            <w:noWrap/>
            <w:vAlign w:val="center"/>
            <w:hideMark/>
          </w:tcPr>
          <w:p w14:paraId="3B8A2C87" w14:textId="77777777" w:rsidR="00BC5805" w:rsidRPr="0095448E" w:rsidRDefault="00BC5805" w:rsidP="0094784D">
            <w:pPr>
              <w:pStyle w:val="TCTableBody"/>
            </w:pPr>
            <w:r w:rsidRPr="0095448E">
              <w:t>0</w:t>
            </w:r>
          </w:p>
        </w:tc>
        <w:tc>
          <w:tcPr>
            <w:tcW w:w="1134" w:type="dxa"/>
            <w:noWrap/>
            <w:vAlign w:val="center"/>
            <w:hideMark/>
          </w:tcPr>
          <w:p w14:paraId="3EDB0737" w14:textId="77777777" w:rsidR="00BC5805" w:rsidRPr="0095448E" w:rsidRDefault="00BC5805" w:rsidP="0094784D">
            <w:pPr>
              <w:pStyle w:val="TCTableBody"/>
            </w:pPr>
            <w:r w:rsidRPr="0095448E">
              <w:t>0</w:t>
            </w:r>
          </w:p>
        </w:tc>
        <w:tc>
          <w:tcPr>
            <w:tcW w:w="1174" w:type="dxa"/>
            <w:noWrap/>
            <w:vAlign w:val="center"/>
            <w:hideMark/>
          </w:tcPr>
          <w:p w14:paraId="73B0B074" w14:textId="77777777" w:rsidR="00BC5805" w:rsidRPr="0095448E" w:rsidRDefault="00BC5805" w:rsidP="0094784D">
            <w:pPr>
              <w:pStyle w:val="TCTableBody"/>
            </w:pPr>
            <w:r w:rsidRPr="0095448E">
              <w:t>0</w:t>
            </w:r>
          </w:p>
        </w:tc>
      </w:tr>
      <w:tr w:rsidR="0095448E" w:rsidRPr="0095448E" w14:paraId="6F779AFA" w14:textId="77777777" w:rsidTr="00656A88">
        <w:trPr>
          <w:trHeight w:val="227"/>
        </w:trPr>
        <w:tc>
          <w:tcPr>
            <w:tcW w:w="793" w:type="dxa"/>
            <w:tcBorders>
              <w:bottom w:val="single" w:sz="4" w:space="0" w:color="auto"/>
            </w:tcBorders>
            <w:noWrap/>
            <w:vAlign w:val="center"/>
            <w:hideMark/>
          </w:tcPr>
          <w:p w14:paraId="0E76B5DC" w14:textId="77777777" w:rsidR="00BC5805" w:rsidRPr="0095448E" w:rsidRDefault="00BC5805" w:rsidP="0094784D">
            <w:pPr>
              <w:pStyle w:val="TCTableBody"/>
            </w:pPr>
            <w:r w:rsidRPr="0095448E">
              <w:t>PB</w:t>
            </w:r>
          </w:p>
        </w:tc>
        <w:tc>
          <w:tcPr>
            <w:tcW w:w="1259" w:type="dxa"/>
            <w:tcBorders>
              <w:bottom w:val="single" w:sz="4" w:space="0" w:color="auto"/>
            </w:tcBorders>
            <w:noWrap/>
            <w:vAlign w:val="center"/>
            <w:hideMark/>
          </w:tcPr>
          <w:p w14:paraId="7B2B7E9A" w14:textId="77777777" w:rsidR="00BC5805" w:rsidRPr="0095448E" w:rsidRDefault="00BC5805" w:rsidP="0094784D">
            <w:pPr>
              <w:pStyle w:val="TCTableBody"/>
            </w:pPr>
            <w:r w:rsidRPr="0095448E">
              <w:t>1</w:t>
            </w:r>
          </w:p>
        </w:tc>
        <w:tc>
          <w:tcPr>
            <w:tcW w:w="1237" w:type="dxa"/>
            <w:tcBorders>
              <w:bottom w:val="single" w:sz="4" w:space="0" w:color="auto"/>
            </w:tcBorders>
            <w:noWrap/>
            <w:vAlign w:val="center"/>
            <w:hideMark/>
          </w:tcPr>
          <w:p w14:paraId="4EA4D74D" w14:textId="77777777" w:rsidR="00BC5805" w:rsidRPr="0095448E" w:rsidRDefault="00BC5805" w:rsidP="0094784D">
            <w:pPr>
              <w:pStyle w:val="TCTableBody"/>
            </w:pPr>
            <w:r w:rsidRPr="0095448E">
              <w:t>0</w:t>
            </w:r>
          </w:p>
        </w:tc>
        <w:tc>
          <w:tcPr>
            <w:tcW w:w="1340" w:type="dxa"/>
            <w:tcBorders>
              <w:bottom w:val="single" w:sz="4" w:space="0" w:color="auto"/>
            </w:tcBorders>
            <w:noWrap/>
            <w:vAlign w:val="center"/>
            <w:hideMark/>
          </w:tcPr>
          <w:p w14:paraId="24E47A78" w14:textId="77777777" w:rsidR="00BC5805" w:rsidRPr="0095448E" w:rsidRDefault="00BC5805" w:rsidP="0094784D">
            <w:pPr>
              <w:pStyle w:val="TCTableBody"/>
            </w:pPr>
            <w:r w:rsidRPr="0095448E">
              <w:t>1</w:t>
            </w:r>
          </w:p>
        </w:tc>
        <w:tc>
          <w:tcPr>
            <w:tcW w:w="1062" w:type="dxa"/>
            <w:tcBorders>
              <w:bottom w:val="single" w:sz="4" w:space="0" w:color="auto"/>
            </w:tcBorders>
            <w:noWrap/>
            <w:vAlign w:val="center"/>
            <w:hideMark/>
          </w:tcPr>
          <w:p w14:paraId="6C3B0ABC" w14:textId="77777777" w:rsidR="00BC5805" w:rsidRPr="0095448E" w:rsidRDefault="00BC5805" w:rsidP="0094784D">
            <w:pPr>
              <w:pStyle w:val="TCTableBody"/>
            </w:pPr>
            <w:r w:rsidRPr="0095448E">
              <w:t>1</w:t>
            </w:r>
          </w:p>
        </w:tc>
        <w:tc>
          <w:tcPr>
            <w:tcW w:w="1134" w:type="dxa"/>
            <w:tcBorders>
              <w:bottom w:val="single" w:sz="4" w:space="0" w:color="auto"/>
            </w:tcBorders>
            <w:noWrap/>
            <w:vAlign w:val="center"/>
            <w:hideMark/>
          </w:tcPr>
          <w:p w14:paraId="3017B087" w14:textId="77777777" w:rsidR="00BC5805" w:rsidRPr="0095448E" w:rsidRDefault="00BC5805" w:rsidP="0094784D">
            <w:pPr>
              <w:pStyle w:val="TCTableBody"/>
            </w:pPr>
            <w:r w:rsidRPr="0095448E">
              <w:t>0</w:t>
            </w:r>
          </w:p>
        </w:tc>
        <w:tc>
          <w:tcPr>
            <w:tcW w:w="1174" w:type="dxa"/>
            <w:tcBorders>
              <w:bottom w:val="single" w:sz="4" w:space="0" w:color="auto"/>
            </w:tcBorders>
            <w:noWrap/>
            <w:vAlign w:val="center"/>
            <w:hideMark/>
          </w:tcPr>
          <w:p w14:paraId="17DC09FB" w14:textId="77777777" w:rsidR="00BC5805" w:rsidRPr="0095448E" w:rsidRDefault="00BC5805" w:rsidP="0094784D">
            <w:pPr>
              <w:pStyle w:val="TCTableBody"/>
            </w:pPr>
            <w:r w:rsidRPr="0095448E">
              <w:t>1</w:t>
            </w:r>
          </w:p>
        </w:tc>
      </w:tr>
      <w:tr w:rsidR="0095448E" w:rsidRPr="0095448E" w14:paraId="2FD531E1" w14:textId="77777777" w:rsidTr="00656A88">
        <w:trPr>
          <w:trHeight w:val="227"/>
        </w:trPr>
        <w:tc>
          <w:tcPr>
            <w:tcW w:w="7999" w:type="dxa"/>
            <w:gridSpan w:val="7"/>
            <w:tcBorders>
              <w:top w:val="single" w:sz="4" w:space="0" w:color="auto"/>
              <w:bottom w:val="single" w:sz="4" w:space="0" w:color="auto"/>
            </w:tcBorders>
            <w:noWrap/>
            <w:vAlign w:val="center"/>
            <w:hideMark/>
          </w:tcPr>
          <w:p w14:paraId="5A815CE2" w14:textId="77777777" w:rsidR="00BC5805" w:rsidRPr="0095448E" w:rsidRDefault="00BC5805" w:rsidP="0094784D">
            <w:pPr>
              <w:pStyle w:val="TCTableBody"/>
            </w:pPr>
            <w:r w:rsidRPr="0095448E">
              <w:fldChar w:fldCharType="begin" w:fldLock="1"/>
            </w:r>
            <w:r w:rsidRPr="0095448E">
              <w:instrText>ADDIN CSL_CITATION { "citationItems" : [ { "id" : "ITEM-1", "itemData" : { "DOI" : "10.1016/j.chieco.2010.03.001", "ISBN" : "1043-951X", "abstract" : "Using a unique micro-level data set over the period 1998-2005 on Chinese firms, this paper presents empirical findings on the presence of credit constraints. Our findings are threefold. Firstly, private Chinese firms are credit constrained while state-owned firms and foreign-owned firms in China are not; Secondly, the geographical and sectoral presence of foreign capital alleviates credit constraints faced by private Chinese firms. Thirdly, geographical and sectoral presence of state firms aggravates financial constraints for private Chinese firms (\"crowding out\"). (C) 2010 Elsevier Inc. All rights reserved.", "author" : [ { "dropping-particle" : "", "family" : "Poncet", "given" : "S", "non-dropping-particle" : "", "parse-names" : false, "suffix" : "" }, { "dropping-particle" : "", "family" : "Steingress", "given" : "W", "non-dropping-particle" : "", "parse-names" : false, "suffix" : "" }, { "dropping-particle" : "", "family" : "Vandenbussche", "given" : "H", "non-dropping-particle" : "", "parse-names" : false, "suffix" : "" } ], "container-title" : "China Economic Review", "id" : "ITEM-1", "issue" : "3", "issued" : { "date-parts" : [ [ "2010" ] ] }, "language" : "English", "note" : "ISI Document Delivery No.: 611RV\nTimes Cited: 74\nCited Reference Count: 42\nPoncet, Sandra Steingress, Walter Vandenbussche, Hylke\n75\n6\n24\nElsevier science inc\nNew york", "page" : "411-422", "title" : "Financial constraints in China: Firm-level evidence", "type" : "article-journal", "volume" : "21" }, "uris" : [ "http://www.mendeley.com/documents/?uuid=82428f17-1d9c-4738-a7b7-1be57349ab0b" ] } ], "mendeley" : { "formattedCitation" : "(Poncet et al., 2010)", "plainTextFormattedCitation" : "(Poncet et al., 2010)", "previouslyFormattedCitation" : "[39]" }, "properties" : { "noteIndex" : 0 }, "schema" : "https://github.com/citation-style-language/schema/raw/master/csl-citation.json" }</w:instrText>
            </w:r>
            <w:r w:rsidRPr="0095448E">
              <w:fldChar w:fldCharType="separate"/>
            </w:r>
            <w:r w:rsidRPr="0095448E">
              <w:rPr>
                <w:noProof/>
              </w:rPr>
              <w:t>(Poncet et al., 2010)</w:t>
            </w:r>
            <w:r w:rsidRPr="0095448E">
              <w:fldChar w:fldCharType="end"/>
            </w:r>
            <w:r w:rsidRPr="0095448E">
              <w:t xml:space="preserve"> </w:t>
            </w:r>
          </w:p>
        </w:tc>
      </w:tr>
      <w:tr w:rsidR="0095448E" w:rsidRPr="0095448E" w14:paraId="3AB1AD63" w14:textId="77777777" w:rsidTr="00656A88">
        <w:trPr>
          <w:trHeight w:val="227"/>
        </w:trPr>
        <w:tc>
          <w:tcPr>
            <w:tcW w:w="793" w:type="dxa"/>
            <w:tcBorders>
              <w:top w:val="single" w:sz="4" w:space="0" w:color="auto"/>
            </w:tcBorders>
            <w:noWrap/>
            <w:vAlign w:val="center"/>
            <w:hideMark/>
          </w:tcPr>
          <w:p w14:paraId="20E74E2C" w14:textId="77777777" w:rsidR="00BC5805" w:rsidRPr="0095448E" w:rsidRDefault="00BC5805" w:rsidP="0094784D">
            <w:pPr>
              <w:pStyle w:val="TCTableBody"/>
            </w:pPr>
            <w:r w:rsidRPr="0095448E">
              <w:t>NPV</w:t>
            </w:r>
          </w:p>
        </w:tc>
        <w:tc>
          <w:tcPr>
            <w:tcW w:w="1259" w:type="dxa"/>
            <w:tcBorders>
              <w:top w:val="single" w:sz="4" w:space="0" w:color="auto"/>
            </w:tcBorders>
            <w:noWrap/>
            <w:vAlign w:val="center"/>
            <w:hideMark/>
          </w:tcPr>
          <w:p w14:paraId="64AEA1C2" w14:textId="77777777" w:rsidR="00BC5805" w:rsidRPr="0095448E" w:rsidRDefault="00BC5805" w:rsidP="0094784D">
            <w:pPr>
              <w:pStyle w:val="TCTableBody"/>
            </w:pPr>
            <w:r w:rsidRPr="0095448E">
              <w:t>0</w:t>
            </w:r>
          </w:p>
        </w:tc>
        <w:tc>
          <w:tcPr>
            <w:tcW w:w="1237" w:type="dxa"/>
            <w:tcBorders>
              <w:top w:val="single" w:sz="4" w:space="0" w:color="auto"/>
            </w:tcBorders>
            <w:noWrap/>
            <w:vAlign w:val="center"/>
            <w:hideMark/>
          </w:tcPr>
          <w:p w14:paraId="1A807D06" w14:textId="77777777" w:rsidR="00BC5805" w:rsidRPr="0095448E" w:rsidRDefault="00BC5805" w:rsidP="0094784D">
            <w:pPr>
              <w:pStyle w:val="TCTableBody"/>
            </w:pPr>
            <w:r w:rsidRPr="0095448E">
              <w:t>1</w:t>
            </w:r>
          </w:p>
        </w:tc>
        <w:tc>
          <w:tcPr>
            <w:tcW w:w="1340" w:type="dxa"/>
            <w:tcBorders>
              <w:top w:val="single" w:sz="4" w:space="0" w:color="auto"/>
            </w:tcBorders>
            <w:noWrap/>
            <w:vAlign w:val="center"/>
            <w:hideMark/>
          </w:tcPr>
          <w:p w14:paraId="4E491816" w14:textId="77777777" w:rsidR="00BC5805" w:rsidRPr="0095448E" w:rsidRDefault="00BC5805" w:rsidP="0094784D">
            <w:pPr>
              <w:pStyle w:val="TCTableBody"/>
            </w:pPr>
            <w:r w:rsidRPr="0095448E">
              <w:t>1</w:t>
            </w:r>
          </w:p>
        </w:tc>
        <w:tc>
          <w:tcPr>
            <w:tcW w:w="1062" w:type="dxa"/>
            <w:tcBorders>
              <w:top w:val="single" w:sz="4" w:space="0" w:color="auto"/>
            </w:tcBorders>
            <w:noWrap/>
            <w:vAlign w:val="center"/>
            <w:hideMark/>
          </w:tcPr>
          <w:p w14:paraId="652DD3B7" w14:textId="77777777" w:rsidR="00BC5805" w:rsidRPr="0095448E" w:rsidRDefault="00BC5805" w:rsidP="0094784D">
            <w:pPr>
              <w:pStyle w:val="TCTableBody"/>
            </w:pPr>
            <w:r w:rsidRPr="0095448E">
              <w:t>0</w:t>
            </w:r>
          </w:p>
        </w:tc>
        <w:tc>
          <w:tcPr>
            <w:tcW w:w="1134" w:type="dxa"/>
            <w:tcBorders>
              <w:top w:val="single" w:sz="4" w:space="0" w:color="auto"/>
            </w:tcBorders>
            <w:noWrap/>
            <w:vAlign w:val="center"/>
            <w:hideMark/>
          </w:tcPr>
          <w:p w14:paraId="2A1FF783" w14:textId="77777777" w:rsidR="00BC5805" w:rsidRPr="0095448E" w:rsidRDefault="00BC5805" w:rsidP="0094784D">
            <w:pPr>
              <w:pStyle w:val="TCTableBody"/>
            </w:pPr>
            <w:r w:rsidRPr="0095448E">
              <w:t>1</w:t>
            </w:r>
          </w:p>
        </w:tc>
        <w:tc>
          <w:tcPr>
            <w:tcW w:w="1174" w:type="dxa"/>
            <w:tcBorders>
              <w:top w:val="single" w:sz="4" w:space="0" w:color="auto"/>
            </w:tcBorders>
            <w:noWrap/>
            <w:vAlign w:val="center"/>
            <w:hideMark/>
          </w:tcPr>
          <w:p w14:paraId="276722E0" w14:textId="77777777" w:rsidR="00BC5805" w:rsidRPr="0095448E" w:rsidRDefault="00BC5805" w:rsidP="0094784D">
            <w:pPr>
              <w:pStyle w:val="TCTableBody"/>
            </w:pPr>
            <w:r w:rsidRPr="0095448E">
              <w:t>1</w:t>
            </w:r>
          </w:p>
        </w:tc>
      </w:tr>
      <w:tr w:rsidR="0095448E" w:rsidRPr="0095448E" w14:paraId="4BF7C04E" w14:textId="77777777" w:rsidTr="00494925">
        <w:trPr>
          <w:trHeight w:val="227"/>
        </w:trPr>
        <w:tc>
          <w:tcPr>
            <w:tcW w:w="793" w:type="dxa"/>
            <w:noWrap/>
            <w:vAlign w:val="center"/>
            <w:hideMark/>
          </w:tcPr>
          <w:p w14:paraId="4D5589C7" w14:textId="77777777" w:rsidR="00BC5805" w:rsidRPr="0095448E" w:rsidRDefault="00BC5805" w:rsidP="0094784D">
            <w:pPr>
              <w:pStyle w:val="TCTableBody"/>
            </w:pPr>
            <w:r w:rsidRPr="0095448E">
              <w:lastRenderedPageBreak/>
              <w:t>CAPEX</w:t>
            </w:r>
          </w:p>
        </w:tc>
        <w:tc>
          <w:tcPr>
            <w:tcW w:w="1259" w:type="dxa"/>
            <w:noWrap/>
            <w:vAlign w:val="center"/>
            <w:hideMark/>
          </w:tcPr>
          <w:p w14:paraId="659376D3" w14:textId="77777777" w:rsidR="00BC5805" w:rsidRPr="0095448E" w:rsidRDefault="00BC5805" w:rsidP="0094784D">
            <w:pPr>
              <w:pStyle w:val="TCTableBody"/>
            </w:pPr>
            <w:r w:rsidRPr="0095448E">
              <w:t>0</w:t>
            </w:r>
          </w:p>
        </w:tc>
        <w:tc>
          <w:tcPr>
            <w:tcW w:w="1237" w:type="dxa"/>
            <w:noWrap/>
            <w:vAlign w:val="center"/>
            <w:hideMark/>
          </w:tcPr>
          <w:p w14:paraId="65426D31" w14:textId="77777777" w:rsidR="00BC5805" w:rsidRPr="0095448E" w:rsidRDefault="00BC5805" w:rsidP="0094784D">
            <w:pPr>
              <w:pStyle w:val="TCTableBody"/>
            </w:pPr>
            <w:r w:rsidRPr="0095448E">
              <w:t>0</w:t>
            </w:r>
          </w:p>
        </w:tc>
        <w:tc>
          <w:tcPr>
            <w:tcW w:w="1340" w:type="dxa"/>
            <w:noWrap/>
            <w:vAlign w:val="center"/>
            <w:hideMark/>
          </w:tcPr>
          <w:p w14:paraId="4063EA43" w14:textId="77777777" w:rsidR="00BC5805" w:rsidRPr="0095448E" w:rsidRDefault="00BC5805" w:rsidP="0094784D">
            <w:pPr>
              <w:pStyle w:val="TCTableBody"/>
            </w:pPr>
            <w:r w:rsidRPr="0095448E">
              <w:t>0</w:t>
            </w:r>
          </w:p>
        </w:tc>
        <w:tc>
          <w:tcPr>
            <w:tcW w:w="1062" w:type="dxa"/>
            <w:noWrap/>
            <w:vAlign w:val="center"/>
            <w:hideMark/>
          </w:tcPr>
          <w:p w14:paraId="541ED0AC" w14:textId="77777777" w:rsidR="00BC5805" w:rsidRPr="0095448E" w:rsidRDefault="00BC5805" w:rsidP="0094784D">
            <w:pPr>
              <w:pStyle w:val="TCTableBody"/>
            </w:pPr>
            <w:r w:rsidRPr="0095448E">
              <w:t>0</w:t>
            </w:r>
          </w:p>
        </w:tc>
        <w:tc>
          <w:tcPr>
            <w:tcW w:w="1134" w:type="dxa"/>
            <w:noWrap/>
            <w:vAlign w:val="center"/>
            <w:hideMark/>
          </w:tcPr>
          <w:p w14:paraId="3D384980" w14:textId="77777777" w:rsidR="00BC5805" w:rsidRPr="0095448E" w:rsidRDefault="00BC5805" w:rsidP="0094784D">
            <w:pPr>
              <w:pStyle w:val="TCTableBody"/>
            </w:pPr>
            <w:r w:rsidRPr="0095448E">
              <w:t>0</w:t>
            </w:r>
          </w:p>
        </w:tc>
        <w:tc>
          <w:tcPr>
            <w:tcW w:w="1174" w:type="dxa"/>
            <w:noWrap/>
            <w:vAlign w:val="center"/>
            <w:hideMark/>
          </w:tcPr>
          <w:p w14:paraId="3368865F" w14:textId="77777777" w:rsidR="00BC5805" w:rsidRPr="0095448E" w:rsidRDefault="00BC5805" w:rsidP="0094784D">
            <w:pPr>
              <w:pStyle w:val="TCTableBody"/>
            </w:pPr>
            <w:r w:rsidRPr="0095448E">
              <w:t>0</w:t>
            </w:r>
          </w:p>
        </w:tc>
      </w:tr>
      <w:tr w:rsidR="0095448E" w:rsidRPr="0095448E" w14:paraId="10A0FADA" w14:textId="77777777" w:rsidTr="00656A88">
        <w:trPr>
          <w:trHeight w:val="227"/>
        </w:trPr>
        <w:tc>
          <w:tcPr>
            <w:tcW w:w="793" w:type="dxa"/>
            <w:tcBorders>
              <w:bottom w:val="single" w:sz="4" w:space="0" w:color="auto"/>
            </w:tcBorders>
            <w:noWrap/>
            <w:vAlign w:val="center"/>
            <w:hideMark/>
          </w:tcPr>
          <w:p w14:paraId="7A994959" w14:textId="77777777" w:rsidR="00BC5805" w:rsidRPr="0095448E" w:rsidRDefault="00BC5805" w:rsidP="0094784D">
            <w:pPr>
              <w:pStyle w:val="TCTableBody"/>
            </w:pPr>
            <w:r w:rsidRPr="0095448E">
              <w:t>PB</w:t>
            </w:r>
          </w:p>
        </w:tc>
        <w:tc>
          <w:tcPr>
            <w:tcW w:w="1259" w:type="dxa"/>
            <w:tcBorders>
              <w:bottom w:val="single" w:sz="4" w:space="0" w:color="auto"/>
            </w:tcBorders>
            <w:noWrap/>
            <w:vAlign w:val="center"/>
            <w:hideMark/>
          </w:tcPr>
          <w:p w14:paraId="659FD371" w14:textId="77777777" w:rsidR="00BC5805" w:rsidRPr="0095448E" w:rsidRDefault="00BC5805" w:rsidP="0094784D">
            <w:pPr>
              <w:pStyle w:val="TCTableBody"/>
            </w:pPr>
            <w:r w:rsidRPr="0095448E">
              <w:t>1</w:t>
            </w:r>
          </w:p>
        </w:tc>
        <w:tc>
          <w:tcPr>
            <w:tcW w:w="1237" w:type="dxa"/>
            <w:tcBorders>
              <w:bottom w:val="single" w:sz="4" w:space="0" w:color="auto"/>
            </w:tcBorders>
            <w:noWrap/>
            <w:vAlign w:val="center"/>
            <w:hideMark/>
          </w:tcPr>
          <w:p w14:paraId="3F7F767C" w14:textId="77777777" w:rsidR="00BC5805" w:rsidRPr="0095448E" w:rsidRDefault="00BC5805" w:rsidP="0094784D">
            <w:pPr>
              <w:pStyle w:val="TCTableBody"/>
            </w:pPr>
            <w:r w:rsidRPr="0095448E">
              <w:t>0</w:t>
            </w:r>
          </w:p>
        </w:tc>
        <w:tc>
          <w:tcPr>
            <w:tcW w:w="1340" w:type="dxa"/>
            <w:tcBorders>
              <w:bottom w:val="single" w:sz="4" w:space="0" w:color="auto"/>
            </w:tcBorders>
            <w:noWrap/>
            <w:vAlign w:val="center"/>
            <w:hideMark/>
          </w:tcPr>
          <w:p w14:paraId="17F1441F" w14:textId="77777777" w:rsidR="00BC5805" w:rsidRPr="0095448E" w:rsidRDefault="00BC5805" w:rsidP="0094784D">
            <w:pPr>
              <w:pStyle w:val="TCTableBody"/>
            </w:pPr>
            <w:r w:rsidRPr="0095448E">
              <w:t>0</w:t>
            </w:r>
          </w:p>
        </w:tc>
        <w:tc>
          <w:tcPr>
            <w:tcW w:w="1062" w:type="dxa"/>
            <w:tcBorders>
              <w:bottom w:val="single" w:sz="4" w:space="0" w:color="auto"/>
            </w:tcBorders>
            <w:noWrap/>
            <w:vAlign w:val="center"/>
            <w:hideMark/>
          </w:tcPr>
          <w:p w14:paraId="1DCF2145" w14:textId="77777777" w:rsidR="00BC5805" w:rsidRPr="0095448E" w:rsidRDefault="00BC5805" w:rsidP="0094784D">
            <w:pPr>
              <w:pStyle w:val="TCTableBody"/>
            </w:pPr>
            <w:r w:rsidRPr="0095448E">
              <w:t>1</w:t>
            </w:r>
          </w:p>
        </w:tc>
        <w:tc>
          <w:tcPr>
            <w:tcW w:w="1134" w:type="dxa"/>
            <w:tcBorders>
              <w:bottom w:val="single" w:sz="4" w:space="0" w:color="auto"/>
            </w:tcBorders>
            <w:noWrap/>
            <w:vAlign w:val="center"/>
            <w:hideMark/>
          </w:tcPr>
          <w:p w14:paraId="2E3C1CE6" w14:textId="77777777" w:rsidR="00BC5805" w:rsidRPr="0095448E" w:rsidRDefault="00BC5805" w:rsidP="0094784D">
            <w:pPr>
              <w:pStyle w:val="TCTableBody"/>
            </w:pPr>
            <w:r w:rsidRPr="0095448E">
              <w:t>0</w:t>
            </w:r>
          </w:p>
        </w:tc>
        <w:tc>
          <w:tcPr>
            <w:tcW w:w="1174" w:type="dxa"/>
            <w:tcBorders>
              <w:bottom w:val="single" w:sz="4" w:space="0" w:color="auto"/>
            </w:tcBorders>
            <w:noWrap/>
            <w:vAlign w:val="center"/>
            <w:hideMark/>
          </w:tcPr>
          <w:p w14:paraId="532D6C4F" w14:textId="77777777" w:rsidR="00BC5805" w:rsidRPr="0095448E" w:rsidRDefault="00BC5805" w:rsidP="0094784D">
            <w:pPr>
              <w:pStyle w:val="TCTableBody"/>
            </w:pPr>
            <w:r w:rsidRPr="0095448E">
              <w:t>0</w:t>
            </w:r>
          </w:p>
        </w:tc>
      </w:tr>
      <w:tr w:rsidR="0095448E" w:rsidRPr="0095448E" w14:paraId="264F2858" w14:textId="77777777" w:rsidTr="00656A88">
        <w:trPr>
          <w:trHeight w:val="227"/>
        </w:trPr>
        <w:tc>
          <w:tcPr>
            <w:tcW w:w="7999" w:type="dxa"/>
            <w:gridSpan w:val="7"/>
            <w:tcBorders>
              <w:top w:val="single" w:sz="4" w:space="0" w:color="auto"/>
              <w:bottom w:val="single" w:sz="4" w:space="0" w:color="auto"/>
            </w:tcBorders>
            <w:noWrap/>
            <w:vAlign w:val="center"/>
            <w:hideMark/>
          </w:tcPr>
          <w:p w14:paraId="0AC4431B" w14:textId="77777777" w:rsidR="00BC5805" w:rsidRPr="0095448E" w:rsidRDefault="00BC5805" w:rsidP="0094784D">
            <w:pPr>
              <w:pStyle w:val="TCTableBody"/>
            </w:pPr>
            <w:r w:rsidRPr="0095448E">
              <w:fldChar w:fldCharType="begin" w:fldLock="1"/>
            </w:r>
            <w:r w:rsidRPr="0095448E">
              <w:instrText>ADDIN CSL_CITATION { "citationItems" : [ { "id" : "ITEM-1", "itemData" : { "URL" : "http://www.jgbm.org/page/18 Kamal M. Haddad .pdf", "author" : [ { "dropping-particle" : "", "family" : "Chan", "given" : "Hung", "non-dropping-particle" : "", "parse-names" : false, "suffix" : "" }, { "dropping-particle" : "", "family" : "Haddad", "given" : "Kamal M", "non-dropping-particle" : "", "parse-names" : false, "suffix" : "" }, { "dropping-particle" : "", "family" : "Sterk", "given" : "William", "non-dropping-particle" : "", "parse-names" : false, "suffix" : "" } ], "container-title" : "Journal of Global Business Management", "id" : "ITEM-1", "issue" : "08/ 03/ ", "issued" : { "date-parts" : [ [ "2010" ] ] }, "title" : "Capital Budgeting Practices of Chinese Firms", "type" : "webpage", "volume" : "2019" }, "uris" : [ "http://www.mendeley.com/documents/?uuid=fbf246d4-b321-4198-b465-e0fdbf9018bb" ] } ], "mendeley" : { "formattedCitation" : "(Chan et al., 2010)", "plainTextFormattedCitation" : "(Chan et al., 2010)", "previouslyFormattedCitation" : "[40]" }, "properties" : { "noteIndex" : 0 }, "schema" : "https://github.com/citation-style-language/schema/raw/master/csl-citation.json" }</w:instrText>
            </w:r>
            <w:r w:rsidRPr="0095448E">
              <w:fldChar w:fldCharType="separate"/>
            </w:r>
            <w:r w:rsidRPr="0095448E">
              <w:rPr>
                <w:noProof/>
              </w:rPr>
              <w:t>(Chan et al., 2010)</w:t>
            </w:r>
            <w:r w:rsidRPr="0095448E">
              <w:fldChar w:fldCharType="end"/>
            </w:r>
          </w:p>
        </w:tc>
      </w:tr>
      <w:tr w:rsidR="0095448E" w:rsidRPr="0095448E" w14:paraId="466AB59C" w14:textId="77777777" w:rsidTr="00656A88">
        <w:trPr>
          <w:trHeight w:val="227"/>
        </w:trPr>
        <w:tc>
          <w:tcPr>
            <w:tcW w:w="793" w:type="dxa"/>
            <w:tcBorders>
              <w:top w:val="single" w:sz="4" w:space="0" w:color="auto"/>
            </w:tcBorders>
            <w:noWrap/>
            <w:vAlign w:val="center"/>
            <w:hideMark/>
          </w:tcPr>
          <w:p w14:paraId="45CB8106" w14:textId="77777777" w:rsidR="00BC5805" w:rsidRPr="0095448E" w:rsidRDefault="00BC5805" w:rsidP="0094784D">
            <w:pPr>
              <w:pStyle w:val="TCTableBody"/>
            </w:pPr>
            <w:r w:rsidRPr="0095448E">
              <w:t>NPV</w:t>
            </w:r>
          </w:p>
        </w:tc>
        <w:tc>
          <w:tcPr>
            <w:tcW w:w="1259" w:type="dxa"/>
            <w:tcBorders>
              <w:top w:val="single" w:sz="4" w:space="0" w:color="auto"/>
            </w:tcBorders>
            <w:noWrap/>
            <w:vAlign w:val="center"/>
            <w:hideMark/>
          </w:tcPr>
          <w:p w14:paraId="2B21A0D7" w14:textId="77777777" w:rsidR="00BC5805" w:rsidRPr="0095448E" w:rsidRDefault="00BC5805" w:rsidP="0094784D">
            <w:pPr>
              <w:pStyle w:val="TCTableBody"/>
            </w:pPr>
            <w:r w:rsidRPr="0095448E">
              <w:t>0.5</w:t>
            </w:r>
          </w:p>
        </w:tc>
        <w:tc>
          <w:tcPr>
            <w:tcW w:w="1237" w:type="dxa"/>
            <w:tcBorders>
              <w:top w:val="single" w:sz="4" w:space="0" w:color="auto"/>
            </w:tcBorders>
            <w:noWrap/>
            <w:vAlign w:val="center"/>
            <w:hideMark/>
          </w:tcPr>
          <w:p w14:paraId="442433E5" w14:textId="77777777" w:rsidR="00BC5805" w:rsidRPr="0095448E" w:rsidRDefault="00BC5805" w:rsidP="0094784D">
            <w:pPr>
              <w:pStyle w:val="TCTableBody"/>
            </w:pPr>
            <w:r w:rsidRPr="0095448E">
              <w:t>1</w:t>
            </w:r>
          </w:p>
        </w:tc>
        <w:tc>
          <w:tcPr>
            <w:tcW w:w="1340" w:type="dxa"/>
            <w:tcBorders>
              <w:top w:val="single" w:sz="4" w:space="0" w:color="auto"/>
            </w:tcBorders>
            <w:noWrap/>
            <w:vAlign w:val="center"/>
            <w:hideMark/>
          </w:tcPr>
          <w:p w14:paraId="3BE79F39" w14:textId="77777777" w:rsidR="00BC5805" w:rsidRPr="0095448E" w:rsidRDefault="00BC5805" w:rsidP="0094784D">
            <w:pPr>
              <w:pStyle w:val="TCTableBody"/>
            </w:pPr>
            <w:r w:rsidRPr="0095448E">
              <w:t>0.5</w:t>
            </w:r>
          </w:p>
        </w:tc>
        <w:tc>
          <w:tcPr>
            <w:tcW w:w="1062" w:type="dxa"/>
            <w:tcBorders>
              <w:top w:val="single" w:sz="4" w:space="0" w:color="auto"/>
            </w:tcBorders>
            <w:noWrap/>
            <w:vAlign w:val="center"/>
            <w:hideMark/>
          </w:tcPr>
          <w:p w14:paraId="3FD42F0A" w14:textId="77777777" w:rsidR="00BC5805" w:rsidRPr="0095448E" w:rsidRDefault="00BC5805" w:rsidP="0094784D">
            <w:pPr>
              <w:pStyle w:val="TCTableBody"/>
            </w:pPr>
            <w:r w:rsidRPr="0095448E">
              <w:t>0.5</w:t>
            </w:r>
          </w:p>
        </w:tc>
        <w:tc>
          <w:tcPr>
            <w:tcW w:w="1134" w:type="dxa"/>
            <w:tcBorders>
              <w:top w:val="single" w:sz="4" w:space="0" w:color="auto"/>
            </w:tcBorders>
            <w:noWrap/>
            <w:vAlign w:val="center"/>
            <w:hideMark/>
          </w:tcPr>
          <w:p w14:paraId="4A1D6A99" w14:textId="77777777" w:rsidR="00BC5805" w:rsidRPr="0095448E" w:rsidRDefault="00BC5805" w:rsidP="0094784D">
            <w:pPr>
              <w:pStyle w:val="TCTableBody"/>
            </w:pPr>
            <w:r w:rsidRPr="0095448E">
              <w:t>1</w:t>
            </w:r>
          </w:p>
        </w:tc>
        <w:tc>
          <w:tcPr>
            <w:tcW w:w="1174" w:type="dxa"/>
            <w:tcBorders>
              <w:top w:val="single" w:sz="4" w:space="0" w:color="auto"/>
            </w:tcBorders>
            <w:noWrap/>
            <w:vAlign w:val="center"/>
            <w:hideMark/>
          </w:tcPr>
          <w:p w14:paraId="658F52DC" w14:textId="77777777" w:rsidR="00BC5805" w:rsidRPr="0095448E" w:rsidRDefault="00BC5805" w:rsidP="0094784D">
            <w:pPr>
              <w:pStyle w:val="TCTableBody"/>
            </w:pPr>
            <w:r w:rsidRPr="0095448E">
              <w:t>0.5</w:t>
            </w:r>
          </w:p>
        </w:tc>
      </w:tr>
      <w:tr w:rsidR="0095448E" w:rsidRPr="0095448E" w14:paraId="4D6D19E2" w14:textId="77777777" w:rsidTr="00494925">
        <w:trPr>
          <w:trHeight w:val="227"/>
        </w:trPr>
        <w:tc>
          <w:tcPr>
            <w:tcW w:w="793" w:type="dxa"/>
            <w:noWrap/>
            <w:vAlign w:val="center"/>
            <w:hideMark/>
          </w:tcPr>
          <w:p w14:paraId="06C60CE6" w14:textId="77777777" w:rsidR="00BC5805" w:rsidRPr="0095448E" w:rsidRDefault="00BC5805" w:rsidP="0094784D">
            <w:pPr>
              <w:pStyle w:val="TCTableBody"/>
            </w:pPr>
            <w:r w:rsidRPr="0095448E">
              <w:t>CAPEX</w:t>
            </w:r>
          </w:p>
        </w:tc>
        <w:tc>
          <w:tcPr>
            <w:tcW w:w="1259" w:type="dxa"/>
            <w:noWrap/>
            <w:vAlign w:val="center"/>
            <w:hideMark/>
          </w:tcPr>
          <w:p w14:paraId="76E98441" w14:textId="77777777" w:rsidR="00BC5805" w:rsidRPr="0095448E" w:rsidRDefault="00BC5805" w:rsidP="0094784D">
            <w:pPr>
              <w:pStyle w:val="TCTableBody"/>
            </w:pPr>
            <w:r w:rsidRPr="0095448E">
              <w:t>0</w:t>
            </w:r>
          </w:p>
        </w:tc>
        <w:tc>
          <w:tcPr>
            <w:tcW w:w="1237" w:type="dxa"/>
            <w:noWrap/>
            <w:vAlign w:val="center"/>
            <w:hideMark/>
          </w:tcPr>
          <w:p w14:paraId="7783B45C" w14:textId="77777777" w:rsidR="00BC5805" w:rsidRPr="0095448E" w:rsidRDefault="00BC5805" w:rsidP="0094784D">
            <w:pPr>
              <w:pStyle w:val="TCTableBody"/>
            </w:pPr>
            <w:r w:rsidRPr="0095448E">
              <w:t>0</w:t>
            </w:r>
          </w:p>
        </w:tc>
        <w:tc>
          <w:tcPr>
            <w:tcW w:w="1340" w:type="dxa"/>
            <w:noWrap/>
            <w:vAlign w:val="center"/>
            <w:hideMark/>
          </w:tcPr>
          <w:p w14:paraId="12AB2C47" w14:textId="77777777" w:rsidR="00BC5805" w:rsidRPr="0095448E" w:rsidRDefault="00BC5805" w:rsidP="0094784D">
            <w:pPr>
              <w:pStyle w:val="TCTableBody"/>
            </w:pPr>
            <w:r w:rsidRPr="0095448E">
              <w:t>0</w:t>
            </w:r>
          </w:p>
        </w:tc>
        <w:tc>
          <w:tcPr>
            <w:tcW w:w="1062" w:type="dxa"/>
            <w:noWrap/>
            <w:vAlign w:val="center"/>
            <w:hideMark/>
          </w:tcPr>
          <w:p w14:paraId="4BCE6733" w14:textId="77777777" w:rsidR="00BC5805" w:rsidRPr="0095448E" w:rsidRDefault="00BC5805" w:rsidP="0094784D">
            <w:pPr>
              <w:pStyle w:val="TCTableBody"/>
            </w:pPr>
            <w:r w:rsidRPr="0095448E">
              <w:t>0</w:t>
            </w:r>
          </w:p>
        </w:tc>
        <w:tc>
          <w:tcPr>
            <w:tcW w:w="1134" w:type="dxa"/>
            <w:noWrap/>
            <w:vAlign w:val="center"/>
            <w:hideMark/>
          </w:tcPr>
          <w:p w14:paraId="4859ED56" w14:textId="77777777" w:rsidR="00BC5805" w:rsidRPr="0095448E" w:rsidRDefault="00BC5805" w:rsidP="0094784D">
            <w:pPr>
              <w:pStyle w:val="TCTableBody"/>
            </w:pPr>
            <w:r w:rsidRPr="0095448E">
              <w:t>0</w:t>
            </w:r>
          </w:p>
        </w:tc>
        <w:tc>
          <w:tcPr>
            <w:tcW w:w="1174" w:type="dxa"/>
            <w:noWrap/>
            <w:vAlign w:val="center"/>
            <w:hideMark/>
          </w:tcPr>
          <w:p w14:paraId="3CF2E5F7" w14:textId="77777777" w:rsidR="00BC5805" w:rsidRPr="0095448E" w:rsidRDefault="00BC5805" w:rsidP="0094784D">
            <w:pPr>
              <w:pStyle w:val="TCTableBody"/>
            </w:pPr>
            <w:r w:rsidRPr="0095448E">
              <w:t>0</w:t>
            </w:r>
          </w:p>
        </w:tc>
      </w:tr>
      <w:tr w:rsidR="00BC5805" w:rsidRPr="0095448E" w14:paraId="2FC0139C" w14:textId="77777777" w:rsidTr="00494925">
        <w:trPr>
          <w:trHeight w:val="227"/>
        </w:trPr>
        <w:tc>
          <w:tcPr>
            <w:tcW w:w="793" w:type="dxa"/>
            <w:tcBorders>
              <w:bottom w:val="single" w:sz="4" w:space="0" w:color="auto"/>
            </w:tcBorders>
            <w:noWrap/>
            <w:vAlign w:val="center"/>
            <w:hideMark/>
          </w:tcPr>
          <w:p w14:paraId="6D86D52E" w14:textId="77777777" w:rsidR="00BC5805" w:rsidRPr="0095448E" w:rsidRDefault="00BC5805" w:rsidP="0094784D">
            <w:pPr>
              <w:pStyle w:val="TCTableBody"/>
            </w:pPr>
            <w:r w:rsidRPr="0095448E">
              <w:t>PB</w:t>
            </w:r>
          </w:p>
        </w:tc>
        <w:tc>
          <w:tcPr>
            <w:tcW w:w="1259" w:type="dxa"/>
            <w:tcBorders>
              <w:bottom w:val="single" w:sz="4" w:space="0" w:color="auto"/>
            </w:tcBorders>
            <w:noWrap/>
            <w:vAlign w:val="center"/>
            <w:hideMark/>
          </w:tcPr>
          <w:p w14:paraId="68AD3CFF" w14:textId="77777777" w:rsidR="00BC5805" w:rsidRPr="0095448E" w:rsidRDefault="00BC5805" w:rsidP="0094784D">
            <w:pPr>
              <w:pStyle w:val="TCTableBody"/>
            </w:pPr>
            <w:r w:rsidRPr="0095448E">
              <w:t>0.5</w:t>
            </w:r>
          </w:p>
        </w:tc>
        <w:tc>
          <w:tcPr>
            <w:tcW w:w="1237" w:type="dxa"/>
            <w:tcBorders>
              <w:bottom w:val="single" w:sz="4" w:space="0" w:color="auto"/>
            </w:tcBorders>
            <w:noWrap/>
            <w:vAlign w:val="center"/>
            <w:hideMark/>
          </w:tcPr>
          <w:p w14:paraId="5909E311" w14:textId="77777777" w:rsidR="00BC5805" w:rsidRPr="0095448E" w:rsidRDefault="00BC5805" w:rsidP="0094784D">
            <w:pPr>
              <w:pStyle w:val="TCTableBody"/>
            </w:pPr>
            <w:r w:rsidRPr="0095448E">
              <w:t>0</w:t>
            </w:r>
          </w:p>
        </w:tc>
        <w:tc>
          <w:tcPr>
            <w:tcW w:w="1340" w:type="dxa"/>
            <w:tcBorders>
              <w:bottom w:val="single" w:sz="4" w:space="0" w:color="auto"/>
            </w:tcBorders>
            <w:noWrap/>
            <w:vAlign w:val="center"/>
            <w:hideMark/>
          </w:tcPr>
          <w:p w14:paraId="6B58FA9C" w14:textId="77777777" w:rsidR="00BC5805" w:rsidRPr="0095448E" w:rsidRDefault="00BC5805" w:rsidP="0094784D">
            <w:pPr>
              <w:pStyle w:val="TCTableBody"/>
            </w:pPr>
            <w:r w:rsidRPr="0095448E">
              <w:t>0.5</w:t>
            </w:r>
          </w:p>
        </w:tc>
        <w:tc>
          <w:tcPr>
            <w:tcW w:w="1062" w:type="dxa"/>
            <w:tcBorders>
              <w:bottom w:val="single" w:sz="4" w:space="0" w:color="auto"/>
            </w:tcBorders>
            <w:noWrap/>
            <w:vAlign w:val="center"/>
            <w:hideMark/>
          </w:tcPr>
          <w:p w14:paraId="4F93210A" w14:textId="77777777" w:rsidR="00BC5805" w:rsidRPr="0095448E" w:rsidRDefault="00BC5805" w:rsidP="0094784D">
            <w:pPr>
              <w:pStyle w:val="TCTableBody"/>
            </w:pPr>
            <w:r w:rsidRPr="0095448E">
              <w:t>0.5</w:t>
            </w:r>
          </w:p>
        </w:tc>
        <w:tc>
          <w:tcPr>
            <w:tcW w:w="1134" w:type="dxa"/>
            <w:tcBorders>
              <w:bottom w:val="single" w:sz="4" w:space="0" w:color="auto"/>
            </w:tcBorders>
            <w:noWrap/>
            <w:vAlign w:val="center"/>
            <w:hideMark/>
          </w:tcPr>
          <w:p w14:paraId="5A676BE6" w14:textId="77777777" w:rsidR="00BC5805" w:rsidRPr="0095448E" w:rsidRDefault="00BC5805" w:rsidP="0094784D">
            <w:pPr>
              <w:pStyle w:val="TCTableBody"/>
            </w:pPr>
            <w:r w:rsidRPr="0095448E">
              <w:t>0</w:t>
            </w:r>
          </w:p>
        </w:tc>
        <w:tc>
          <w:tcPr>
            <w:tcW w:w="1174" w:type="dxa"/>
            <w:tcBorders>
              <w:bottom w:val="single" w:sz="4" w:space="0" w:color="auto"/>
            </w:tcBorders>
            <w:noWrap/>
            <w:vAlign w:val="center"/>
            <w:hideMark/>
          </w:tcPr>
          <w:p w14:paraId="4CA34CA4" w14:textId="77777777" w:rsidR="00BC5805" w:rsidRPr="0095448E" w:rsidRDefault="00BC5805" w:rsidP="0094784D">
            <w:pPr>
              <w:pStyle w:val="TCTableBody"/>
            </w:pPr>
            <w:r w:rsidRPr="0095448E">
              <w:t>0.5</w:t>
            </w:r>
          </w:p>
        </w:tc>
      </w:tr>
    </w:tbl>
    <w:p w14:paraId="76BD0DF4" w14:textId="77777777" w:rsidR="00BC5805" w:rsidRPr="0095448E" w:rsidRDefault="00BC5805" w:rsidP="00BC5805">
      <w:pPr>
        <w:pStyle w:val="BGKeywords"/>
        <w:rPr>
          <w:lang w:val="en-GB"/>
        </w:rPr>
      </w:pPr>
    </w:p>
    <w:p w14:paraId="4DCD3204" w14:textId="4AEF202D" w:rsidR="00BC5805" w:rsidRPr="0095448E" w:rsidRDefault="00BC5805" w:rsidP="006145B5">
      <w:pPr>
        <w:pStyle w:val="VDTableTitle"/>
        <w:rPr>
          <w:lang w:val="en-GB"/>
        </w:rPr>
      </w:pPr>
      <w:bookmarkStart w:id="14" w:name="_Ref5367428"/>
      <w:r w:rsidRPr="0095448E">
        <w:rPr>
          <w:lang w:val="en-GB"/>
        </w:rPr>
        <w:t xml:space="preserve">Table </w:t>
      </w:r>
      <w:r w:rsidRPr="0095448E">
        <w:rPr>
          <w:lang w:val="en-GB"/>
        </w:rPr>
        <w:fldChar w:fldCharType="begin"/>
      </w:r>
      <w:r w:rsidRPr="0095448E">
        <w:rPr>
          <w:lang w:val="en-GB"/>
        </w:rPr>
        <w:instrText xml:space="preserve"> SEQ Table \* ARABIC </w:instrText>
      </w:r>
      <w:r w:rsidRPr="0095448E">
        <w:rPr>
          <w:lang w:val="en-GB"/>
        </w:rPr>
        <w:fldChar w:fldCharType="separate"/>
      </w:r>
      <w:r w:rsidRPr="0095448E">
        <w:rPr>
          <w:lang w:val="en-GB"/>
        </w:rPr>
        <w:t>6</w:t>
      </w:r>
      <w:r w:rsidRPr="0095448E">
        <w:fldChar w:fldCharType="end"/>
      </w:r>
      <w:bookmarkEnd w:id="14"/>
      <w:r w:rsidRPr="0095448E">
        <w:rPr>
          <w:lang w:val="en-GB"/>
        </w:rPr>
        <w:t>. Simulation scenarios used for sensitivity analysis</w:t>
      </w:r>
      <w:r w:rsidR="00A6073E" w:rsidRPr="0095448E">
        <w:rPr>
          <w:lang w:val="en-GB"/>
        </w:rPr>
        <w:t>. The variations of fuel price are calculated from a reference value used in the “Single objective functions”, the “Multiple objective functions”, and the “Technology growth rates” scenarios.</w:t>
      </w:r>
    </w:p>
    <w:tbl>
      <w:tblPr>
        <w:tblW w:w="0" w:type="auto"/>
        <w:jc w:val="center"/>
        <w:tblLayout w:type="fixed"/>
        <w:tblLook w:val="04A0" w:firstRow="1" w:lastRow="0" w:firstColumn="1" w:lastColumn="0" w:noHBand="0" w:noVBand="1"/>
      </w:tblPr>
      <w:tblGrid>
        <w:gridCol w:w="1707"/>
        <w:gridCol w:w="3969"/>
        <w:gridCol w:w="3969"/>
      </w:tblGrid>
      <w:tr w:rsidR="00176C0D" w:rsidRPr="0095448E" w14:paraId="6C2448E7" w14:textId="77777777" w:rsidTr="00383120">
        <w:trPr>
          <w:trHeight w:val="300"/>
          <w:tblHeader/>
          <w:jc w:val="center"/>
        </w:trPr>
        <w:tc>
          <w:tcPr>
            <w:tcW w:w="1707" w:type="dxa"/>
            <w:tcBorders>
              <w:top w:val="single" w:sz="4" w:space="0" w:color="auto"/>
              <w:bottom w:val="single" w:sz="4" w:space="0" w:color="auto"/>
            </w:tcBorders>
            <w:noWrap/>
            <w:vAlign w:val="center"/>
            <w:hideMark/>
          </w:tcPr>
          <w:p w14:paraId="54049E57" w14:textId="77777777" w:rsidR="00BC5805" w:rsidRPr="0095448E" w:rsidRDefault="00BC5805" w:rsidP="0094784D">
            <w:pPr>
              <w:pStyle w:val="TCTableBody"/>
            </w:pPr>
            <w:r w:rsidRPr="0095448E">
              <w:t>Scenario</w:t>
            </w:r>
          </w:p>
        </w:tc>
        <w:tc>
          <w:tcPr>
            <w:tcW w:w="3969" w:type="dxa"/>
            <w:tcBorders>
              <w:top w:val="single" w:sz="4" w:space="0" w:color="auto"/>
              <w:bottom w:val="single" w:sz="4" w:space="0" w:color="auto"/>
            </w:tcBorders>
            <w:noWrap/>
            <w:vAlign w:val="center"/>
            <w:hideMark/>
          </w:tcPr>
          <w:p w14:paraId="503B561B" w14:textId="77777777" w:rsidR="00BC5805" w:rsidRPr="0095448E" w:rsidRDefault="00BC5805" w:rsidP="0094784D">
            <w:pPr>
              <w:pStyle w:val="TCTableBody"/>
            </w:pPr>
            <w:r w:rsidRPr="0095448E">
              <w:t>Details</w:t>
            </w:r>
          </w:p>
        </w:tc>
        <w:tc>
          <w:tcPr>
            <w:tcW w:w="3969" w:type="dxa"/>
            <w:tcBorders>
              <w:top w:val="single" w:sz="4" w:space="0" w:color="auto"/>
              <w:bottom w:val="single" w:sz="4" w:space="0" w:color="auto"/>
            </w:tcBorders>
            <w:noWrap/>
            <w:vAlign w:val="center"/>
            <w:hideMark/>
          </w:tcPr>
          <w:p w14:paraId="0F63363C" w14:textId="77777777" w:rsidR="00BC5805" w:rsidRPr="0095448E" w:rsidRDefault="00BC5805" w:rsidP="0094784D">
            <w:pPr>
              <w:pStyle w:val="TCTableBody"/>
            </w:pPr>
            <w:r w:rsidRPr="0095448E">
              <w:t>Range</w:t>
            </w:r>
          </w:p>
        </w:tc>
      </w:tr>
      <w:tr w:rsidR="00176C0D" w:rsidRPr="0095448E" w14:paraId="5C7D185F" w14:textId="77777777" w:rsidTr="007A7597">
        <w:trPr>
          <w:trHeight w:val="300"/>
          <w:jc w:val="center"/>
        </w:trPr>
        <w:tc>
          <w:tcPr>
            <w:tcW w:w="1707" w:type="dxa"/>
            <w:vMerge w:val="restart"/>
            <w:tcBorders>
              <w:top w:val="single" w:sz="4" w:space="0" w:color="auto"/>
            </w:tcBorders>
            <w:vAlign w:val="center"/>
            <w:hideMark/>
          </w:tcPr>
          <w:p w14:paraId="470DAD18" w14:textId="77777777" w:rsidR="00BC5805" w:rsidRPr="0095448E" w:rsidRDefault="00BC5805" w:rsidP="0094784D">
            <w:pPr>
              <w:pStyle w:val="TCTableBody"/>
            </w:pPr>
            <w:r w:rsidRPr="0095448E">
              <w:t>Single objective functions</w:t>
            </w:r>
          </w:p>
        </w:tc>
        <w:tc>
          <w:tcPr>
            <w:tcW w:w="3969" w:type="dxa"/>
            <w:tcBorders>
              <w:top w:val="single" w:sz="4" w:space="0" w:color="auto"/>
            </w:tcBorders>
            <w:noWrap/>
            <w:vAlign w:val="center"/>
            <w:hideMark/>
          </w:tcPr>
          <w:p w14:paraId="72B65033" w14:textId="77777777" w:rsidR="00BC5805" w:rsidRPr="0095448E" w:rsidRDefault="00BC5805" w:rsidP="0094784D">
            <w:pPr>
              <w:pStyle w:val="TCTableBody"/>
            </w:pPr>
            <w:r w:rsidRPr="0095448E">
              <w:t>NPV</w:t>
            </w:r>
          </w:p>
        </w:tc>
        <w:tc>
          <w:tcPr>
            <w:tcW w:w="1944" w:type="dxa"/>
            <w:tcBorders>
              <w:top w:val="single" w:sz="4" w:space="0" w:color="auto"/>
            </w:tcBorders>
            <w:noWrap/>
            <w:vAlign w:val="center"/>
            <w:hideMark/>
          </w:tcPr>
          <w:p w14:paraId="572FB69A"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015622CA" w14:textId="77777777" w:rsidTr="007A7597">
        <w:trPr>
          <w:trHeight w:val="300"/>
          <w:jc w:val="center"/>
        </w:trPr>
        <w:tc>
          <w:tcPr>
            <w:tcW w:w="1707" w:type="dxa"/>
            <w:vMerge/>
            <w:vAlign w:val="center"/>
            <w:hideMark/>
          </w:tcPr>
          <w:p w14:paraId="461CD9F7" w14:textId="77777777" w:rsidR="00BC5805" w:rsidRPr="0095448E" w:rsidRDefault="00BC5805" w:rsidP="0094784D">
            <w:pPr>
              <w:pStyle w:val="TCTableBody"/>
            </w:pPr>
          </w:p>
        </w:tc>
        <w:tc>
          <w:tcPr>
            <w:tcW w:w="3969" w:type="dxa"/>
            <w:noWrap/>
            <w:vAlign w:val="center"/>
            <w:hideMark/>
          </w:tcPr>
          <w:p w14:paraId="5BE2B052" w14:textId="77777777" w:rsidR="00BC5805" w:rsidRPr="0095448E" w:rsidRDefault="00BC5805" w:rsidP="0094784D">
            <w:pPr>
              <w:pStyle w:val="TCTableBody"/>
            </w:pPr>
            <w:r w:rsidRPr="0095448E">
              <w:t>Capex</w:t>
            </w:r>
          </w:p>
        </w:tc>
        <w:tc>
          <w:tcPr>
            <w:tcW w:w="1944" w:type="dxa"/>
            <w:noWrap/>
            <w:vAlign w:val="center"/>
            <w:hideMark/>
          </w:tcPr>
          <w:p w14:paraId="22932098"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09306016" w14:textId="77777777" w:rsidTr="00D71373">
        <w:trPr>
          <w:trHeight w:val="300"/>
          <w:jc w:val="center"/>
        </w:trPr>
        <w:tc>
          <w:tcPr>
            <w:tcW w:w="1707" w:type="dxa"/>
            <w:vMerge/>
            <w:tcBorders>
              <w:bottom w:val="single" w:sz="4" w:space="0" w:color="auto"/>
            </w:tcBorders>
            <w:vAlign w:val="center"/>
            <w:hideMark/>
          </w:tcPr>
          <w:p w14:paraId="6081625E" w14:textId="77777777" w:rsidR="00BC5805" w:rsidRPr="0095448E" w:rsidRDefault="00BC5805" w:rsidP="0094784D">
            <w:pPr>
              <w:pStyle w:val="TCTableBody"/>
            </w:pPr>
          </w:p>
        </w:tc>
        <w:tc>
          <w:tcPr>
            <w:tcW w:w="3969" w:type="dxa"/>
            <w:tcBorders>
              <w:bottom w:val="single" w:sz="4" w:space="0" w:color="auto"/>
            </w:tcBorders>
            <w:noWrap/>
            <w:vAlign w:val="center"/>
            <w:hideMark/>
          </w:tcPr>
          <w:p w14:paraId="5EA798D3" w14:textId="77777777" w:rsidR="00BC5805" w:rsidRPr="0095448E" w:rsidRDefault="00BC5805" w:rsidP="0094784D">
            <w:pPr>
              <w:pStyle w:val="TCTableBody"/>
            </w:pPr>
            <w:r w:rsidRPr="0095448E">
              <w:t>Payback time</w:t>
            </w:r>
          </w:p>
        </w:tc>
        <w:tc>
          <w:tcPr>
            <w:tcW w:w="1944" w:type="dxa"/>
            <w:tcBorders>
              <w:bottom w:val="single" w:sz="4" w:space="0" w:color="auto"/>
            </w:tcBorders>
            <w:noWrap/>
            <w:vAlign w:val="center"/>
            <w:hideMark/>
          </w:tcPr>
          <w:p w14:paraId="5E9EB270"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4DE8AD38" w14:textId="77777777" w:rsidTr="00D71373">
        <w:trPr>
          <w:trHeight w:val="300"/>
          <w:jc w:val="center"/>
        </w:trPr>
        <w:tc>
          <w:tcPr>
            <w:tcW w:w="1707" w:type="dxa"/>
            <w:vMerge w:val="restart"/>
            <w:tcBorders>
              <w:top w:val="single" w:sz="4" w:space="0" w:color="auto"/>
            </w:tcBorders>
            <w:noWrap/>
            <w:vAlign w:val="center"/>
            <w:hideMark/>
          </w:tcPr>
          <w:p w14:paraId="1FE2E6F7" w14:textId="77777777" w:rsidR="00BC5805" w:rsidRPr="0095448E" w:rsidRDefault="00BC5805" w:rsidP="0094784D">
            <w:pPr>
              <w:pStyle w:val="TCTableBody"/>
            </w:pPr>
            <w:r w:rsidRPr="0095448E">
              <w:t>Multiple objective functions</w:t>
            </w:r>
          </w:p>
        </w:tc>
        <w:tc>
          <w:tcPr>
            <w:tcW w:w="3969" w:type="dxa"/>
            <w:tcBorders>
              <w:top w:val="single" w:sz="4" w:space="0" w:color="auto"/>
            </w:tcBorders>
            <w:noWrap/>
            <w:vAlign w:val="center"/>
            <w:hideMark/>
          </w:tcPr>
          <w:p w14:paraId="5EC34355" w14:textId="77777777" w:rsidR="00BC5805" w:rsidRPr="0095448E" w:rsidRDefault="00BC5805" w:rsidP="0094784D">
            <w:pPr>
              <w:pStyle w:val="TCTableBody"/>
            </w:pPr>
            <w:r w:rsidRPr="0095448E">
              <w:t>Baseline tuning</w:t>
            </w:r>
          </w:p>
        </w:tc>
        <w:tc>
          <w:tcPr>
            <w:tcW w:w="1944" w:type="dxa"/>
            <w:tcBorders>
              <w:top w:val="single" w:sz="4" w:space="0" w:color="auto"/>
            </w:tcBorders>
            <w:noWrap/>
            <w:vAlign w:val="center"/>
            <w:hideMark/>
          </w:tcPr>
          <w:p w14:paraId="03FAF72A"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40A7D64D" w14:textId="77777777" w:rsidTr="007A7597">
        <w:trPr>
          <w:trHeight w:val="300"/>
          <w:jc w:val="center"/>
        </w:trPr>
        <w:tc>
          <w:tcPr>
            <w:tcW w:w="1707" w:type="dxa"/>
            <w:vMerge/>
            <w:vAlign w:val="center"/>
            <w:hideMark/>
          </w:tcPr>
          <w:p w14:paraId="724A2890" w14:textId="77777777" w:rsidR="00BC5805" w:rsidRPr="0095448E" w:rsidRDefault="00BC5805" w:rsidP="0094784D">
            <w:pPr>
              <w:pStyle w:val="TCTableBody"/>
            </w:pPr>
          </w:p>
        </w:tc>
        <w:tc>
          <w:tcPr>
            <w:tcW w:w="3969" w:type="dxa"/>
            <w:noWrap/>
            <w:vAlign w:val="center"/>
            <w:hideMark/>
          </w:tcPr>
          <w:p w14:paraId="220319BF" w14:textId="77777777" w:rsidR="00BC5805" w:rsidRPr="0095448E" w:rsidRDefault="00BC5805" w:rsidP="0094784D">
            <w:pPr>
              <w:pStyle w:val="TCTableBody"/>
            </w:pPr>
            <w:r w:rsidRPr="0095448E">
              <w:fldChar w:fldCharType="begin" w:fldLock="1"/>
            </w:r>
            <w:r w:rsidRPr="0095448E">
              <w:instrText>ADDIN CSL_CITATION { "citationItems" : [ { "id" : "ITEM-1", "itemData" : { "abstract" : "This paper uses survey data compiled by the National Federation of Independent Business to analyze the capital budgeting practices of small firms. While large firms tend to rely on the discounted cash flow analysis favored by finance texts, many small firms evaluate projects using the payback period or the owner\u2019s gut feel. The limited education background of some business owners and small staff sizes partly explain why small firms use these relatively unsophisticated project evaluation tools. However, we also identify specific business reasons\u2014including liquidity concerns and cash flow estimation challenges\u2014to explain why small firms do not exclusively use discounted cash flow analysis when evaluating projects. These results suggest that optimal investment evaluation procedures for large and small firms might differ. [G31]", "author" : [ { "dropping-particle" : "", "family" : "Danielson", "given" : "Morris", "non-dropping-particle" : "", "parse-names" : false, "suffix" : "" }, { "dropping-particle" : "", "family" : "Scott", "given" : "Jonathan", "non-dropping-particle" : "", "parse-names" : false, "suffix" : "" } ], "id" : "ITEM-1", "issued" : { "date-parts" : [ [ "2006" ] ] }, "title" : "The capital budgeting decisions of small businesses", "type" : "book", "volume" : "16" }, "uris" : [ "http://www.mendeley.com/documents/?uuid=c996bf07-8ab0-43e8-ab4f-647ff2dcb520" ] } ], "mendeley" : { "formattedCitation" : "(Danielson and Scott, 2006)", "plainTextFormattedCitation" : "(Danielson and Scott, 2006)", "previouslyFormattedCitation" : "[6]" }, "properties" : { "noteIndex" : 0 }, "schema" : "https://github.com/citation-style-language/schema/raw/master/csl-citation.json" }</w:instrText>
            </w:r>
            <w:r w:rsidRPr="0095448E">
              <w:fldChar w:fldCharType="separate"/>
            </w:r>
            <w:r w:rsidRPr="0095448E">
              <w:rPr>
                <w:noProof/>
              </w:rPr>
              <w:t>(Danielson and Scott, 2006)</w:t>
            </w:r>
            <w:r w:rsidRPr="0095448E">
              <w:fldChar w:fldCharType="end"/>
            </w:r>
          </w:p>
        </w:tc>
        <w:tc>
          <w:tcPr>
            <w:tcW w:w="1944" w:type="dxa"/>
            <w:noWrap/>
            <w:vAlign w:val="center"/>
            <w:hideMark/>
          </w:tcPr>
          <w:p w14:paraId="6BFF6A8F"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534588A4" w14:textId="77777777" w:rsidTr="007A7597">
        <w:trPr>
          <w:trHeight w:val="300"/>
          <w:jc w:val="center"/>
        </w:trPr>
        <w:tc>
          <w:tcPr>
            <w:tcW w:w="1707" w:type="dxa"/>
            <w:vMerge/>
            <w:vAlign w:val="center"/>
            <w:hideMark/>
          </w:tcPr>
          <w:p w14:paraId="01D5269C" w14:textId="77777777" w:rsidR="00BC5805" w:rsidRPr="0095448E" w:rsidRDefault="00BC5805" w:rsidP="0094784D">
            <w:pPr>
              <w:pStyle w:val="TCTableBody"/>
            </w:pPr>
          </w:p>
        </w:tc>
        <w:tc>
          <w:tcPr>
            <w:tcW w:w="3969" w:type="dxa"/>
            <w:noWrap/>
            <w:vAlign w:val="center"/>
            <w:hideMark/>
          </w:tcPr>
          <w:p w14:paraId="6936F1F5" w14:textId="77777777" w:rsidR="00BC5805" w:rsidRPr="0095448E" w:rsidRDefault="00BC5805" w:rsidP="0094784D">
            <w:pPr>
              <w:pStyle w:val="TCTableBody"/>
            </w:pPr>
            <w:r w:rsidRPr="0095448E">
              <w:fldChar w:fldCharType="begin" w:fldLock="1"/>
            </w:r>
            <w:r w:rsidRPr="0095448E">
              <w:instrText>ADDIN CSL_CITATION { "citationItems" : [ { "id" : "ITEM-1", "itemData" : { "DOI" : "http://dx.doi.org/10.1016/j.ibusrev.2007.05.002", "ISBN" : "0969-5931", "abstract" : "This paper compares the use of capital budgeting techniques of Dutch and Chinese firms, using data obtained from a survey among 250 Dutch and 300 Chinese companies. Our main aim is to analyse the use of capital budgeting techniques by companies in both countries from a comparative perspective to see whether economic development matters. The empirical analysis provides evidence that Dutch Chief Financial Officers (CFOs) on average use more sophisticated capital budgeting techniques than Chinese CFOs do. At the same, however, our results suggest that the difference between Dutch and Chinese firms is smaller than might have been expected based upon the differences in the level of economic development between both countries, at least with respect to the use of methods of estimating the cost of capital and the use of CAPM as the method of estimating the cost of equity.", "author" : [ { "dropping-particle" : "", "family" : "Hermes", "given" : "Niels", "non-dropping-particle" : "", "parse-names" : false, "suffix" : "" }, { "dropping-particle" : "", "family" : "Smid", "given" : "Peter", "non-dropping-particle" : "", "parse-names" : false, "suffix" : "" }, { "dropping-particle" : "", "family" : "Yao", "given" : "Lu", "non-dropping-particle" : "", "parse-names" : false, "suffix" : "" } ], "container-title" : "International Business Review", "id" : "ITEM-1", "issue" : "5", "issued" : { "date-parts" : [ [ "2007" ] ] }, "page" : "630-654", "title" : "Capital budgeting practices: A comparative study of the Netherlands and China", "type" : "article-journal", "volume" : "16" }, "uris" : [ "http://www.mendeley.com/documents/?uuid=72ea77bf-345d-4cef-959a-2f11d3afd131" ] } ], "mendeley" : { "formattedCitation" : "(Hermes et al., 2007)", "plainTextFormattedCitation" : "(Hermes et al., 2007)", "previouslyFormattedCitation" : "[9]" }, "properties" : { "noteIndex" : 0 }, "schema" : "https://github.com/citation-style-language/schema/raw/master/csl-citation.json" }</w:instrText>
            </w:r>
            <w:r w:rsidRPr="0095448E">
              <w:fldChar w:fldCharType="separate"/>
            </w:r>
            <w:r w:rsidRPr="0095448E">
              <w:rPr>
                <w:noProof/>
              </w:rPr>
              <w:t>(Hermes et al., 2007)</w:t>
            </w:r>
            <w:r w:rsidRPr="0095448E">
              <w:fldChar w:fldCharType="end"/>
            </w:r>
          </w:p>
        </w:tc>
        <w:tc>
          <w:tcPr>
            <w:tcW w:w="1944" w:type="dxa"/>
            <w:noWrap/>
            <w:vAlign w:val="center"/>
            <w:hideMark/>
          </w:tcPr>
          <w:p w14:paraId="7BED2230"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37F4F508" w14:textId="77777777" w:rsidTr="007A7597">
        <w:trPr>
          <w:trHeight w:val="300"/>
          <w:jc w:val="center"/>
        </w:trPr>
        <w:tc>
          <w:tcPr>
            <w:tcW w:w="1707" w:type="dxa"/>
            <w:vMerge/>
            <w:vAlign w:val="center"/>
            <w:hideMark/>
          </w:tcPr>
          <w:p w14:paraId="2D97E980" w14:textId="77777777" w:rsidR="00BC5805" w:rsidRPr="0095448E" w:rsidRDefault="00BC5805" w:rsidP="0094784D">
            <w:pPr>
              <w:pStyle w:val="TCTableBody"/>
            </w:pPr>
          </w:p>
        </w:tc>
        <w:tc>
          <w:tcPr>
            <w:tcW w:w="3969" w:type="dxa"/>
            <w:noWrap/>
            <w:vAlign w:val="center"/>
            <w:hideMark/>
          </w:tcPr>
          <w:p w14:paraId="37E598E2" w14:textId="77777777" w:rsidR="00BC5805" w:rsidRPr="0095448E" w:rsidRDefault="00BC5805" w:rsidP="0094784D">
            <w:pPr>
              <w:pStyle w:val="TCTableBody"/>
            </w:pPr>
            <w:r w:rsidRPr="0095448E">
              <w:fldChar w:fldCharType="begin" w:fldLock="1"/>
            </w:r>
            <w:r w:rsidRPr="0095448E">
              <w:instrText>ADDIN CSL_CITATION { "citationItems" : [ { "id" : "ITEM-1", "itemData" : { "DOI" : "10.1016/j.chieco.2010.03.001", "ISBN" : "1043-951X", "abstract" : "Using a unique micro-level data set over the period 1998-2005 on Chinese firms, this paper presents empirical findings on the presence of credit constraints. Our findings are threefold. Firstly, private Chinese firms are credit constrained while state-owned firms and foreign-owned firms in China are not; Secondly, the geographical and sectoral presence of foreign capital alleviates credit constraints faced by private Chinese firms. Thirdly, geographical and sectoral presence of state firms aggravates financial constraints for private Chinese firms (\"crowding out\"). (C) 2010 Elsevier Inc. All rights reserved.", "author" : [ { "dropping-particle" : "", "family" : "Poncet", "given" : "S", "non-dropping-particle" : "", "parse-names" : false, "suffix" : "" }, { "dropping-particle" : "", "family" : "Steingress", "given" : "W", "non-dropping-particle" : "", "parse-names" : false, "suffix" : "" }, { "dropping-particle" : "", "family" : "Vandenbussche", "given" : "H", "non-dropping-particle" : "", "parse-names" : false, "suffix" : "" } ], "container-title" : "China Economic Review", "id" : "ITEM-1", "issue" : "3", "issued" : { "date-parts" : [ [ "2010" ] ] }, "language" : "English", "note" : "ISI Document Delivery No.: 611RV\nTimes Cited: 74\nCited Reference Count: 42\nPoncet, Sandra Steingress, Walter Vandenbussche, Hylke\n75\n6\n24\nElsevier science inc\nNew york", "page" : "411-422", "title" : "Financial constraints in China: Firm-level evidence", "type" : "article-journal", "volume" : "21" }, "uris" : [ "http://www.mendeley.com/documents/?uuid=82428f17-1d9c-4738-a7b7-1be57349ab0b" ] } ], "mendeley" : { "formattedCitation" : "(Poncet et al., 2010)", "plainTextFormattedCitation" : "(Poncet et al., 2010)", "previouslyFormattedCitation" : "[39]" }, "properties" : { "noteIndex" : 0 }, "schema" : "https://github.com/citation-style-language/schema/raw/master/csl-citation.json" }</w:instrText>
            </w:r>
            <w:r w:rsidRPr="0095448E">
              <w:fldChar w:fldCharType="separate"/>
            </w:r>
            <w:r w:rsidRPr="0095448E">
              <w:rPr>
                <w:noProof/>
              </w:rPr>
              <w:t>(Poncet et al., 2010)</w:t>
            </w:r>
            <w:r w:rsidRPr="0095448E">
              <w:fldChar w:fldCharType="end"/>
            </w:r>
          </w:p>
        </w:tc>
        <w:tc>
          <w:tcPr>
            <w:tcW w:w="1944" w:type="dxa"/>
            <w:noWrap/>
            <w:vAlign w:val="center"/>
            <w:hideMark/>
          </w:tcPr>
          <w:p w14:paraId="7E26F794"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5F29BB93" w14:textId="77777777" w:rsidTr="00D71373">
        <w:trPr>
          <w:trHeight w:val="300"/>
          <w:jc w:val="center"/>
        </w:trPr>
        <w:tc>
          <w:tcPr>
            <w:tcW w:w="1707" w:type="dxa"/>
            <w:vMerge/>
            <w:tcBorders>
              <w:bottom w:val="single" w:sz="4" w:space="0" w:color="auto"/>
            </w:tcBorders>
            <w:vAlign w:val="center"/>
            <w:hideMark/>
          </w:tcPr>
          <w:p w14:paraId="4B690EF2" w14:textId="77777777" w:rsidR="00BC5805" w:rsidRPr="0095448E" w:rsidRDefault="00BC5805" w:rsidP="0094784D">
            <w:pPr>
              <w:pStyle w:val="TCTableBody"/>
            </w:pPr>
          </w:p>
        </w:tc>
        <w:tc>
          <w:tcPr>
            <w:tcW w:w="3969" w:type="dxa"/>
            <w:tcBorders>
              <w:bottom w:val="single" w:sz="4" w:space="0" w:color="auto"/>
            </w:tcBorders>
            <w:noWrap/>
            <w:vAlign w:val="center"/>
            <w:hideMark/>
          </w:tcPr>
          <w:p w14:paraId="186F27FE" w14:textId="77777777" w:rsidR="00BC5805" w:rsidRPr="0095448E" w:rsidRDefault="00BC5805" w:rsidP="0094784D">
            <w:pPr>
              <w:pStyle w:val="TCTableBody"/>
            </w:pPr>
            <w:r w:rsidRPr="0095448E">
              <w:fldChar w:fldCharType="begin" w:fldLock="1"/>
            </w:r>
            <w:r w:rsidRPr="0095448E">
              <w:instrText>ADDIN CSL_CITATION { "citationItems" : [ { "id" : "ITEM-1", "itemData" : { "URL" : "http://www.jgbm.org/page/18 Kamal M. Haddad .pdf", "author" : [ { "dropping-particle" : "", "family" : "Chan", "given" : "Hung", "non-dropping-particle" : "", "parse-names" : false, "suffix" : "" }, { "dropping-particle" : "", "family" : "Haddad", "given" : "Kamal M", "non-dropping-particle" : "", "parse-names" : false, "suffix" : "" }, { "dropping-particle" : "", "family" : "Sterk", "given" : "William", "non-dropping-particle" : "", "parse-names" : false, "suffix" : "" } ], "container-title" : "Journal of Global Business Management", "id" : "ITEM-1", "issue" : "08/ 03/ ", "issued" : { "date-parts" : [ [ "2010" ] ] }, "title" : "Capital Budgeting Practices of Chinese Firms", "type" : "webpage", "volume" : "2019" }, "uris" : [ "http://www.mendeley.com/documents/?uuid=fbf246d4-b321-4198-b465-e0fdbf9018bb" ] } ], "mendeley" : { "formattedCitation" : "(Chan et al., 2010)", "plainTextFormattedCitation" : "(Chan et al., 2010)", "previouslyFormattedCitation" : "[40]" }, "properties" : { "noteIndex" : 0 }, "schema" : "https://github.com/citation-style-language/schema/raw/master/csl-citation.json" }</w:instrText>
            </w:r>
            <w:r w:rsidRPr="0095448E">
              <w:fldChar w:fldCharType="separate"/>
            </w:r>
            <w:r w:rsidRPr="0095448E">
              <w:rPr>
                <w:noProof/>
              </w:rPr>
              <w:t>(Chan et al., 2010)</w:t>
            </w:r>
            <w:r w:rsidRPr="0095448E">
              <w:fldChar w:fldCharType="end"/>
            </w:r>
          </w:p>
        </w:tc>
        <w:tc>
          <w:tcPr>
            <w:tcW w:w="1944" w:type="dxa"/>
            <w:tcBorders>
              <w:bottom w:val="single" w:sz="4" w:space="0" w:color="auto"/>
            </w:tcBorders>
            <w:noWrap/>
            <w:vAlign w:val="center"/>
            <w:hideMark/>
          </w:tcPr>
          <w:p w14:paraId="7B5DF916" w14:textId="77777777" w:rsidR="00BC5805" w:rsidRPr="0095448E" w:rsidRDefault="00BC5805" w:rsidP="0094784D">
            <w:pPr>
              <w:pStyle w:val="TCTableBody"/>
            </w:pPr>
            <w:r w:rsidRPr="0095448E">
              <w:t xml:space="preserve">Defined in </w:t>
            </w:r>
            <w:r w:rsidRPr="0095448E">
              <w:fldChar w:fldCharType="begin"/>
            </w:r>
            <w:r w:rsidRPr="0095448E">
              <w:instrText xml:space="preserve"> REF _Ref535497587 \h  \* MERGEFORMAT </w:instrText>
            </w:r>
            <w:r w:rsidRPr="0095448E">
              <w:fldChar w:fldCharType="separate"/>
            </w:r>
            <w:r w:rsidRPr="0095448E">
              <w:t>Table 5</w:t>
            </w:r>
            <w:r w:rsidRPr="0095448E">
              <w:fldChar w:fldCharType="end"/>
            </w:r>
          </w:p>
        </w:tc>
      </w:tr>
      <w:tr w:rsidR="00176C0D" w:rsidRPr="0095448E" w14:paraId="1C470DD9" w14:textId="77777777" w:rsidTr="00D71373">
        <w:trPr>
          <w:trHeight w:val="300"/>
          <w:jc w:val="center"/>
        </w:trPr>
        <w:tc>
          <w:tcPr>
            <w:tcW w:w="1707" w:type="dxa"/>
            <w:tcBorders>
              <w:top w:val="single" w:sz="4" w:space="0" w:color="auto"/>
              <w:bottom w:val="single" w:sz="4" w:space="0" w:color="auto"/>
            </w:tcBorders>
            <w:vAlign w:val="center"/>
          </w:tcPr>
          <w:p w14:paraId="5F0DD689" w14:textId="77777777" w:rsidR="00BC5805" w:rsidRPr="0095448E" w:rsidRDefault="00BC5805" w:rsidP="0094784D">
            <w:pPr>
              <w:pStyle w:val="TCTableBody"/>
            </w:pPr>
            <w:r w:rsidRPr="0095448E">
              <w:t>Technology growth rates</w:t>
            </w:r>
          </w:p>
        </w:tc>
        <w:tc>
          <w:tcPr>
            <w:tcW w:w="3969" w:type="dxa"/>
            <w:tcBorders>
              <w:top w:val="single" w:sz="4" w:space="0" w:color="auto"/>
              <w:bottom w:val="single" w:sz="4" w:space="0" w:color="auto"/>
            </w:tcBorders>
            <w:noWrap/>
            <w:vAlign w:val="center"/>
          </w:tcPr>
          <w:p w14:paraId="30EC2155" w14:textId="77777777" w:rsidR="00BC5805" w:rsidRPr="0095448E" w:rsidRDefault="00BC5805" w:rsidP="0094784D">
            <w:pPr>
              <w:pStyle w:val="TCTableBody"/>
            </w:pPr>
            <w:r w:rsidRPr="0095448E">
              <w:t xml:space="preserve">Annual growth rate (%) </w:t>
            </w:r>
          </w:p>
        </w:tc>
        <w:tc>
          <w:tcPr>
            <w:tcW w:w="1944" w:type="dxa"/>
            <w:tcBorders>
              <w:top w:val="single" w:sz="4" w:space="0" w:color="auto"/>
              <w:bottom w:val="single" w:sz="4" w:space="0" w:color="auto"/>
            </w:tcBorders>
            <w:noWrap/>
            <w:vAlign w:val="center"/>
          </w:tcPr>
          <w:p w14:paraId="6DC7925E" w14:textId="77777777" w:rsidR="00BC5805" w:rsidRPr="0095448E" w:rsidRDefault="00BC5805" w:rsidP="0094784D">
            <w:pPr>
              <w:pStyle w:val="TCTableBody"/>
            </w:pPr>
            <w:r w:rsidRPr="0095448E">
              <w:t>1%; 2%; 3%; 5%; 10%</w:t>
            </w:r>
          </w:p>
        </w:tc>
      </w:tr>
      <w:tr w:rsidR="00176C0D" w:rsidRPr="0095448E" w14:paraId="177FE1C7" w14:textId="77777777" w:rsidTr="00D71373">
        <w:trPr>
          <w:trHeight w:val="300"/>
          <w:jc w:val="center"/>
        </w:trPr>
        <w:tc>
          <w:tcPr>
            <w:tcW w:w="1707" w:type="dxa"/>
            <w:vMerge w:val="restart"/>
            <w:tcBorders>
              <w:top w:val="single" w:sz="4" w:space="0" w:color="auto"/>
            </w:tcBorders>
            <w:noWrap/>
            <w:vAlign w:val="center"/>
            <w:hideMark/>
          </w:tcPr>
          <w:p w14:paraId="6CEAEE4F" w14:textId="13EC6098" w:rsidR="00BC5805" w:rsidRPr="0095448E" w:rsidRDefault="00BC5805" w:rsidP="00A6073E">
            <w:pPr>
              <w:pStyle w:val="TCTableBody"/>
            </w:pPr>
            <w:r w:rsidRPr="0095448E">
              <w:t>Fuel price</w:t>
            </w:r>
          </w:p>
        </w:tc>
        <w:tc>
          <w:tcPr>
            <w:tcW w:w="3969" w:type="dxa"/>
            <w:tcBorders>
              <w:top w:val="single" w:sz="4" w:space="0" w:color="auto"/>
            </w:tcBorders>
            <w:noWrap/>
            <w:vAlign w:val="center"/>
            <w:hideMark/>
          </w:tcPr>
          <w:p w14:paraId="0BC53A8C" w14:textId="77777777" w:rsidR="00BC5805" w:rsidRPr="0095448E" w:rsidRDefault="00BC5805" w:rsidP="0094784D">
            <w:pPr>
              <w:pStyle w:val="TCTableBody"/>
            </w:pPr>
            <w:r w:rsidRPr="0095448E">
              <w:t>Biomethane</w:t>
            </w:r>
          </w:p>
        </w:tc>
        <w:tc>
          <w:tcPr>
            <w:tcW w:w="1944" w:type="dxa"/>
            <w:tcBorders>
              <w:top w:val="single" w:sz="4" w:space="0" w:color="auto"/>
            </w:tcBorders>
            <w:noWrap/>
            <w:vAlign w:val="center"/>
            <w:hideMark/>
          </w:tcPr>
          <w:p w14:paraId="2863CB6D" w14:textId="77777777" w:rsidR="00BC5805" w:rsidRPr="0095448E" w:rsidRDefault="00BC5805" w:rsidP="0094784D">
            <w:pPr>
              <w:pStyle w:val="TCTableBody"/>
            </w:pPr>
            <w:r w:rsidRPr="0095448E">
              <w:t>1.5x; 3x; 5x</w:t>
            </w:r>
          </w:p>
        </w:tc>
      </w:tr>
      <w:tr w:rsidR="00BC5805" w:rsidRPr="0095448E" w14:paraId="6E86DAC6" w14:textId="77777777" w:rsidTr="007A7597">
        <w:trPr>
          <w:trHeight w:val="300"/>
          <w:jc w:val="center"/>
        </w:trPr>
        <w:tc>
          <w:tcPr>
            <w:tcW w:w="1707" w:type="dxa"/>
            <w:vMerge/>
            <w:tcBorders>
              <w:bottom w:val="single" w:sz="4" w:space="0" w:color="auto"/>
            </w:tcBorders>
            <w:vAlign w:val="center"/>
            <w:hideMark/>
          </w:tcPr>
          <w:p w14:paraId="20054638" w14:textId="77777777" w:rsidR="00BC5805" w:rsidRPr="0095448E" w:rsidRDefault="00BC5805" w:rsidP="0094784D">
            <w:pPr>
              <w:pStyle w:val="TCTableBody"/>
            </w:pPr>
          </w:p>
        </w:tc>
        <w:tc>
          <w:tcPr>
            <w:tcW w:w="3969" w:type="dxa"/>
            <w:tcBorders>
              <w:bottom w:val="single" w:sz="4" w:space="0" w:color="auto"/>
            </w:tcBorders>
            <w:noWrap/>
            <w:vAlign w:val="center"/>
            <w:hideMark/>
          </w:tcPr>
          <w:p w14:paraId="05638B4B" w14:textId="77777777" w:rsidR="00BC5805" w:rsidRPr="0095448E" w:rsidRDefault="00BC5805" w:rsidP="0094784D">
            <w:pPr>
              <w:pStyle w:val="TCTableBody"/>
            </w:pPr>
            <w:r w:rsidRPr="0095448E">
              <w:t>Electricity</w:t>
            </w:r>
          </w:p>
        </w:tc>
        <w:tc>
          <w:tcPr>
            <w:tcW w:w="1944" w:type="dxa"/>
            <w:tcBorders>
              <w:bottom w:val="single" w:sz="4" w:space="0" w:color="auto"/>
            </w:tcBorders>
            <w:noWrap/>
            <w:vAlign w:val="center"/>
            <w:hideMark/>
          </w:tcPr>
          <w:p w14:paraId="56E37185" w14:textId="77777777" w:rsidR="00BC5805" w:rsidRPr="0095448E" w:rsidRDefault="00BC5805" w:rsidP="0094784D">
            <w:pPr>
              <w:pStyle w:val="TCTableBody"/>
            </w:pPr>
            <w:r w:rsidRPr="0095448E">
              <w:t>0.5; 1.5x; 3x; 5x</w:t>
            </w:r>
          </w:p>
        </w:tc>
      </w:tr>
    </w:tbl>
    <w:p w14:paraId="4683C781" w14:textId="77777777" w:rsidR="00BC5805" w:rsidRPr="0095448E" w:rsidRDefault="00BC5805" w:rsidP="00034246">
      <w:pPr>
        <w:pStyle w:val="BGKeywords"/>
        <w:rPr>
          <w:lang w:val="en-GB"/>
        </w:rPr>
      </w:pPr>
    </w:p>
    <w:tbl>
      <w:tblPr>
        <w:tblW w:w="4986" w:type="dxa"/>
        <w:jc w:val="center"/>
        <w:tblLook w:val="04A0" w:firstRow="1" w:lastRow="0" w:firstColumn="1" w:lastColumn="0" w:noHBand="0" w:noVBand="1"/>
      </w:tblPr>
      <w:tblGrid>
        <w:gridCol w:w="7308"/>
      </w:tblGrid>
      <w:tr w:rsidR="0095448E" w:rsidRPr="0095448E" w14:paraId="5CAD0475" w14:textId="77777777" w:rsidTr="00494925">
        <w:trPr>
          <w:trHeight w:val="3112"/>
          <w:jc w:val="center"/>
        </w:trPr>
        <w:tc>
          <w:tcPr>
            <w:tcW w:w="4986" w:type="dxa"/>
            <w:vAlign w:val="center"/>
          </w:tcPr>
          <w:p w14:paraId="48897728" w14:textId="77777777" w:rsidR="003A6027" w:rsidRPr="0095448E" w:rsidRDefault="003A6027" w:rsidP="00494925">
            <w:pPr>
              <w:pStyle w:val="BGKeywords"/>
            </w:pPr>
            <w:r w:rsidRPr="0095448E">
              <w:rPr>
                <w:noProof/>
                <w:lang w:val="en-GB" w:eastAsia="en-GB"/>
              </w:rPr>
              <w:drawing>
                <wp:inline distT="0" distB="0" distL="0" distR="0" wp14:anchorId="79DDB42B" wp14:editId="4955E170">
                  <wp:extent cx="4503600" cy="2700000"/>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03600" cy="2700000"/>
                          </a:xfrm>
                          <a:prstGeom prst="rect">
                            <a:avLst/>
                          </a:prstGeom>
                          <a:noFill/>
                        </pic:spPr>
                      </pic:pic>
                    </a:graphicData>
                  </a:graphic>
                </wp:inline>
              </w:drawing>
            </w:r>
          </w:p>
        </w:tc>
      </w:tr>
    </w:tbl>
    <w:p w14:paraId="7490EEEB" w14:textId="77777777" w:rsidR="003A6027" w:rsidRPr="0095448E" w:rsidRDefault="00092D00" w:rsidP="00092D00">
      <w:pPr>
        <w:pStyle w:val="Caption"/>
        <w:jc w:val="both"/>
        <w:rPr>
          <w:rFonts w:ascii="Times" w:hAnsi="Times"/>
          <w:i w:val="0"/>
          <w:iCs w:val="0"/>
          <w:color w:val="auto"/>
          <w:sz w:val="24"/>
          <w:szCs w:val="20"/>
        </w:rPr>
      </w:pPr>
      <w:bookmarkStart w:id="15" w:name="_Ref26678970"/>
      <w:bookmarkStart w:id="16" w:name="Figure2"/>
      <w:bookmarkStart w:id="17" w:name="_Toc5264942"/>
      <w:r w:rsidRPr="0095448E">
        <w:rPr>
          <w:rFonts w:ascii="Times" w:hAnsi="Times"/>
          <w:i w:val="0"/>
          <w:iCs w:val="0"/>
          <w:color w:val="auto"/>
          <w:sz w:val="24"/>
          <w:szCs w:val="20"/>
        </w:rPr>
        <w:t xml:space="preserve">Figure </w:t>
      </w:r>
      <w:r w:rsidRPr="0095448E">
        <w:rPr>
          <w:rFonts w:ascii="Times" w:hAnsi="Times"/>
          <w:i w:val="0"/>
          <w:iCs w:val="0"/>
          <w:color w:val="auto"/>
          <w:sz w:val="24"/>
          <w:szCs w:val="20"/>
        </w:rPr>
        <w:fldChar w:fldCharType="begin"/>
      </w:r>
      <w:r w:rsidRPr="0095448E">
        <w:rPr>
          <w:rFonts w:ascii="Times" w:hAnsi="Times"/>
          <w:i w:val="0"/>
          <w:iCs w:val="0"/>
          <w:color w:val="auto"/>
          <w:sz w:val="24"/>
          <w:szCs w:val="20"/>
        </w:rPr>
        <w:instrText xml:space="preserve"> SEQ Figure \* ARABIC </w:instrText>
      </w:r>
      <w:r w:rsidRPr="0095448E">
        <w:rPr>
          <w:rFonts w:ascii="Times" w:hAnsi="Times"/>
          <w:i w:val="0"/>
          <w:iCs w:val="0"/>
          <w:color w:val="auto"/>
          <w:sz w:val="24"/>
          <w:szCs w:val="20"/>
        </w:rPr>
        <w:fldChar w:fldCharType="separate"/>
      </w:r>
      <w:r w:rsidRPr="0095448E">
        <w:rPr>
          <w:rFonts w:ascii="Times" w:hAnsi="Times"/>
          <w:i w:val="0"/>
          <w:iCs w:val="0"/>
          <w:color w:val="auto"/>
          <w:sz w:val="24"/>
          <w:szCs w:val="20"/>
        </w:rPr>
        <w:t>2</w:t>
      </w:r>
      <w:r w:rsidRPr="0095448E">
        <w:rPr>
          <w:rFonts w:ascii="Times" w:hAnsi="Times"/>
          <w:i w:val="0"/>
          <w:iCs w:val="0"/>
          <w:color w:val="auto"/>
          <w:sz w:val="24"/>
          <w:szCs w:val="20"/>
        </w:rPr>
        <w:fldChar w:fldCharType="end"/>
      </w:r>
      <w:bookmarkEnd w:id="15"/>
      <w:bookmarkEnd w:id="16"/>
      <w:r w:rsidRPr="0095448E">
        <w:rPr>
          <w:rFonts w:ascii="Times" w:hAnsi="Times"/>
          <w:i w:val="0"/>
          <w:iCs w:val="0"/>
          <w:color w:val="auto"/>
          <w:sz w:val="24"/>
          <w:szCs w:val="20"/>
        </w:rPr>
        <w:t xml:space="preserve">: </w:t>
      </w:r>
      <w:bookmarkStart w:id="18" w:name="_Hlk26685065"/>
      <w:r w:rsidR="003A6027" w:rsidRPr="0095448E">
        <w:rPr>
          <w:rFonts w:ascii="Times" w:hAnsi="Times"/>
          <w:i w:val="0"/>
          <w:iCs w:val="0"/>
          <w:color w:val="auto"/>
          <w:sz w:val="24"/>
          <w:szCs w:val="20"/>
        </w:rPr>
        <w:t>CO</w:t>
      </w:r>
      <w:r w:rsidR="003A6027" w:rsidRPr="0095448E">
        <w:rPr>
          <w:rFonts w:ascii="Times" w:hAnsi="Times"/>
          <w:i w:val="0"/>
          <w:iCs w:val="0"/>
          <w:color w:val="auto"/>
          <w:sz w:val="24"/>
          <w:szCs w:val="20"/>
          <w:vertAlign w:val="subscript"/>
        </w:rPr>
        <w:t>2</w:t>
      </w:r>
      <w:bookmarkEnd w:id="18"/>
      <w:r w:rsidR="003A6027" w:rsidRPr="0095448E">
        <w:rPr>
          <w:rFonts w:ascii="Times" w:hAnsi="Times"/>
          <w:i w:val="0"/>
          <w:iCs w:val="0"/>
          <w:color w:val="auto"/>
          <w:sz w:val="24"/>
          <w:szCs w:val="20"/>
        </w:rPr>
        <w:t xml:space="preserve"> price scenarios</w:t>
      </w:r>
      <w:bookmarkEnd w:id="17"/>
    </w:p>
    <w:p w14:paraId="772A9538" w14:textId="77777777" w:rsidR="007A7597" w:rsidRPr="0095448E" w:rsidRDefault="007A7597" w:rsidP="007A7597">
      <w:pPr>
        <w:pStyle w:val="BGKeywords"/>
        <w:rPr>
          <w:lang w:val="en-GB"/>
        </w:rPr>
      </w:pPr>
    </w:p>
    <w:p w14:paraId="37AB7C41" w14:textId="77777777" w:rsidR="007A7597" w:rsidRPr="0095448E" w:rsidRDefault="007A7597" w:rsidP="000C5FC0">
      <w:pPr>
        <w:pStyle w:val="Heading1"/>
        <w:spacing w:after="200"/>
        <w:ind w:left="448" w:hanging="448"/>
      </w:pPr>
      <w:r w:rsidRPr="0095448E">
        <w:t>R</w:t>
      </w:r>
      <w:r w:rsidR="000C5FC0" w:rsidRPr="0095448E">
        <w:t>esults</w:t>
      </w:r>
    </w:p>
    <w:p w14:paraId="16869AEC" w14:textId="77777777" w:rsidR="00DB30E8" w:rsidRPr="0095448E" w:rsidRDefault="00DB30E8" w:rsidP="00DB30E8">
      <w:pPr>
        <w:pStyle w:val="TAMainText"/>
        <w:rPr>
          <w:lang w:val="en-GB"/>
        </w:rPr>
      </w:pPr>
      <w:r w:rsidRPr="0095448E">
        <w:rPr>
          <w:lang w:val="en-GB"/>
        </w:rPr>
        <w:t>Two simulated policy cases are analysed regarding the technology penetration for ammonia production in China:</w:t>
      </w:r>
    </w:p>
    <w:p w14:paraId="44F20CCD" w14:textId="77777777" w:rsidR="00DB30E8" w:rsidRPr="0095448E" w:rsidRDefault="00DB30E8" w:rsidP="00DB30E8">
      <w:pPr>
        <w:pStyle w:val="TAMainText"/>
        <w:numPr>
          <w:ilvl w:val="0"/>
          <w:numId w:val="4"/>
        </w:numPr>
        <w:rPr>
          <w:lang w:val="en-GB"/>
        </w:rPr>
      </w:pPr>
      <w:r w:rsidRPr="0095448E">
        <w:rPr>
          <w:lang w:val="en-GB"/>
        </w:rPr>
        <w:t>In the zero-carbon price case (case 1), no policies are in place to incentivise the decarbonisation of the s</w:t>
      </w:r>
      <w:bookmarkStart w:id="19" w:name="_GoBack"/>
      <w:bookmarkEnd w:id="19"/>
      <w:r w:rsidRPr="0095448E">
        <w:rPr>
          <w:lang w:val="en-GB"/>
        </w:rPr>
        <w:t>ector</w:t>
      </w:r>
    </w:p>
    <w:p w14:paraId="14E1EFBD" w14:textId="49E71E4B" w:rsidR="00DB30E8" w:rsidRPr="0095448E" w:rsidRDefault="00DB30E8" w:rsidP="00DB30E8">
      <w:pPr>
        <w:pStyle w:val="TAMainText"/>
        <w:numPr>
          <w:ilvl w:val="0"/>
          <w:numId w:val="4"/>
        </w:numPr>
        <w:rPr>
          <w:lang w:val="en-GB"/>
        </w:rPr>
      </w:pPr>
      <w:r w:rsidRPr="0095448E">
        <w:rPr>
          <w:lang w:val="en-GB"/>
        </w:rPr>
        <w:t>In the carbon price case (case 2), a carbon price (reported in</w:t>
      </w:r>
      <w:r w:rsidR="00DF76A1" w:rsidRPr="0095448E">
        <w:rPr>
          <w:lang w:val="en-GB"/>
        </w:rPr>
        <w:t xml:space="preserve"> Figure</w:t>
      </w:r>
      <w:r w:rsidRPr="0095448E">
        <w:rPr>
          <w:lang w:val="en-GB"/>
        </w:rPr>
        <w:fldChar w:fldCharType="begin"/>
      </w:r>
      <w:r w:rsidRPr="0095448E">
        <w:rPr>
          <w:lang w:val="en-GB"/>
        </w:rPr>
        <w:instrText xml:space="preserve"> REF _Ref3563085 \h  \* MERGEFORMAT </w:instrText>
      </w:r>
      <w:r w:rsidRPr="0095448E">
        <w:rPr>
          <w:lang w:val="en-GB"/>
        </w:rPr>
      </w:r>
      <w:r w:rsidRPr="0095448E">
        <w:rPr>
          <w:lang w:val="en-GB"/>
        </w:rPr>
        <w:fldChar w:fldCharType="separate"/>
      </w:r>
      <w:r w:rsidRPr="0095448E">
        <w:rPr>
          <w:lang w:val="en-GB"/>
        </w:rPr>
        <w:t xml:space="preserve"> </w:t>
      </w:r>
      <w:r w:rsidRPr="0095448E">
        <w:rPr>
          <w:lang w:val="en-GB"/>
        </w:rPr>
        <w:fldChar w:fldCharType="end"/>
      </w:r>
      <w:hyperlink w:anchor="Figure2" w:history="1">
        <w:r w:rsidR="00DF76A1" w:rsidRPr="0095448E">
          <w:rPr>
            <w:rStyle w:val="Hyperlink"/>
            <w:color w:val="auto"/>
            <w:lang w:val="en-GB"/>
          </w:rPr>
          <w:t>2</w:t>
        </w:r>
      </w:hyperlink>
      <w:r w:rsidRPr="0095448E">
        <w:rPr>
          <w:lang w:val="en-GB"/>
        </w:rPr>
        <w:t xml:space="preserve">) has been imposed. The carbon price trajectory </w:t>
      </w:r>
      <w:r w:rsidRPr="0095448E">
        <w:rPr>
          <w:lang w:val="en-GB"/>
        </w:rPr>
        <w:fldChar w:fldCharType="begin" w:fldLock="1"/>
      </w:r>
      <w:r w:rsidRPr="0095448E">
        <w:rPr>
          <w:lang w:val="en-GB"/>
        </w:rPr>
        <w:instrText>ADDIN CSL_CITATION { "citationItems" : [ { "id" : "ITEM-1", "itemData" : { "DOI" : "10.1016/j.esr.2018.08.003", "ISSN" : "2211467X", "author" : [ { "dropping-particle" : "", "family" : "Budinis", "given" : "Sara", "non-dropping-particle" : "", "parse-names" : false, "suffix" : "" }, { "dropping-particle" : "", "family" : "Krevor", "given" : "Samuel", "non-dropping-particle" : "", "parse-names" : false, "suffix" : "" }, { "dropping-particle" : "", "family" : "Dowell", "given" : "Niall Mac N.M.", "non-dropping-particle" : "", "parse-names" : false, "suffix" : "" }, { "dropping-particle" : "", "family" : "Brandon", "given" : "Nigel", "non-dropping-particle" : "", "parse-names" : false, "suffix" : "" }, { "dropping-particle" : "", "family" : "Hawkes", "given" : "Adam", "non-dropping-particle" : "", "parse-names" : false, "suffix" : "" } ], "container-title" : "Energy Strategy Reviews", "id" : "ITEM-1", "issued" : { "date-parts" : [ [ "2018", "11", "1" ] ] }, "page" : "61-81", "publisher" : "Elsevier Ltd", "title" : "An assessment of CCS costs, barriers and potential", "type" : "article-journal", "volume" : "22" }, "uris" : [ "http://www.mendeley.com/documents/?uuid=c469e8ce-5769-48c5-acb7-46b160a71c76" ] } ], "mendeley" : { "formattedCitation" : "(Budinis et al., 2018b)", "plainTextFormattedCitation" : "(Budinis et al., 2018b)", "previouslyFormattedCitation" : "[56]" }, "properties" : { "noteIndex" : 0 }, "schema" : "https://github.com/citation-style-language/schema/raw/master/csl-citation.json" }</w:instrText>
      </w:r>
      <w:r w:rsidRPr="0095448E">
        <w:rPr>
          <w:lang w:val="en-GB"/>
        </w:rPr>
        <w:fldChar w:fldCharType="separate"/>
      </w:r>
      <w:r w:rsidR="00BE721D" w:rsidRPr="0095448E">
        <w:rPr>
          <w:lang w:val="en-GB"/>
        </w:rPr>
        <w:t>(Budinis et al., 2018</w:t>
      </w:r>
      <w:r w:rsidRPr="0095448E">
        <w:rPr>
          <w:lang w:val="en-GB"/>
        </w:rPr>
        <w:t>)</w:t>
      </w:r>
      <w:r w:rsidRPr="0095448E">
        <w:rPr>
          <w:lang w:val="en-GB"/>
        </w:rPr>
        <w:fldChar w:fldCharType="end"/>
      </w:r>
      <w:r w:rsidRPr="0095448E">
        <w:rPr>
          <w:lang w:val="en-GB"/>
        </w:rPr>
        <w:t xml:space="preserve"> is the average value for the “Full technology portfolio scenario” of the IPCC Fifth Assessment report.</w:t>
      </w:r>
    </w:p>
    <w:p w14:paraId="3AB6E247" w14:textId="77777777" w:rsidR="00DB30E8" w:rsidRPr="0095448E" w:rsidRDefault="00DB30E8" w:rsidP="00DB30E8">
      <w:pPr>
        <w:pStyle w:val="TAMainText"/>
        <w:rPr>
          <w:lang w:val="en-GB"/>
        </w:rPr>
      </w:pPr>
      <w:r w:rsidRPr="0095448E">
        <w:rPr>
          <w:lang w:val="en-GB"/>
        </w:rPr>
        <w:t xml:space="preserve">A sensitivity analysis was applied on these input parameters (as reported in </w:t>
      </w:r>
      <w:r w:rsidRPr="0095448E">
        <w:rPr>
          <w:lang w:val="en-GB"/>
        </w:rPr>
        <w:fldChar w:fldCharType="begin"/>
      </w:r>
      <w:r w:rsidRPr="0095448E">
        <w:rPr>
          <w:lang w:val="en-GB"/>
        </w:rPr>
        <w:instrText xml:space="preserve"> REF _Ref5367428 \h  \* MERGEFORMAT </w:instrText>
      </w:r>
      <w:r w:rsidRPr="0095448E">
        <w:rPr>
          <w:lang w:val="en-GB"/>
        </w:rPr>
      </w:r>
      <w:r w:rsidRPr="0095448E">
        <w:rPr>
          <w:lang w:val="en-GB"/>
        </w:rPr>
        <w:fldChar w:fldCharType="separate"/>
      </w:r>
      <w:r w:rsidRPr="0095448E">
        <w:rPr>
          <w:lang w:val="en-GB"/>
        </w:rPr>
        <w:t>Table 6</w:t>
      </w:r>
      <w:r w:rsidRPr="0095448E">
        <w:rPr>
          <w:lang w:val="en-GB"/>
        </w:rPr>
        <w:fldChar w:fldCharType="end"/>
      </w:r>
      <w:r w:rsidRPr="0095448E">
        <w:rPr>
          <w:lang w:val="en-GB"/>
        </w:rPr>
        <w:t>):</w:t>
      </w:r>
    </w:p>
    <w:p w14:paraId="1513959D" w14:textId="77777777" w:rsidR="00DB30E8" w:rsidRPr="0095448E" w:rsidRDefault="00DB30E8" w:rsidP="00DB30E8">
      <w:pPr>
        <w:pStyle w:val="TAMainText"/>
        <w:numPr>
          <w:ilvl w:val="0"/>
          <w:numId w:val="5"/>
        </w:numPr>
        <w:rPr>
          <w:lang w:val="en-GB"/>
        </w:rPr>
      </w:pPr>
      <w:r w:rsidRPr="0095448E">
        <w:rPr>
          <w:lang w:val="en-GB"/>
        </w:rPr>
        <w:lastRenderedPageBreak/>
        <w:t>Single objective functions: each agent uses a single decision metric, either NPV, capex or payback time</w:t>
      </w:r>
    </w:p>
    <w:p w14:paraId="2B5F5704" w14:textId="77777777" w:rsidR="00DB30E8" w:rsidRPr="0095448E" w:rsidRDefault="00DB30E8" w:rsidP="00DB30E8">
      <w:pPr>
        <w:pStyle w:val="TAMainText"/>
        <w:numPr>
          <w:ilvl w:val="0"/>
          <w:numId w:val="5"/>
        </w:numPr>
        <w:rPr>
          <w:lang w:val="en-GB"/>
        </w:rPr>
      </w:pPr>
      <w:r w:rsidRPr="0095448E">
        <w:rPr>
          <w:lang w:val="en-GB"/>
        </w:rPr>
        <w:t xml:space="preserve">Multiple objective functions: each agent is using all three decision metrics, according to the weights reported in </w:t>
      </w:r>
      <w:r w:rsidRPr="0095448E">
        <w:rPr>
          <w:lang w:val="en-GB"/>
        </w:rPr>
        <w:fldChar w:fldCharType="begin"/>
      </w:r>
      <w:r w:rsidRPr="0095448E">
        <w:rPr>
          <w:lang w:val="en-GB"/>
        </w:rPr>
        <w:instrText xml:space="preserve"> REF _Ref535497587 \h  \* MERGEFORMAT </w:instrText>
      </w:r>
      <w:r w:rsidRPr="0095448E">
        <w:rPr>
          <w:lang w:val="en-GB"/>
        </w:rPr>
      </w:r>
      <w:r w:rsidRPr="0095448E">
        <w:rPr>
          <w:lang w:val="en-GB"/>
        </w:rPr>
        <w:fldChar w:fldCharType="separate"/>
      </w:r>
      <w:r w:rsidRPr="0095448E">
        <w:rPr>
          <w:lang w:val="en-GB"/>
        </w:rPr>
        <w:t>Table 5</w:t>
      </w:r>
      <w:r w:rsidRPr="0095448E">
        <w:rPr>
          <w:lang w:val="en-GB"/>
        </w:rPr>
        <w:fldChar w:fldCharType="end"/>
      </w:r>
    </w:p>
    <w:p w14:paraId="039A0A06" w14:textId="77777777" w:rsidR="00DB30E8" w:rsidRPr="0095448E" w:rsidRDefault="00DB30E8" w:rsidP="00DB30E8">
      <w:pPr>
        <w:pStyle w:val="TAMainText"/>
        <w:numPr>
          <w:ilvl w:val="0"/>
          <w:numId w:val="5"/>
        </w:numPr>
        <w:rPr>
          <w:lang w:val="en-GB"/>
        </w:rPr>
      </w:pPr>
      <w:r w:rsidRPr="0095448E">
        <w:rPr>
          <w:lang w:val="en-GB"/>
        </w:rPr>
        <w:t>Technology growth rates: the maximum annual growth rate of each technology ranges from 1% per year to 10% per year. The growth rate is a modelling feature to represent the willingness of the investors or the perceived benefit, because either favoured by policy or the by capital mobilisation, to move away from incumbent technologies.</w:t>
      </w:r>
    </w:p>
    <w:p w14:paraId="477F4C4A" w14:textId="77777777" w:rsidR="00DB30E8" w:rsidRPr="0095448E" w:rsidRDefault="00DB30E8" w:rsidP="00DB30E8">
      <w:pPr>
        <w:pStyle w:val="TAMainText"/>
        <w:numPr>
          <w:ilvl w:val="0"/>
          <w:numId w:val="5"/>
        </w:numPr>
        <w:rPr>
          <w:lang w:val="en-GB"/>
        </w:rPr>
      </w:pPr>
      <w:r w:rsidRPr="0095448E">
        <w:rPr>
          <w:lang w:val="en-GB"/>
        </w:rPr>
        <w:t>Fuel prices, with a focus on biomethane and electricity prices: the annual variation of prices has been varied between 0.5 and 5 times the reference value. In particular, the price of electricity gives insight on the competition between coal based and natural gas-based technologies during the first half of the century. Biomethane price might affect the competition between natural gas based and biomethane based technologies during the second half of the century.</w:t>
      </w:r>
    </w:p>
    <w:p w14:paraId="48CAADA4" w14:textId="5F15CA33" w:rsidR="000C24DF" w:rsidRPr="0095448E" w:rsidRDefault="000C24DF" w:rsidP="00CA5EF0">
      <w:pPr>
        <w:pStyle w:val="BATitle"/>
        <w:spacing w:before="0" w:after="0"/>
        <w:jc w:val="both"/>
        <w:rPr>
          <w:rFonts w:ascii="Times" w:hAnsi="Times"/>
          <w:sz w:val="24"/>
          <w:lang w:val="en-GB"/>
        </w:rPr>
      </w:pPr>
      <w:r w:rsidRPr="0095448E">
        <w:rPr>
          <w:rFonts w:ascii="Times" w:hAnsi="Times"/>
          <w:sz w:val="24"/>
          <w:lang w:val="en-GB"/>
        </w:rPr>
        <w:t xml:space="preserve">In the following, the results for the </w:t>
      </w:r>
      <w:r w:rsidR="0077235E" w:rsidRPr="0095448E">
        <w:rPr>
          <w:rFonts w:ascii="Times" w:hAnsi="Times"/>
          <w:sz w:val="24"/>
          <w:lang w:val="en-GB"/>
        </w:rPr>
        <w:t xml:space="preserve">simulated </w:t>
      </w:r>
      <w:r w:rsidRPr="0095448E">
        <w:rPr>
          <w:rFonts w:ascii="Times" w:hAnsi="Times"/>
          <w:sz w:val="24"/>
          <w:lang w:val="en-GB"/>
        </w:rPr>
        <w:t xml:space="preserve">scenarios </w:t>
      </w:r>
      <w:r w:rsidR="0077235E" w:rsidRPr="0095448E">
        <w:rPr>
          <w:rFonts w:ascii="Times" w:hAnsi="Times"/>
          <w:sz w:val="24"/>
          <w:lang w:val="en-GB"/>
        </w:rPr>
        <w:t xml:space="preserve">are presented </w:t>
      </w:r>
      <w:r w:rsidRPr="0095448E">
        <w:rPr>
          <w:rFonts w:ascii="Times" w:hAnsi="Times"/>
          <w:sz w:val="24"/>
          <w:lang w:val="en-GB"/>
        </w:rPr>
        <w:t xml:space="preserve">first the </w:t>
      </w:r>
      <w:r w:rsidR="00CA5EF0" w:rsidRPr="0095448E">
        <w:rPr>
          <w:rFonts w:ascii="Times" w:hAnsi="Times"/>
          <w:sz w:val="24"/>
          <w:lang w:val="en-GB"/>
        </w:rPr>
        <w:t xml:space="preserve">technology supply mix, the trend of emissions and the </w:t>
      </w:r>
      <w:r w:rsidR="00CA5EF0" w:rsidRPr="0095448E">
        <w:rPr>
          <w:rFonts w:ascii="Times" w:hAnsi="Times"/>
          <w:iCs/>
          <w:sz w:val="24"/>
        </w:rPr>
        <w:t>CO</w:t>
      </w:r>
      <w:r w:rsidR="00CA5EF0" w:rsidRPr="0095448E">
        <w:rPr>
          <w:rFonts w:ascii="Times" w:hAnsi="Times"/>
          <w:iCs/>
          <w:sz w:val="24"/>
          <w:vertAlign w:val="subscript"/>
        </w:rPr>
        <w:t>2</w:t>
      </w:r>
      <w:r w:rsidR="00CA5EF0" w:rsidRPr="0095448E">
        <w:rPr>
          <w:rFonts w:ascii="Times" w:hAnsi="Times"/>
          <w:i/>
          <w:iCs/>
          <w:sz w:val="24"/>
          <w:vertAlign w:val="subscript"/>
        </w:rPr>
        <w:t xml:space="preserve"> </w:t>
      </w:r>
      <w:r w:rsidR="00CA5EF0" w:rsidRPr="0095448E">
        <w:rPr>
          <w:rFonts w:ascii="Times" w:hAnsi="Times"/>
          <w:sz w:val="24"/>
          <w:lang w:val="en-GB"/>
        </w:rPr>
        <w:t xml:space="preserve">captured with CCS. </w:t>
      </w:r>
      <w:r w:rsidR="0042462A" w:rsidRPr="0095448E">
        <w:rPr>
          <w:rFonts w:ascii="Times" w:hAnsi="Times"/>
          <w:sz w:val="24"/>
          <w:lang w:val="en-GB"/>
        </w:rPr>
        <w:t xml:space="preserve">In the diagrams, </w:t>
      </w:r>
      <w:r w:rsidR="00CA5EF0" w:rsidRPr="0095448E">
        <w:rPr>
          <w:rFonts w:ascii="Times" w:hAnsi="Times"/>
          <w:sz w:val="24"/>
          <w:lang w:val="en-GB"/>
        </w:rPr>
        <w:t xml:space="preserve">emissions are </w:t>
      </w:r>
      <w:r w:rsidR="0042462A" w:rsidRPr="0095448E">
        <w:rPr>
          <w:rFonts w:ascii="Times" w:hAnsi="Times"/>
          <w:sz w:val="24"/>
          <w:lang w:val="en-GB"/>
        </w:rPr>
        <w:t xml:space="preserve">represented with </w:t>
      </w:r>
      <w:r w:rsidR="00CA5EF0" w:rsidRPr="0095448E">
        <w:rPr>
          <w:rFonts w:ascii="Times" w:hAnsi="Times"/>
          <w:sz w:val="24"/>
          <w:lang w:val="en-GB"/>
        </w:rPr>
        <w:t xml:space="preserve">positive </w:t>
      </w:r>
      <w:r w:rsidR="0042462A" w:rsidRPr="0095448E">
        <w:rPr>
          <w:rFonts w:ascii="Times" w:hAnsi="Times"/>
          <w:sz w:val="24"/>
          <w:lang w:val="en-GB"/>
        </w:rPr>
        <w:t xml:space="preserve">bars </w:t>
      </w:r>
      <w:r w:rsidR="00CA5EF0" w:rsidRPr="0095448E">
        <w:rPr>
          <w:rFonts w:ascii="Times" w:hAnsi="Times"/>
          <w:sz w:val="24"/>
          <w:lang w:val="en-GB"/>
        </w:rPr>
        <w:t xml:space="preserve">when there is a net release of </w:t>
      </w:r>
      <w:r w:rsidR="00CA5EF0" w:rsidRPr="0095448E">
        <w:rPr>
          <w:rFonts w:ascii="Times" w:hAnsi="Times"/>
          <w:iCs/>
          <w:sz w:val="24"/>
        </w:rPr>
        <w:t>CO</w:t>
      </w:r>
      <w:r w:rsidR="00CA5EF0" w:rsidRPr="0095448E">
        <w:rPr>
          <w:rFonts w:ascii="Times" w:hAnsi="Times"/>
          <w:iCs/>
          <w:sz w:val="24"/>
          <w:vertAlign w:val="subscript"/>
        </w:rPr>
        <w:t xml:space="preserve">2 </w:t>
      </w:r>
      <w:r w:rsidR="00CA5EF0" w:rsidRPr="0095448E">
        <w:rPr>
          <w:rFonts w:ascii="Times" w:hAnsi="Times"/>
          <w:sz w:val="24"/>
          <w:lang w:val="en-GB"/>
        </w:rPr>
        <w:t>to the atmosphere</w:t>
      </w:r>
      <w:r w:rsidR="0042462A" w:rsidRPr="0095448E">
        <w:rPr>
          <w:rFonts w:ascii="Times" w:hAnsi="Times"/>
          <w:sz w:val="24"/>
          <w:lang w:val="en-GB"/>
        </w:rPr>
        <w:t xml:space="preserve">, whereas reported with negative bars accounting for </w:t>
      </w:r>
      <w:r w:rsidR="00CA5EF0" w:rsidRPr="0095448E">
        <w:rPr>
          <w:rFonts w:ascii="Times" w:hAnsi="Times"/>
          <w:sz w:val="24"/>
          <w:lang w:val="en-GB"/>
        </w:rPr>
        <w:t>biogenic CO</w:t>
      </w:r>
      <w:r w:rsidR="00CA5EF0" w:rsidRPr="0095448E">
        <w:rPr>
          <w:rFonts w:ascii="Times" w:hAnsi="Times"/>
          <w:sz w:val="24"/>
          <w:vertAlign w:val="subscript"/>
          <w:lang w:val="en-GB"/>
        </w:rPr>
        <w:t>2</w:t>
      </w:r>
      <w:r w:rsidR="00CA5EF0" w:rsidRPr="0095448E">
        <w:rPr>
          <w:rFonts w:ascii="Times" w:hAnsi="Times"/>
          <w:sz w:val="24"/>
          <w:lang w:val="en-GB"/>
        </w:rPr>
        <w:t xml:space="preserve"> in the biomass </w:t>
      </w:r>
      <w:r w:rsidR="0042462A" w:rsidRPr="0095448E">
        <w:rPr>
          <w:rFonts w:ascii="Times" w:hAnsi="Times"/>
          <w:sz w:val="24"/>
          <w:lang w:val="en-GB"/>
        </w:rPr>
        <w:t>used in addition to CCS</w:t>
      </w:r>
      <w:r w:rsidR="00CA5EF0" w:rsidRPr="0095448E">
        <w:rPr>
          <w:rFonts w:ascii="Times" w:hAnsi="Times"/>
          <w:sz w:val="24"/>
          <w:lang w:val="en-GB"/>
        </w:rPr>
        <w:t>.</w:t>
      </w:r>
    </w:p>
    <w:p w14:paraId="2274593A" w14:textId="77777777" w:rsidR="00AB33CF" w:rsidRPr="0095448E" w:rsidRDefault="00ED3D3C" w:rsidP="00846350">
      <w:pPr>
        <w:pStyle w:val="Heading2"/>
        <w:rPr>
          <w:rFonts w:eastAsiaTheme="majorEastAsia"/>
          <w:color w:val="auto"/>
        </w:rPr>
      </w:pPr>
      <w:r w:rsidRPr="0095448E">
        <w:rPr>
          <w:rFonts w:eastAsiaTheme="majorEastAsia"/>
          <w:color w:val="auto"/>
        </w:rPr>
        <w:t>Single objective scenario</w:t>
      </w:r>
      <w:r w:rsidR="009321B7" w:rsidRPr="0095448E">
        <w:rPr>
          <w:rFonts w:eastAsiaTheme="majorEastAsia"/>
          <w:color w:val="auto"/>
        </w:rPr>
        <w:t>s</w:t>
      </w:r>
    </w:p>
    <w:p w14:paraId="648FC815" w14:textId="7FF2AD91" w:rsidR="00ED3D3C" w:rsidRPr="0095448E" w:rsidRDefault="0005124C" w:rsidP="0094784D">
      <w:pPr>
        <w:pStyle w:val="TAMainText"/>
        <w:rPr>
          <w:lang w:val="en-GB"/>
        </w:rPr>
      </w:pPr>
      <w:r w:rsidRPr="0095448E">
        <w:rPr>
          <w:lang w:val="en-GB"/>
        </w:rPr>
        <w:fldChar w:fldCharType="begin"/>
      </w:r>
      <w:r w:rsidRPr="0095448E">
        <w:rPr>
          <w:lang w:val="en-GB"/>
        </w:rPr>
        <w:instrText xml:space="preserve"> REF _Ref535497699 \h </w:instrText>
      </w:r>
      <w:r w:rsidRPr="0095448E">
        <w:rPr>
          <w:lang w:val="en-GB"/>
        </w:rPr>
      </w:r>
      <w:r w:rsidRPr="0095448E">
        <w:rPr>
          <w:lang w:val="en-GB"/>
        </w:rPr>
        <w:fldChar w:fldCharType="separate"/>
      </w:r>
      <w:r w:rsidRPr="0095448E">
        <w:rPr>
          <w:lang w:val="en-GB"/>
        </w:rPr>
        <w:t xml:space="preserve">Figure </w:t>
      </w:r>
      <w:r w:rsidRPr="0095448E">
        <w:rPr>
          <w:noProof/>
          <w:lang w:val="en-GB"/>
        </w:rPr>
        <w:t>3</w:t>
      </w:r>
      <w:r w:rsidRPr="0095448E">
        <w:rPr>
          <w:lang w:val="en-GB"/>
        </w:rPr>
        <w:fldChar w:fldCharType="end"/>
      </w:r>
      <w:r w:rsidR="00034246" w:rsidRPr="0095448E">
        <w:rPr>
          <w:lang w:val="en-GB"/>
        </w:rPr>
        <w:t xml:space="preserve"> reports the </w:t>
      </w:r>
      <w:r w:rsidR="00ED3D3C" w:rsidRPr="0095448E">
        <w:rPr>
          <w:lang w:val="en-GB"/>
        </w:rPr>
        <w:t>supply of</w:t>
      </w:r>
      <w:r w:rsidR="00034246" w:rsidRPr="0095448E">
        <w:rPr>
          <w:lang w:val="en-GB"/>
        </w:rPr>
        <w:t xml:space="preserve"> ammonia (in Mt) in China for the timeframe 2010-2100 with a 10-year interval </w:t>
      </w:r>
      <w:r w:rsidR="00ED3D3C" w:rsidRPr="0095448E">
        <w:rPr>
          <w:lang w:val="en-GB"/>
        </w:rPr>
        <w:t xml:space="preserve">with a break-down </w:t>
      </w:r>
      <w:r w:rsidR="00034246" w:rsidRPr="0095448E">
        <w:rPr>
          <w:lang w:val="en-GB"/>
        </w:rPr>
        <w:t xml:space="preserve">by technology when no carbon price </w:t>
      </w:r>
      <w:r w:rsidR="00EB2868" w:rsidRPr="0095448E">
        <w:rPr>
          <w:lang w:val="en-GB"/>
        </w:rPr>
        <w:t>applies</w:t>
      </w:r>
      <w:r w:rsidR="00034246" w:rsidRPr="0095448E">
        <w:rPr>
          <w:lang w:val="en-GB"/>
        </w:rPr>
        <w:t xml:space="preserve"> (left) and when an exogenous carbon price </w:t>
      </w:r>
      <w:r w:rsidR="00EB2868" w:rsidRPr="0095448E">
        <w:rPr>
          <w:lang w:val="en-GB"/>
        </w:rPr>
        <w:t>is</w:t>
      </w:r>
      <w:r w:rsidR="00034246" w:rsidRPr="0095448E">
        <w:rPr>
          <w:lang w:val="en-GB"/>
        </w:rPr>
        <w:t xml:space="preserve"> imposed (right) for a single objective (i.e. NPV) for all investors. Without a carbon price, </w:t>
      </w:r>
      <w:r w:rsidR="002C301F" w:rsidRPr="0095448E">
        <w:rPr>
          <w:lang w:val="en-GB"/>
        </w:rPr>
        <w:t xml:space="preserve">natural </w:t>
      </w:r>
      <w:r w:rsidR="00034246" w:rsidRPr="0095448E">
        <w:rPr>
          <w:lang w:val="en-GB"/>
        </w:rPr>
        <w:t xml:space="preserve">gas-based ammonia production increases over time, from the initial </w:t>
      </w:r>
      <w:r w:rsidR="00034246" w:rsidRPr="0095448E">
        <w:rPr>
          <w:lang w:val="en-GB"/>
        </w:rPr>
        <w:lastRenderedPageBreak/>
        <w:t xml:space="preserve">21% share in 2010 to 100% share in 2050 and beyond. This is due to the lower capex and higher efficiency of </w:t>
      </w:r>
      <w:r w:rsidR="002C301F" w:rsidRPr="0095448E">
        <w:rPr>
          <w:lang w:val="en-GB"/>
        </w:rPr>
        <w:t xml:space="preserve">natural </w:t>
      </w:r>
      <w:r w:rsidR="00034246" w:rsidRPr="0095448E">
        <w:rPr>
          <w:lang w:val="en-GB"/>
        </w:rPr>
        <w:t xml:space="preserve">gas-based technology. </w:t>
      </w:r>
      <w:r w:rsidR="003926AA" w:rsidRPr="0095448E">
        <w:rPr>
          <w:lang w:val="en-GB"/>
        </w:rPr>
        <w:t xml:space="preserve">Natural </w:t>
      </w:r>
      <w:r w:rsidR="00034246" w:rsidRPr="0095448E">
        <w:rPr>
          <w:lang w:val="en-GB"/>
        </w:rPr>
        <w:t xml:space="preserve">gas-based ammonia production benefits from complementarity with cogeneration, </w:t>
      </w:r>
      <w:r w:rsidR="00ED3D3C" w:rsidRPr="0095448E">
        <w:rPr>
          <w:lang w:val="en-GB"/>
        </w:rPr>
        <w:t>which increases the</w:t>
      </w:r>
      <w:r w:rsidR="00034246" w:rsidRPr="0095448E">
        <w:rPr>
          <w:lang w:val="en-GB"/>
        </w:rPr>
        <w:t xml:space="preserve"> overall efficiency reducing electri</w:t>
      </w:r>
      <w:r w:rsidR="00ED3D3C" w:rsidRPr="0095448E">
        <w:rPr>
          <w:lang w:val="en-GB"/>
        </w:rPr>
        <w:t>city consumption from the grid.</w:t>
      </w:r>
    </w:p>
    <w:p w14:paraId="7AFBA870" w14:textId="77777777" w:rsidR="00034246" w:rsidRPr="0095448E" w:rsidRDefault="00ED3D3C" w:rsidP="0094784D">
      <w:pPr>
        <w:pStyle w:val="TAMainText"/>
        <w:rPr>
          <w:lang w:val="en-GB"/>
        </w:rPr>
      </w:pPr>
      <w:r w:rsidRPr="0095448E">
        <w:rPr>
          <w:lang w:val="en-GB"/>
        </w:rPr>
        <w:t xml:space="preserve">Although the current predominance of coal in the ammonia supply mix, high uptake of natural gas </w:t>
      </w:r>
      <w:r w:rsidR="004B404D" w:rsidRPr="0095448E">
        <w:rPr>
          <w:lang w:val="en-GB"/>
        </w:rPr>
        <w:t xml:space="preserve">even without a carbon price </w:t>
      </w:r>
      <w:r w:rsidRPr="0095448E">
        <w:rPr>
          <w:lang w:val="en-GB"/>
        </w:rPr>
        <w:t xml:space="preserve">in the Chinese industry </w:t>
      </w:r>
      <w:r w:rsidR="004B404D" w:rsidRPr="0095448E">
        <w:rPr>
          <w:lang w:val="en-GB"/>
        </w:rPr>
        <w:t>is</w:t>
      </w:r>
      <w:r w:rsidRPr="0095448E">
        <w:rPr>
          <w:lang w:val="en-GB"/>
        </w:rPr>
        <w:t xml:space="preserve"> in line with the goal of</w:t>
      </w:r>
      <w:r w:rsidR="00034246" w:rsidRPr="0095448E">
        <w:rPr>
          <w:lang w:val="en-GB"/>
        </w:rPr>
        <w:t xml:space="preserve"> recent reform</w:t>
      </w:r>
      <w:r w:rsidRPr="0095448E">
        <w:rPr>
          <w:lang w:val="en-GB"/>
        </w:rPr>
        <w:t>s</w:t>
      </w:r>
      <w:r w:rsidR="00034246" w:rsidRPr="0095448E">
        <w:rPr>
          <w:lang w:val="en-GB"/>
        </w:rPr>
        <w:t xml:space="preserve"> aiming for </w:t>
      </w:r>
      <w:r w:rsidRPr="0095448E">
        <w:rPr>
          <w:lang w:val="en-GB"/>
        </w:rPr>
        <w:t>improv</w:t>
      </w:r>
      <w:r w:rsidR="00B00CBE" w:rsidRPr="0095448E">
        <w:rPr>
          <w:lang w:val="en-GB"/>
        </w:rPr>
        <w:t>ed</w:t>
      </w:r>
      <w:r w:rsidR="00034246" w:rsidRPr="0095448E">
        <w:rPr>
          <w:lang w:val="en-GB"/>
        </w:rPr>
        <w:t xml:space="preserve"> air quality </w:t>
      </w:r>
      <w:r w:rsidRPr="0095448E">
        <w:rPr>
          <w:lang w:val="en-GB"/>
        </w:rPr>
        <w:t xml:space="preserve">in China through a coal-to-gas switch </w:t>
      </w:r>
      <w:r w:rsidR="00034246" w:rsidRPr="0095448E">
        <w:rPr>
          <w:lang w:val="en-GB"/>
        </w:rPr>
        <w:fldChar w:fldCharType="begin" w:fldLock="1"/>
      </w:r>
      <w:r w:rsidR="00034246" w:rsidRPr="0095448E">
        <w:rPr>
          <w:lang w:val="en-GB"/>
        </w:rPr>
        <w:instrText>ADDIN CSL_CITATION { "citationItems" : [ { "id" : "ITEM-1", "itemData" : { "DOI" : "https://doi.org/10.1016/j.rser.2017.01.157", "ISBN" : "1364-0321", "abstract" : "In light of China's energy revolution, reform of the natural gas industry and the acceleration of the natural gas sector development are of strategic significance to ensure China's energy security, to optimise the energy consumption structure and to address environmental pollution. In recent years, the Chinese government has introduced numerous policies and developmental plans to speed up natural gas sector reform, which have led to considerable progress. However, China's natural gas industry and reform still encounter many problems and challenges. The purpose of this study is to investigate the reform of the natural gas industry in China. First, the current situation of China's natural gas industry is outlined. Next, four aspects of natural gas industry reform are systematically reviewed: natural gas administrative system reform, industry structure reform, pricing mechanism reform, and tax and fee system reform. Third, the major problems and challenges facing further reform of the natural gas industry are analysed in depth. Finally, this study proposes policies and suggestions for China's natural gas sector in the coming future.", "author" : [ { "dropping-particle" : "", "family" : "Dong", "given" : "Xiucheng", "non-dropping-particle" : "", "parse-names" : false, "suffix" : "" }, { "dropping-particle" : "", "family" : "Pi", "given" : "Guanglin", "non-dropping-particle" : "", "parse-names" : false, "suffix" : "" }, { "dropping-particle" : "", "family" : "Ma", "given" : "Zhengwei", "non-dropping-particle" : "", "parse-names" : false, "suffix" : "" }, { "dropping-particle" : "", "family" : "Dong", "given" : "Cong", "non-dropping-particle" : "", "parse-names" : false, "suffix" : "" } ], "container-title" : "Renewable and Sustainable Energy Reviews", "id" : "ITEM-1", "issued" : { "date-parts" : [ [ "2017" ] ] }, "page" : "582-593", "title" : "The reform of the natural gas industry in the PR of China", "type" : "article-journal", "volume" : "73" }, "uris" : [ "http://www.mendeley.com/documents/?uuid=418367e4-ab66-469c-909a-7e589eebdeea" ] } ], "mendeley" : { "formattedCitation" : "(X. Dong et al., 2017)", "plainTextFormattedCitation" : "(X. Dong et al., 2017)", "previouslyFormattedCitation" : "[66]" }, "properties" : { "noteIndex" : 0 }, "schema" : "https://github.com/citation-style-language/schema/raw/master/csl-citation.json" }</w:instrText>
      </w:r>
      <w:r w:rsidR="00034246" w:rsidRPr="0095448E">
        <w:rPr>
          <w:lang w:val="en-GB"/>
        </w:rPr>
        <w:fldChar w:fldCharType="separate"/>
      </w:r>
      <w:r w:rsidR="00034246" w:rsidRPr="0095448E">
        <w:rPr>
          <w:lang w:val="en-GB"/>
        </w:rPr>
        <w:t>(Dong et al., 2017)</w:t>
      </w:r>
      <w:r w:rsidR="00034246" w:rsidRPr="0095448E">
        <w:rPr>
          <w:lang w:val="en-GB"/>
        </w:rPr>
        <w:fldChar w:fldCharType="end"/>
      </w:r>
      <w:r w:rsidR="001162D8" w:rsidRPr="0095448E">
        <w:rPr>
          <w:lang w:val="en-GB"/>
        </w:rPr>
        <w:t>.</w:t>
      </w:r>
    </w:p>
    <w:p w14:paraId="2379D696" w14:textId="77777777" w:rsidR="001162D8" w:rsidRPr="0095448E" w:rsidRDefault="001162D8" w:rsidP="001162D8">
      <w:pPr>
        <w:pStyle w:val="BGKeywords"/>
        <w:rPr>
          <w:lang w:val="en-GB"/>
        </w:rPr>
      </w:pPr>
    </w:p>
    <w:tbl>
      <w:tblPr>
        <w:tblW w:w="9862" w:type="dxa"/>
        <w:tblLook w:val="04A0" w:firstRow="1" w:lastRow="0" w:firstColumn="1" w:lastColumn="0" w:noHBand="0" w:noVBand="1"/>
      </w:tblPr>
      <w:tblGrid>
        <w:gridCol w:w="4931"/>
        <w:gridCol w:w="4931"/>
      </w:tblGrid>
      <w:tr w:rsidR="0095448E" w:rsidRPr="0095448E" w14:paraId="779AA95A" w14:textId="77777777" w:rsidTr="00494925">
        <w:trPr>
          <w:trHeight w:val="3112"/>
        </w:trPr>
        <w:tc>
          <w:tcPr>
            <w:tcW w:w="4931" w:type="dxa"/>
            <w:vAlign w:val="center"/>
          </w:tcPr>
          <w:p w14:paraId="142A02C0" w14:textId="77777777" w:rsidR="001162D8" w:rsidRPr="0095448E" w:rsidRDefault="001162D8" w:rsidP="00494925">
            <w:pPr>
              <w:pStyle w:val="BGKeywords"/>
            </w:pPr>
            <w:r w:rsidRPr="0095448E">
              <w:rPr>
                <w:noProof/>
                <w:lang w:val="en-GB" w:eastAsia="en-GB"/>
              </w:rPr>
              <w:drawing>
                <wp:inline distT="0" distB="0" distL="0" distR="0" wp14:anchorId="7EB65D6D" wp14:editId="352B1356">
                  <wp:extent cx="2994258" cy="1800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4258" cy="1800000"/>
                          </a:xfrm>
                          <a:prstGeom prst="rect">
                            <a:avLst/>
                          </a:prstGeom>
                          <a:noFill/>
                        </pic:spPr>
                      </pic:pic>
                    </a:graphicData>
                  </a:graphic>
                </wp:inline>
              </w:drawing>
            </w:r>
          </w:p>
        </w:tc>
        <w:tc>
          <w:tcPr>
            <w:tcW w:w="4931" w:type="dxa"/>
            <w:vAlign w:val="center"/>
          </w:tcPr>
          <w:p w14:paraId="2AB83374" w14:textId="77777777" w:rsidR="001162D8" w:rsidRPr="0095448E" w:rsidRDefault="001162D8" w:rsidP="00494925">
            <w:pPr>
              <w:pStyle w:val="BGKeywords"/>
            </w:pPr>
            <w:r w:rsidRPr="0095448E">
              <w:rPr>
                <w:noProof/>
                <w:lang w:val="en-GB" w:eastAsia="en-GB"/>
              </w:rPr>
              <w:drawing>
                <wp:inline distT="0" distB="0" distL="0" distR="0" wp14:anchorId="5091A415" wp14:editId="7E508B4C">
                  <wp:extent cx="2994258" cy="1800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94258" cy="1800000"/>
                          </a:xfrm>
                          <a:prstGeom prst="rect">
                            <a:avLst/>
                          </a:prstGeom>
                          <a:noFill/>
                        </pic:spPr>
                      </pic:pic>
                    </a:graphicData>
                  </a:graphic>
                </wp:inline>
              </w:drawing>
            </w:r>
          </w:p>
        </w:tc>
      </w:tr>
    </w:tbl>
    <w:p w14:paraId="035FD517" w14:textId="77777777" w:rsidR="001162D8" w:rsidRPr="0095448E" w:rsidRDefault="001162D8" w:rsidP="006145B5">
      <w:pPr>
        <w:pStyle w:val="VBChartTitle"/>
        <w:rPr>
          <w:lang w:val="en-GB"/>
        </w:rPr>
      </w:pPr>
      <w:bookmarkStart w:id="20" w:name="_Ref535497699"/>
      <w:bookmarkStart w:id="21" w:name="_Toc5264943"/>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3</w:t>
      </w:r>
      <w:r w:rsidR="00092D00" w:rsidRPr="0095448E">
        <w:rPr>
          <w:lang w:val="en-GB"/>
        </w:rPr>
        <w:fldChar w:fldCharType="end"/>
      </w:r>
      <w:bookmarkEnd w:id="20"/>
      <w:r w:rsidRPr="0095448E">
        <w:rPr>
          <w:lang w:val="en-GB"/>
        </w:rPr>
        <w:t>. Supply of ammonia by feedstock without (left, case 1) and with (right, case 2) a carbon price (Mt); single objective function: NPV</w:t>
      </w:r>
      <w:bookmarkEnd w:id="21"/>
    </w:p>
    <w:p w14:paraId="0E7E7C58" w14:textId="77777777" w:rsidR="001162D8" w:rsidRPr="0095448E" w:rsidRDefault="001162D8" w:rsidP="00034246">
      <w:pPr>
        <w:pStyle w:val="BGKeywords"/>
        <w:rPr>
          <w:lang w:val="en-GB"/>
        </w:rPr>
      </w:pPr>
    </w:p>
    <w:p w14:paraId="2574FD29" w14:textId="77777777" w:rsidR="00034246" w:rsidRPr="0095448E" w:rsidRDefault="00034246" w:rsidP="0094784D">
      <w:pPr>
        <w:pStyle w:val="TAMainText"/>
        <w:rPr>
          <w:lang w:val="en-GB"/>
        </w:rPr>
      </w:pPr>
      <w:r w:rsidRPr="0095448E">
        <w:rPr>
          <w:lang w:val="en-GB"/>
        </w:rPr>
        <w:t xml:space="preserve">When </w:t>
      </w:r>
      <w:r w:rsidR="00ED3D3C" w:rsidRPr="0095448E">
        <w:rPr>
          <w:lang w:val="en-GB"/>
        </w:rPr>
        <w:t>a</w:t>
      </w:r>
      <w:r w:rsidRPr="0095448E">
        <w:rPr>
          <w:lang w:val="en-GB"/>
        </w:rPr>
        <w:t xml:space="preserve"> carbon price is </w:t>
      </w:r>
      <w:r w:rsidR="00ED3D3C" w:rsidRPr="0095448E">
        <w:rPr>
          <w:lang w:val="en-GB"/>
        </w:rPr>
        <w:t>in place</w:t>
      </w:r>
      <w:r w:rsidRPr="0095448E">
        <w:rPr>
          <w:lang w:val="en-GB"/>
        </w:rPr>
        <w:t xml:space="preserve"> to incentivise </w:t>
      </w:r>
      <w:r w:rsidR="00ED3D3C" w:rsidRPr="0095448E">
        <w:rPr>
          <w:lang w:val="en-GB"/>
        </w:rPr>
        <w:t xml:space="preserve">the </w:t>
      </w:r>
      <w:r w:rsidRPr="0095448E">
        <w:rPr>
          <w:lang w:val="en-GB"/>
        </w:rPr>
        <w:t xml:space="preserve">decarbonisation of the sector, the investment decisions change. </w:t>
      </w:r>
      <w:r w:rsidR="002C301F" w:rsidRPr="0095448E">
        <w:rPr>
          <w:lang w:val="en-GB"/>
        </w:rPr>
        <w:t>N</w:t>
      </w:r>
      <w:r w:rsidR="00ED3D3C" w:rsidRPr="0095448E">
        <w:rPr>
          <w:lang w:val="en-GB"/>
        </w:rPr>
        <w:t xml:space="preserve">atural </w:t>
      </w:r>
      <w:r w:rsidRPr="0095448E">
        <w:rPr>
          <w:lang w:val="en-GB"/>
        </w:rPr>
        <w:t>gas and biomethane take over the m</w:t>
      </w:r>
      <w:r w:rsidR="00ED3D3C" w:rsidRPr="0095448E">
        <w:rPr>
          <w:lang w:val="en-GB"/>
        </w:rPr>
        <w:t>arket, from an initial</w:t>
      </w:r>
      <w:r w:rsidRPr="0095448E">
        <w:rPr>
          <w:lang w:val="en-GB"/>
        </w:rPr>
        <w:t xml:space="preserve"> 21% </w:t>
      </w:r>
      <w:r w:rsidR="00ED3D3C" w:rsidRPr="0095448E">
        <w:rPr>
          <w:lang w:val="en-GB"/>
        </w:rPr>
        <w:t xml:space="preserve">share </w:t>
      </w:r>
      <w:r w:rsidRPr="0095448E">
        <w:rPr>
          <w:lang w:val="en-GB"/>
        </w:rPr>
        <w:t xml:space="preserve">to </w:t>
      </w:r>
      <w:r w:rsidR="00ED3D3C" w:rsidRPr="0095448E">
        <w:rPr>
          <w:lang w:val="en-GB"/>
        </w:rPr>
        <w:t xml:space="preserve">a </w:t>
      </w:r>
      <w:r w:rsidRPr="0095448E">
        <w:rPr>
          <w:lang w:val="en-GB"/>
        </w:rPr>
        <w:t xml:space="preserve">99% </w:t>
      </w:r>
      <w:r w:rsidR="009321B7" w:rsidRPr="0095448E">
        <w:rPr>
          <w:lang w:val="en-GB"/>
        </w:rPr>
        <w:t>share in 2050. T</w:t>
      </w:r>
      <w:r w:rsidRPr="0095448E">
        <w:rPr>
          <w:lang w:val="en-GB"/>
        </w:rPr>
        <w:t xml:space="preserve">he remaining 1% is </w:t>
      </w:r>
      <w:r w:rsidR="009321B7" w:rsidRPr="0095448E">
        <w:rPr>
          <w:lang w:val="en-GB"/>
        </w:rPr>
        <w:t>HFO-based production</w:t>
      </w:r>
      <w:r w:rsidRPr="0095448E">
        <w:rPr>
          <w:lang w:val="en-GB"/>
        </w:rPr>
        <w:t xml:space="preserve">. </w:t>
      </w:r>
      <w:r w:rsidR="009321B7" w:rsidRPr="0095448E">
        <w:rPr>
          <w:lang w:val="en-GB"/>
        </w:rPr>
        <w:t xml:space="preserve">It is to note that </w:t>
      </w:r>
      <w:r w:rsidRPr="0095448E">
        <w:rPr>
          <w:lang w:val="en-GB"/>
        </w:rPr>
        <w:t xml:space="preserve">CCS plays an important role, entering the market in combination with </w:t>
      </w:r>
      <w:r w:rsidR="002C301F" w:rsidRPr="0095448E">
        <w:rPr>
          <w:lang w:val="en-GB"/>
        </w:rPr>
        <w:t xml:space="preserve">natural </w:t>
      </w:r>
      <w:r w:rsidRPr="0095448E">
        <w:rPr>
          <w:lang w:val="en-GB"/>
        </w:rPr>
        <w:t xml:space="preserve">gas in 2030 and with biomethane </w:t>
      </w:r>
      <w:r w:rsidRPr="0095448E">
        <w:rPr>
          <w:lang w:val="en-GB"/>
        </w:rPr>
        <w:lastRenderedPageBreak/>
        <w:t xml:space="preserve">in 2040. </w:t>
      </w:r>
      <w:r w:rsidR="009321B7" w:rsidRPr="0095448E">
        <w:rPr>
          <w:lang w:val="en-GB"/>
        </w:rPr>
        <w:t>Captured emissions then</w:t>
      </w:r>
      <w:r w:rsidRPr="0095448E">
        <w:rPr>
          <w:lang w:val="en-GB"/>
        </w:rPr>
        <w:t xml:space="preserve"> result in </w:t>
      </w:r>
      <w:r w:rsidR="009321B7" w:rsidRPr="0095448E">
        <w:rPr>
          <w:lang w:val="en-GB"/>
        </w:rPr>
        <w:t>an overall negative emission from the ammonia production</w:t>
      </w:r>
      <w:r w:rsidRPr="0095448E">
        <w:rPr>
          <w:lang w:val="en-GB"/>
        </w:rPr>
        <w:t xml:space="preserve"> </w:t>
      </w:r>
      <w:r w:rsidR="003833EE" w:rsidRPr="0095448E">
        <w:rPr>
          <w:lang w:val="en-GB"/>
        </w:rPr>
        <w:t>from 20</w:t>
      </w:r>
      <w:r w:rsidR="003202E0" w:rsidRPr="0095448E">
        <w:rPr>
          <w:lang w:val="en-GB"/>
        </w:rPr>
        <w:t>7</w:t>
      </w:r>
      <w:r w:rsidR="003833EE" w:rsidRPr="0095448E">
        <w:rPr>
          <w:lang w:val="en-GB"/>
        </w:rPr>
        <w:t>0</w:t>
      </w:r>
      <w:r w:rsidR="009321B7" w:rsidRPr="0095448E">
        <w:rPr>
          <w:lang w:val="en-GB"/>
        </w:rPr>
        <w:t xml:space="preserve"> (</w:t>
      </w:r>
      <w:r w:rsidR="0005124C" w:rsidRPr="0095448E">
        <w:rPr>
          <w:lang w:val="en-GB"/>
        </w:rPr>
        <w:fldChar w:fldCharType="begin"/>
      </w:r>
      <w:r w:rsidR="0005124C" w:rsidRPr="0095448E">
        <w:rPr>
          <w:lang w:val="en-GB"/>
        </w:rPr>
        <w:instrText xml:space="preserve"> REF _Ref536451506 \h </w:instrText>
      </w:r>
      <w:r w:rsidR="0005124C" w:rsidRPr="0095448E">
        <w:rPr>
          <w:lang w:val="en-GB"/>
        </w:rPr>
      </w:r>
      <w:r w:rsidR="0005124C" w:rsidRPr="0095448E">
        <w:rPr>
          <w:lang w:val="en-GB"/>
        </w:rPr>
        <w:fldChar w:fldCharType="separate"/>
      </w:r>
      <w:r w:rsidR="0005124C" w:rsidRPr="0095448E">
        <w:rPr>
          <w:lang w:val="en-GB"/>
        </w:rPr>
        <w:t xml:space="preserve">Figure </w:t>
      </w:r>
      <w:r w:rsidR="0005124C" w:rsidRPr="0095448E">
        <w:rPr>
          <w:noProof/>
          <w:lang w:val="en-GB"/>
        </w:rPr>
        <w:t>4</w:t>
      </w:r>
      <w:r w:rsidR="0005124C" w:rsidRPr="0095448E">
        <w:rPr>
          <w:lang w:val="en-GB"/>
        </w:rPr>
        <w:fldChar w:fldCharType="end"/>
      </w:r>
      <w:r w:rsidR="009321B7" w:rsidRPr="0095448E">
        <w:rPr>
          <w:lang w:val="en-GB"/>
        </w:rPr>
        <w:t>).</w:t>
      </w:r>
    </w:p>
    <w:tbl>
      <w:tblPr>
        <w:tblW w:w="9972" w:type="dxa"/>
        <w:tblLook w:val="04A0" w:firstRow="1" w:lastRow="0" w:firstColumn="1" w:lastColumn="0" w:noHBand="0" w:noVBand="1"/>
      </w:tblPr>
      <w:tblGrid>
        <w:gridCol w:w="4986"/>
        <w:gridCol w:w="4986"/>
      </w:tblGrid>
      <w:tr w:rsidR="00176C0D" w:rsidRPr="0095448E" w14:paraId="7B0A4DEE" w14:textId="77777777" w:rsidTr="00494925">
        <w:trPr>
          <w:trHeight w:val="3112"/>
        </w:trPr>
        <w:tc>
          <w:tcPr>
            <w:tcW w:w="4986" w:type="dxa"/>
            <w:vAlign w:val="center"/>
          </w:tcPr>
          <w:p w14:paraId="1420C26C" w14:textId="77777777" w:rsidR="001162D8" w:rsidRPr="0095448E" w:rsidRDefault="001162D8" w:rsidP="00494925">
            <w:pPr>
              <w:pStyle w:val="BGKeywords"/>
            </w:pPr>
            <w:r w:rsidRPr="0095448E">
              <w:rPr>
                <w:noProof/>
                <w:lang w:val="en-GB" w:eastAsia="en-GB"/>
              </w:rPr>
              <w:drawing>
                <wp:inline distT="0" distB="0" distL="0" distR="0" wp14:anchorId="72FCE25C" wp14:editId="6A84D815">
                  <wp:extent cx="3006418" cy="180000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06418" cy="1800000"/>
                          </a:xfrm>
                          <a:prstGeom prst="rect">
                            <a:avLst/>
                          </a:prstGeom>
                          <a:noFill/>
                        </pic:spPr>
                      </pic:pic>
                    </a:graphicData>
                  </a:graphic>
                </wp:inline>
              </w:drawing>
            </w:r>
          </w:p>
        </w:tc>
        <w:tc>
          <w:tcPr>
            <w:tcW w:w="4986" w:type="dxa"/>
            <w:vAlign w:val="center"/>
          </w:tcPr>
          <w:p w14:paraId="47CF695F" w14:textId="77777777" w:rsidR="001162D8" w:rsidRPr="0095448E" w:rsidRDefault="001162D8" w:rsidP="00494925">
            <w:pPr>
              <w:pStyle w:val="BGKeywords"/>
            </w:pPr>
            <w:r w:rsidRPr="0095448E">
              <w:rPr>
                <w:noProof/>
                <w:lang w:val="en-GB" w:eastAsia="en-GB"/>
              </w:rPr>
              <w:drawing>
                <wp:inline distT="0" distB="0" distL="0" distR="0" wp14:anchorId="056296CB" wp14:editId="323F9235">
                  <wp:extent cx="3006418" cy="180000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06418" cy="1800000"/>
                          </a:xfrm>
                          <a:prstGeom prst="rect">
                            <a:avLst/>
                          </a:prstGeom>
                          <a:noFill/>
                        </pic:spPr>
                      </pic:pic>
                    </a:graphicData>
                  </a:graphic>
                </wp:inline>
              </w:drawing>
            </w:r>
          </w:p>
        </w:tc>
      </w:tr>
    </w:tbl>
    <w:p w14:paraId="555C9D4B" w14:textId="77777777" w:rsidR="001162D8" w:rsidRPr="0095448E" w:rsidRDefault="001162D8" w:rsidP="006145B5">
      <w:pPr>
        <w:pStyle w:val="VBChartTitle"/>
        <w:rPr>
          <w:lang w:val="en-GB"/>
        </w:rPr>
      </w:pPr>
      <w:bookmarkStart w:id="22" w:name="_Ref536451506"/>
      <w:bookmarkStart w:id="23" w:name="_Toc5264944"/>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4</w:t>
      </w:r>
      <w:r w:rsidR="00092D00" w:rsidRPr="0095448E">
        <w:rPr>
          <w:lang w:val="en-GB"/>
        </w:rPr>
        <w:fldChar w:fldCharType="end"/>
      </w:r>
      <w:bookmarkEnd w:id="22"/>
      <w:r w:rsidRPr="0095448E">
        <w:rPr>
          <w:lang w:val="en-GB"/>
        </w:rPr>
        <w:t>. Emission and capture of CO</w:t>
      </w:r>
      <w:r w:rsidRPr="0095448E">
        <w:rPr>
          <w:vertAlign w:val="subscript"/>
          <w:lang w:val="en-GB"/>
        </w:rPr>
        <w:t>2</w:t>
      </w:r>
      <w:r w:rsidRPr="0095448E">
        <w:rPr>
          <w:lang w:val="en-GB"/>
        </w:rPr>
        <w:t xml:space="preserve"> without (left, case 1) and with (right, case 2) a carbon price (Mt); single objective function: NPV</w:t>
      </w:r>
      <w:bookmarkEnd w:id="23"/>
    </w:p>
    <w:p w14:paraId="5D0B2D92" w14:textId="77777777" w:rsidR="001162D8" w:rsidRPr="0095448E" w:rsidRDefault="001162D8" w:rsidP="00034246">
      <w:pPr>
        <w:pStyle w:val="BGKeywords"/>
        <w:rPr>
          <w:lang w:val="en-GB"/>
        </w:rPr>
      </w:pPr>
    </w:p>
    <w:p w14:paraId="10E02663" w14:textId="77777777" w:rsidR="00034246" w:rsidRPr="0095448E" w:rsidRDefault="00034246" w:rsidP="0094784D">
      <w:pPr>
        <w:pStyle w:val="TAMainText"/>
        <w:rPr>
          <w:lang w:val="en-GB"/>
        </w:rPr>
      </w:pPr>
      <w:r w:rsidRPr="0095448E">
        <w:rPr>
          <w:lang w:val="en-GB"/>
        </w:rPr>
        <w:t>The same cases have been tested using single investment decision metrics of capex (</w:t>
      </w:r>
      <w:r w:rsidR="0005124C" w:rsidRPr="0095448E">
        <w:rPr>
          <w:lang w:val="en-GB"/>
        </w:rPr>
        <w:fldChar w:fldCharType="begin"/>
      </w:r>
      <w:r w:rsidR="0005124C" w:rsidRPr="0095448E">
        <w:rPr>
          <w:lang w:val="en-GB"/>
        </w:rPr>
        <w:instrText xml:space="preserve"> REF _Ref3649601 \h </w:instrText>
      </w:r>
      <w:r w:rsidR="0005124C" w:rsidRPr="0095448E">
        <w:rPr>
          <w:lang w:val="en-GB"/>
        </w:rPr>
      </w:r>
      <w:r w:rsidR="0005124C" w:rsidRPr="0095448E">
        <w:rPr>
          <w:lang w:val="en-GB"/>
        </w:rPr>
        <w:fldChar w:fldCharType="separate"/>
      </w:r>
      <w:r w:rsidR="0005124C" w:rsidRPr="0095448E">
        <w:rPr>
          <w:lang w:val="en-GB"/>
        </w:rPr>
        <w:t xml:space="preserve">Figure </w:t>
      </w:r>
      <w:r w:rsidR="0005124C" w:rsidRPr="0095448E">
        <w:rPr>
          <w:noProof/>
          <w:lang w:val="en-GB"/>
        </w:rPr>
        <w:t>5</w:t>
      </w:r>
      <w:r w:rsidR="0005124C" w:rsidRPr="0095448E">
        <w:rPr>
          <w:lang w:val="en-GB"/>
        </w:rPr>
        <w:fldChar w:fldCharType="end"/>
      </w:r>
      <w:r w:rsidRPr="0095448E">
        <w:rPr>
          <w:lang w:val="en-GB"/>
        </w:rPr>
        <w:t>) and payback time (</w:t>
      </w:r>
      <w:r w:rsidR="0005124C" w:rsidRPr="0095448E">
        <w:rPr>
          <w:lang w:val="en-GB"/>
        </w:rPr>
        <w:fldChar w:fldCharType="begin"/>
      </w:r>
      <w:r w:rsidR="0005124C" w:rsidRPr="0095448E">
        <w:rPr>
          <w:lang w:val="en-GB"/>
        </w:rPr>
        <w:instrText xml:space="preserve"> REF _Ref3649640 \h </w:instrText>
      </w:r>
      <w:r w:rsidR="0005124C" w:rsidRPr="0095448E">
        <w:rPr>
          <w:lang w:val="en-GB"/>
        </w:rPr>
      </w:r>
      <w:r w:rsidR="0005124C" w:rsidRPr="0095448E">
        <w:rPr>
          <w:lang w:val="en-GB"/>
        </w:rPr>
        <w:fldChar w:fldCharType="separate"/>
      </w:r>
      <w:r w:rsidR="0005124C" w:rsidRPr="0095448E">
        <w:rPr>
          <w:lang w:val="en-GB"/>
        </w:rPr>
        <w:t xml:space="preserve">Figure </w:t>
      </w:r>
      <w:r w:rsidR="0005124C" w:rsidRPr="0095448E">
        <w:rPr>
          <w:noProof/>
          <w:lang w:val="en-GB"/>
        </w:rPr>
        <w:t>6</w:t>
      </w:r>
      <w:r w:rsidR="0005124C" w:rsidRPr="0095448E">
        <w:rPr>
          <w:lang w:val="en-GB"/>
        </w:rPr>
        <w:fldChar w:fldCharType="end"/>
      </w:r>
      <w:r w:rsidRPr="0095448E">
        <w:rPr>
          <w:lang w:val="en-GB"/>
        </w:rPr>
        <w:t xml:space="preserve"> and </w:t>
      </w:r>
      <w:r w:rsidR="0005124C" w:rsidRPr="0095448E">
        <w:rPr>
          <w:lang w:val="en-GB"/>
        </w:rPr>
        <w:fldChar w:fldCharType="begin"/>
      </w:r>
      <w:r w:rsidR="0005124C" w:rsidRPr="0095448E">
        <w:rPr>
          <w:lang w:val="en-GB"/>
        </w:rPr>
        <w:instrText xml:space="preserve"> REF _Ref3649932 \h </w:instrText>
      </w:r>
      <w:r w:rsidR="0005124C" w:rsidRPr="0095448E">
        <w:rPr>
          <w:lang w:val="en-GB"/>
        </w:rPr>
      </w:r>
      <w:r w:rsidR="0005124C" w:rsidRPr="0095448E">
        <w:rPr>
          <w:lang w:val="en-GB"/>
        </w:rPr>
        <w:fldChar w:fldCharType="separate"/>
      </w:r>
      <w:r w:rsidR="0005124C" w:rsidRPr="0095448E">
        <w:rPr>
          <w:lang w:val="en-GB"/>
        </w:rPr>
        <w:t xml:space="preserve">Figure </w:t>
      </w:r>
      <w:r w:rsidR="0005124C" w:rsidRPr="0095448E">
        <w:rPr>
          <w:noProof/>
          <w:lang w:val="en-GB"/>
        </w:rPr>
        <w:t>7</w:t>
      </w:r>
      <w:r w:rsidR="0005124C" w:rsidRPr="0095448E">
        <w:rPr>
          <w:lang w:val="en-GB"/>
        </w:rPr>
        <w:fldChar w:fldCharType="end"/>
      </w:r>
      <w:r w:rsidRPr="0095448E">
        <w:rPr>
          <w:lang w:val="en-GB"/>
        </w:rPr>
        <w:t xml:space="preserve">). </w:t>
      </w:r>
      <w:r w:rsidR="00597093" w:rsidRPr="0095448E">
        <w:rPr>
          <w:lang w:val="en-GB"/>
        </w:rPr>
        <w:t>As the carbon price only affects opex, i</w:t>
      </w:r>
      <w:r w:rsidRPr="0095448E">
        <w:rPr>
          <w:lang w:val="en-GB"/>
        </w:rPr>
        <w:t xml:space="preserve">f the capex of a plant is the investment decision metric, the market moves towards the cheapest technology, </w:t>
      </w:r>
      <w:r w:rsidR="00597093" w:rsidRPr="0095448E">
        <w:rPr>
          <w:lang w:val="en-GB"/>
        </w:rPr>
        <w:t>the natural gas-</w:t>
      </w:r>
      <w:r w:rsidRPr="0095448E">
        <w:rPr>
          <w:lang w:val="en-GB"/>
        </w:rPr>
        <w:t>based ammonia, independent of</w:t>
      </w:r>
      <w:r w:rsidR="00597093" w:rsidRPr="0095448E">
        <w:rPr>
          <w:lang w:val="en-GB"/>
        </w:rPr>
        <w:t xml:space="preserve"> the presence of a carbon price</w:t>
      </w:r>
      <w:r w:rsidRPr="0095448E">
        <w:rPr>
          <w:lang w:val="en-GB"/>
        </w:rPr>
        <w:t>.</w:t>
      </w:r>
    </w:p>
    <w:tbl>
      <w:tblPr>
        <w:tblW w:w="4986" w:type="dxa"/>
        <w:jc w:val="center"/>
        <w:tblLook w:val="04A0" w:firstRow="1" w:lastRow="0" w:firstColumn="1" w:lastColumn="0" w:noHBand="0" w:noVBand="1"/>
      </w:tblPr>
      <w:tblGrid>
        <w:gridCol w:w="4986"/>
      </w:tblGrid>
      <w:tr w:rsidR="00176C0D" w:rsidRPr="0095448E" w14:paraId="24407088" w14:textId="77777777" w:rsidTr="00494925">
        <w:trPr>
          <w:trHeight w:val="3112"/>
          <w:jc w:val="center"/>
        </w:trPr>
        <w:tc>
          <w:tcPr>
            <w:tcW w:w="4986" w:type="dxa"/>
            <w:vAlign w:val="center"/>
          </w:tcPr>
          <w:p w14:paraId="022D7079" w14:textId="77777777" w:rsidR="001162D8" w:rsidRPr="0095448E" w:rsidRDefault="001162D8" w:rsidP="00494925">
            <w:pPr>
              <w:pStyle w:val="BGKeywords"/>
            </w:pPr>
            <w:r w:rsidRPr="0095448E">
              <w:rPr>
                <w:noProof/>
                <w:lang w:val="en-GB" w:eastAsia="en-GB"/>
              </w:rPr>
              <w:drawing>
                <wp:inline distT="0" distB="0" distL="0" distR="0" wp14:anchorId="4BD8D864" wp14:editId="58F245B3">
                  <wp:extent cx="2994258" cy="1800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4258" cy="1800000"/>
                          </a:xfrm>
                          <a:prstGeom prst="rect">
                            <a:avLst/>
                          </a:prstGeom>
                          <a:noFill/>
                        </pic:spPr>
                      </pic:pic>
                    </a:graphicData>
                  </a:graphic>
                </wp:inline>
              </w:drawing>
            </w:r>
          </w:p>
        </w:tc>
      </w:tr>
    </w:tbl>
    <w:p w14:paraId="5729C914" w14:textId="77777777" w:rsidR="001162D8" w:rsidRPr="0095448E" w:rsidRDefault="001162D8" w:rsidP="006145B5">
      <w:pPr>
        <w:pStyle w:val="VBChartTitle"/>
        <w:rPr>
          <w:lang w:val="en-GB"/>
        </w:rPr>
      </w:pPr>
      <w:bookmarkStart w:id="24" w:name="_Ref3649601"/>
      <w:bookmarkStart w:id="25" w:name="_Toc5264945"/>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5</w:t>
      </w:r>
      <w:r w:rsidR="00092D00" w:rsidRPr="0095448E">
        <w:rPr>
          <w:lang w:val="en-GB"/>
        </w:rPr>
        <w:fldChar w:fldCharType="end"/>
      </w:r>
      <w:bookmarkEnd w:id="24"/>
      <w:r w:rsidRPr="0095448E">
        <w:rPr>
          <w:lang w:val="en-GB"/>
        </w:rPr>
        <w:t>. Supply of ammonia by feedstock (Mt); single objective function: capex (cases 1 and 2)</w:t>
      </w:r>
      <w:bookmarkEnd w:id="25"/>
    </w:p>
    <w:p w14:paraId="7913F388" w14:textId="77777777" w:rsidR="006145B5" w:rsidRPr="0095448E" w:rsidRDefault="006145B5" w:rsidP="0094784D">
      <w:pPr>
        <w:pStyle w:val="TAMainText"/>
        <w:rPr>
          <w:lang w:val="en-GB"/>
        </w:rPr>
      </w:pPr>
    </w:p>
    <w:p w14:paraId="0D729E7F" w14:textId="77777777" w:rsidR="001162D8" w:rsidRPr="0095448E" w:rsidRDefault="001B7CCB" w:rsidP="0094784D">
      <w:pPr>
        <w:pStyle w:val="TAMainText"/>
        <w:rPr>
          <w:lang w:val="en-GB"/>
        </w:rPr>
      </w:pPr>
      <w:r w:rsidRPr="0095448E">
        <w:rPr>
          <w:lang w:val="en-GB"/>
        </w:rPr>
        <w:t xml:space="preserve">If the payback time is used, the market </w:t>
      </w:r>
      <w:r w:rsidR="00597093" w:rsidRPr="0095448E">
        <w:rPr>
          <w:lang w:val="en-GB"/>
        </w:rPr>
        <w:t>moves again towards natural gas- and biomethane-</w:t>
      </w:r>
      <w:r w:rsidRPr="0095448E">
        <w:rPr>
          <w:lang w:val="en-GB"/>
        </w:rPr>
        <w:t xml:space="preserve">based ammonia production with post-combustion </w:t>
      </w:r>
      <w:r w:rsidR="00597093" w:rsidRPr="0095448E">
        <w:rPr>
          <w:lang w:val="en-GB"/>
        </w:rPr>
        <w:t>CCS. The transition occurs at</w:t>
      </w:r>
      <w:r w:rsidRPr="0095448E">
        <w:rPr>
          <w:lang w:val="en-GB"/>
        </w:rPr>
        <w:t xml:space="preserve"> a slower </w:t>
      </w:r>
      <w:r w:rsidR="00597093" w:rsidRPr="0095448E">
        <w:rPr>
          <w:lang w:val="en-GB"/>
        </w:rPr>
        <w:t>pace than the scenario where</w:t>
      </w:r>
      <w:r w:rsidRPr="0095448E">
        <w:rPr>
          <w:lang w:val="en-GB"/>
        </w:rPr>
        <w:t xml:space="preserve"> NPV is used. </w:t>
      </w:r>
      <w:r w:rsidR="0005124C" w:rsidRPr="0095448E">
        <w:rPr>
          <w:lang w:val="en-GB"/>
        </w:rPr>
        <w:fldChar w:fldCharType="begin"/>
      </w:r>
      <w:r w:rsidR="0005124C" w:rsidRPr="0095448E">
        <w:rPr>
          <w:lang w:val="en-GB"/>
        </w:rPr>
        <w:instrText xml:space="preserve"> REF _Ref3649640 \h </w:instrText>
      </w:r>
      <w:r w:rsidR="0005124C" w:rsidRPr="0095448E">
        <w:rPr>
          <w:lang w:val="en-GB"/>
        </w:rPr>
      </w:r>
      <w:r w:rsidR="0005124C" w:rsidRPr="0095448E">
        <w:rPr>
          <w:lang w:val="en-GB"/>
        </w:rPr>
        <w:fldChar w:fldCharType="separate"/>
      </w:r>
      <w:r w:rsidR="0005124C" w:rsidRPr="0095448E">
        <w:rPr>
          <w:lang w:val="en-GB"/>
        </w:rPr>
        <w:t xml:space="preserve">Figure </w:t>
      </w:r>
      <w:r w:rsidR="0005124C" w:rsidRPr="0095448E">
        <w:rPr>
          <w:noProof/>
          <w:lang w:val="en-GB"/>
        </w:rPr>
        <w:t>6</w:t>
      </w:r>
      <w:r w:rsidR="0005124C" w:rsidRPr="0095448E">
        <w:rPr>
          <w:lang w:val="en-GB"/>
        </w:rPr>
        <w:fldChar w:fldCharType="end"/>
      </w:r>
      <w:r w:rsidRPr="0095448E">
        <w:rPr>
          <w:lang w:val="en-GB"/>
        </w:rPr>
        <w:t xml:space="preserve"> reports the supply of ammonia in China, in Mt, over time, under a carbon price (right). </w:t>
      </w:r>
      <w:r w:rsidR="002C301F" w:rsidRPr="0095448E">
        <w:rPr>
          <w:lang w:val="en-GB"/>
        </w:rPr>
        <w:t>Natural gas</w:t>
      </w:r>
      <w:r w:rsidRPr="0095448E">
        <w:rPr>
          <w:lang w:val="en-GB"/>
        </w:rPr>
        <w:t xml:space="preserve"> maintains a substantial share of the market until 2030 without CCS, and until 2100 with CCS. Over time, biomethane</w:t>
      </w:r>
      <w:r w:rsidR="005A171B" w:rsidRPr="0095448E">
        <w:rPr>
          <w:lang w:val="en-GB"/>
        </w:rPr>
        <w:t xml:space="preserve"> replaces natural gas reaching</w:t>
      </w:r>
      <w:r w:rsidRPr="0095448E">
        <w:rPr>
          <w:lang w:val="en-GB"/>
        </w:rPr>
        <w:t xml:space="preserve"> 54% of the mark</w:t>
      </w:r>
      <w:r w:rsidR="005A171B" w:rsidRPr="0095448E">
        <w:rPr>
          <w:lang w:val="en-GB"/>
        </w:rPr>
        <w:t>et by 2100. E</w:t>
      </w:r>
      <w:r w:rsidRPr="0095448E">
        <w:rPr>
          <w:lang w:val="en-GB"/>
        </w:rPr>
        <w:t xml:space="preserve">missions and </w:t>
      </w:r>
      <w:r w:rsidR="005A171B" w:rsidRPr="0095448E">
        <w:rPr>
          <w:lang w:val="en-GB"/>
        </w:rPr>
        <w:t>emissions captured in the PB-scenario</w:t>
      </w:r>
      <w:r w:rsidRPr="0095448E">
        <w:rPr>
          <w:lang w:val="en-GB"/>
        </w:rPr>
        <w:t xml:space="preserve"> </w:t>
      </w:r>
      <w:r w:rsidR="005A171B" w:rsidRPr="0095448E">
        <w:rPr>
          <w:lang w:val="en-GB"/>
        </w:rPr>
        <w:t xml:space="preserve">show that the overall emissions from the sector become negative </w:t>
      </w:r>
      <w:r w:rsidR="003202E0" w:rsidRPr="0095448E">
        <w:rPr>
          <w:lang w:val="en-GB"/>
        </w:rPr>
        <w:t>from 2090</w:t>
      </w:r>
      <w:r w:rsidRPr="0095448E">
        <w:rPr>
          <w:lang w:val="en-GB"/>
        </w:rPr>
        <w:t xml:space="preserve"> </w:t>
      </w:r>
      <w:r w:rsidR="005A171B" w:rsidRPr="0095448E">
        <w:rPr>
          <w:lang w:val="en-GB"/>
        </w:rPr>
        <w:t>(</w:t>
      </w:r>
      <w:r w:rsidR="0005124C" w:rsidRPr="0095448E">
        <w:rPr>
          <w:lang w:val="en-GB"/>
        </w:rPr>
        <w:fldChar w:fldCharType="begin"/>
      </w:r>
      <w:r w:rsidR="0005124C" w:rsidRPr="0095448E">
        <w:rPr>
          <w:lang w:val="en-GB"/>
        </w:rPr>
        <w:instrText xml:space="preserve"> REF _Ref3649932 \h </w:instrText>
      </w:r>
      <w:r w:rsidR="0005124C" w:rsidRPr="0095448E">
        <w:rPr>
          <w:lang w:val="en-GB"/>
        </w:rPr>
      </w:r>
      <w:r w:rsidR="0005124C" w:rsidRPr="0095448E">
        <w:rPr>
          <w:lang w:val="en-GB"/>
        </w:rPr>
        <w:fldChar w:fldCharType="separate"/>
      </w:r>
      <w:r w:rsidR="0005124C" w:rsidRPr="0095448E">
        <w:rPr>
          <w:lang w:val="en-GB"/>
        </w:rPr>
        <w:t xml:space="preserve">Figure </w:t>
      </w:r>
      <w:r w:rsidR="0005124C" w:rsidRPr="0095448E">
        <w:rPr>
          <w:noProof/>
          <w:lang w:val="en-GB"/>
        </w:rPr>
        <w:t>7</w:t>
      </w:r>
      <w:r w:rsidR="0005124C" w:rsidRPr="0095448E">
        <w:rPr>
          <w:lang w:val="en-GB"/>
        </w:rPr>
        <w:fldChar w:fldCharType="end"/>
      </w:r>
      <w:r w:rsidR="005A171B" w:rsidRPr="0095448E">
        <w:rPr>
          <w:lang w:val="en-GB"/>
        </w:rPr>
        <w:t>).</w:t>
      </w:r>
    </w:p>
    <w:p w14:paraId="01372BCF" w14:textId="77777777" w:rsidR="005A171B" w:rsidRPr="0095448E" w:rsidRDefault="005A171B" w:rsidP="0094784D">
      <w:pPr>
        <w:pStyle w:val="TAMainText"/>
        <w:rPr>
          <w:lang w:val="en-GB"/>
        </w:rPr>
      </w:pPr>
    </w:p>
    <w:tbl>
      <w:tblPr>
        <w:tblW w:w="9862" w:type="dxa"/>
        <w:tblLook w:val="04A0" w:firstRow="1" w:lastRow="0" w:firstColumn="1" w:lastColumn="0" w:noHBand="0" w:noVBand="1"/>
      </w:tblPr>
      <w:tblGrid>
        <w:gridCol w:w="4931"/>
        <w:gridCol w:w="4931"/>
      </w:tblGrid>
      <w:tr w:rsidR="00176C0D" w:rsidRPr="0095448E" w14:paraId="3F7532B5" w14:textId="77777777" w:rsidTr="00494925">
        <w:trPr>
          <w:trHeight w:val="3112"/>
        </w:trPr>
        <w:tc>
          <w:tcPr>
            <w:tcW w:w="4931" w:type="dxa"/>
            <w:vAlign w:val="center"/>
          </w:tcPr>
          <w:p w14:paraId="3C98441F" w14:textId="77777777" w:rsidR="001162D8" w:rsidRPr="0095448E" w:rsidRDefault="001162D8" w:rsidP="00494925">
            <w:pPr>
              <w:pStyle w:val="BGKeywords"/>
            </w:pPr>
            <w:r w:rsidRPr="0095448E">
              <w:rPr>
                <w:noProof/>
                <w:lang w:val="en-GB" w:eastAsia="en-GB"/>
              </w:rPr>
              <w:drawing>
                <wp:inline distT="0" distB="0" distL="0" distR="0" wp14:anchorId="6168C7E8" wp14:editId="0BC9EDFE">
                  <wp:extent cx="2994258" cy="1800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94258" cy="1800000"/>
                          </a:xfrm>
                          <a:prstGeom prst="rect">
                            <a:avLst/>
                          </a:prstGeom>
                          <a:noFill/>
                        </pic:spPr>
                      </pic:pic>
                    </a:graphicData>
                  </a:graphic>
                </wp:inline>
              </w:drawing>
            </w:r>
          </w:p>
        </w:tc>
        <w:tc>
          <w:tcPr>
            <w:tcW w:w="4931" w:type="dxa"/>
            <w:vAlign w:val="center"/>
          </w:tcPr>
          <w:p w14:paraId="387A1B47" w14:textId="77777777" w:rsidR="001162D8" w:rsidRPr="0095448E" w:rsidRDefault="001162D8" w:rsidP="00494925">
            <w:pPr>
              <w:pStyle w:val="BGKeywords"/>
            </w:pPr>
            <w:r w:rsidRPr="0095448E">
              <w:rPr>
                <w:noProof/>
                <w:lang w:val="en-GB" w:eastAsia="en-GB"/>
              </w:rPr>
              <w:drawing>
                <wp:inline distT="0" distB="0" distL="0" distR="0" wp14:anchorId="5CBBF387" wp14:editId="317A5C1C">
                  <wp:extent cx="2994258" cy="1800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4258" cy="1800000"/>
                          </a:xfrm>
                          <a:prstGeom prst="rect">
                            <a:avLst/>
                          </a:prstGeom>
                          <a:noFill/>
                        </pic:spPr>
                      </pic:pic>
                    </a:graphicData>
                  </a:graphic>
                </wp:inline>
              </w:drawing>
            </w:r>
          </w:p>
        </w:tc>
      </w:tr>
    </w:tbl>
    <w:p w14:paraId="0E272146" w14:textId="77777777" w:rsidR="001162D8" w:rsidRPr="0095448E" w:rsidRDefault="001162D8" w:rsidP="006145B5">
      <w:pPr>
        <w:pStyle w:val="VBChartTitle"/>
        <w:rPr>
          <w:lang w:val="en-GB"/>
        </w:rPr>
      </w:pPr>
      <w:bookmarkStart w:id="26" w:name="_Ref3649640"/>
      <w:bookmarkStart w:id="27" w:name="_Toc5264946"/>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6</w:t>
      </w:r>
      <w:r w:rsidR="00092D00" w:rsidRPr="0095448E">
        <w:rPr>
          <w:lang w:val="en-GB"/>
        </w:rPr>
        <w:fldChar w:fldCharType="end"/>
      </w:r>
      <w:bookmarkEnd w:id="26"/>
      <w:r w:rsidRPr="0095448E">
        <w:rPr>
          <w:lang w:val="en-GB"/>
        </w:rPr>
        <w:t>. Supply of ammonia by feedstock without (left, case 1) and with (right, case 2) a carbon price (Mt); single objective function: payback time</w:t>
      </w:r>
      <w:bookmarkEnd w:id="27"/>
    </w:p>
    <w:p w14:paraId="0E3433E7" w14:textId="77777777" w:rsidR="001162D8" w:rsidRPr="0095448E" w:rsidRDefault="001162D8" w:rsidP="001162D8">
      <w:pPr>
        <w:pStyle w:val="BGKeywords"/>
        <w:rPr>
          <w:lang w:val="en-GB"/>
        </w:rPr>
      </w:pPr>
    </w:p>
    <w:tbl>
      <w:tblPr>
        <w:tblW w:w="9972" w:type="dxa"/>
        <w:tblLook w:val="04A0" w:firstRow="1" w:lastRow="0" w:firstColumn="1" w:lastColumn="0" w:noHBand="0" w:noVBand="1"/>
      </w:tblPr>
      <w:tblGrid>
        <w:gridCol w:w="4986"/>
        <w:gridCol w:w="4986"/>
      </w:tblGrid>
      <w:tr w:rsidR="00176C0D" w:rsidRPr="0095448E" w14:paraId="1F20715B" w14:textId="77777777" w:rsidTr="00494925">
        <w:trPr>
          <w:trHeight w:val="3112"/>
        </w:trPr>
        <w:tc>
          <w:tcPr>
            <w:tcW w:w="4986" w:type="dxa"/>
            <w:vAlign w:val="center"/>
          </w:tcPr>
          <w:p w14:paraId="03B7E49C" w14:textId="77777777" w:rsidR="001162D8" w:rsidRPr="0095448E" w:rsidRDefault="001162D8" w:rsidP="00494925">
            <w:pPr>
              <w:pStyle w:val="BGKeywords"/>
            </w:pPr>
            <w:r w:rsidRPr="0095448E">
              <w:rPr>
                <w:noProof/>
                <w:lang w:val="en-GB" w:eastAsia="en-GB"/>
              </w:rPr>
              <w:lastRenderedPageBreak/>
              <w:drawing>
                <wp:inline distT="0" distB="0" distL="0" distR="0" wp14:anchorId="3E2C5E63" wp14:editId="472DC8FE">
                  <wp:extent cx="3006418" cy="1800000"/>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06418" cy="1800000"/>
                          </a:xfrm>
                          <a:prstGeom prst="rect">
                            <a:avLst/>
                          </a:prstGeom>
                          <a:noFill/>
                        </pic:spPr>
                      </pic:pic>
                    </a:graphicData>
                  </a:graphic>
                </wp:inline>
              </w:drawing>
            </w:r>
          </w:p>
        </w:tc>
        <w:tc>
          <w:tcPr>
            <w:tcW w:w="4986" w:type="dxa"/>
            <w:vAlign w:val="center"/>
          </w:tcPr>
          <w:p w14:paraId="40C9F749" w14:textId="77777777" w:rsidR="001162D8" w:rsidRPr="0095448E" w:rsidRDefault="001162D8" w:rsidP="00494925">
            <w:pPr>
              <w:pStyle w:val="BGKeywords"/>
            </w:pPr>
            <w:r w:rsidRPr="0095448E">
              <w:rPr>
                <w:noProof/>
                <w:lang w:val="en-GB" w:eastAsia="en-GB"/>
              </w:rPr>
              <w:drawing>
                <wp:inline distT="0" distB="0" distL="0" distR="0" wp14:anchorId="4284879F" wp14:editId="7153C64F">
                  <wp:extent cx="3006418" cy="18000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06418" cy="1800000"/>
                          </a:xfrm>
                          <a:prstGeom prst="rect">
                            <a:avLst/>
                          </a:prstGeom>
                          <a:noFill/>
                        </pic:spPr>
                      </pic:pic>
                    </a:graphicData>
                  </a:graphic>
                </wp:inline>
              </w:drawing>
            </w:r>
          </w:p>
        </w:tc>
      </w:tr>
    </w:tbl>
    <w:p w14:paraId="3AA96EA0" w14:textId="77777777" w:rsidR="001162D8" w:rsidRPr="0095448E" w:rsidRDefault="001162D8" w:rsidP="006145B5">
      <w:pPr>
        <w:pStyle w:val="VBChartTitle"/>
        <w:rPr>
          <w:lang w:val="en-GB"/>
        </w:rPr>
      </w:pPr>
      <w:bookmarkStart w:id="28" w:name="_Ref3649932"/>
      <w:bookmarkStart w:id="29" w:name="_Toc5264947"/>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7</w:t>
      </w:r>
      <w:r w:rsidR="00092D00" w:rsidRPr="0095448E">
        <w:rPr>
          <w:lang w:val="en-GB"/>
        </w:rPr>
        <w:fldChar w:fldCharType="end"/>
      </w:r>
      <w:bookmarkEnd w:id="28"/>
      <w:r w:rsidRPr="0095448E">
        <w:rPr>
          <w:lang w:val="en-GB"/>
        </w:rPr>
        <w:t>. Emission and capture of CO</w:t>
      </w:r>
      <w:r w:rsidRPr="0095448E">
        <w:rPr>
          <w:vertAlign w:val="subscript"/>
          <w:lang w:val="en-GB"/>
        </w:rPr>
        <w:t>2</w:t>
      </w:r>
      <w:r w:rsidRPr="0095448E">
        <w:rPr>
          <w:lang w:val="en-GB"/>
        </w:rPr>
        <w:t xml:space="preserve"> without (left, case 1) and with (right, case 2) a carbon price (Mt); single objective function: payback time</w:t>
      </w:r>
      <w:bookmarkEnd w:id="29"/>
    </w:p>
    <w:p w14:paraId="1105BD4E" w14:textId="77777777" w:rsidR="00FE5CAC" w:rsidRPr="0095448E" w:rsidRDefault="00FE5CAC" w:rsidP="00FE5CAC">
      <w:pPr>
        <w:pStyle w:val="TAMainText"/>
        <w:rPr>
          <w:lang w:val="en-GB"/>
        </w:rPr>
      </w:pPr>
    </w:p>
    <w:p w14:paraId="243C1043" w14:textId="77777777" w:rsidR="00FE5CAC" w:rsidRPr="0095448E" w:rsidRDefault="00FE5CAC" w:rsidP="00FE5CAC">
      <w:pPr>
        <w:pStyle w:val="TAMainText"/>
        <w:rPr>
          <w:lang w:val="en-GB"/>
        </w:rPr>
      </w:pPr>
      <w:r w:rsidRPr="0095448E">
        <w:rPr>
          <w:lang w:val="en-GB"/>
        </w:rPr>
        <w:t xml:space="preserve">The results show that over time </w:t>
      </w:r>
      <w:r w:rsidR="003833EE" w:rsidRPr="0095448E">
        <w:rPr>
          <w:lang w:val="en-GB"/>
        </w:rPr>
        <w:t xml:space="preserve">natural </w:t>
      </w:r>
      <w:r w:rsidRPr="0095448E">
        <w:rPr>
          <w:lang w:val="en-GB"/>
        </w:rPr>
        <w:t xml:space="preserve">gas </w:t>
      </w:r>
      <w:r w:rsidR="003833EE" w:rsidRPr="0095448E">
        <w:rPr>
          <w:lang w:val="en-GB"/>
        </w:rPr>
        <w:t>or a mix of natural gas and</w:t>
      </w:r>
      <w:r w:rsidRPr="0095448E">
        <w:rPr>
          <w:lang w:val="en-GB"/>
        </w:rPr>
        <w:t xml:space="preserve"> biomethane replace coal and HFO, </w:t>
      </w:r>
      <w:r w:rsidR="003833EE" w:rsidRPr="0095448E">
        <w:rPr>
          <w:lang w:val="en-GB"/>
        </w:rPr>
        <w:t xml:space="preserve">respectively </w:t>
      </w:r>
      <w:r w:rsidRPr="0095448E">
        <w:rPr>
          <w:lang w:val="en-GB"/>
        </w:rPr>
        <w:t>without and with a carbon price.</w:t>
      </w:r>
      <w:r w:rsidR="002A6E7E" w:rsidRPr="0095448E">
        <w:rPr>
          <w:lang w:val="en-GB"/>
        </w:rPr>
        <w:t xml:space="preserve"> </w:t>
      </w:r>
      <w:r w:rsidR="003202E0" w:rsidRPr="0095448E">
        <w:rPr>
          <w:lang w:val="en-GB"/>
        </w:rPr>
        <w:t>In absence of carbon policies</w:t>
      </w:r>
      <w:r w:rsidRPr="0095448E">
        <w:rPr>
          <w:lang w:val="en-GB"/>
        </w:rPr>
        <w:t xml:space="preserve"> (case 1), HFO and coal disappear from the market share by 2050, regardless of the agents’ objectives. </w:t>
      </w:r>
      <w:r w:rsidR="003202E0" w:rsidRPr="0095448E">
        <w:rPr>
          <w:lang w:val="en-GB"/>
        </w:rPr>
        <w:t>In presence of</w:t>
      </w:r>
      <w:r w:rsidRPr="0095448E">
        <w:rPr>
          <w:lang w:val="en-GB"/>
        </w:rPr>
        <w:t xml:space="preserve"> carbon price (case 2), in the baseline scenario emissions progressively reduce for becoming negative </w:t>
      </w:r>
      <w:r w:rsidR="003202E0" w:rsidRPr="0095448E">
        <w:rPr>
          <w:lang w:val="en-GB"/>
        </w:rPr>
        <w:t>between 2070 and 2090</w:t>
      </w:r>
      <w:r w:rsidR="002A6E7E" w:rsidRPr="0095448E">
        <w:rPr>
          <w:lang w:val="en-GB"/>
        </w:rPr>
        <w:t xml:space="preserve"> but the presence of solids and liquid fossil fuels is longer due to CCS</w:t>
      </w:r>
      <w:r w:rsidRPr="0095448E">
        <w:rPr>
          <w:lang w:val="en-GB"/>
        </w:rPr>
        <w:t>:</w:t>
      </w:r>
    </w:p>
    <w:p w14:paraId="2F489349" w14:textId="77777777" w:rsidR="00FE5CAC" w:rsidRPr="0095448E" w:rsidRDefault="00FE5CAC" w:rsidP="000C5FC0">
      <w:pPr>
        <w:pStyle w:val="TAMainText"/>
        <w:numPr>
          <w:ilvl w:val="0"/>
          <w:numId w:val="7"/>
        </w:numPr>
        <w:rPr>
          <w:lang w:val="en-GB"/>
        </w:rPr>
      </w:pPr>
      <w:r w:rsidRPr="0095448E">
        <w:rPr>
          <w:lang w:val="en-GB"/>
        </w:rPr>
        <w:t>Coal</w:t>
      </w:r>
      <w:r w:rsidR="004126A4" w:rsidRPr="0095448E">
        <w:rPr>
          <w:lang w:val="en-GB"/>
        </w:rPr>
        <w:t>-based ammonia</w:t>
      </w:r>
      <w:r w:rsidRPr="0095448E">
        <w:rPr>
          <w:lang w:val="en-GB"/>
        </w:rPr>
        <w:t xml:space="preserve"> remains in the market until 2080</w:t>
      </w:r>
      <w:r w:rsidR="004126A4" w:rsidRPr="0095448E">
        <w:rPr>
          <w:lang w:val="en-GB"/>
        </w:rPr>
        <w:t>, although</w:t>
      </w:r>
      <w:r w:rsidRPr="0095448E">
        <w:rPr>
          <w:lang w:val="en-GB"/>
        </w:rPr>
        <w:t xml:space="preserve"> </w:t>
      </w:r>
      <w:r w:rsidR="004126A4" w:rsidRPr="0095448E">
        <w:rPr>
          <w:lang w:val="en-GB"/>
        </w:rPr>
        <w:t xml:space="preserve">adopting exclusively </w:t>
      </w:r>
      <w:r w:rsidRPr="0095448E">
        <w:rPr>
          <w:lang w:val="en-GB"/>
        </w:rPr>
        <w:t>CCS</w:t>
      </w:r>
      <w:r w:rsidR="004126A4" w:rsidRPr="0095448E">
        <w:rPr>
          <w:lang w:val="en-GB"/>
        </w:rPr>
        <w:t xml:space="preserve"> after 2040</w:t>
      </w:r>
    </w:p>
    <w:p w14:paraId="0E473329" w14:textId="77777777" w:rsidR="004126A4" w:rsidRPr="0095448E" w:rsidRDefault="004126A4" w:rsidP="000C5FC0">
      <w:pPr>
        <w:pStyle w:val="TAMainText"/>
        <w:numPr>
          <w:ilvl w:val="0"/>
          <w:numId w:val="7"/>
        </w:numPr>
        <w:rPr>
          <w:lang w:val="en-GB"/>
        </w:rPr>
      </w:pPr>
      <w:r w:rsidRPr="0095448E">
        <w:rPr>
          <w:lang w:val="en-GB"/>
        </w:rPr>
        <w:t>HFO-based ammonia remains in the market until 2070, although adopting exclusively CCS after 2040</w:t>
      </w:r>
    </w:p>
    <w:p w14:paraId="5C8264FD" w14:textId="77777777" w:rsidR="00FE5CAC" w:rsidRPr="0095448E" w:rsidRDefault="00FE5CAC" w:rsidP="000C5FC0">
      <w:pPr>
        <w:pStyle w:val="TAMainText"/>
        <w:numPr>
          <w:ilvl w:val="0"/>
          <w:numId w:val="7"/>
        </w:numPr>
        <w:rPr>
          <w:lang w:val="en-GB"/>
        </w:rPr>
      </w:pPr>
      <w:r w:rsidRPr="0095448E">
        <w:rPr>
          <w:lang w:val="en-GB"/>
        </w:rPr>
        <w:t xml:space="preserve">Natural gas </w:t>
      </w:r>
      <w:r w:rsidR="004126A4" w:rsidRPr="0095448E">
        <w:rPr>
          <w:lang w:val="en-GB"/>
        </w:rPr>
        <w:t xml:space="preserve">-based ammonia with </w:t>
      </w:r>
      <w:r w:rsidRPr="0095448E">
        <w:rPr>
          <w:lang w:val="en-GB"/>
        </w:rPr>
        <w:t>CCS enters the market in 2030</w:t>
      </w:r>
      <w:r w:rsidR="004126A4" w:rsidRPr="0095448E">
        <w:rPr>
          <w:lang w:val="en-GB"/>
        </w:rPr>
        <w:t>, while the biomethane-based process with integrated with CCS i</w:t>
      </w:r>
      <w:r w:rsidRPr="0095448E">
        <w:rPr>
          <w:lang w:val="en-GB"/>
        </w:rPr>
        <w:t>n 2040</w:t>
      </w:r>
      <w:r w:rsidR="004126A4" w:rsidRPr="0095448E">
        <w:rPr>
          <w:lang w:val="en-GB"/>
        </w:rPr>
        <w:t>. These two technologies saturate the</w:t>
      </w:r>
      <w:r w:rsidRPr="0095448E">
        <w:rPr>
          <w:lang w:val="en-GB"/>
        </w:rPr>
        <w:t xml:space="preserve"> market by 2090</w:t>
      </w:r>
    </w:p>
    <w:p w14:paraId="1169277D" w14:textId="2E4337D8" w:rsidR="00FE5CAC" w:rsidRPr="0095448E" w:rsidRDefault="002A6E7E" w:rsidP="00FE5CAC">
      <w:pPr>
        <w:pStyle w:val="TAMainText"/>
        <w:rPr>
          <w:lang w:val="en-GB"/>
        </w:rPr>
      </w:pPr>
      <w:r w:rsidRPr="0095448E">
        <w:rPr>
          <w:lang w:val="en-GB"/>
        </w:rPr>
        <w:lastRenderedPageBreak/>
        <w:t>Projections of a</w:t>
      </w:r>
      <w:r w:rsidR="00FE5CAC" w:rsidRPr="0095448E">
        <w:rPr>
          <w:lang w:val="en-GB"/>
        </w:rPr>
        <w:t xml:space="preserve"> shift in the Chinese ammonia market from coal towards </w:t>
      </w:r>
      <w:r w:rsidR="0001263A" w:rsidRPr="0095448E">
        <w:rPr>
          <w:lang w:val="en-GB"/>
        </w:rPr>
        <w:t xml:space="preserve">natural </w:t>
      </w:r>
      <w:r w:rsidR="00FE5CAC" w:rsidRPr="0095448E">
        <w:rPr>
          <w:lang w:val="en-GB"/>
        </w:rPr>
        <w:t xml:space="preserve">gas (regardless of a carbon price) </w:t>
      </w:r>
      <w:r w:rsidR="00AB1DF0" w:rsidRPr="0095448E">
        <w:rPr>
          <w:lang w:val="en-GB"/>
        </w:rPr>
        <w:t>is</w:t>
      </w:r>
      <w:r w:rsidR="00FE5CAC" w:rsidRPr="0095448E">
        <w:rPr>
          <w:lang w:val="en-GB"/>
        </w:rPr>
        <w:t xml:space="preserve"> in line with what recently reported by the IEA on China being the new largest </w:t>
      </w:r>
      <w:r w:rsidR="002C301F" w:rsidRPr="0095448E">
        <w:rPr>
          <w:lang w:val="en-GB"/>
        </w:rPr>
        <w:t xml:space="preserve">natural </w:t>
      </w:r>
      <w:r w:rsidR="00FE5CAC" w:rsidRPr="0095448E">
        <w:rPr>
          <w:lang w:val="en-GB"/>
        </w:rPr>
        <w:t xml:space="preserve">gas importer in the world </w:t>
      </w:r>
      <w:r w:rsidR="00FE5CAC" w:rsidRPr="0095448E">
        <w:rPr>
          <w:lang w:val="en-GB"/>
        </w:rPr>
        <w:fldChar w:fldCharType="begin" w:fldLock="1"/>
      </w:r>
      <w:r w:rsidR="00FE5CAC" w:rsidRPr="0095448E">
        <w:rPr>
          <w:lang w:val="en-GB"/>
        </w:rPr>
        <w:instrText>ADDIN CSL_CITATION { "citationItems" : [ { "id" : "ITEM-1", "itemData" : { "URL" : "https://www.iea.org/gas2018/", "author" : [ { "dropping-particle" : "", "family" : "IEA", "given" : "", "non-dropping-particle" : "", "parse-names" : false, "suffix" : "" } ], "id" : "ITEM-1", "issued" : { "date-parts" : [ [ "2018" ] ] }, "title" : "Gas 2018", "type" : "webpage" }, "uris" : [ "http://www.mendeley.com/documents/?uuid=c111fc7a-7bce-4d7d-bfe6-a83708263166" ] } ], "mendeley" : { "formattedCitation" : "(IEA, 2018b)", "plainTextFormattedCitation" : "(IEA, 2018b)", "previouslyFormattedCitation" : "[67]" }, "properties" : { "noteIndex" : 0 }, "schema" : "https://github.com/citation-style-language/schema/raw/master/csl-citation.json" }</w:instrText>
      </w:r>
      <w:r w:rsidR="00FE5CAC" w:rsidRPr="0095448E">
        <w:rPr>
          <w:lang w:val="en-GB"/>
        </w:rPr>
        <w:fldChar w:fldCharType="separate"/>
      </w:r>
      <w:r w:rsidR="00FE5CAC" w:rsidRPr="0095448E">
        <w:rPr>
          <w:lang w:val="en-GB"/>
        </w:rPr>
        <w:t>(IEA, 2018b)</w:t>
      </w:r>
      <w:r w:rsidR="00FE5CAC" w:rsidRPr="0095448E">
        <w:rPr>
          <w:lang w:val="en-GB"/>
        </w:rPr>
        <w:fldChar w:fldCharType="end"/>
      </w:r>
      <w:r w:rsidR="00FE5CAC" w:rsidRPr="0095448E">
        <w:rPr>
          <w:lang w:val="en-GB"/>
        </w:rPr>
        <w:t xml:space="preserve">. Moreover, a number of recent studies have highlighted the commitment of the Chinese government towards more sustainable practices and towards replacing coal based production with </w:t>
      </w:r>
      <w:r w:rsidR="002C301F" w:rsidRPr="0095448E">
        <w:rPr>
          <w:lang w:val="en-GB"/>
        </w:rPr>
        <w:t xml:space="preserve">natural </w:t>
      </w:r>
      <w:r w:rsidR="00FE5CAC" w:rsidRPr="0095448E">
        <w:rPr>
          <w:lang w:val="en-GB"/>
        </w:rPr>
        <w:t xml:space="preserve">gas based production </w:t>
      </w:r>
      <w:r w:rsidR="00FE5CAC" w:rsidRPr="0095448E">
        <w:rPr>
          <w:lang w:val="en-GB"/>
        </w:rPr>
        <w:fldChar w:fldCharType="begin" w:fldLock="1"/>
      </w:r>
      <w:r w:rsidR="00FE5CAC" w:rsidRPr="0095448E">
        <w:rPr>
          <w:lang w:val="en-GB"/>
        </w:rPr>
        <w:instrText>ADDIN CSL_CITATION { "citationItems" : [ { "id" : "ITEM-1", "itemData" : { "DOI" : "https://doi.org/10.1016/j.rser.2017.01.157", "ISBN" : "1364-0321", "abstract" : "In light of China's energy revolution, reform of the natural gas industry and the acceleration of the natural gas sector development are of strategic significance to ensure China's energy security, to optimise the energy consumption structure and to address environmental pollution. In recent years, the Chinese government has introduced numerous policies and developmental plans to speed up natural gas sector reform, which have led to considerable progress. However, China's natural gas industry and reform still encounter many problems and challenges. The purpose of this study is to investigate the reform of the natural gas industry in China. First, the current situation of China's natural gas industry is outlined. Next, four aspects of natural gas industry reform are systematically reviewed: natural gas administrative system reform, industry structure reform, pricing mechanism reform, and tax and fee system reform. Third, the major problems and challenges facing further reform of the natural gas industry are analysed in depth. Finally, this study proposes policies and suggestions for China's natural gas sector in the coming future.", "author" : [ { "dropping-particle" : "", "family" : "Dong", "given" : "Xiucheng", "non-dropping-particle" : "", "parse-names" : false, "suffix" : "" }, { "dropping-particle" : "", "family" : "Pi", "given" : "Guanglin", "non-dropping-particle" : "", "parse-names" : false, "suffix" : "" }, { "dropping-particle" : "", "family" : "Ma", "given" : "Zhengwei", "non-dropping-particle" : "", "parse-names" : false, "suffix" : "" }, { "dropping-particle" : "", "family" : "Dong", "given" : "Cong", "non-dropping-particle" : "", "parse-names" : false, "suffix" : "" } ], "container-title" : "Renewable and Sustainable Energy Reviews", "id" : "ITEM-1", "issued" : { "date-parts" : [ [ "2017" ] ] }, "page" : "582-593", "title" : "The reform of the natural gas industry in the PR of China", "type" : "article-journal", "volume" : "73" }, "uris" : [ "http://www.mendeley.com/documents/?uuid=418367e4-ab66-469c-909a-7e589eebdeea" ] }, { "id" : "ITEM-2", "itemData" : { "DOI" : "https://doi.org/10.1016/j.jclepro.2017.01.109", "ISBN" : "0959-6526", "abstract" : "Natural gas is a clean energy source with many benefits and its proportion in the energy consumption structure in China has been gradually increasing over the recent years. Since the price of natural gas in China has been controlled and maintained at a relatively low level by the government, reforming the natural gas industry in China has been the matter of much attention in light of its macroeconomic effects on the overall economy. Using the Computable General Equilibrium model and the 2012 Social Accounting Matrix, the results show increases in natural gas prices lead to an increase in the consumer price index (CPI) and lead to reductions in GDP. The chemical industry sector is strongly influenced by a natural gas price increase. Furthermore, chemical fertilizer manufacturing industry and chemical products\u2019 manufacturing have very significant effects in China. Therefore the government may gradually establish and improve the management of natural gas price to avoid negative effects, and implement a differential price as the industries exhibit different levels of resistance in response to natural gas price changes.", "author" : [ { "dropping-particle" : "", "family" : "Zhang", "given" : "Wei", "non-dropping-particle" : "", "parse-names" : false, "suffix" : "" }, { "dropping-particle" : "", "family" : "Yang", "given" : "Jun", "non-dropping-particle" : "", "parse-names" : false, "suffix" : "" }, { "dropping-particle" : "", "family" : "Zhang", "given" : "Zongyi", "non-dropping-particle" : "", "parse-names" : false, "suffix" : "" }, { "dropping-particle" : "", "family" : "Shackman", "given" : "Joshua D", "non-dropping-particle" : "", "parse-names" : false, "suffix" : "" } ], "container-title" : "Journal of Cleaner Production", "id" : "ITEM-2", "issued" : { "date-parts" : [ [ "2017" ] ] }, "page" : "497-505", "title" : "Natural gas price effects in China based on the CGE model", "type" : "article-journal", "volume" : "147" }, "uris" : [ "http://www.mendeley.com/documents/?uuid=e77b7851-aa26-4d56-af37-d9b23335eb48" ] }, { "id" : "ITEM-3", "itemData" : { "DOI" : "10.1016/j.ijepes.2015.11.013", "author" : [ { "dropping-particle" : "", "family" : "Shaikh", "given" : "Faheemullah", "non-dropping-particle" : "", "parse-names" : false, "suffix" : "" }, { "dropping-particle" : "", "family" : "Ji", "given" : "Qiang", "non-dropping-particle" : "", "parse-names" : false, "suffix" : "" } ], "container-title" : "International Journal of Electrical Power &amp; Energy Systems", "id" : "ITEM-3", "issued" : { "date-parts" : [ [ "2016" ] ] }, "page" : "25-32", "title" : "Forecasting natural gas demand in China: Logistic modelling analysis", "type" : "article-journal", "volume" : "77" }, "uris" : [ "http://www.mendeley.com/documents/?uuid=398638bf-b066-476b-b8a8-91326e595f16" ] }, { "id" : "ITEM-4", "itemData" : { "DOI" : "10.1016/j.enpol.2018.03.0", "abstract" : "Under the Paris Agreement, China committed to peak its carbon dioxide emissions on or before 2030. Substituting natural gas for coal may facilitate it meeting this commitment. However, three major challenges may obstruct progress towards desired climate benefits from natural gas. 1) A fundamental price dilemma dis-incentivizing a coal-to-gas end-use energy transition: low city-gate gas prices discourage an increase in gas supplies while high end-use gas prices impede an increase in gas demand. 2) Insufficient and constrained access to natural gas infrastructure hinders connections between gas supplies and end-users, and obstructs a balance in seasonal supply and demand. 3) Methane leakage from the natural gas industry compromises the direct greenhouse gas emission reductions from combustion. To address these challenges, government and industry must work together to facilitate natural gas market reform, increase investment in natural gas infrastructure, and control methane emissions.", "author" : [ { "dropping-particle" : "", "family" : "Qin", "given" : "Yue", "non-dropping-particle" : "", "parse-names" : false, "suffix" : "" }, { "dropping-particle" : "", "family" : "Tong", "given" : "Fan", "non-dropping-particle" : "", "parse-names" : false, "suffix" : "" }, { "dropping-particle" : "", "family" : "Yang", "given" : "Guang", "non-dropping-particle" : "", "parse-names" : false, "suffix" : "" }, { "dropping-particle" : "", "family" : "Mauzerall", "given" : "Denise L", "non-dropping-particle" : "", "parse-names" : false, "suffix" : "" } ], "container-title" : "Energy Policy", "id" : "ITEM-4", "issue" : "C", "issued" : { "date-parts" : [ [ "2018" ] ] }, "page" : "457-462", "title" : "Challenges of using natural gas as a carbon mitigation option in China", "type" : "article-journal", "volume" : "117" }, "uris" : [ "http://www.mendeley.com/documents/?uuid=9f89ba6e-9478-473f-8ba1-7cc7bd5a18a1" ] } ], "mendeley" : { "formattedCitation" : "(X. Dong et al., 2017; Qin et al., 2018; Shaikh and Ji, 2016; Zhang et al., 2017)", "plainTextFormattedCitation" : "(X. Dong et al., 2017; Qin et al., 2018; Shaikh and Ji, 2016; Zhang et al., 2017)", "previouslyFormattedCitation" : "[66,68\u201370]" }, "properties" : { "noteIndex" : 0 }, "schema" : "https://github.com/citation-style-language/schema/raw/master/csl-citation.json" }</w:instrText>
      </w:r>
      <w:r w:rsidR="00FE5CAC" w:rsidRPr="0095448E">
        <w:rPr>
          <w:lang w:val="en-GB"/>
        </w:rPr>
        <w:fldChar w:fldCharType="separate"/>
      </w:r>
      <w:r w:rsidR="00FE5CAC" w:rsidRPr="0095448E">
        <w:rPr>
          <w:lang w:val="en-GB"/>
        </w:rPr>
        <w:t>(Qin et al., 2018; Shaikh and Ji, 2016)</w:t>
      </w:r>
      <w:r w:rsidR="00FE5CAC" w:rsidRPr="0095448E">
        <w:rPr>
          <w:lang w:val="en-GB"/>
        </w:rPr>
        <w:fldChar w:fldCharType="end"/>
      </w:r>
      <w:r w:rsidR="00FE5CAC" w:rsidRPr="0095448E">
        <w:rPr>
          <w:lang w:val="en-GB"/>
        </w:rPr>
        <w:t>.</w:t>
      </w:r>
    </w:p>
    <w:p w14:paraId="0A1C9744" w14:textId="77777777" w:rsidR="007A7597" w:rsidRPr="0095448E" w:rsidRDefault="007A7597" w:rsidP="001162D8">
      <w:pPr>
        <w:pStyle w:val="BGKeywords"/>
        <w:rPr>
          <w:i/>
          <w:iCs/>
          <w:lang w:val="en-GB"/>
        </w:rPr>
      </w:pPr>
    </w:p>
    <w:p w14:paraId="05E3CFAB" w14:textId="77777777" w:rsidR="009321B7" w:rsidRPr="0095448E" w:rsidRDefault="00651CBF" w:rsidP="00846350">
      <w:pPr>
        <w:pStyle w:val="Heading2"/>
        <w:rPr>
          <w:rFonts w:eastAsiaTheme="majorEastAsia"/>
          <w:color w:val="auto"/>
        </w:rPr>
      </w:pPr>
      <w:r w:rsidRPr="0095448E">
        <w:rPr>
          <w:rFonts w:eastAsiaTheme="majorEastAsia"/>
          <w:color w:val="auto"/>
        </w:rPr>
        <w:t>Baseline</w:t>
      </w:r>
      <w:r w:rsidR="00383120" w:rsidRPr="0095448E">
        <w:rPr>
          <w:rFonts w:eastAsiaTheme="majorEastAsia"/>
          <w:color w:val="auto"/>
        </w:rPr>
        <w:t xml:space="preserve"> tuning</w:t>
      </w:r>
      <w:r w:rsidRPr="0095448E">
        <w:rPr>
          <w:rFonts w:eastAsiaTheme="majorEastAsia"/>
          <w:color w:val="auto"/>
        </w:rPr>
        <w:t>: multi-objective agents</w:t>
      </w:r>
    </w:p>
    <w:p w14:paraId="0FA27CEF" w14:textId="77777777" w:rsidR="005A171B" w:rsidRPr="0095448E" w:rsidRDefault="0001263A" w:rsidP="0094784D">
      <w:pPr>
        <w:pStyle w:val="TAMainText"/>
        <w:rPr>
          <w:lang w:val="en-GB"/>
        </w:rPr>
      </w:pPr>
      <w:r w:rsidRPr="0095448E">
        <w:rPr>
          <w:lang w:val="en-GB"/>
        </w:rPr>
        <w:fldChar w:fldCharType="begin"/>
      </w:r>
      <w:r w:rsidRPr="0095448E">
        <w:rPr>
          <w:lang w:val="en-GB"/>
        </w:rPr>
        <w:instrText xml:space="preserve"> REF _Ref536451577 \h </w:instrText>
      </w:r>
      <w:r w:rsidRPr="0095448E">
        <w:rPr>
          <w:lang w:val="en-GB"/>
        </w:rPr>
      </w:r>
      <w:r w:rsidRPr="0095448E">
        <w:rPr>
          <w:lang w:val="en-GB"/>
        </w:rPr>
        <w:fldChar w:fldCharType="separate"/>
      </w:r>
      <w:r w:rsidRPr="0095448E">
        <w:rPr>
          <w:lang w:val="en-GB"/>
        </w:rPr>
        <w:t xml:space="preserve">Figure </w:t>
      </w:r>
      <w:r w:rsidRPr="0095448E">
        <w:rPr>
          <w:noProof/>
          <w:lang w:val="en-GB"/>
        </w:rPr>
        <w:t>8</w:t>
      </w:r>
      <w:r w:rsidRPr="0095448E">
        <w:rPr>
          <w:lang w:val="en-GB"/>
        </w:rPr>
        <w:fldChar w:fldCharType="end"/>
      </w:r>
      <w:r w:rsidR="00034246" w:rsidRPr="0095448E">
        <w:rPr>
          <w:lang w:val="en-GB"/>
        </w:rPr>
        <w:t xml:space="preserve"> reports </w:t>
      </w:r>
      <w:r w:rsidR="005A171B" w:rsidRPr="0095448E">
        <w:rPr>
          <w:lang w:val="en-GB"/>
        </w:rPr>
        <w:t xml:space="preserve">the </w:t>
      </w:r>
      <w:r w:rsidR="00034246" w:rsidRPr="0095448E">
        <w:rPr>
          <w:lang w:val="en-GB"/>
        </w:rPr>
        <w:t xml:space="preserve">supply of ammonia (left) and </w:t>
      </w:r>
      <w:r w:rsidR="005A171B" w:rsidRPr="0095448E">
        <w:rPr>
          <w:lang w:val="en-GB"/>
        </w:rPr>
        <w:t xml:space="preserve">the </w:t>
      </w:r>
      <w:r w:rsidR="00034246" w:rsidRPr="0095448E">
        <w:rPr>
          <w:lang w:val="en-GB"/>
        </w:rPr>
        <w:t>CO</w:t>
      </w:r>
      <w:r w:rsidR="00034246" w:rsidRPr="0095448E">
        <w:rPr>
          <w:vertAlign w:val="subscript"/>
          <w:lang w:val="en-GB"/>
        </w:rPr>
        <w:t>2</w:t>
      </w:r>
      <w:r w:rsidR="00034246" w:rsidRPr="0095448E">
        <w:rPr>
          <w:lang w:val="en-GB"/>
        </w:rPr>
        <w:t xml:space="preserve"> emission (right) under a carbon price (case 2) when multiple investment objectives are taken into account</w:t>
      </w:r>
      <w:r w:rsidR="005A171B" w:rsidRPr="0095448E">
        <w:rPr>
          <w:lang w:val="en-GB"/>
        </w:rPr>
        <w:t>.</w:t>
      </w:r>
    </w:p>
    <w:p w14:paraId="679F9DEF" w14:textId="77777777" w:rsidR="00034246" w:rsidRPr="0095448E" w:rsidRDefault="00034246" w:rsidP="0094784D">
      <w:pPr>
        <w:pStyle w:val="TAMainText"/>
        <w:rPr>
          <w:lang w:val="en-GB"/>
        </w:rPr>
      </w:pPr>
      <w:r w:rsidRPr="0095448E">
        <w:rPr>
          <w:lang w:val="en-GB"/>
        </w:rPr>
        <w:t>In the baseline tuning scenario</w:t>
      </w:r>
      <w:r w:rsidR="0001263A" w:rsidRPr="0095448E">
        <w:rPr>
          <w:lang w:val="en-GB"/>
        </w:rPr>
        <w:t xml:space="preserve"> for the agents’ definition</w:t>
      </w:r>
      <w:r w:rsidR="005A171B" w:rsidRPr="0095448E">
        <w:rPr>
          <w:lang w:val="en-GB"/>
        </w:rPr>
        <w:t xml:space="preserve"> (</w:t>
      </w:r>
      <w:r w:rsidR="0001263A" w:rsidRPr="0095448E">
        <w:rPr>
          <w:lang w:val="en-GB"/>
        </w:rPr>
        <w:t>whose parameters are reported in</w:t>
      </w:r>
      <w:r w:rsidR="005A171B" w:rsidRPr="0095448E">
        <w:rPr>
          <w:lang w:val="en-GB"/>
        </w:rPr>
        <w:t xml:space="preserve"> </w:t>
      </w:r>
      <w:r w:rsidR="005A171B" w:rsidRPr="0095448E">
        <w:rPr>
          <w:lang w:val="en-GB"/>
        </w:rPr>
        <w:fldChar w:fldCharType="begin"/>
      </w:r>
      <w:r w:rsidR="005A171B" w:rsidRPr="0095448E">
        <w:rPr>
          <w:lang w:val="en-GB"/>
        </w:rPr>
        <w:instrText xml:space="preserve"> REF _Ref535497587 \h  \* MERGEFORMAT </w:instrText>
      </w:r>
      <w:r w:rsidR="005A171B" w:rsidRPr="0095448E">
        <w:rPr>
          <w:lang w:val="en-GB"/>
        </w:rPr>
      </w:r>
      <w:r w:rsidR="005A171B" w:rsidRPr="0095448E">
        <w:rPr>
          <w:lang w:val="en-GB"/>
        </w:rPr>
        <w:fldChar w:fldCharType="separate"/>
      </w:r>
      <w:r w:rsidR="005A171B" w:rsidRPr="0095448E">
        <w:rPr>
          <w:lang w:val="en-GB"/>
        </w:rPr>
        <w:t>Table 5</w:t>
      </w:r>
      <w:r w:rsidR="005A171B" w:rsidRPr="0095448E">
        <w:rPr>
          <w:lang w:val="en-GB"/>
        </w:rPr>
        <w:fldChar w:fldCharType="end"/>
      </w:r>
      <w:r w:rsidR="005A171B" w:rsidRPr="0095448E">
        <w:rPr>
          <w:lang w:val="en-GB"/>
        </w:rPr>
        <w:t>)</w:t>
      </w:r>
      <w:r w:rsidRPr="0095448E">
        <w:rPr>
          <w:lang w:val="en-GB"/>
        </w:rPr>
        <w:t xml:space="preserve">, </w:t>
      </w:r>
      <w:r w:rsidR="0001263A" w:rsidRPr="0095448E">
        <w:rPr>
          <w:lang w:val="en-GB"/>
        </w:rPr>
        <w:t xml:space="preserve">natural </w:t>
      </w:r>
      <w:r w:rsidRPr="0095448E">
        <w:rPr>
          <w:lang w:val="en-GB"/>
        </w:rPr>
        <w:t>gas-based production with CCS enters</w:t>
      </w:r>
      <w:r w:rsidR="005A171B" w:rsidRPr="0095448E">
        <w:rPr>
          <w:lang w:val="en-GB"/>
        </w:rPr>
        <w:t xml:space="preserve"> the market in 2030</w:t>
      </w:r>
      <w:r w:rsidR="0001263A" w:rsidRPr="0095448E">
        <w:rPr>
          <w:lang w:val="en-GB"/>
        </w:rPr>
        <w:t>; b</w:t>
      </w:r>
      <w:r w:rsidRPr="0095448E">
        <w:rPr>
          <w:lang w:val="en-GB"/>
        </w:rPr>
        <w:t xml:space="preserve">iomethane-based production with CCS enters the market </w:t>
      </w:r>
      <w:r w:rsidR="005A171B" w:rsidRPr="0095448E">
        <w:rPr>
          <w:lang w:val="en-GB"/>
        </w:rPr>
        <w:t>in</w:t>
      </w:r>
      <w:r w:rsidRPr="0095448E">
        <w:rPr>
          <w:lang w:val="en-GB"/>
        </w:rPr>
        <w:t xml:space="preserve"> 2040 </w:t>
      </w:r>
      <w:r w:rsidR="005A171B" w:rsidRPr="0095448E">
        <w:rPr>
          <w:lang w:val="en-GB"/>
        </w:rPr>
        <w:t>reaching</w:t>
      </w:r>
      <w:r w:rsidRPr="0095448E">
        <w:rPr>
          <w:lang w:val="en-GB"/>
        </w:rPr>
        <w:t xml:space="preserve"> 51% of the market by 2100. </w:t>
      </w:r>
      <w:r w:rsidR="005A171B" w:rsidRPr="0095448E">
        <w:rPr>
          <w:lang w:val="en-GB"/>
        </w:rPr>
        <w:t>Consequently,</w:t>
      </w:r>
      <w:r w:rsidRPr="0095448E">
        <w:rPr>
          <w:lang w:val="en-GB"/>
        </w:rPr>
        <w:t xml:space="preserve"> CO</w:t>
      </w:r>
      <w:r w:rsidRPr="0095448E">
        <w:rPr>
          <w:vertAlign w:val="subscript"/>
          <w:lang w:val="en-GB"/>
        </w:rPr>
        <w:t>2</w:t>
      </w:r>
      <w:r w:rsidR="005A171B" w:rsidRPr="0095448E">
        <w:rPr>
          <w:lang w:val="en-GB"/>
        </w:rPr>
        <w:t xml:space="preserve"> </w:t>
      </w:r>
      <w:r w:rsidR="00763B00" w:rsidRPr="0095448E">
        <w:rPr>
          <w:lang w:val="en-GB"/>
        </w:rPr>
        <w:t>is</w:t>
      </w:r>
      <w:r w:rsidRPr="0095448E">
        <w:rPr>
          <w:lang w:val="en-GB"/>
        </w:rPr>
        <w:t xml:space="preserve"> captured </w:t>
      </w:r>
      <w:r w:rsidR="005A171B" w:rsidRPr="0095448E">
        <w:rPr>
          <w:lang w:val="en-GB"/>
        </w:rPr>
        <w:t>from 2030,</w:t>
      </w:r>
      <w:r w:rsidRPr="0095448E">
        <w:rPr>
          <w:lang w:val="en-GB"/>
        </w:rPr>
        <w:t xml:space="preserve"> </w:t>
      </w:r>
      <w:r w:rsidR="005A171B" w:rsidRPr="0095448E">
        <w:rPr>
          <w:lang w:val="en-GB"/>
        </w:rPr>
        <w:t xml:space="preserve">resulting in </w:t>
      </w:r>
      <w:r w:rsidRPr="0095448E">
        <w:rPr>
          <w:lang w:val="en-GB"/>
        </w:rPr>
        <w:t xml:space="preserve">negative </w:t>
      </w:r>
      <w:r w:rsidR="005A171B" w:rsidRPr="0095448E">
        <w:rPr>
          <w:lang w:val="en-GB"/>
        </w:rPr>
        <w:t xml:space="preserve">emissions from </w:t>
      </w:r>
      <w:r w:rsidRPr="0095448E">
        <w:rPr>
          <w:lang w:val="en-GB"/>
        </w:rPr>
        <w:t>2080.</w:t>
      </w:r>
      <w:r w:rsidR="005A171B" w:rsidRPr="0095448E">
        <w:rPr>
          <w:lang w:val="en-GB"/>
        </w:rPr>
        <w:t xml:space="preserve"> The energy consumption for case 1 and 2</w:t>
      </w:r>
      <w:r w:rsidRPr="0095448E">
        <w:rPr>
          <w:lang w:val="en-GB"/>
        </w:rPr>
        <w:t xml:space="preserve"> is reported in </w:t>
      </w:r>
      <w:r w:rsidR="0001263A" w:rsidRPr="0095448E">
        <w:rPr>
          <w:lang w:val="en-GB"/>
        </w:rPr>
        <w:fldChar w:fldCharType="begin"/>
      </w:r>
      <w:r w:rsidR="0001263A" w:rsidRPr="0095448E">
        <w:rPr>
          <w:lang w:val="en-GB"/>
        </w:rPr>
        <w:instrText xml:space="preserve"> REF _Ref3650396 \h </w:instrText>
      </w:r>
      <w:r w:rsidR="0001263A" w:rsidRPr="0095448E">
        <w:rPr>
          <w:lang w:val="en-GB"/>
        </w:rPr>
      </w:r>
      <w:r w:rsidR="0001263A" w:rsidRPr="0095448E">
        <w:rPr>
          <w:lang w:val="en-GB"/>
        </w:rPr>
        <w:fldChar w:fldCharType="separate"/>
      </w:r>
      <w:r w:rsidR="0001263A" w:rsidRPr="0095448E">
        <w:rPr>
          <w:lang w:val="en-GB"/>
        </w:rPr>
        <w:t xml:space="preserve">Figure </w:t>
      </w:r>
      <w:r w:rsidR="0001263A" w:rsidRPr="0095448E">
        <w:rPr>
          <w:noProof/>
          <w:lang w:val="en-GB"/>
        </w:rPr>
        <w:t>9</w:t>
      </w:r>
      <w:r w:rsidR="0001263A" w:rsidRPr="0095448E">
        <w:rPr>
          <w:lang w:val="en-GB"/>
        </w:rPr>
        <w:fldChar w:fldCharType="end"/>
      </w:r>
      <w:r w:rsidRPr="0095448E">
        <w:rPr>
          <w:lang w:val="en-GB"/>
        </w:rPr>
        <w:t xml:space="preserve">, which shows </w:t>
      </w:r>
      <w:r w:rsidR="005A171B" w:rsidRPr="0095448E">
        <w:rPr>
          <w:lang w:val="en-GB"/>
        </w:rPr>
        <w:t>that</w:t>
      </w:r>
      <w:r w:rsidRPr="0095448E">
        <w:rPr>
          <w:lang w:val="en-GB"/>
        </w:rPr>
        <w:t xml:space="preserve"> the shift towards </w:t>
      </w:r>
      <w:r w:rsidR="005A171B" w:rsidRPr="0095448E">
        <w:rPr>
          <w:lang w:val="en-GB"/>
        </w:rPr>
        <w:t>natural gas</w:t>
      </w:r>
      <w:r w:rsidRPr="0095448E">
        <w:rPr>
          <w:lang w:val="en-GB"/>
        </w:rPr>
        <w:t xml:space="preserve"> and biomethane</w:t>
      </w:r>
      <w:r w:rsidR="005A171B" w:rsidRPr="0095448E">
        <w:rPr>
          <w:lang w:val="en-GB"/>
        </w:rPr>
        <w:t xml:space="preserve"> introduce more </w:t>
      </w:r>
      <w:r w:rsidRPr="0095448E">
        <w:rPr>
          <w:lang w:val="en-GB"/>
        </w:rPr>
        <w:t xml:space="preserve">efficient options </w:t>
      </w:r>
      <w:r w:rsidR="005A171B" w:rsidRPr="0095448E">
        <w:rPr>
          <w:lang w:val="en-GB"/>
        </w:rPr>
        <w:t xml:space="preserve">for ammonia generation </w:t>
      </w:r>
      <w:r w:rsidRPr="0095448E">
        <w:rPr>
          <w:lang w:val="en-GB"/>
        </w:rPr>
        <w:t xml:space="preserve">compared to coal </w:t>
      </w:r>
      <w:r w:rsidR="005A171B" w:rsidRPr="0095448E">
        <w:rPr>
          <w:lang w:val="en-GB"/>
        </w:rPr>
        <w:t>and HFO</w:t>
      </w:r>
      <w:r w:rsidRPr="0095448E">
        <w:rPr>
          <w:lang w:val="en-GB"/>
        </w:rPr>
        <w:t>.</w:t>
      </w:r>
    </w:p>
    <w:p w14:paraId="717AD41B" w14:textId="77777777" w:rsidR="001162D8" w:rsidRPr="0095448E" w:rsidRDefault="001162D8" w:rsidP="001162D8">
      <w:pPr>
        <w:pStyle w:val="BGKeywords"/>
        <w:rPr>
          <w:lang w:val="en-GB"/>
        </w:rPr>
      </w:pPr>
    </w:p>
    <w:tbl>
      <w:tblPr>
        <w:tblW w:w="9972" w:type="dxa"/>
        <w:tblLook w:val="04A0" w:firstRow="1" w:lastRow="0" w:firstColumn="1" w:lastColumn="0" w:noHBand="0" w:noVBand="1"/>
      </w:tblPr>
      <w:tblGrid>
        <w:gridCol w:w="4986"/>
        <w:gridCol w:w="4986"/>
      </w:tblGrid>
      <w:tr w:rsidR="00176C0D" w:rsidRPr="0095448E" w14:paraId="0B241598" w14:textId="77777777" w:rsidTr="00494925">
        <w:trPr>
          <w:trHeight w:val="3112"/>
        </w:trPr>
        <w:tc>
          <w:tcPr>
            <w:tcW w:w="4986" w:type="dxa"/>
            <w:vAlign w:val="center"/>
          </w:tcPr>
          <w:p w14:paraId="1027FA6F" w14:textId="77777777" w:rsidR="001162D8" w:rsidRPr="0095448E" w:rsidRDefault="001162D8" w:rsidP="00494925">
            <w:pPr>
              <w:pStyle w:val="BGKeywords"/>
            </w:pPr>
            <w:r w:rsidRPr="0095448E">
              <w:rPr>
                <w:noProof/>
                <w:lang w:val="en-GB" w:eastAsia="en-GB"/>
              </w:rPr>
              <w:lastRenderedPageBreak/>
              <w:drawing>
                <wp:inline distT="0" distB="0" distL="0" distR="0" wp14:anchorId="35EBC5F4" wp14:editId="3115E1DB">
                  <wp:extent cx="2994258" cy="1800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94258" cy="1800000"/>
                          </a:xfrm>
                          <a:prstGeom prst="rect">
                            <a:avLst/>
                          </a:prstGeom>
                          <a:noFill/>
                        </pic:spPr>
                      </pic:pic>
                    </a:graphicData>
                  </a:graphic>
                </wp:inline>
              </w:drawing>
            </w:r>
          </w:p>
        </w:tc>
        <w:tc>
          <w:tcPr>
            <w:tcW w:w="4986" w:type="dxa"/>
            <w:vAlign w:val="center"/>
          </w:tcPr>
          <w:p w14:paraId="68BF3A15" w14:textId="77777777" w:rsidR="001162D8" w:rsidRPr="0095448E" w:rsidRDefault="001162D8" w:rsidP="00494925">
            <w:pPr>
              <w:pStyle w:val="BGKeywords"/>
            </w:pPr>
            <w:r w:rsidRPr="0095448E">
              <w:rPr>
                <w:noProof/>
                <w:lang w:val="en-GB" w:eastAsia="en-GB"/>
              </w:rPr>
              <w:drawing>
                <wp:inline distT="0" distB="0" distL="0" distR="0" wp14:anchorId="2F865B96" wp14:editId="507458D7">
                  <wp:extent cx="3006418" cy="1800000"/>
                  <wp:effectExtent l="0" t="0" r="381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06418" cy="1800000"/>
                          </a:xfrm>
                          <a:prstGeom prst="rect">
                            <a:avLst/>
                          </a:prstGeom>
                          <a:noFill/>
                        </pic:spPr>
                      </pic:pic>
                    </a:graphicData>
                  </a:graphic>
                </wp:inline>
              </w:drawing>
            </w:r>
          </w:p>
        </w:tc>
      </w:tr>
    </w:tbl>
    <w:p w14:paraId="025D1328" w14:textId="77777777" w:rsidR="001162D8" w:rsidRPr="0095448E" w:rsidRDefault="001162D8" w:rsidP="006145B5">
      <w:pPr>
        <w:pStyle w:val="VBChartTitle"/>
        <w:rPr>
          <w:lang w:val="en-GB"/>
        </w:rPr>
      </w:pPr>
      <w:bookmarkStart w:id="30" w:name="_Ref536451577"/>
      <w:bookmarkStart w:id="31" w:name="_Toc5264948"/>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8</w:t>
      </w:r>
      <w:r w:rsidR="00092D00" w:rsidRPr="0095448E">
        <w:rPr>
          <w:lang w:val="en-GB"/>
        </w:rPr>
        <w:fldChar w:fldCharType="end"/>
      </w:r>
      <w:bookmarkEnd w:id="30"/>
      <w:r w:rsidRPr="0095448E">
        <w:rPr>
          <w:lang w:val="en-GB"/>
        </w:rPr>
        <w:t>. Supply of ammonia by feedstock (left) and emissions and capture of CO</w:t>
      </w:r>
      <w:r w:rsidRPr="0095448E">
        <w:rPr>
          <w:vertAlign w:val="subscript"/>
          <w:lang w:val="en-GB"/>
        </w:rPr>
        <w:t>2</w:t>
      </w:r>
      <w:r w:rsidRPr="0095448E">
        <w:rPr>
          <w:lang w:val="en-GB"/>
        </w:rPr>
        <w:t xml:space="preserve"> (right) with a carbon price (Mt); multiple objective functions – case 2, baseline</w:t>
      </w:r>
      <w:bookmarkEnd w:id="31"/>
      <w:r w:rsidR="00383120" w:rsidRPr="0095448E">
        <w:rPr>
          <w:lang w:val="en-GB"/>
        </w:rPr>
        <w:t xml:space="preserve"> tuning</w:t>
      </w:r>
    </w:p>
    <w:p w14:paraId="47B49C14" w14:textId="77777777" w:rsidR="001162D8" w:rsidRPr="0095448E" w:rsidRDefault="001162D8" w:rsidP="001162D8">
      <w:pPr>
        <w:pStyle w:val="BGKeywords"/>
        <w:rPr>
          <w:lang w:val="en-GB"/>
        </w:rPr>
      </w:pPr>
    </w:p>
    <w:tbl>
      <w:tblPr>
        <w:tblW w:w="9972" w:type="dxa"/>
        <w:tblLook w:val="04A0" w:firstRow="1" w:lastRow="0" w:firstColumn="1" w:lastColumn="0" w:noHBand="0" w:noVBand="1"/>
      </w:tblPr>
      <w:tblGrid>
        <w:gridCol w:w="4986"/>
        <w:gridCol w:w="4986"/>
      </w:tblGrid>
      <w:tr w:rsidR="00176C0D" w:rsidRPr="0095448E" w14:paraId="138F1954" w14:textId="77777777" w:rsidTr="00494925">
        <w:trPr>
          <w:trHeight w:val="3112"/>
        </w:trPr>
        <w:tc>
          <w:tcPr>
            <w:tcW w:w="4986" w:type="dxa"/>
            <w:vAlign w:val="center"/>
          </w:tcPr>
          <w:p w14:paraId="76D48E18" w14:textId="77777777" w:rsidR="001162D8" w:rsidRPr="0095448E" w:rsidRDefault="001162D8" w:rsidP="00494925">
            <w:pPr>
              <w:pStyle w:val="BGKeywords"/>
            </w:pPr>
            <w:r w:rsidRPr="0095448E">
              <w:rPr>
                <w:noProof/>
                <w:lang w:val="en-GB" w:eastAsia="en-GB"/>
              </w:rPr>
              <w:drawing>
                <wp:inline distT="0" distB="0" distL="0" distR="0" wp14:anchorId="1A8117A9" wp14:editId="657562EB">
                  <wp:extent cx="2991724" cy="180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c>
          <w:tcPr>
            <w:tcW w:w="4986" w:type="dxa"/>
            <w:vAlign w:val="center"/>
          </w:tcPr>
          <w:p w14:paraId="535C35F7" w14:textId="77777777" w:rsidR="001162D8" w:rsidRPr="0095448E" w:rsidRDefault="001162D8" w:rsidP="00494925">
            <w:pPr>
              <w:pStyle w:val="BGKeywords"/>
            </w:pPr>
            <w:r w:rsidRPr="0095448E">
              <w:rPr>
                <w:noProof/>
                <w:lang w:val="en-GB" w:eastAsia="en-GB"/>
              </w:rPr>
              <w:drawing>
                <wp:inline distT="0" distB="0" distL="0" distR="0" wp14:anchorId="6360B7DF" wp14:editId="107AD270">
                  <wp:extent cx="2991724" cy="180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91724" cy="1800000"/>
                          </a:xfrm>
                          <a:prstGeom prst="rect">
                            <a:avLst/>
                          </a:prstGeom>
                          <a:noFill/>
                        </pic:spPr>
                      </pic:pic>
                    </a:graphicData>
                  </a:graphic>
                </wp:inline>
              </w:drawing>
            </w:r>
          </w:p>
        </w:tc>
      </w:tr>
    </w:tbl>
    <w:p w14:paraId="73CB61C3" w14:textId="77777777" w:rsidR="001162D8" w:rsidRPr="0095448E" w:rsidRDefault="001162D8" w:rsidP="006145B5">
      <w:pPr>
        <w:pStyle w:val="VBChartTitle"/>
        <w:rPr>
          <w:lang w:val="en-GB"/>
        </w:rPr>
      </w:pPr>
      <w:bookmarkStart w:id="32" w:name="_Ref3650396"/>
      <w:bookmarkStart w:id="33" w:name="_Toc5264949"/>
      <w:r w:rsidRPr="0095448E">
        <w:rPr>
          <w:lang w:val="en-GB"/>
        </w:rPr>
        <w:t xml:space="preserve">Figure </w:t>
      </w:r>
      <w:r w:rsidR="00092D00" w:rsidRPr="0095448E">
        <w:rPr>
          <w:lang w:val="en-GB"/>
        </w:rPr>
        <w:fldChar w:fldCharType="begin"/>
      </w:r>
      <w:r w:rsidR="00092D00" w:rsidRPr="0095448E">
        <w:rPr>
          <w:lang w:val="en-GB"/>
        </w:rPr>
        <w:instrText xml:space="preserve"> SEQ Figure \* ARABIC </w:instrText>
      </w:r>
      <w:r w:rsidR="00092D00" w:rsidRPr="0095448E">
        <w:rPr>
          <w:lang w:val="en-GB"/>
        </w:rPr>
        <w:fldChar w:fldCharType="separate"/>
      </w:r>
      <w:r w:rsidR="00092D00" w:rsidRPr="0095448E">
        <w:rPr>
          <w:noProof/>
          <w:lang w:val="en-GB"/>
        </w:rPr>
        <w:t>9</w:t>
      </w:r>
      <w:r w:rsidR="00092D00" w:rsidRPr="0095448E">
        <w:rPr>
          <w:lang w:val="en-GB"/>
        </w:rPr>
        <w:fldChar w:fldCharType="end"/>
      </w:r>
      <w:bookmarkEnd w:id="32"/>
      <w:r w:rsidRPr="0095448E">
        <w:rPr>
          <w:lang w:val="en-GB"/>
        </w:rPr>
        <w:t>. Consumption of fuels and electricity without (left, case 1) and with (right, case 2) a carbon price (Mt); multiple objective functions – baseline</w:t>
      </w:r>
      <w:bookmarkEnd w:id="33"/>
      <w:r w:rsidR="00383120" w:rsidRPr="0095448E">
        <w:rPr>
          <w:lang w:val="en-GB"/>
        </w:rPr>
        <w:t xml:space="preserve"> tuning</w:t>
      </w:r>
    </w:p>
    <w:p w14:paraId="5C726329" w14:textId="77777777" w:rsidR="005A171B" w:rsidRPr="0095448E" w:rsidRDefault="005A171B" w:rsidP="005A171B">
      <w:pPr>
        <w:pStyle w:val="BATitle"/>
        <w:spacing w:before="0" w:after="0"/>
        <w:jc w:val="left"/>
        <w:rPr>
          <w:rFonts w:ascii="Times" w:hAnsi="Times"/>
          <w:b/>
          <w:bCs/>
          <w:sz w:val="24"/>
          <w:lang w:val="en-GB"/>
        </w:rPr>
      </w:pPr>
    </w:p>
    <w:p w14:paraId="2B52F656" w14:textId="77777777" w:rsidR="005A171B" w:rsidRPr="0095448E" w:rsidRDefault="00203CC2" w:rsidP="00846350">
      <w:pPr>
        <w:pStyle w:val="Heading2"/>
        <w:rPr>
          <w:rFonts w:eastAsiaTheme="majorEastAsia"/>
          <w:color w:val="auto"/>
        </w:rPr>
      </w:pPr>
      <w:r w:rsidRPr="0095448E">
        <w:rPr>
          <w:rFonts w:eastAsiaTheme="majorEastAsia"/>
          <w:color w:val="auto"/>
        </w:rPr>
        <w:t>Multi-agent and multi-objective</w:t>
      </w:r>
      <w:r w:rsidR="005A171B" w:rsidRPr="0095448E">
        <w:rPr>
          <w:rFonts w:eastAsiaTheme="majorEastAsia"/>
          <w:color w:val="auto"/>
        </w:rPr>
        <w:t xml:space="preserve"> scenarios</w:t>
      </w:r>
      <w:r w:rsidRPr="0095448E">
        <w:rPr>
          <w:rFonts w:eastAsiaTheme="majorEastAsia"/>
          <w:color w:val="auto"/>
        </w:rPr>
        <w:t>: sensitivity analysis</w:t>
      </w:r>
    </w:p>
    <w:p w14:paraId="28C0FDF0" w14:textId="77777777" w:rsidR="00AB33CF" w:rsidRPr="0095448E" w:rsidRDefault="00034246" w:rsidP="007D4B17">
      <w:pPr>
        <w:pStyle w:val="TAMainText"/>
        <w:ind w:firstLine="204"/>
        <w:rPr>
          <w:lang w:val="en-GB"/>
        </w:rPr>
      </w:pPr>
      <w:r w:rsidRPr="0095448E">
        <w:rPr>
          <w:lang w:val="en-GB"/>
        </w:rPr>
        <w:t xml:space="preserve">The </w:t>
      </w:r>
      <w:r w:rsidR="00203CC2" w:rsidRPr="0095448E">
        <w:rPr>
          <w:lang w:val="en-GB"/>
        </w:rPr>
        <w:t xml:space="preserve">sensitivity analysis on the multi-agent and multi-objective scenario with a carbon price, </w:t>
      </w:r>
      <w:r w:rsidRPr="0095448E">
        <w:rPr>
          <w:lang w:val="en-GB"/>
        </w:rPr>
        <w:t>characterised by six age</w:t>
      </w:r>
      <w:r w:rsidR="00203CC2" w:rsidRPr="0095448E">
        <w:rPr>
          <w:lang w:val="en-GB"/>
        </w:rPr>
        <w:t xml:space="preserve">nts, three objective functions, </w:t>
      </w:r>
      <w:r w:rsidRPr="0095448E">
        <w:rPr>
          <w:lang w:val="en-GB"/>
        </w:rPr>
        <w:t xml:space="preserve">have been </w:t>
      </w:r>
      <w:r w:rsidR="00882A7C" w:rsidRPr="0095448E">
        <w:rPr>
          <w:lang w:val="en-GB"/>
        </w:rPr>
        <w:t xml:space="preserve">reported </w:t>
      </w:r>
      <w:r w:rsidR="00203CC2" w:rsidRPr="0095448E">
        <w:rPr>
          <w:lang w:val="en-GB"/>
        </w:rPr>
        <w:t xml:space="preserve">is in section </w:t>
      </w:r>
      <w:hyperlink r:id="rId27" w:anchor="Section4_FiguresSI" w:history="1">
        <w:r w:rsidR="00203CC2" w:rsidRPr="0095448E">
          <w:rPr>
            <w:rStyle w:val="Hyperlink"/>
            <w:color w:val="auto"/>
            <w:lang w:val="en-GB"/>
          </w:rPr>
          <w:t>4</w:t>
        </w:r>
      </w:hyperlink>
      <w:r w:rsidR="00203CC2" w:rsidRPr="0095448E">
        <w:rPr>
          <w:lang w:val="en-GB"/>
        </w:rPr>
        <w:t xml:space="preserve"> of the supplementary material</w:t>
      </w:r>
      <w:r w:rsidRPr="0095448E">
        <w:rPr>
          <w:lang w:val="en-GB"/>
        </w:rPr>
        <w:t>.</w:t>
      </w:r>
      <w:r w:rsidR="001B6CE2" w:rsidRPr="0095448E">
        <w:rPr>
          <w:lang w:val="en-GB"/>
        </w:rPr>
        <w:t xml:space="preserve"> The sensitivity analysis includes the preferences in the investors’ strategy </w:t>
      </w:r>
      <w:r w:rsidR="001B6CE2" w:rsidRPr="0095448E">
        <w:rPr>
          <w:lang w:val="en-GB"/>
        </w:rPr>
        <w:lastRenderedPageBreak/>
        <w:t>(number and weights of the objective function), the maximum technology growth rate, and the fuel prices.</w:t>
      </w:r>
    </w:p>
    <w:p w14:paraId="0EDA989D" w14:textId="77777777" w:rsidR="00046DE0" w:rsidRPr="0095448E" w:rsidRDefault="0001263A" w:rsidP="007D4B17">
      <w:pPr>
        <w:pStyle w:val="TAMainText"/>
        <w:ind w:firstLine="204"/>
        <w:rPr>
          <w:lang w:val="en-GB"/>
        </w:rPr>
      </w:pPr>
      <w:r w:rsidRPr="0095448E">
        <w:rPr>
          <w:lang w:val="en-GB"/>
        </w:rPr>
        <w:t xml:space="preserve">Figure </w:t>
      </w:r>
      <w:hyperlink r:id="rId28" w:anchor="Objectives_SI" w:history="1">
        <w:r w:rsidRPr="0095448E">
          <w:rPr>
            <w:rStyle w:val="Hyperlink"/>
            <w:color w:val="auto"/>
            <w:lang w:val="en-GB"/>
          </w:rPr>
          <w:t>f</w:t>
        </w:r>
      </w:hyperlink>
      <w:r w:rsidRPr="0095448E">
        <w:rPr>
          <w:lang w:val="en-GB"/>
        </w:rPr>
        <w:t xml:space="preserve"> and Figure </w:t>
      </w:r>
      <w:hyperlink r:id="rId29" w:anchor="MultiObjectives_SI" w:history="1">
        <w:r w:rsidRPr="0095448E">
          <w:rPr>
            <w:rStyle w:val="Hyperlink"/>
            <w:color w:val="auto"/>
            <w:lang w:val="en-GB"/>
          </w:rPr>
          <w:t>g</w:t>
        </w:r>
      </w:hyperlink>
      <w:r w:rsidRPr="0095448E">
        <w:rPr>
          <w:lang w:val="en-GB"/>
        </w:rPr>
        <w:t xml:space="preserve"> in the supplementary material report the trend in emissions released to the atmosphere and the captured ones when a sensitivity on the agents’ objectives is carried out. The sensitivity analysis shows that</w:t>
      </w:r>
      <w:r w:rsidR="00467948" w:rsidRPr="0095448E">
        <w:rPr>
          <w:lang w:val="en-GB"/>
        </w:rPr>
        <w:t>:</w:t>
      </w:r>
    </w:p>
    <w:p w14:paraId="731D69E4" w14:textId="77777777" w:rsidR="00046DE0" w:rsidRPr="0095448E" w:rsidRDefault="00046DE0" w:rsidP="000C5FC0">
      <w:pPr>
        <w:pStyle w:val="TAMainText"/>
        <w:numPr>
          <w:ilvl w:val="0"/>
          <w:numId w:val="8"/>
        </w:numPr>
        <w:rPr>
          <w:lang w:val="en-GB"/>
        </w:rPr>
      </w:pPr>
      <w:r w:rsidRPr="0095448E">
        <w:rPr>
          <w:lang w:val="en-GB"/>
        </w:rPr>
        <w:t>L</w:t>
      </w:r>
      <w:r w:rsidR="00034246" w:rsidRPr="0095448E">
        <w:rPr>
          <w:lang w:val="en-GB"/>
        </w:rPr>
        <w:t xml:space="preserve">imiting the investment decision metric to the project capex only would reduce emissions over time, </w:t>
      </w:r>
      <w:r w:rsidRPr="0095448E">
        <w:rPr>
          <w:lang w:val="en-GB"/>
        </w:rPr>
        <w:t xml:space="preserve">as </w:t>
      </w:r>
      <w:r w:rsidR="00E76B81" w:rsidRPr="0095448E">
        <w:rPr>
          <w:lang w:val="en-GB"/>
        </w:rPr>
        <w:t>t</w:t>
      </w:r>
      <w:r w:rsidR="00034246" w:rsidRPr="0095448E">
        <w:rPr>
          <w:lang w:val="en-GB"/>
        </w:rPr>
        <w:t>he market would move from HFO and coal</w:t>
      </w:r>
      <w:r w:rsidR="00E76B81" w:rsidRPr="0095448E">
        <w:rPr>
          <w:lang w:val="en-GB"/>
        </w:rPr>
        <w:t>-</w:t>
      </w:r>
      <w:r w:rsidR="00034246" w:rsidRPr="0095448E">
        <w:rPr>
          <w:lang w:val="en-GB"/>
        </w:rPr>
        <w:t xml:space="preserve">based production to </w:t>
      </w:r>
      <w:r w:rsidR="0001263A" w:rsidRPr="0095448E">
        <w:rPr>
          <w:lang w:val="en-GB"/>
        </w:rPr>
        <w:t xml:space="preserve">natural </w:t>
      </w:r>
      <w:r w:rsidR="00034246" w:rsidRPr="0095448E">
        <w:rPr>
          <w:lang w:val="en-GB"/>
        </w:rPr>
        <w:t>gas</w:t>
      </w:r>
      <w:r w:rsidR="009D3A16" w:rsidRPr="0095448E">
        <w:rPr>
          <w:lang w:val="en-GB"/>
        </w:rPr>
        <w:t>.</w:t>
      </w:r>
      <w:r w:rsidR="00034246" w:rsidRPr="0095448E">
        <w:rPr>
          <w:lang w:val="en-GB"/>
        </w:rPr>
        <w:t xml:space="preserve"> </w:t>
      </w:r>
      <w:r w:rsidR="009D3A16" w:rsidRPr="0095448E">
        <w:rPr>
          <w:lang w:val="en-GB"/>
        </w:rPr>
        <w:t>H</w:t>
      </w:r>
      <w:r w:rsidR="00034246" w:rsidRPr="0095448E">
        <w:rPr>
          <w:lang w:val="en-GB"/>
        </w:rPr>
        <w:t>owever</w:t>
      </w:r>
      <w:r w:rsidRPr="0095448E">
        <w:rPr>
          <w:lang w:val="en-GB"/>
        </w:rPr>
        <w:t>,</w:t>
      </w:r>
      <w:r w:rsidR="00034246" w:rsidRPr="0095448E">
        <w:rPr>
          <w:lang w:val="en-GB"/>
        </w:rPr>
        <w:t xml:space="preserve"> capex driven investment</w:t>
      </w:r>
      <w:r w:rsidRPr="0095448E">
        <w:rPr>
          <w:lang w:val="en-GB"/>
        </w:rPr>
        <w:t>s</w:t>
      </w:r>
      <w:r w:rsidR="00034246" w:rsidRPr="0095448E">
        <w:rPr>
          <w:lang w:val="en-GB"/>
        </w:rPr>
        <w:t xml:space="preserve"> would never </w:t>
      </w:r>
      <w:r w:rsidR="0001263A" w:rsidRPr="0095448E">
        <w:rPr>
          <w:lang w:val="en-GB"/>
        </w:rPr>
        <w:t xml:space="preserve">meet stringent carbon emission reduction and be able to </w:t>
      </w:r>
      <w:r w:rsidR="00034246" w:rsidRPr="0095448E">
        <w:rPr>
          <w:lang w:val="en-GB"/>
        </w:rPr>
        <w:t xml:space="preserve">generate negative emissions, </w:t>
      </w:r>
      <w:r w:rsidR="009D3A16" w:rsidRPr="0095448E">
        <w:rPr>
          <w:lang w:val="en-GB"/>
        </w:rPr>
        <w:t xml:space="preserve">in the absence of other policy tools promoting a switch to </w:t>
      </w:r>
      <w:r w:rsidR="00034246" w:rsidRPr="0095448E">
        <w:rPr>
          <w:lang w:val="en-GB"/>
        </w:rPr>
        <w:t>biomet</w:t>
      </w:r>
      <w:r w:rsidRPr="0095448E">
        <w:rPr>
          <w:lang w:val="en-GB"/>
        </w:rPr>
        <w:t>hane based production with CCS.</w:t>
      </w:r>
      <w:r w:rsidR="00882A7C" w:rsidRPr="0095448E">
        <w:rPr>
          <w:lang w:val="en-GB"/>
        </w:rPr>
        <w:t xml:space="preserve"> </w:t>
      </w:r>
      <w:r w:rsidRPr="0095448E">
        <w:rPr>
          <w:lang w:val="en-GB"/>
        </w:rPr>
        <w:t>I</w:t>
      </w:r>
      <w:r w:rsidR="00034246" w:rsidRPr="0095448E">
        <w:rPr>
          <w:lang w:val="en-GB"/>
        </w:rPr>
        <w:t xml:space="preserve">f either NPV or </w:t>
      </w:r>
      <w:r w:rsidRPr="0095448E">
        <w:rPr>
          <w:lang w:val="en-GB"/>
        </w:rPr>
        <w:t>PB</w:t>
      </w:r>
      <w:r w:rsidR="00034246" w:rsidRPr="0095448E">
        <w:rPr>
          <w:lang w:val="en-GB"/>
        </w:rPr>
        <w:t xml:space="preserve"> time </w:t>
      </w:r>
      <w:r w:rsidR="00FE5CAC" w:rsidRPr="0095448E">
        <w:rPr>
          <w:lang w:val="en-GB"/>
        </w:rPr>
        <w:t>applies</w:t>
      </w:r>
      <w:r w:rsidR="00034246" w:rsidRPr="0095448E">
        <w:rPr>
          <w:lang w:val="en-GB"/>
        </w:rPr>
        <w:t xml:space="preserve"> as investment metric, the investment</w:t>
      </w:r>
      <w:r w:rsidR="0001263A" w:rsidRPr="0095448E">
        <w:rPr>
          <w:lang w:val="en-GB"/>
        </w:rPr>
        <w:t xml:space="preserve">s shift towards natural </w:t>
      </w:r>
      <w:r w:rsidR="00D367B3" w:rsidRPr="0095448E">
        <w:rPr>
          <w:lang w:val="en-GB"/>
        </w:rPr>
        <w:t xml:space="preserve">and biomethane </w:t>
      </w:r>
      <w:r w:rsidR="0001263A" w:rsidRPr="0095448E">
        <w:rPr>
          <w:lang w:val="en-GB"/>
        </w:rPr>
        <w:t>integrated with</w:t>
      </w:r>
      <w:r w:rsidR="00D367B3" w:rsidRPr="0095448E">
        <w:rPr>
          <w:lang w:val="en-GB"/>
        </w:rPr>
        <w:t xml:space="preserve"> CCS.</w:t>
      </w:r>
      <w:r w:rsidR="007D4B17" w:rsidRPr="0095448E">
        <w:rPr>
          <w:lang w:val="en-GB"/>
        </w:rPr>
        <w:t xml:space="preserve"> The use of NPV as a single metric would make emissions become negative earlier than PB (2070 compared to 2090).</w:t>
      </w:r>
    </w:p>
    <w:p w14:paraId="4A744C22" w14:textId="77777777" w:rsidR="00034246" w:rsidRPr="0095448E" w:rsidRDefault="00046DE0" w:rsidP="000C5FC0">
      <w:pPr>
        <w:pStyle w:val="TAMainText"/>
        <w:numPr>
          <w:ilvl w:val="0"/>
          <w:numId w:val="8"/>
        </w:numPr>
        <w:rPr>
          <w:lang w:val="en-GB"/>
        </w:rPr>
      </w:pPr>
      <w:r w:rsidRPr="0095448E">
        <w:rPr>
          <w:lang w:val="en-GB"/>
        </w:rPr>
        <w:t>T</w:t>
      </w:r>
      <w:r w:rsidR="00034246" w:rsidRPr="0095448E">
        <w:rPr>
          <w:lang w:val="en-GB"/>
        </w:rPr>
        <w:t xml:space="preserve">he baseline </w:t>
      </w:r>
      <w:r w:rsidR="00383120" w:rsidRPr="0095448E">
        <w:rPr>
          <w:lang w:val="en-GB"/>
        </w:rPr>
        <w:t xml:space="preserve">tuning </w:t>
      </w:r>
      <w:r w:rsidR="00034246" w:rsidRPr="0095448E">
        <w:rPr>
          <w:lang w:val="en-GB"/>
        </w:rPr>
        <w:t>scenario shows the lowest level of negative environmental emissions in 2100 (-3.7 Mt compared to -3.8 Mt for NPV only and -4 Mt for payback time only)</w:t>
      </w:r>
      <w:r w:rsidR="007D4B17" w:rsidRPr="0095448E">
        <w:rPr>
          <w:lang w:val="en-GB"/>
        </w:rPr>
        <w:t xml:space="preserve"> after becoming negative in 2080</w:t>
      </w:r>
      <w:r w:rsidR="00034246" w:rsidRPr="0095448E">
        <w:rPr>
          <w:lang w:val="en-GB"/>
        </w:rPr>
        <w:t xml:space="preserve">. When multiple objectives </w:t>
      </w:r>
      <w:r w:rsidR="00FC2781" w:rsidRPr="0095448E">
        <w:rPr>
          <w:lang w:val="en-GB"/>
        </w:rPr>
        <w:t xml:space="preserve">drive, </w:t>
      </w:r>
      <w:r w:rsidR="00651CBF" w:rsidRPr="0095448E">
        <w:rPr>
          <w:lang w:val="en-GB"/>
        </w:rPr>
        <w:t xml:space="preserve">due to the divergent contribution of NPV and Capex, </w:t>
      </w:r>
      <w:r w:rsidR="00FC2781" w:rsidRPr="0095448E">
        <w:rPr>
          <w:lang w:val="en-GB"/>
        </w:rPr>
        <w:t>the transitional phase</w:t>
      </w:r>
      <w:r w:rsidR="008C7A54" w:rsidRPr="0095448E">
        <w:rPr>
          <w:lang w:val="en-GB"/>
        </w:rPr>
        <w:t xml:space="preserve"> before the emissions become negative,</w:t>
      </w:r>
      <w:r w:rsidR="00FC2781" w:rsidRPr="0095448E">
        <w:rPr>
          <w:lang w:val="en-GB"/>
        </w:rPr>
        <w:t xml:space="preserve"> can </w:t>
      </w:r>
      <w:r w:rsidR="008C7A54" w:rsidRPr="0095448E">
        <w:rPr>
          <w:lang w:val="en-GB"/>
        </w:rPr>
        <w:t xml:space="preserve">start as early as in 2070 if </w:t>
      </w:r>
      <w:r w:rsidR="00882A7C" w:rsidRPr="0095448E">
        <w:rPr>
          <w:lang w:val="en-GB"/>
        </w:rPr>
        <w:t>both SMEs and LEs are evenly using PB and NPV metrics</w:t>
      </w:r>
      <w:r w:rsidR="008C7A54" w:rsidRPr="0095448E">
        <w:rPr>
          <w:lang w:val="en-GB"/>
        </w:rPr>
        <w:t xml:space="preserve"> (according to the agents’ behaviour reported by </w:t>
      </w:r>
      <w:r w:rsidR="00882A7C" w:rsidRPr="0095448E">
        <w:rPr>
          <w:lang w:val="en-GB"/>
        </w:rPr>
        <w:t>(</w:t>
      </w:r>
      <w:r w:rsidR="008C7A54" w:rsidRPr="0095448E">
        <w:fldChar w:fldCharType="begin" w:fldLock="1"/>
      </w:r>
      <w:r w:rsidR="008C7A54" w:rsidRPr="0095448E">
        <w:instrText>ADDIN CSL_CITATION { "citationItems" : [ { "id" : "ITEM-1", "itemData" : { "URL" : "http://www.jgbm.org/page/18 Kamal M. Haddad .pdf", "author" : [ { "dropping-particle" : "", "family" : "Chan", "given" : "Hung", "non-dropping-particle" : "", "parse-names" : false, "suffix" : "" }, { "dropping-particle" : "", "family" : "Haddad", "given" : "Kamal M", "non-dropping-particle" : "", "parse-names" : false, "suffix" : "" }, { "dropping-particle" : "", "family" : "Sterk", "given" : "William", "non-dropping-particle" : "", "parse-names" : false, "suffix" : "" } ], "container-title" : "Journal of Global Business Management", "id" : "ITEM-1", "issue" : "08/ 03/ ", "issued" : { "date-parts" : [ [ "2010" ] ] }, "title" : "Capital Budgeting Practices of Chinese Firms", "type" : "webpage", "volume" : "2019" }, "uris" : [ "http://www.mendeley.com/documents/?uuid=fbf246d4-b321-4198-b465-e0fdbf9018bb" ] } ], "mendeley" : { "formattedCitation" : "(Chan et al., 2010)", "plainTextFormattedCitation" : "(Chan et al., 2010)", "previouslyFormattedCitation" : "[40]" }, "properties" : { "noteIndex" : 0 }, "schema" : "https://github.com/citation-style-language/schema/raw/master/csl-citation.json" }</w:instrText>
      </w:r>
      <w:r w:rsidR="008C7A54" w:rsidRPr="0095448E">
        <w:fldChar w:fldCharType="separate"/>
      </w:r>
      <w:r w:rsidR="008C7A54" w:rsidRPr="0095448E">
        <w:rPr>
          <w:noProof/>
        </w:rPr>
        <w:t>Chan et al., 2010</w:t>
      </w:r>
      <w:r w:rsidR="008C7A54" w:rsidRPr="0095448E">
        <w:fldChar w:fldCharType="end"/>
      </w:r>
      <w:r w:rsidR="00882A7C" w:rsidRPr="0095448E">
        <w:t>)</w:t>
      </w:r>
      <w:r w:rsidR="008C7A54" w:rsidRPr="0095448E">
        <w:t xml:space="preserve">, as shown in </w:t>
      </w:r>
      <w:r w:rsidR="008C7A54" w:rsidRPr="0095448E">
        <w:fldChar w:fldCharType="begin"/>
      </w:r>
      <w:r w:rsidR="008C7A54" w:rsidRPr="0095448E">
        <w:instrText xml:space="preserve"> REF _Ref535497587 \h </w:instrText>
      </w:r>
      <w:r w:rsidR="008C7A54" w:rsidRPr="0095448E">
        <w:fldChar w:fldCharType="separate"/>
      </w:r>
      <w:r w:rsidR="008C7A54" w:rsidRPr="0095448E">
        <w:rPr>
          <w:lang w:val="en-GB"/>
        </w:rPr>
        <w:t>Table 5</w:t>
      </w:r>
      <w:r w:rsidR="008C7A54" w:rsidRPr="0095448E">
        <w:fldChar w:fldCharType="end"/>
      </w:r>
      <w:r w:rsidR="008C7A54" w:rsidRPr="0095448E">
        <w:t xml:space="preserve">), or be postponed until 2090 </w:t>
      </w:r>
      <w:r w:rsidR="00882A7C" w:rsidRPr="0095448E">
        <w:t xml:space="preserve">if all SMEs use exclusively PB as a metric </w:t>
      </w:r>
      <w:r w:rsidR="008C7A54" w:rsidRPr="0095448E">
        <w:t xml:space="preserve">(according to the agents’ behavior reported by </w:t>
      </w:r>
      <w:r w:rsidR="00882A7C" w:rsidRPr="0095448E">
        <w:t>(</w:t>
      </w:r>
      <w:r w:rsidR="00882A7C" w:rsidRPr="0095448E">
        <w:rPr>
          <w:lang w:val="en-GB"/>
        </w:rPr>
        <w:t>Danielson and Scott, 2006</w:t>
      </w:r>
      <w:r w:rsidR="00882A7C" w:rsidRPr="0095448E">
        <w:t xml:space="preserve">), as shown in </w:t>
      </w:r>
      <w:r w:rsidR="00882A7C" w:rsidRPr="0095448E">
        <w:fldChar w:fldCharType="begin"/>
      </w:r>
      <w:r w:rsidR="00882A7C" w:rsidRPr="0095448E">
        <w:instrText xml:space="preserve"> REF _Ref535497587 \h </w:instrText>
      </w:r>
      <w:r w:rsidR="00882A7C" w:rsidRPr="0095448E">
        <w:fldChar w:fldCharType="separate"/>
      </w:r>
      <w:r w:rsidR="00882A7C" w:rsidRPr="0095448E">
        <w:rPr>
          <w:lang w:val="en-GB"/>
        </w:rPr>
        <w:t>Table 5</w:t>
      </w:r>
      <w:r w:rsidR="00882A7C" w:rsidRPr="0095448E">
        <w:fldChar w:fldCharType="end"/>
      </w:r>
      <w:r w:rsidR="00882A7C" w:rsidRPr="0095448E">
        <w:t>)</w:t>
      </w:r>
      <w:r w:rsidR="00D367B3" w:rsidRPr="0095448E">
        <w:rPr>
          <w:lang w:val="en-GB"/>
        </w:rPr>
        <w:t>.</w:t>
      </w:r>
    </w:p>
    <w:p w14:paraId="6A999B60" w14:textId="77777777" w:rsidR="00034246" w:rsidRPr="0095448E" w:rsidRDefault="0001263A" w:rsidP="007D4B17">
      <w:pPr>
        <w:pStyle w:val="TAMainText"/>
        <w:ind w:firstLine="204"/>
        <w:rPr>
          <w:lang w:val="en-GB"/>
        </w:rPr>
      </w:pPr>
      <w:r w:rsidRPr="0095448E">
        <w:rPr>
          <w:lang w:val="en-GB"/>
        </w:rPr>
        <w:lastRenderedPageBreak/>
        <w:t xml:space="preserve">Figure </w:t>
      </w:r>
      <w:hyperlink r:id="rId30" w:anchor="Growth_SI" w:history="1">
        <w:r w:rsidRPr="0095448E">
          <w:rPr>
            <w:rStyle w:val="Hyperlink"/>
            <w:color w:val="auto"/>
            <w:lang w:val="en-GB"/>
          </w:rPr>
          <w:t>h</w:t>
        </w:r>
      </w:hyperlink>
      <w:r w:rsidRPr="0095448E">
        <w:rPr>
          <w:lang w:val="en-GB"/>
        </w:rPr>
        <w:t xml:space="preserve"> in the supplementary material represent the trend in emissions when the growth rates vary. </w:t>
      </w:r>
      <w:r w:rsidR="00034246" w:rsidRPr="0095448E">
        <w:rPr>
          <w:lang w:val="en-GB"/>
        </w:rPr>
        <w:t>The sensitivity analysis shows that a large growth rate moves the market towards CCS and biomethane more r</w:t>
      </w:r>
      <w:r w:rsidR="00FC2781" w:rsidRPr="0095448E">
        <w:rPr>
          <w:lang w:val="en-GB"/>
        </w:rPr>
        <w:t>apidly than a lower growth rate.</w:t>
      </w:r>
      <w:r w:rsidR="00034246" w:rsidRPr="0095448E">
        <w:rPr>
          <w:lang w:val="en-GB"/>
        </w:rPr>
        <w:t xml:space="preserve"> A growth rate lower than the market average (2% per year or below) would maintain </w:t>
      </w:r>
      <w:r w:rsidR="00D367B3" w:rsidRPr="0095448E">
        <w:rPr>
          <w:lang w:val="en-GB"/>
        </w:rPr>
        <w:t xml:space="preserve">CCS-retrofitted </w:t>
      </w:r>
      <w:r w:rsidR="00034246" w:rsidRPr="0095448E">
        <w:rPr>
          <w:lang w:val="en-GB"/>
        </w:rPr>
        <w:t xml:space="preserve">coal </w:t>
      </w:r>
      <w:r w:rsidR="00D367B3" w:rsidRPr="0095448E">
        <w:rPr>
          <w:lang w:val="en-GB"/>
        </w:rPr>
        <w:t>and HFO</w:t>
      </w:r>
      <w:r w:rsidR="00034246" w:rsidRPr="0095448E">
        <w:rPr>
          <w:lang w:val="en-GB"/>
        </w:rPr>
        <w:t xml:space="preserve"> in the market shar</w:t>
      </w:r>
      <w:r w:rsidR="00046DE0" w:rsidRPr="0095448E">
        <w:rPr>
          <w:lang w:val="en-GB"/>
        </w:rPr>
        <w:t>e until the end of the century.</w:t>
      </w:r>
      <w:r w:rsidR="00467948" w:rsidRPr="0095448E">
        <w:rPr>
          <w:lang w:val="en-GB"/>
        </w:rPr>
        <w:t xml:space="preserve"> </w:t>
      </w:r>
      <w:r w:rsidR="00882A7C" w:rsidRPr="0095448E">
        <w:rPr>
          <w:lang w:val="en-GB"/>
        </w:rPr>
        <w:t>Growth rates higher than the market average reduce emissions and increase the share of CCS in the market at a faster pace: negative emissions can occur as early as in 2060.</w:t>
      </w:r>
    </w:p>
    <w:p w14:paraId="21EAA8B7" w14:textId="77777777" w:rsidR="0041070D" w:rsidRPr="0095448E" w:rsidRDefault="0001263A" w:rsidP="007D4B17">
      <w:pPr>
        <w:pStyle w:val="BGKeywords"/>
        <w:ind w:firstLine="204"/>
        <w:rPr>
          <w:lang w:val="en-GB"/>
        </w:rPr>
      </w:pPr>
      <w:r w:rsidRPr="0095448E">
        <w:rPr>
          <w:lang w:val="en-GB"/>
        </w:rPr>
        <w:t xml:space="preserve">Figure </w:t>
      </w:r>
      <w:hyperlink r:id="rId31" w:anchor="Biomethane_SI" w:history="1">
        <w:r w:rsidRPr="0095448E">
          <w:rPr>
            <w:rStyle w:val="Hyperlink"/>
            <w:color w:val="auto"/>
            <w:lang w:val="en-GB"/>
          </w:rPr>
          <w:t>i</w:t>
        </w:r>
      </w:hyperlink>
      <w:r w:rsidRPr="0095448E">
        <w:rPr>
          <w:lang w:val="en-GB"/>
        </w:rPr>
        <w:t xml:space="preserve"> and Figure </w:t>
      </w:r>
      <w:hyperlink r:id="rId32" w:anchor="Electricity_SI" w:history="1">
        <w:r w:rsidRPr="0095448E">
          <w:rPr>
            <w:rStyle w:val="Hyperlink"/>
            <w:color w:val="auto"/>
            <w:lang w:val="en-GB"/>
          </w:rPr>
          <w:t>j</w:t>
        </w:r>
      </w:hyperlink>
      <w:r w:rsidRPr="0095448E">
        <w:rPr>
          <w:lang w:val="en-GB"/>
        </w:rPr>
        <w:t xml:space="preserve"> in the supplementary material report the trend in CO</w:t>
      </w:r>
      <w:r w:rsidRPr="0095448E">
        <w:rPr>
          <w:vertAlign w:val="subscript"/>
          <w:lang w:val="en-GB"/>
        </w:rPr>
        <w:t>2</w:t>
      </w:r>
      <w:r w:rsidRPr="0095448E">
        <w:rPr>
          <w:lang w:val="en-GB"/>
        </w:rPr>
        <w:t xml:space="preserve"> released to the atmosphere and the captured ones when fuel prices vary. </w:t>
      </w:r>
      <w:r w:rsidR="007D4B17" w:rsidRPr="0095448E">
        <w:rPr>
          <w:lang w:val="en-GB"/>
        </w:rPr>
        <w:t>The variations on the prices do not cause change in the year at which negative emissions are realised (2080 in all the cases), although these general trends can be observed</w:t>
      </w:r>
      <w:r w:rsidR="00D367B3" w:rsidRPr="0095448E">
        <w:rPr>
          <w:lang w:val="en-GB"/>
        </w:rPr>
        <w:t>:</w:t>
      </w:r>
      <w:r w:rsidR="00034246" w:rsidRPr="0095448E">
        <w:rPr>
          <w:lang w:val="en-GB"/>
        </w:rPr>
        <w:t xml:space="preserve"> </w:t>
      </w:r>
    </w:p>
    <w:p w14:paraId="42572B1A" w14:textId="77777777" w:rsidR="0041070D" w:rsidRPr="0095448E" w:rsidRDefault="00034246" w:rsidP="000C5FC0">
      <w:pPr>
        <w:pStyle w:val="TAMainText"/>
        <w:numPr>
          <w:ilvl w:val="0"/>
          <w:numId w:val="9"/>
        </w:numPr>
        <w:rPr>
          <w:lang w:val="en-GB"/>
        </w:rPr>
      </w:pPr>
      <w:r w:rsidRPr="0095448E">
        <w:rPr>
          <w:lang w:val="en-GB"/>
        </w:rPr>
        <w:t>with a lower electricity price, coal</w:t>
      </w:r>
      <w:r w:rsidR="00E76B81" w:rsidRPr="0095448E">
        <w:rPr>
          <w:lang w:val="en-GB"/>
        </w:rPr>
        <w:t>-</w:t>
      </w:r>
      <w:r w:rsidRPr="0095448E">
        <w:rPr>
          <w:lang w:val="en-GB"/>
        </w:rPr>
        <w:t>based production plus CCS enters the market earlier (2040 instead of 2050) while HFO based production remains in the market share until 2060 (instead of 2040</w:t>
      </w:r>
      <w:r w:rsidR="0041070D" w:rsidRPr="0095448E">
        <w:rPr>
          <w:lang w:val="en-GB"/>
        </w:rPr>
        <w:t>)</w:t>
      </w:r>
    </w:p>
    <w:p w14:paraId="251D6E3F" w14:textId="77777777" w:rsidR="0041070D" w:rsidRPr="0095448E" w:rsidRDefault="00034246" w:rsidP="000C5FC0">
      <w:pPr>
        <w:pStyle w:val="TAMainText"/>
        <w:numPr>
          <w:ilvl w:val="0"/>
          <w:numId w:val="9"/>
        </w:numPr>
        <w:rPr>
          <w:lang w:val="en-GB"/>
        </w:rPr>
      </w:pPr>
      <w:r w:rsidRPr="0095448E">
        <w:rPr>
          <w:lang w:val="en-GB"/>
        </w:rPr>
        <w:t>a high electricity price reduces</w:t>
      </w:r>
      <w:r w:rsidR="00651CBF" w:rsidRPr="0095448E">
        <w:rPr>
          <w:lang w:val="en-GB"/>
        </w:rPr>
        <w:t xml:space="preserve"> the rate of</w:t>
      </w:r>
      <w:r w:rsidRPr="0095448E">
        <w:rPr>
          <w:lang w:val="en-GB"/>
        </w:rPr>
        <w:t xml:space="preserve"> capture</w:t>
      </w:r>
      <w:r w:rsidR="00651CBF" w:rsidRPr="0095448E">
        <w:rPr>
          <w:lang w:val="en-GB"/>
        </w:rPr>
        <w:t>d CO</w:t>
      </w:r>
      <w:r w:rsidR="00651CBF" w:rsidRPr="0095448E">
        <w:rPr>
          <w:vertAlign w:val="subscript"/>
          <w:lang w:val="en-GB"/>
        </w:rPr>
        <w:t>2</w:t>
      </w:r>
      <w:r w:rsidRPr="0095448E">
        <w:rPr>
          <w:lang w:val="en-GB"/>
        </w:rPr>
        <w:t xml:space="preserve"> over time (between 2050 and 2080) as it makes HFO</w:t>
      </w:r>
      <w:r w:rsidR="00651CBF" w:rsidRPr="0095448E">
        <w:rPr>
          <w:lang w:val="en-GB"/>
        </w:rPr>
        <w:t>- and the</w:t>
      </w:r>
      <w:r w:rsidRPr="0095448E">
        <w:rPr>
          <w:lang w:val="en-GB"/>
        </w:rPr>
        <w:t xml:space="preserve"> </w:t>
      </w:r>
      <w:r w:rsidR="00651CBF" w:rsidRPr="0095448E">
        <w:rPr>
          <w:lang w:val="en-GB"/>
        </w:rPr>
        <w:t xml:space="preserve">natural </w:t>
      </w:r>
      <w:r w:rsidRPr="0095448E">
        <w:rPr>
          <w:lang w:val="en-GB"/>
        </w:rPr>
        <w:t>gas</w:t>
      </w:r>
      <w:r w:rsidR="00E76B81" w:rsidRPr="0095448E">
        <w:rPr>
          <w:lang w:val="en-GB"/>
        </w:rPr>
        <w:t>-</w:t>
      </w:r>
      <w:r w:rsidRPr="0095448E">
        <w:rPr>
          <w:lang w:val="en-GB"/>
        </w:rPr>
        <w:t>based technolog</w:t>
      </w:r>
      <w:r w:rsidR="00651CBF" w:rsidRPr="0095448E">
        <w:rPr>
          <w:lang w:val="en-GB"/>
        </w:rPr>
        <w:t>ies</w:t>
      </w:r>
      <w:r w:rsidRPr="0095448E">
        <w:rPr>
          <w:lang w:val="en-GB"/>
        </w:rPr>
        <w:t xml:space="preserve"> plus CCS </w:t>
      </w:r>
      <w:r w:rsidR="00651CBF" w:rsidRPr="0095448E">
        <w:rPr>
          <w:lang w:val="en-GB"/>
        </w:rPr>
        <w:t xml:space="preserve">respectively less and </w:t>
      </w:r>
      <w:r w:rsidRPr="0095448E">
        <w:rPr>
          <w:lang w:val="en-GB"/>
        </w:rPr>
        <w:t xml:space="preserve">more competitive than </w:t>
      </w:r>
      <w:r w:rsidR="0041070D" w:rsidRPr="0095448E">
        <w:rPr>
          <w:lang w:val="en-GB"/>
        </w:rPr>
        <w:t>the reference electricity price</w:t>
      </w:r>
    </w:p>
    <w:p w14:paraId="751B2CA4" w14:textId="77777777" w:rsidR="00034246" w:rsidRPr="0095448E" w:rsidRDefault="00034246" w:rsidP="000C5FC0">
      <w:pPr>
        <w:pStyle w:val="TAMainText"/>
        <w:numPr>
          <w:ilvl w:val="0"/>
          <w:numId w:val="9"/>
        </w:numPr>
        <w:rPr>
          <w:lang w:val="en-GB"/>
        </w:rPr>
      </w:pPr>
      <w:r w:rsidRPr="0095448E">
        <w:rPr>
          <w:lang w:val="en-GB"/>
        </w:rPr>
        <w:t xml:space="preserve">biomethane is competing over time with natural gas. In the baseline </w:t>
      </w:r>
      <w:r w:rsidR="00383120" w:rsidRPr="0095448E">
        <w:rPr>
          <w:lang w:val="en-GB"/>
        </w:rPr>
        <w:t xml:space="preserve">tuning </w:t>
      </w:r>
      <w:r w:rsidRPr="0095448E">
        <w:rPr>
          <w:lang w:val="en-GB"/>
        </w:rPr>
        <w:t xml:space="preserve">scenario, combined </w:t>
      </w:r>
      <w:r w:rsidR="002C301F" w:rsidRPr="0095448E">
        <w:rPr>
          <w:lang w:val="en-GB"/>
        </w:rPr>
        <w:t xml:space="preserve">natural </w:t>
      </w:r>
      <w:r w:rsidRPr="0095448E">
        <w:rPr>
          <w:lang w:val="en-GB"/>
        </w:rPr>
        <w:t>gas based and biomethane based production takes almost 100% of the market share by 2080. If the price of biomethane increases, its share against natural gas decreases compared to the reference biomethane price. In a long</w:t>
      </w:r>
      <w:r w:rsidR="004F5B7D" w:rsidRPr="0095448E">
        <w:rPr>
          <w:lang w:val="en-GB"/>
        </w:rPr>
        <w:t>-</w:t>
      </w:r>
      <w:r w:rsidRPr="0095448E">
        <w:rPr>
          <w:lang w:val="en-GB"/>
        </w:rPr>
        <w:t>term decarbonisation, this competition would depend on infrastructure, supply chain availability and land use constraints.</w:t>
      </w:r>
    </w:p>
    <w:p w14:paraId="06725788" w14:textId="3916283B" w:rsidR="001B12DE" w:rsidRPr="0095448E" w:rsidRDefault="001B12DE" w:rsidP="001B12DE">
      <w:pPr>
        <w:pStyle w:val="Heading1"/>
        <w:spacing w:after="200"/>
        <w:ind w:left="448" w:hanging="448"/>
      </w:pPr>
      <w:r w:rsidRPr="0095448E">
        <w:lastRenderedPageBreak/>
        <w:t>Discussion</w:t>
      </w:r>
    </w:p>
    <w:p w14:paraId="78C99AA3" w14:textId="736C0CC0" w:rsidR="001B12DE" w:rsidRPr="0095448E" w:rsidRDefault="00347A89" w:rsidP="00873C7F">
      <w:pPr>
        <w:spacing w:line="480" w:lineRule="auto"/>
        <w:rPr>
          <w:lang w:val="en-GB"/>
        </w:rPr>
      </w:pPr>
      <w:r w:rsidRPr="0095448E">
        <w:rPr>
          <w:lang w:val="en-GB"/>
        </w:rPr>
        <w:t xml:space="preserve">The paper fills </w:t>
      </w:r>
      <w:r w:rsidR="003A55BD" w:rsidRPr="0095448E">
        <w:rPr>
          <w:lang w:val="en-GB"/>
        </w:rPr>
        <w:t xml:space="preserve">in the </w:t>
      </w:r>
      <w:r w:rsidRPr="0095448E">
        <w:rPr>
          <w:lang w:val="en-GB"/>
        </w:rPr>
        <w:t xml:space="preserve">literature </w:t>
      </w:r>
      <w:r w:rsidR="007503A0" w:rsidRPr="0095448E">
        <w:rPr>
          <w:lang w:val="en-GB"/>
        </w:rPr>
        <w:t xml:space="preserve">gap </w:t>
      </w:r>
      <w:r w:rsidRPr="0095448E">
        <w:rPr>
          <w:lang w:val="en-GB"/>
        </w:rPr>
        <w:t>addressing</w:t>
      </w:r>
      <w:r w:rsidR="003A55BD" w:rsidRPr="0095448E">
        <w:rPr>
          <w:lang w:val="en-GB"/>
        </w:rPr>
        <w:t xml:space="preserve"> how </w:t>
      </w:r>
      <w:r w:rsidR="00A6276E" w:rsidRPr="0095448E">
        <w:rPr>
          <w:lang w:val="en-GB"/>
        </w:rPr>
        <w:t xml:space="preserve">sustainable </w:t>
      </w:r>
      <w:r w:rsidR="003A55BD" w:rsidRPr="0095448E">
        <w:rPr>
          <w:lang w:val="en-GB"/>
        </w:rPr>
        <w:t>industrial m</w:t>
      </w:r>
      <w:r w:rsidR="007503A0" w:rsidRPr="0095448E">
        <w:rPr>
          <w:lang w:val="en-GB"/>
        </w:rPr>
        <w:t>anufacturing can be implemented in the ammonia industry, which represents a priority area for the CCS deployment IEA – UNIDO, 2011). Long-term scenarios of decarbonisation based on fuel switching and CCS have been developed for</w:t>
      </w:r>
      <w:r w:rsidRPr="0095448E">
        <w:rPr>
          <w:lang w:val="en-GB"/>
        </w:rPr>
        <w:t xml:space="preserve"> the Chinese ammonia industry, which</w:t>
      </w:r>
      <w:r w:rsidR="00A6276E" w:rsidRPr="0095448E">
        <w:rPr>
          <w:lang w:val="en-GB"/>
        </w:rPr>
        <w:t>,</w:t>
      </w:r>
      <w:r w:rsidRPr="0095448E">
        <w:rPr>
          <w:lang w:val="en-GB"/>
        </w:rPr>
        <w:t xml:space="preserve"> being almost fully coal-based, represents one of the most emission-intensive process</w:t>
      </w:r>
      <w:r w:rsidR="003A55BD" w:rsidRPr="0095448E">
        <w:rPr>
          <w:lang w:val="en-GB"/>
        </w:rPr>
        <w:t>es</w:t>
      </w:r>
      <w:r w:rsidRPr="0095448E">
        <w:rPr>
          <w:lang w:val="en-GB"/>
        </w:rPr>
        <w:t xml:space="preserve"> worldwide (Bicer, et al. 2017)</w:t>
      </w:r>
      <w:r w:rsidR="007503A0" w:rsidRPr="0095448E">
        <w:rPr>
          <w:lang w:val="en-GB"/>
        </w:rPr>
        <w:t>.</w:t>
      </w:r>
    </w:p>
    <w:p w14:paraId="693E64BC" w14:textId="77777777" w:rsidR="001B12DE" w:rsidRPr="0095448E" w:rsidRDefault="001B12DE" w:rsidP="00846350">
      <w:pPr>
        <w:pStyle w:val="Heading2"/>
        <w:rPr>
          <w:color w:val="auto"/>
        </w:rPr>
      </w:pPr>
      <w:r w:rsidRPr="0095448E">
        <w:rPr>
          <w:color w:val="auto"/>
        </w:rPr>
        <w:t>Implications for theory</w:t>
      </w:r>
    </w:p>
    <w:p w14:paraId="545BFF12" w14:textId="2CE9C8EA" w:rsidR="00060FF9" w:rsidRPr="0095448E" w:rsidRDefault="00A6276E" w:rsidP="00873C7F">
      <w:pPr>
        <w:spacing w:line="480" w:lineRule="auto"/>
        <w:rPr>
          <w:lang w:val="en-GB"/>
        </w:rPr>
      </w:pPr>
      <w:r w:rsidRPr="0095448E">
        <w:rPr>
          <w:lang w:val="en-GB"/>
        </w:rPr>
        <w:t>Our</w:t>
      </w:r>
      <w:r w:rsidR="005C7113" w:rsidRPr="0095448E">
        <w:rPr>
          <w:lang w:val="en-GB"/>
        </w:rPr>
        <w:t xml:space="preserve"> paper contribute</w:t>
      </w:r>
      <w:r w:rsidRPr="0095448E">
        <w:rPr>
          <w:lang w:val="en-GB"/>
        </w:rPr>
        <w:t xml:space="preserve">s to current research </w:t>
      </w:r>
      <w:r w:rsidR="008D28DC" w:rsidRPr="0095448E">
        <w:rPr>
          <w:lang w:val="en-GB"/>
        </w:rPr>
        <w:t>in the industrial sector</w:t>
      </w:r>
      <w:r w:rsidR="00E855B4" w:rsidRPr="0095448E">
        <w:rPr>
          <w:lang w:val="en-GB"/>
        </w:rPr>
        <w:t xml:space="preserve"> sustainability modelling</w:t>
      </w:r>
      <w:r w:rsidR="008D28DC" w:rsidRPr="0095448E">
        <w:rPr>
          <w:lang w:val="en-GB"/>
        </w:rPr>
        <w:t xml:space="preserve"> </w:t>
      </w:r>
      <w:r w:rsidRPr="0095448E">
        <w:rPr>
          <w:lang w:val="en-GB"/>
        </w:rPr>
        <w:t>by providing a</w:t>
      </w:r>
      <w:r w:rsidR="00BA6844" w:rsidRPr="0095448E">
        <w:rPr>
          <w:lang w:val="en-GB"/>
        </w:rPr>
        <w:t>n agent-based</w:t>
      </w:r>
      <w:r w:rsidRPr="0095448E">
        <w:rPr>
          <w:lang w:val="en-GB"/>
        </w:rPr>
        <w:t xml:space="preserve"> framework to </w:t>
      </w:r>
      <w:r w:rsidR="00E855B4" w:rsidRPr="0095448E">
        <w:rPr>
          <w:lang w:val="en-GB"/>
        </w:rPr>
        <w:t>represent investors’ decision-making process</w:t>
      </w:r>
      <w:r w:rsidR="003A55BD" w:rsidRPr="0095448E">
        <w:rPr>
          <w:lang w:val="en-GB"/>
        </w:rPr>
        <w:t xml:space="preserve">. </w:t>
      </w:r>
      <w:r w:rsidR="008D28DC" w:rsidRPr="0095448E">
        <w:rPr>
          <w:lang w:val="en-GB"/>
        </w:rPr>
        <w:t xml:space="preserve">Many studies have shown that technological measures exist to achieve industry decarbonisation, for example via energy efficiency measures, fuel switching, alternative production processes or CCS (Abdelaziz et al., 2011). No existing study explicitly considers technological choices </w:t>
      </w:r>
      <w:r w:rsidR="008955B3" w:rsidRPr="0095448E">
        <w:rPr>
          <w:lang w:val="en-GB"/>
        </w:rPr>
        <w:t xml:space="preserve">in industry </w:t>
      </w:r>
      <w:r w:rsidR="008D28DC" w:rsidRPr="0095448E">
        <w:rPr>
          <w:lang w:val="en-GB"/>
        </w:rPr>
        <w:t>within their national context</w:t>
      </w:r>
      <w:r w:rsidR="00060FF9" w:rsidRPr="0095448E">
        <w:rPr>
          <w:lang w:val="en-GB"/>
        </w:rPr>
        <w:t>,</w:t>
      </w:r>
      <w:r w:rsidR="008D28DC" w:rsidRPr="0095448E">
        <w:rPr>
          <w:lang w:val="en-GB"/>
        </w:rPr>
        <w:t xml:space="preserve"> local environment</w:t>
      </w:r>
      <w:r w:rsidR="00060FF9" w:rsidRPr="0095448E">
        <w:rPr>
          <w:lang w:val="en-GB"/>
        </w:rPr>
        <w:t>, and industrial practices</w:t>
      </w:r>
      <w:r w:rsidR="00E855B4" w:rsidRPr="0095448E">
        <w:rPr>
          <w:lang w:val="en-GB"/>
        </w:rPr>
        <w:t xml:space="preserve"> (</w:t>
      </w:r>
      <w:r w:rsidR="00272A76" w:rsidRPr="0095448E">
        <w:rPr>
          <w:lang w:val="en-GB"/>
        </w:rPr>
        <w:t>Edelenbosch et al., 2017</w:t>
      </w:r>
      <w:r w:rsidR="00E855B4" w:rsidRPr="0095448E">
        <w:rPr>
          <w:lang w:val="en-GB"/>
        </w:rPr>
        <w:t>)</w:t>
      </w:r>
      <w:r w:rsidR="008D28DC" w:rsidRPr="0095448E">
        <w:rPr>
          <w:lang w:val="en-GB"/>
        </w:rPr>
        <w:t xml:space="preserve">. In doing so, the literature has been missing </w:t>
      </w:r>
      <w:r w:rsidR="00060FF9" w:rsidRPr="0095448E">
        <w:rPr>
          <w:lang w:val="en-GB"/>
        </w:rPr>
        <w:t>the link between</w:t>
      </w:r>
      <w:r w:rsidR="008D28DC" w:rsidRPr="0095448E">
        <w:rPr>
          <w:lang w:val="en-GB"/>
        </w:rPr>
        <w:t xml:space="preserve"> investors</w:t>
      </w:r>
      <w:r w:rsidR="00060FF9" w:rsidRPr="0095448E">
        <w:rPr>
          <w:lang w:val="en-GB"/>
        </w:rPr>
        <w:t xml:space="preserve"> and </w:t>
      </w:r>
      <w:r w:rsidR="008D28DC" w:rsidRPr="0095448E">
        <w:rPr>
          <w:lang w:val="en-GB"/>
        </w:rPr>
        <w:t xml:space="preserve">economic, technical, regulatory, </w:t>
      </w:r>
      <w:r w:rsidR="00E855B4" w:rsidRPr="0095448E">
        <w:rPr>
          <w:lang w:val="en-GB"/>
        </w:rPr>
        <w:t>geographical</w:t>
      </w:r>
      <w:r w:rsidR="008D28DC" w:rsidRPr="0095448E">
        <w:rPr>
          <w:lang w:val="en-GB"/>
        </w:rPr>
        <w:t xml:space="preserve">, </w:t>
      </w:r>
      <w:r w:rsidR="00907872" w:rsidRPr="0095448E">
        <w:rPr>
          <w:lang w:val="en-GB"/>
        </w:rPr>
        <w:t xml:space="preserve">and </w:t>
      </w:r>
      <w:r w:rsidR="008D28DC" w:rsidRPr="0095448E">
        <w:rPr>
          <w:lang w:val="en-GB"/>
        </w:rPr>
        <w:t>social aspects (</w:t>
      </w:r>
      <w:r w:rsidR="008D28DC" w:rsidRPr="0095448E">
        <w:t>Escrig-Olmedo et al., 2017).</w:t>
      </w:r>
      <w:r w:rsidR="008D28DC" w:rsidRPr="0095448E">
        <w:rPr>
          <w:lang w:val="en-GB"/>
        </w:rPr>
        <w:t xml:space="preserve"> </w:t>
      </w:r>
      <w:r w:rsidR="00060FF9" w:rsidRPr="0095448E">
        <w:rPr>
          <w:lang w:val="en-GB"/>
        </w:rPr>
        <w:t xml:space="preserve">Closely modelling the decision-making process is essential to capture fundamental limitations to innovative technologies diffusion due to corporative and individual practices in industry. </w:t>
      </w:r>
      <w:r w:rsidR="00E855B4" w:rsidRPr="0095448E">
        <w:rPr>
          <w:lang w:val="en-GB"/>
        </w:rPr>
        <w:t>For example, energy efficient solutions, even if available at a short payback time, might not be implemented as companies fear hidden costs or exposure to financial risks (Fleiter et al., 2011). Companies may also be limite</w:t>
      </w:r>
      <w:r w:rsidR="0061324C" w:rsidRPr="0095448E">
        <w:rPr>
          <w:lang w:val="en-GB"/>
        </w:rPr>
        <w:t>d by market size and interaction with the environment</w:t>
      </w:r>
      <w:r w:rsidR="00E855B4" w:rsidRPr="0095448E">
        <w:rPr>
          <w:lang w:val="en-GB"/>
        </w:rPr>
        <w:t>: r</w:t>
      </w:r>
      <w:r w:rsidR="00060FF9" w:rsidRPr="0095448E">
        <w:rPr>
          <w:lang w:val="en-GB"/>
        </w:rPr>
        <w:t>ecent studies (Yu et al., 2020) found</w:t>
      </w:r>
      <w:r w:rsidR="00E855B4" w:rsidRPr="0095448E">
        <w:rPr>
          <w:lang w:val="en-GB"/>
        </w:rPr>
        <w:t xml:space="preserve"> that </w:t>
      </w:r>
      <w:r w:rsidR="00060FF9" w:rsidRPr="0095448E">
        <w:rPr>
          <w:lang w:val="en-GB"/>
        </w:rPr>
        <w:t xml:space="preserve">a regional innovative milieu </w:t>
      </w:r>
      <w:r w:rsidR="00E855B4" w:rsidRPr="0095448E">
        <w:rPr>
          <w:lang w:val="en-GB"/>
        </w:rPr>
        <w:t>is more important to trigger innovation in SMEs than in Les, as the former tend to rely more on internal R&amp;D investments</w:t>
      </w:r>
      <w:r w:rsidR="00060FF9" w:rsidRPr="0095448E">
        <w:rPr>
          <w:lang w:val="en-GB"/>
        </w:rPr>
        <w:t>.</w:t>
      </w:r>
      <w:r w:rsidR="00E855B4" w:rsidRPr="0095448E">
        <w:rPr>
          <w:lang w:val="en-GB"/>
        </w:rPr>
        <w:t xml:space="preserve"> </w:t>
      </w:r>
    </w:p>
    <w:p w14:paraId="0D9135C0" w14:textId="55873229" w:rsidR="00E13373" w:rsidRPr="0095448E" w:rsidRDefault="00060FF9" w:rsidP="00D86252">
      <w:pPr>
        <w:spacing w:line="480" w:lineRule="auto"/>
        <w:rPr>
          <w:lang w:val="en-GB"/>
        </w:rPr>
      </w:pPr>
      <w:r w:rsidRPr="0095448E">
        <w:rPr>
          <w:lang w:val="en-GB"/>
        </w:rPr>
        <w:lastRenderedPageBreak/>
        <w:t xml:space="preserve">This paper presents an agent-based framework allowing to model </w:t>
      </w:r>
      <w:r w:rsidR="003A55BD" w:rsidRPr="0095448E">
        <w:rPr>
          <w:lang w:val="en-GB"/>
        </w:rPr>
        <w:t>investors</w:t>
      </w:r>
      <w:r w:rsidR="00A6276E" w:rsidRPr="0095448E">
        <w:rPr>
          <w:lang w:val="en-GB"/>
        </w:rPr>
        <w:t xml:space="preserve"> </w:t>
      </w:r>
      <w:r w:rsidRPr="0095448E">
        <w:rPr>
          <w:lang w:val="en-GB"/>
        </w:rPr>
        <w:t>in the energy sector. The focus is given to the identification of agen</w:t>
      </w:r>
      <w:r w:rsidR="00D86252" w:rsidRPr="0095448E">
        <w:rPr>
          <w:lang w:val="en-GB"/>
        </w:rPr>
        <w:t>t-investors which are modelled in the</w:t>
      </w:r>
      <w:r w:rsidR="00E665F7" w:rsidRPr="0095448E">
        <w:rPr>
          <w:lang w:val="en-GB"/>
        </w:rPr>
        <w:t xml:space="preserve"> objectives</w:t>
      </w:r>
      <w:r w:rsidR="0061324C" w:rsidRPr="0095448E">
        <w:rPr>
          <w:lang w:val="en-GB"/>
        </w:rPr>
        <w:t xml:space="preserve"> driving</w:t>
      </w:r>
      <w:r w:rsidR="00D86252" w:rsidRPr="0095448E">
        <w:rPr>
          <w:lang w:val="en-GB"/>
        </w:rPr>
        <w:t xml:space="preserve"> their investments</w:t>
      </w:r>
      <w:r w:rsidR="0069212B" w:rsidRPr="0095448E">
        <w:rPr>
          <w:lang w:val="en-GB"/>
        </w:rPr>
        <w:t xml:space="preserve">, </w:t>
      </w:r>
      <w:r w:rsidR="00D86252" w:rsidRPr="0095448E">
        <w:rPr>
          <w:lang w:val="en-GB"/>
        </w:rPr>
        <w:t>in the</w:t>
      </w:r>
      <w:r w:rsidR="0061324C" w:rsidRPr="0095448E">
        <w:rPr>
          <w:lang w:val="en-GB"/>
        </w:rPr>
        <w:t>ir allocation of the commodity</w:t>
      </w:r>
      <w:r w:rsidR="00D86252" w:rsidRPr="0095448E">
        <w:rPr>
          <w:lang w:val="en-GB"/>
        </w:rPr>
        <w:t xml:space="preserve"> </w:t>
      </w:r>
      <w:r w:rsidR="0069212B" w:rsidRPr="0095448E">
        <w:rPr>
          <w:lang w:val="en-GB"/>
        </w:rPr>
        <w:t xml:space="preserve">market, and </w:t>
      </w:r>
      <w:r w:rsidR="0061324C" w:rsidRPr="0095448E">
        <w:rPr>
          <w:lang w:val="en-GB"/>
        </w:rPr>
        <w:t xml:space="preserve">energy </w:t>
      </w:r>
      <w:r w:rsidR="0069212B" w:rsidRPr="0095448E">
        <w:rPr>
          <w:lang w:val="en-GB"/>
        </w:rPr>
        <w:t xml:space="preserve">technology </w:t>
      </w:r>
      <w:r w:rsidR="008D28DC" w:rsidRPr="0095448E">
        <w:rPr>
          <w:lang w:val="en-GB"/>
        </w:rPr>
        <w:t>choices</w:t>
      </w:r>
      <w:r w:rsidR="00D86252" w:rsidRPr="0095448E">
        <w:rPr>
          <w:lang w:val="en-GB"/>
        </w:rPr>
        <w:t>. The investors’ objectives and attributes are</w:t>
      </w:r>
      <w:r w:rsidR="0069212B" w:rsidRPr="0095448E">
        <w:rPr>
          <w:lang w:val="en-GB"/>
        </w:rPr>
        <w:t xml:space="preserve"> tailored </w:t>
      </w:r>
      <w:r w:rsidR="00A6276E" w:rsidRPr="0095448E">
        <w:rPr>
          <w:lang w:val="en-GB"/>
        </w:rPr>
        <w:t xml:space="preserve">to represent </w:t>
      </w:r>
      <w:r w:rsidR="0069212B" w:rsidRPr="0095448E">
        <w:rPr>
          <w:lang w:val="en-GB"/>
        </w:rPr>
        <w:t>firms’ size, ownership, and capital access</w:t>
      </w:r>
      <w:r w:rsidR="00E13373" w:rsidRPr="0095448E">
        <w:rPr>
          <w:lang w:val="en-GB"/>
        </w:rPr>
        <w:t xml:space="preserve">. </w:t>
      </w:r>
      <w:r w:rsidR="0061324C" w:rsidRPr="0095448E">
        <w:rPr>
          <w:lang w:val="en-GB"/>
        </w:rPr>
        <w:t>This</w:t>
      </w:r>
      <w:r w:rsidR="00D86252" w:rsidRPr="0095448E">
        <w:rPr>
          <w:lang w:val="en-GB"/>
        </w:rPr>
        <w:t xml:space="preserve"> paper identifies and characterises six agents, capturing private or public, Chinese or foreign, and large or small-to-medium size enterprises. </w:t>
      </w:r>
      <w:r w:rsidR="008D28DC" w:rsidRPr="0095448E">
        <w:rPr>
          <w:lang w:val="en-GB"/>
        </w:rPr>
        <w:t xml:space="preserve">The proposed </w:t>
      </w:r>
      <w:r w:rsidR="0061324C" w:rsidRPr="0095448E">
        <w:rPr>
          <w:lang w:val="en-GB"/>
        </w:rPr>
        <w:t>framework</w:t>
      </w:r>
      <w:r w:rsidR="00187238" w:rsidRPr="0095448E">
        <w:rPr>
          <w:lang w:val="en-GB"/>
        </w:rPr>
        <w:t xml:space="preserve"> </w:t>
      </w:r>
      <w:r w:rsidR="0061324C" w:rsidRPr="0095448E">
        <w:rPr>
          <w:lang w:val="en-GB"/>
        </w:rPr>
        <w:t xml:space="preserve">is </w:t>
      </w:r>
      <w:r w:rsidR="00187238" w:rsidRPr="0095448E">
        <w:rPr>
          <w:lang w:val="en-GB"/>
        </w:rPr>
        <w:t xml:space="preserve">a suitable </w:t>
      </w:r>
      <w:r w:rsidR="008D28DC" w:rsidRPr="0095448E">
        <w:rPr>
          <w:lang w:val="en-GB"/>
        </w:rPr>
        <w:t xml:space="preserve">modelling </w:t>
      </w:r>
      <w:r w:rsidR="00187238" w:rsidRPr="0095448E">
        <w:rPr>
          <w:lang w:val="en-GB"/>
        </w:rPr>
        <w:t>platform</w:t>
      </w:r>
      <w:r w:rsidR="006E7C79" w:rsidRPr="0095448E">
        <w:rPr>
          <w:lang w:val="en-GB"/>
        </w:rPr>
        <w:t xml:space="preserve"> </w:t>
      </w:r>
      <w:r w:rsidR="008D28DC" w:rsidRPr="0095448E">
        <w:rPr>
          <w:lang w:val="en-GB"/>
        </w:rPr>
        <w:t>where to include</w:t>
      </w:r>
      <w:r w:rsidR="00187238" w:rsidRPr="0095448E">
        <w:rPr>
          <w:lang w:val="en-GB"/>
        </w:rPr>
        <w:t xml:space="preserve"> </w:t>
      </w:r>
      <w:r w:rsidR="006E7C79" w:rsidRPr="0095448E">
        <w:rPr>
          <w:lang w:val="en-GB"/>
        </w:rPr>
        <w:t xml:space="preserve">effects of </w:t>
      </w:r>
      <w:r w:rsidR="00187238" w:rsidRPr="0095448E">
        <w:rPr>
          <w:lang w:val="en-GB"/>
        </w:rPr>
        <w:t>highly perceived</w:t>
      </w:r>
      <w:r w:rsidR="0069212B" w:rsidRPr="0095448E">
        <w:rPr>
          <w:lang w:val="en-GB"/>
        </w:rPr>
        <w:t xml:space="preserve"> hidden costs </w:t>
      </w:r>
      <w:r w:rsidR="00187238" w:rsidRPr="0095448E">
        <w:rPr>
          <w:lang w:val="en-GB"/>
        </w:rPr>
        <w:t>of</w:t>
      </w:r>
      <w:r w:rsidR="0069212B" w:rsidRPr="0095448E">
        <w:rPr>
          <w:lang w:val="en-GB"/>
        </w:rPr>
        <w:t xml:space="preserve"> companies (</w:t>
      </w:r>
      <w:r w:rsidR="00BA131D" w:rsidRPr="0095448E">
        <w:rPr>
          <w:lang w:val="en-GB"/>
        </w:rPr>
        <w:t>Sorrell et al., 2004)</w:t>
      </w:r>
      <w:r w:rsidR="006E7C79" w:rsidRPr="0095448E">
        <w:rPr>
          <w:lang w:val="en-GB"/>
        </w:rPr>
        <w:t xml:space="preserve"> as well as the consequences of </w:t>
      </w:r>
      <w:r w:rsidR="00187238" w:rsidRPr="0095448E">
        <w:rPr>
          <w:lang w:val="en-GB"/>
        </w:rPr>
        <w:t>incoherent behaviours between explicit and implicit preferences towards CCS (Sun et al., 2020).</w:t>
      </w:r>
      <w:r w:rsidRPr="0095448E">
        <w:rPr>
          <w:lang w:val="en-GB"/>
        </w:rPr>
        <w:t xml:space="preserve"> </w:t>
      </w:r>
      <w:r w:rsidR="00BA6844" w:rsidRPr="0095448E">
        <w:rPr>
          <w:lang w:val="en-GB"/>
        </w:rPr>
        <w:t>The proposed framework is also suitable to include c</w:t>
      </w:r>
      <w:r w:rsidR="00BA131D" w:rsidRPr="0095448E">
        <w:rPr>
          <w:lang w:val="en-GB"/>
        </w:rPr>
        <w:t>orporate social responsibility</w:t>
      </w:r>
      <w:r w:rsidR="008369C5" w:rsidRPr="0095448E">
        <w:rPr>
          <w:lang w:val="en-GB"/>
        </w:rPr>
        <w:t>,</w:t>
      </w:r>
      <w:r w:rsidR="00BA6844" w:rsidRPr="0095448E">
        <w:rPr>
          <w:lang w:val="en-GB"/>
        </w:rPr>
        <w:t xml:space="preserve"> </w:t>
      </w:r>
      <w:r w:rsidR="00D86252" w:rsidRPr="0095448E">
        <w:rPr>
          <w:lang w:val="en-GB"/>
        </w:rPr>
        <w:t xml:space="preserve">as </w:t>
      </w:r>
      <w:r w:rsidR="008369C5" w:rsidRPr="0095448E">
        <w:rPr>
          <w:lang w:val="en-GB"/>
        </w:rPr>
        <w:t>an</w:t>
      </w:r>
      <w:r w:rsidR="00BA6844" w:rsidRPr="0095448E">
        <w:rPr>
          <w:lang w:val="en-GB"/>
        </w:rPr>
        <w:t xml:space="preserve"> </w:t>
      </w:r>
      <w:r w:rsidR="0061324C" w:rsidRPr="0095448E">
        <w:rPr>
          <w:lang w:val="en-GB"/>
        </w:rPr>
        <w:t xml:space="preserve">emerging approach to </w:t>
      </w:r>
      <w:r w:rsidR="00BA6844" w:rsidRPr="0095448E">
        <w:rPr>
          <w:lang w:val="en-GB"/>
        </w:rPr>
        <w:t xml:space="preserve">management </w:t>
      </w:r>
      <w:r w:rsidR="0061324C" w:rsidRPr="0095448E">
        <w:rPr>
          <w:lang w:val="en-GB"/>
        </w:rPr>
        <w:t>which includes</w:t>
      </w:r>
      <w:r w:rsidR="00BA6844" w:rsidRPr="0095448E">
        <w:rPr>
          <w:lang w:val="en-GB"/>
        </w:rPr>
        <w:t xml:space="preserve"> environmental</w:t>
      </w:r>
      <w:r w:rsidR="00D86252" w:rsidRPr="0095448E">
        <w:rPr>
          <w:lang w:val="en-GB"/>
        </w:rPr>
        <w:t>,</w:t>
      </w:r>
      <w:r w:rsidR="00BA6844" w:rsidRPr="0095448E">
        <w:rPr>
          <w:lang w:val="en-GB"/>
        </w:rPr>
        <w:t xml:space="preserve"> economic, and social principles </w:t>
      </w:r>
      <w:r w:rsidR="00D86252" w:rsidRPr="0095448E">
        <w:rPr>
          <w:lang w:val="en-GB"/>
        </w:rPr>
        <w:t>in</w:t>
      </w:r>
      <w:r w:rsidR="00BA6844" w:rsidRPr="0095448E">
        <w:rPr>
          <w:lang w:val="en-GB"/>
        </w:rPr>
        <w:t xml:space="preserve"> </w:t>
      </w:r>
      <w:r w:rsidR="00D86252" w:rsidRPr="0095448E">
        <w:rPr>
          <w:lang w:val="en-GB"/>
        </w:rPr>
        <w:t>corporate decision-making,</w:t>
      </w:r>
      <w:r w:rsidR="008369C5" w:rsidRPr="0095448E">
        <w:rPr>
          <w:lang w:val="en-GB"/>
        </w:rPr>
        <w:t xml:space="preserve"> </w:t>
      </w:r>
      <w:r w:rsidR="00D86252" w:rsidRPr="0095448E">
        <w:rPr>
          <w:lang w:val="en-GB"/>
        </w:rPr>
        <w:t xml:space="preserve">as well as </w:t>
      </w:r>
      <w:r w:rsidR="0061324C" w:rsidRPr="0095448E">
        <w:rPr>
          <w:lang w:val="en-GB"/>
        </w:rPr>
        <w:t xml:space="preserve">to assess </w:t>
      </w:r>
      <w:r w:rsidR="00D86252" w:rsidRPr="0095448E">
        <w:rPr>
          <w:lang w:val="en-GB"/>
        </w:rPr>
        <w:t xml:space="preserve">how </w:t>
      </w:r>
      <w:r w:rsidR="00E13373" w:rsidRPr="0095448E">
        <w:rPr>
          <w:lang w:val="en-GB"/>
        </w:rPr>
        <w:t xml:space="preserve">institutional, organisational and individual </w:t>
      </w:r>
      <w:r w:rsidR="00BA6844" w:rsidRPr="0095448E">
        <w:rPr>
          <w:lang w:val="en-GB"/>
        </w:rPr>
        <w:t>barriers</w:t>
      </w:r>
      <w:r w:rsidR="00E13373" w:rsidRPr="0095448E">
        <w:rPr>
          <w:lang w:val="en-GB"/>
        </w:rPr>
        <w:t xml:space="preserve"> </w:t>
      </w:r>
      <w:r w:rsidR="0061324C" w:rsidRPr="0095448E">
        <w:rPr>
          <w:lang w:val="en-GB"/>
        </w:rPr>
        <w:t xml:space="preserve">may be overcome </w:t>
      </w:r>
      <w:r w:rsidR="00E855B4" w:rsidRPr="0095448E">
        <w:rPr>
          <w:lang w:val="en-GB"/>
        </w:rPr>
        <w:t>(Yu et al., 2020).</w:t>
      </w:r>
      <w:r w:rsidR="00E65004" w:rsidRPr="0095448E">
        <w:rPr>
          <w:lang w:val="en-GB"/>
        </w:rPr>
        <w:t xml:space="preserve"> The proposed framework, can also be applied to model ways to highlight and overcome technological barriers which alternative energy intensive sectors, such as iron and steel, may have to face as investments in carbon lock-in infrastructures could put at stake the transition towards sustainability of the industrial sector in China (Ding et al., 2020).</w:t>
      </w:r>
    </w:p>
    <w:p w14:paraId="61A194DD" w14:textId="77777777" w:rsidR="001B12DE" w:rsidRPr="0095448E" w:rsidRDefault="001B12DE" w:rsidP="00846350">
      <w:pPr>
        <w:pStyle w:val="Heading2"/>
        <w:rPr>
          <w:color w:val="auto"/>
        </w:rPr>
      </w:pPr>
      <w:r w:rsidRPr="0095448E">
        <w:rPr>
          <w:color w:val="auto"/>
        </w:rPr>
        <w:t>Implications for practice</w:t>
      </w:r>
    </w:p>
    <w:p w14:paraId="4D0777F0" w14:textId="1ADEAEFC" w:rsidR="00CB0B32" w:rsidRPr="0095448E" w:rsidRDefault="00E65004" w:rsidP="00873C7F">
      <w:pPr>
        <w:spacing w:line="480" w:lineRule="auto"/>
      </w:pPr>
      <w:r w:rsidRPr="0095448E">
        <w:t xml:space="preserve">The Chinese government has shown willingness to </w:t>
      </w:r>
      <w:r w:rsidR="00906786" w:rsidRPr="0095448E">
        <w:t>pursue sustainability goals defining climate change mitigation and energy efficiency targets. In its</w:t>
      </w:r>
      <w:r w:rsidR="007E3C08" w:rsidRPr="0095448E">
        <w:t xml:space="preserve"> Intended Nationall</w:t>
      </w:r>
      <w:r w:rsidR="00906786" w:rsidRPr="0095448E">
        <w:t>y Determined Contribution,</w:t>
      </w:r>
      <w:r w:rsidR="007E3C08" w:rsidRPr="0095448E">
        <w:t xml:space="preserve"> </w:t>
      </w:r>
      <w:r w:rsidR="00906786" w:rsidRPr="0095448E">
        <w:t>China</w:t>
      </w:r>
      <w:r w:rsidR="007E3C08" w:rsidRPr="0095448E">
        <w:t xml:space="preserve"> </w:t>
      </w:r>
      <w:r w:rsidR="00873C7F" w:rsidRPr="0095448E">
        <w:t xml:space="preserve">has announced four principal climate goals: to achieve </w:t>
      </w:r>
      <w:r w:rsidR="00906786" w:rsidRPr="0095448E">
        <w:t>CO</w:t>
      </w:r>
      <w:r w:rsidR="00906786" w:rsidRPr="0095448E">
        <w:rPr>
          <w:vertAlign w:val="subscript"/>
        </w:rPr>
        <w:t>2</w:t>
      </w:r>
      <w:r w:rsidR="00906786" w:rsidRPr="0095448E">
        <w:t xml:space="preserve"> emissions peak</w:t>
      </w:r>
      <w:r w:rsidR="00873C7F" w:rsidRPr="0095448E">
        <w:t xml:space="preserve"> around 2030</w:t>
      </w:r>
      <w:r w:rsidR="007503A0" w:rsidRPr="0095448E">
        <w:t xml:space="preserve">; </w:t>
      </w:r>
      <w:r w:rsidR="00873C7F" w:rsidRPr="0095448E">
        <w:t xml:space="preserve">to lower </w:t>
      </w:r>
      <w:r w:rsidR="00906786" w:rsidRPr="0095448E">
        <w:t>the</w:t>
      </w:r>
      <w:r w:rsidR="00873C7F" w:rsidRPr="0095448E">
        <w:t xml:space="preserve"> GDP</w:t>
      </w:r>
      <w:r w:rsidR="00906786" w:rsidRPr="0095448E">
        <w:t xml:space="preserve"> carbon intensity</w:t>
      </w:r>
      <w:r w:rsidR="00873C7F" w:rsidRPr="0095448E">
        <w:t xml:space="preserve"> by 60%–65% by 2030</w:t>
      </w:r>
      <w:r w:rsidR="00906786" w:rsidRPr="0095448E">
        <w:t>;</w:t>
      </w:r>
      <w:r w:rsidR="00873C7F" w:rsidRPr="0095448E">
        <w:t xml:space="preserve"> to increase the share of non</w:t>
      </w:r>
      <w:r w:rsidR="007E3C08" w:rsidRPr="0095448E">
        <w:t>-</w:t>
      </w:r>
      <w:r w:rsidR="00873C7F" w:rsidRPr="0095448E">
        <w:t>fossil fuels in primary energy to around 20% by 2030; and to increase the forest stock volume by around 4.5 billion cubic met</w:t>
      </w:r>
      <w:r w:rsidR="00906786" w:rsidRPr="0095448E">
        <w:t>ers by 2030 compared to 2005 (</w:t>
      </w:r>
      <w:r w:rsidR="00521381" w:rsidRPr="0095448E">
        <w:t>Sandalow et al., 2019</w:t>
      </w:r>
      <w:r w:rsidR="00906786" w:rsidRPr="0095448E">
        <w:t>)</w:t>
      </w:r>
      <w:r w:rsidR="00873C7F" w:rsidRPr="0095448E">
        <w:t>.</w:t>
      </w:r>
      <w:r w:rsidR="00E620C0" w:rsidRPr="0095448E">
        <w:t xml:space="preserve"> </w:t>
      </w:r>
      <w:r w:rsidR="00907872" w:rsidRPr="0095448E">
        <w:t xml:space="preserve">In order to </w:t>
      </w:r>
      <w:r w:rsidR="00907872" w:rsidRPr="0095448E">
        <w:lastRenderedPageBreak/>
        <w:t xml:space="preserve">achieve climate targets in line with the Paris Agreement, CCS needs to be developed and deployed (Ding et al., 2010). </w:t>
      </w:r>
      <w:r w:rsidR="00E620C0" w:rsidRPr="0095448E">
        <w:t xml:space="preserve">Although the analysis focused on CCS uptake in </w:t>
      </w:r>
      <w:r w:rsidR="00CB0B32" w:rsidRPr="0095448E">
        <w:t xml:space="preserve">the ammonia industry, considerations can be generalized to </w:t>
      </w:r>
      <w:r w:rsidR="00E620C0" w:rsidRPr="0095448E">
        <w:t xml:space="preserve">sustainable ammonia manufacturing based on electrolysis (Bicer et al., 2017) and to </w:t>
      </w:r>
      <w:r w:rsidR="00CB0B32" w:rsidRPr="0095448E">
        <w:t>other energy intensive industries in China</w:t>
      </w:r>
      <w:r w:rsidR="00E620C0" w:rsidRPr="0095448E">
        <w:t xml:space="preserve">, especially </w:t>
      </w:r>
      <w:r w:rsidR="00CB0B32" w:rsidRPr="0095448E">
        <w:t>the iron&amp;steel industry</w:t>
      </w:r>
      <w:r w:rsidR="00E620C0" w:rsidRPr="0095448E">
        <w:t xml:space="preserve"> </w:t>
      </w:r>
      <w:r w:rsidR="001B5304" w:rsidRPr="0095448E">
        <w:t>(Ding et al., 2020), dominated by state-owned companies with a high global market share.</w:t>
      </w:r>
    </w:p>
    <w:p w14:paraId="546D7607" w14:textId="6734DB30" w:rsidR="00873C7F" w:rsidRPr="0095448E" w:rsidRDefault="00CB0B32" w:rsidP="00CB0B32">
      <w:pPr>
        <w:spacing w:line="480" w:lineRule="auto"/>
        <w:ind w:firstLine="357"/>
      </w:pPr>
      <w:r w:rsidRPr="0095448E">
        <w:rPr>
          <w:lang w:val="en-GB"/>
        </w:rPr>
        <w:t>First, o</w:t>
      </w:r>
      <w:r w:rsidR="00906786" w:rsidRPr="0095448E">
        <w:rPr>
          <w:lang w:val="en-GB"/>
        </w:rPr>
        <w:t xml:space="preserve">ur analysis has shown the importance of fuel prices </w:t>
      </w:r>
      <w:r w:rsidRPr="0095448E">
        <w:rPr>
          <w:lang w:val="en-GB"/>
        </w:rPr>
        <w:t xml:space="preserve">stability </w:t>
      </w:r>
      <w:r w:rsidR="00906786" w:rsidRPr="0095448E">
        <w:rPr>
          <w:lang w:val="en-GB"/>
        </w:rPr>
        <w:t xml:space="preserve">in </w:t>
      </w:r>
      <w:r w:rsidR="00B477EB" w:rsidRPr="0095448E">
        <w:rPr>
          <w:lang w:val="en-GB"/>
        </w:rPr>
        <w:t>the long-term policies for sustainability</w:t>
      </w:r>
      <w:r w:rsidR="009E4E75" w:rsidRPr="0095448E">
        <w:rPr>
          <w:lang w:val="en-GB"/>
        </w:rPr>
        <w:t>, as industries show a high resistance to energy price volatility</w:t>
      </w:r>
      <w:r w:rsidR="00B477EB" w:rsidRPr="0095448E">
        <w:rPr>
          <w:lang w:val="en-GB"/>
        </w:rPr>
        <w:t xml:space="preserve">. </w:t>
      </w:r>
      <w:r w:rsidR="009E4E75" w:rsidRPr="0095448E">
        <w:rPr>
          <w:lang w:val="en-GB"/>
        </w:rPr>
        <w:t xml:space="preserve">As </w:t>
      </w:r>
      <w:r w:rsidR="00E620C0" w:rsidRPr="0095448E">
        <w:rPr>
          <w:lang w:val="en-GB"/>
        </w:rPr>
        <w:t xml:space="preserve">raised by </w:t>
      </w:r>
      <w:r w:rsidR="009E4E75" w:rsidRPr="0095448E">
        <w:rPr>
          <w:lang w:val="en-GB"/>
        </w:rPr>
        <w:t>Zhang et al. (2017), the Chinese government has been promoting policies to reduce natural gas price fluctuations. These efforts would need to be maintained in the future and possibly strengthened to embrace biomass-derived fuels, in order to accelerate the transition from coal to less emitting energy vectors.</w:t>
      </w:r>
    </w:p>
    <w:p w14:paraId="5FE78DCF" w14:textId="2A10CB8F" w:rsidR="008369C5" w:rsidRPr="0095448E" w:rsidRDefault="00CB0B32" w:rsidP="00165867">
      <w:pPr>
        <w:pStyle w:val="TAMainText"/>
        <w:rPr>
          <w:lang w:val="en-GB"/>
        </w:rPr>
      </w:pPr>
      <w:r w:rsidRPr="0095448E">
        <w:rPr>
          <w:lang w:val="en-GB"/>
        </w:rPr>
        <w:t xml:space="preserve">Second, </w:t>
      </w:r>
      <w:r w:rsidR="000A2581" w:rsidRPr="0095448E">
        <w:rPr>
          <w:lang w:val="en-GB"/>
        </w:rPr>
        <w:t>our analysis has shown how firms can react differently to the availability of a technology</w:t>
      </w:r>
      <w:r w:rsidR="0089191A" w:rsidRPr="0095448E">
        <w:rPr>
          <w:lang w:val="en-GB"/>
        </w:rPr>
        <w:t xml:space="preserve"> depending on their size and ownership, as this affects their decision metrics</w:t>
      </w:r>
      <w:r w:rsidR="000A2581" w:rsidRPr="0095448E">
        <w:rPr>
          <w:lang w:val="en-GB"/>
        </w:rPr>
        <w:t xml:space="preserve">. For example, Chinese SMEs typically rely on local R&amp;D and </w:t>
      </w:r>
      <w:r w:rsidR="00E620C0" w:rsidRPr="0095448E">
        <w:rPr>
          <w:lang w:val="en-GB"/>
        </w:rPr>
        <w:t>make more use than LEs of capex or low payback time</w:t>
      </w:r>
      <w:r w:rsidR="0089191A" w:rsidRPr="0095448E">
        <w:rPr>
          <w:lang w:val="en-GB"/>
        </w:rPr>
        <w:t xml:space="preserve"> as decision metrics</w:t>
      </w:r>
      <w:r w:rsidR="00E620C0" w:rsidRPr="0095448E">
        <w:rPr>
          <w:lang w:val="en-GB"/>
        </w:rPr>
        <w:t xml:space="preserve">. </w:t>
      </w:r>
      <w:r w:rsidR="0089191A" w:rsidRPr="0095448E">
        <w:rPr>
          <w:lang w:val="en-GB"/>
        </w:rPr>
        <w:t>In that perspective, governments and financiers need to ensure funding mechanisms are in place order to ease off capital constraints that many firms would be facing to deploy CCS</w:t>
      </w:r>
      <w:r w:rsidR="000A2581" w:rsidRPr="0095448E">
        <w:rPr>
          <w:lang w:val="en-GB"/>
        </w:rPr>
        <w:t xml:space="preserve">. </w:t>
      </w:r>
      <w:r w:rsidR="0089191A" w:rsidRPr="0095448E">
        <w:rPr>
          <w:lang w:val="en-GB"/>
        </w:rPr>
        <w:t>Also, g</w:t>
      </w:r>
      <w:r w:rsidRPr="0095448E">
        <w:rPr>
          <w:lang w:val="en-GB"/>
        </w:rPr>
        <w:t xml:space="preserve">overnments should be proactively supporting </w:t>
      </w:r>
      <w:r w:rsidR="003A76CB" w:rsidRPr="0095448E">
        <w:rPr>
          <w:lang w:val="en-GB"/>
        </w:rPr>
        <w:t>CCS demonstration programs</w:t>
      </w:r>
      <w:r w:rsidRPr="0095448E">
        <w:rPr>
          <w:lang w:val="en-GB"/>
        </w:rPr>
        <w:t xml:space="preserve">, necessary to build knowledge </w:t>
      </w:r>
      <w:r w:rsidR="000A2581" w:rsidRPr="0095448E">
        <w:rPr>
          <w:lang w:val="en-GB"/>
        </w:rPr>
        <w:t xml:space="preserve">about best practice on CCS from CCS-operating plants at different scale as well as to build </w:t>
      </w:r>
      <w:r w:rsidRPr="0095448E">
        <w:rPr>
          <w:lang w:val="en-GB"/>
        </w:rPr>
        <w:t xml:space="preserve">confidence </w:t>
      </w:r>
      <w:r w:rsidR="000A2581" w:rsidRPr="0095448E">
        <w:rPr>
          <w:lang w:val="en-GB"/>
        </w:rPr>
        <w:t>on the</w:t>
      </w:r>
      <w:r w:rsidRPr="0095448E">
        <w:rPr>
          <w:lang w:val="en-GB"/>
        </w:rPr>
        <w:t xml:space="preserve"> technology</w:t>
      </w:r>
      <w:r w:rsidR="000A2581" w:rsidRPr="0095448E">
        <w:rPr>
          <w:lang w:val="en-GB"/>
        </w:rPr>
        <w:t xml:space="preserve"> feasibility</w:t>
      </w:r>
      <w:r w:rsidR="003A76CB" w:rsidRPr="0095448E">
        <w:rPr>
          <w:lang w:val="en-GB"/>
        </w:rPr>
        <w:t xml:space="preserve">. </w:t>
      </w:r>
      <w:r w:rsidR="000A2581" w:rsidRPr="0095448E">
        <w:rPr>
          <w:lang w:val="en-GB"/>
        </w:rPr>
        <w:t>Demonstration programs would</w:t>
      </w:r>
      <w:r w:rsidRPr="0095448E">
        <w:rPr>
          <w:lang w:val="en-GB"/>
        </w:rPr>
        <w:t xml:space="preserve"> support investors’ decision-making balancing their concerns about </w:t>
      </w:r>
      <w:r w:rsidR="000A2581" w:rsidRPr="0095448E">
        <w:rPr>
          <w:lang w:val="en-GB"/>
        </w:rPr>
        <w:t xml:space="preserve">“hidden costs” of </w:t>
      </w:r>
      <w:r w:rsidR="0089191A" w:rsidRPr="0095448E">
        <w:rPr>
          <w:lang w:val="en-GB"/>
        </w:rPr>
        <w:t>the deployment of sustainable technologies, which arise from the design, to the installation, to the operation of the technology</w:t>
      </w:r>
      <w:r w:rsidR="000A2581" w:rsidRPr="0095448E">
        <w:rPr>
          <w:lang w:val="en-GB"/>
        </w:rPr>
        <w:t xml:space="preserve"> (Sorrell et al., 2004</w:t>
      </w:r>
      <w:r w:rsidR="0089191A" w:rsidRPr="0095448E">
        <w:rPr>
          <w:lang w:val="en-GB"/>
        </w:rPr>
        <w:t>)</w:t>
      </w:r>
      <w:r w:rsidR="000A2581" w:rsidRPr="0095448E">
        <w:rPr>
          <w:lang w:val="en-GB"/>
        </w:rPr>
        <w:t>.</w:t>
      </w:r>
      <w:r w:rsidR="00E620C0" w:rsidRPr="0095448E">
        <w:rPr>
          <w:lang w:val="en-GB"/>
        </w:rPr>
        <w:t xml:space="preserve"> </w:t>
      </w:r>
      <w:r w:rsidR="0089191A" w:rsidRPr="0095448E">
        <w:rPr>
          <w:lang w:val="en-GB"/>
        </w:rPr>
        <w:t xml:space="preserve">In this perspective, SMEs </w:t>
      </w:r>
      <w:r w:rsidR="00165867" w:rsidRPr="0095448E">
        <w:rPr>
          <w:lang w:val="en-GB"/>
        </w:rPr>
        <w:t>cooperation as well as their links with research and financial institutions</w:t>
      </w:r>
      <w:r w:rsidR="0089191A" w:rsidRPr="0095448E">
        <w:rPr>
          <w:lang w:val="en-GB"/>
        </w:rPr>
        <w:t xml:space="preserve"> </w:t>
      </w:r>
      <w:r w:rsidR="00165867" w:rsidRPr="0095448E">
        <w:rPr>
          <w:lang w:val="en-GB"/>
        </w:rPr>
        <w:t>sh</w:t>
      </w:r>
      <w:r w:rsidR="0089191A" w:rsidRPr="0095448E">
        <w:rPr>
          <w:lang w:val="en-GB"/>
        </w:rPr>
        <w:t xml:space="preserve">ould be supported by governments as a means </w:t>
      </w:r>
      <w:r w:rsidR="00165867" w:rsidRPr="0095448E">
        <w:rPr>
          <w:lang w:val="en-GB"/>
        </w:rPr>
        <w:lastRenderedPageBreak/>
        <w:t>of</w:t>
      </w:r>
      <w:r w:rsidR="0089191A" w:rsidRPr="0095448E">
        <w:rPr>
          <w:lang w:val="en-GB"/>
        </w:rPr>
        <w:t xml:space="preserve"> knowledge sharing</w:t>
      </w:r>
      <w:r w:rsidR="00165867" w:rsidRPr="0095448E">
        <w:rPr>
          <w:lang w:val="en-GB"/>
        </w:rPr>
        <w:t xml:space="preserve"> and risk leverage (Yu et al., 2020)</w:t>
      </w:r>
      <w:r w:rsidR="0089191A" w:rsidRPr="0095448E">
        <w:rPr>
          <w:lang w:val="en-GB"/>
        </w:rPr>
        <w:t xml:space="preserve">. As Ding et al. (2020) showed that the CCS value in the Chinese steel sector should be assessed also in terms of capture readiness </w:t>
      </w:r>
      <w:r w:rsidR="00E620C0" w:rsidRPr="0095448E">
        <w:rPr>
          <w:lang w:val="en-GB"/>
        </w:rPr>
        <w:t>regarded as an integrated plant across the full chain of captu</w:t>
      </w:r>
      <w:r w:rsidR="0089191A" w:rsidRPr="0095448E">
        <w:rPr>
          <w:lang w:val="en-GB"/>
        </w:rPr>
        <w:t>re, transportation and storage.</w:t>
      </w:r>
    </w:p>
    <w:p w14:paraId="39BA7703" w14:textId="3CB0DAB4" w:rsidR="00C70A90" w:rsidRPr="0095448E" w:rsidRDefault="00C70A90" w:rsidP="00846350">
      <w:pPr>
        <w:pStyle w:val="Heading1"/>
      </w:pPr>
      <w:r w:rsidRPr="0095448E">
        <w:t>Conclusions</w:t>
      </w:r>
    </w:p>
    <w:p w14:paraId="324D148A" w14:textId="67F564E8" w:rsidR="00C70A90" w:rsidRPr="0095448E" w:rsidRDefault="00C70A90" w:rsidP="00C70A90">
      <w:pPr>
        <w:pStyle w:val="TAMainText"/>
      </w:pPr>
      <w:r w:rsidRPr="0095448E">
        <w:t xml:space="preserve">This paper sets out an agent-based modelling approach designed to characterise the investment decision making process in the industrial sector. The methodology has been tested on a specific case study involving ammonia production in China. Two cases have been simulated, with and without a carbon price, in order to show the effect of a carbon price on investment in novel and more sustainable technologies. The results have demonstrated a series of insights that can be summarised as follows. </w:t>
      </w:r>
    </w:p>
    <w:p w14:paraId="68E48C6C" w14:textId="29298AF0" w:rsidR="00C70A90" w:rsidRPr="0095448E" w:rsidRDefault="00C70A90" w:rsidP="00C70A90">
      <w:pPr>
        <w:pStyle w:val="TAMainText"/>
      </w:pPr>
      <w:r w:rsidRPr="0095448E">
        <w:t xml:space="preserve">Firstly, the adoption of a carbon price as a policy instrument to push the decarbonisation of the industrial sector can be effective, although carbon emission reduction can also be achieved where capex is lower and efficiency higher than incumbent technologies, as is the case with gas-based versus coal-based ammonia production. The carbon price applied could also be viewed as a proxy for any other decarbonisation policy instrument.  </w:t>
      </w:r>
    </w:p>
    <w:p w14:paraId="3CF195D7" w14:textId="44F74177" w:rsidR="00C70A90" w:rsidRPr="0095448E" w:rsidRDefault="00C70A90" w:rsidP="00C70A90">
      <w:pPr>
        <w:pStyle w:val="TAMainText"/>
      </w:pPr>
      <w:r w:rsidRPr="0095448E">
        <w:t>Secondly, if there is a carbon price in place, then carbon capture and storage could be pivotal to reduce CO</w:t>
      </w:r>
      <w:r w:rsidRPr="0095448E">
        <w:rPr>
          <w:vertAlign w:val="subscript"/>
        </w:rPr>
        <w:t>2</w:t>
      </w:r>
      <w:r w:rsidRPr="0095448E">
        <w:t xml:space="preserve"> emissions. This is due to the fact that while CCS is expensive where no market for CO</w:t>
      </w:r>
      <w:r w:rsidRPr="0095448E">
        <w:rPr>
          <w:vertAlign w:val="subscript"/>
        </w:rPr>
        <w:t>2</w:t>
      </w:r>
      <w:r w:rsidRPr="0095448E">
        <w:t xml:space="preserve"> reduction exists, it can become a profitable technology if CO</w:t>
      </w:r>
      <w:r w:rsidRPr="0095448E">
        <w:rPr>
          <w:vertAlign w:val="subscript"/>
        </w:rPr>
        <w:t>2</w:t>
      </w:r>
      <w:r w:rsidRPr="0095448E">
        <w:t xml:space="preserve"> emissions are priced with the aim of reaching a 2 °C target globally. In addition, in the long term, gas-based and biomethane-based ammonia production could compete under a high carbon price, with the outcome dependent on infrastructure, supply chain availability and land use constraints.  </w:t>
      </w:r>
    </w:p>
    <w:p w14:paraId="455E0DD8" w14:textId="52FB47F0" w:rsidR="00C70A90" w:rsidRPr="0095448E" w:rsidRDefault="00C70A90" w:rsidP="00C70A90">
      <w:pPr>
        <w:pStyle w:val="TAMainText"/>
      </w:pPr>
      <w:r w:rsidRPr="0095448E">
        <w:t xml:space="preserve">Finally, the adopted agent based approach allows a comprehensive characterisation of the industrial key players as it accounts for multiple investment objectives, as well as the presence of </w:t>
      </w:r>
      <w:r w:rsidRPr="0095448E">
        <w:lastRenderedPageBreak/>
        <w:t>constraints on novel technologies diffusion in the market. According to the statistical data, 28% of the ammonia market in China (represented by both small and large private Chinese firms) accounts for capital costs in the investment decision making. Consequently, more than a quarter of ammonia production in China may struggle to decarbonise even under a substantial carbon price. Facilitated access to capital would therefore make investment in novel technologies more attractive for all firms. Moreover, the results show that both net present value and payback time can be adopted and are suitable as investment metrics for the purpose of decarbonisation. On the other hand, capex driven investment would not be affected by carbon price policies, however novel, more efficient technologies may enter the market if supported by capital subsidies.</w:t>
      </w:r>
    </w:p>
    <w:p w14:paraId="0D039609" w14:textId="77777777" w:rsidR="00C70A90" w:rsidRPr="0095448E" w:rsidRDefault="00C70A90" w:rsidP="00C70A90">
      <w:pPr>
        <w:pStyle w:val="TAMainText"/>
      </w:pPr>
    </w:p>
    <w:p w14:paraId="13C0AA75" w14:textId="77777777" w:rsidR="00034246" w:rsidRPr="0095448E" w:rsidRDefault="00034246" w:rsidP="00EB5364">
      <w:pPr>
        <w:pStyle w:val="BATitle"/>
        <w:spacing w:before="0" w:after="0"/>
        <w:jc w:val="left"/>
        <w:rPr>
          <w:rFonts w:ascii="Times" w:hAnsi="Times"/>
          <w:b/>
          <w:bCs/>
          <w:sz w:val="24"/>
          <w:lang w:val="en-GB"/>
        </w:rPr>
      </w:pPr>
      <w:r w:rsidRPr="0095448E">
        <w:rPr>
          <w:rFonts w:ascii="Times" w:hAnsi="Times"/>
          <w:b/>
          <w:bCs/>
          <w:sz w:val="24"/>
          <w:lang w:val="en-GB"/>
        </w:rPr>
        <w:t>Acknowledgements</w:t>
      </w:r>
    </w:p>
    <w:p w14:paraId="6157F463" w14:textId="77777777" w:rsidR="00034246" w:rsidRPr="0095448E" w:rsidRDefault="00034246" w:rsidP="00632E2B">
      <w:pPr>
        <w:pStyle w:val="TDAcknowledgments"/>
        <w:rPr>
          <w:lang w:val="en-GB"/>
        </w:rPr>
      </w:pPr>
      <w:r w:rsidRPr="0095448E">
        <w:rPr>
          <w:lang w:val="en-GB"/>
        </w:rPr>
        <w:t>The authors would like to acknowledge the funding from the Sustainable Gas Institute. Funding for the Sustainable Gas Institute is gratefully received from Royal Dutch Shell, Enagas SA and the Newton/NERC/FAPESP Sustainable Gas Futures project NE/N018656/1. Note that funding bodies were not involved in the design, implementation or reporting of this study.</w:t>
      </w:r>
    </w:p>
    <w:p w14:paraId="0647686A" w14:textId="00C04BCD" w:rsidR="00632E2B" w:rsidRPr="0095448E" w:rsidRDefault="00A20231" w:rsidP="00A20231">
      <w:pPr>
        <w:pStyle w:val="BATitle"/>
        <w:spacing w:before="0" w:after="0"/>
        <w:jc w:val="left"/>
        <w:rPr>
          <w:rFonts w:ascii="Times" w:hAnsi="Times"/>
          <w:b/>
          <w:bCs/>
          <w:sz w:val="24"/>
          <w:lang w:val="en-GB"/>
        </w:rPr>
      </w:pPr>
      <w:r w:rsidRPr="0095448E">
        <w:rPr>
          <w:rFonts w:ascii="Times" w:hAnsi="Times"/>
          <w:b/>
          <w:bCs/>
          <w:sz w:val="24"/>
          <w:lang w:val="en-GB"/>
        </w:rPr>
        <w:t>List of symbols</w:t>
      </w:r>
    </w:p>
    <w:p w14:paraId="08503617" w14:textId="0562052B" w:rsidR="00F14411" w:rsidRPr="0095448E" w:rsidRDefault="00F14411" w:rsidP="00F14411">
      <w:pPr>
        <w:pStyle w:val="TAMainText"/>
      </w:pPr>
      <w:r w:rsidRPr="0095448E">
        <w:t xml:space="preserve">a, b: </w:t>
      </w:r>
      <w:r w:rsidRPr="0095448E">
        <w:tab/>
      </w:r>
      <w:r w:rsidRPr="0095448E">
        <w:tab/>
        <w:t>regression constant for the material demand projections</w:t>
      </w:r>
    </w:p>
    <w:p w14:paraId="1C6CED55" w14:textId="12C513F9" w:rsidR="0012027F" w:rsidRPr="0095448E" w:rsidRDefault="0012027F" w:rsidP="00F14411">
      <w:pPr>
        <w:pStyle w:val="TAMainText"/>
        <w:rPr>
          <w:lang w:val="en-GB"/>
        </w:rPr>
      </w:pPr>
      <w:r w:rsidRPr="0095448E">
        <w:t xml:space="preserve">ABM: </w:t>
      </w:r>
      <w:r w:rsidRPr="0095448E">
        <w:tab/>
        <w:t>Agent-Base Model</w:t>
      </w:r>
    </w:p>
    <w:p w14:paraId="190B33D9" w14:textId="41975C89" w:rsidR="00F14411" w:rsidRPr="0095448E" w:rsidRDefault="00F14411" w:rsidP="00632E2B">
      <w:pPr>
        <w:pStyle w:val="TAMainText"/>
      </w:pPr>
      <w:r w:rsidRPr="0095448E">
        <w:t xml:space="preserve">C: </w:t>
      </w:r>
      <w:r w:rsidRPr="0095448E">
        <w:tab/>
      </w:r>
      <w:r w:rsidRPr="0095448E">
        <w:tab/>
      </w:r>
      <w:r w:rsidRPr="0095448E">
        <w:rPr>
          <w:lang w:val="en-GB"/>
        </w:rPr>
        <w:t>Material Demand per capita</w:t>
      </w:r>
    </w:p>
    <w:p w14:paraId="0C0F76C8" w14:textId="45C14FDC" w:rsidR="00E85395" w:rsidRPr="0095448E" w:rsidRDefault="00E85395" w:rsidP="00632E2B">
      <w:pPr>
        <w:pStyle w:val="TAMainText"/>
      </w:pPr>
      <w:r w:rsidRPr="0095448E">
        <w:t xml:space="preserve">CCS: </w:t>
      </w:r>
      <w:r w:rsidRPr="0095448E">
        <w:tab/>
        <w:t>Carbon Capture and Storage</w:t>
      </w:r>
    </w:p>
    <w:p w14:paraId="43A9034E" w14:textId="1D57EB5B" w:rsidR="00F14411" w:rsidRPr="0095448E" w:rsidRDefault="00F14411" w:rsidP="00F14411">
      <w:pPr>
        <w:pStyle w:val="TAMainText"/>
        <w:rPr>
          <w:lang w:val="en-GB"/>
        </w:rPr>
      </w:pPr>
      <w:r w:rsidRPr="0095448E">
        <w:rPr>
          <w:lang w:val="en-GB"/>
        </w:rPr>
        <w:t>DCF:</w:t>
      </w:r>
      <w:r w:rsidRPr="0095448E">
        <w:rPr>
          <w:lang w:val="en-GB"/>
        </w:rPr>
        <w:tab/>
        <w:t>Discounted Cash Flow</w:t>
      </w:r>
    </w:p>
    <w:p w14:paraId="50ECB755" w14:textId="12EA7D2E" w:rsidR="009E4E75" w:rsidRPr="0095448E" w:rsidRDefault="009E4E75" w:rsidP="00F14411">
      <w:pPr>
        <w:pStyle w:val="TAMainText"/>
      </w:pPr>
      <w:r w:rsidRPr="0095448E">
        <w:rPr>
          <w:lang w:val="en-GB"/>
        </w:rPr>
        <w:t xml:space="preserve">DECC: </w:t>
      </w:r>
      <w:r w:rsidRPr="0095448E">
        <w:rPr>
          <w:lang w:val="en-GB"/>
        </w:rPr>
        <w:tab/>
        <w:t>Department of Energy and Climate Change</w:t>
      </w:r>
    </w:p>
    <w:p w14:paraId="45F0A200" w14:textId="4BACAFC5" w:rsidR="00F14411" w:rsidRPr="0095448E" w:rsidRDefault="00F14411" w:rsidP="00F14411">
      <w:pPr>
        <w:pStyle w:val="TAMainText"/>
      </w:pPr>
      <w:r w:rsidRPr="0095448E">
        <w:t>EMF:</w:t>
      </w:r>
      <w:r w:rsidRPr="0095448E">
        <w:tab/>
        <w:t>Energy Modelling Forum</w:t>
      </w:r>
    </w:p>
    <w:p w14:paraId="3ADFE452" w14:textId="42A59BEA" w:rsidR="009E4E75" w:rsidRPr="0095448E" w:rsidRDefault="009E4E75" w:rsidP="00F14411">
      <w:pPr>
        <w:pStyle w:val="TAMainText"/>
      </w:pPr>
      <w:r w:rsidRPr="0095448E">
        <w:lastRenderedPageBreak/>
        <w:t xml:space="preserve">GCAM: </w:t>
      </w:r>
      <w:r w:rsidRPr="0095448E">
        <w:tab/>
        <w:t>Global Change Assessment Model</w:t>
      </w:r>
    </w:p>
    <w:p w14:paraId="7685AC59" w14:textId="24C9300E" w:rsidR="00906786" w:rsidRPr="0095448E" w:rsidRDefault="00906786" w:rsidP="00F14411">
      <w:pPr>
        <w:pStyle w:val="TAMainText"/>
      </w:pPr>
      <w:r w:rsidRPr="0095448E">
        <w:rPr>
          <w:lang w:val="en-GB"/>
        </w:rPr>
        <w:t>GDP:</w:t>
      </w:r>
      <w:r w:rsidRPr="0095448E">
        <w:rPr>
          <w:lang w:val="en-GB"/>
        </w:rPr>
        <w:tab/>
        <w:t>Gross Domestic Product</w:t>
      </w:r>
    </w:p>
    <w:p w14:paraId="213C9D65" w14:textId="5B471B90" w:rsidR="00F14411" w:rsidRPr="0095448E" w:rsidRDefault="00F14411" w:rsidP="00632E2B">
      <w:pPr>
        <w:pStyle w:val="TAMainText"/>
        <w:rPr>
          <w:lang w:val="en-GB"/>
        </w:rPr>
      </w:pPr>
      <w:r w:rsidRPr="0095448E">
        <w:rPr>
          <w:lang w:val="en-GB"/>
        </w:rPr>
        <w:t>GDPpc:</w:t>
      </w:r>
      <w:r w:rsidRPr="0095448E">
        <w:rPr>
          <w:lang w:val="en-GB"/>
        </w:rPr>
        <w:tab/>
        <w:t>Gross Domestic Product per capita</w:t>
      </w:r>
    </w:p>
    <w:p w14:paraId="51F945C4" w14:textId="48002A3E" w:rsidR="00EB2868" w:rsidRPr="0095448E" w:rsidRDefault="00EB2868" w:rsidP="00632E2B">
      <w:pPr>
        <w:pStyle w:val="TAMainText"/>
        <w:rPr>
          <w:lang w:val="en-GB"/>
        </w:rPr>
      </w:pPr>
      <w:r w:rsidRPr="0095448E">
        <w:rPr>
          <w:lang w:val="en-GB"/>
        </w:rPr>
        <w:t xml:space="preserve">HFO: </w:t>
      </w:r>
      <w:r w:rsidRPr="0095448E">
        <w:rPr>
          <w:lang w:val="en-GB"/>
        </w:rPr>
        <w:tab/>
        <w:t>Heavy Fuel Oil</w:t>
      </w:r>
    </w:p>
    <w:p w14:paraId="6FB25862" w14:textId="36E29CA3" w:rsidR="00A422C9" w:rsidRPr="0095448E" w:rsidRDefault="00A422C9" w:rsidP="00632E2B">
      <w:pPr>
        <w:pStyle w:val="TAMainText"/>
        <w:rPr>
          <w:lang w:val="en-GB"/>
        </w:rPr>
      </w:pPr>
      <w:r w:rsidRPr="0095448E">
        <w:rPr>
          <w:lang w:val="en-GB"/>
        </w:rPr>
        <w:t xml:space="preserve">IRR: </w:t>
      </w:r>
      <w:r w:rsidRPr="0095448E">
        <w:rPr>
          <w:lang w:val="en-GB"/>
        </w:rPr>
        <w:tab/>
        <w:t>Internal Rate of Return</w:t>
      </w:r>
    </w:p>
    <w:p w14:paraId="44CC921D" w14:textId="00409BEE" w:rsidR="00483911" w:rsidRPr="0095448E" w:rsidRDefault="00E85395" w:rsidP="00632E2B">
      <w:pPr>
        <w:pStyle w:val="TAMainText"/>
        <w:rPr>
          <w:lang w:val="en-GB"/>
        </w:rPr>
      </w:pPr>
      <w:r w:rsidRPr="0095448E">
        <w:rPr>
          <w:lang w:val="en-GB"/>
        </w:rPr>
        <w:t>ISM:</w:t>
      </w:r>
      <w:r w:rsidRPr="0095448E">
        <w:rPr>
          <w:lang w:val="en-GB"/>
        </w:rPr>
        <w:tab/>
      </w:r>
      <w:r w:rsidRPr="0095448E">
        <w:rPr>
          <w:lang w:val="en-GB"/>
        </w:rPr>
        <w:tab/>
        <w:t>Industrial Sector Module</w:t>
      </w:r>
    </w:p>
    <w:p w14:paraId="49AAAD76" w14:textId="3C7642D5" w:rsidR="00F14411" w:rsidRPr="0095448E" w:rsidRDefault="00F14411" w:rsidP="00632E2B">
      <w:pPr>
        <w:pStyle w:val="TAMainText"/>
        <w:rPr>
          <w:lang w:val="en-GB"/>
        </w:rPr>
      </w:pPr>
      <w:r w:rsidRPr="0095448E">
        <w:rPr>
          <w:lang w:val="en-GB"/>
        </w:rPr>
        <w:t xml:space="preserve">LE: </w:t>
      </w:r>
      <w:r w:rsidRPr="0095448E">
        <w:rPr>
          <w:lang w:val="en-GB"/>
        </w:rPr>
        <w:tab/>
      </w:r>
      <w:r w:rsidRPr="0095448E">
        <w:rPr>
          <w:lang w:val="en-GB"/>
        </w:rPr>
        <w:tab/>
        <w:t>Large Enterprise</w:t>
      </w:r>
    </w:p>
    <w:p w14:paraId="1FEEAEA9" w14:textId="0EC6AB48" w:rsidR="009E4E75" w:rsidRPr="0095448E" w:rsidRDefault="009E4E75" w:rsidP="00632E2B">
      <w:pPr>
        <w:pStyle w:val="TAMainText"/>
        <w:rPr>
          <w:lang w:val="en-GB"/>
        </w:rPr>
      </w:pPr>
      <w:r w:rsidRPr="0095448E">
        <w:rPr>
          <w:lang w:val="en-GB"/>
        </w:rPr>
        <w:t xml:space="preserve">NEMS: </w:t>
      </w:r>
      <w:r w:rsidRPr="0095448E">
        <w:rPr>
          <w:lang w:val="en-GB"/>
        </w:rPr>
        <w:tab/>
        <w:t>National Energy Model</w:t>
      </w:r>
    </w:p>
    <w:p w14:paraId="76A594D6" w14:textId="2797E1ED" w:rsidR="00A422C9" w:rsidRPr="0095448E" w:rsidRDefault="00A422C9" w:rsidP="00632E2B">
      <w:pPr>
        <w:pStyle w:val="TAMainText"/>
        <w:rPr>
          <w:lang w:val="en-GB"/>
        </w:rPr>
      </w:pPr>
      <w:r w:rsidRPr="0095448E">
        <w:rPr>
          <w:lang w:val="en-GB"/>
        </w:rPr>
        <w:t xml:space="preserve">NPV: </w:t>
      </w:r>
      <w:r w:rsidRPr="0095448E">
        <w:rPr>
          <w:lang w:val="en-GB"/>
        </w:rPr>
        <w:tab/>
        <w:t>Net Present Value</w:t>
      </w:r>
    </w:p>
    <w:p w14:paraId="1927D848" w14:textId="66EC690A" w:rsidR="00F14411" w:rsidRPr="0095448E" w:rsidRDefault="008D4F9B" w:rsidP="00632E2B">
      <w:pPr>
        <w:pStyle w:val="TAMainText"/>
        <w:rPr>
          <w:iCs/>
          <w:lang w:val="en-GB"/>
        </w:rPr>
      </w:pPr>
      <m:oMath>
        <m:sSub>
          <m:sSubPr>
            <m:ctrlPr>
              <w:rPr>
                <w:rFonts w:ascii="Cambria Math" w:hAnsi="Cambria Math"/>
                <w:iCs/>
                <w:lang w:val="en-GB"/>
              </w:rPr>
            </m:ctrlPr>
          </m:sSubPr>
          <m:e>
            <m:r>
              <m:rPr>
                <m:sty m:val="p"/>
              </m:rPr>
              <w:rPr>
                <w:rFonts w:ascii="Cambria Math" w:hAnsi="Cambria Math"/>
                <w:lang w:val="en-GB"/>
              </w:rPr>
              <m:t>obj</m:t>
            </m:r>
          </m:e>
          <m:sub>
            <m:r>
              <m:rPr>
                <m:sty m:val="p"/>
              </m:rPr>
              <w:rPr>
                <w:rFonts w:ascii="Cambria Math" w:hAnsi="Cambria Math"/>
                <w:lang w:val="en-GB"/>
              </w:rPr>
              <m:t>i</m:t>
            </m:r>
          </m:sub>
        </m:sSub>
      </m:oMath>
      <w:r w:rsidR="00F14411" w:rsidRPr="0095448E">
        <w:rPr>
          <w:iCs/>
          <w:lang w:val="en-GB"/>
        </w:rPr>
        <w:t xml:space="preserve">: </w:t>
      </w:r>
      <w:r w:rsidR="00F14411" w:rsidRPr="0095448E">
        <w:rPr>
          <w:iCs/>
          <w:lang w:val="en-GB"/>
        </w:rPr>
        <w:tab/>
      </w:r>
      <w:r w:rsidR="00F14411" w:rsidRPr="0095448E">
        <w:rPr>
          <w:iCs/>
          <w:lang w:val="en-GB"/>
        </w:rPr>
        <w:tab/>
        <w:t>Investor’s objective</w:t>
      </w:r>
    </w:p>
    <w:p w14:paraId="555EBA53" w14:textId="2278CEAF" w:rsidR="00F14411" w:rsidRPr="0095448E" w:rsidRDefault="008D4F9B" w:rsidP="00632E2B">
      <w:pPr>
        <w:pStyle w:val="TAMainText"/>
        <w:rPr>
          <w:iCs/>
          <w:lang w:val="en-GB"/>
        </w:rPr>
      </w:pPr>
      <m:oMath>
        <m:sSub>
          <m:sSubPr>
            <m:ctrlPr>
              <w:rPr>
                <w:rFonts w:ascii="Cambria Math" w:hAnsi="Cambria Math"/>
                <w:iCs/>
                <w:lang w:val="en-GB"/>
              </w:rPr>
            </m:ctrlPr>
          </m:sSubPr>
          <m:e>
            <m:r>
              <m:rPr>
                <m:sty m:val="p"/>
              </m:rPr>
              <w:rPr>
                <w:rFonts w:ascii="Cambria Math" w:hAnsi="Cambria Math"/>
                <w:lang w:val="en-GB"/>
              </w:rPr>
              <m:t>obj</m:t>
            </m:r>
          </m:e>
          <m:sub>
            <m:r>
              <m:rPr>
                <m:sty m:val="p"/>
              </m:rPr>
              <w:rPr>
                <w:rFonts w:ascii="Cambria Math" w:hAnsi="Cambria Math"/>
                <w:lang w:val="en-GB"/>
              </w:rPr>
              <m:t>WS</m:t>
            </m:r>
          </m:sub>
        </m:sSub>
      </m:oMath>
      <w:r w:rsidR="00F14411" w:rsidRPr="0095448E">
        <w:rPr>
          <w:iCs/>
          <w:lang w:val="en-GB"/>
        </w:rPr>
        <w:t>:</w:t>
      </w:r>
      <w:r w:rsidR="00F14411" w:rsidRPr="0095448E">
        <w:rPr>
          <w:iCs/>
          <w:lang w:val="en-GB"/>
        </w:rPr>
        <w:tab/>
        <w:t>Weighted-average investor’s objective</w:t>
      </w:r>
    </w:p>
    <w:p w14:paraId="0F9DD7CF" w14:textId="0510D66F" w:rsidR="00A422C9" w:rsidRPr="0095448E" w:rsidRDefault="00A422C9" w:rsidP="00632E2B">
      <w:pPr>
        <w:pStyle w:val="TAMainText"/>
        <w:rPr>
          <w:lang w:val="en-GB"/>
        </w:rPr>
      </w:pPr>
      <w:r w:rsidRPr="0095448E">
        <w:rPr>
          <w:iCs/>
          <w:lang w:val="en-GB"/>
        </w:rPr>
        <w:t xml:space="preserve">PB: </w:t>
      </w:r>
      <w:r w:rsidRPr="0095448E">
        <w:rPr>
          <w:iCs/>
          <w:lang w:val="en-GB"/>
        </w:rPr>
        <w:tab/>
      </w:r>
      <w:r w:rsidRPr="0095448E">
        <w:rPr>
          <w:iCs/>
          <w:lang w:val="en-GB"/>
        </w:rPr>
        <w:tab/>
        <w:t>Payback Time</w:t>
      </w:r>
    </w:p>
    <w:p w14:paraId="00B40EF4" w14:textId="13ADD39C" w:rsidR="008369C5" w:rsidRPr="0095448E" w:rsidRDefault="008369C5" w:rsidP="00632E2B">
      <w:pPr>
        <w:pStyle w:val="TAMainText"/>
      </w:pPr>
      <w:r w:rsidRPr="0095448E">
        <w:t>R&amp;D:</w:t>
      </w:r>
      <w:r w:rsidRPr="0095448E">
        <w:tab/>
        <w:t>Research and Development</w:t>
      </w:r>
    </w:p>
    <w:p w14:paraId="0E9BB202" w14:textId="72332943" w:rsidR="006767C8" w:rsidRPr="0095448E" w:rsidRDefault="006767C8" w:rsidP="00632E2B">
      <w:pPr>
        <w:pStyle w:val="TAMainText"/>
      </w:pPr>
      <w:r w:rsidRPr="0095448E">
        <w:t xml:space="preserve">SRI: </w:t>
      </w:r>
      <w:r w:rsidRPr="0095448E">
        <w:tab/>
      </w:r>
      <w:r w:rsidRPr="0095448E">
        <w:tab/>
        <w:t>Socially Responsible Investment</w:t>
      </w:r>
    </w:p>
    <w:p w14:paraId="07FF9B6D" w14:textId="3EC75927" w:rsidR="00E85395" w:rsidRPr="0095448E" w:rsidRDefault="00E85395" w:rsidP="00632E2B">
      <w:pPr>
        <w:pStyle w:val="TAMainText"/>
      </w:pPr>
      <w:r w:rsidRPr="0095448E">
        <w:t>SME:</w:t>
      </w:r>
      <w:r w:rsidRPr="0095448E">
        <w:tab/>
        <w:t>Small and Medium Enterprise</w:t>
      </w:r>
    </w:p>
    <w:p w14:paraId="7E3CB587" w14:textId="77777777" w:rsidR="00F14411" w:rsidRPr="0095448E" w:rsidRDefault="00F14411" w:rsidP="00F14411">
      <w:pPr>
        <w:pStyle w:val="TAMainText"/>
        <w:rPr>
          <w:lang w:val="en-GB"/>
        </w:rPr>
      </w:pPr>
      <w:r w:rsidRPr="0095448E">
        <w:rPr>
          <w:lang w:val="en-GB"/>
        </w:rPr>
        <w:t xml:space="preserve">TFEC: </w:t>
      </w:r>
      <w:r w:rsidRPr="0095448E">
        <w:rPr>
          <w:lang w:val="en-GB"/>
        </w:rPr>
        <w:tab/>
        <w:t>Total Final Energy Consumption</w:t>
      </w:r>
    </w:p>
    <w:p w14:paraId="07549ED1" w14:textId="093776E1" w:rsidR="007D454F" w:rsidRPr="0095448E" w:rsidRDefault="008D4F9B" w:rsidP="007D454F">
      <w:pPr>
        <w:pStyle w:val="TAMainText"/>
        <w:rPr>
          <w:iCs/>
          <w:lang w:val="en-GB"/>
        </w:rPr>
      </w:pPr>
      <m:oMath>
        <m:sSub>
          <m:sSubPr>
            <m:ctrlPr>
              <w:rPr>
                <w:rFonts w:ascii="Cambria Math" w:hAnsi="Cambria Math"/>
                <w:iCs/>
                <w:lang w:val="en-GB"/>
              </w:rPr>
            </m:ctrlPr>
          </m:sSubPr>
          <m:e>
            <m:r>
              <m:rPr>
                <m:sty m:val="p"/>
              </m:rPr>
              <w:rPr>
                <w:rFonts w:ascii="Cambria Math" w:hAnsi="Cambria Math"/>
                <w:lang w:val="en-GB"/>
              </w:rPr>
              <m:t>w</m:t>
            </m:r>
          </m:e>
          <m:sub>
            <m:r>
              <m:rPr>
                <m:sty m:val="p"/>
              </m:rPr>
              <w:rPr>
                <w:rFonts w:ascii="Cambria Math" w:hAnsi="Cambria Math"/>
                <w:lang w:val="en-GB"/>
              </w:rPr>
              <m:t>i</m:t>
            </m:r>
          </m:sub>
        </m:sSub>
      </m:oMath>
      <w:r w:rsidR="00F14411" w:rsidRPr="0095448E">
        <w:rPr>
          <w:iCs/>
          <w:lang w:val="en-GB"/>
        </w:rPr>
        <w:t xml:space="preserve">: </w:t>
      </w:r>
      <w:r w:rsidR="00F14411" w:rsidRPr="0095448E">
        <w:rPr>
          <w:iCs/>
          <w:lang w:val="en-GB"/>
        </w:rPr>
        <w:tab/>
      </w:r>
      <w:r w:rsidR="00F14411" w:rsidRPr="0095448E">
        <w:rPr>
          <w:iCs/>
          <w:lang w:val="en-GB"/>
        </w:rPr>
        <w:tab/>
        <w:t>W</w:t>
      </w:r>
      <w:r w:rsidR="007D454F" w:rsidRPr="0095448E">
        <w:rPr>
          <w:iCs/>
          <w:lang w:val="en-GB"/>
        </w:rPr>
        <w:t>eight</w:t>
      </w:r>
      <w:r w:rsidR="00F14411" w:rsidRPr="0095448E">
        <w:rPr>
          <w:iCs/>
          <w:lang w:val="en-GB"/>
        </w:rPr>
        <w:t xml:space="preserve"> for objective </w:t>
      </w:r>
      <m:oMath>
        <m:sSub>
          <m:sSubPr>
            <m:ctrlPr>
              <w:rPr>
                <w:rFonts w:ascii="Cambria Math" w:hAnsi="Cambria Math"/>
                <w:iCs/>
                <w:lang w:val="en-GB"/>
              </w:rPr>
            </m:ctrlPr>
          </m:sSubPr>
          <m:e>
            <m:r>
              <m:rPr>
                <m:sty m:val="p"/>
              </m:rPr>
              <w:rPr>
                <w:rFonts w:ascii="Cambria Math" w:hAnsi="Cambria Math"/>
                <w:lang w:val="en-GB"/>
              </w:rPr>
              <m:t>obj</m:t>
            </m:r>
          </m:e>
          <m:sub>
            <m:r>
              <m:rPr>
                <m:sty m:val="p"/>
              </m:rPr>
              <w:rPr>
                <w:rFonts w:ascii="Cambria Math" w:hAnsi="Cambria Math"/>
                <w:lang w:val="en-GB"/>
              </w:rPr>
              <m:t>i</m:t>
            </m:r>
          </m:sub>
        </m:sSub>
      </m:oMath>
    </w:p>
    <w:p w14:paraId="2FD85295" w14:textId="339EEAF3" w:rsidR="009E4E75" w:rsidRPr="0095448E" w:rsidRDefault="009E4E75" w:rsidP="007D454F">
      <w:pPr>
        <w:pStyle w:val="TAMainText"/>
        <w:rPr>
          <w:iCs/>
          <w:lang w:val="en-GB"/>
        </w:rPr>
      </w:pPr>
      <w:r w:rsidRPr="0095448E">
        <w:rPr>
          <w:iCs/>
          <w:lang w:val="en-GB"/>
        </w:rPr>
        <w:t xml:space="preserve">WITCH: </w:t>
      </w:r>
      <w:r w:rsidRPr="0095448E">
        <w:rPr>
          <w:iCs/>
          <w:lang w:val="en-GB"/>
        </w:rPr>
        <w:tab/>
        <w:t>World Induced Technical Change Hybrid</w:t>
      </w:r>
    </w:p>
    <w:p w14:paraId="5D22F92F" w14:textId="77777777" w:rsidR="009E4E75" w:rsidRPr="0095448E" w:rsidRDefault="009E4E75" w:rsidP="007D454F">
      <w:pPr>
        <w:pStyle w:val="TAMainText"/>
        <w:rPr>
          <w:iCs/>
          <w:lang w:val="en-GB"/>
        </w:rPr>
      </w:pPr>
    </w:p>
    <w:sdt>
      <w:sdtPr>
        <w:rPr>
          <w:rFonts w:ascii="Times" w:hAnsi="Times"/>
          <w:b/>
          <w:bCs/>
          <w:noProof/>
          <w:sz w:val="24"/>
          <w:szCs w:val="24"/>
          <w:lang w:val="en-GB"/>
        </w:rPr>
        <w:id w:val="-99482022"/>
        <w:docPartObj>
          <w:docPartGallery w:val="Bibliographies"/>
          <w:docPartUnique/>
        </w:docPartObj>
      </w:sdtPr>
      <w:sdtEndPr>
        <w:rPr>
          <w:b w:val="0"/>
          <w:bCs w:val="0"/>
          <w:noProof w:val="0"/>
          <w:szCs w:val="20"/>
          <w:lang w:val="en-US"/>
        </w:rPr>
      </w:sdtEndPr>
      <w:sdtContent>
        <w:p w14:paraId="7C7D53F1" w14:textId="77777777" w:rsidR="00632E2B" w:rsidRPr="0095448E" w:rsidRDefault="00632E2B" w:rsidP="00632E2B">
          <w:pPr>
            <w:pStyle w:val="BATitle"/>
            <w:spacing w:before="0" w:after="0"/>
            <w:jc w:val="left"/>
            <w:rPr>
              <w:rFonts w:ascii="Times" w:hAnsi="Times"/>
              <w:b/>
              <w:bCs/>
              <w:sz w:val="24"/>
            </w:rPr>
          </w:pPr>
          <w:r w:rsidRPr="0095448E">
            <w:rPr>
              <w:rFonts w:ascii="Times" w:hAnsi="Times"/>
              <w:b/>
              <w:bCs/>
              <w:sz w:val="24"/>
            </w:rPr>
            <w:t>Bibliography</w:t>
          </w:r>
        </w:p>
        <w:sdt>
          <w:sdtPr>
            <w:id w:val="111145805"/>
            <w:bibliography/>
          </w:sdtPr>
          <w:sdtEndPr/>
          <w:sdtContent>
            <w:p w14:paraId="6F0A2F8C" w14:textId="77777777" w:rsidR="00632E2B" w:rsidRPr="0095448E" w:rsidRDefault="00632E2B" w:rsidP="00C8285F">
              <w:pPr>
                <w:pStyle w:val="TFReferencesSection"/>
              </w:pPr>
              <w:r w:rsidRPr="0095448E">
                <w:fldChar w:fldCharType="begin" w:fldLock="1"/>
              </w:r>
              <w:r w:rsidRPr="0095448E">
                <w:instrText xml:space="preserve">ADDIN Mendeley Bibliography CSL_BIBLIOGRAPHY </w:instrText>
              </w:r>
              <w:r w:rsidRPr="0095448E">
                <w:fldChar w:fldCharType="separate"/>
              </w:r>
              <w:r w:rsidRPr="0095448E">
                <w:t>Abdelaziz, E.A., Saidur, R., Mekhilef, S., 2011. A review on energy saving strategies in industrial sector. Renew. Sustain. Energy Rev. 15, 150–168. https://doi.org/http://dx.doi.org/10.1016/j.rser.2010.09.003</w:t>
              </w:r>
            </w:p>
            <w:p w14:paraId="74CEF662" w14:textId="77777777" w:rsidR="00632E2B" w:rsidRPr="0095448E" w:rsidRDefault="00632E2B" w:rsidP="00C8285F">
              <w:pPr>
                <w:pStyle w:val="TFReferencesSection"/>
              </w:pPr>
              <w:r w:rsidRPr="0095448E">
                <w:lastRenderedPageBreak/>
                <w:t>AEA, 2011. Comparative Review of the DECC Energy Model [WWW Document]. URL https://www.theccc.org.uk/archive/aws/AEA (2011) Comparative review of the DECC Energy Model.pdf</w:t>
              </w:r>
            </w:p>
            <w:p w14:paraId="42CEF66D" w14:textId="49223362" w:rsidR="00632E2B" w:rsidRPr="0095448E" w:rsidRDefault="00632E2B" w:rsidP="00C8285F">
              <w:pPr>
                <w:pStyle w:val="TFReferencesSection"/>
              </w:pPr>
              <w:r w:rsidRPr="0095448E">
                <w:t>Allwood, J.M., Cullen, J.M., Milford, R.L., 2010. Options for Achieving a 50% Cut in Industrial Carbon Emissions by 2050. Environ. Sci. Technol. 44, 1888–1894. https://doi.org/10.1021/es902909k</w:t>
              </w:r>
            </w:p>
            <w:p w14:paraId="401A1250" w14:textId="6C0BE44A" w:rsidR="00A52E5E" w:rsidRPr="0095448E" w:rsidRDefault="00A52E5E" w:rsidP="00C8285F">
              <w:pPr>
                <w:pStyle w:val="TFReferencesSection"/>
              </w:pPr>
              <w:r w:rsidRPr="0095448E">
                <w:t>Bicer, Y., Dincer, I., Vezina, G., Raso, F., 2017. Impact Assessment and Environmental Evaluation of Various Ammonia Production Processes. Environmental Management, 59(5), 842–855. doi: 10.1007/s00267-017-0831-6.</w:t>
              </w:r>
            </w:p>
            <w:p w14:paraId="147B4B9A" w14:textId="77777777" w:rsidR="00632E2B" w:rsidRPr="0095448E" w:rsidRDefault="00632E2B" w:rsidP="00C8285F">
              <w:pPr>
                <w:pStyle w:val="TFReferencesSection"/>
              </w:pPr>
              <w:r w:rsidRPr="0095448E">
                <w:t>Budinis, S., Dowell, N.M., Krevor, S., Dixon, T., Kemper, J., Hawkes, A., 2017. Can Carbon Capture and Storage Unlock “Unburnable Carbon”?, in: Energy Procedia. https://doi.org/10.1016/j.egypro.2017.03.1883</w:t>
              </w:r>
            </w:p>
            <w:p w14:paraId="59101B40" w14:textId="328251DD" w:rsidR="00632E2B" w:rsidRPr="0095448E" w:rsidRDefault="00632E2B" w:rsidP="00C8285F">
              <w:pPr>
                <w:pStyle w:val="TFReferencesSection"/>
              </w:pPr>
              <w:r w:rsidRPr="0095448E">
                <w:t>Budinis, S., Krevor, S., Dowell, N.M.N.M.</w:t>
              </w:r>
              <w:r w:rsidR="00BE721D" w:rsidRPr="0095448E">
                <w:t>, Brandon, N., Hawkes, A., 2018</w:t>
              </w:r>
              <w:r w:rsidRPr="0095448E">
                <w:t>. An assessment of CCS costs, barriers and potential. Energy Strateg. Rev. 22, 61–81. https://doi.org/10.1016/j.esr.2018.08.003</w:t>
              </w:r>
            </w:p>
            <w:p w14:paraId="59F24AF4" w14:textId="77777777" w:rsidR="00632E2B" w:rsidRPr="0095448E" w:rsidRDefault="00632E2B" w:rsidP="00C8285F">
              <w:pPr>
                <w:pStyle w:val="TFReferencesSection"/>
              </w:pPr>
              <w:r w:rsidRPr="0095448E">
                <w:t>Bureau Van Dijk, 2019. Oriana [WWW Document]. URL https://www.bvdinfo.com/en-gb/our-products/data/international/oriana</w:t>
              </w:r>
            </w:p>
            <w:p w14:paraId="3F325147" w14:textId="77777777" w:rsidR="00632E2B" w:rsidRPr="0095448E" w:rsidRDefault="00632E2B" w:rsidP="00C8285F">
              <w:pPr>
                <w:pStyle w:val="TFReferencesSection"/>
              </w:pPr>
              <w:r w:rsidRPr="0095448E">
                <w:t>Chan, H., Haddad, K.M., Sterk, W., 2010. Capital Budgeting Practices of Chinese Firms [WWW Document]. J. Glob. Bus. Manag. URL http://www.jgbm.org/page/18 Kamal M. Haddad .pdf</w:t>
              </w:r>
            </w:p>
            <w:p w14:paraId="344A37B0" w14:textId="47D0B9B8" w:rsidR="00806756" w:rsidRPr="0095448E" w:rsidRDefault="00806756" w:rsidP="00C8285F">
              <w:pPr>
                <w:pStyle w:val="TFReferencesSection"/>
              </w:pPr>
              <w:r w:rsidRPr="0095448E">
                <w:lastRenderedPageBreak/>
                <w:t>Chang, N., 2015. Changing industrial structure to reduce carbon dioxide emissions: a Chinese application, Journal of Cleaner Production. Elsevier, 103, 40–48. doi: 10.1016/J.JCLEPRO.2014.03.003.</w:t>
              </w:r>
            </w:p>
            <w:p w14:paraId="0864D415" w14:textId="56D7EA74" w:rsidR="00632E2B" w:rsidRPr="0095448E" w:rsidRDefault="00632E2B" w:rsidP="00C8285F">
              <w:pPr>
                <w:pStyle w:val="TFReferencesSection"/>
              </w:pPr>
              <w:r w:rsidRPr="0095448E">
                <w:t>COP21, 2015. Adoption Of The Paris Agreement [WWW Document]. URL http://www.cop21.gouv.fr/wp-content/uploads/2015/12/l09r01.pdf</w:t>
              </w:r>
            </w:p>
            <w:p w14:paraId="1F28E174" w14:textId="77777777" w:rsidR="00632E2B" w:rsidRPr="0095448E" w:rsidRDefault="00632E2B" w:rsidP="00C8285F">
              <w:pPr>
                <w:pStyle w:val="TFReferencesSection"/>
              </w:pPr>
              <w:r w:rsidRPr="0095448E">
                <w:t>Daly, H.E., Fais, B., 2014. UK TIMES MODELS: OVERVIEW [WWW Document]. URL https://www.ucl.ac.uk/energy-models/models/uktm-ucl/uktm-documentation-overview</w:t>
              </w:r>
            </w:p>
            <w:p w14:paraId="7E5DDEFA" w14:textId="77777777" w:rsidR="00632E2B" w:rsidRPr="0095448E" w:rsidRDefault="00632E2B" w:rsidP="00C8285F">
              <w:pPr>
                <w:pStyle w:val="TFReferencesSection"/>
              </w:pPr>
              <w:r w:rsidRPr="0095448E">
                <w:t>Danielson, M., Scott, J., 2006. The capital budgeting decisions of small businesses.</w:t>
              </w:r>
            </w:p>
            <w:p w14:paraId="50C1062F" w14:textId="77777777" w:rsidR="00BB43FE" w:rsidRPr="0095448E" w:rsidRDefault="008662A3" w:rsidP="00BB43FE">
              <w:pPr>
                <w:pStyle w:val="TFReferencesSection"/>
              </w:pPr>
              <w:r w:rsidRPr="0095448E">
                <w:t xml:space="preserve">Ding, H., Zheng, H., Liang, X., Ren, L., 2020. Getting ready for carbon capture and storage in the iron and steel sector in China: Assessing the value of </w:t>
              </w:r>
              <w:r w:rsidR="00BB43FE" w:rsidRPr="0095448E">
                <w:t>capture readiness.</w:t>
              </w:r>
              <w:r w:rsidRPr="0095448E">
                <w:t xml:space="preserve"> Journal of Cleaner </w:t>
              </w:r>
              <w:r w:rsidR="00BB43FE" w:rsidRPr="0095448E">
                <w:t>Production, 244, doi: 10.1016/J.JCLEPRO.2019.118953.</w:t>
              </w:r>
            </w:p>
            <w:p w14:paraId="1F41D0F7" w14:textId="77777777" w:rsidR="00632E2B" w:rsidRPr="0095448E" w:rsidRDefault="00632E2B" w:rsidP="00C8285F">
              <w:pPr>
                <w:pStyle w:val="TFReferencesSection"/>
              </w:pPr>
              <w:r w:rsidRPr="0095448E">
                <w:t>Dong, H., Dai, H., Geng, Y., Fujita, T., Liu, Z., Xie, Y., Wu, R., Fujii, M., Masui, T., Tang, L., 2017. Exploring impact of carbon tax on China’s CO2 reductions and provincial disparities. Renew. Sustain. Energy Rev. 77, 596–603. https://doi.org/10.1016/J.RSER.2017.04.044</w:t>
              </w:r>
            </w:p>
            <w:p w14:paraId="3AFA5A17" w14:textId="77777777" w:rsidR="00632E2B" w:rsidRPr="0095448E" w:rsidRDefault="00632E2B" w:rsidP="00C8285F">
              <w:pPr>
                <w:pStyle w:val="TFReferencesSection"/>
              </w:pPr>
              <w:r w:rsidRPr="0095448E">
                <w:t>Dong, X., Pi, G., Ma, Z., Dong, C., 2017. The reform of the natural gas industry in the PR of China. Renew. Sustain. Energy Rev. 73, 582–593. https://doi.org/https://doi.org/10.1016/j.rser.2017.01.157</w:t>
              </w:r>
            </w:p>
            <w:p w14:paraId="315EED56" w14:textId="77777777" w:rsidR="00632E2B" w:rsidRPr="0095448E" w:rsidRDefault="00632E2B" w:rsidP="00C8285F">
              <w:pPr>
                <w:pStyle w:val="TFReferencesSection"/>
              </w:pPr>
              <w:r w:rsidRPr="0095448E">
                <w:t>Edelenbosch, O.Y., Kermeli, K., Crijns-Graus, W., Worrell, E., Bibas, R., Fais, B., Fujimori, S., Kyle, P., Sano, F., van Vuuren, D.P., 2017. Comparing projections of industrial energy demand and greenhouse gas emissions in long-term energy models. Energy 122, 701–710. https://doi.org/http://dx.doi.org/10.1016/j.energy.2017.01.017</w:t>
              </w:r>
            </w:p>
            <w:p w14:paraId="21C3D2F0" w14:textId="77777777" w:rsidR="00632E2B" w:rsidRPr="0095448E" w:rsidRDefault="00632E2B" w:rsidP="00C8285F">
              <w:pPr>
                <w:pStyle w:val="TFReferencesSection"/>
              </w:pPr>
              <w:r w:rsidRPr="0095448E">
                <w:lastRenderedPageBreak/>
                <w:t>Edenhofer, O., Pichs-Madruga, R., Sokona, Y., Kadner, S., Minx, J.C., Brunner, S., Agrawala, S., Baiocchi, G., Bashmakov, I.A., Blanco, G., Broome, J., Bruckner, T., Bustamante, M., Clarke, L., Conte Grand, M., Creutzig, F., Cruz-Núñez, X., Dhakal, S., Dubash, N.K., Eickemeier, P., Farahani, E., Fischedick, M., Fleurbaey, M., Gerlagh, R., Gómez-Echeverri, L., Gupta, S., Harnisch, J., Jiang, K., Jotzo, F., Kartha, S., Klasen, S., Kolstad, C., Krey, V., Kunreuther, H., Lucon, O., Masera, O., Mulugetta, Y., Norgaard, R.B., Patt, A., Ravindranath, N.H., Riahi, K., Roy, J., Sagar, A., Schaeffer, R., Schlömer, S., Seto, K.C., Seyboth, K., Sims, R., Smith, P., Somanathan, E., Stavins, R., von Stechow, C., Sterner, T., Sugiyama, T., Suh, S., Ürge-Vorsatz, D., Urama, K., Venables, A., Victor, D.G., Weber, E., Zhou, D., Zou, J., Zwickel, T., IPCC, Stocker, T.F., Qin, D., Plattner, G.-K., Tignor, M., Allen, S.K., Boschung, J., Nauels, A., Xia, Y., Bex, V., Midgley, P.M., 2014. Climate Change 2014: Mitigation of Climate Change. Contribution of Working Group III to the Fifth Assessment Report of the Intergovernmental Panel on Climate Change. Cambridge University Press, Cambridge, United Kingdom and New York, NY, USA. https://doi.org/10.1017/CBO9781107415324</w:t>
              </w:r>
            </w:p>
            <w:p w14:paraId="707FFABB" w14:textId="77777777" w:rsidR="00632E2B" w:rsidRPr="0095448E" w:rsidRDefault="00632E2B" w:rsidP="00C8285F">
              <w:pPr>
                <w:pStyle w:val="TFReferencesSection"/>
              </w:pPr>
              <w:r w:rsidRPr="0095448E">
                <w:t>EIA, 2013. Model documentation report: industrial demand module of the national energy modeling system. Retrieved from the EIA website:, [WWW Document]. URL http://www.eia.gov/forecasts/aeo/nems/documentation/industrial/pdf/m064%282013%29.pdf</w:t>
              </w:r>
            </w:p>
            <w:p w14:paraId="630AA991" w14:textId="77777777" w:rsidR="00632E2B" w:rsidRPr="0095448E" w:rsidRDefault="00632E2B" w:rsidP="00C8285F">
              <w:pPr>
                <w:pStyle w:val="TFReferencesSection"/>
              </w:pPr>
              <w:r w:rsidRPr="0095448E">
                <w:t>Escrig-Olmedo, E., Rivera-Lirio, J.M., Muñoz-Torres, M.J., Fernández-Izquierdo, M.Á., 2017. Integrating multiple ESG investors’ preferences into sustainable investment: A fuzzy multicriteria methodological approach. J. Clean. Prod. 162, 1334–1345. https://doi.org/http://dx.doi.org/10.1016/j.jclepro.2017.06.143</w:t>
              </w:r>
            </w:p>
            <w:p w14:paraId="2B18134B" w14:textId="77777777" w:rsidR="00632E2B" w:rsidRPr="0095448E" w:rsidRDefault="00632E2B" w:rsidP="00C8285F">
              <w:pPr>
                <w:pStyle w:val="TFReferencesSection"/>
              </w:pPr>
              <w:r w:rsidRPr="0095448E">
                <w:lastRenderedPageBreak/>
                <w:t>Fais, B., Sabio, N., Strachan, N., 2016. The critical role of the industrial sector in reaching long-term emission reduction, energy efficiency and renewable targets. Appl. Energy 162, 699–712. https://doi.org/http://dx.doi.org/10.1016/j.apenergy.2015.10.112</w:t>
              </w:r>
            </w:p>
            <w:p w14:paraId="55A8E223" w14:textId="77777777" w:rsidR="00632E2B" w:rsidRPr="0095448E" w:rsidRDefault="00632E2B" w:rsidP="00C8285F">
              <w:pPr>
                <w:pStyle w:val="TFReferencesSection"/>
              </w:pPr>
              <w:r w:rsidRPr="0095448E">
                <w:t>Fleiter, T., Worrell, E., Eichhammer, W., 2011. Barriers to energy efficiency in industrial bottom-up energy demand models -- a review. Renew. Sustain. Energy Rev. 15, 3099–3111. https://doi.org/http://dx.doi.org/10.1016/j.rser.2011.03.025</w:t>
              </w:r>
            </w:p>
            <w:p w14:paraId="4AF833E7" w14:textId="77777777" w:rsidR="00632E2B" w:rsidRPr="0095448E" w:rsidRDefault="00632E2B" w:rsidP="00C8285F">
              <w:pPr>
                <w:pStyle w:val="TFReferencesSection"/>
              </w:pPr>
              <w:r w:rsidRPr="0095448E">
                <w:t>Fricko, O., Havlik, P., Rogelj, J., Klimont, Z., Gusti, M., Johnson, N., Kolp, P., Strubegger, M., Valin, H., Amann, M., Ermolieva, T., Forsell, N., Herrero, M., Heyes, C., Kindermann, G., Krey, V., McCollum, D.L., Obersteiner, M., Pachauri, S., Rao, S., Schmid, E., Schoepp, W., Riahi, K., 2017. The marker quantification of the Shared Socioeconomic Pathway 2: A middle-of-the-road scenario for the 21st century. Glob. Environ. Chang. 42, 251–267. https://doi.org/https://doi.org/10.1016/j.gloenvcha.2016.06.004</w:t>
              </w:r>
            </w:p>
            <w:p w14:paraId="2EEC00EE" w14:textId="77777777" w:rsidR="00632E2B" w:rsidRPr="0095448E" w:rsidRDefault="00632E2B" w:rsidP="00C8285F">
              <w:pPr>
                <w:pStyle w:val="TFReferencesSection"/>
              </w:pPr>
              <w:r w:rsidRPr="0095448E">
                <w:t>Guo, Z., Zhang, X., Zheng, Y., Rao, R., 2014. Exploring the impacts of a carbon tax on the Chinese economy using a CGE model with a detailed disaggregation of energy sectors. Energy Econ. 45, 455–462. https://doi.org/10.1016/j.eneco.2014.08.016</w:t>
              </w:r>
            </w:p>
            <w:p w14:paraId="2EEC8666" w14:textId="77777777" w:rsidR="00632E2B" w:rsidRPr="0095448E" w:rsidRDefault="00632E2B" w:rsidP="00C8285F">
              <w:pPr>
                <w:pStyle w:val="TFReferencesSection"/>
              </w:pPr>
              <w:r w:rsidRPr="0095448E">
                <w:t>Hermes, N., Smid, P., Yao, L., 2007. Capital budgeting practices: A comparative study of the Netherlands and China. Int. Bus. Rev. 16, 630–654. https://doi.org/http://dx.doi.org/10.1016/j.ibusrev.2007.05.002</w:t>
              </w:r>
            </w:p>
            <w:p w14:paraId="42ECCC06" w14:textId="77777777" w:rsidR="00632E2B" w:rsidRPr="0095448E" w:rsidRDefault="00632E2B" w:rsidP="00C8285F">
              <w:pPr>
                <w:pStyle w:val="TFReferencesSection"/>
              </w:pPr>
              <w:r w:rsidRPr="0095448E">
                <w:t>Huisingh, D., Zhang, Z., Moore, J.C., Qiao, Q., Li, Q., 2015. Recent advances in carbon emissions reduction: policies, technologies, monitoring, assessment and modeling. J. Clean. Prod. 103, 1–12. https://doi.org/10.1016/J.JCLEPRO.2015.04.098</w:t>
              </w:r>
            </w:p>
            <w:p w14:paraId="115BDB46" w14:textId="7ACB66F8" w:rsidR="00632E2B" w:rsidRPr="0095448E" w:rsidRDefault="00632E2B" w:rsidP="00C8285F">
              <w:pPr>
                <w:pStyle w:val="TFReferencesSection"/>
              </w:pPr>
              <w:r w:rsidRPr="0095448E">
                <w:lastRenderedPageBreak/>
                <w:t xml:space="preserve">ICF International, 2015. </w:t>
              </w:r>
              <w:r w:rsidR="008F52FF" w:rsidRPr="0095448E">
                <w:t xml:space="preserve">STUDY ON ENERGY EFFICIENCY AND </w:t>
              </w:r>
              <w:r w:rsidRPr="0095448E">
                <w:t>ENERGY SAVING POTENTIAL IN INDUSTRY AND ON POSSIBLE POLICY MECHANISMS [WWW Document]. URL https://ec.europa.eu/energy/sites/ener/files/documents/151201 DG ENER Industrial EE study - final report_clean_stc.pdf</w:t>
              </w:r>
            </w:p>
            <w:p w14:paraId="0BF7BEC9" w14:textId="77777777" w:rsidR="00632E2B" w:rsidRPr="0095448E" w:rsidRDefault="00632E2B" w:rsidP="00C8285F">
              <w:pPr>
                <w:pStyle w:val="TFReferencesSection"/>
              </w:pPr>
              <w:r w:rsidRPr="0095448E">
                <w:t>IEA, 2018a. WEO Model [WWW Document]. URL https://www.iea.org/weo/weomodel/ (accessed 5.21.19).</w:t>
              </w:r>
            </w:p>
            <w:p w14:paraId="3A5EDAE5" w14:textId="77777777" w:rsidR="00632E2B" w:rsidRPr="0095448E" w:rsidRDefault="00632E2B" w:rsidP="00C8285F">
              <w:pPr>
                <w:pStyle w:val="TFReferencesSection"/>
              </w:pPr>
              <w:r w:rsidRPr="0095448E">
                <w:t>IEA, 2018b. Gas 2018 [WWW Document]. URL https://www.iea.org/gas2018/</w:t>
              </w:r>
            </w:p>
            <w:p w14:paraId="64004DAB" w14:textId="77777777" w:rsidR="00632E2B" w:rsidRPr="0095448E" w:rsidRDefault="00632E2B" w:rsidP="00C8285F">
              <w:pPr>
                <w:pStyle w:val="TFReferencesSection"/>
              </w:pPr>
              <w:r w:rsidRPr="0095448E">
                <w:t>IEA, 2017. Energy Technology Perspectives 2017 Catalysing Energy Technology Transformations Together Secure Sustainable. https://doi.org/10.1787/energy_tech-2017-en</w:t>
              </w:r>
            </w:p>
            <w:p w14:paraId="7AB08816" w14:textId="77777777" w:rsidR="00632E2B" w:rsidRPr="0095448E" w:rsidRDefault="00632E2B" w:rsidP="00C8285F">
              <w:pPr>
                <w:pStyle w:val="TFReferencesSection"/>
              </w:pPr>
              <w:r w:rsidRPr="0095448E">
                <w:t>IEA, 2014. World Energy Outlook 2014 [WWW Document]. URL http://www.iea.org/textbase/npsum/weo2014sum.pdf</w:t>
              </w:r>
            </w:p>
            <w:p w14:paraId="6161B491" w14:textId="77777777" w:rsidR="00632E2B" w:rsidRPr="0095448E" w:rsidRDefault="00632E2B" w:rsidP="00C8285F">
              <w:pPr>
                <w:pStyle w:val="TFReferencesSection"/>
              </w:pPr>
              <w:r w:rsidRPr="0095448E">
                <w:t>IEA, 2009. Chemical and Petrochemical Sector: Potential of best practice technology and other measures for improving energy efficiency [WWW Document]. URL https://www.iea.org/publications/freepublications/publication/chemical_petrochemical_sector.pdf</w:t>
              </w:r>
            </w:p>
            <w:p w14:paraId="7C591330" w14:textId="77777777" w:rsidR="00632E2B" w:rsidRPr="0095448E" w:rsidRDefault="00632E2B" w:rsidP="00C8285F">
              <w:pPr>
                <w:pStyle w:val="TFReferencesSection"/>
              </w:pPr>
              <w:r w:rsidRPr="0095448E">
                <w:t>IEA-ETSAP, 2018. Energy Supply Technologies Data [WWW Document]. URL https://iea-etsap.org/index.php/energy-technology-data/energy-supply-technologies-data</w:t>
              </w:r>
            </w:p>
            <w:p w14:paraId="00420397" w14:textId="4917F35B" w:rsidR="00632E2B" w:rsidRPr="0095448E" w:rsidRDefault="00632E2B" w:rsidP="00C8285F">
              <w:pPr>
                <w:pStyle w:val="TFReferencesSection"/>
              </w:pPr>
              <w:r w:rsidRPr="0095448E">
                <w:t>IEAGHG, 2019. Sustainability in Petrochemicals.</w:t>
              </w:r>
            </w:p>
            <w:p w14:paraId="36DFD296" w14:textId="4F336455" w:rsidR="005143A1" w:rsidRPr="0095448E" w:rsidRDefault="00BE721D" w:rsidP="00C8285F">
              <w:pPr>
                <w:pStyle w:val="TFReferencesSection"/>
              </w:pPr>
              <w:r w:rsidRPr="0095448E">
                <w:t>IEA - UNIDO, 2011.</w:t>
              </w:r>
              <w:r w:rsidR="005143A1" w:rsidRPr="0095448E">
                <w:t xml:space="preserve"> </w:t>
              </w:r>
              <w:r w:rsidR="005143A1" w:rsidRPr="0095448E">
                <w:rPr>
                  <w:iCs/>
                </w:rPr>
                <w:t>Technology Roadmap Carbon Capture and Storage in Industrial Applications</w:t>
              </w:r>
              <w:r w:rsidR="005143A1" w:rsidRPr="0095448E">
                <w:t>.</w:t>
              </w:r>
            </w:p>
            <w:p w14:paraId="331D821A" w14:textId="762D6C2C" w:rsidR="00FC2DA1" w:rsidRPr="0095448E" w:rsidRDefault="00BE721D" w:rsidP="00C8285F">
              <w:pPr>
                <w:pStyle w:val="TFReferencesSection"/>
              </w:pPr>
              <w:r w:rsidRPr="0095448E">
                <w:lastRenderedPageBreak/>
                <w:t>IFA (</w:t>
              </w:r>
              <w:r w:rsidR="00FC2DA1" w:rsidRPr="0095448E">
                <w:t>Intern</w:t>
              </w:r>
              <w:r w:rsidRPr="0095448E">
                <w:t xml:space="preserve">ational Fertilizer Association), 2019. </w:t>
              </w:r>
              <w:r w:rsidR="00FC2DA1" w:rsidRPr="0095448E">
                <w:t>Execu</w:t>
              </w:r>
              <w:r w:rsidRPr="0095448E">
                <w:t>tive Summary Fertilizer Outlook</w:t>
              </w:r>
              <w:r w:rsidR="00FC2DA1" w:rsidRPr="0095448E">
                <w:t>, in IFA (ed.) IFA Annual Conference. Montréal.</w:t>
              </w:r>
            </w:p>
            <w:p w14:paraId="7F9061BD" w14:textId="7178673D" w:rsidR="00632E2B" w:rsidRPr="0095448E" w:rsidRDefault="00632E2B" w:rsidP="00C8285F">
              <w:pPr>
                <w:pStyle w:val="TFReferencesSection"/>
              </w:pPr>
              <w:r w:rsidRPr="0095448E">
                <w:t>IIASA, 2016. SSP Database (Shared Socioeconomic Pathways) - Version 1.1 [WWW Document]. URL https://tntcat.iiasa.ac.at/SspDb/dsd?Action=htmlpage&amp;page=about</w:t>
              </w:r>
            </w:p>
            <w:p w14:paraId="61027E1B" w14:textId="77777777" w:rsidR="00632E2B" w:rsidRPr="0095448E" w:rsidRDefault="00632E2B" w:rsidP="00C8285F">
              <w:pPr>
                <w:pStyle w:val="TFReferencesSection"/>
              </w:pPr>
              <w:r w:rsidRPr="0095448E">
                <w:t>International Energy Agency (IEA), 2019. World Energy Outlook [WWW Document]. URL https://www.iea.org/weo/</w:t>
              </w:r>
            </w:p>
            <w:p w14:paraId="37ACAFFF" w14:textId="77777777" w:rsidR="00632E2B" w:rsidRPr="0095448E" w:rsidRDefault="00632E2B" w:rsidP="00C8285F">
              <w:pPr>
                <w:pStyle w:val="TFReferencesSection"/>
              </w:pPr>
              <w:r w:rsidRPr="0095448E">
                <w:t>IPCC, 2019. Reports [WWW Document]. URL https://www.ipcc.ch/reports/</w:t>
              </w:r>
            </w:p>
            <w:p w14:paraId="76E88979" w14:textId="77777777" w:rsidR="00632E2B" w:rsidRPr="0095448E" w:rsidRDefault="00632E2B" w:rsidP="00C8285F">
              <w:pPr>
                <w:pStyle w:val="TFReferencesSection"/>
              </w:pPr>
              <w:r w:rsidRPr="0095448E">
                <w:t>IPCC, 2014. Integrated Assessment Modelling Consortium (IAMC) AR5 Scenario Database (Working Group III) [WWW Document]. URL https://secure.iiasa.ac.at/web-apps/ene/AR5DB/</w:t>
              </w:r>
            </w:p>
            <w:p w14:paraId="51EEDDDE" w14:textId="77777777" w:rsidR="00632E2B" w:rsidRPr="0095448E" w:rsidRDefault="00632E2B" w:rsidP="00C8285F">
              <w:pPr>
                <w:pStyle w:val="TFReferencesSection"/>
              </w:pPr>
              <w:r w:rsidRPr="0095448E">
                <w:t>IPCC, 2006. IPCC Guidelines for National Greenhouse Gas Inventories [WWW Document]. URL https://www.ipcc-nggip.iges.or.jp/public/2006gl/index.html</w:t>
              </w:r>
            </w:p>
            <w:p w14:paraId="53C271AD" w14:textId="77777777" w:rsidR="00632E2B" w:rsidRPr="0095448E" w:rsidRDefault="00632E2B" w:rsidP="00C8285F">
              <w:pPr>
                <w:pStyle w:val="TFReferencesSection"/>
              </w:pPr>
              <w:r w:rsidRPr="0095448E">
                <w:t>Jacques, D., Kimon, K., Andreas, S., Alban, K., Burkhard, S., Ana, D.V., Silvana, M., Peter, R.H., Tobias, W., 2018. POLES-JRC model documentation [WWW Document]. URL https://ec.europa.eu/jrc/en/publication/poles-jrc-model-documentation-0</w:t>
              </w:r>
            </w:p>
            <w:p w14:paraId="5C8A5826" w14:textId="1BE521D7" w:rsidR="00632E2B" w:rsidRPr="0095448E" w:rsidRDefault="00F45576" w:rsidP="00C8285F">
              <w:pPr>
                <w:pStyle w:val="TFReferencesSection"/>
              </w:pPr>
              <w:r w:rsidRPr="0095448E">
                <w:t>JGCRI, 2019</w:t>
              </w:r>
              <w:r w:rsidR="00632E2B" w:rsidRPr="0095448E">
                <w:t>. Global Change Assessment Model [WWW Document]. URL http://www.globalchange.umd.edu/gcam/</w:t>
              </w:r>
            </w:p>
            <w:p w14:paraId="4264849E" w14:textId="77777777" w:rsidR="00632E2B" w:rsidRPr="0095448E" w:rsidRDefault="00632E2B" w:rsidP="00C8285F">
              <w:pPr>
                <w:pStyle w:val="TFReferencesSection"/>
              </w:pPr>
              <w:r w:rsidRPr="0095448E">
                <w:t>Kermeli, K., Edelenbosch, O.Y., Crijns-Graus, W., van Ruijven, B.J., Mima, S., van Vuuren, D.P., Worrell, E., 2019. The scope for better industry representation in long-term energy models: Modeling the cement industry. Appl. Energy 240, 964–985. https://doi.org/https://doi.org/10.1016/j.apenergy.2019.01.252</w:t>
              </w:r>
            </w:p>
            <w:p w14:paraId="254080EF" w14:textId="77777777" w:rsidR="00632E2B" w:rsidRPr="0095448E" w:rsidRDefault="00632E2B" w:rsidP="00C8285F">
              <w:pPr>
                <w:pStyle w:val="TFReferencesSection"/>
              </w:pPr>
              <w:r w:rsidRPr="0095448E">
                <w:lastRenderedPageBreak/>
                <w:t>Krey, V., 2014. Global energy-climate scenarios and models: a review. Wiley Interdiscip. Rev. Energy Environ. 3, 363–383. https://doi.org/10.1002/wene.98</w:t>
              </w:r>
            </w:p>
            <w:p w14:paraId="369F1B01" w14:textId="77777777" w:rsidR="00632E2B" w:rsidRPr="0095448E" w:rsidRDefault="00632E2B" w:rsidP="00C8285F">
              <w:pPr>
                <w:pStyle w:val="TFReferencesSection"/>
              </w:pPr>
              <w:r w:rsidRPr="0095448E">
                <w:t>Krey, V., Guo, F., Kolp, P., Zhou, W., Schaeffer, R., Awasthy, A., Bertram, C., de Boer, H.-S., Fragkos, P., Fujimori, S., He, C., Iyer, G., Keramidas, K., Köberle, A.C., Oshiro, K., Reis, L.A., Shoai-Tehrani, B., Vishwanathan, S., Capros, P., Drouet, L., Edmonds, J.E., Garg, A., Gernaat, D.E.H.J., Jiang, K., Kannavou, M., Kitous, A., Kriegler, E., Luderer, G., Mathur, R., Muratori, M., Sano, F., van Vuuren, D.P., 2019. Looking under the hood: A comparison of techno-economic assumptions across national and global integrated assessment models. Energy 172, 1254–1267. https://doi.org/10.1016/J.ENERGY.2018.12.131</w:t>
              </w:r>
            </w:p>
            <w:p w14:paraId="10DBC876" w14:textId="77777777" w:rsidR="00632E2B" w:rsidRPr="0095448E" w:rsidRDefault="00632E2B" w:rsidP="00C8285F">
              <w:pPr>
                <w:pStyle w:val="TFReferencesSection"/>
              </w:pPr>
              <w:r w:rsidRPr="0095448E">
                <w:t>Kriegler, E., Petermann, N., Krey, V., Schwanitz, V.J., Luderer, G., Ashina, S., Bosetti, V., Eom, J., Kitous, A., Méjean, A., Paroussos, L., Sano, F., Turton, H., Wilson, C., Van Vuuren, D.P., 2015. Diagnostic indicators for integrated assessment models of climate policy. Technol. Forecast. Soc. Change 90, 45–61. https://doi.org/10.1016/J.TECHFORE.2013.09.020</w:t>
              </w:r>
            </w:p>
            <w:p w14:paraId="5AA61B33" w14:textId="289931F1" w:rsidR="00632E2B" w:rsidRPr="0095448E" w:rsidRDefault="00632E2B" w:rsidP="00C8285F">
              <w:pPr>
                <w:pStyle w:val="TFReferencesSection"/>
              </w:pPr>
              <w:r w:rsidRPr="0095448E">
                <w:t>Kriegler, E., Weyant, J.P., Blanford, G.J., Krey, V., Clarke, L., Edmonds, J., Fawcett, A., Luderer, G., Riahi, K., Richels, R., Rose, S.K., Tavoni, M., van Vuuren, D.P., 2014. The role of technology for achieving climate policy objectives: overview of the EMF 27 study on global technology and climate policy strategies. Clim. Change 123, 353–367. https://doi.org/10.1007/s10584-013-0953-7</w:t>
              </w:r>
            </w:p>
            <w:p w14:paraId="169526A9" w14:textId="58A4D983" w:rsidR="00165867" w:rsidRPr="0095448E" w:rsidRDefault="00165867" w:rsidP="00165867">
              <w:pPr>
                <w:pStyle w:val="TFReferencesSection"/>
              </w:pPr>
              <w:r w:rsidRPr="0095448E">
                <w:t>Lopion, P., Markewitz, P., Robinius, M., Stolten, D.</w:t>
              </w:r>
              <w:r w:rsidR="00BE721D" w:rsidRPr="0095448E">
                <w:t>,</w:t>
              </w:r>
              <w:r w:rsidRPr="0095448E">
                <w:t xml:space="preserve"> </w:t>
              </w:r>
              <w:r w:rsidR="00BE721D" w:rsidRPr="0095448E">
                <w:t>2018.</w:t>
              </w:r>
              <w:r w:rsidR="001D7A0C" w:rsidRPr="0095448E">
                <w:t xml:space="preserve"> </w:t>
              </w:r>
              <w:r w:rsidRPr="0095448E">
                <w:t>A review of current challenges and trends in energy systems modeling, Renewable and Sust</w:t>
              </w:r>
              <w:r w:rsidR="001D7A0C" w:rsidRPr="0095448E">
                <w:t xml:space="preserve">ainable Energy Reviews, 96, </w:t>
              </w:r>
              <w:r w:rsidRPr="0095448E">
                <w:t xml:space="preserve">156–166. doi: https://doi.org/10.1016/j.rser.2018.07.045. </w:t>
              </w:r>
            </w:p>
            <w:p w14:paraId="316E668B" w14:textId="55902981" w:rsidR="00E64618" w:rsidRPr="0095448E" w:rsidRDefault="00E64618" w:rsidP="00E64618">
              <w:pPr>
                <w:pStyle w:val="TFReferencesSection"/>
              </w:pPr>
              <w:r w:rsidRPr="0095448E">
                <w:lastRenderedPageBreak/>
                <w:t>Luh, S., Budinis, S., Giarola, S., Schmidt, T.J., Adam Hawkes, 2020. Long-term development of the industrial sector – Case study about electrification, fuel switching, and CCS in the USA, Computers &amp; Chemical Engineering, 133, 106602, ISSN 0098-1354, https://doi.org/10.1016/j.compchemeng.2019.106602.</w:t>
              </w:r>
            </w:p>
            <w:p w14:paraId="601AACF1" w14:textId="77777777" w:rsidR="00632E2B" w:rsidRPr="0095448E" w:rsidRDefault="00632E2B" w:rsidP="00C8285F">
              <w:pPr>
                <w:pStyle w:val="TFReferencesSection"/>
              </w:pPr>
              <w:r w:rsidRPr="0095448E">
                <w:t>Palm, J., Thollander, P., 2010. An interdisciplinary perspective on industrial energy efficiency. Appl. Energy 87, 2033–2042. https://doi.org/http://dx.doi.org/10.1016/j.apenergy.2010.04.019</w:t>
              </w:r>
            </w:p>
            <w:p w14:paraId="7A6972A3" w14:textId="77777777" w:rsidR="00632E2B" w:rsidRPr="0095448E" w:rsidRDefault="00632E2B" w:rsidP="00C8285F">
              <w:pPr>
                <w:pStyle w:val="TFReferencesSection"/>
              </w:pPr>
              <w:r w:rsidRPr="0095448E">
                <w:t>Pfenninger, S., Hawkes, A., Keirstead, J., 2014. Energy systems modeling for twenty-first century energy challenges. Renew. Sustain. Energy Rev. 33, 74–86. https://doi.org/10.1016/J.RSER.2014.02.003</w:t>
              </w:r>
            </w:p>
            <w:p w14:paraId="3A5FD64B" w14:textId="77777777" w:rsidR="00632E2B" w:rsidRPr="0095448E" w:rsidRDefault="00632E2B" w:rsidP="00C8285F">
              <w:pPr>
                <w:pStyle w:val="TFReferencesSection"/>
              </w:pPr>
              <w:r w:rsidRPr="0095448E">
                <w:t>Poncet, S., Steingress, W., Vandenbussche, H., 2010. Financial constraints in China: Firm-level evidence. China Econ. Rev. 21, 411–422. https://doi.org/10.1016/j.chieco.2010.03.001</w:t>
              </w:r>
            </w:p>
            <w:p w14:paraId="09ACD77D" w14:textId="77777777" w:rsidR="00632E2B" w:rsidRPr="0095448E" w:rsidRDefault="00632E2B" w:rsidP="00C8285F">
              <w:pPr>
                <w:pStyle w:val="TFReferencesSection"/>
              </w:pPr>
              <w:r w:rsidRPr="0095448E">
                <w:t>Qin, Y., Tong, F., Yang, G., Mauzerall, D.L., 2018. Challenges of using natural gas as a carbon mitigation option in China. Energy Policy 117, 457–462. https://doi.org/10.1016/j.enpol.2018.03.0</w:t>
              </w:r>
            </w:p>
            <w:p w14:paraId="46D37A87" w14:textId="77777777" w:rsidR="00632E2B" w:rsidRPr="0095448E" w:rsidRDefault="00632E2B" w:rsidP="00C8285F">
              <w:pPr>
                <w:pStyle w:val="TFReferencesSection"/>
              </w:pPr>
              <w:r w:rsidRPr="0095448E">
                <w:t>RFF CMCC, 2019. WITCH documentation [WWW Document]. URL https://www.witchmodel.org/documentation/</w:t>
              </w:r>
            </w:p>
            <w:p w14:paraId="3A1055A6" w14:textId="77777777" w:rsidR="00632E2B" w:rsidRPr="0095448E" w:rsidRDefault="00632E2B" w:rsidP="00C8285F">
              <w:pPr>
                <w:pStyle w:val="TFReferencesSection"/>
              </w:pPr>
              <w:r w:rsidRPr="0095448E">
                <w:t>RITE, 2008. Overview of DNE21+ [WWW Document]. URL http://www.rite.or.jp/system/en/global-warming-ouyou/modeltodata/overviewdne21/</w:t>
              </w:r>
            </w:p>
            <w:p w14:paraId="1FB29B85" w14:textId="2537770E" w:rsidR="00632E2B" w:rsidRPr="0095448E" w:rsidRDefault="00632E2B" w:rsidP="00C8285F">
              <w:pPr>
                <w:pStyle w:val="TFReferencesSection"/>
              </w:pPr>
              <w:r w:rsidRPr="0095448E">
                <w:t>Sachs, J., Meng, Y., Giarola, S., Hawkes, A., 2019. An agent-based model for energy investment decisions in the residential sector. Energy 172, 752–768. https://doi.org/https://doi.org/10.1016/j.energy.2019.01.161</w:t>
              </w:r>
            </w:p>
            <w:p w14:paraId="5BDF1798" w14:textId="46255839" w:rsidR="00521381" w:rsidRPr="0095448E" w:rsidRDefault="00521381" w:rsidP="00C8285F">
              <w:pPr>
                <w:pStyle w:val="TFReferencesSection"/>
              </w:pPr>
              <w:r w:rsidRPr="0095448E">
                <w:lastRenderedPageBreak/>
                <w:t>Sandalow, D., 2019. Guide to Chinese Climate Policy, Books. Edited by Columbia</w:t>
              </w:r>
              <w:r w:rsidR="00BE721D" w:rsidRPr="0095448E">
                <w:t xml:space="preserve"> Center on Energy Policy</w:t>
              </w:r>
              <w:r w:rsidRPr="0095448E">
                <w:t>. New York.</w:t>
              </w:r>
            </w:p>
            <w:p w14:paraId="22050B78" w14:textId="79DA4198" w:rsidR="00632E2B" w:rsidRPr="0095448E" w:rsidRDefault="00632E2B" w:rsidP="00C8285F">
              <w:pPr>
                <w:pStyle w:val="TFReferencesSection"/>
              </w:pPr>
              <w:r w:rsidRPr="0095448E">
                <w:t>Shaikh, F., Ji, Q., 2016. Forecasting natural gas demand in China: Logistic modelling analysis. Int. J. Electr. Power Energy Syst. 77, 25–32. https://doi.org/10.1016/j.ijepes.2015.11.013</w:t>
              </w:r>
            </w:p>
            <w:p w14:paraId="45135D61" w14:textId="33C4FB0B" w:rsidR="008C3232" w:rsidRPr="0095448E" w:rsidRDefault="008C3232" w:rsidP="00C8285F">
              <w:pPr>
                <w:pStyle w:val="TFReferencesSection"/>
              </w:pPr>
              <w:r w:rsidRPr="0095448E">
                <w:t>Sch</w:t>
              </w:r>
              <w:r w:rsidR="00BE721D" w:rsidRPr="0095448E">
                <w:t>iffer, Z. J. and Manthiram, K., 2017.</w:t>
              </w:r>
              <w:r w:rsidRPr="0095448E">
                <w:t xml:space="preserve"> Electrification and Decarbonization of the Chemical Industry</w:t>
              </w:r>
              <w:r w:rsidR="00BE721D" w:rsidRPr="0095448E">
                <w:t xml:space="preserve">. </w:t>
              </w:r>
              <w:r w:rsidRPr="0095448E">
                <w:rPr>
                  <w:iCs/>
                </w:rPr>
                <w:t>Joule</w:t>
              </w:r>
              <w:r w:rsidRPr="0095448E">
                <w:t>. Cell Press, 1(1), 10–14. doi: 10.1016/J.JOULE.2017.07.008.</w:t>
              </w:r>
            </w:p>
            <w:p w14:paraId="3695BF61" w14:textId="5EE6EC36" w:rsidR="00632E2B" w:rsidRPr="0095448E" w:rsidRDefault="00BE721D" w:rsidP="00C8285F">
              <w:pPr>
                <w:pStyle w:val="TFReferencesSection"/>
              </w:pPr>
              <w:r w:rsidRPr="0095448E">
                <w:t>Sinnott</w:t>
              </w:r>
              <w:r w:rsidR="00632E2B" w:rsidRPr="0095448E">
                <w:t>, R.K., 1993. CHAPTER 6 - Costing and Project Evaluation, in: SINNOTT, R.K. (Ed.), Coulson and Richardson’s Chemical Engineering (Second Edition), Chemical Engineering Technical Series. Pergamon, Amsterdam, pp. 209–244. https://doi.org/https://doi.org/10.1016/B978-0-08-041865-0.50014-3</w:t>
              </w:r>
            </w:p>
            <w:p w14:paraId="754B0686" w14:textId="63C5E1A6" w:rsidR="007D454F" w:rsidRPr="0095448E" w:rsidRDefault="007D454F" w:rsidP="00C8285F">
              <w:pPr>
                <w:pStyle w:val="TFReferencesSection"/>
              </w:pPr>
              <w:r w:rsidRPr="0095448E">
                <w:t>Sorrell, S., O’Malley, E., Schleich, J., Scott, S.</w:t>
              </w:r>
              <w:r w:rsidR="00BE721D" w:rsidRPr="0095448E">
                <w:t>, 2004</w:t>
              </w:r>
              <w:r w:rsidRPr="0095448E">
                <w:t>. The economics of energy efficiency: barriers to cost-effective investment. Cheltenham: Edward Elgar.</w:t>
              </w:r>
            </w:p>
            <w:p w14:paraId="6622E7E6" w14:textId="01C08BB1" w:rsidR="0048295C" w:rsidRPr="0095448E" w:rsidRDefault="0048295C" w:rsidP="00C8285F">
              <w:pPr>
                <w:pStyle w:val="TFReferencesSection"/>
              </w:pPr>
              <w:r w:rsidRPr="0095448E">
                <w:t>Sun</w:t>
              </w:r>
              <w:r w:rsidR="00BE721D" w:rsidRPr="0095448E">
                <w:t>, Y., Li, Y., Cai, B.F., Li, Q., 2020</w:t>
              </w:r>
              <w:r w:rsidRPr="0095448E">
                <w:t>. Comparing the explicit and implicit attitudes of energy stakeholders and the public towards carbon capture and storage. Journal of Cleaner Production. 254,. doi: 10.1016/J.JCLEPRO.2020.120051.</w:t>
              </w:r>
            </w:p>
            <w:p w14:paraId="29DBBC57" w14:textId="78B93C4B" w:rsidR="00632E2B" w:rsidRPr="0095448E" w:rsidRDefault="00632E2B" w:rsidP="00C8285F">
              <w:pPr>
                <w:pStyle w:val="TFReferencesSection"/>
              </w:pPr>
              <w:r w:rsidRPr="0095448E">
                <w:t>Tunå, P., Hulteberg, C., Ahlgren, S., 2014. Techno-economic assessment of nonfossil ammonia production. Environ. Prog. Sustain. Energy 33, 1290–1297. https://doi.org/10.1002/ep.11886</w:t>
              </w:r>
            </w:p>
            <w:p w14:paraId="6DD50FBF" w14:textId="77777777" w:rsidR="00632E2B" w:rsidRPr="0095448E" w:rsidRDefault="00632E2B" w:rsidP="00C8285F">
              <w:pPr>
                <w:pStyle w:val="TFReferencesSection"/>
              </w:pPr>
              <w:r w:rsidRPr="0095448E">
                <w:t>UN, 2019. UN Comtrade Database [WWW Document]. URL https://comtrade.un.org/</w:t>
              </w:r>
            </w:p>
            <w:p w14:paraId="21CA10CB" w14:textId="77777777" w:rsidR="00632E2B" w:rsidRPr="0095448E" w:rsidRDefault="00632E2B" w:rsidP="00C8285F">
              <w:pPr>
                <w:pStyle w:val="TFReferencesSection"/>
              </w:pPr>
              <w:r w:rsidRPr="0095448E">
                <w:t>United Nations Environment Programme, UNEP, 2013. Global Chemicals Outlook - Towards Sound Management of Chemicals [WWW Document]. URL https://sustainabledevelopment.un.org/index.php?page=view&amp;type=400&amp;nr=1966&amp;menu=35</w:t>
              </w:r>
            </w:p>
            <w:p w14:paraId="5FF2FFB4" w14:textId="77777777" w:rsidR="00632E2B" w:rsidRPr="0095448E" w:rsidRDefault="00632E2B" w:rsidP="00C8285F">
              <w:pPr>
                <w:pStyle w:val="TFReferencesSection"/>
              </w:pPr>
              <w:r w:rsidRPr="0095448E">
                <w:lastRenderedPageBreak/>
                <w:t>USGS, 2017. National Minerals Information Center [WWW Document]. URL https://minerals.usgs.gov/minerals/</w:t>
              </w:r>
            </w:p>
            <w:p w14:paraId="084892EE" w14:textId="38D14092" w:rsidR="00632E2B" w:rsidRPr="0095448E" w:rsidRDefault="00632E2B" w:rsidP="00C8285F">
              <w:pPr>
                <w:pStyle w:val="TFReferencesSection"/>
              </w:pPr>
              <w:r w:rsidRPr="0095448E">
                <w:t>van Ruijven, B.J., van Vuuren, D.P., Boskaljon, W., Neelis, M.L., Saygin, D., Patel, M.K., 2016. Long-term model-based projections of energy use and CO2 emissions from the global steel and cement industries. Resour. Conserv. Recycl. 112, 15–36. https://doi.org/http://dx.doi.org/10.1016/j.resconrec.2016.04.016</w:t>
              </w:r>
            </w:p>
            <w:p w14:paraId="4EA6EF7D" w14:textId="13E63229" w:rsidR="00353011" w:rsidRPr="0095448E" w:rsidRDefault="00353011" w:rsidP="00C8285F">
              <w:pPr>
                <w:pStyle w:val="TFReferencesSection"/>
              </w:pPr>
              <w:r w:rsidRPr="0095448E">
                <w:t>Yu, F., Shi, Y., Wang, T., 2020. R&amp;D Investment and Chinese Manufacturing SMEs Corporate Social Responsibility: The Moderating Role of Regional Innovative Milieu. Journal of Cleaner Production. Elsevier, doi: 10.1016/J.JCLEPRO.2020.120840.</w:t>
              </w:r>
            </w:p>
            <w:p w14:paraId="63397592" w14:textId="5DE05885" w:rsidR="00632E2B" w:rsidRPr="0095448E" w:rsidRDefault="00632E2B" w:rsidP="00C8285F">
              <w:pPr>
                <w:pStyle w:val="TFReferencesSection"/>
              </w:pPr>
              <w:r w:rsidRPr="0095448E">
                <w:t>Zakkour, P., Kemper, J., Dixon, T., 2014. Incentivising and Accounting for Negative Emission Technologies. Energy Procedia 63, 6824–6833. https://doi.org/https://doi.org/10.1016/j.egypro.2014.11.716</w:t>
              </w:r>
            </w:p>
            <w:p w14:paraId="02B0D60A" w14:textId="7254CF79" w:rsidR="00D0497B" w:rsidRPr="0095448E" w:rsidRDefault="00D0497B" w:rsidP="00C8285F">
              <w:pPr>
                <w:pStyle w:val="TFReferencesSection"/>
              </w:pPr>
              <w:r w:rsidRPr="0095448E">
                <w:t>Zeng, C., 2014. Overview of China ammonia industry. Ammonia Plant Safety and Related Facilities, 55, 119–125.</w:t>
              </w:r>
            </w:p>
            <w:p w14:paraId="2E605C53" w14:textId="77777777" w:rsidR="00632E2B" w:rsidRPr="0095448E" w:rsidRDefault="00632E2B" w:rsidP="00C8285F">
              <w:pPr>
                <w:pStyle w:val="TFReferencesSection"/>
              </w:pPr>
              <w:r w:rsidRPr="0095448E">
                <w:t>Zhang, W., Yang, J., Zhang, Z., Shackman, J.D., 2017. Natural gas price effects in China based on the CGE model. J. Clean. Prod. 147, 497–505. https://doi.org/https://doi.org/10.1016/j.jclepro.2017.01.109</w:t>
              </w:r>
            </w:p>
            <w:p w14:paraId="23E57D1C" w14:textId="77777777" w:rsidR="008C3232" w:rsidRPr="0095448E" w:rsidRDefault="00632E2B" w:rsidP="00C20452">
              <w:pPr>
                <w:pStyle w:val="TFReferencesSection"/>
              </w:pPr>
              <w:r w:rsidRPr="0095448E">
                <w:t>Zhou, W., Zhu, B., Li, Q., Ma, T., Hu, S., Griffy-Brown, C., 2010. CO</w:t>
              </w:r>
              <w:r w:rsidRPr="0095448E">
                <w:rPr>
                  <w:vertAlign w:val="subscript"/>
                </w:rPr>
                <w:t>2</w:t>
              </w:r>
              <w:r w:rsidRPr="0095448E">
                <w:t xml:space="preserve"> emissions and mitigation potential in China’s ammonia industry. Energy Policy 38, 3701–3709. https://doi.org/http://dx.doi.org/10.1016/j.enpol.2010.02.048</w:t>
              </w:r>
              <w:r w:rsidRPr="0095448E">
                <w:fldChar w:fldCharType="end"/>
              </w:r>
            </w:p>
            <w:p w14:paraId="41C2A06A" w14:textId="306B1CB1" w:rsidR="00632E2B" w:rsidRPr="0095448E" w:rsidRDefault="00353011" w:rsidP="008C3232">
              <w:pPr>
                <w:pStyle w:val="TFReferencesSection"/>
              </w:pPr>
              <w:r w:rsidRPr="0095448E">
                <w:lastRenderedPageBreak/>
                <w:t xml:space="preserve">Zhua, B., Zhou, W., Hu, S., Li, W., </w:t>
              </w:r>
              <w:r w:rsidR="002748D0" w:rsidRPr="0095448E">
                <w:t>Griffy-Brown, C., Jin, Y.</w:t>
              </w:r>
              <w:r w:rsidRPr="0095448E">
                <w:t xml:space="preserve"> CO</w:t>
              </w:r>
              <w:r w:rsidRPr="0095448E">
                <w:rPr>
                  <w:vertAlign w:val="subscript"/>
                </w:rPr>
                <w:t>2</w:t>
              </w:r>
              <w:r w:rsidRPr="0095448E">
                <w:t xml:space="preserve"> emissions and mitigation potential in China’s ammonia industry</w:t>
              </w:r>
              <w:r w:rsidR="002748D0" w:rsidRPr="0095448E">
                <w:t xml:space="preserve">, Energy Policy, 38(7), </w:t>
              </w:r>
              <w:r w:rsidRPr="0095448E">
                <w:t>3701–3709. doi: http://dx.doi.org/10.1016/j.enpol.2010.02.048.</w:t>
              </w:r>
              <w:r w:rsidR="008C3232" w:rsidRPr="0095448E">
                <w:t>.</w:t>
              </w:r>
            </w:p>
          </w:sdtContent>
        </w:sdt>
      </w:sdtContent>
    </w:sdt>
    <w:sectPr w:rsidR="00632E2B" w:rsidRPr="0095448E" w:rsidSect="009917FE">
      <w:footerReference w:type="even" r:id="rId33"/>
      <w:footerReference w:type="default" r:id="rId34"/>
      <w:type w:val="continuous"/>
      <w:pgSz w:w="12240" w:h="15840"/>
      <w:pgMar w:top="1440" w:right="1440" w:bottom="1440" w:left="1440" w:header="0" w:footer="0" w:gutter="0"/>
      <w:lnNumType w:countBy="1" w:restart="continuous"/>
      <w:cols w:space="475"/>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4622C6" w16cid:durableId="2212389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A5A26" w14:textId="77777777" w:rsidR="008D4F9B" w:rsidRDefault="008D4F9B">
      <w:r>
        <w:separator/>
      </w:r>
    </w:p>
  </w:endnote>
  <w:endnote w:type="continuationSeparator" w:id="0">
    <w:p w14:paraId="478FB5A6" w14:textId="77777777" w:rsidR="008D4F9B" w:rsidRDefault="008D4F9B">
      <w:r>
        <w:continuationSeparator/>
      </w:r>
    </w:p>
  </w:endnote>
  <w:endnote w:type="continuationNotice" w:id="1">
    <w:p w14:paraId="63F8D633" w14:textId="77777777" w:rsidR="008D4F9B" w:rsidRDefault="008D4F9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BFCCE" w14:textId="77777777" w:rsidR="00CB0B32" w:rsidRDefault="00CB0B3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3E305E" w14:textId="77777777" w:rsidR="00CB0B32" w:rsidRDefault="00CB0B3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3207138"/>
      <w:docPartObj>
        <w:docPartGallery w:val="Page Numbers (Bottom of Page)"/>
        <w:docPartUnique/>
      </w:docPartObj>
    </w:sdtPr>
    <w:sdtEndPr>
      <w:rPr>
        <w:noProof/>
      </w:rPr>
    </w:sdtEndPr>
    <w:sdtContent>
      <w:p w14:paraId="66F51956" w14:textId="7C0C7223" w:rsidR="00CB0B32" w:rsidRDefault="00CB0B32">
        <w:pPr>
          <w:pStyle w:val="Footer"/>
          <w:jc w:val="center"/>
        </w:pPr>
        <w:r>
          <w:fldChar w:fldCharType="begin"/>
        </w:r>
        <w:r>
          <w:instrText xml:space="preserve"> PAGE   \* MERGEFORMAT </w:instrText>
        </w:r>
        <w:r>
          <w:fldChar w:fldCharType="separate"/>
        </w:r>
        <w:r w:rsidR="0095448E">
          <w:rPr>
            <w:noProof/>
          </w:rPr>
          <w:t>24</w:t>
        </w:r>
        <w:r>
          <w:rPr>
            <w:noProof/>
          </w:rPr>
          <w:fldChar w:fldCharType="end"/>
        </w:r>
      </w:p>
    </w:sdtContent>
  </w:sdt>
  <w:p w14:paraId="63D9D407" w14:textId="77777777" w:rsidR="00CB0B32" w:rsidRDefault="00CB0B3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F513E" w14:textId="77777777" w:rsidR="008D4F9B" w:rsidRDefault="008D4F9B">
      <w:r>
        <w:separator/>
      </w:r>
    </w:p>
  </w:footnote>
  <w:footnote w:type="continuationSeparator" w:id="0">
    <w:p w14:paraId="17BA3995" w14:textId="77777777" w:rsidR="008D4F9B" w:rsidRDefault="008D4F9B">
      <w:r>
        <w:continuationSeparator/>
      </w:r>
    </w:p>
  </w:footnote>
  <w:footnote w:type="continuationNotice" w:id="1">
    <w:p w14:paraId="4F80C8FA" w14:textId="77777777" w:rsidR="008D4F9B" w:rsidRDefault="008D4F9B">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520D"/>
    <w:multiLevelType w:val="hybridMultilevel"/>
    <w:tmpl w:val="267E3D20"/>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1" w15:restartNumberingAfterBreak="0">
    <w:nsid w:val="01734308"/>
    <w:multiLevelType w:val="multilevel"/>
    <w:tmpl w:val="C2DE64A4"/>
    <w:lvl w:ilvl="0">
      <w:start w:val="1"/>
      <w:numFmt w:val="decimal"/>
      <w:pStyle w:val="Heading1"/>
      <w:lvlText w:val="%1."/>
      <w:lvlJc w:val="left"/>
      <w:pPr>
        <w:ind w:left="450" w:hanging="450"/>
      </w:pPr>
      <w:rPr>
        <w:rFonts w:hint="default"/>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7545F8"/>
    <w:multiLevelType w:val="hybridMultilevel"/>
    <w:tmpl w:val="0A5E159E"/>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3" w15:restartNumberingAfterBreak="0">
    <w:nsid w:val="13D7463E"/>
    <w:multiLevelType w:val="hybridMultilevel"/>
    <w:tmpl w:val="E7E6EE20"/>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4" w15:restartNumberingAfterBreak="0">
    <w:nsid w:val="16C82107"/>
    <w:multiLevelType w:val="hybridMultilevel"/>
    <w:tmpl w:val="5F5A5360"/>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5" w15:restartNumberingAfterBreak="0">
    <w:nsid w:val="19075D33"/>
    <w:multiLevelType w:val="hybridMultilevel"/>
    <w:tmpl w:val="6EC4B198"/>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6" w15:restartNumberingAfterBreak="0">
    <w:nsid w:val="197D75E1"/>
    <w:multiLevelType w:val="hybridMultilevel"/>
    <w:tmpl w:val="41327A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493B6C"/>
    <w:multiLevelType w:val="hybridMultilevel"/>
    <w:tmpl w:val="D7EAB75E"/>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8" w15:restartNumberingAfterBreak="0">
    <w:nsid w:val="2A035ECB"/>
    <w:multiLevelType w:val="multilevel"/>
    <w:tmpl w:val="CAF013FA"/>
    <w:lvl w:ilvl="0">
      <w:start w:val="5"/>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43B66C72"/>
    <w:multiLevelType w:val="hybridMultilevel"/>
    <w:tmpl w:val="52109734"/>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10" w15:restartNumberingAfterBreak="0">
    <w:nsid w:val="50B31F1F"/>
    <w:multiLevelType w:val="hybridMultilevel"/>
    <w:tmpl w:val="7F64B86A"/>
    <w:lvl w:ilvl="0" w:tplc="D76A9576">
      <w:start w:val="2001"/>
      <w:numFmt w:val="bullet"/>
      <w:lvlText w:val="-"/>
      <w:lvlJc w:val="left"/>
      <w:pPr>
        <w:ind w:left="720" w:hanging="360"/>
      </w:pPr>
      <w:rPr>
        <w:rFonts w:ascii="Times" w:eastAsia="Times New Roman" w:hAnsi="Times" w:cs="Time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96D77DD"/>
    <w:multiLevelType w:val="hybridMultilevel"/>
    <w:tmpl w:val="4A449EEC"/>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12" w15:restartNumberingAfterBreak="0">
    <w:nsid w:val="5AAD6C48"/>
    <w:multiLevelType w:val="hybridMultilevel"/>
    <w:tmpl w:val="873A1C8A"/>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13" w15:restartNumberingAfterBreak="0">
    <w:nsid w:val="6D0F2576"/>
    <w:multiLevelType w:val="hybridMultilevel"/>
    <w:tmpl w:val="A2BA2918"/>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14" w15:restartNumberingAfterBreak="0">
    <w:nsid w:val="714248CC"/>
    <w:multiLevelType w:val="hybridMultilevel"/>
    <w:tmpl w:val="992C994A"/>
    <w:lvl w:ilvl="0" w:tplc="08090001">
      <w:start w:val="1"/>
      <w:numFmt w:val="bullet"/>
      <w:lvlText w:val=""/>
      <w:lvlJc w:val="left"/>
      <w:pPr>
        <w:ind w:left="922" w:hanging="360"/>
      </w:pPr>
      <w:rPr>
        <w:rFonts w:ascii="Symbol" w:hAnsi="Symbol" w:hint="default"/>
      </w:rPr>
    </w:lvl>
    <w:lvl w:ilvl="1" w:tplc="08090003" w:tentative="1">
      <w:start w:val="1"/>
      <w:numFmt w:val="bullet"/>
      <w:lvlText w:val="o"/>
      <w:lvlJc w:val="left"/>
      <w:pPr>
        <w:ind w:left="1642" w:hanging="360"/>
      </w:pPr>
      <w:rPr>
        <w:rFonts w:ascii="Courier New" w:hAnsi="Courier New" w:cs="Courier New" w:hint="default"/>
      </w:rPr>
    </w:lvl>
    <w:lvl w:ilvl="2" w:tplc="08090005" w:tentative="1">
      <w:start w:val="1"/>
      <w:numFmt w:val="bullet"/>
      <w:lvlText w:val=""/>
      <w:lvlJc w:val="left"/>
      <w:pPr>
        <w:ind w:left="2362" w:hanging="360"/>
      </w:pPr>
      <w:rPr>
        <w:rFonts w:ascii="Wingdings" w:hAnsi="Wingdings" w:hint="default"/>
      </w:rPr>
    </w:lvl>
    <w:lvl w:ilvl="3" w:tplc="08090001" w:tentative="1">
      <w:start w:val="1"/>
      <w:numFmt w:val="bullet"/>
      <w:lvlText w:val=""/>
      <w:lvlJc w:val="left"/>
      <w:pPr>
        <w:ind w:left="3082" w:hanging="360"/>
      </w:pPr>
      <w:rPr>
        <w:rFonts w:ascii="Symbol" w:hAnsi="Symbol" w:hint="default"/>
      </w:rPr>
    </w:lvl>
    <w:lvl w:ilvl="4" w:tplc="08090003" w:tentative="1">
      <w:start w:val="1"/>
      <w:numFmt w:val="bullet"/>
      <w:lvlText w:val="o"/>
      <w:lvlJc w:val="left"/>
      <w:pPr>
        <w:ind w:left="3802" w:hanging="360"/>
      </w:pPr>
      <w:rPr>
        <w:rFonts w:ascii="Courier New" w:hAnsi="Courier New" w:cs="Courier New" w:hint="default"/>
      </w:rPr>
    </w:lvl>
    <w:lvl w:ilvl="5" w:tplc="08090005" w:tentative="1">
      <w:start w:val="1"/>
      <w:numFmt w:val="bullet"/>
      <w:lvlText w:val=""/>
      <w:lvlJc w:val="left"/>
      <w:pPr>
        <w:ind w:left="4522" w:hanging="360"/>
      </w:pPr>
      <w:rPr>
        <w:rFonts w:ascii="Wingdings" w:hAnsi="Wingdings" w:hint="default"/>
      </w:rPr>
    </w:lvl>
    <w:lvl w:ilvl="6" w:tplc="08090001" w:tentative="1">
      <w:start w:val="1"/>
      <w:numFmt w:val="bullet"/>
      <w:lvlText w:val=""/>
      <w:lvlJc w:val="left"/>
      <w:pPr>
        <w:ind w:left="5242" w:hanging="360"/>
      </w:pPr>
      <w:rPr>
        <w:rFonts w:ascii="Symbol" w:hAnsi="Symbol" w:hint="default"/>
      </w:rPr>
    </w:lvl>
    <w:lvl w:ilvl="7" w:tplc="08090003" w:tentative="1">
      <w:start w:val="1"/>
      <w:numFmt w:val="bullet"/>
      <w:lvlText w:val="o"/>
      <w:lvlJc w:val="left"/>
      <w:pPr>
        <w:ind w:left="5962" w:hanging="360"/>
      </w:pPr>
      <w:rPr>
        <w:rFonts w:ascii="Courier New" w:hAnsi="Courier New" w:cs="Courier New" w:hint="default"/>
      </w:rPr>
    </w:lvl>
    <w:lvl w:ilvl="8" w:tplc="08090005" w:tentative="1">
      <w:start w:val="1"/>
      <w:numFmt w:val="bullet"/>
      <w:lvlText w:val=""/>
      <w:lvlJc w:val="left"/>
      <w:pPr>
        <w:ind w:left="6682" w:hanging="360"/>
      </w:pPr>
      <w:rPr>
        <w:rFonts w:ascii="Wingdings" w:hAnsi="Wingdings" w:hint="default"/>
      </w:rPr>
    </w:lvl>
  </w:abstractNum>
  <w:abstractNum w:abstractNumId="15" w15:restartNumberingAfterBreak="0">
    <w:nsid w:val="753538E9"/>
    <w:multiLevelType w:val="hybridMultilevel"/>
    <w:tmpl w:val="EE56E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2"/>
  </w:num>
  <w:num w:numId="4">
    <w:abstractNumId w:val="7"/>
  </w:num>
  <w:num w:numId="5">
    <w:abstractNumId w:val="4"/>
  </w:num>
  <w:num w:numId="6">
    <w:abstractNumId w:val="12"/>
  </w:num>
  <w:num w:numId="7">
    <w:abstractNumId w:val="5"/>
  </w:num>
  <w:num w:numId="8">
    <w:abstractNumId w:val="0"/>
  </w:num>
  <w:num w:numId="9">
    <w:abstractNumId w:val="3"/>
  </w:num>
  <w:num w:numId="10">
    <w:abstractNumId w:val="8"/>
  </w:num>
  <w:num w:numId="11">
    <w:abstractNumId w:val="15"/>
  </w:num>
  <w:num w:numId="12">
    <w:abstractNumId w:val="10"/>
  </w:num>
  <w:num w:numId="13">
    <w:abstractNumId w:val="9"/>
  </w:num>
  <w:num w:numId="14">
    <w:abstractNumId w:val="11"/>
  </w:num>
  <w:num w:numId="15">
    <w:abstractNumId w:val="6"/>
  </w:num>
  <w:num w:numId="16">
    <w:abstractNumId w:val="14"/>
  </w:num>
  <w:num w:numId="1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558"/>
    <w:rsid w:val="000002F2"/>
    <w:rsid w:val="0001183A"/>
    <w:rsid w:val="0001263A"/>
    <w:rsid w:val="00034246"/>
    <w:rsid w:val="00043C7E"/>
    <w:rsid w:val="00046DE0"/>
    <w:rsid w:val="000476E7"/>
    <w:rsid w:val="0005124C"/>
    <w:rsid w:val="0005660F"/>
    <w:rsid w:val="00060FF9"/>
    <w:rsid w:val="00063A53"/>
    <w:rsid w:val="000702AD"/>
    <w:rsid w:val="00074338"/>
    <w:rsid w:val="00075A0B"/>
    <w:rsid w:val="000815C5"/>
    <w:rsid w:val="00092D00"/>
    <w:rsid w:val="000A2581"/>
    <w:rsid w:val="000B0DBD"/>
    <w:rsid w:val="000B2EEB"/>
    <w:rsid w:val="000B5610"/>
    <w:rsid w:val="000C05CC"/>
    <w:rsid w:val="000C1FA3"/>
    <w:rsid w:val="000C24DF"/>
    <w:rsid w:val="000C5FC0"/>
    <w:rsid w:val="000D4384"/>
    <w:rsid w:val="000E0A74"/>
    <w:rsid w:val="000F2946"/>
    <w:rsid w:val="000F57A4"/>
    <w:rsid w:val="0010228B"/>
    <w:rsid w:val="001162D8"/>
    <w:rsid w:val="0012027F"/>
    <w:rsid w:val="00137989"/>
    <w:rsid w:val="00165867"/>
    <w:rsid w:val="001728C8"/>
    <w:rsid w:val="001765BD"/>
    <w:rsid w:val="00176C0D"/>
    <w:rsid w:val="00187238"/>
    <w:rsid w:val="00194332"/>
    <w:rsid w:val="001957E1"/>
    <w:rsid w:val="00195ACA"/>
    <w:rsid w:val="001A33C8"/>
    <w:rsid w:val="001A418A"/>
    <w:rsid w:val="001A6CDA"/>
    <w:rsid w:val="001A736E"/>
    <w:rsid w:val="001A7A90"/>
    <w:rsid w:val="001B12DE"/>
    <w:rsid w:val="001B5304"/>
    <w:rsid w:val="001B6CE2"/>
    <w:rsid w:val="001B7CCB"/>
    <w:rsid w:val="001D7A0C"/>
    <w:rsid w:val="001F5DD5"/>
    <w:rsid w:val="00203CC2"/>
    <w:rsid w:val="00207CD9"/>
    <w:rsid w:val="00212B1D"/>
    <w:rsid w:val="002219A0"/>
    <w:rsid w:val="00224058"/>
    <w:rsid w:val="00224B7F"/>
    <w:rsid w:val="00233573"/>
    <w:rsid w:val="0024258C"/>
    <w:rsid w:val="002457AD"/>
    <w:rsid w:val="0027040C"/>
    <w:rsid w:val="00271A02"/>
    <w:rsid w:val="00272A76"/>
    <w:rsid w:val="002748D0"/>
    <w:rsid w:val="002A536B"/>
    <w:rsid w:val="002A6E7E"/>
    <w:rsid w:val="002A7493"/>
    <w:rsid w:val="002B3DB8"/>
    <w:rsid w:val="002C301F"/>
    <w:rsid w:val="002C3431"/>
    <w:rsid w:val="00305150"/>
    <w:rsid w:val="0031373B"/>
    <w:rsid w:val="003202E0"/>
    <w:rsid w:val="00321B55"/>
    <w:rsid w:val="00321EB9"/>
    <w:rsid w:val="00324128"/>
    <w:rsid w:val="00325D83"/>
    <w:rsid w:val="003303FF"/>
    <w:rsid w:val="00331552"/>
    <w:rsid w:val="003318FA"/>
    <w:rsid w:val="00343E76"/>
    <w:rsid w:val="00347A56"/>
    <w:rsid w:val="00347A89"/>
    <w:rsid w:val="0035237F"/>
    <w:rsid w:val="00353011"/>
    <w:rsid w:val="00354175"/>
    <w:rsid w:val="00361E35"/>
    <w:rsid w:val="003664E9"/>
    <w:rsid w:val="003679A1"/>
    <w:rsid w:val="00383120"/>
    <w:rsid w:val="003833EE"/>
    <w:rsid w:val="003875D2"/>
    <w:rsid w:val="0038784E"/>
    <w:rsid w:val="003926AA"/>
    <w:rsid w:val="003A42F0"/>
    <w:rsid w:val="003A55BD"/>
    <w:rsid w:val="003A6027"/>
    <w:rsid w:val="003A76CB"/>
    <w:rsid w:val="003B4AF3"/>
    <w:rsid w:val="003B509E"/>
    <w:rsid w:val="003C5840"/>
    <w:rsid w:val="003D3291"/>
    <w:rsid w:val="003E1F76"/>
    <w:rsid w:val="003F5198"/>
    <w:rsid w:val="0041070D"/>
    <w:rsid w:val="004126A4"/>
    <w:rsid w:val="0042462A"/>
    <w:rsid w:val="00426035"/>
    <w:rsid w:val="004261F0"/>
    <w:rsid w:val="0045231C"/>
    <w:rsid w:val="00463742"/>
    <w:rsid w:val="00467948"/>
    <w:rsid w:val="004731C2"/>
    <w:rsid w:val="00475FD2"/>
    <w:rsid w:val="0047682A"/>
    <w:rsid w:val="004811D6"/>
    <w:rsid w:val="0048295C"/>
    <w:rsid w:val="00483911"/>
    <w:rsid w:val="00494925"/>
    <w:rsid w:val="004B404D"/>
    <w:rsid w:val="004C7105"/>
    <w:rsid w:val="004D1A87"/>
    <w:rsid w:val="004D545C"/>
    <w:rsid w:val="004E283C"/>
    <w:rsid w:val="004E7185"/>
    <w:rsid w:val="004F5B7D"/>
    <w:rsid w:val="00505B67"/>
    <w:rsid w:val="005143A1"/>
    <w:rsid w:val="00521381"/>
    <w:rsid w:val="005225DA"/>
    <w:rsid w:val="00543A68"/>
    <w:rsid w:val="00545B1B"/>
    <w:rsid w:val="00547043"/>
    <w:rsid w:val="00550DBC"/>
    <w:rsid w:val="005553EF"/>
    <w:rsid w:val="00557B62"/>
    <w:rsid w:val="00567E81"/>
    <w:rsid w:val="00577AA4"/>
    <w:rsid w:val="00590449"/>
    <w:rsid w:val="00591A57"/>
    <w:rsid w:val="00594C4A"/>
    <w:rsid w:val="00597093"/>
    <w:rsid w:val="005A0AA2"/>
    <w:rsid w:val="005A171B"/>
    <w:rsid w:val="005C7113"/>
    <w:rsid w:val="005D0C10"/>
    <w:rsid w:val="005F07C5"/>
    <w:rsid w:val="005F2428"/>
    <w:rsid w:val="006008B2"/>
    <w:rsid w:val="00601FD5"/>
    <w:rsid w:val="0061324C"/>
    <w:rsid w:val="006145B5"/>
    <w:rsid w:val="006156AE"/>
    <w:rsid w:val="00632E2B"/>
    <w:rsid w:val="006455A5"/>
    <w:rsid w:val="00651CBF"/>
    <w:rsid w:val="0065559B"/>
    <w:rsid w:val="00656A88"/>
    <w:rsid w:val="006638F5"/>
    <w:rsid w:val="00664C5D"/>
    <w:rsid w:val="006749D6"/>
    <w:rsid w:val="006767C8"/>
    <w:rsid w:val="00683131"/>
    <w:rsid w:val="0068726C"/>
    <w:rsid w:val="0069212B"/>
    <w:rsid w:val="00692FD6"/>
    <w:rsid w:val="006A3E34"/>
    <w:rsid w:val="006A7DFA"/>
    <w:rsid w:val="006B2581"/>
    <w:rsid w:val="006C3CF2"/>
    <w:rsid w:val="006D424A"/>
    <w:rsid w:val="006E7C79"/>
    <w:rsid w:val="006F37D1"/>
    <w:rsid w:val="006F75DB"/>
    <w:rsid w:val="007000D9"/>
    <w:rsid w:val="00721C1E"/>
    <w:rsid w:val="007340EA"/>
    <w:rsid w:val="0073437E"/>
    <w:rsid w:val="00747701"/>
    <w:rsid w:val="007503A0"/>
    <w:rsid w:val="00762693"/>
    <w:rsid w:val="007629D3"/>
    <w:rsid w:val="00763B00"/>
    <w:rsid w:val="00770692"/>
    <w:rsid w:val="0077235E"/>
    <w:rsid w:val="00783558"/>
    <w:rsid w:val="00786C8C"/>
    <w:rsid w:val="00791118"/>
    <w:rsid w:val="007914DA"/>
    <w:rsid w:val="00794616"/>
    <w:rsid w:val="0079580D"/>
    <w:rsid w:val="007A11AD"/>
    <w:rsid w:val="007A35AD"/>
    <w:rsid w:val="007A64A4"/>
    <w:rsid w:val="007A7597"/>
    <w:rsid w:val="007B1DE1"/>
    <w:rsid w:val="007C3578"/>
    <w:rsid w:val="007D454F"/>
    <w:rsid w:val="007D4B17"/>
    <w:rsid w:val="007D7F85"/>
    <w:rsid w:val="007E16E1"/>
    <w:rsid w:val="007E2C50"/>
    <w:rsid w:val="007E3C08"/>
    <w:rsid w:val="008031A8"/>
    <w:rsid w:val="008047DE"/>
    <w:rsid w:val="00806756"/>
    <w:rsid w:val="00807056"/>
    <w:rsid w:val="008369C5"/>
    <w:rsid w:val="00837054"/>
    <w:rsid w:val="00846350"/>
    <w:rsid w:val="008633FA"/>
    <w:rsid w:val="00864DCE"/>
    <w:rsid w:val="008655C0"/>
    <w:rsid w:val="008662A3"/>
    <w:rsid w:val="00873C7F"/>
    <w:rsid w:val="00882A7C"/>
    <w:rsid w:val="0088472D"/>
    <w:rsid w:val="0089191A"/>
    <w:rsid w:val="0089463A"/>
    <w:rsid w:val="008955B3"/>
    <w:rsid w:val="008B211E"/>
    <w:rsid w:val="008C3232"/>
    <w:rsid w:val="008C5A9B"/>
    <w:rsid w:val="008C7A54"/>
    <w:rsid w:val="008D28DC"/>
    <w:rsid w:val="008D30F9"/>
    <w:rsid w:val="008D4F9B"/>
    <w:rsid w:val="008D53B2"/>
    <w:rsid w:val="008E34E1"/>
    <w:rsid w:val="008E50CE"/>
    <w:rsid w:val="008F2267"/>
    <w:rsid w:val="008F3883"/>
    <w:rsid w:val="008F52FF"/>
    <w:rsid w:val="00904178"/>
    <w:rsid w:val="00906786"/>
    <w:rsid w:val="00907872"/>
    <w:rsid w:val="00912169"/>
    <w:rsid w:val="00912299"/>
    <w:rsid w:val="0092037A"/>
    <w:rsid w:val="009246AD"/>
    <w:rsid w:val="00931796"/>
    <w:rsid w:val="009321B7"/>
    <w:rsid w:val="00932614"/>
    <w:rsid w:val="0094138C"/>
    <w:rsid w:val="0094784D"/>
    <w:rsid w:val="0095448E"/>
    <w:rsid w:val="009545E3"/>
    <w:rsid w:val="00954899"/>
    <w:rsid w:val="00990673"/>
    <w:rsid w:val="009917FE"/>
    <w:rsid w:val="009B4ACC"/>
    <w:rsid w:val="009C3BBD"/>
    <w:rsid w:val="009D3A16"/>
    <w:rsid w:val="009D7683"/>
    <w:rsid w:val="009E4E75"/>
    <w:rsid w:val="009F2E7E"/>
    <w:rsid w:val="009F3E39"/>
    <w:rsid w:val="009F4275"/>
    <w:rsid w:val="009F6C79"/>
    <w:rsid w:val="009F7010"/>
    <w:rsid w:val="00A0069B"/>
    <w:rsid w:val="00A02D62"/>
    <w:rsid w:val="00A07336"/>
    <w:rsid w:val="00A102FF"/>
    <w:rsid w:val="00A14BBF"/>
    <w:rsid w:val="00A20231"/>
    <w:rsid w:val="00A20EB5"/>
    <w:rsid w:val="00A23A1A"/>
    <w:rsid w:val="00A24943"/>
    <w:rsid w:val="00A2545A"/>
    <w:rsid w:val="00A35246"/>
    <w:rsid w:val="00A422C9"/>
    <w:rsid w:val="00A52E5E"/>
    <w:rsid w:val="00A6073E"/>
    <w:rsid w:val="00A6074D"/>
    <w:rsid w:val="00A6276E"/>
    <w:rsid w:val="00A764EF"/>
    <w:rsid w:val="00A772C6"/>
    <w:rsid w:val="00A97790"/>
    <w:rsid w:val="00AA3B37"/>
    <w:rsid w:val="00AA78AE"/>
    <w:rsid w:val="00AB1DF0"/>
    <w:rsid w:val="00AB33CF"/>
    <w:rsid w:val="00AB34C5"/>
    <w:rsid w:val="00AB527B"/>
    <w:rsid w:val="00AB7FC5"/>
    <w:rsid w:val="00AC0185"/>
    <w:rsid w:val="00AC28DD"/>
    <w:rsid w:val="00AC525F"/>
    <w:rsid w:val="00AD4BE1"/>
    <w:rsid w:val="00AD5232"/>
    <w:rsid w:val="00AF254A"/>
    <w:rsid w:val="00AF4F6D"/>
    <w:rsid w:val="00AF7F6A"/>
    <w:rsid w:val="00B00CBE"/>
    <w:rsid w:val="00B05A88"/>
    <w:rsid w:val="00B0779F"/>
    <w:rsid w:val="00B11EBA"/>
    <w:rsid w:val="00B15C02"/>
    <w:rsid w:val="00B26F4D"/>
    <w:rsid w:val="00B44641"/>
    <w:rsid w:val="00B477EB"/>
    <w:rsid w:val="00B64AC0"/>
    <w:rsid w:val="00B7618D"/>
    <w:rsid w:val="00B77D90"/>
    <w:rsid w:val="00B8751E"/>
    <w:rsid w:val="00B94046"/>
    <w:rsid w:val="00B94A15"/>
    <w:rsid w:val="00B94A33"/>
    <w:rsid w:val="00B97A67"/>
    <w:rsid w:val="00BA131D"/>
    <w:rsid w:val="00BA6844"/>
    <w:rsid w:val="00BB43FE"/>
    <w:rsid w:val="00BC4E2F"/>
    <w:rsid w:val="00BC5805"/>
    <w:rsid w:val="00BD1235"/>
    <w:rsid w:val="00BD28B5"/>
    <w:rsid w:val="00BD2C44"/>
    <w:rsid w:val="00BD6819"/>
    <w:rsid w:val="00BE721D"/>
    <w:rsid w:val="00C02366"/>
    <w:rsid w:val="00C02BEB"/>
    <w:rsid w:val="00C10EE0"/>
    <w:rsid w:val="00C12556"/>
    <w:rsid w:val="00C20452"/>
    <w:rsid w:val="00C278C6"/>
    <w:rsid w:val="00C33454"/>
    <w:rsid w:val="00C403CF"/>
    <w:rsid w:val="00C44FA0"/>
    <w:rsid w:val="00C52BD0"/>
    <w:rsid w:val="00C6170A"/>
    <w:rsid w:val="00C63F91"/>
    <w:rsid w:val="00C70A90"/>
    <w:rsid w:val="00C73A5F"/>
    <w:rsid w:val="00C81990"/>
    <w:rsid w:val="00C8285F"/>
    <w:rsid w:val="00C93B5E"/>
    <w:rsid w:val="00CA5EF0"/>
    <w:rsid w:val="00CB0B32"/>
    <w:rsid w:val="00CB6894"/>
    <w:rsid w:val="00CC469F"/>
    <w:rsid w:val="00CD5EC1"/>
    <w:rsid w:val="00CE6894"/>
    <w:rsid w:val="00D0497B"/>
    <w:rsid w:val="00D318E5"/>
    <w:rsid w:val="00D319F9"/>
    <w:rsid w:val="00D32E24"/>
    <w:rsid w:val="00D34FF5"/>
    <w:rsid w:val="00D367B3"/>
    <w:rsid w:val="00D6094C"/>
    <w:rsid w:val="00D71373"/>
    <w:rsid w:val="00D77DF9"/>
    <w:rsid w:val="00D804B9"/>
    <w:rsid w:val="00D82621"/>
    <w:rsid w:val="00D83C7A"/>
    <w:rsid w:val="00D86252"/>
    <w:rsid w:val="00D8724B"/>
    <w:rsid w:val="00DA0848"/>
    <w:rsid w:val="00DB30E8"/>
    <w:rsid w:val="00DC3466"/>
    <w:rsid w:val="00DD6DBB"/>
    <w:rsid w:val="00DE0339"/>
    <w:rsid w:val="00DE366E"/>
    <w:rsid w:val="00DF76A1"/>
    <w:rsid w:val="00E04664"/>
    <w:rsid w:val="00E06856"/>
    <w:rsid w:val="00E074F2"/>
    <w:rsid w:val="00E13373"/>
    <w:rsid w:val="00E235A9"/>
    <w:rsid w:val="00E32DE8"/>
    <w:rsid w:val="00E35130"/>
    <w:rsid w:val="00E352EA"/>
    <w:rsid w:val="00E37D0E"/>
    <w:rsid w:val="00E52BDC"/>
    <w:rsid w:val="00E5344D"/>
    <w:rsid w:val="00E620C0"/>
    <w:rsid w:val="00E64618"/>
    <w:rsid w:val="00E649B7"/>
    <w:rsid w:val="00E65004"/>
    <w:rsid w:val="00E665F7"/>
    <w:rsid w:val="00E70493"/>
    <w:rsid w:val="00E76B81"/>
    <w:rsid w:val="00E77DD9"/>
    <w:rsid w:val="00E85395"/>
    <w:rsid w:val="00E855B4"/>
    <w:rsid w:val="00E91482"/>
    <w:rsid w:val="00E92942"/>
    <w:rsid w:val="00E96302"/>
    <w:rsid w:val="00EB2868"/>
    <w:rsid w:val="00EB5364"/>
    <w:rsid w:val="00ED3575"/>
    <w:rsid w:val="00ED3D3C"/>
    <w:rsid w:val="00ED5672"/>
    <w:rsid w:val="00ED7FD0"/>
    <w:rsid w:val="00EE038D"/>
    <w:rsid w:val="00EE1A51"/>
    <w:rsid w:val="00EF1634"/>
    <w:rsid w:val="00EF44B8"/>
    <w:rsid w:val="00EF4B13"/>
    <w:rsid w:val="00F10BAF"/>
    <w:rsid w:val="00F134F5"/>
    <w:rsid w:val="00F14411"/>
    <w:rsid w:val="00F23F91"/>
    <w:rsid w:val="00F33B22"/>
    <w:rsid w:val="00F36C95"/>
    <w:rsid w:val="00F4163E"/>
    <w:rsid w:val="00F45576"/>
    <w:rsid w:val="00F47B85"/>
    <w:rsid w:val="00F54BDD"/>
    <w:rsid w:val="00F5645C"/>
    <w:rsid w:val="00F833E3"/>
    <w:rsid w:val="00F838EC"/>
    <w:rsid w:val="00F91D64"/>
    <w:rsid w:val="00F93DA4"/>
    <w:rsid w:val="00FA072F"/>
    <w:rsid w:val="00FA6838"/>
    <w:rsid w:val="00FA6D09"/>
    <w:rsid w:val="00FC2781"/>
    <w:rsid w:val="00FC2DA1"/>
    <w:rsid w:val="00FC314E"/>
    <w:rsid w:val="00FE5CAC"/>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D1002F"/>
  <w15:docId w15:val="{1DE50310-5302-43CB-BBB7-997418506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link w:val="Heading1Char"/>
    <w:uiPriority w:val="9"/>
    <w:qFormat/>
    <w:rsid w:val="00FA072F"/>
    <w:pPr>
      <w:keepNext/>
      <w:keepLines/>
      <w:numPr>
        <w:numId w:val="1"/>
      </w:numPr>
      <w:spacing w:before="240" w:after="0"/>
      <w:jc w:val="left"/>
      <w:outlineLvl w:val="0"/>
    </w:pPr>
    <w:rPr>
      <w:rFonts w:asciiTheme="minorHAnsi" w:eastAsiaTheme="majorEastAsia" w:hAnsiTheme="minorHAnsi" w:cstheme="majorBidi"/>
      <w:b/>
      <w:sz w:val="32"/>
      <w:szCs w:val="32"/>
      <w:lang w:val="en-GB"/>
    </w:rPr>
  </w:style>
  <w:style w:type="paragraph" w:styleId="Heading2">
    <w:name w:val="heading 2"/>
    <w:basedOn w:val="ListParagraph"/>
    <w:next w:val="Normal"/>
    <w:link w:val="Heading2Char"/>
    <w:autoRedefine/>
    <w:uiPriority w:val="9"/>
    <w:unhideWhenUsed/>
    <w:qFormat/>
    <w:rsid w:val="00846350"/>
    <w:pPr>
      <w:numPr>
        <w:ilvl w:val="1"/>
        <w:numId w:val="1"/>
      </w:numPr>
      <w:spacing w:before="240"/>
      <w:jc w:val="left"/>
      <w:outlineLvl w:val="1"/>
    </w:pPr>
    <w:rPr>
      <w:rFonts w:asciiTheme="minorHAnsi" w:hAnsiTheme="minorHAnsi"/>
      <w:b/>
      <w:color w:val="FF0000"/>
      <w:szCs w:val="24"/>
      <w:lang w:val="en-GB"/>
    </w:rPr>
  </w:style>
  <w:style w:type="paragraph" w:styleId="Heading3">
    <w:name w:val="heading 3"/>
    <w:basedOn w:val="ListParagraph"/>
    <w:next w:val="Normal"/>
    <w:link w:val="Heading3Char"/>
    <w:uiPriority w:val="9"/>
    <w:unhideWhenUsed/>
    <w:qFormat/>
    <w:rsid w:val="00FA072F"/>
    <w:pPr>
      <w:numPr>
        <w:ilvl w:val="2"/>
        <w:numId w:val="1"/>
      </w:numPr>
      <w:spacing w:after="0"/>
      <w:jc w:val="left"/>
      <w:outlineLvl w:val="2"/>
    </w:pPr>
    <w:rPr>
      <w:rFonts w:asciiTheme="minorHAnsi" w:hAnsiTheme="minorHAns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72F"/>
    <w:rPr>
      <w:rFonts w:asciiTheme="minorHAnsi" w:eastAsiaTheme="majorEastAsia" w:hAnsiTheme="minorHAnsi" w:cstheme="majorBidi"/>
      <w:b/>
      <w:sz w:val="32"/>
      <w:szCs w:val="32"/>
      <w:lang w:val="en-GB"/>
    </w:rPr>
  </w:style>
  <w:style w:type="paragraph" w:styleId="ListParagraph">
    <w:name w:val="List Paragraph"/>
    <w:basedOn w:val="Normal"/>
    <w:link w:val="ListParagraphChar"/>
    <w:uiPriority w:val="34"/>
    <w:qFormat/>
    <w:rsid w:val="00FA072F"/>
    <w:pPr>
      <w:ind w:left="720"/>
      <w:contextualSpacing/>
    </w:pPr>
  </w:style>
  <w:style w:type="character" w:customStyle="1" w:styleId="ListParagraphChar">
    <w:name w:val="List Paragraph Char"/>
    <w:basedOn w:val="DefaultParagraphFont"/>
    <w:link w:val="ListParagraph"/>
    <w:uiPriority w:val="34"/>
    <w:rsid w:val="00C81990"/>
    <w:rPr>
      <w:rFonts w:ascii="Times" w:hAnsi="Times"/>
      <w:sz w:val="24"/>
    </w:rPr>
  </w:style>
  <w:style w:type="character" w:customStyle="1" w:styleId="Heading2Char">
    <w:name w:val="Heading 2 Char"/>
    <w:basedOn w:val="DefaultParagraphFont"/>
    <w:link w:val="Heading2"/>
    <w:uiPriority w:val="9"/>
    <w:rsid w:val="00846350"/>
    <w:rPr>
      <w:rFonts w:asciiTheme="minorHAnsi" w:hAnsiTheme="minorHAnsi"/>
      <w:b/>
      <w:color w:val="FF0000"/>
      <w:sz w:val="24"/>
      <w:szCs w:val="24"/>
      <w:lang w:val="en-GB"/>
    </w:rPr>
  </w:style>
  <w:style w:type="character" w:customStyle="1" w:styleId="Heading3Char">
    <w:name w:val="Heading 3 Char"/>
    <w:basedOn w:val="DefaultParagraphFont"/>
    <w:link w:val="Heading3"/>
    <w:uiPriority w:val="9"/>
    <w:rsid w:val="00FA072F"/>
    <w:rPr>
      <w:rFonts w:asciiTheme="minorHAnsi" w:hAnsiTheme="minorHAnsi"/>
      <w:b/>
      <w:sz w:val="24"/>
      <w:szCs w:val="24"/>
      <w:lang w:val="en-GB"/>
    </w:rPr>
  </w:style>
  <w:style w:type="character" w:styleId="FollowedHyperlink">
    <w:name w:val="FollowedHyperlink"/>
    <w:uiPriority w:val="99"/>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link w:val="FootnoteTextChar"/>
    <w:uiPriority w:val="99"/>
    <w:semiHidden/>
  </w:style>
  <w:style w:type="paragraph" w:customStyle="1" w:styleId="TFReferencesSection">
    <w:name w:val="TF_References_Section"/>
    <w:basedOn w:val="Normal"/>
    <w:pPr>
      <w:spacing w:line="480" w:lineRule="auto"/>
      <w:ind w:firstLine="187"/>
    </w:pPr>
  </w:style>
  <w:style w:type="character" w:customStyle="1" w:styleId="FootnoteTextChar">
    <w:name w:val="Footnote Text Char"/>
    <w:basedOn w:val="DefaultParagraphFont"/>
    <w:link w:val="FootnoteText"/>
    <w:uiPriority w:val="99"/>
    <w:semiHidden/>
    <w:rsid w:val="00C81990"/>
    <w:rPr>
      <w:rFonts w:ascii="Times" w:hAnsi="Times"/>
      <w:sz w:val="24"/>
    </w:rPr>
  </w:style>
  <w:style w:type="paragraph" w:customStyle="1" w:styleId="TAMainText">
    <w:name w:val="TA_Main_Text"/>
    <w:basedOn w:val="Normal"/>
    <w:pPr>
      <w:spacing w:after="0" w:line="480" w:lineRule="auto"/>
      <w:ind w:firstLine="202"/>
    </w:pPr>
  </w:style>
  <w:style w:type="paragraph" w:customStyle="1" w:styleId="BATitle">
    <w:name w:val="BA_Title"/>
    <w:basedOn w:val="Normal"/>
    <w:next w:val="BBAuthorName"/>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pPr>
      <w:spacing w:after="240" w:line="480" w:lineRule="auto"/>
      <w:jc w:val="center"/>
    </w:pPr>
    <w:rPr>
      <w:i/>
    </w:rPr>
  </w:style>
  <w:style w:type="paragraph" w:customStyle="1" w:styleId="BCAuthorAddress">
    <w:name w:val="BC_Author_Address"/>
    <w:basedOn w:val="Normal"/>
    <w:next w:val="BIEmailAddress"/>
    <w:pPr>
      <w:spacing w:after="240" w:line="480" w:lineRule="auto"/>
      <w:jc w:val="center"/>
    </w:pPr>
  </w:style>
  <w:style w:type="paragraph" w:customStyle="1" w:styleId="BIEmailAddress">
    <w:name w:val="BI_Email_Address"/>
    <w:basedOn w:val="Normal"/>
    <w:next w:val="AIReceivedDate"/>
    <w:pPr>
      <w:spacing w:line="480" w:lineRule="auto"/>
    </w:pPr>
  </w:style>
  <w:style w:type="paragraph" w:customStyle="1" w:styleId="AIReceivedDate">
    <w:name w:val="AI_Received_Date"/>
    <w:basedOn w:val="Normal"/>
    <w:next w:val="BDAbstract"/>
    <w:pPr>
      <w:spacing w:after="240" w:line="480" w:lineRule="auto"/>
    </w:pPr>
    <w:rPr>
      <w:b/>
    </w:rPr>
  </w:style>
  <w:style w:type="paragraph" w:customStyle="1" w:styleId="BDAbstract">
    <w:name w:val="BD_Abstract"/>
    <w:basedOn w:val="Normal"/>
    <w:next w:val="TAMainText"/>
    <w:pPr>
      <w:spacing w:before="360" w:after="360" w:line="480" w:lineRule="auto"/>
    </w:pPr>
  </w:style>
  <w:style w:type="paragraph" w:customStyle="1" w:styleId="TDAcknowledgments">
    <w:name w:val="TD_Acknowledgments"/>
    <w:basedOn w:val="Normal"/>
    <w:next w:val="Normal"/>
    <w:pPr>
      <w:spacing w:before="200" w:line="480" w:lineRule="auto"/>
      <w:ind w:firstLine="202"/>
    </w:pPr>
  </w:style>
  <w:style w:type="paragraph" w:customStyle="1" w:styleId="TESupportingInformation">
    <w:name w:val="TE_Supporting_Information"/>
    <w:basedOn w:val="Normal"/>
    <w:next w:val="Normal"/>
    <w:pPr>
      <w:spacing w:line="480" w:lineRule="auto"/>
      <w:ind w:firstLine="187"/>
    </w:pPr>
  </w:style>
  <w:style w:type="paragraph" w:customStyle="1" w:styleId="VCSchemeTitle">
    <w:name w:val="VC_Scheme_Title"/>
    <w:basedOn w:val="Normal"/>
    <w:next w:val="Normal"/>
    <w:pPr>
      <w:spacing w:line="480" w:lineRule="auto"/>
    </w:pPr>
  </w:style>
  <w:style w:type="paragraph" w:customStyle="1" w:styleId="VDTableTitle">
    <w:name w:val="VD_Table_Title"/>
    <w:basedOn w:val="Normal"/>
    <w:next w:val="Normal"/>
    <w:pPr>
      <w:spacing w:line="480" w:lineRule="auto"/>
    </w:pPr>
  </w:style>
  <w:style w:type="paragraph" w:customStyle="1" w:styleId="VAFigureCaption">
    <w:name w:val="VA_Figure_Caption"/>
    <w:basedOn w:val="Normal"/>
    <w:next w:val="Normal"/>
    <w:pPr>
      <w:spacing w:line="480" w:lineRule="auto"/>
    </w:pPr>
  </w:style>
  <w:style w:type="paragraph" w:customStyle="1" w:styleId="VBChartTitle">
    <w:name w:val="VB_Chart_Title"/>
    <w:basedOn w:val="Normal"/>
    <w:next w:val="Normal"/>
    <w:pPr>
      <w:spacing w:line="480" w:lineRule="auto"/>
    </w:pPr>
  </w:style>
  <w:style w:type="paragraph" w:customStyle="1" w:styleId="FETableFootnote">
    <w:name w:val="FE_Table_Footnote"/>
    <w:basedOn w:val="Normal"/>
    <w:next w:val="Normal"/>
    <w:pPr>
      <w:ind w:firstLine="187"/>
    </w:pPr>
  </w:style>
  <w:style w:type="paragraph" w:customStyle="1" w:styleId="FCChartFootnote">
    <w:name w:val="FC_Chart_Footnote"/>
    <w:basedOn w:val="Normal"/>
    <w:next w:val="Normal"/>
    <w:pPr>
      <w:ind w:firstLine="187"/>
    </w:pPr>
  </w:style>
  <w:style w:type="paragraph" w:customStyle="1" w:styleId="FDSchemeFootnote">
    <w:name w:val="FD_Scheme_Footnote"/>
    <w:basedOn w:val="Normal"/>
    <w:next w:val="Normal"/>
    <w:pPr>
      <w:ind w:firstLine="187"/>
    </w:pPr>
  </w:style>
  <w:style w:type="paragraph" w:customStyle="1" w:styleId="TCTableBody">
    <w:name w:val="TC_Table_Body"/>
    <w:basedOn w:val="Normal"/>
  </w:style>
  <w:style w:type="paragraph" w:customStyle="1" w:styleId="AFTitleRunningHead">
    <w:name w:val="AF_Title_Running_Head"/>
    <w:basedOn w:val="Normal"/>
    <w:next w:val="TAMainText"/>
    <w:pPr>
      <w:spacing w:line="480" w:lineRule="auto"/>
    </w:pPr>
  </w:style>
  <w:style w:type="paragraph" w:customStyle="1" w:styleId="BEAuthorBiography">
    <w:name w:val="BE_Author_Biography"/>
    <w:basedOn w:val="Normal"/>
    <w:pPr>
      <w:spacing w:line="480" w:lineRule="auto"/>
    </w:pPr>
  </w:style>
  <w:style w:type="paragraph" w:customStyle="1" w:styleId="FACorrespondingAuthorFootnote">
    <w:name w:val="FA_Corresponding_Author_Footnote"/>
    <w:basedOn w:val="Normal"/>
    <w:next w:val="TAMainText"/>
    <w:pPr>
      <w:spacing w:line="480" w:lineRule="auto"/>
    </w:pPr>
  </w:style>
  <w:style w:type="paragraph" w:customStyle="1" w:styleId="SNSynopsisTOC">
    <w:name w:val="SN_Synopsis_TOC"/>
    <w:basedOn w:val="Normal"/>
    <w:pPr>
      <w:spacing w:line="480" w:lineRule="auto"/>
    </w:pPr>
  </w:style>
  <w:style w:type="character" w:styleId="Hyperlink">
    <w:name w:val="Hyperlink"/>
    <w:uiPriority w:val="99"/>
    <w:rPr>
      <w:color w:val="0000FF"/>
      <w:u w:val="single"/>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rsid w:val="00C81990"/>
    <w:rPr>
      <w:rFonts w:ascii="Times" w:hAnsi="Times"/>
      <w:sz w:val="24"/>
    </w:rPr>
  </w:style>
  <w:style w:type="paragraph" w:customStyle="1" w:styleId="BGKeywords">
    <w:name w:val="BG_Keywords"/>
    <w:basedOn w:val="Normal"/>
    <w:pPr>
      <w:spacing w:line="480" w:lineRule="auto"/>
    </w:pPr>
  </w:style>
  <w:style w:type="paragraph" w:customStyle="1" w:styleId="BHBriefs">
    <w:name w:val="BH_Briefs"/>
    <w:basedOn w:val="Normal"/>
    <w:pPr>
      <w:spacing w:line="480" w:lineRule="auto"/>
    </w:pPr>
  </w:style>
  <w:style w:type="character" w:styleId="PageNumber">
    <w:name w:val="page number"/>
    <w:basedOn w:val="DefaultParagraphFont"/>
  </w:style>
  <w:style w:type="paragraph" w:styleId="BalloonText">
    <w:name w:val="Balloon Text"/>
    <w:basedOn w:val="Normal"/>
    <w:link w:val="BalloonTextChar"/>
    <w:uiPriority w:val="99"/>
    <w:semiHidden/>
    <w:rsid w:val="00E96302"/>
    <w:rPr>
      <w:rFonts w:ascii="Tahoma" w:hAnsi="Tahoma" w:cs="Tahoma"/>
      <w:sz w:val="16"/>
      <w:szCs w:val="16"/>
    </w:rPr>
  </w:style>
  <w:style w:type="character" w:customStyle="1" w:styleId="BalloonTextChar">
    <w:name w:val="Balloon Text Char"/>
    <w:basedOn w:val="DefaultParagraphFont"/>
    <w:link w:val="BalloonText"/>
    <w:uiPriority w:val="99"/>
    <w:semiHidden/>
    <w:rsid w:val="00C81990"/>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table" w:styleId="TableGrid">
    <w:name w:val="Table Grid"/>
    <w:basedOn w:val="TableNormal"/>
    <w:uiPriority w:val="39"/>
    <w:rsid w:val="00C81990"/>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Affiliation">
    <w:name w:val="Els-Affiliation"/>
    <w:rsid w:val="00C81990"/>
    <w:pPr>
      <w:suppressAutoHyphens/>
      <w:spacing w:line="240" w:lineRule="exact"/>
    </w:pPr>
    <w:rPr>
      <w:rFonts w:ascii="Times New Roman" w:hAnsi="Times New Roman"/>
      <w:i/>
      <w:noProof/>
      <w:lang w:val="en-GB"/>
    </w:rPr>
  </w:style>
  <w:style w:type="paragraph" w:styleId="CommentText">
    <w:name w:val="annotation text"/>
    <w:basedOn w:val="Normal"/>
    <w:link w:val="CommentTextChar"/>
    <w:uiPriority w:val="99"/>
    <w:unhideWhenUsed/>
    <w:rsid w:val="00C81990"/>
    <w:pPr>
      <w:spacing w:after="0"/>
      <w:jc w:val="left"/>
    </w:pPr>
    <w:rPr>
      <w:rFonts w:asciiTheme="minorHAnsi" w:hAnsiTheme="minorHAnsi"/>
      <w:sz w:val="20"/>
      <w:lang w:val="en-GB"/>
    </w:rPr>
  </w:style>
  <w:style w:type="character" w:customStyle="1" w:styleId="CommentTextChar">
    <w:name w:val="Comment Text Char"/>
    <w:basedOn w:val="DefaultParagraphFont"/>
    <w:link w:val="CommentText"/>
    <w:uiPriority w:val="99"/>
    <w:rsid w:val="00C81990"/>
    <w:rPr>
      <w:rFonts w:asciiTheme="minorHAnsi" w:hAnsiTheme="minorHAnsi"/>
      <w:lang w:val="en-GB"/>
    </w:rPr>
  </w:style>
  <w:style w:type="paragraph" w:customStyle="1" w:styleId="EndNoteBibliography">
    <w:name w:val="EndNote Bibliography"/>
    <w:basedOn w:val="Normal"/>
    <w:link w:val="EndNoteBibliographyChar"/>
    <w:rsid w:val="00C81990"/>
    <w:pPr>
      <w:spacing w:after="0"/>
    </w:pPr>
    <w:rPr>
      <w:rFonts w:ascii="Times New Roman" w:hAnsi="Times New Roman"/>
      <w:noProof/>
      <w:szCs w:val="24"/>
      <w:lang w:val="en-GB"/>
    </w:rPr>
  </w:style>
  <w:style w:type="character" w:customStyle="1" w:styleId="EndNoteBibliographyChar">
    <w:name w:val="EndNote Bibliography Char"/>
    <w:basedOn w:val="DefaultParagraphFont"/>
    <w:link w:val="EndNoteBibliography"/>
    <w:rsid w:val="00C81990"/>
    <w:rPr>
      <w:rFonts w:ascii="Times New Roman" w:hAnsi="Times New Roman"/>
      <w:noProof/>
      <w:sz w:val="24"/>
      <w:szCs w:val="24"/>
      <w:lang w:val="en-GB"/>
    </w:rPr>
  </w:style>
  <w:style w:type="paragraph" w:styleId="Caption">
    <w:name w:val="caption"/>
    <w:basedOn w:val="Normal"/>
    <w:next w:val="Normal"/>
    <w:uiPriority w:val="35"/>
    <w:unhideWhenUsed/>
    <w:qFormat/>
    <w:rsid w:val="00C81990"/>
    <w:pPr>
      <w:jc w:val="left"/>
    </w:pPr>
    <w:rPr>
      <w:rFonts w:asciiTheme="minorHAnsi" w:hAnsiTheme="minorHAnsi"/>
      <w:i/>
      <w:iCs/>
      <w:color w:val="1F497D" w:themeColor="text2"/>
      <w:sz w:val="18"/>
      <w:szCs w:val="18"/>
      <w:lang w:val="en-GB"/>
    </w:rPr>
  </w:style>
  <w:style w:type="paragraph" w:customStyle="1" w:styleId="EndNoteBibliographyTitle">
    <w:name w:val="EndNote Bibliography Title"/>
    <w:basedOn w:val="Normal"/>
    <w:link w:val="EndNoteBibliographyTitleChar"/>
    <w:rsid w:val="00C81990"/>
    <w:pPr>
      <w:spacing w:after="0"/>
      <w:jc w:val="center"/>
    </w:pPr>
    <w:rPr>
      <w:rFonts w:ascii="Times New Roman" w:hAnsi="Times New Roman"/>
      <w:noProof/>
      <w:szCs w:val="24"/>
    </w:rPr>
  </w:style>
  <w:style w:type="character" w:customStyle="1" w:styleId="EndNoteBibliographyTitleChar">
    <w:name w:val="EndNote Bibliography Title Char"/>
    <w:basedOn w:val="DefaultParagraphFont"/>
    <w:link w:val="EndNoteBibliographyTitle"/>
    <w:rsid w:val="00C81990"/>
    <w:rPr>
      <w:rFonts w:ascii="Times New Roman" w:hAnsi="Times New Roman"/>
      <w:noProof/>
      <w:sz w:val="24"/>
      <w:szCs w:val="24"/>
    </w:rPr>
  </w:style>
  <w:style w:type="character" w:customStyle="1" w:styleId="CommentSubjectChar">
    <w:name w:val="Comment Subject Char"/>
    <w:basedOn w:val="CommentTextChar"/>
    <w:link w:val="CommentSubject"/>
    <w:uiPriority w:val="99"/>
    <w:semiHidden/>
    <w:rsid w:val="00C81990"/>
    <w:rPr>
      <w:rFonts w:asciiTheme="minorHAnsi" w:hAnsiTheme="minorHAnsi"/>
      <w:b/>
      <w:bCs/>
      <w:lang w:val="en-GB"/>
    </w:rPr>
  </w:style>
  <w:style w:type="paragraph" w:styleId="CommentSubject">
    <w:name w:val="annotation subject"/>
    <w:basedOn w:val="CommentText"/>
    <w:next w:val="CommentText"/>
    <w:link w:val="CommentSubjectChar"/>
    <w:uiPriority w:val="99"/>
    <w:semiHidden/>
    <w:unhideWhenUsed/>
    <w:rsid w:val="00C81990"/>
    <w:rPr>
      <w:b/>
      <w:bCs/>
    </w:rPr>
  </w:style>
  <w:style w:type="paragraph" w:styleId="Title">
    <w:name w:val="Title"/>
    <w:basedOn w:val="Normal"/>
    <w:next w:val="Normal"/>
    <w:link w:val="TitleChar"/>
    <w:uiPriority w:val="10"/>
    <w:qFormat/>
    <w:rsid w:val="00C81990"/>
    <w:pPr>
      <w:spacing w:after="0"/>
      <w:jc w:val="center"/>
    </w:pPr>
    <w:rPr>
      <w:rFonts w:asciiTheme="minorHAnsi" w:hAnsiTheme="minorHAnsi"/>
      <w:b/>
      <w:sz w:val="40"/>
      <w:szCs w:val="28"/>
      <w:lang w:val="en-GB"/>
    </w:rPr>
  </w:style>
  <w:style w:type="character" w:customStyle="1" w:styleId="TitleChar">
    <w:name w:val="Title Char"/>
    <w:basedOn w:val="DefaultParagraphFont"/>
    <w:link w:val="Title"/>
    <w:uiPriority w:val="10"/>
    <w:rsid w:val="00C81990"/>
    <w:rPr>
      <w:rFonts w:asciiTheme="minorHAnsi" w:hAnsiTheme="minorHAnsi"/>
      <w:b/>
      <w:sz w:val="40"/>
      <w:szCs w:val="28"/>
      <w:lang w:val="en-GB"/>
    </w:rPr>
  </w:style>
  <w:style w:type="paragraph" w:styleId="TOCHeading">
    <w:name w:val="TOC Heading"/>
    <w:basedOn w:val="Heading1"/>
    <w:next w:val="Normal"/>
    <w:uiPriority w:val="39"/>
    <w:unhideWhenUsed/>
    <w:qFormat/>
    <w:rsid w:val="00C81990"/>
    <w:pPr>
      <w:numPr>
        <w:numId w:val="0"/>
      </w:numPr>
      <w:spacing w:line="259" w:lineRule="auto"/>
      <w:outlineLvl w:val="9"/>
    </w:pPr>
    <w:rPr>
      <w:rFonts w:asciiTheme="majorHAnsi" w:hAnsiTheme="majorHAnsi"/>
      <w:b w:val="0"/>
      <w:color w:val="365F91" w:themeColor="accent1" w:themeShade="BF"/>
      <w:lang w:val="en-US"/>
    </w:rPr>
  </w:style>
  <w:style w:type="paragraph" w:styleId="TOC1">
    <w:name w:val="toc 1"/>
    <w:basedOn w:val="BATitle"/>
    <w:next w:val="StyleBATitleTimes12ptLeftBefore0ptAfter12pt"/>
    <w:autoRedefine/>
    <w:uiPriority w:val="39"/>
    <w:unhideWhenUsed/>
    <w:rsid w:val="00C81990"/>
    <w:pPr>
      <w:spacing w:after="100"/>
      <w:jc w:val="left"/>
    </w:pPr>
    <w:rPr>
      <w:rFonts w:asciiTheme="minorHAnsi" w:hAnsiTheme="minorHAnsi"/>
      <w:szCs w:val="24"/>
      <w:lang w:val="en-GB"/>
    </w:rPr>
  </w:style>
  <w:style w:type="paragraph" w:styleId="TOC2">
    <w:name w:val="toc 2"/>
    <w:basedOn w:val="Normal"/>
    <w:next w:val="Normal"/>
    <w:autoRedefine/>
    <w:uiPriority w:val="39"/>
    <w:unhideWhenUsed/>
    <w:rsid w:val="00C81990"/>
    <w:pPr>
      <w:spacing w:after="100"/>
      <w:ind w:left="240"/>
      <w:jc w:val="left"/>
    </w:pPr>
    <w:rPr>
      <w:rFonts w:asciiTheme="minorHAnsi" w:hAnsiTheme="minorHAnsi"/>
      <w:szCs w:val="24"/>
      <w:lang w:val="en-GB"/>
    </w:rPr>
  </w:style>
  <w:style w:type="paragraph" w:styleId="TOC3">
    <w:name w:val="toc 3"/>
    <w:basedOn w:val="Normal"/>
    <w:next w:val="Normal"/>
    <w:autoRedefine/>
    <w:uiPriority w:val="39"/>
    <w:unhideWhenUsed/>
    <w:rsid w:val="00C81990"/>
    <w:pPr>
      <w:spacing w:after="100"/>
      <w:ind w:left="480"/>
      <w:jc w:val="left"/>
    </w:pPr>
    <w:rPr>
      <w:rFonts w:asciiTheme="minorHAnsi" w:hAnsiTheme="minorHAnsi"/>
      <w:szCs w:val="24"/>
      <w:lang w:val="en-GB"/>
    </w:rPr>
  </w:style>
  <w:style w:type="paragraph" w:styleId="TableofFigures">
    <w:name w:val="table of figures"/>
    <w:basedOn w:val="Normal"/>
    <w:next w:val="Normal"/>
    <w:uiPriority w:val="99"/>
    <w:unhideWhenUsed/>
    <w:rsid w:val="00C81990"/>
    <w:pPr>
      <w:spacing w:after="0"/>
      <w:jc w:val="left"/>
    </w:pPr>
    <w:rPr>
      <w:rFonts w:asciiTheme="minorHAnsi" w:hAnsiTheme="minorHAnsi"/>
      <w:szCs w:val="24"/>
      <w:lang w:val="en-GB"/>
    </w:rPr>
  </w:style>
  <w:style w:type="paragraph" w:styleId="Header">
    <w:name w:val="header"/>
    <w:basedOn w:val="Normal"/>
    <w:link w:val="HeaderChar"/>
    <w:uiPriority w:val="99"/>
    <w:unhideWhenUsed/>
    <w:rsid w:val="00C81990"/>
    <w:pPr>
      <w:tabs>
        <w:tab w:val="center" w:pos="4513"/>
        <w:tab w:val="right" w:pos="9026"/>
      </w:tabs>
      <w:spacing w:after="0"/>
      <w:jc w:val="left"/>
    </w:pPr>
    <w:rPr>
      <w:rFonts w:asciiTheme="minorHAnsi" w:hAnsiTheme="minorHAnsi"/>
      <w:szCs w:val="24"/>
      <w:lang w:val="en-GB"/>
    </w:rPr>
  </w:style>
  <w:style w:type="character" w:customStyle="1" w:styleId="HeaderChar">
    <w:name w:val="Header Char"/>
    <w:basedOn w:val="DefaultParagraphFont"/>
    <w:link w:val="Header"/>
    <w:uiPriority w:val="99"/>
    <w:rsid w:val="00C81990"/>
    <w:rPr>
      <w:rFonts w:asciiTheme="minorHAnsi" w:hAnsiTheme="minorHAnsi"/>
      <w:sz w:val="24"/>
      <w:szCs w:val="24"/>
      <w:lang w:val="en-GB"/>
    </w:rPr>
  </w:style>
  <w:style w:type="character" w:styleId="CommentReference">
    <w:name w:val="annotation reference"/>
    <w:basedOn w:val="DefaultParagraphFont"/>
    <w:uiPriority w:val="99"/>
    <w:semiHidden/>
    <w:unhideWhenUsed/>
    <w:rsid w:val="00034246"/>
    <w:rPr>
      <w:sz w:val="16"/>
      <w:szCs w:val="16"/>
    </w:rPr>
  </w:style>
  <w:style w:type="character" w:styleId="PlaceholderText">
    <w:name w:val="Placeholder Text"/>
    <w:basedOn w:val="DefaultParagraphFont"/>
    <w:uiPriority w:val="99"/>
    <w:semiHidden/>
    <w:rsid w:val="00034246"/>
    <w:rPr>
      <w:color w:val="808080"/>
    </w:rPr>
  </w:style>
  <w:style w:type="paragraph" w:styleId="Revision">
    <w:name w:val="Revision"/>
    <w:hidden/>
    <w:uiPriority w:val="99"/>
    <w:semiHidden/>
    <w:rsid w:val="00034246"/>
    <w:rPr>
      <w:rFonts w:asciiTheme="minorHAnsi" w:hAnsiTheme="minorHAnsi"/>
      <w:sz w:val="24"/>
      <w:szCs w:val="24"/>
      <w:lang w:val="en-GB"/>
    </w:rPr>
  </w:style>
  <w:style w:type="character" w:customStyle="1" w:styleId="UnresolvedMention1">
    <w:name w:val="Unresolved Mention1"/>
    <w:basedOn w:val="DefaultParagraphFont"/>
    <w:uiPriority w:val="99"/>
    <w:semiHidden/>
    <w:unhideWhenUsed/>
    <w:rsid w:val="00034246"/>
    <w:rPr>
      <w:color w:val="605E5C"/>
      <w:shd w:val="clear" w:color="auto" w:fill="E1DFDD"/>
    </w:rPr>
  </w:style>
  <w:style w:type="paragraph" w:styleId="NormalWeb">
    <w:name w:val="Normal (Web)"/>
    <w:basedOn w:val="Normal"/>
    <w:uiPriority w:val="99"/>
    <w:semiHidden/>
    <w:unhideWhenUsed/>
    <w:rsid w:val="00034246"/>
    <w:pPr>
      <w:spacing w:before="100" w:beforeAutospacing="1" w:after="100" w:afterAutospacing="1"/>
      <w:jc w:val="left"/>
    </w:pPr>
    <w:rPr>
      <w:rFonts w:ascii="Times New Roman" w:hAnsi="Times New Roman"/>
      <w:szCs w:val="24"/>
      <w:lang w:val="en-GB" w:eastAsia="en-GB"/>
    </w:rPr>
  </w:style>
  <w:style w:type="character" w:styleId="FootnoteReference">
    <w:name w:val="footnote reference"/>
    <w:basedOn w:val="DefaultParagraphFont"/>
    <w:uiPriority w:val="99"/>
    <w:semiHidden/>
    <w:unhideWhenUsed/>
    <w:rsid w:val="00034246"/>
    <w:rPr>
      <w:vertAlign w:val="superscript"/>
    </w:rPr>
  </w:style>
  <w:style w:type="character" w:customStyle="1" w:styleId="UnresolvedMention2">
    <w:name w:val="Unresolved Mention2"/>
    <w:basedOn w:val="DefaultParagraphFont"/>
    <w:uiPriority w:val="99"/>
    <w:semiHidden/>
    <w:unhideWhenUsed/>
    <w:rsid w:val="00034246"/>
    <w:rPr>
      <w:color w:val="605E5C"/>
      <w:shd w:val="clear" w:color="auto" w:fill="E1DFDD"/>
    </w:rPr>
  </w:style>
  <w:style w:type="paragraph" w:customStyle="1" w:styleId="StyleBATitleTimes12ptLeftBefore0ptAfter12pt">
    <w:name w:val="Style BA_Title + Times 12 pt Left Before:  0 pt After:  12 pt"/>
    <w:basedOn w:val="TOAHeading"/>
    <w:rsid w:val="00ED7FD0"/>
    <w:pPr>
      <w:spacing w:before="0" w:after="240"/>
      <w:jc w:val="left"/>
    </w:pPr>
    <w:rPr>
      <w:rFonts w:ascii="Times" w:hAnsi="Times"/>
    </w:rPr>
  </w:style>
  <w:style w:type="paragraph" w:styleId="TOAHeading">
    <w:name w:val="toa heading"/>
    <w:basedOn w:val="Normal"/>
    <w:next w:val="Normal"/>
    <w:semiHidden/>
    <w:unhideWhenUsed/>
    <w:rsid w:val="00ED7FD0"/>
    <w:pPr>
      <w:spacing w:before="120"/>
    </w:pPr>
    <w:rPr>
      <w:rFonts w:asciiTheme="majorHAnsi" w:eastAsiaTheme="majorEastAsia" w:hAnsiTheme="majorHAnsi" w:cstheme="majorBidi"/>
      <w:b/>
      <w:bCs/>
      <w:szCs w:val="24"/>
    </w:rPr>
  </w:style>
  <w:style w:type="paragraph" w:customStyle="1" w:styleId="StyleBATitleTimes12ptBoldLeftBefore0ptAfter1">
    <w:name w:val="Style BA_Title + Times 12 pt Bold Left Before:  0 pt After:  1..."/>
    <w:basedOn w:val="ListParagraph"/>
    <w:rsid w:val="0089463A"/>
    <w:pPr>
      <w:spacing w:after="240"/>
      <w:jc w:val="left"/>
    </w:pPr>
    <w:rPr>
      <w:b/>
      <w:bCs/>
    </w:rPr>
  </w:style>
  <w:style w:type="character" w:customStyle="1" w:styleId="UnresolvedMention">
    <w:name w:val="Unresolved Mention"/>
    <w:basedOn w:val="DefaultParagraphFont"/>
    <w:uiPriority w:val="99"/>
    <w:semiHidden/>
    <w:unhideWhenUsed/>
    <w:rsid w:val="00E76B81"/>
    <w:rPr>
      <w:color w:val="605E5C"/>
      <w:shd w:val="clear" w:color="auto" w:fill="E1DFDD"/>
    </w:rPr>
  </w:style>
  <w:style w:type="character" w:styleId="LineNumber">
    <w:name w:val="line number"/>
    <w:basedOn w:val="DefaultParagraphFont"/>
    <w:semiHidden/>
    <w:unhideWhenUsed/>
    <w:rsid w:val="00991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987897">
      <w:bodyDiv w:val="1"/>
      <w:marLeft w:val="0"/>
      <w:marRight w:val="0"/>
      <w:marTop w:val="0"/>
      <w:marBottom w:val="0"/>
      <w:divBdr>
        <w:top w:val="none" w:sz="0" w:space="0" w:color="auto"/>
        <w:left w:val="none" w:sz="0" w:space="0" w:color="auto"/>
        <w:bottom w:val="none" w:sz="0" w:space="0" w:color="auto"/>
        <w:right w:val="none" w:sz="0" w:space="0" w:color="auto"/>
      </w:divBdr>
    </w:div>
    <w:div w:id="747580811">
      <w:bodyDiv w:val="1"/>
      <w:marLeft w:val="0"/>
      <w:marRight w:val="0"/>
      <w:marTop w:val="0"/>
      <w:marBottom w:val="0"/>
      <w:divBdr>
        <w:top w:val="none" w:sz="0" w:space="0" w:color="auto"/>
        <w:left w:val="none" w:sz="0" w:space="0" w:color="auto"/>
        <w:bottom w:val="none" w:sz="0" w:space="0" w:color="auto"/>
        <w:right w:val="none" w:sz="0" w:space="0" w:color="auto"/>
      </w:divBdr>
    </w:div>
    <w:div w:id="798106038">
      <w:bodyDiv w:val="1"/>
      <w:marLeft w:val="0"/>
      <w:marRight w:val="0"/>
      <w:marTop w:val="0"/>
      <w:marBottom w:val="0"/>
      <w:divBdr>
        <w:top w:val="none" w:sz="0" w:space="0" w:color="auto"/>
        <w:left w:val="none" w:sz="0" w:space="0" w:color="auto"/>
        <w:bottom w:val="none" w:sz="0" w:space="0" w:color="auto"/>
        <w:right w:val="none" w:sz="0" w:space="0" w:color="auto"/>
      </w:divBdr>
    </w:div>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 w:id="1915815684">
      <w:bodyDiv w:val="1"/>
      <w:marLeft w:val="0"/>
      <w:marRight w:val="0"/>
      <w:marTop w:val="0"/>
      <w:marBottom w:val="0"/>
      <w:divBdr>
        <w:top w:val="none" w:sz="0" w:space="0" w:color="auto"/>
        <w:left w:val="none" w:sz="0" w:space="0" w:color="auto"/>
        <w:bottom w:val="none" w:sz="0" w:space="0" w:color="auto"/>
        <w:right w:val="none" w:sz="0" w:space="0" w:color="auto"/>
      </w:divBdr>
    </w:div>
    <w:div w:id="1918173586">
      <w:bodyDiv w:val="1"/>
      <w:marLeft w:val="0"/>
      <w:marRight w:val="0"/>
      <w:marTop w:val="0"/>
      <w:marBottom w:val="0"/>
      <w:divBdr>
        <w:top w:val="none" w:sz="0" w:space="0" w:color="auto"/>
        <w:left w:val="none" w:sz="0" w:space="0" w:color="auto"/>
        <w:bottom w:val="none" w:sz="0" w:space="0" w:color="auto"/>
        <w:right w:val="none" w:sz="0" w:space="0" w:color="auto"/>
      </w:divBdr>
    </w:div>
    <w:div w:id="209816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sg2410\Desktop\ABM\Supporting%20Information_JCP_revision.docx" TargetMode="External"/><Relationship Id="rId18" Type="http://schemas.openxmlformats.org/officeDocument/2006/relationships/image" Target="media/image6.png"/><Relationship Id="rId26" Type="http://schemas.openxmlformats.org/officeDocument/2006/relationships/image" Target="media/image14.png"/><Relationship Id="rId39" Type="http://schemas.microsoft.com/office/2016/09/relationships/commentsIds" Target="commentsIds.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yperlink" Target="file:///\\rds.imperial.ac.uk\rds\project\sgi-modelling\live\Model_Building\MUSE\paper_ABM_Resubmission\Supporting%20Information.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hyperlink" Target="file:///\\rds.imperial.ac.uk\rds\project\sgi-modelling\live\Model_Building\MUSE\paper_ABM_Resubmission\Supporting%20Information.docx" TargetMode="External"/><Relationship Id="rId5" Type="http://schemas.openxmlformats.org/officeDocument/2006/relationships/webSettings" Target="webSettings.xml"/><Relationship Id="rId15" Type="http://schemas.openxmlformats.org/officeDocument/2006/relationships/hyperlink" Target="file:///\\rds.imperial.ac.uk\rds\project\sgi-modelling\live\Model_Building\MUSE\paper_ABM_Resubmission\Supporting%20Information.docx" TargetMode="External"/><Relationship Id="rId23" Type="http://schemas.openxmlformats.org/officeDocument/2006/relationships/image" Target="media/image11.png"/><Relationship Id="rId28" Type="http://schemas.openxmlformats.org/officeDocument/2006/relationships/hyperlink" Target="file:///\\rds.imperial.ac.uk\rds\project\sgi-modelling\live\Model_Building\MUSE\paper_ABM_Resubmission\Supporting%20Information.docx" TargetMode="External"/><Relationship Id="rId36" Type="http://schemas.openxmlformats.org/officeDocument/2006/relationships/theme" Target="theme/theme1.xml"/><Relationship Id="rId10" Type="http://schemas.openxmlformats.org/officeDocument/2006/relationships/hyperlink" Target="file:///\\rds.imperial.ac.uk\rds\project\sgi-modelling\live\Model_Building\MUSE\paper_ABM_Resubmission\Supporting%20Information.docx" TargetMode="External"/><Relationship Id="rId19" Type="http://schemas.openxmlformats.org/officeDocument/2006/relationships/image" Target="media/image7.png"/><Relationship Id="rId31" Type="http://schemas.openxmlformats.org/officeDocument/2006/relationships/hyperlink" Target="file:///\\rds.imperial.ac.uk\rds\project\sgi-modelling\live\Model_Building\MUSE\paper_ABM_Resubmission\Supporting%20Information.docx" TargetMode="External"/><Relationship Id="rId4" Type="http://schemas.openxmlformats.org/officeDocument/2006/relationships/settings" Target="settings.xml"/><Relationship Id="rId9" Type="http://schemas.openxmlformats.org/officeDocument/2006/relationships/hyperlink" Target="file:///\\rds.imperial.ac.uk\rds\project\sgi-modelling\live\Model_Building\MUSE\paper_ABM_Resubmission\Supporting%20Information.docx" TargetMode="External"/><Relationship Id="rId14" Type="http://schemas.openxmlformats.org/officeDocument/2006/relationships/hyperlink" Target="file:///C:\Users\sg2410\Desktop\ABM\Supporting%20Information_JCP_revision.docx" TargetMode="External"/><Relationship Id="rId22" Type="http://schemas.openxmlformats.org/officeDocument/2006/relationships/image" Target="media/image10.png"/><Relationship Id="rId27" Type="http://schemas.openxmlformats.org/officeDocument/2006/relationships/hyperlink" Target="file:///\\rds.imperial.ac.uk\rds\project\sgi-modelling\live\Model_Building\MUSE\paper_ABM_Resubmission\Supporting%20Information.docx" TargetMode="External"/><Relationship Id="rId30" Type="http://schemas.openxmlformats.org/officeDocument/2006/relationships/hyperlink" Target="file:///\\rds.imperial.ac.uk\rds\project\sgi-modelling\live\Model_Building\MUSE\paper_ABM_Resubmission\Supporting%20Information.docx" TargetMode="External"/><Relationship Id="rId35"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live\Model_Building\MUSE\paper_ABM_Resubmission\acstemplate_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604EE-90DB-4CA3-A5A4-FB144E9C1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acstemplate_msw2010.dotx</Template>
  <TotalTime>0</TotalTime>
  <Pages>49</Pages>
  <Words>33579</Words>
  <Characters>191402</Characters>
  <Application>Microsoft Office Word</Application>
  <DocSecurity>0</DocSecurity>
  <Lines>1595</Lines>
  <Paragraphs>449</Paragraphs>
  <ScaleCrop>false</ScaleCrop>
  <HeadingPairs>
    <vt:vector size="2" baseType="variant">
      <vt:variant>
        <vt:lpstr>Title</vt:lpstr>
      </vt:variant>
      <vt:variant>
        <vt:i4>1</vt:i4>
      </vt:variant>
    </vt:vector>
  </HeadingPairs>
  <TitlesOfParts>
    <vt:vector size="1" baseType="lpstr">
      <vt:lpstr>Template for Electronic Submission to ACS Journals</vt:lpstr>
    </vt:vector>
  </TitlesOfParts>
  <Company>ACS</Company>
  <LinksUpToDate>false</LinksUpToDate>
  <CharactersWithSpaces>224532</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subject/>
  <dc:creator>Giarola, Sara</dc:creator>
  <cp:keywords/>
  <dc:description/>
  <cp:lastModifiedBy>Giarola, Sara</cp:lastModifiedBy>
  <cp:revision>2</cp:revision>
  <cp:lastPrinted>2008-06-11T21:33:00Z</cp:lastPrinted>
  <dcterms:created xsi:type="dcterms:W3CDTF">2020-04-09T21:56:00Z</dcterms:created>
  <dcterms:modified xsi:type="dcterms:W3CDTF">2020-04-09T21:56:00Z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2a627639-7a86-3129-ba81-7b491866ff71</vt:lpwstr>
  </property>
  <property fmtid="{D5CDD505-2E9C-101B-9397-08002B2CF9AE}" pid="24" name="Mendeley Citation Style_1">
    <vt:lpwstr>http://www.zotero.org/styles/apa</vt:lpwstr>
  </property>
</Properties>
</file>