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5890D" w14:textId="708115B3" w:rsidR="00E36655" w:rsidRDefault="00E36655" w:rsidP="00F25FFB">
      <w:pPr>
        <w:spacing w:line="480" w:lineRule="auto"/>
        <w:jc w:val="both"/>
        <w:rPr>
          <w:rFonts w:ascii="Arial" w:eastAsia="Calibri" w:hAnsi="Arial" w:cs="Arial"/>
          <w:b/>
          <w:bCs/>
        </w:rPr>
      </w:pPr>
      <w:r w:rsidRPr="00E36655">
        <w:rPr>
          <w:rFonts w:ascii="Arial" w:eastAsia="Calibri" w:hAnsi="Arial" w:cs="Arial"/>
          <w:b/>
          <w:bCs/>
        </w:rPr>
        <w:t>Title</w:t>
      </w:r>
    </w:p>
    <w:p w14:paraId="78C1E4AC" w14:textId="5E64CF80" w:rsidR="00E36655" w:rsidRPr="00E36655" w:rsidRDefault="00E36655" w:rsidP="00F25FFB">
      <w:pPr>
        <w:spacing w:line="480" w:lineRule="auto"/>
        <w:jc w:val="both"/>
        <w:rPr>
          <w:rFonts w:ascii="Arial" w:eastAsia="Calibri" w:hAnsi="Arial" w:cs="Arial"/>
        </w:rPr>
      </w:pPr>
      <w:r>
        <w:rPr>
          <w:rFonts w:ascii="Arial" w:eastAsia="Calibri" w:hAnsi="Arial" w:cs="Arial"/>
        </w:rPr>
        <w:t>The impact of acute exercise on appetite regulation:</w:t>
      </w:r>
      <w:r w:rsidR="00725628">
        <w:rPr>
          <w:rFonts w:ascii="Arial" w:eastAsia="Calibri" w:hAnsi="Arial" w:cs="Arial"/>
        </w:rPr>
        <w:t xml:space="preserve"> Unravelling the</w:t>
      </w:r>
      <w:r>
        <w:rPr>
          <w:rFonts w:ascii="Arial" w:eastAsia="Calibri" w:hAnsi="Arial" w:cs="Arial"/>
        </w:rPr>
        <w:t xml:space="preserve"> potential involvement of gut microbial activity</w:t>
      </w:r>
      <w:r w:rsidR="00725628">
        <w:rPr>
          <w:rFonts w:ascii="Arial" w:eastAsia="Calibri" w:hAnsi="Arial" w:cs="Arial"/>
        </w:rPr>
        <w:t>.</w:t>
      </w:r>
    </w:p>
    <w:p w14:paraId="64AA0F7C" w14:textId="3E016BD3" w:rsidR="00F25FFB" w:rsidRPr="00B424D5" w:rsidRDefault="00F25FFB" w:rsidP="00F25FFB">
      <w:pPr>
        <w:spacing w:line="480" w:lineRule="auto"/>
        <w:jc w:val="both"/>
        <w:rPr>
          <w:rFonts w:ascii="Arial" w:eastAsia="Calibri" w:hAnsi="Arial" w:cs="Arial"/>
          <w:b/>
          <w:bCs/>
        </w:rPr>
      </w:pPr>
      <w:r w:rsidRPr="00B424D5">
        <w:rPr>
          <w:rFonts w:ascii="Arial" w:eastAsia="Calibri" w:hAnsi="Arial" w:cs="Arial"/>
          <w:b/>
          <w:bCs/>
        </w:rPr>
        <w:t>Authors</w:t>
      </w:r>
    </w:p>
    <w:p w14:paraId="6B20F524" w14:textId="3F0AF019" w:rsidR="00F25FFB" w:rsidRPr="00D97475" w:rsidRDefault="00F25FFB" w:rsidP="00F25FFB">
      <w:pPr>
        <w:spacing w:line="480" w:lineRule="auto"/>
        <w:jc w:val="both"/>
        <w:rPr>
          <w:rFonts w:ascii="Arial" w:eastAsia="Calibri" w:hAnsi="Arial" w:cs="Arial"/>
          <w:vertAlign w:val="superscript"/>
        </w:rPr>
      </w:pPr>
      <w:r w:rsidRPr="00D97475">
        <w:rPr>
          <w:rFonts w:ascii="Arial" w:eastAsia="Calibri" w:hAnsi="Arial" w:cs="Arial"/>
        </w:rPr>
        <w:t>James Frampton</w:t>
      </w:r>
      <w:r w:rsidRPr="00D97475">
        <w:rPr>
          <w:rFonts w:ascii="Arial" w:eastAsia="Calibri" w:hAnsi="Arial" w:cs="Arial"/>
          <w:vertAlign w:val="superscript"/>
        </w:rPr>
        <w:t>1,</w:t>
      </w:r>
      <w:r>
        <w:rPr>
          <w:rFonts w:ascii="Arial" w:eastAsia="Calibri" w:hAnsi="Arial" w:cs="Arial"/>
          <w:vertAlign w:val="superscript"/>
        </w:rPr>
        <w:t xml:space="preserve"> </w:t>
      </w:r>
      <w:r w:rsidRPr="00D97475">
        <w:rPr>
          <w:rFonts w:ascii="Arial" w:eastAsia="Calibri" w:hAnsi="Arial" w:cs="Arial"/>
          <w:vertAlign w:val="superscript"/>
        </w:rPr>
        <w:t>2</w:t>
      </w:r>
      <w:r w:rsidRPr="00D97475">
        <w:rPr>
          <w:rFonts w:ascii="Arial" w:eastAsia="Calibri" w:hAnsi="Arial" w:cs="Arial"/>
        </w:rPr>
        <w:t>, Jose Ivan Serrano-Contreras</w:t>
      </w:r>
      <w:r w:rsidRPr="00D97475">
        <w:rPr>
          <w:rFonts w:ascii="Arial" w:eastAsia="Calibri" w:hAnsi="Arial" w:cs="Arial"/>
          <w:vertAlign w:val="superscript"/>
        </w:rPr>
        <w:t>1</w:t>
      </w:r>
      <w:r w:rsidRPr="00D97475">
        <w:rPr>
          <w:rFonts w:ascii="Arial" w:eastAsia="Calibri" w:hAnsi="Arial" w:cs="Arial"/>
        </w:rPr>
        <w:t>, Isabel Garcia-Perez</w:t>
      </w:r>
      <w:r w:rsidRPr="00D97475">
        <w:rPr>
          <w:rFonts w:ascii="Arial" w:eastAsia="Calibri" w:hAnsi="Arial" w:cs="Arial"/>
          <w:vertAlign w:val="superscript"/>
        </w:rPr>
        <w:t>1</w:t>
      </w:r>
      <w:r w:rsidRPr="00D97475">
        <w:rPr>
          <w:rFonts w:ascii="Arial" w:eastAsia="Calibri" w:hAnsi="Arial" w:cs="Arial"/>
        </w:rPr>
        <w:t>, Georgia Franco-Becker</w:t>
      </w:r>
      <w:r w:rsidRPr="00D97475">
        <w:rPr>
          <w:rFonts w:ascii="Arial" w:eastAsia="Calibri" w:hAnsi="Arial" w:cs="Arial"/>
          <w:vertAlign w:val="superscript"/>
        </w:rPr>
        <w:t>1</w:t>
      </w:r>
      <w:r w:rsidRPr="00D97475">
        <w:rPr>
          <w:rFonts w:ascii="Arial" w:eastAsia="Calibri" w:hAnsi="Arial" w:cs="Arial"/>
        </w:rPr>
        <w:t>, Jack Penhaligan</w:t>
      </w:r>
      <w:r w:rsidRPr="00D97475">
        <w:rPr>
          <w:rFonts w:ascii="Arial" w:eastAsia="Calibri" w:hAnsi="Arial" w:cs="Arial"/>
          <w:vertAlign w:val="superscript"/>
        </w:rPr>
        <w:t>1</w:t>
      </w:r>
      <w:r w:rsidRPr="00D97475">
        <w:rPr>
          <w:rFonts w:ascii="Arial" w:eastAsia="Calibri" w:hAnsi="Arial" w:cs="Arial"/>
        </w:rPr>
        <w:t>, Abbigail S. Y. Tan</w:t>
      </w:r>
      <w:r w:rsidRPr="00D97475">
        <w:rPr>
          <w:rFonts w:ascii="Arial" w:eastAsia="Calibri" w:hAnsi="Arial" w:cs="Arial"/>
          <w:vertAlign w:val="superscript"/>
        </w:rPr>
        <w:t>1</w:t>
      </w:r>
      <w:r w:rsidRPr="00D97475">
        <w:rPr>
          <w:rFonts w:ascii="Arial" w:eastAsia="Calibri" w:hAnsi="Arial" w:cs="Arial"/>
        </w:rPr>
        <w:t>,</w:t>
      </w:r>
      <w:r w:rsidRPr="00D97475">
        <w:rPr>
          <w:rFonts w:ascii="Arial" w:eastAsia="Calibri" w:hAnsi="Arial" w:cs="Arial"/>
          <w:vertAlign w:val="superscript"/>
        </w:rPr>
        <w:t xml:space="preserve"> </w:t>
      </w:r>
      <w:r w:rsidRPr="00D97475">
        <w:rPr>
          <w:rFonts w:ascii="Arial" w:eastAsia="Calibri" w:hAnsi="Arial" w:cs="Arial"/>
        </w:rPr>
        <w:t>Ana Claudia Cepas de Oliveira</w:t>
      </w:r>
      <w:r w:rsidRPr="00D97475">
        <w:rPr>
          <w:rFonts w:ascii="Arial" w:eastAsia="Calibri" w:hAnsi="Arial" w:cs="Arial"/>
          <w:vertAlign w:val="superscript"/>
        </w:rPr>
        <w:t>1</w:t>
      </w:r>
      <w:r w:rsidRPr="00D97475">
        <w:rPr>
          <w:rFonts w:ascii="Arial" w:eastAsia="Calibri" w:hAnsi="Arial" w:cs="Arial"/>
        </w:rPr>
        <w:t>, Annabelle J Milner</w:t>
      </w:r>
      <w:r w:rsidRPr="00D97475">
        <w:rPr>
          <w:rFonts w:ascii="Arial" w:eastAsia="Calibri" w:hAnsi="Arial" w:cs="Arial"/>
          <w:vertAlign w:val="superscript"/>
        </w:rPr>
        <w:t>1</w:t>
      </w:r>
      <w:r w:rsidRPr="00D97475">
        <w:rPr>
          <w:rFonts w:ascii="Arial" w:eastAsia="Calibri" w:hAnsi="Arial" w:cs="Arial"/>
        </w:rPr>
        <w:t>, Kevin G. Murphy</w:t>
      </w:r>
      <w:r w:rsidRPr="00D97475">
        <w:rPr>
          <w:rFonts w:ascii="Arial" w:eastAsia="Calibri" w:hAnsi="Arial" w:cs="Arial"/>
          <w:vertAlign w:val="superscript"/>
        </w:rPr>
        <w:t>2</w:t>
      </w:r>
      <w:r w:rsidRPr="00D97475">
        <w:rPr>
          <w:rFonts w:ascii="Arial" w:eastAsia="Calibri" w:hAnsi="Arial" w:cs="Arial"/>
        </w:rPr>
        <w:t>, Gary Frost</w:t>
      </w:r>
      <w:r w:rsidRPr="00D97475">
        <w:rPr>
          <w:rFonts w:ascii="Arial" w:eastAsia="Calibri" w:hAnsi="Arial" w:cs="Arial"/>
          <w:vertAlign w:val="superscript"/>
        </w:rPr>
        <w:t>1</w:t>
      </w:r>
      <w:r w:rsidRPr="00D97475">
        <w:rPr>
          <w:rFonts w:ascii="Arial" w:eastAsia="Calibri" w:hAnsi="Arial" w:cs="Arial"/>
        </w:rPr>
        <w:t>, Edward S. Chambers</w:t>
      </w:r>
      <w:r w:rsidRPr="00D97475">
        <w:rPr>
          <w:rFonts w:ascii="Arial" w:eastAsia="Calibri" w:hAnsi="Arial" w:cs="Arial"/>
          <w:vertAlign w:val="superscript"/>
        </w:rPr>
        <w:t>1</w:t>
      </w:r>
      <w:r>
        <w:rPr>
          <w:rFonts w:ascii="Arial" w:eastAsia="Calibri" w:hAnsi="Arial" w:cs="Arial"/>
          <w:vertAlign w:val="superscript"/>
        </w:rPr>
        <w:t>*</w:t>
      </w:r>
    </w:p>
    <w:p w14:paraId="6A6951E6" w14:textId="42FABA0D" w:rsidR="00F25FFB" w:rsidRPr="00B424D5" w:rsidRDefault="00F25FFB" w:rsidP="00F25FFB">
      <w:pPr>
        <w:spacing w:line="480" w:lineRule="auto"/>
        <w:jc w:val="both"/>
        <w:rPr>
          <w:rFonts w:ascii="Arial" w:eastAsia="Calibri" w:hAnsi="Arial" w:cs="Arial"/>
        </w:rPr>
      </w:pPr>
      <w:r w:rsidRPr="00B424D5">
        <w:rPr>
          <w:rFonts w:ascii="Arial" w:eastAsia="Calibri" w:hAnsi="Arial" w:cs="Arial"/>
          <w:vertAlign w:val="superscript"/>
        </w:rPr>
        <w:t>1</w:t>
      </w:r>
      <w:r w:rsidRPr="00B424D5">
        <w:rPr>
          <w:rFonts w:ascii="Arial" w:eastAsia="Calibri" w:hAnsi="Arial" w:cs="Arial"/>
        </w:rPr>
        <w:t xml:space="preserve">Section </w:t>
      </w:r>
      <w:r w:rsidR="00E564D8">
        <w:rPr>
          <w:rFonts w:ascii="Arial" w:eastAsia="Calibri" w:hAnsi="Arial" w:cs="Arial"/>
        </w:rPr>
        <w:t>of</w:t>
      </w:r>
      <w:r w:rsidRPr="00B424D5">
        <w:rPr>
          <w:rFonts w:ascii="Arial" w:eastAsia="Calibri" w:hAnsi="Arial" w:cs="Arial"/>
        </w:rPr>
        <w:t xml:space="preserve"> Nutrition, Department of Metabolism, Digestion and Reproduction, Faculty of Medicine, Imperial College London, London W12 0NN, United Kingdom.</w:t>
      </w:r>
    </w:p>
    <w:p w14:paraId="6577CD14" w14:textId="77777777" w:rsidR="00F25FFB" w:rsidRPr="00B424D5" w:rsidRDefault="00F25FFB" w:rsidP="00F25FFB">
      <w:pPr>
        <w:spacing w:line="480" w:lineRule="auto"/>
        <w:jc w:val="both"/>
        <w:rPr>
          <w:rFonts w:ascii="Arial" w:eastAsia="Calibri" w:hAnsi="Arial" w:cs="Arial"/>
        </w:rPr>
      </w:pPr>
      <w:r w:rsidRPr="00B424D5">
        <w:rPr>
          <w:rFonts w:ascii="Arial" w:eastAsia="Calibri" w:hAnsi="Arial" w:cs="Arial"/>
          <w:vertAlign w:val="superscript"/>
        </w:rPr>
        <w:t>2</w:t>
      </w:r>
      <w:r w:rsidRPr="00B424D5">
        <w:rPr>
          <w:rFonts w:ascii="Arial" w:eastAsia="Calibri" w:hAnsi="Arial" w:cs="Arial"/>
        </w:rPr>
        <w:t>Section of Endocrinology and Investigative Medicine, Department of Metabolism, Digestion and Reproduction, Faculty of Medicine, Imperial College London, London W12 0NN, United Kingdom</w:t>
      </w:r>
    </w:p>
    <w:p w14:paraId="40036104" w14:textId="77777777" w:rsidR="00F25FFB" w:rsidRPr="00B424D5" w:rsidRDefault="00F25FFB" w:rsidP="00F25FFB">
      <w:pPr>
        <w:spacing w:line="480" w:lineRule="auto"/>
        <w:jc w:val="both"/>
        <w:rPr>
          <w:rFonts w:ascii="Arial" w:eastAsia="Calibri" w:hAnsi="Arial" w:cs="Arial"/>
          <w:b/>
          <w:bCs/>
        </w:rPr>
      </w:pPr>
      <w:r w:rsidRPr="00B424D5">
        <w:rPr>
          <w:rFonts w:ascii="Arial" w:eastAsia="Calibri" w:hAnsi="Arial" w:cs="Arial"/>
          <w:b/>
          <w:bCs/>
        </w:rPr>
        <w:t>*Corresponding Author</w:t>
      </w:r>
    </w:p>
    <w:p w14:paraId="5CADADBE" w14:textId="515B2904" w:rsidR="00F25FFB" w:rsidRPr="00B424D5" w:rsidRDefault="00F25FFB" w:rsidP="00F25FFB">
      <w:pPr>
        <w:spacing w:line="480" w:lineRule="auto"/>
        <w:jc w:val="both"/>
        <w:rPr>
          <w:rFonts w:ascii="Arial" w:eastAsia="Calibri" w:hAnsi="Arial" w:cs="Arial"/>
        </w:rPr>
      </w:pPr>
      <w:r>
        <w:rPr>
          <w:rFonts w:ascii="Arial" w:eastAsia="Calibri" w:hAnsi="Arial" w:cs="Arial"/>
        </w:rPr>
        <w:t>Edward S. Chambers</w:t>
      </w:r>
    </w:p>
    <w:p w14:paraId="0DEF4352" w14:textId="77777777" w:rsidR="00F25FFB" w:rsidRPr="00B424D5" w:rsidRDefault="00F25FFB" w:rsidP="00F25FFB">
      <w:pPr>
        <w:spacing w:line="480" w:lineRule="auto"/>
        <w:jc w:val="both"/>
        <w:rPr>
          <w:rFonts w:ascii="Arial" w:eastAsia="Calibri" w:hAnsi="Arial" w:cs="Arial"/>
        </w:rPr>
      </w:pPr>
      <w:r w:rsidRPr="00B424D5">
        <w:rPr>
          <w:rFonts w:ascii="Arial" w:eastAsia="Calibri" w:hAnsi="Arial" w:cs="Arial"/>
        </w:rPr>
        <w:t xml:space="preserve">Department of Metabolism, Digestion and Reproduction, </w:t>
      </w:r>
    </w:p>
    <w:p w14:paraId="2EF6467B" w14:textId="77777777" w:rsidR="00F25FFB" w:rsidRPr="00B424D5" w:rsidRDefault="00F25FFB" w:rsidP="00F25FFB">
      <w:pPr>
        <w:spacing w:line="480" w:lineRule="auto"/>
        <w:jc w:val="both"/>
        <w:rPr>
          <w:rFonts w:ascii="Arial" w:eastAsia="Calibri" w:hAnsi="Arial" w:cs="Arial"/>
        </w:rPr>
      </w:pPr>
      <w:r w:rsidRPr="00B424D5">
        <w:rPr>
          <w:rFonts w:ascii="Arial" w:eastAsia="Calibri" w:hAnsi="Arial" w:cs="Arial"/>
        </w:rPr>
        <w:t xml:space="preserve">Faculty of Medicine, </w:t>
      </w:r>
    </w:p>
    <w:p w14:paraId="38FA9E2C" w14:textId="77777777" w:rsidR="00F25FFB" w:rsidRPr="00B424D5" w:rsidRDefault="00F25FFB" w:rsidP="00F25FFB">
      <w:pPr>
        <w:spacing w:line="480" w:lineRule="auto"/>
        <w:jc w:val="both"/>
        <w:rPr>
          <w:rFonts w:ascii="Arial" w:eastAsia="Calibri" w:hAnsi="Arial" w:cs="Arial"/>
        </w:rPr>
      </w:pPr>
      <w:r w:rsidRPr="00B424D5">
        <w:rPr>
          <w:rFonts w:ascii="Arial" w:eastAsia="Calibri" w:hAnsi="Arial" w:cs="Arial"/>
        </w:rPr>
        <w:t xml:space="preserve">Imperial College London, </w:t>
      </w:r>
    </w:p>
    <w:p w14:paraId="0192CE63" w14:textId="77777777" w:rsidR="00F25FFB" w:rsidRPr="00B424D5" w:rsidRDefault="00F25FFB" w:rsidP="00F25FFB">
      <w:pPr>
        <w:spacing w:line="480" w:lineRule="auto"/>
        <w:jc w:val="both"/>
        <w:rPr>
          <w:rFonts w:ascii="Arial" w:eastAsia="Calibri" w:hAnsi="Arial" w:cs="Arial"/>
        </w:rPr>
      </w:pPr>
      <w:r w:rsidRPr="00B424D5">
        <w:rPr>
          <w:rFonts w:ascii="Arial" w:eastAsia="Calibri" w:hAnsi="Arial" w:cs="Arial"/>
        </w:rPr>
        <w:t xml:space="preserve">London W12 0NN </w:t>
      </w:r>
    </w:p>
    <w:p w14:paraId="78045B9E" w14:textId="77777777" w:rsidR="00F25FFB" w:rsidRPr="00B424D5" w:rsidRDefault="00F25FFB" w:rsidP="00F25FFB">
      <w:pPr>
        <w:spacing w:line="480" w:lineRule="auto"/>
        <w:jc w:val="both"/>
        <w:rPr>
          <w:rFonts w:ascii="Arial" w:eastAsia="Calibri" w:hAnsi="Arial" w:cs="Arial"/>
        </w:rPr>
      </w:pPr>
      <w:r w:rsidRPr="00B424D5">
        <w:rPr>
          <w:rFonts w:ascii="Arial" w:eastAsia="Calibri" w:hAnsi="Arial" w:cs="Arial"/>
        </w:rPr>
        <w:t>United Kingdom</w:t>
      </w:r>
    </w:p>
    <w:p w14:paraId="5A3BAA51" w14:textId="115EDCCB" w:rsidR="00F25FFB" w:rsidRPr="00B424D5" w:rsidRDefault="00F25FFB" w:rsidP="00F25FFB">
      <w:pPr>
        <w:spacing w:line="480" w:lineRule="auto"/>
        <w:jc w:val="both"/>
        <w:rPr>
          <w:rFonts w:ascii="Arial" w:eastAsia="Calibri" w:hAnsi="Arial" w:cs="Arial"/>
        </w:rPr>
      </w:pPr>
      <w:r w:rsidRPr="00B424D5">
        <w:rPr>
          <w:rFonts w:ascii="Arial" w:eastAsia="Calibri" w:hAnsi="Arial" w:cs="Arial"/>
        </w:rPr>
        <w:t xml:space="preserve">Email: </w:t>
      </w:r>
      <w:r>
        <w:rPr>
          <w:rFonts w:ascii="Arial" w:eastAsia="Calibri" w:hAnsi="Arial" w:cs="Arial"/>
        </w:rPr>
        <w:t>e.chambers@imperial.ac.uk</w:t>
      </w:r>
    </w:p>
    <w:p w14:paraId="2F5D4599" w14:textId="77777777" w:rsidR="00F25FFB" w:rsidRDefault="00F25FFB" w:rsidP="00F25FFB">
      <w:pPr>
        <w:spacing w:line="480" w:lineRule="auto"/>
        <w:jc w:val="both"/>
        <w:rPr>
          <w:rFonts w:ascii="Arial" w:hAnsi="Arial" w:cs="Arial"/>
        </w:rPr>
      </w:pPr>
    </w:p>
    <w:p w14:paraId="33EBB300" w14:textId="77777777" w:rsidR="00725628" w:rsidRDefault="00725628" w:rsidP="00F25FFB">
      <w:pPr>
        <w:spacing w:line="480" w:lineRule="auto"/>
        <w:jc w:val="both"/>
        <w:rPr>
          <w:rFonts w:ascii="Arial" w:hAnsi="Arial" w:cs="Arial"/>
        </w:rPr>
      </w:pPr>
    </w:p>
    <w:p w14:paraId="384C4B5A" w14:textId="5C7948D3" w:rsidR="00545A5A" w:rsidRPr="00DA38A6" w:rsidRDefault="00CD21CF" w:rsidP="00F25FFB">
      <w:pPr>
        <w:spacing w:line="480" w:lineRule="auto"/>
        <w:jc w:val="both"/>
        <w:rPr>
          <w:rFonts w:ascii="Arial" w:hAnsi="Arial" w:cs="Arial"/>
        </w:rPr>
      </w:pPr>
      <w:r w:rsidRPr="00DA38A6">
        <w:rPr>
          <w:rFonts w:ascii="Arial" w:hAnsi="Arial" w:cs="Arial"/>
        </w:rPr>
        <w:lastRenderedPageBreak/>
        <w:t xml:space="preserve">We thank </w:t>
      </w:r>
      <w:r w:rsidR="005D2A23" w:rsidRPr="00DA38A6">
        <w:rPr>
          <w:rFonts w:ascii="Arial" w:hAnsi="Arial" w:cs="Arial"/>
        </w:rPr>
        <w:t xml:space="preserve">Drs McCarthy and Ferguson </w:t>
      </w:r>
      <w:r w:rsidR="002A09BF" w:rsidRPr="00DA38A6">
        <w:rPr>
          <w:rFonts w:ascii="Arial" w:hAnsi="Arial" w:cs="Arial"/>
        </w:rPr>
        <w:t>for their letter</w:t>
      </w:r>
      <w:r w:rsidR="005D2A23" w:rsidRPr="00DA38A6">
        <w:rPr>
          <w:rFonts w:ascii="Arial" w:hAnsi="Arial" w:cs="Arial"/>
        </w:rPr>
        <w:t xml:space="preserve"> </w:t>
      </w:r>
      <w:r w:rsidR="00DA38A6" w:rsidRPr="00DA38A6">
        <w:rPr>
          <w:rFonts w:ascii="Arial" w:hAnsi="Arial" w:cs="Arial"/>
        </w:rPr>
        <w:t>[</w:t>
      </w:r>
      <w:r w:rsidR="00545A5A" w:rsidRPr="00DA38A6">
        <w:rPr>
          <w:rFonts w:ascii="Arial" w:hAnsi="Arial" w:cs="Arial"/>
        </w:rPr>
        <w:t>McCarthy &amp; Ferguson</w:t>
      </w:r>
      <w:r w:rsidR="00DA38A6" w:rsidRPr="00DA38A6">
        <w:rPr>
          <w:rFonts w:ascii="Arial" w:hAnsi="Arial" w:cs="Arial"/>
        </w:rPr>
        <w:t>,</w:t>
      </w:r>
      <w:r w:rsidR="00545A5A" w:rsidRPr="00DA38A6">
        <w:rPr>
          <w:rFonts w:ascii="Arial" w:hAnsi="Arial" w:cs="Arial"/>
        </w:rPr>
        <w:t xml:space="preserve"> 2023</w:t>
      </w:r>
      <w:r w:rsidR="00DA38A6" w:rsidRPr="00DA38A6">
        <w:rPr>
          <w:rFonts w:ascii="Arial" w:hAnsi="Arial" w:cs="Arial"/>
        </w:rPr>
        <w:t>]</w:t>
      </w:r>
      <w:r w:rsidR="002A09BF" w:rsidRPr="00DA38A6">
        <w:rPr>
          <w:rFonts w:ascii="Arial" w:hAnsi="Arial" w:cs="Arial"/>
        </w:rPr>
        <w:t xml:space="preserve"> commenting on our </w:t>
      </w:r>
      <w:r w:rsidR="005D2A23" w:rsidRPr="00DA38A6">
        <w:rPr>
          <w:rFonts w:ascii="Arial" w:hAnsi="Arial" w:cs="Arial"/>
        </w:rPr>
        <w:t>Research Article</w:t>
      </w:r>
      <w:r w:rsidR="002A09BF" w:rsidRPr="00DA38A6">
        <w:rPr>
          <w:rFonts w:ascii="Arial" w:hAnsi="Arial" w:cs="Arial"/>
        </w:rPr>
        <w:t xml:space="preserve"> </w:t>
      </w:r>
      <w:r w:rsidR="00545A5A" w:rsidRPr="00DA38A6">
        <w:rPr>
          <w:rFonts w:ascii="Arial" w:hAnsi="Arial" w:cs="Arial"/>
        </w:rPr>
        <w:t>‘</w:t>
      </w:r>
      <w:r w:rsidR="005D2A23" w:rsidRPr="00DA38A6">
        <w:rPr>
          <w:rFonts w:ascii="Arial" w:hAnsi="Arial" w:cs="Arial"/>
        </w:rPr>
        <w:t xml:space="preserve">The metabolic interplay between dietary carbohydrate and exercise and its role in acute appetite regulation in males: A randomized controlled study’ </w:t>
      </w:r>
      <w:r w:rsidR="00DA38A6" w:rsidRPr="00DA38A6">
        <w:rPr>
          <w:rFonts w:ascii="Arial" w:hAnsi="Arial" w:cs="Arial"/>
        </w:rPr>
        <w:t>[</w:t>
      </w:r>
      <w:r w:rsidR="005D2A23" w:rsidRPr="00DA38A6">
        <w:rPr>
          <w:rFonts w:ascii="Arial" w:hAnsi="Arial" w:cs="Arial"/>
        </w:rPr>
        <w:t>Frampton et al.</w:t>
      </w:r>
      <w:r w:rsidR="00DA38A6" w:rsidRPr="00DA38A6">
        <w:rPr>
          <w:rFonts w:ascii="Arial" w:hAnsi="Arial" w:cs="Arial"/>
        </w:rPr>
        <w:t>,</w:t>
      </w:r>
      <w:r w:rsidR="005D2A23" w:rsidRPr="00DA38A6">
        <w:rPr>
          <w:rFonts w:ascii="Arial" w:hAnsi="Arial" w:cs="Arial"/>
        </w:rPr>
        <w:t xml:space="preserve"> 2023</w:t>
      </w:r>
      <w:r w:rsidR="00DA38A6" w:rsidRPr="00DA38A6">
        <w:rPr>
          <w:rFonts w:ascii="Arial" w:hAnsi="Arial" w:cs="Arial"/>
        </w:rPr>
        <w:t>]</w:t>
      </w:r>
      <w:r w:rsidR="005D2A23" w:rsidRPr="00DA38A6">
        <w:rPr>
          <w:rFonts w:ascii="Arial" w:hAnsi="Arial" w:cs="Arial"/>
        </w:rPr>
        <w:t xml:space="preserve">. </w:t>
      </w:r>
      <w:r w:rsidR="00CF6DE6" w:rsidRPr="00DA38A6">
        <w:rPr>
          <w:rFonts w:ascii="Arial" w:hAnsi="Arial" w:cs="Arial"/>
        </w:rPr>
        <w:t xml:space="preserve">Their insights on the potential involvement of the gut microbiota in the appetite-hormone responses triggered by acute exercise are intriguing, particularly their suggestion of </w:t>
      </w:r>
      <w:r w:rsidR="00764891" w:rsidRPr="00DA38A6">
        <w:rPr>
          <w:rFonts w:ascii="Arial" w:hAnsi="Arial" w:cs="Arial"/>
        </w:rPr>
        <w:t xml:space="preserve">the </w:t>
      </w:r>
      <w:r w:rsidR="00CF6DE6" w:rsidRPr="00DA38A6">
        <w:rPr>
          <w:rFonts w:ascii="Arial" w:hAnsi="Arial" w:cs="Arial"/>
        </w:rPr>
        <w:t>role</w:t>
      </w:r>
      <w:r w:rsidR="00764891" w:rsidRPr="00DA38A6">
        <w:rPr>
          <w:rFonts w:ascii="Arial" w:hAnsi="Arial" w:cs="Arial"/>
        </w:rPr>
        <w:t xml:space="preserve"> of the short chain fatty acid (SCFA) propionate</w:t>
      </w:r>
      <w:r w:rsidR="00CF6DE6" w:rsidRPr="00DA38A6">
        <w:rPr>
          <w:rFonts w:ascii="Arial" w:hAnsi="Arial" w:cs="Arial"/>
        </w:rPr>
        <w:t xml:space="preserve"> in stimulating exercise-induced GLP-1 release.</w:t>
      </w:r>
    </w:p>
    <w:p w14:paraId="5846BFE0" w14:textId="77777777" w:rsidR="00D52119" w:rsidRDefault="00595693" w:rsidP="00F25FFB">
      <w:pPr>
        <w:spacing w:line="480" w:lineRule="auto"/>
        <w:jc w:val="both"/>
        <w:rPr>
          <w:rStyle w:val="xcontentpasted1"/>
          <w:rFonts w:ascii="Arial" w:hAnsi="Arial" w:cs="Arial"/>
          <w:bdr w:val="none" w:sz="0" w:space="0" w:color="auto" w:frame="1"/>
          <w:shd w:val="clear" w:color="auto" w:fill="FFFFFF"/>
        </w:rPr>
      </w:pPr>
      <w:r w:rsidRPr="00DA38A6">
        <w:rPr>
          <w:rFonts w:ascii="Arial" w:hAnsi="Arial" w:cs="Arial"/>
        </w:rPr>
        <w:t>We did not observe differences in plasma propionate in response to acute exercise</w:t>
      </w:r>
      <w:r w:rsidR="00CF6DE6" w:rsidRPr="00DA38A6">
        <w:rPr>
          <w:rFonts w:ascii="Arial" w:hAnsi="Arial" w:cs="Arial"/>
        </w:rPr>
        <w:t xml:space="preserve"> </w:t>
      </w:r>
      <w:r w:rsidRPr="00DA38A6">
        <w:rPr>
          <w:rFonts w:ascii="Arial" w:hAnsi="Arial" w:cs="Arial"/>
        </w:rPr>
        <w:t>levels</w:t>
      </w:r>
      <w:r w:rsidR="00CF6DE6" w:rsidRPr="00DA38A6">
        <w:rPr>
          <w:rFonts w:ascii="Arial" w:hAnsi="Arial" w:cs="Arial"/>
        </w:rPr>
        <w:t xml:space="preserve">, likely due to </w:t>
      </w:r>
      <w:r w:rsidRPr="00DA38A6">
        <w:rPr>
          <w:rFonts w:ascii="Arial" w:hAnsi="Arial" w:cs="Arial"/>
        </w:rPr>
        <w:t xml:space="preserve">this metabolite </w:t>
      </w:r>
      <w:r w:rsidR="00CF6DE6" w:rsidRPr="00DA38A6">
        <w:rPr>
          <w:rFonts w:ascii="Arial" w:hAnsi="Arial" w:cs="Arial"/>
        </w:rPr>
        <w:t>being</w:t>
      </w:r>
      <w:r w:rsidRPr="00DA38A6">
        <w:rPr>
          <w:rFonts w:ascii="Arial" w:hAnsi="Arial" w:cs="Arial"/>
        </w:rPr>
        <w:t xml:space="preserve"> below the limit of detection for the</w:t>
      </w:r>
      <w:r w:rsidR="00835859">
        <w:rPr>
          <w:rFonts w:ascii="Arial" w:hAnsi="Arial" w:cs="Arial"/>
        </w:rPr>
        <w:t xml:space="preserve"> employed</w:t>
      </w:r>
      <w:r w:rsidR="00CF6DE6" w:rsidRPr="00DA38A6">
        <w:rPr>
          <w:rFonts w:ascii="Arial" w:hAnsi="Arial" w:cs="Arial"/>
        </w:rPr>
        <w:t xml:space="preserve"> </w:t>
      </w:r>
      <w:r w:rsidR="005C53F6" w:rsidRPr="00E52824">
        <w:rPr>
          <w:rFonts w:ascii="Arial" w:hAnsi="Arial" w:cs="Arial"/>
          <w:vertAlign w:val="superscript"/>
        </w:rPr>
        <w:t>1</w:t>
      </w:r>
      <w:r w:rsidR="005C53F6" w:rsidRPr="00DA38A6">
        <w:rPr>
          <w:rFonts w:ascii="Arial" w:hAnsi="Arial" w:cs="Arial"/>
        </w:rPr>
        <w:t>H nuclear magnetic resonance (NMR) analysis</w:t>
      </w:r>
      <w:r w:rsidR="00D4075A">
        <w:rPr>
          <w:rFonts w:ascii="Arial" w:hAnsi="Arial" w:cs="Arial"/>
        </w:rPr>
        <w:t xml:space="preserve"> [</w:t>
      </w:r>
      <w:r w:rsidR="00D4075A" w:rsidRPr="00D4075A">
        <w:rPr>
          <w:rFonts w:ascii="Arial" w:hAnsi="Arial" w:cs="Arial"/>
        </w:rPr>
        <w:t>Wishart</w:t>
      </w:r>
      <w:r w:rsidR="00D4075A">
        <w:rPr>
          <w:rFonts w:ascii="Arial" w:hAnsi="Arial" w:cs="Arial"/>
        </w:rPr>
        <w:t xml:space="preserve"> et al., 2007]</w:t>
      </w:r>
      <w:r w:rsidR="00B72BEA">
        <w:rPr>
          <w:rFonts w:ascii="Arial" w:hAnsi="Arial" w:cs="Arial"/>
        </w:rPr>
        <w:t>.</w:t>
      </w:r>
      <w:r w:rsidR="00D4075A">
        <w:rPr>
          <w:rFonts w:ascii="Arial" w:hAnsi="Arial" w:cs="Arial"/>
        </w:rPr>
        <w:t xml:space="preserve"> </w:t>
      </w:r>
      <w:r w:rsidR="001E07D3" w:rsidRPr="00DA38A6">
        <w:rPr>
          <w:rFonts w:ascii="Arial" w:hAnsi="Arial" w:cs="Arial"/>
          <w:shd w:val="clear" w:color="auto" w:fill="FFFFFF"/>
        </w:rPr>
        <w:t>Quantitative</w:t>
      </w:r>
      <w:r w:rsidRPr="00DA38A6">
        <w:rPr>
          <w:rFonts w:ascii="Arial" w:hAnsi="Arial" w:cs="Arial"/>
          <w:shd w:val="clear" w:color="auto" w:fill="FFFFFF"/>
        </w:rPr>
        <w:t xml:space="preserve"> </w:t>
      </w:r>
      <w:r w:rsidR="00B72BEA">
        <w:rPr>
          <w:rFonts w:ascii="Arial" w:hAnsi="Arial" w:cs="Arial"/>
          <w:shd w:val="clear" w:color="auto" w:fill="FFFFFF"/>
        </w:rPr>
        <w:t>g</w:t>
      </w:r>
      <w:r w:rsidR="005C53F6" w:rsidRPr="00DA38A6">
        <w:rPr>
          <w:rFonts w:ascii="Arial" w:hAnsi="Arial" w:cs="Arial"/>
          <w:shd w:val="clear" w:color="auto" w:fill="FFFFFF"/>
        </w:rPr>
        <w:t xml:space="preserve">as chromatography–mass spectrometry (GC–MS) </w:t>
      </w:r>
      <w:r w:rsidRPr="00DA38A6">
        <w:rPr>
          <w:rFonts w:ascii="Arial" w:hAnsi="Arial" w:cs="Arial"/>
          <w:shd w:val="clear" w:color="auto" w:fill="FFFFFF"/>
        </w:rPr>
        <w:t>methods</w:t>
      </w:r>
      <w:r w:rsidR="005C53F6" w:rsidRPr="00DA38A6">
        <w:rPr>
          <w:rFonts w:ascii="Arial" w:hAnsi="Arial" w:cs="Arial"/>
          <w:shd w:val="clear" w:color="auto" w:fill="FFFFFF"/>
        </w:rPr>
        <w:t xml:space="preserve"> </w:t>
      </w:r>
      <w:r w:rsidRPr="00DA38A6">
        <w:rPr>
          <w:rFonts w:ascii="Arial" w:hAnsi="Arial" w:cs="Arial"/>
          <w:shd w:val="clear" w:color="auto" w:fill="FFFFFF"/>
        </w:rPr>
        <w:t xml:space="preserve">would </w:t>
      </w:r>
      <w:r w:rsidR="001E07D3" w:rsidRPr="00DA38A6">
        <w:rPr>
          <w:rFonts w:ascii="Arial" w:hAnsi="Arial" w:cs="Arial"/>
          <w:shd w:val="clear" w:color="auto" w:fill="FFFFFF"/>
        </w:rPr>
        <w:t xml:space="preserve">have </w:t>
      </w:r>
      <w:r w:rsidRPr="00DA38A6">
        <w:rPr>
          <w:rFonts w:ascii="Arial" w:hAnsi="Arial" w:cs="Arial"/>
          <w:shd w:val="clear" w:color="auto" w:fill="FFFFFF"/>
        </w:rPr>
        <w:t>be</w:t>
      </w:r>
      <w:r w:rsidR="001E07D3" w:rsidRPr="00DA38A6">
        <w:rPr>
          <w:rFonts w:ascii="Arial" w:hAnsi="Arial" w:cs="Arial"/>
          <w:shd w:val="clear" w:color="auto" w:fill="FFFFFF"/>
        </w:rPr>
        <w:t>en</w:t>
      </w:r>
      <w:r w:rsidRPr="00DA38A6">
        <w:rPr>
          <w:rFonts w:ascii="Arial" w:hAnsi="Arial" w:cs="Arial"/>
          <w:shd w:val="clear" w:color="auto" w:fill="FFFFFF"/>
        </w:rPr>
        <w:t xml:space="preserve"> needed </w:t>
      </w:r>
      <w:r w:rsidRPr="00DA38A6">
        <w:rPr>
          <w:rStyle w:val="xcontentpasted1"/>
          <w:rFonts w:ascii="Arial" w:hAnsi="Arial" w:cs="Arial"/>
          <w:bdr w:val="none" w:sz="0" w:space="0" w:color="auto" w:frame="1"/>
          <w:shd w:val="clear" w:color="auto" w:fill="FFFFFF"/>
        </w:rPr>
        <w:t xml:space="preserve">to </w:t>
      </w:r>
      <w:r w:rsidR="00CF6DE6" w:rsidRPr="00DA38A6">
        <w:rPr>
          <w:rStyle w:val="xcontentpasted1"/>
          <w:rFonts w:ascii="Arial" w:hAnsi="Arial" w:cs="Arial"/>
          <w:bdr w:val="none" w:sz="0" w:space="0" w:color="auto" w:frame="1"/>
          <w:shd w:val="clear" w:color="auto" w:fill="FFFFFF"/>
        </w:rPr>
        <w:t xml:space="preserve">explore </w:t>
      </w:r>
      <w:r w:rsidR="00E36655">
        <w:rPr>
          <w:rStyle w:val="xcontentpasted1"/>
          <w:rFonts w:ascii="Arial" w:hAnsi="Arial" w:cs="Arial"/>
          <w:bdr w:val="none" w:sz="0" w:space="0" w:color="auto" w:frame="1"/>
          <w:shd w:val="clear" w:color="auto" w:fill="FFFFFF"/>
        </w:rPr>
        <w:t xml:space="preserve">temporal </w:t>
      </w:r>
      <w:r w:rsidRPr="00DA38A6">
        <w:rPr>
          <w:rStyle w:val="xcontentpasted1"/>
          <w:rFonts w:ascii="Arial" w:hAnsi="Arial" w:cs="Arial"/>
          <w:bdr w:val="none" w:sz="0" w:space="0" w:color="auto" w:frame="1"/>
          <w:shd w:val="clear" w:color="auto" w:fill="FFFFFF"/>
        </w:rPr>
        <w:t>differences in</w:t>
      </w:r>
      <w:r w:rsidR="00083D08" w:rsidRPr="00DA38A6">
        <w:rPr>
          <w:rStyle w:val="xcontentpasted1"/>
          <w:rFonts w:ascii="Arial" w:hAnsi="Arial" w:cs="Arial"/>
          <w:bdr w:val="none" w:sz="0" w:space="0" w:color="auto" w:frame="1"/>
          <w:shd w:val="clear" w:color="auto" w:fill="FFFFFF"/>
        </w:rPr>
        <w:t xml:space="preserve"> </w:t>
      </w:r>
      <w:r w:rsidR="00351822" w:rsidRPr="00DA38A6">
        <w:rPr>
          <w:rStyle w:val="xcontentpasted1"/>
          <w:rFonts w:ascii="Arial" w:hAnsi="Arial" w:cs="Arial"/>
          <w:bdr w:val="none" w:sz="0" w:space="0" w:color="auto" w:frame="1"/>
          <w:shd w:val="clear" w:color="auto" w:fill="FFFFFF"/>
        </w:rPr>
        <w:t>plasma propionate</w:t>
      </w:r>
      <w:r w:rsidRPr="00DA38A6">
        <w:rPr>
          <w:rStyle w:val="xcontentpasted1"/>
          <w:rFonts w:ascii="Arial" w:hAnsi="Arial" w:cs="Arial"/>
          <w:bdr w:val="none" w:sz="0" w:space="0" w:color="auto" w:frame="1"/>
          <w:shd w:val="clear" w:color="auto" w:fill="FFFFFF"/>
        </w:rPr>
        <w:t xml:space="preserve"> between </w:t>
      </w:r>
      <w:r w:rsidR="00CF6DE6" w:rsidRPr="00DA38A6">
        <w:rPr>
          <w:rStyle w:val="xcontentpasted1"/>
          <w:rFonts w:ascii="Arial" w:hAnsi="Arial" w:cs="Arial"/>
          <w:bdr w:val="none" w:sz="0" w:space="0" w:color="auto" w:frame="1"/>
          <w:shd w:val="clear" w:color="auto" w:fill="FFFFFF"/>
        </w:rPr>
        <w:t>study conditions</w:t>
      </w:r>
      <w:r w:rsidR="00E36655">
        <w:rPr>
          <w:rStyle w:val="xcontentpasted1"/>
          <w:rFonts w:ascii="Arial" w:hAnsi="Arial" w:cs="Arial"/>
          <w:bdr w:val="none" w:sz="0" w:space="0" w:color="auto" w:frame="1"/>
          <w:shd w:val="clear" w:color="auto" w:fill="FFFFFF"/>
        </w:rPr>
        <w:t xml:space="preserve"> [</w:t>
      </w:r>
      <w:r w:rsidR="00E36655" w:rsidRPr="00E36655">
        <w:rPr>
          <w:rStyle w:val="xcontentpasted1"/>
          <w:rFonts w:ascii="Arial" w:hAnsi="Arial" w:cs="Arial"/>
          <w:bdr w:val="none" w:sz="0" w:space="0" w:color="auto" w:frame="1"/>
          <w:shd w:val="clear" w:color="auto" w:fill="FFFFFF"/>
        </w:rPr>
        <w:t>Brignardello</w:t>
      </w:r>
      <w:r w:rsidR="00E36655">
        <w:rPr>
          <w:rStyle w:val="xcontentpasted1"/>
          <w:rFonts w:ascii="Arial" w:hAnsi="Arial" w:cs="Arial"/>
          <w:bdr w:val="none" w:sz="0" w:space="0" w:color="auto" w:frame="1"/>
          <w:shd w:val="clear" w:color="auto" w:fill="FFFFFF"/>
        </w:rPr>
        <w:t xml:space="preserve"> et al., 20</w:t>
      </w:r>
      <w:r w:rsidR="00D4075A">
        <w:rPr>
          <w:rStyle w:val="xcontentpasted1"/>
          <w:rFonts w:ascii="Arial" w:hAnsi="Arial" w:cs="Arial"/>
          <w:bdr w:val="none" w:sz="0" w:space="0" w:color="auto" w:frame="1"/>
          <w:shd w:val="clear" w:color="auto" w:fill="FFFFFF"/>
        </w:rPr>
        <w:t>22]</w:t>
      </w:r>
      <w:r w:rsidR="00725628">
        <w:rPr>
          <w:rStyle w:val="xcontentpasted1"/>
          <w:rFonts w:ascii="Arial" w:hAnsi="Arial" w:cs="Arial"/>
          <w:bdr w:val="none" w:sz="0" w:space="0" w:color="auto" w:frame="1"/>
          <w:shd w:val="clear" w:color="auto" w:fill="FFFFFF"/>
        </w:rPr>
        <w:t xml:space="preserve">. </w:t>
      </w:r>
    </w:p>
    <w:p w14:paraId="1A7B838E" w14:textId="7BB91F9A" w:rsidR="00CF6DE6" w:rsidRPr="00DA38A6" w:rsidRDefault="00CF6DE6" w:rsidP="00F25FFB">
      <w:pPr>
        <w:spacing w:line="480" w:lineRule="auto"/>
        <w:jc w:val="both"/>
        <w:rPr>
          <w:rFonts w:ascii="Arial" w:hAnsi="Arial" w:cs="Arial"/>
        </w:rPr>
      </w:pPr>
      <w:r w:rsidRPr="00DA38A6">
        <w:rPr>
          <w:rFonts w:ascii="Arial" w:hAnsi="Arial" w:cs="Arial"/>
        </w:rPr>
        <w:t>Our findings did highlight increased plasma acetate, succinate, and lactate in response to exercise</w:t>
      </w:r>
      <w:r w:rsidR="00D52119">
        <w:rPr>
          <w:rFonts w:ascii="Arial" w:hAnsi="Arial" w:cs="Arial"/>
        </w:rPr>
        <w:t xml:space="preserve">. </w:t>
      </w:r>
      <w:r w:rsidR="00282C42" w:rsidRPr="00282C42">
        <w:rPr>
          <w:rFonts w:ascii="Arial" w:hAnsi="Arial" w:cs="Arial"/>
        </w:rPr>
        <w:t xml:space="preserve">McCarthy and Ferguson hypothesize that heightened levels of these three metabolites may </w:t>
      </w:r>
      <w:r w:rsidR="00282C42">
        <w:rPr>
          <w:rFonts w:ascii="Arial" w:hAnsi="Arial" w:cs="Arial"/>
        </w:rPr>
        <w:t>mirror</w:t>
      </w:r>
      <w:r w:rsidR="00282C42" w:rsidRPr="00282C42">
        <w:rPr>
          <w:rFonts w:ascii="Arial" w:hAnsi="Arial" w:cs="Arial"/>
        </w:rPr>
        <w:t xml:space="preserve"> an increase in propionate produced by gut microbes. However, existing research</w:t>
      </w:r>
      <w:r w:rsidR="00282C42">
        <w:rPr>
          <w:rFonts w:ascii="Arial" w:hAnsi="Arial" w:cs="Arial"/>
        </w:rPr>
        <w:t xml:space="preserve"> </w:t>
      </w:r>
      <w:r w:rsidR="00282C42" w:rsidRPr="00DA38A6">
        <w:rPr>
          <w:rFonts w:ascii="Arial" w:hAnsi="Arial" w:cs="Arial"/>
        </w:rPr>
        <w:t>[Van Hall et al., 2002; Reddy et al., 2020]</w:t>
      </w:r>
      <w:r w:rsidR="00282C42" w:rsidRPr="00282C42">
        <w:rPr>
          <w:rFonts w:ascii="Arial" w:hAnsi="Arial" w:cs="Arial"/>
        </w:rPr>
        <w:t xml:space="preserve"> indicates that these metabolites primarily stem from active muscles during exercise, rather than originating from gut microbial activity</w:t>
      </w:r>
      <w:r w:rsidR="00282C42">
        <w:rPr>
          <w:rFonts w:ascii="Arial" w:hAnsi="Arial" w:cs="Arial"/>
        </w:rPr>
        <w:t xml:space="preserve">. </w:t>
      </w:r>
      <w:r w:rsidR="00086CEC" w:rsidRPr="00DA38A6">
        <w:rPr>
          <w:rFonts w:ascii="Arial" w:hAnsi="Arial" w:cs="Arial"/>
        </w:rPr>
        <w:t xml:space="preserve">Sophisticated research conducted with </w:t>
      </w:r>
      <w:proofErr w:type="spellStart"/>
      <w:r w:rsidR="00086CEC" w:rsidRPr="00DA38A6">
        <w:rPr>
          <w:rFonts w:ascii="Arial" w:hAnsi="Arial" w:cs="Arial"/>
        </w:rPr>
        <w:t>multicatheterized</w:t>
      </w:r>
      <w:proofErr w:type="spellEnd"/>
      <w:r w:rsidR="00086CEC" w:rsidRPr="00DA38A6">
        <w:rPr>
          <w:rFonts w:ascii="Arial" w:hAnsi="Arial" w:cs="Arial"/>
        </w:rPr>
        <w:t xml:space="preserve"> pigs has precisely measured the organ-specific exchange of SCFA [</w:t>
      </w:r>
      <w:r w:rsidR="00DA38A6" w:rsidRPr="00DA38A6">
        <w:rPr>
          <w:rFonts w:ascii="Arial" w:hAnsi="Arial" w:cs="Arial"/>
        </w:rPr>
        <w:t>Kirschner et al., 2021</w:t>
      </w:r>
      <w:r w:rsidR="00086CEC" w:rsidRPr="00DA38A6">
        <w:rPr>
          <w:rFonts w:ascii="Arial" w:hAnsi="Arial" w:cs="Arial"/>
        </w:rPr>
        <w:t>] and other products of gut microbial activity</w:t>
      </w:r>
      <w:r w:rsidR="005C53F6" w:rsidRPr="00DA38A6">
        <w:rPr>
          <w:rFonts w:ascii="Arial" w:hAnsi="Arial" w:cs="Arial"/>
        </w:rPr>
        <w:t xml:space="preserve"> [</w:t>
      </w:r>
      <w:r w:rsidR="00DA38A6" w:rsidRPr="00DA38A6">
        <w:rPr>
          <w:rFonts w:ascii="Arial" w:hAnsi="Arial" w:cs="Arial"/>
        </w:rPr>
        <w:t>Jang et al., 2019</w:t>
      </w:r>
      <w:r w:rsidR="005C53F6" w:rsidRPr="00DA38A6">
        <w:rPr>
          <w:rFonts w:ascii="Arial" w:hAnsi="Arial" w:cs="Arial"/>
        </w:rPr>
        <w:t>]</w:t>
      </w:r>
      <w:r w:rsidR="00086CEC" w:rsidRPr="00DA38A6">
        <w:rPr>
          <w:rFonts w:ascii="Arial" w:hAnsi="Arial" w:cs="Arial"/>
        </w:rPr>
        <w:t xml:space="preserve"> during resting conditions. </w:t>
      </w:r>
      <w:r w:rsidR="00753558">
        <w:rPr>
          <w:rFonts w:ascii="Arial" w:hAnsi="Arial" w:cs="Arial"/>
        </w:rPr>
        <w:t>It would be interesting to use a</w:t>
      </w:r>
      <w:r w:rsidR="00753558" w:rsidRPr="00DA38A6">
        <w:rPr>
          <w:rFonts w:ascii="Arial" w:hAnsi="Arial" w:cs="Arial"/>
        </w:rPr>
        <w:t xml:space="preserve"> </w:t>
      </w:r>
      <w:r w:rsidR="00086CEC" w:rsidRPr="00DA38A6">
        <w:rPr>
          <w:rFonts w:ascii="Arial" w:hAnsi="Arial" w:cs="Arial"/>
        </w:rPr>
        <w:t xml:space="preserve">similar methodological framework </w:t>
      </w:r>
      <w:r w:rsidR="00764891" w:rsidRPr="00DA38A6">
        <w:rPr>
          <w:rFonts w:ascii="Arial" w:hAnsi="Arial" w:cs="Arial"/>
        </w:rPr>
        <w:t>to</w:t>
      </w:r>
      <w:r w:rsidR="00086CEC" w:rsidRPr="00DA38A6">
        <w:rPr>
          <w:rFonts w:ascii="Arial" w:hAnsi="Arial" w:cs="Arial"/>
        </w:rPr>
        <w:t xml:space="preserve"> evaluate the alterations in metabolite fluxes during exercise, thus delineating the specific contributions of muscle and gut to the elevation of plasma </w:t>
      </w:r>
      <w:r w:rsidR="004A7337">
        <w:rPr>
          <w:rFonts w:ascii="Arial" w:hAnsi="Arial" w:cs="Arial"/>
        </w:rPr>
        <w:t>SCFA</w:t>
      </w:r>
      <w:r w:rsidR="00086CEC" w:rsidRPr="00DA38A6">
        <w:rPr>
          <w:rFonts w:ascii="Arial" w:hAnsi="Arial" w:cs="Arial"/>
        </w:rPr>
        <w:t>, succinate, and lactate induced by exercise</w:t>
      </w:r>
      <w:r w:rsidR="00753558">
        <w:rPr>
          <w:rFonts w:ascii="Arial" w:hAnsi="Arial" w:cs="Arial"/>
        </w:rPr>
        <w:t xml:space="preserve"> in animal models and humans</w:t>
      </w:r>
      <w:r w:rsidR="00086CEC" w:rsidRPr="00DA38A6">
        <w:rPr>
          <w:rFonts w:ascii="Arial" w:hAnsi="Arial" w:cs="Arial"/>
        </w:rPr>
        <w:t>.</w:t>
      </w:r>
    </w:p>
    <w:p w14:paraId="3CEA3A45" w14:textId="07FE4DC9" w:rsidR="00DB1C14" w:rsidRPr="00DA38A6" w:rsidRDefault="00FF0568" w:rsidP="00F25FFB">
      <w:pPr>
        <w:spacing w:line="480" w:lineRule="auto"/>
        <w:jc w:val="both"/>
        <w:rPr>
          <w:rFonts w:ascii="Arial" w:hAnsi="Arial" w:cs="Arial"/>
          <w:noProof/>
        </w:rPr>
      </w:pPr>
      <w:r w:rsidRPr="00DA38A6">
        <w:rPr>
          <w:rFonts w:ascii="Arial" w:hAnsi="Arial" w:cs="Arial"/>
        </w:rPr>
        <w:t xml:space="preserve">McCarthy and Ferguson </w:t>
      </w:r>
      <w:r w:rsidR="00753558">
        <w:rPr>
          <w:rFonts w:ascii="Arial" w:hAnsi="Arial" w:cs="Arial"/>
        </w:rPr>
        <w:t>suggest</w:t>
      </w:r>
      <w:r w:rsidR="00753558" w:rsidRPr="00DA38A6">
        <w:rPr>
          <w:rFonts w:ascii="Arial" w:hAnsi="Arial" w:cs="Arial"/>
        </w:rPr>
        <w:t xml:space="preserve"> </w:t>
      </w:r>
      <w:r w:rsidRPr="00DA38A6">
        <w:rPr>
          <w:rFonts w:ascii="Arial" w:hAnsi="Arial" w:cs="Arial"/>
        </w:rPr>
        <w:t>that propionate and other products of gut microbial activity trigger the release of GLP-1</w:t>
      </w:r>
      <w:r w:rsidR="00EF7150" w:rsidRPr="00DA38A6">
        <w:rPr>
          <w:rFonts w:ascii="Arial" w:hAnsi="Arial" w:cs="Arial"/>
        </w:rPr>
        <w:t xml:space="preserve"> through the </w:t>
      </w:r>
      <w:r w:rsidR="001E07D3" w:rsidRPr="00DA38A6">
        <w:rPr>
          <w:rFonts w:ascii="Arial" w:hAnsi="Arial" w:cs="Arial"/>
        </w:rPr>
        <w:t>apical</w:t>
      </w:r>
      <w:r w:rsidR="00EF7150" w:rsidRPr="00DA38A6">
        <w:rPr>
          <w:rFonts w:ascii="Arial" w:hAnsi="Arial" w:cs="Arial"/>
        </w:rPr>
        <w:t>/</w:t>
      </w:r>
      <w:r w:rsidRPr="00DA38A6">
        <w:rPr>
          <w:rFonts w:ascii="Arial" w:hAnsi="Arial" w:cs="Arial"/>
        </w:rPr>
        <w:t>luminal</w:t>
      </w:r>
      <w:r w:rsidR="00EF7150" w:rsidRPr="00DA38A6">
        <w:rPr>
          <w:rFonts w:ascii="Arial" w:hAnsi="Arial" w:cs="Arial"/>
        </w:rPr>
        <w:t xml:space="preserve"> surface of enteroendocrine L-cells</w:t>
      </w:r>
      <w:r w:rsidRPr="00DA38A6">
        <w:rPr>
          <w:rFonts w:ascii="Arial" w:hAnsi="Arial" w:cs="Arial"/>
        </w:rPr>
        <w:t xml:space="preserve">. </w:t>
      </w:r>
      <w:r w:rsidR="00753558">
        <w:rPr>
          <w:rFonts w:ascii="Arial" w:hAnsi="Arial" w:cs="Arial"/>
        </w:rPr>
        <w:t>However, it is possible</w:t>
      </w:r>
      <w:r w:rsidR="00CF6DE6" w:rsidRPr="00DA38A6">
        <w:rPr>
          <w:rFonts w:ascii="Arial" w:hAnsi="Arial" w:cs="Arial"/>
        </w:rPr>
        <w:t xml:space="preserve"> these </w:t>
      </w:r>
      <w:r w:rsidRPr="00DA38A6">
        <w:rPr>
          <w:rFonts w:ascii="Arial" w:hAnsi="Arial" w:cs="Arial"/>
        </w:rPr>
        <w:t xml:space="preserve">metabolites </w:t>
      </w:r>
      <w:r w:rsidR="00421F13">
        <w:rPr>
          <w:rFonts w:ascii="Arial" w:hAnsi="Arial" w:cs="Arial"/>
        </w:rPr>
        <w:t xml:space="preserve">also </w:t>
      </w:r>
      <w:r w:rsidR="00753558" w:rsidRPr="00DA38A6">
        <w:rPr>
          <w:rFonts w:ascii="Arial" w:hAnsi="Arial" w:cs="Arial"/>
          <w:noProof/>
        </w:rPr>
        <w:t>promot</w:t>
      </w:r>
      <w:r w:rsidR="00753558">
        <w:rPr>
          <w:rFonts w:ascii="Arial" w:hAnsi="Arial" w:cs="Arial"/>
          <w:noProof/>
        </w:rPr>
        <w:t>e</w:t>
      </w:r>
      <w:r w:rsidR="00753558" w:rsidRPr="00DA38A6">
        <w:rPr>
          <w:rFonts w:ascii="Arial" w:hAnsi="Arial" w:cs="Arial"/>
          <w:noProof/>
        </w:rPr>
        <w:t xml:space="preserve"> </w:t>
      </w:r>
      <w:r w:rsidR="00EF7150" w:rsidRPr="00DA38A6">
        <w:rPr>
          <w:rFonts w:ascii="Arial" w:hAnsi="Arial" w:cs="Arial"/>
          <w:noProof/>
        </w:rPr>
        <w:t>GLP-1 release</w:t>
      </w:r>
      <w:r w:rsidR="004D3FB2" w:rsidRPr="00DA38A6">
        <w:rPr>
          <w:rFonts w:ascii="Arial" w:hAnsi="Arial" w:cs="Arial"/>
          <w:noProof/>
        </w:rPr>
        <w:t xml:space="preserve"> </w:t>
      </w:r>
      <w:r w:rsidR="00DB1C14" w:rsidRPr="00DA38A6">
        <w:rPr>
          <w:rFonts w:ascii="Arial" w:hAnsi="Arial" w:cs="Arial"/>
          <w:noProof/>
        </w:rPr>
        <w:t>via the basolateral surface of L-cells</w:t>
      </w:r>
      <w:r w:rsidR="00DA38A6" w:rsidRPr="00DA38A6">
        <w:rPr>
          <w:rFonts w:ascii="Arial" w:hAnsi="Arial" w:cs="Arial"/>
          <w:noProof/>
        </w:rPr>
        <w:t xml:space="preserve"> [Reimann &amp; Gribble., 2016]</w:t>
      </w:r>
      <w:r w:rsidR="00DB1C14" w:rsidRPr="00DA38A6">
        <w:rPr>
          <w:rFonts w:ascii="Arial" w:hAnsi="Arial" w:cs="Arial"/>
          <w:noProof/>
        </w:rPr>
        <w:t xml:space="preserve">. </w:t>
      </w:r>
      <w:r w:rsidR="00CF6DE6" w:rsidRPr="00DA38A6">
        <w:rPr>
          <w:rFonts w:ascii="Arial" w:hAnsi="Arial" w:cs="Arial"/>
          <w:noProof/>
        </w:rPr>
        <w:t>Our observations revealed</w:t>
      </w:r>
      <w:r w:rsidR="00DB1C14" w:rsidRPr="00DA38A6">
        <w:rPr>
          <w:rFonts w:ascii="Arial" w:hAnsi="Arial" w:cs="Arial"/>
          <w:noProof/>
        </w:rPr>
        <w:t xml:space="preserve"> a positive </w:t>
      </w:r>
      <w:r w:rsidR="00CF6DE6" w:rsidRPr="00DA38A6">
        <w:rPr>
          <w:rFonts w:ascii="Arial" w:hAnsi="Arial" w:cs="Arial"/>
          <w:noProof/>
        </w:rPr>
        <w:lastRenderedPageBreak/>
        <w:t>association</w:t>
      </w:r>
      <w:r w:rsidR="00DB1C14" w:rsidRPr="00DA38A6">
        <w:rPr>
          <w:rFonts w:ascii="Arial" w:hAnsi="Arial" w:cs="Arial"/>
          <w:noProof/>
        </w:rPr>
        <w:t xml:space="preserve"> between </w:t>
      </w:r>
      <w:r w:rsidR="00753558">
        <w:rPr>
          <w:rFonts w:ascii="Arial" w:hAnsi="Arial" w:cs="Arial"/>
          <w:noProof/>
        </w:rPr>
        <w:t>circulating levels of</w:t>
      </w:r>
      <w:r w:rsidR="00753558" w:rsidRPr="00DA38A6">
        <w:rPr>
          <w:rFonts w:ascii="Arial" w:hAnsi="Arial" w:cs="Arial"/>
          <w:noProof/>
        </w:rPr>
        <w:t xml:space="preserve"> </w:t>
      </w:r>
      <w:r w:rsidR="00DB1C14" w:rsidRPr="00DA38A6">
        <w:rPr>
          <w:rFonts w:ascii="Arial" w:hAnsi="Arial" w:cs="Arial"/>
          <w:noProof/>
        </w:rPr>
        <w:t xml:space="preserve">GLP-1 and acetate during exercise, </w:t>
      </w:r>
      <w:r w:rsidR="00753558">
        <w:rPr>
          <w:rFonts w:ascii="Arial" w:hAnsi="Arial" w:cs="Arial"/>
          <w:noProof/>
        </w:rPr>
        <w:t>in accord with a previous study which found</w:t>
      </w:r>
      <w:r w:rsidR="00753558" w:rsidRPr="00DA38A6">
        <w:rPr>
          <w:rFonts w:ascii="Arial" w:hAnsi="Arial" w:cs="Arial"/>
          <w:noProof/>
        </w:rPr>
        <w:t xml:space="preserve"> </w:t>
      </w:r>
      <w:r w:rsidR="001E07D3" w:rsidRPr="00DA38A6">
        <w:rPr>
          <w:rFonts w:ascii="Arial" w:hAnsi="Arial" w:cs="Arial"/>
          <w:noProof/>
        </w:rPr>
        <w:t>G</w:t>
      </w:r>
      <w:r w:rsidR="004D3FB2" w:rsidRPr="00DA38A6">
        <w:rPr>
          <w:rFonts w:ascii="Arial" w:hAnsi="Arial" w:cs="Arial"/>
          <w:noProof/>
        </w:rPr>
        <w:t>LP</w:t>
      </w:r>
      <w:r w:rsidR="001E07D3" w:rsidRPr="00DA38A6">
        <w:rPr>
          <w:rFonts w:ascii="Arial" w:hAnsi="Arial" w:cs="Arial"/>
          <w:noProof/>
        </w:rPr>
        <w:t>-1</w:t>
      </w:r>
      <w:r w:rsidR="00DB1C14" w:rsidRPr="00DA38A6">
        <w:rPr>
          <w:rFonts w:ascii="Arial" w:hAnsi="Arial" w:cs="Arial"/>
          <w:noProof/>
        </w:rPr>
        <w:t xml:space="preserve"> concentrations </w:t>
      </w:r>
      <w:r w:rsidR="00753558">
        <w:rPr>
          <w:rFonts w:ascii="Arial" w:hAnsi="Arial" w:cs="Arial"/>
          <w:noProof/>
        </w:rPr>
        <w:t xml:space="preserve">to be </w:t>
      </w:r>
      <w:r w:rsidR="00DB1C14" w:rsidRPr="00DA38A6">
        <w:rPr>
          <w:rFonts w:ascii="Arial" w:hAnsi="Arial" w:cs="Arial"/>
          <w:noProof/>
        </w:rPr>
        <w:t xml:space="preserve">correlated with </w:t>
      </w:r>
      <w:r w:rsidR="004D3FB2" w:rsidRPr="00DA38A6">
        <w:rPr>
          <w:rFonts w:ascii="Arial" w:hAnsi="Arial" w:cs="Arial"/>
          <w:noProof/>
        </w:rPr>
        <w:t xml:space="preserve">circulating but not faecal </w:t>
      </w:r>
      <w:r w:rsidR="00F72393" w:rsidRPr="00DA38A6">
        <w:rPr>
          <w:rFonts w:ascii="Arial" w:hAnsi="Arial" w:cs="Arial"/>
          <w:noProof/>
        </w:rPr>
        <w:t>SCFA</w:t>
      </w:r>
      <w:r w:rsidR="004D3FB2" w:rsidRPr="00DA38A6">
        <w:rPr>
          <w:rFonts w:ascii="Arial" w:hAnsi="Arial" w:cs="Arial"/>
          <w:noProof/>
        </w:rPr>
        <w:t xml:space="preserve"> levels</w:t>
      </w:r>
      <w:r w:rsidR="004A7337">
        <w:rPr>
          <w:rFonts w:ascii="Arial" w:hAnsi="Arial" w:cs="Arial"/>
          <w:noProof/>
        </w:rPr>
        <w:t xml:space="preserve"> </w:t>
      </w:r>
      <w:r w:rsidR="004A7337" w:rsidRPr="00DA38A6">
        <w:rPr>
          <w:rFonts w:ascii="Arial" w:hAnsi="Arial" w:cs="Arial"/>
          <w:noProof/>
        </w:rPr>
        <w:t>in humans</w:t>
      </w:r>
      <w:r w:rsidR="00DB1C14" w:rsidRPr="00DA38A6">
        <w:rPr>
          <w:rFonts w:ascii="Arial" w:hAnsi="Arial" w:cs="Arial"/>
          <w:noProof/>
        </w:rPr>
        <w:t xml:space="preserve"> [</w:t>
      </w:r>
      <w:r w:rsidR="00DA38A6" w:rsidRPr="00DA38A6">
        <w:rPr>
          <w:rFonts w:ascii="Arial" w:hAnsi="Arial" w:cs="Arial"/>
          <w:noProof/>
        </w:rPr>
        <w:t>Müller</w:t>
      </w:r>
      <w:r w:rsidR="0062213C">
        <w:rPr>
          <w:rFonts w:ascii="Arial" w:hAnsi="Arial" w:cs="Arial"/>
          <w:noProof/>
        </w:rPr>
        <w:t xml:space="preserve"> </w:t>
      </w:r>
      <w:r w:rsidR="00DA38A6" w:rsidRPr="00DA38A6">
        <w:rPr>
          <w:rFonts w:ascii="Arial" w:hAnsi="Arial" w:cs="Arial"/>
          <w:noProof/>
        </w:rPr>
        <w:t>et al., 2019</w:t>
      </w:r>
      <w:r w:rsidR="00DB1C14" w:rsidRPr="00DA38A6">
        <w:rPr>
          <w:rFonts w:ascii="Arial" w:hAnsi="Arial" w:cs="Arial"/>
          <w:noProof/>
        </w:rPr>
        <w:t>]. This effect could be mediated by the SCFA receptor, free fatty acid receptor 2 (FFAR2), that resides on the basolateral membrane of intestinal L-cells [</w:t>
      </w:r>
      <w:r w:rsidR="00DA38A6" w:rsidRPr="00DA38A6">
        <w:rPr>
          <w:rFonts w:ascii="Arial" w:hAnsi="Arial" w:cs="Arial"/>
          <w:noProof/>
        </w:rPr>
        <w:t>Tough et al., 2018</w:t>
      </w:r>
      <w:r w:rsidR="00DB1C14" w:rsidRPr="00DA38A6">
        <w:rPr>
          <w:rFonts w:ascii="Arial" w:hAnsi="Arial" w:cs="Arial"/>
          <w:noProof/>
        </w:rPr>
        <w:t xml:space="preserve">] and would </w:t>
      </w:r>
      <w:r w:rsidR="00753558">
        <w:rPr>
          <w:rFonts w:ascii="Arial" w:hAnsi="Arial" w:cs="Arial"/>
          <w:noProof/>
        </w:rPr>
        <w:t xml:space="preserve">expected to </w:t>
      </w:r>
      <w:r w:rsidR="00DB1C14" w:rsidRPr="00DA38A6">
        <w:rPr>
          <w:rFonts w:ascii="Arial" w:hAnsi="Arial" w:cs="Arial"/>
          <w:noProof/>
        </w:rPr>
        <w:t xml:space="preserve">be </w:t>
      </w:r>
      <w:r w:rsidR="00753558">
        <w:rPr>
          <w:rFonts w:ascii="Arial" w:hAnsi="Arial" w:cs="Arial"/>
          <w:noProof/>
        </w:rPr>
        <w:t xml:space="preserve">more </w:t>
      </w:r>
      <w:r w:rsidR="00DB1C14" w:rsidRPr="00DA38A6">
        <w:rPr>
          <w:rFonts w:ascii="Arial" w:hAnsi="Arial" w:cs="Arial"/>
          <w:noProof/>
        </w:rPr>
        <w:t>responsive to the considerably higher plasma levels of acetate</w:t>
      </w:r>
      <w:r w:rsidR="004D3FB2" w:rsidRPr="00DA38A6">
        <w:rPr>
          <w:rFonts w:ascii="Arial" w:hAnsi="Arial" w:cs="Arial"/>
          <w:noProof/>
        </w:rPr>
        <w:t xml:space="preserve"> (~100 µmol/L)</w:t>
      </w:r>
      <w:r w:rsidR="00DB1C14" w:rsidRPr="00DA38A6">
        <w:rPr>
          <w:rFonts w:ascii="Arial" w:hAnsi="Arial" w:cs="Arial"/>
          <w:noProof/>
        </w:rPr>
        <w:t xml:space="preserve"> </w:t>
      </w:r>
      <w:r w:rsidR="00753558">
        <w:rPr>
          <w:rFonts w:ascii="Arial" w:hAnsi="Arial" w:cs="Arial"/>
          <w:noProof/>
        </w:rPr>
        <w:t>than</w:t>
      </w:r>
      <w:r w:rsidR="00753558" w:rsidRPr="00DA38A6">
        <w:rPr>
          <w:rFonts w:ascii="Arial" w:hAnsi="Arial" w:cs="Arial"/>
          <w:noProof/>
        </w:rPr>
        <w:t xml:space="preserve"> </w:t>
      </w:r>
      <w:r w:rsidR="00DB1C14" w:rsidRPr="00DA38A6">
        <w:rPr>
          <w:rFonts w:ascii="Arial" w:hAnsi="Arial" w:cs="Arial"/>
          <w:noProof/>
        </w:rPr>
        <w:t xml:space="preserve">to </w:t>
      </w:r>
      <w:r w:rsidR="00753558">
        <w:rPr>
          <w:rFonts w:ascii="Arial" w:hAnsi="Arial" w:cs="Arial"/>
          <w:noProof/>
        </w:rPr>
        <w:t xml:space="preserve">the circualting levels of </w:t>
      </w:r>
      <w:r w:rsidR="00DB1C14" w:rsidRPr="00DA38A6">
        <w:rPr>
          <w:rFonts w:ascii="Arial" w:hAnsi="Arial" w:cs="Arial"/>
          <w:noProof/>
        </w:rPr>
        <w:t>propionate and other SCFA</w:t>
      </w:r>
      <w:r w:rsidR="004D3FB2" w:rsidRPr="00DA38A6">
        <w:rPr>
          <w:rFonts w:ascii="Arial" w:hAnsi="Arial" w:cs="Arial"/>
          <w:noProof/>
        </w:rPr>
        <w:t xml:space="preserve"> (&lt;5 µmol/L</w:t>
      </w:r>
      <w:r w:rsidR="005A0D30">
        <w:rPr>
          <w:rFonts w:ascii="Arial" w:hAnsi="Arial" w:cs="Arial"/>
          <w:noProof/>
        </w:rPr>
        <w:t>) [Frampton et al., 2020]</w:t>
      </w:r>
      <w:r w:rsidR="00D52119">
        <w:rPr>
          <w:rFonts w:ascii="Arial" w:hAnsi="Arial" w:cs="Arial"/>
          <w:noProof/>
        </w:rPr>
        <w:t>.</w:t>
      </w:r>
    </w:p>
    <w:p w14:paraId="73539BE7" w14:textId="11DE535B" w:rsidR="0038577F" w:rsidRDefault="00753558" w:rsidP="00F25FFB">
      <w:pPr>
        <w:spacing w:line="480" w:lineRule="auto"/>
        <w:jc w:val="both"/>
        <w:rPr>
          <w:rFonts w:ascii="Arial" w:hAnsi="Arial" w:cs="Arial"/>
        </w:rPr>
      </w:pPr>
      <w:r>
        <w:rPr>
          <w:rFonts w:ascii="Arial" w:hAnsi="Arial" w:cs="Arial"/>
        </w:rPr>
        <w:t>The</w:t>
      </w:r>
      <w:r w:rsidR="00CF6DE6" w:rsidRPr="00DA38A6">
        <w:rPr>
          <w:rFonts w:ascii="Arial" w:hAnsi="Arial" w:cs="Arial"/>
        </w:rPr>
        <w:t xml:space="preserve"> work </w:t>
      </w:r>
      <w:r>
        <w:rPr>
          <w:rFonts w:ascii="Arial" w:hAnsi="Arial" w:cs="Arial"/>
        </w:rPr>
        <w:t xml:space="preserve">referred to which </w:t>
      </w:r>
      <w:r w:rsidRPr="00DA38A6">
        <w:rPr>
          <w:rFonts w:ascii="Arial" w:hAnsi="Arial" w:cs="Arial"/>
        </w:rPr>
        <w:t>analys</w:t>
      </w:r>
      <w:r>
        <w:rPr>
          <w:rFonts w:ascii="Arial" w:hAnsi="Arial" w:cs="Arial"/>
        </w:rPr>
        <w:t>ed</w:t>
      </w:r>
      <w:r w:rsidRPr="00DA38A6">
        <w:rPr>
          <w:rFonts w:ascii="Arial" w:hAnsi="Arial" w:cs="Arial"/>
        </w:rPr>
        <w:t xml:space="preserve"> </w:t>
      </w:r>
      <w:r w:rsidR="00CF6DE6" w:rsidRPr="00DA38A6">
        <w:rPr>
          <w:rFonts w:ascii="Arial" w:hAnsi="Arial" w:cs="Arial"/>
        </w:rPr>
        <w:t>faecal water to demonstrate changes in SCFA production following chronic exercise training</w:t>
      </w:r>
      <w:r w:rsidR="00DA38A6" w:rsidRPr="00DA38A6">
        <w:rPr>
          <w:rFonts w:ascii="Arial" w:hAnsi="Arial" w:cs="Arial"/>
        </w:rPr>
        <w:t xml:space="preserve"> [Allen et al., 2018]</w:t>
      </w:r>
      <w:r w:rsidR="00CF6DE6" w:rsidRPr="00DA38A6">
        <w:rPr>
          <w:rFonts w:ascii="Arial" w:hAnsi="Arial" w:cs="Arial"/>
        </w:rPr>
        <w:t xml:space="preserve"> is </w:t>
      </w:r>
      <w:r w:rsidR="007078CE">
        <w:rPr>
          <w:rFonts w:ascii="Arial" w:hAnsi="Arial" w:cs="Arial"/>
        </w:rPr>
        <w:t xml:space="preserve">very </w:t>
      </w:r>
      <w:r>
        <w:rPr>
          <w:rFonts w:ascii="Arial" w:hAnsi="Arial" w:cs="Arial"/>
        </w:rPr>
        <w:t>interesting. However, as a</w:t>
      </w:r>
      <w:r w:rsidR="004C43E1" w:rsidRPr="00DA38A6">
        <w:rPr>
          <w:rFonts w:ascii="Arial" w:hAnsi="Arial" w:cs="Arial"/>
        </w:rPr>
        <w:t xml:space="preserve"> </w:t>
      </w:r>
      <w:r w:rsidR="00C73495" w:rsidRPr="00DA38A6">
        <w:rPr>
          <w:rFonts w:ascii="Arial" w:hAnsi="Arial" w:cs="Arial"/>
        </w:rPr>
        <w:t>faecal</w:t>
      </w:r>
      <w:r w:rsidR="004C43E1" w:rsidRPr="00DA38A6">
        <w:rPr>
          <w:rFonts w:ascii="Arial" w:hAnsi="Arial" w:cs="Arial"/>
        </w:rPr>
        <w:t xml:space="preserve"> sample would only provide a single ‘snapshot’ of </w:t>
      </w:r>
      <w:r w:rsidR="00401D9B" w:rsidRPr="00DA38A6">
        <w:rPr>
          <w:rFonts w:ascii="Arial" w:hAnsi="Arial" w:cs="Arial"/>
        </w:rPr>
        <w:t>gut microbial composition and activity within the proximal large intestine</w:t>
      </w:r>
      <w:r>
        <w:rPr>
          <w:rFonts w:ascii="Arial" w:hAnsi="Arial" w:cs="Arial"/>
        </w:rPr>
        <w:t xml:space="preserve">, this approach was thought to be less useful for our </w:t>
      </w:r>
      <w:r w:rsidR="007078CE">
        <w:rPr>
          <w:rFonts w:ascii="Arial" w:hAnsi="Arial" w:cs="Arial"/>
        </w:rPr>
        <w:t>short-term</w:t>
      </w:r>
      <w:r>
        <w:rPr>
          <w:rFonts w:ascii="Arial" w:hAnsi="Arial" w:cs="Arial"/>
        </w:rPr>
        <w:t xml:space="preserve"> study</w:t>
      </w:r>
      <w:r w:rsidR="007078CE">
        <w:rPr>
          <w:rFonts w:ascii="Arial" w:hAnsi="Arial" w:cs="Arial"/>
        </w:rPr>
        <w:t>;</w:t>
      </w:r>
      <w:r w:rsidR="00F72393" w:rsidRPr="00DA38A6">
        <w:rPr>
          <w:rFonts w:ascii="Arial" w:hAnsi="Arial" w:cs="Arial"/>
        </w:rPr>
        <w:t xml:space="preserve"> the expected variation in </w:t>
      </w:r>
      <w:r w:rsidR="00001D75">
        <w:rPr>
          <w:rFonts w:ascii="Arial" w:hAnsi="Arial" w:cs="Arial"/>
        </w:rPr>
        <w:t>faecal sample collection</w:t>
      </w:r>
      <w:r w:rsidR="00F72393" w:rsidRPr="00DA38A6">
        <w:rPr>
          <w:rFonts w:ascii="Arial" w:hAnsi="Arial" w:cs="Arial"/>
        </w:rPr>
        <w:t xml:space="preserve"> among individuals after each study visit </w:t>
      </w:r>
      <w:r w:rsidR="00680959">
        <w:rPr>
          <w:rFonts w:ascii="Arial" w:hAnsi="Arial" w:cs="Arial"/>
        </w:rPr>
        <w:t xml:space="preserve">would </w:t>
      </w:r>
      <w:r w:rsidR="00A61891">
        <w:rPr>
          <w:rFonts w:ascii="Arial" w:hAnsi="Arial" w:cs="Arial"/>
        </w:rPr>
        <w:t xml:space="preserve">have </w:t>
      </w:r>
      <w:r w:rsidR="00F72393" w:rsidRPr="00DA38A6">
        <w:rPr>
          <w:rFonts w:ascii="Arial" w:hAnsi="Arial" w:cs="Arial"/>
        </w:rPr>
        <w:t xml:space="preserve">limited </w:t>
      </w:r>
      <w:r w:rsidR="00401D9B" w:rsidRPr="00DA38A6">
        <w:rPr>
          <w:rFonts w:ascii="Arial" w:hAnsi="Arial" w:cs="Arial"/>
        </w:rPr>
        <w:t xml:space="preserve">utility to explain the transient appetite responses observed with acute exercise. </w:t>
      </w:r>
      <w:r w:rsidR="00086CEC" w:rsidRPr="00DA38A6">
        <w:rPr>
          <w:rFonts w:ascii="Arial" w:hAnsi="Arial" w:cs="Arial"/>
        </w:rPr>
        <w:t>Innovative method</w:t>
      </w:r>
      <w:r w:rsidR="0002584A">
        <w:rPr>
          <w:rFonts w:ascii="Arial" w:hAnsi="Arial" w:cs="Arial"/>
        </w:rPr>
        <w:t>ologies</w:t>
      </w:r>
      <w:r w:rsidR="00086CEC" w:rsidRPr="00DA38A6">
        <w:rPr>
          <w:rFonts w:ascii="Arial" w:hAnsi="Arial" w:cs="Arial"/>
        </w:rPr>
        <w:t xml:space="preserve"> </w:t>
      </w:r>
      <w:r w:rsidR="0002584A">
        <w:rPr>
          <w:rFonts w:ascii="Arial" w:hAnsi="Arial" w:cs="Arial"/>
        </w:rPr>
        <w:t>using</w:t>
      </w:r>
      <w:r w:rsidR="00086CEC" w:rsidRPr="00DA38A6">
        <w:rPr>
          <w:rFonts w:ascii="Arial" w:hAnsi="Arial" w:cs="Arial"/>
        </w:rPr>
        <w:t xml:space="preserve"> ingested </w:t>
      </w:r>
      <w:r w:rsidR="0002584A">
        <w:rPr>
          <w:rFonts w:ascii="Arial" w:hAnsi="Arial" w:cs="Arial"/>
        </w:rPr>
        <w:t xml:space="preserve">sampling </w:t>
      </w:r>
      <w:r w:rsidR="00086CEC" w:rsidRPr="00DA38A6">
        <w:rPr>
          <w:rFonts w:ascii="Arial" w:hAnsi="Arial" w:cs="Arial"/>
        </w:rPr>
        <w:t>capsules</w:t>
      </w:r>
      <w:r w:rsidR="00A61891">
        <w:rPr>
          <w:rFonts w:ascii="Arial" w:hAnsi="Arial" w:cs="Arial"/>
        </w:rPr>
        <w:t xml:space="preserve"> [Shalon et al., 2023]</w:t>
      </w:r>
      <w:r w:rsidR="00086CEC" w:rsidRPr="00DA38A6">
        <w:rPr>
          <w:rFonts w:ascii="Arial" w:hAnsi="Arial" w:cs="Arial"/>
        </w:rPr>
        <w:t xml:space="preserve"> and nasogastric </w:t>
      </w:r>
      <w:r w:rsidR="00A61891" w:rsidRPr="00DA38A6">
        <w:rPr>
          <w:rFonts w:ascii="Arial" w:hAnsi="Arial" w:cs="Arial"/>
        </w:rPr>
        <w:t>catheters</w:t>
      </w:r>
      <w:r w:rsidR="00A61891">
        <w:rPr>
          <w:rFonts w:ascii="Arial" w:hAnsi="Arial" w:cs="Arial"/>
        </w:rPr>
        <w:t xml:space="preserve"> [</w:t>
      </w:r>
      <w:r w:rsidR="00A61891" w:rsidRPr="00A61891">
        <w:rPr>
          <w:rFonts w:ascii="Arial" w:hAnsi="Arial" w:cs="Arial"/>
        </w:rPr>
        <w:t xml:space="preserve">van </w:t>
      </w:r>
      <w:proofErr w:type="spellStart"/>
      <w:r w:rsidR="00A61891" w:rsidRPr="00A61891">
        <w:rPr>
          <w:rFonts w:ascii="Arial" w:hAnsi="Arial" w:cs="Arial"/>
        </w:rPr>
        <w:t>Trijp</w:t>
      </w:r>
      <w:proofErr w:type="spellEnd"/>
      <w:r w:rsidR="00A61891">
        <w:rPr>
          <w:rFonts w:ascii="Arial" w:hAnsi="Arial" w:cs="Arial"/>
        </w:rPr>
        <w:t xml:space="preserve"> et al., 2021]</w:t>
      </w:r>
      <w:r w:rsidR="00001D75">
        <w:rPr>
          <w:rFonts w:ascii="Arial" w:hAnsi="Arial" w:cs="Arial"/>
        </w:rPr>
        <w:t xml:space="preserve">, which </w:t>
      </w:r>
      <w:r w:rsidR="00086CEC" w:rsidRPr="00DA38A6">
        <w:rPr>
          <w:rFonts w:ascii="Arial" w:hAnsi="Arial" w:cs="Arial"/>
        </w:rPr>
        <w:t xml:space="preserve">allow repeated luminal sampling from specific gut regions, offer promise in capturing dynamic changes in gut microbial </w:t>
      </w:r>
      <w:r w:rsidR="00E36655">
        <w:rPr>
          <w:rFonts w:ascii="Arial" w:hAnsi="Arial" w:cs="Arial"/>
        </w:rPr>
        <w:t>metabolism</w:t>
      </w:r>
      <w:r w:rsidR="00086CEC" w:rsidRPr="00DA38A6">
        <w:rPr>
          <w:rFonts w:ascii="Arial" w:hAnsi="Arial" w:cs="Arial"/>
        </w:rPr>
        <w:t xml:space="preserve"> during and after exercise, potentially elucidating their mechanistic roles in acute appetite regulation.</w:t>
      </w:r>
    </w:p>
    <w:p w14:paraId="630AEEBC" w14:textId="77777777" w:rsidR="00E52824" w:rsidRDefault="00E52824" w:rsidP="00F25FFB">
      <w:pPr>
        <w:spacing w:line="480" w:lineRule="auto"/>
        <w:jc w:val="both"/>
        <w:rPr>
          <w:rFonts w:ascii="Arial" w:hAnsi="Arial" w:cs="Arial"/>
        </w:rPr>
      </w:pPr>
    </w:p>
    <w:p w14:paraId="7A94D4F0" w14:textId="6B6C9E55" w:rsidR="00E52824" w:rsidRPr="005A10C7" w:rsidRDefault="005A10C7" w:rsidP="00F25FFB">
      <w:pPr>
        <w:spacing w:line="480" w:lineRule="auto"/>
        <w:jc w:val="both"/>
        <w:rPr>
          <w:rFonts w:ascii="Arial" w:hAnsi="Arial" w:cs="Arial"/>
          <w:b/>
          <w:bCs/>
          <w:sz w:val="28"/>
          <w:szCs w:val="28"/>
          <w:u w:val="single"/>
        </w:rPr>
      </w:pPr>
      <w:r>
        <w:rPr>
          <w:rFonts w:ascii="Arial" w:hAnsi="Arial" w:cs="Arial"/>
          <w:b/>
          <w:bCs/>
          <w:sz w:val="28"/>
          <w:szCs w:val="28"/>
          <w:u w:val="single"/>
        </w:rPr>
        <w:t>REFERENCES</w:t>
      </w:r>
    </w:p>
    <w:p w14:paraId="1203203B" w14:textId="7F67F895" w:rsidR="00154D4B" w:rsidRDefault="00154D4B" w:rsidP="00F25FFB">
      <w:pPr>
        <w:spacing w:line="480" w:lineRule="auto"/>
        <w:jc w:val="both"/>
        <w:rPr>
          <w:rFonts w:ascii="Arial" w:hAnsi="Arial" w:cs="Arial"/>
        </w:rPr>
      </w:pPr>
      <w:r w:rsidRPr="00154D4B">
        <w:rPr>
          <w:rFonts w:ascii="Arial" w:hAnsi="Arial" w:cs="Arial"/>
        </w:rPr>
        <w:t xml:space="preserve">Allen JM, Mailing LJ, </w:t>
      </w:r>
      <w:proofErr w:type="spellStart"/>
      <w:r w:rsidRPr="00154D4B">
        <w:rPr>
          <w:rFonts w:ascii="Arial" w:hAnsi="Arial" w:cs="Arial"/>
        </w:rPr>
        <w:t>Niemiro</w:t>
      </w:r>
      <w:proofErr w:type="spellEnd"/>
      <w:r w:rsidRPr="00154D4B">
        <w:rPr>
          <w:rFonts w:ascii="Arial" w:hAnsi="Arial" w:cs="Arial"/>
        </w:rPr>
        <w:t xml:space="preserve"> GM, Moore R, Cook MD, White BA, Holscher HD, Woods JA. Exercise Alters Gut Microbiota Composition and Function in Lean and Obese Humans. Med Sci Sports </w:t>
      </w:r>
      <w:proofErr w:type="spellStart"/>
      <w:r w:rsidRPr="00154D4B">
        <w:rPr>
          <w:rFonts w:ascii="Arial" w:hAnsi="Arial" w:cs="Arial"/>
        </w:rPr>
        <w:t>Exerc</w:t>
      </w:r>
      <w:proofErr w:type="spellEnd"/>
      <w:r w:rsidRPr="00154D4B">
        <w:rPr>
          <w:rFonts w:ascii="Arial" w:hAnsi="Arial" w:cs="Arial"/>
        </w:rPr>
        <w:t xml:space="preserve">. 2018 Apr;50(4):747-757. </w:t>
      </w:r>
    </w:p>
    <w:p w14:paraId="24BC8FB4" w14:textId="4B660EFE" w:rsidR="00D4075A" w:rsidRPr="00D4075A" w:rsidRDefault="00D4075A" w:rsidP="00F25FFB">
      <w:pPr>
        <w:spacing w:line="480" w:lineRule="auto"/>
        <w:jc w:val="both"/>
        <w:rPr>
          <w:rFonts w:ascii="Arial" w:hAnsi="Arial" w:cs="Arial"/>
        </w:rPr>
      </w:pPr>
      <w:r w:rsidRPr="00D4075A">
        <w:rPr>
          <w:rFonts w:ascii="Arial" w:hAnsi="Arial" w:cs="Arial"/>
        </w:rPr>
        <w:t xml:space="preserve">Brignardello J, </w:t>
      </w:r>
      <w:proofErr w:type="spellStart"/>
      <w:r w:rsidRPr="00D4075A">
        <w:rPr>
          <w:rFonts w:ascii="Arial" w:hAnsi="Arial" w:cs="Arial"/>
        </w:rPr>
        <w:t>Fountana</w:t>
      </w:r>
      <w:proofErr w:type="spellEnd"/>
      <w:r w:rsidRPr="00D4075A">
        <w:rPr>
          <w:rFonts w:ascii="Arial" w:hAnsi="Arial" w:cs="Arial"/>
        </w:rPr>
        <w:t xml:space="preserve"> S, </w:t>
      </w:r>
      <w:proofErr w:type="spellStart"/>
      <w:r w:rsidRPr="00D4075A">
        <w:rPr>
          <w:rFonts w:ascii="Arial" w:hAnsi="Arial" w:cs="Arial"/>
        </w:rPr>
        <w:t>Posma</w:t>
      </w:r>
      <w:proofErr w:type="spellEnd"/>
      <w:r w:rsidRPr="00D4075A">
        <w:rPr>
          <w:rFonts w:ascii="Arial" w:hAnsi="Arial" w:cs="Arial"/>
        </w:rPr>
        <w:t xml:space="preserve"> JM, Chambers ES, Nicholson JK, Wist J, Frost G, Garcia-Perez I, Holmes E. Characterization of diet-dependent temporal changes in circulating short-</w:t>
      </w:r>
      <w:r w:rsidRPr="00D4075A">
        <w:rPr>
          <w:rFonts w:ascii="Arial" w:hAnsi="Arial" w:cs="Arial"/>
        </w:rPr>
        <w:lastRenderedPageBreak/>
        <w:t xml:space="preserve">chain fatty acid concentrations: A randomized crossover dietary trial. Am J Clin </w:t>
      </w:r>
      <w:proofErr w:type="spellStart"/>
      <w:r w:rsidRPr="00D4075A">
        <w:rPr>
          <w:rFonts w:ascii="Arial" w:hAnsi="Arial" w:cs="Arial"/>
        </w:rPr>
        <w:t>Nutr</w:t>
      </w:r>
      <w:proofErr w:type="spellEnd"/>
      <w:r w:rsidRPr="00D4075A">
        <w:rPr>
          <w:rFonts w:ascii="Arial" w:hAnsi="Arial" w:cs="Arial"/>
        </w:rPr>
        <w:t xml:space="preserve">. 2022 Nov;116(5):1368-1378. </w:t>
      </w:r>
    </w:p>
    <w:p w14:paraId="7205F764" w14:textId="52649216" w:rsidR="00F25FFB" w:rsidRDefault="00F25FFB" w:rsidP="00F25FFB">
      <w:pPr>
        <w:spacing w:line="480" w:lineRule="auto"/>
        <w:jc w:val="both"/>
        <w:rPr>
          <w:rFonts w:ascii="Arial" w:hAnsi="Arial" w:cs="Arial"/>
        </w:rPr>
      </w:pPr>
      <w:r w:rsidRPr="005A0D30">
        <w:rPr>
          <w:rFonts w:ascii="Arial" w:hAnsi="Arial" w:cs="Arial"/>
        </w:rPr>
        <w:t xml:space="preserve">Frampton J, Murphy KG, Frost G, Chambers ES. Short-chain fatty acids as potential regulators of skeletal muscle metabolism and function. Nat </w:t>
      </w:r>
      <w:proofErr w:type="spellStart"/>
      <w:r w:rsidRPr="005A0D30">
        <w:rPr>
          <w:rFonts w:ascii="Arial" w:hAnsi="Arial" w:cs="Arial"/>
        </w:rPr>
        <w:t>Metab</w:t>
      </w:r>
      <w:proofErr w:type="spellEnd"/>
      <w:r w:rsidRPr="005A0D30">
        <w:rPr>
          <w:rFonts w:ascii="Arial" w:hAnsi="Arial" w:cs="Arial"/>
        </w:rPr>
        <w:t xml:space="preserve">. 2020 Sep;2(9):840-848. </w:t>
      </w:r>
    </w:p>
    <w:p w14:paraId="655259AB" w14:textId="77777777" w:rsidR="00F25FFB" w:rsidRDefault="00F25FFB" w:rsidP="00F25FFB">
      <w:pPr>
        <w:spacing w:line="480" w:lineRule="auto"/>
        <w:jc w:val="both"/>
        <w:rPr>
          <w:rFonts w:ascii="Arial" w:hAnsi="Arial" w:cs="Arial"/>
        </w:rPr>
      </w:pPr>
      <w:r w:rsidRPr="00E52824">
        <w:rPr>
          <w:rFonts w:ascii="Arial" w:hAnsi="Arial" w:cs="Arial"/>
        </w:rPr>
        <w:t xml:space="preserve">Frampton J, Serrano-Contreras JI, Garcia-Perez I, Franco-Becker G, Penhaligan J, Tan ASY, de Oliveira ACC, Milner AJ, Murphy KG, Frost G, Chambers ES. The metabolic interplay between dietary carbohydrate and exercise and its role in acute appetite regulation in males: a randomized controlled study. J Physiol. 2023 Aug;601(16):3461-3480. </w:t>
      </w:r>
    </w:p>
    <w:p w14:paraId="7E4FE829" w14:textId="77777777" w:rsidR="00F25FFB" w:rsidRDefault="00F25FFB" w:rsidP="00F25FFB">
      <w:pPr>
        <w:spacing w:line="480" w:lineRule="auto"/>
        <w:jc w:val="both"/>
        <w:rPr>
          <w:rFonts w:ascii="Arial" w:hAnsi="Arial" w:cs="Arial"/>
        </w:rPr>
      </w:pPr>
      <w:r w:rsidRPr="0062213C">
        <w:rPr>
          <w:rFonts w:ascii="Arial" w:hAnsi="Arial" w:cs="Arial"/>
        </w:rPr>
        <w:t xml:space="preserve">Jang C, Hui S, Zeng X, Cowan AJ, Wang L, Chen L, Morscher RJ, Reyes J, Frezza C, Hwang HY, Imai A, Saito Y, Okamoto K, </w:t>
      </w:r>
      <w:proofErr w:type="spellStart"/>
      <w:r w:rsidRPr="0062213C">
        <w:rPr>
          <w:rFonts w:ascii="Arial" w:hAnsi="Arial" w:cs="Arial"/>
        </w:rPr>
        <w:t>Vaspoli</w:t>
      </w:r>
      <w:proofErr w:type="spellEnd"/>
      <w:r w:rsidRPr="0062213C">
        <w:rPr>
          <w:rFonts w:ascii="Arial" w:hAnsi="Arial" w:cs="Arial"/>
        </w:rPr>
        <w:t xml:space="preserve"> C, </w:t>
      </w:r>
      <w:proofErr w:type="spellStart"/>
      <w:r w:rsidRPr="0062213C">
        <w:rPr>
          <w:rFonts w:ascii="Arial" w:hAnsi="Arial" w:cs="Arial"/>
        </w:rPr>
        <w:t>Kasprenski</w:t>
      </w:r>
      <w:proofErr w:type="spellEnd"/>
      <w:r w:rsidRPr="0062213C">
        <w:rPr>
          <w:rFonts w:ascii="Arial" w:hAnsi="Arial" w:cs="Arial"/>
        </w:rPr>
        <w:t xml:space="preserve"> L, Zsido GA 2nd, Gorman JH 3rd, Gorman RC, Rabinowitz JD. Metabolite Exchange between Mammalian Organs Quantified in Pigs. Cell </w:t>
      </w:r>
      <w:proofErr w:type="spellStart"/>
      <w:r w:rsidRPr="0062213C">
        <w:rPr>
          <w:rFonts w:ascii="Arial" w:hAnsi="Arial" w:cs="Arial"/>
        </w:rPr>
        <w:t>Metab</w:t>
      </w:r>
      <w:proofErr w:type="spellEnd"/>
      <w:r w:rsidRPr="0062213C">
        <w:rPr>
          <w:rFonts w:ascii="Arial" w:hAnsi="Arial" w:cs="Arial"/>
        </w:rPr>
        <w:t xml:space="preserve">. 2019 Sep 3;30(3):594-606.e3. </w:t>
      </w:r>
    </w:p>
    <w:p w14:paraId="0014C40B" w14:textId="77777777" w:rsidR="00F25FFB" w:rsidRDefault="00F25FFB" w:rsidP="00F25FFB">
      <w:pPr>
        <w:spacing w:line="480" w:lineRule="auto"/>
        <w:jc w:val="both"/>
        <w:rPr>
          <w:rFonts w:ascii="Arial" w:hAnsi="Arial" w:cs="Arial"/>
        </w:rPr>
      </w:pPr>
      <w:r w:rsidRPr="0062213C">
        <w:rPr>
          <w:rFonts w:ascii="Arial" w:hAnsi="Arial" w:cs="Arial"/>
        </w:rPr>
        <w:t xml:space="preserve">Kirschner SK, Ten Have GAM, Engelen MPKJ, Deutz NEP. </w:t>
      </w:r>
      <w:proofErr w:type="spellStart"/>
      <w:r w:rsidRPr="0062213C">
        <w:rPr>
          <w:rFonts w:ascii="Arial" w:hAnsi="Arial" w:cs="Arial"/>
        </w:rPr>
        <w:t>Transorgan</w:t>
      </w:r>
      <w:proofErr w:type="spellEnd"/>
      <w:r w:rsidRPr="0062213C">
        <w:rPr>
          <w:rFonts w:ascii="Arial" w:hAnsi="Arial" w:cs="Arial"/>
        </w:rPr>
        <w:t xml:space="preserve"> short-chain fatty acid fluxes in the fasted and postprandial state in the pig. Am J </w:t>
      </w:r>
      <w:proofErr w:type="spellStart"/>
      <w:r w:rsidRPr="0062213C">
        <w:rPr>
          <w:rFonts w:ascii="Arial" w:hAnsi="Arial" w:cs="Arial"/>
        </w:rPr>
        <w:t>Physiol</w:t>
      </w:r>
      <w:proofErr w:type="spellEnd"/>
      <w:r w:rsidRPr="0062213C">
        <w:rPr>
          <w:rFonts w:ascii="Arial" w:hAnsi="Arial" w:cs="Arial"/>
        </w:rPr>
        <w:t xml:space="preserve"> Endocrinol </w:t>
      </w:r>
      <w:proofErr w:type="spellStart"/>
      <w:r w:rsidRPr="0062213C">
        <w:rPr>
          <w:rFonts w:ascii="Arial" w:hAnsi="Arial" w:cs="Arial"/>
        </w:rPr>
        <w:t>Metab</w:t>
      </w:r>
      <w:proofErr w:type="spellEnd"/>
      <w:r w:rsidRPr="0062213C">
        <w:rPr>
          <w:rFonts w:ascii="Arial" w:hAnsi="Arial" w:cs="Arial"/>
        </w:rPr>
        <w:t>. 2021 Nov 1;321(5</w:t>
      </w:r>
      <w:proofErr w:type="gramStart"/>
      <w:r w:rsidRPr="0062213C">
        <w:rPr>
          <w:rFonts w:ascii="Arial" w:hAnsi="Arial" w:cs="Arial"/>
        </w:rPr>
        <w:t>):E</w:t>
      </w:r>
      <w:proofErr w:type="gramEnd"/>
      <w:r w:rsidRPr="0062213C">
        <w:rPr>
          <w:rFonts w:ascii="Arial" w:hAnsi="Arial" w:cs="Arial"/>
        </w:rPr>
        <w:t xml:space="preserve">665-E673. </w:t>
      </w:r>
    </w:p>
    <w:p w14:paraId="53C54E4D" w14:textId="6B5EF9F8" w:rsidR="00E52824" w:rsidRDefault="00E52824" w:rsidP="00F25FFB">
      <w:pPr>
        <w:spacing w:line="480" w:lineRule="auto"/>
        <w:jc w:val="both"/>
        <w:rPr>
          <w:rFonts w:ascii="Arial" w:hAnsi="Arial" w:cs="Arial"/>
        </w:rPr>
      </w:pPr>
      <w:r w:rsidRPr="00E52824">
        <w:rPr>
          <w:rFonts w:ascii="Arial" w:hAnsi="Arial" w:cs="Arial"/>
        </w:rPr>
        <w:t xml:space="preserve">McCarthy WJ, Ferguson F. Comment on Frampton et al. 2023: Propionate, not acetate, </w:t>
      </w:r>
      <w:proofErr w:type="gramStart"/>
      <w:r w:rsidRPr="00E52824">
        <w:rPr>
          <w:rFonts w:ascii="Arial" w:hAnsi="Arial" w:cs="Arial"/>
        </w:rPr>
        <w:t>lactate</w:t>
      </w:r>
      <w:proofErr w:type="gramEnd"/>
      <w:r w:rsidRPr="00E52824">
        <w:rPr>
          <w:rFonts w:ascii="Arial" w:hAnsi="Arial" w:cs="Arial"/>
        </w:rPr>
        <w:t xml:space="preserve"> or succinate, may explain carbohydrate effects on satiety. J Physiol. 2023 Dec 5. </w:t>
      </w:r>
    </w:p>
    <w:p w14:paraId="2938B8EF" w14:textId="3A76452C" w:rsidR="00F25FFB" w:rsidRDefault="00F25FFB" w:rsidP="00F25FFB">
      <w:pPr>
        <w:spacing w:line="480" w:lineRule="auto"/>
        <w:jc w:val="both"/>
        <w:rPr>
          <w:rFonts w:ascii="Arial" w:hAnsi="Arial" w:cs="Arial"/>
        </w:rPr>
      </w:pPr>
      <w:r w:rsidRPr="0062213C">
        <w:rPr>
          <w:rFonts w:ascii="Arial" w:hAnsi="Arial" w:cs="Arial"/>
        </w:rPr>
        <w:t xml:space="preserve">Müller M, Hernández MAG, Goossens GH, Reijnders D, Holst JJ, </w:t>
      </w:r>
      <w:proofErr w:type="spellStart"/>
      <w:r w:rsidRPr="0062213C">
        <w:rPr>
          <w:rFonts w:ascii="Arial" w:hAnsi="Arial" w:cs="Arial"/>
        </w:rPr>
        <w:t>Jocken</w:t>
      </w:r>
      <w:proofErr w:type="spellEnd"/>
      <w:r w:rsidRPr="0062213C">
        <w:rPr>
          <w:rFonts w:ascii="Arial" w:hAnsi="Arial" w:cs="Arial"/>
        </w:rPr>
        <w:t xml:space="preserve"> JWE, van </w:t>
      </w:r>
      <w:proofErr w:type="spellStart"/>
      <w:r w:rsidRPr="0062213C">
        <w:rPr>
          <w:rFonts w:ascii="Arial" w:hAnsi="Arial" w:cs="Arial"/>
        </w:rPr>
        <w:t>Eijk</w:t>
      </w:r>
      <w:proofErr w:type="spellEnd"/>
      <w:r w:rsidRPr="0062213C">
        <w:rPr>
          <w:rFonts w:ascii="Arial" w:hAnsi="Arial" w:cs="Arial"/>
        </w:rPr>
        <w:t xml:space="preserve"> H, Canfora EE, Blaak EE. Circulating but not faecal short-chain fatty acids are related to insulin sensitivity, </w:t>
      </w:r>
      <w:proofErr w:type="gramStart"/>
      <w:r w:rsidRPr="0062213C">
        <w:rPr>
          <w:rFonts w:ascii="Arial" w:hAnsi="Arial" w:cs="Arial"/>
        </w:rPr>
        <w:t>lipolysis</w:t>
      </w:r>
      <w:proofErr w:type="gramEnd"/>
      <w:r w:rsidRPr="0062213C">
        <w:rPr>
          <w:rFonts w:ascii="Arial" w:hAnsi="Arial" w:cs="Arial"/>
        </w:rPr>
        <w:t xml:space="preserve"> and GLP-1 concentrations in humans. Sci Rep. 2019 Aug 29;9(1):12515. </w:t>
      </w:r>
    </w:p>
    <w:p w14:paraId="2196F82E" w14:textId="77777777" w:rsidR="00F25FFB" w:rsidRDefault="00F25FFB" w:rsidP="00F25FFB">
      <w:pPr>
        <w:spacing w:line="480" w:lineRule="auto"/>
        <w:jc w:val="both"/>
        <w:rPr>
          <w:rFonts w:ascii="Arial" w:hAnsi="Arial" w:cs="Arial"/>
        </w:rPr>
      </w:pPr>
      <w:r w:rsidRPr="00993197">
        <w:rPr>
          <w:rFonts w:ascii="Arial" w:hAnsi="Arial" w:cs="Arial"/>
        </w:rPr>
        <w:t xml:space="preserve">Reddy A, </w:t>
      </w:r>
      <w:proofErr w:type="spellStart"/>
      <w:r w:rsidRPr="00993197">
        <w:rPr>
          <w:rFonts w:ascii="Arial" w:hAnsi="Arial" w:cs="Arial"/>
        </w:rPr>
        <w:t>Bozi</w:t>
      </w:r>
      <w:proofErr w:type="spellEnd"/>
      <w:r w:rsidRPr="00993197">
        <w:rPr>
          <w:rFonts w:ascii="Arial" w:hAnsi="Arial" w:cs="Arial"/>
        </w:rPr>
        <w:t xml:space="preserve"> LHM, Yaghi OK, Mills EL, Xiao H, Nicholson HE, </w:t>
      </w:r>
      <w:proofErr w:type="spellStart"/>
      <w:r w:rsidRPr="00993197">
        <w:rPr>
          <w:rFonts w:ascii="Arial" w:hAnsi="Arial" w:cs="Arial"/>
        </w:rPr>
        <w:t>Paschini</w:t>
      </w:r>
      <w:proofErr w:type="spellEnd"/>
      <w:r w:rsidRPr="00993197">
        <w:rPr>
          <w:rFonts w:ascii="Arial" w:hAnsi="Arial" w:cs="Arial"/>
        </w:rPr>
        <w:t xml:space="preserve"> M, Paulo JA, Garrity R, Laznik-Bogoslavski D, Ferreira JCB, Carl CS, Sjøberg KA, </w:t>
      </w:r>
      <w:proofErr w:type="spellStart"/>
      <w:r w:rsidRPr="00993197">
        <w:rPr>
          <w:rFonts w:ascii="Arial" w:hAnsi="Arial" w:cs="Arial"/>
        </w:rPr>
        <w:t>Wojtaszewski</w:t>
      </w:r>
      <w:proofErr w:type="spellEnd"/>
      <w:r w:rsidRPr="00993197">
        <w:rPr>
          <w:rFonts w:ascii="Arial" w:hAnsi="Arial" w:cs="Arial"/>
        </w:rPr>
        <w:t xml:space="preserve"> JFP, Jeppesen JF, Kiens B, Gygi SP, Richter EA, Mathis D, </w:t>
      </w:r>
      <w:proofErr w:type="spellStart"/>
      <w:r w:rsidRPr="00993197">
        <w:rPr>
          <w:rFonts w:ascii="Arial" w:hAnsi="Arial" w:cs="Arial"/>
        </w:rPr>
        <w:t>Chouchani</w:t>
      </w:r>
      <w:proofErr w:type="spellEnd"/>
      <w:r w:rsidRPr="00993197">
        <w:rPr>
          <w:rFonts w:ascii="Arial" w:hAnsi="Arial" w:cs="Arial"/>
        </w:rPr>
        <w:t xml:space="preserve"> ET. pH-Gated Succinate Secretion Regulates Muscle </w:t>
      </w:r>
      <w:proofErr w:type="spellStart"/>
      <w:r w:rsidRPr="00993197">
        <w:rPr>
          <w:rFonts w:ascii="Arial" w:hAnsi="Arial" w:cs="Arial"/>
        </w:rPr>
        <w:t>Remodeling</w:t>
      </w:r>
      <w:proofErr w:type="spellEnd"/>
      <w:r w:rsidRPr="00993197">
        <w:rPr>
          <w:rFonts w:ascii="Arial" w:hAnsi="Arial" w:cs="Arial"/>
        </w:rPr>
        <w:t xml:space="preserve"> in Response to Exercise. Cell. 2020 Oct 1;183(1):62-</w:t>
      </w:r>
      <w:proofErr w:type="gramStart"/>
      <w:r w:rsidRPr="00993197">
        <w:rPr>
          <w:rFonts w:ascii="Arial" w:hAnsi="Arial" w:cs="Arial"/>
        </w:rPr>
        <w:t>75.e</w:t>
      </w:r>
      <w:proofErr w:type="gramEnd"/>
      <w:r w:rsidRPr="00993197">
        <w:rPr>
          <w:rFonts w:ascii="Arial" w:hAnsi="Arial" w:cs="Arial"/>
        </w:rPr>
        <w:t xml:space="preserve">17. </w:t>
      </w:r>
    </w:p>
    <w:p w14:paraId="7A371D18" w14:textId="77777777" w:rsidR="00F25FFB" w:rsidRDefault="00F25FFB" w:rsidP="00F25FFB">
      <w:pPr>
        <w:spacing w:line="480" w:lineRule="auto"/>
        <w:jc w:val="both"/>
        <w:rPr>
          <w:rFonts w:ascii="Arial" w:hAnsi="Arial" w:cs="Arial"/>
        </w:rPr>
      </w:pPr>
      <w:r w:rsidRPr="0062213C">
        <w:rPr>
          <w:rFonts w:ascii="Arial" w:hAnsi="Arial" w:cs="Arial"/>
        </w:rPr>
        <w:lastRenderedPageBreak/>
        <w:t xml:space="preserve">Reimann F, Gribble FM. Mechanisms underlying glucose-dependent insulinotropic polypeptide and glucagon-like peptide-1 secretion. J Diabetes </w:t>
      </w:r>
      <w:proofErr w:type="spellStart"/>
      <w:r w:rsidRPr="0062213C">
        <w:rPr>
          <w:rFonts w:ascii="Arial" w:hAnsi="Arial" w:cs="Arial"/>
        </w:rPr>
        <w:t>Investig</w:t>
      </w:r>
      <w:proofErr w:type="spellEnd"/>
      <w:r w:rsidRPr="0062213C">
        <w:rPr>
          <w:rFonts w:ascii="Arial" w:hAnsi="Arial" w:cs="Arial"/>
        </w:rPr>
        <w:t xml:space="preserve">. 2016 Apr;7 </w:t>
      </w:r>
      <w:proofErr w:type="spellStart"/>
      <w:r w:rsidRPr="0062213C">
        <w:rPr>
          <w:rFonts w:ascii="Arial" w:hAnsi="Arial" w:cs="Arial"/>
        </w:rPr>
        <w:t>Suppl</w:t>
      </w:r>
      <w:proofErr w:type="spellEnd"/>
      <w:r w:rsidRPr="0062213C">
        <w:rPr>
          <w:rFonts w:ascii="Arial" w:hAnsi="Arial" w:cs="Arial"/>
        </w:rPr>
        <w:t xml:space="preserve"> 1(</w:t>
      </w:r>
      <w:proofErr w:type="spellStart"/>
      <w:r w:rsidRPr="0062213C">
        <w:rPr>
          <w:rFonts w:ascii="Arial" w:hAnsi="Arial" w:cs="Arial"/>
        </w:rPr>
        <w:t>Suppl</w:t>
      </w:r>
      <w:proofErr w:type="spellEnd"/>
      <w:r w:rsidRPr="0062213C">
        <w:rPr>
          <w:rFonts w:ascii="Arial" w:hAnsi="Arial" w:cs="Arial"/>
        </w:rPr>
        <w:t xml:space="preserve"> 1):13-9. </w:t>
      </w:r>
    </w:p>
    <w:p w14:paraId="7462424B" w14:textId="77777777" w:rsidR="00F25FFB" w:rsidRDefault="00F25FFB" w:rsidP="00F25FFB">
      <w:pPr>
        <w:spacing w:line="480" w:lineRule="auto"/>
        <w:jc w:val="both"/>
        <w:rPr>
          <w:rFonts w:ascii="Arial" w:hAnsi="Arial" w:cs="Arial"/>
        </w:rPr>
      </w:pPr>
      <w:r w:rsidRPr="006C3169">
        <w:rPr>
          <w:rFonts w:ascii="Arial" w:hAnsi="Arial" w:cs="Arial"/>
        </w:rPr>
        <w:t xml:space="preserve">Shalon D, Culver RN, </w:t>
      </w:r>
      <w:proofErr w:type="spellStart"/>
      <w:r w:rsidRPr="006C3169">
        <w:rPr>
          <w:rFonts w:ascii="Arial" w:hAnsi="Arial" w:cs="Arial"/>
        </w:rPr>
        <w:t>Grembi</w:t>
      </w:r>
      <w:proofErr w:type="spellEnd"/>
      <w:r w:rsidRPr="006C3169">
        <w:rPr>
          <w:rFonts w:ascii="Arial" w:hAnsi="Arial" w:cs="Arial"/>
        </w:rPr>
        <w:t xml:space="preserve"> JA, Folz J, </w:t>
      </w:r>
      <w:proofErr w:type="spellStart"/>
      <w:r w:rsidRPr="006C3169">
        <w:rPr>
          <w:rFonts w:ascii="Arial" w:hAnsi="Arial" w:cs="Arial"/>
        </w:rPr>
        <w:t>Treit</w:t>
      </w:r>
      <w:proofErr w:type="spellEnd"/>
      <w:r w:rsidRPr="006C3169">
        <w:rPr>
          <w:rFonts w:ascii="Arial" w:hAnsi="Arial" w:cs="Arial"/>
        </w:rPr>
        <w:t xml:space="preserve"> PV, Shi H, Rosenberger FA, Dethlefsen L, Meng X, Yaffe E, Aranda-Díaz A, Geyer PE, Mueller-Reif JB, Spencer S, Patterson AD, </w:t>
      </w:r>
      <w:proofErr w:type="spellStart"/>
      <w:r w:rsidRPr="006C3169">
        <w:rPr>
          <w:rFonts w:ascii="Arial" w:hAnsi="Arial" w:cs="Arial"/>
        </w:rPr>
        <w:t>Triadafilopoulos</w:t>
      </w:r>
      <w:proofErr w:type="spellEnd"/>
      <w:r w:rsidRPr="006C3169">
        <w:rPr>
          <w:rFonts w:ascii="Arial" w:hAnsi="Arial" w:cs="Arial"/>
        </w:rPr>
        <w:t xml:space="preserve"> G, Holmes SP, Mann M, Fiehn O, </w:t>
      </w:r>
      <w:proofErr w:type="spellStart"/>
      <w:r w:rsidRPr="006C3169">
        <w:rPr>
          <w:rFonts w:ascii="Arial" w:hAnsi="Arial" w:cs="Arial"/>
        </w:rPr>
        <w:t>Relman</w:t>
      </w:r>
      <w:proofErr w:type="spellEnd"/>
      <w:r w:rsidRPr="006C3169">
        <w:rPr>
          <w:rFonts w:ascii="Arial" w:hAnsi="Arial" w:cs="Arial"/>
        </w:rPr>
        <w:t xml:space="preserve"> DA, Huang KC. Profiling the human intestinal environment under physiological conditions. Nature. 2023 May;617(7961):581-591. </w:t>
      </w:r>
    </w:p>
    <w:p w14:paraId="13A3D63A" w14:textId="77777777" w:rsidR="00F25FFB" w:rsidRDefault="00F25FFB" w:rsidP="00F25FFB">
      <w:pPr>
        <w:spacing w:line="480" w:lineRule="auto"/>
        <w:jc w:val="both"/>
        <w:rPr>
          <w:rFonts w:ascii="Arial" w:hAnsi="Arial" w:cs="Arial"/>
        </w:rPr>
      </w:pPr>
      <w:r w:rsidRPr="0062213C">
        <w:rPr>
          <w:rFonts w:ascii="Arial" w:hAnsi="Arial" w:cs="Arial"/>
        </w:rPr>
        <w:t xml:space="preserve">Tough IR, Forbes S, Cox HM. </w:t>
      </w:r>
      <w:proofErr w:type="spellStart"/>
      <w:r w:rsidRPr="0062213C">
        <w:rPr>
          <w:rFonts w:ascii="Arial" w:hAnsi="Arial" w:cs="Arial"/>
        </w:rPr>
        <w:t>Signaling</w:t>
      </w:r>
      <w:proofErr w:type="spellEnd"/>
      <w:r w:rsidRPr="0062213C">
        <w:rPr>
          <w:rFonts w:ascii="Arial" w:hAnsi="Arial" w:cs="Arial"/>
        </w:rPr>
        <w:t xml:space="preserve"> of free fatty acid receptors 2 and 3 differs in colonic mucosa following selective agonism or </w:t>
      </w:r>
      <w:proofErr w:type="spellStart"/>
      <w:r w:rsidRPr="0062213C">
        <w:rPr>
          <w:rFonts w:ascii="Arial" w:hAnsi="Arial" w:cs="Arial"/>
        </w:rPr>
        <w:t>coagonism</w:t>
      </w:r>
      <w:proofErr w:type="spellEnd"/>
      <w:r w:rsidRPr="0062213C">
        <w:rPr>
          <w:rFonts w:ascii="Arial" w:hAnsi="Arial" w:cs="Arial"/>
        </w:rPr>
        <w:t xml:space="preserve"> by luminal propionate. </w:t>
      </w:r>
      <w:proofErr w:type="spellStart"/>
      <w:r w:rsidRPr="0062213C">
        <w:rPr>
          <w:rFonts w:ascii="Arial" w:hAnsi="Arial" w:cs="Arial"/>
        </w:rPr>
        <w:t>Neurogastroenterol</w:t>
      </w:r>
      <w:proofErr w:type="spellEnd"/>
      <w:r w:rsidRPr="0062213C">
        <w:rPr>
          <w:rFonts w:ascii="Arial" w:hAnsi="Arial" w:cs="Arial"/>
        </w:rPr>
        <w:t xml:space="preserve"> Motil. 2018 Dec;30(12</w:t>
      </w:r>
      <w:proofErr w:type="gramStart"/>
      <w:r w:rsidRPr="0062213C">
        <w:rPr>
          <w:rFonts w:ascii="Arial" w:hAnsi="Arial" w:cs="Arial"/>
        </w:rPr>
        <w:t>):e</w:t>
      </w:r>
      <w:proofErr w:type="gramEnd"/>
      <w:r w:rsidRPr="0062213C">
        <w:rPr>
          <w:rFonts w:ascii="Arial" w:hAnsi="Arial" w:cs="Arial"/>
        </w:rPr>
        <w:t xml:space="preserve">13454. </w:t>
      </w:r>
    </w:p>
    <w:p w14:paraId="2C4C0EF4" w14:textId="427E4048" w:rsidR="00993197" w:rsidRDefault="00993197" w:rsidP="00F25FFB">
      <w:pPr>
        <w:spacing w:line="480" w:lineRule="auto"/>
        <w:jc w:val="both"/>
        <w:rPr>
          <w:rFonts w:ascii="Arial" w:hAnsi="Arial" w:cs="Arial"/>
        </w:rPr>
      </w:pPr>
      <w:r w:rsidRPr="00993197">
        <w:rPr>
          <w:rFonts w:ascii="Arial" w:hAnsi="Arial" w:cs="Arial"/>
        </w:rPr>
        <w:t xml:space="preserve">van Hall G, Sacchetti M, </w:t>
      </w:r>
      <w:proofErr w:type="spellStart"/>
      <w:r w:rsidRPr="00993197">
        <w:rPr>
          <w:rFonts w:ascii="Arial" w:hAnsi="Arial" w:cs="Arial"/>
        </w:rPr>
        <w:t>Rådegran</w:t>
      </w:r>
      <w:proofErr w:type="spellEnd"/>
      <w:r w:rsidRPr="00993197">
        <w:rPr>
          <w:rFonts w:ascii="Arial" w:hAnsi="Arial" w:cs="Arial"/>
        </w:rPr>
        <w:t xml:space="preserve"> G. Whole </w:t>
      </w:r>
      <w:proofErr w:type="gramStart"/>
      <w:r w:rsidRPr="00993197">
        <w:rPr>
          <w:rFonts w:ascii="Arial" w:hAnsi="Arial" w:cs="Arial"/>
        </w:rPr>
        <w:t>body</w:t>
      </w:r>
      <w:proofErr w:type="gramEnd"/>
      <w:r w:rsidRPr="00993197">
        <w:rPr>
          <w:rFonts w:ascii="Arial" w:hAnsi="Arial" w:cs="Arial"/>
        </w:rPr>
        <w:t xml:space="preserve"> and leg acetate kinetics at rest, during exercise and recovery in humans. J Physiol. 2002 Jul 1;542(Pt 1):263-72. </w:t>
      </w:r>
    </w:p>
    <w:p w14:paraId="471D0925" w14:textId="06B4BBE8" w:rsidR="005A10C7" w:rsidRDefault="006C3169" w:rsidP="00F25FFB">
      <w:pPr>
        <w:spacing w:line="480" w:lineRule="auto"/>
        <w:jc w:val="both"/>
        <w:rPr>
          <w:rFonts w:ascii="Arial" w:hAnsi="Arial" w:cs="Arial"/>
        </w:rPr>
      </w:pPr>
      <w:r w:rsidRPr="006C3169">
        <w:rPr>
          <w:rFonts w:ascii="Arial" w:hAnsi="Arial" w:cs="Arial"/>
        </w:rPr>
        <w:t xml:space="preserve">Ph van </w:t>
      </w:r>
      <w:proofErr w:type="spellStart"/>
      <w:r w:rsidRPr="006C3169">
        <w:rPr>
          <w:rFonts w:ascii="Arial" w:hAnsi="Arial" w:cs="Arial"/>
        </w:rPr>
        <w:t>Trijp</w:t>
      </w:r>
      <w:proofErr w:type="spellEnd"/>
      <w:r w:rsidRPr="006C3169">
        <w:rPr>
          <w:rFonts w:ascii="Arial" w:hAnsi="Arial" w:cs="Arial"/>
        </w:rPr>
        <w:t xml:space="preserve"> M, Wilms E, Ríos-Morales M, </w:t>
      </w:r>
      <w:proofErr w:type="spellStart"/>
      <w:r w:rsidRPr="006C3169">
        <w:rPr>
          <w:rFonts w:ascii="Arial" w:hAnsi="Arial" w:cs="Arial"/>
        </w:rPr>
        <w:t>Masclee</w:t>
      </w:r>
      <w:proofErr w:type="spellEnd"/>
      <w:r w:rsidRPr="006C3169">
        <w:rPr>
          <w:rFonts w:ascii="Arial" w:hAnsi="Arial" w:cs="Arial"/>
        </w:rPr>
        <w:t xml:space="preserve"> AA, Brummer RJ, Witteman BJ, Troost FJ, Hooiveld GJ. Using </w:t>
      </w:r>
      <w:proofErr w:type="spellStart"/>
      <w:r w:rsidRPr="006C3169">
        <w:rPr>
          <w:rFonts w:ascii="Arial" w:hAnsi="Arial" w:cs="Arial"/>
        </w:rPr>
        <w:t>naso</w:t>
      </w:r>
      <w:proofErr w:type="spellEnd"/>
      <w:r w:rsidRPr="006C3169">
        <w:rPr>
          <w:rFonts w:ascii="Arial" w:hAnsi="Arial" w:cs="Arial"/>
        </w:rPr>
        <w:t xml:space="preserve">- and </w:t>
      </w:r>
      <w:proofErr w:type="spellStart"/>
      <w:r w:rsidRPr="006C3169">
        <w:rPr>
          <w:rFonts w:ascii="Arial" w:hAnsi="Arial" w:cs="Arial"/>
        </w:rPr>
        <w:t>oro</w:t>
      </w:r>
      <w:proofErr w:type="spellEnd"/>
      <w:r w:rsidRPr="006C3169">
        <w:rPr>
          <w:rFonts w:ascii="Arial" w:hAnsi="Arial" w:cs="Arial"/>
        </w:rPr>
        <w:t xml:space="preserve">-intestinal catheters in physiological research for intestinal delivery and sampling in vivo: practical and technical aspects to be considered. Am J Clin </w:t>
      </w:r>
      <w:proofErr w:type="spellStart"/>
      <w:r w:rsidRPr="006C3169">
        <w:rPr>
          <w:rFonts w:ascii="Arial" w:hAnsi="Arial" w:cs="Arial"/>
        </w:rPr>
        <w:t>Nutr</w:t>
      </w:r>
      <w:proofErr w:type="spellEnd"/>
      <w:r w:rsidRPr="006C3169">
        <w:rPr>
          <w:rFonts w:ascii="Arial" w:hAnsi="Arial" w:cs="Arial"/>
        </w:rPr>
        <w:t xml:space="preserve">. 2021 Sep 1;114(3):843-861. </w:t>
      </w:r>
    </w:p>
    <w:p w14:paraId="34D55E89" w14:textId="6146CEB6" w:rsidR="00725628" w:rsidRDefault="00725628" w:rsidP="00F25FFB">
      <w:pPr>
        <w:spacing w:line="480" w:lineRule="auto"/>
        <w:jc w:val="both"/>
        <w:rPr>
          <w:rFonts w:ascii="Arial" w:hAnsi="Arial" w:cs="Arial"/>
        </w:rPr>
      </w:pPr>
      <w:r w:rsidRPr="00725628">
        <w:rPr>
          <w:rFonts w:ascii="Arial" w:hAnsi="Arial" w:cs="Arial"/>
        </w:rPr>
        <w:t xml:space="preserve">Wishart DS, Tzur D, Knox C, Eisner R, Guo AC, Young N, Cheng D, Jewell K, Arndt D, Sawhney S, Fung C, Nikolai L, Lewis M, </w:t>
      </w:r>
      <w:proofErr w:type="spellStart"/>
      <w:r w:rsidRPr="00725628">
        <w:rPr>
          <w:rFonts w:ascii="Arial" w:hAnsi="Arial" w:cs="Arial"/>
        </w:rPr>
        <w:t>Coutouly</w:t>
      </w:r>
      <w:proofErr w:type="spellEnd"/>
      <w:r w:rsidRPr="00725628">
        <w:rPr>
          <w:rFonts w:ascii="Arial" w:hAnsi="Arial" w:cs="Arial"/>
        </w:rPr>
        <w:t xml:space="preserve"> MA, Forsythe I, Tang P, Shrivastava S, </w:t>
      </w:r>
      <w:proofErr w:type="spellStart"/>
      <w:r w:rsidRPr="00725628">
        <w:rPr>
          <w:rFonts w:ascii="Arial" w:hAnsi="Arial" w:cs="Arial"/>
        </w:rPr>
        <w:t>Jeroncic</w:t>
      </w:r>
      <w:proofErr w:type="spellEnd"/>
      <w:r w:rsidRPr="00725628">
        <w:rPr>
          <w:rFonts w:ascii="Arial" w:hAnsi="Arial" w:cs="Arial"/>
        </w:rPr>
        <w:t xml:space="preserve"> K, Stothard P, </w:t>
      </w:r>
      <w:proofErr w:type="spellStart"/>
      <w:r w:rsidRPr="00725628">
        <w:rPr>
          <w:rFonts w:ascii="Arial" w:hAnsi="Arial" w:cs="Arial"/>
        </w:rPr>
        <w:t>Amegbey</w:t>
      </w:r>
      <w:proofErr w:type="spellEnd"/>
      <w:r w:rsidRPr="00725628">
        <w:rPr>
          <w:rFonts w:ascii="Arial" w:hAnsi="Arial" w:cs="Arial"/>
        </w:rPr>
        <w:t xml:space="preserve"> G, Block D, Hau DD, Wagner J, Miniaci J, Clements M, Gebremedhin M, Guo N, Zhang Y, Duggan GE, Macinnis GD, </w:t>
      </w:r>
      <w:proofErr w:type="spellStart"/>
      <w:r w:rsidRPr="00725628">
        <w:rPr>
          <w:rFonts w:ascii="Arial" w:hAnsi="Arial" w:cs="Arial"/>
        </w:rPr>
        <w:t>Weljie</w:t>
      </w:r>
      <w:proofErr w:type="spellEnd"/>
      <w:r w:rsidRPr="00725628">
        <w:rPr>
          <w:rFonts w:ascii="Arial" w:hAnsi="Arial" w:cs="Arial"/>
        </w:rPr>
        <w:t xml:space="preserve"> AM, </w:t>
      </w:r>
      <w:proofErr w:type="spellStart"/>
      <w:r w:rsidRPr="00725628">
        <w:rPr>
          <w:rFonts w:ascii="Arial" w:hAnsi="Arial" w:cs="Arial"/>
        </w:rPr>
        <w:t>Dowlatabadi</w:t>
      </w:r>
      <w:proofErr w:type="spellEnd"/>
      <w:r w:rsidRPr="00725628">
        <w:rPr>
          <w:rFonts w:ascii="Arial" w:hAnsi="Arial" w:cs="Arial"/>
        </w:rPr>
        <w:t xml:space="preserve"> R, Bamforth F, Clive D, Greiner R, Li L, Marrie T, Sykes BD, Vogel HJ, Querengesser L. HMDB: the Human Metabolome Database. Nucleic Acids Res. 2007 Jan;35(Database issue</w:t>
      </w:r>
      <w:proofErr w:type="gramStart"/>
      <w:r w:rsidRPr="00725628">
        <w:rPr>
          <w:rFonts w:ascii="Arial" w:hAnsi="Arial" w:cs="Arial"/>
        </w:rPr>
        <w:t>):D</w:t>
      </w:r>
      <w:proofErr w:type="gramEnd"/>
      <w:r w:rsidRPr="00725628">
        <w:rPr>
          <w:rFonts w:ascii="Arial" w:hAnsi="Arial" w:cs="Arial"/>
        </w:rPr>
        <w:t xml:space="preserve">521-6. </w:t>
      </w:r>
    </w:p>
    <w:p w14:paraId="3BE8AA97" w14:textId="77777777" w:rsidR="005A10C7" w:rsidRDefault="005A10C7" w:rsidP="005A10C7">
      <w:pPr>
        <w:spacing w:line="480" w:lineRule="auto"/>
        <w:jc w:val="both"/>
        <w:rPr>
          <w:rFonts w:ascii="Arial" w:eastAsia="Calibri" w:hAnsi="Arial" w:cs="Arial"/>
          <w:b/>
          <w:bCs/>
          <w:sz w:val="28"/>
          <w:szCs w:val="28"/>
          <w:u w:val="single"/>
        </w:rPr>
      </w:pPr>
    </w:p>
    <w:p w14:paraId="2944C0CD" w14:textId="77777777" w:rsidR="00725628" w:rsidRDefault="00725628" w:rsidP="005A10C7">
      <w:pPr>
        <w:spacing w:line="480" w:lineRule="auto"/>
        <w:jc w:val="both"/>
        <w:rPr>
          <w:rFonts w:ascii="Arial" w:eastAsia="Calibri" w:hAnsi="Arial" w:cs="Arial"/>
          <w:b/>
          <w:bCs/>
          <w:sz w:val="28"/>
          <w:szCs w:val="28"/>
          <w:u w:val="single"/>
        </w:rPr>
      </w:pPr>
    </w:p>
    <w:p w14:paraId="7D63B3F3" w14:textId="743ED380" w:rsidR="005A10C7" w:rsidRDefault="005A10C7" w:rsidP="005A10C7">
      <w:pPr>
        <w:spacing w:line="480" w:lineRule="auto"/>
        <w:jc w:val="both"/>
        <w:rPr>
          <w:rFonts w:ascii="Arial" w:eastAsia="Calibri" w:hAnsi="Arial" w:cs="Arial"/>
          <w:b/>
          <w:bCs/>
          <w:sz w:val="28"/>
          <w:szCs w:val="28"/>
          <w:u w:val="single"/>
        </w:rPr>
      </w:pPr>
      <w:r>
        <w:rPr>
          <w:rFonts w:ascii="Arial" w:eastAsia="Calibri" w:hAnsi="Arial" w:cs="Arial"/>
          <w:b/>
          <w:bCs/>
          <w:sz w:val="28"/>
          <w:szCs w:val="28"/>
          <w:u w:val="single"/>
        </w:rPr>
        <w:lastRenderedPageBreak/>
        <w:t>COMPETING INTERESTS</w:t>
      </w:r>
    </w:p>
    <w:p w14:paraId="2B25B2A4" w14:textId="715C4F86" w:rsidR="005A10C7" w:rsidRPr="00827545" w:rsidRDefault="005A10C7" w:rsidP="005A10C7">
      <w:pPr>
        <w:spacing w:line="480" w:lineRule="auto"/>
        <w:jc w:val="both"/>
        <w:rPr>
          <w:rFonts w:ascii="Arial" w:eastAsia="Calibri" w:hAnsi="Arial" w:cs="Arial"/>
        </w:rPr>
      </w:pPr>
      <w:r w:rsidRPr="00827545">
        <w:rPr>
          <w:rFonts w:ascii="Arial" w:eastAsia="Calibri" w:hAnsi="Arial" w:cs="Arial"/>
        </w:rPr>
        <w:t>The authors declare no conflict of interest.</w:t>
      </w:r>
    </w:p>
    <w:p w14:paraId="76177684" w14:textId="77777777" w:rsidR="005A10C7" w:rsidRPr="00827545" w:rsidRDefault="005A10C7" w:rsidP="005A10C7">
      <w:pPr>
        <w:spacing w:line="480" w:lineRule="auto"/>
        <w:jc w:val="both"/>
        <w:rPr>
          <w:rFonts w:ascii="Arial" w:eastAsia="Calibri" w:hAnsi="Arial" w:cs="Arial"/>
          <w:b/>
          <w:bCs/>
          <w:sz w:val="28"/>
          <w:szCs w:val="28"/>
          <w:u w:val="single"/>
        </w:rPr>
      </w:pPr>
      <w:r w:rsidRPr="00827545">
        <w:rPr>
          <w:rFonts w:ascii="Arial" w:eastAsia="Calibri" w:hAnsi="Arial" w:cs="Arial"/>
          <w:b/>
          <w:bCs/>
          <w:sz w:val="28"/>
          <w:szCs w:val="28"/>
          <w:u w:val="single"/>
        </w:rPr>
        <w:t>A</w:t>
      </w:r>
      <w:r w:rsidRPr="008A51B3">
        <w:rPr>
          <w:rFonts w:ascii="Arial" w:eastAsia="Calibri" w:hAnsi="Arial" w:cs="Arial"/>
          <w:b/>
          <w:bCs/>
          <w:sz w:val="28"/>
          <w:szCs w:val="28"/>
          <w:u w:val="single"/>
        </w:rPr>
        <w:t>UTHOR CONTRIBUTIONS</w:t>
      </w:r>
    </w:p>
    <w:p w14:paraId="7D2A9BE3" w14:textId="77777777" w:rsidR="005A10C7" w:rsidRDefault="005A10C7" w:rsidP="005A10C7">
      <w:pPr>
        <w:spacing w:line="480" w:lineRule="auto"/>
        <w:jc w:val="both"/>
        <w:rPr>
          <w:rFonts w:ascii="Arial" w:eastAsia="Calibri" w:hAnsi="Arial" w:cs="Arial"/>
        </w:rPr>
      </w:pPr>
      <w:r w:rsidRPr="00827545">
        <w:rPr>
          <w:rFonts w:ascii="Arial" w:eastAsia="Calibri" w:hAnsi="Arial" w:cs="Arial"/>
        </w:rPr>
        <w:t xml:space="preserve">E.S.C </w:t>
      </w:r>
      <w:r>
        <w:rPr>
          <w:rFonts w:ascii="Arial" w:eastAsia="Calibri" w:hAnsi="Arial" w:cs="Arial"/>
        </w:rPr>
        <w:t xml:space="preserve">and K.G.M </w:t>
      </w:r>
      <w:r w:rsidRPr="00827545">
        <w:rPr>
          <w:rFonts w:ascii="Arial" w:eastAsia="Calibri" w:hAnsi="Arial" w:cs="Arial"/>
        </w:rPr>
        <w:t>conceived and designed the study. J.F</w:t>
      </w:r>
      <w:r>
        <w:rPr>
          <w:rFonts w:ascii="Arial" w:eastAsia="Calibri" w:hAnsi="Arial" w:cs="Arial"/>
        </w:rPr>
        <w:t xml:space="preserve">, J.P, and A.S.Y.T conducted the study. J.F, J.I.S.C, I.G.P, G.F.B, J.P, A.S.Y.T, A.C.C.O, A.M, and E.S.C performed sample analysis. J.F. and J.I.S.C performed statistical analysis. J.F and E.S.C wrote the first draft of the manuscript, which was critically revised by J.I.S.C, I.G.P, G.F.B, J.P, A.S.Y.T, A.C.C.O, A.M, K.G.M, and G.F. </w:t>
      </w:r>
      <w:r w:rsidRPr="00827545">
        <w:rPr>
          <w:rFonts w:ascii="Arial" w:eastAsia="Calibri" w:hAnsi="Arial" w:cs="Arial"/>
        </w:rPr>
        <w:t>All authors read and approved the final manuscript.</w:t>
      </w:r>
    </w:p>
    <w:p w14:paraId="5E403DDC" w14:textId="77777777" w:rsidR="005A10C7" w:rsidRPr="009E7E01" w:rsidRDefault="005A10C7" w:rsidP="005A10C7">
      <w:pPr>
        <w:spacing w:line="480" w:lineRule="auto"/>
        <w:jc w:val="both"/>
        <w:rPr>
          <w:rFonts w:ascii="Arial" w:eastAsia="Calibri" w:hAnsi="Arial" w:cs="Arial"/>
          <w:b/>
          <w:bCs/>
          <w:sz w:val="28"/>
          <w:szCs w:val="28"/>
          <w:u w:val="single"/>
        </w:rPr>
      </w:pPr>
      <w:r w:rsidRPr="00827545">
        <w:rPr>
          <w:rFonts w:ascii="Arial" w:eastAsia="Calibri" w:hAnsi="Arial" w:cs="Arial"/>
          <w:b/>
          <w:bCs/>
          <w:sz w:val="28"/>
          <w:szCs w:val="28"/>
          <w:u w:val="single"/>
        </w:rPr>
        <w:t>A</w:t>
      </w:r>
      <w:r w:rsidRPr="009E7E01">
        <w:rPr>
          <w:rFonts w:ascii="Arial" w:eastAsia="Calibri" w:hAnsi="Arial" w:cs="Arial"/>
          <w:b/>
          <w:bCs/>
          <w:sz w:val="28"/>
          <w:szCs w:val="28"/>
          <w:u w:val="single"/>
        </w:rPr>
        <w:t>CKNOWLEDGEMENTS</w:t>
      </w:r>
    </w:p>
    <w:p w14:paraId="6192015A" w14:textId="77777777" w:rsidR="005A10C7" w:rsidRPr="00827545" w:rsidRDefault="005A10C7" w:rsidP="005A10C7">
      <w:pPr>
        <w:spacing w:line="480" w:lineRule="auto"/>
        <w:jc w:val="both"/>
        <w:rPr>
          <w:rFonts w:ascii="Arial" w:eastAsia="Calibri" w:hAnsi="Arial" w:cs="Arial"/>
        </w:rPr>
      </w:pPr>
      <w:r w:rsidRPr="001D6796">
        <w:rPr>
          <w:rFonts w:ascii="Arial" w:eastAsia="Calibri" w:hAnsi="Arial" w:cs="Arial"/>
        </w:rPr>
        <w:t xml:space="preserve">This research was funded by </w:t>
      </w:r>
      <w:r w:rsidRPr="001815F6">
        <w:rPr>
          <w:rFonts w:ascii="Arial" w:eastAsia="Calibri" w:hAnsi="Arial" w:cs="Arial"/>
        </w:rPr>
        <w:t>the Imperial College London President's PhD Scholarship</w:t>
      </w:r>
      <w:r>
        <w:rPr>
          <w:rFonts w:ascii="Arial" w:eastAsia="Calibri" w:hAnsi="Arial" w:cs="Arial"/>
        </w:rPr>
        <w:t xml:space="preserve">. </w:t>
      </w:r>
      <w:r w:rsidRPr="009E7E01">
        <w:rPr>
          <w:rFonts w:ascii="Arial" w:eastAsia="Calibri" w:hAnsi="Arial" w:cs="Arial"/>
        </w:rPr>
        <w:t>This paper presents independent research supported by the NIHR Imperial Clinical Research Facility (CRF) and Biomedical Research Centre (BRC) at Imperial College Healthcare NHS Trust. The views expressed are those of the authors and not necessarily those of the NHS, the NIHR or the Department of Health. The Section of Endocrinology and Investigative Medicine is funded by grants from the MRC, BBSRC and NIHR, and is supported by the NIHR Biomedical Research Centre Funding Scheme.</w:t>
      </w:r>
      <w:r>
        <w:rPr>
          <w:rFonts w:ascii="Arial" w:eastAsia="Calibri" w:hAnsi="Arial" w:cs="Arial"/>
        </w:rPr>
        <w:t xml:space="preserve"> </w:t>
      </w:r>
      <w:r w:rsidRPr="001815F6">
        <w:rPr>
          <w:rFonts w:ascii="Arial" w:eastAsia="Calibri" w:hAnsi="Arial" w:cs="Arial"/>
        </w:rPr>
        <w:t>J.F. is funded by the Imperial College London President's PhD Scholarship.</w:t>
      </w:r>
      <w:r w:rsidRPr="0026092A">
        <w:t xml:space="preserve"> </w:t>
      </w:r>
      <w:r w:rsidRPr="0026092A">
        <w:rPr>
          <w:rFonts w:ascii="Arial" w:eastAsia="Calibri" w:hAnsi="Arial" w:cs="Arial"/>
        </w:rPr>
        <w:t>JISC is supported by the NIHR Imperial Biomedical Research Centre (BRC) in line with the Gut Health research theme.</w:t>
      </w:r>
    </w:p>
    <w:p w14:paraId="552B9F13" w14:textId="77777777" w:rsidR="005A10C7" w:rsidRPr="00827545" w:rsidRDefault="005A10C7" w:rsidP="005A10C7">
      <w:pPr>
        <w:spacing w:line="480" w:lineRule="auto"/>
        <w:jc w:val="both"/>
        <w:rPr>
          <w:rFonts w:ascii="Arial" w:eastAsia="Calibri" w:hAnsi="Arial" w:cs="Arial"/>
        </w:rPr>
      </w:pPr>
    </w:p>
    <w:p w14:paraId="278605B8" w14:textId="77777777" w:rsidR="005A10C7" w:rsidRDefault="005A10C7" w:rsidP="00F25FFB">
      <w:pPr>
        <w:spacing w:line="480" w:lineRule="auto"/>
        <w:jc w:val="both"/>
        <w:rPr>
          <w:rFonts w:ascii="Arial" w:hAnsi="Arial" w:cs="Arial"/>
        </w:rPr>
      </w:pPr>
    </w:p>
    <w:sectPr w:rsidR="005A10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1CF"/>
    <w:rsid w:val="00001D75"/>
    <w:rsid w:val="0002584A"/>
    <w:rsid w:val="000571DF"/>
    <w:rsid w:val="00083D08"/>
    <w:rsid w:val="00086CEC"/>
    <w:rsid w:val="00154D4B"/>
    <w:rsid w:val="001E07D3"/>
    <w:rsid w:val="00282C42"/>
    <w:rsid w:val="002A09BF"/>
    <w:rsid w:val="00351822"/>
    <w:rsid w:val="0038577F"/>
    <w:rsid w:val="00393167"/>
    <w:rsid w:val="00401D9B"/>
    <w:rsid w:val="00421F13"/>
    <w:rsid w:val="004A7337"/>
    <w:rsid w:val="004C43E1"/>
    <w:rsid w:val="004D3FB2"/>
    <w:rsid w:val="004E2871"/>
    <w:rsid w:val="00545A5A"/>
    <w:rsid w:val="00595693"/>
    <w:rsid w:val="005A0D30"/>
    <w:rsid w:val="005A10C7"/>
    <w:rsid w:val="005C53F6"/>
    <w:rsid w:val="005D2A23"/>
    <w:rsid w:val="0062213C"/>
    <w:rsid w:val="00680959"/>
    <w:rsid w:val="006C3169"/>
    <w:rsid w:val="006D6922"/>
    <w:rsid w:val="007078CE"/>
    <w:rsid w:val="00725628"/>
    <w:rsid w:val="00753558"/>
    <w:rsid w:val="00764891"/>
    <w:rsid w:val="007B55E9"/>
    <w:rsid w:val="00835859"/>
    <w:rsid w:val="00874750"/>
    <w:rsid w:val="00993197"/>
    <w:rsid w:val="00A61891"/>
    <w:rsid w:val="00B45F90"/>
    <w:rsid w:val="00B72BEA"/>
    <w:rsid w:val="00C73495"/>
    <w:rsid w:val="00CD21CF"/>
    <w:rsid w:val="00CE7836"/>
    <w:rsid w:val="00CF6DE6"/>
    <w:rsid w:val="00D4075A"/>
    <w:rsid w:val="00D52119"/>
    <w:rsid w:val="00DA38A6"/>
    <w:rsid w:val="00DB1C14"/>
    <w:rsid w:val="00E36655"/>
    <w:rsid w:val="00E52824"/>
    <w:rsid w:val="00E564D8"/>
    <w:rsid w:val="00EF7150"/>
    <w:rsid w:val="00F25FFB"/>
    <w:rsid w:val="00F72393"/>
    <w:rsid w:val="00FF0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B3930"/>
  <w15:chartTrackingRefBased/>
  <w15:docId w15:val="{819DB94B-C31F-4075-AD19-D7BC1E7ED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contentpasted1">
    <w:name w:val="x_contentpasted1"/>
    <w:basedOn w:val="DefaultParagraphFont"/>
    <w:rsid w:val="00595693"/>
  </w:style>
  <w:style w:type="character" w:styleId="Hyperlink">
    <w:name w:val="Hyperlink"/>
    <w:basedOn w:val="DefaultParagraphFont"/>
    <w:uiPriority w:val="99"/>
    <w:unhideWhenUsed/>
    <w:rsid w:val="00EF7150"/>
    <w:rPr>
      <w:color w:val="0563C1" w:themeColor="hyperlink"/>
      <w:u w:val="single"/>
    </w:rPr>
  </w:style>
  <w:style w:type="character" w:styleId="CommentReference">
    <w:name w:val="annotation reference"/>
    <w:basedOn w:val="DefaultParagraphFont"/>
    <w:uiPriority w:val="99"/>
    <w:semiHidden/>
    <w:unhideWhenUsed/>
    <w:rsid w:val="00EF7150"/>
    <w:rPr>
      <w:sz w:val="16"/>
      <w:szCs w:val="16"/>
    </w:rPr>
  </w:style>
  <w:style w:type="paragraph" w:styleId="CommentText">
    <w:name w:val="annotation text"/>
    <w:basedOn w:val="Normal"/>
    <w:link w:val="CommentTextChar"/>
    <w:uiPriority w:val="99"/>
    <w:unhideWhenUsed/>
    <w:rsid w:val="00EF7150"/>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EF715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53558"/>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753558"/>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7535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558"/>
    <w:rPr>
      <w:rFonts w:ascii="Segoe UI" w:hAnsi="Segoe UI" w:cs="Segoe UI"/>
      <w:sz w:val="18"/>
      <w:szCs w:val="18"/>
    </w:rPr>
  </w:style>
  <w:style w:type="paragraph" w:styleId="Revision">
    <w:name w:val="Revision"/>
    <w:hidden/>
    <w:uiPriority w:val="99"/>
    <w:semiHidden/>
    <w:rsid w:val="00E366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77377">
      <w:bodyDiv w:val="1"/>
      <w:marLeft w:val="0"/>
      <w:marRight w:val="0"/>
      <w:marTop w:val="0"/>
      <w:marBottom w:val="0"/>
      <w:divBdr>
        <w:top w:val="none" w:sz="0" w:space="0" w:color="auto"/>
        <w:left w:val="none" w:sz="0" w:space="0" w:color="auto"/>
        <w:bottom w:val="none" w:sz="0" w:space="0" w:color="auto"/>
        <w:right w:val="none" w:sz="0" w:space="0" w:color="auto"/>
      </w:divBdr>
    </w:div>
    <w:div w:id="89832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6</Pages>
  <Words>1527</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Chambers, Edward</dc:creator>
  <cp:keywords/>
  <dc:description/>
  <cp:lastModifiedBy>Chambers, Edward</cp:lastModifiedBy>
  <cp:revision>31</cp:revision>
  <dcterms:created xsi:type="dcterms:W3CDTF">2024-01-04T09:15:00Z</dcterms:created>
  <dcterms:modified xsi:type="dcterms:W3CDTF">2024-01-05T10:56:00Z</dcterms:modified>
</cp:coreProperties>
</file>