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1CE740C" w14:textId="77777777" w:rsidR="00F62C8B" w:rsidRPr="00270DD5" w:rsidRDefault="000F3A41" w:rsidP="004C531E">
      <w:pPr>
        <w:pStyle w:val="RSCM01ReceivedAccepted"/>
      </w:pPr>
      <w:r w:rsidRPr="00270DD5">
        <mc:AlternateContent>
          <mc:Choice Requires="wps">
            <w:drawing>
              <wp:anchor distT="107950" distB="0" distL="114300" distR="114300" simplePos="0" relativeHeight="251662336" behindDoc="1" locked="1" layoutInCell="0" allowOverlap="0" wp14:anchorId="4C9A34E0" wp14:editId="1693D4A7">
                <wp:simplePos x="0" y="0"/>
                <wp:positionH relativeFrom="column">
                  <wp:posOffset>-58</wp:posOffset>
                </wp:positionH>
                <wp:positionV relativeFrom="margin">
                  <wp:align>bottom</wp:align>
                </wp:positionV>
                <wp:extent cx="3158837" cy="1627909"/>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837" cy="1627909"/>
                        </a:xfrm>
                        <a:prstGeom prst="rect">
                          <a:avLst/>
                        </a:prstGeom>
                        <a:solidFill>
                          <a:srgbClr val="FFFFFF"/>
                        </a:solidFill>
                        <a:ln w="9525">
                          <a:noFill/>
                          <a:miter lim="800000"/>
                          <a:headEnd/>
                          <a:tailEnd/>
                        </a:ln>
                      </wps:spPr>
                      <wps:txbx>
                        <w:txbxContent>
                          <w:p w14:paraId="4F449DC0" w14:textId="77777777" w:rsidR="00B31AF1" w:rsidRPr="00C405FD" w:rsidRDefault="00B31AF1" w:rsidP="00136616">
                            <w:pPr>
                              <w:pStyle w:val="RSCF01FootnoteAuthorAddress"/>
                            </w:pPr>
                            <w:r w:rsidRPr="00136616">
                              <w:t>Department of Chemistry, Imperial College London, London, UK, SW7 2AZ</w:t>
                            </w:r>
                            <w:r w:rsidRPr="00C405FD">
                              <w:t>.</w:t>
                            </w:r>
                            <w:r w:rsidRPr="00136616">
                              <w:t xml:space="preserve"> * corresponding author, email: e.tate@imperial.ac.uk</w:t>
                            </w:r>
                          </w:p>
                          <w:p w14:paraId="1664A512" w14:textId="751AD2DA" w:rsidR="00B31AF1" w:rsidRPr="00C405FD" w:rsidRDefault="00B31AF1" w:rsidP="00136616">
                            <w:pPr>
                              <w:pStyle w:val="RSCF01FootnoteAuthorAddress"/>
                            </w:pPr>
                            <w:r>
                              <w:t>Medicine Design</w:t>
                            </w:r>
                            <w:r w:rsidRPr="00136616">
                              <w:t xml:space="preserve">, Pfizer, </w:t>
                            </w:r>
                            <w:r>
                              <w:t>610 Main Street, Cambridge, MA, 02139</w:t>
                            </w:r>
                            <w:r w:rsidRPr="00136616">
                              <w:t>, USA</w:t>
                            </w:r>
                            <w:r w:rsidRPr="00C405FD">
                              <w:t>.</w:t>
                            </w:r>
                          </w:p>
                          <w:p w14:paraId="380FF592" w14:textId="1CBBAFAB" w:rsidR="00B31AF1" w:rsidRDefault="00B31AF1" w:rsidP="00241ACD">
                            <w:pPr>
                              <w:pStyle w:val="RSCF02FootnotestoTitleAuthors"/>
                            </w:pPr>
                            <w:r>
                              <w:t>†</w:t>
                            </w:r>
                            <w:r w:rsidRPr="00241ACD">
                              <w:t>Electronic Supplementar</w:t>
                            </w:r>
                            <w:r>
                              <w:t>y Information (ESI) available:</w:t>
                            </w:r>
                            <w:r w:rsidR="0076529F">
                              <w:t xml:space="preserve"> </w:t>
                            </w:r>
                            <w:r w:rsidRPr="00241ACD">
                              <w:t>See DOI: </w:t>
                            </w:r>
                            <w:proofErr w:type="gramStart"/>
                            <w:r w:rsidRPr="00241ACD">
                              <w:t>10.1039/x0xx00000x</w:t>
                            </w:r>
                            <w:r w:rsidR="00AC4E41">
                              <w:t>,</w:t>
                            </w:r>
                            <w:proofErr w:type="gramEnd"/>
                            <w:r w:rsidR="00AC4E41">
                              <w:t xml:space="preserve"> and</w:t>
                            </w:r>
                            <w:r w:rsidR="00AC4E41" w:rsidRPr="00AC4E41">
                              <w:t xml:space="preserve"> ProteomeXchange with identifier PXD006279</w:t>
                            </w:r>
                            <w:r w:rsidR="00583C05">
                              <w:t>.</w:t>
                            </w:r>
                          </w:p>
                          <w:p w14:paraId="47B2B4A8" w14:textId="20893C0B" w:rsidR="008D7303" w:rsidRPr="00241ACD" w:rsidRDefault="008D7303" w:rsidP="00241ACD">
                            <w:pPr>
                              <w:pStyle w:val="RSCF02FootnotestoTitleAuthors"/>
                            </w:pPr>
                            <w:r>
                              <w:t>‡ Authors share equal contribution</w:t>
                            </w:r>
                          </w:p>
                        </w:txbxContent>
                      </wps:txbx>
                      <wps:bodyPr rot="0" vert="horz" wrap="square" lIns="0" tIns="36000" rIns="0" bIns="36000" anchor="b"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4C9A34E0" id="_x0000_t202" coordsize="21600,21600" o:spt="202" path="m,l,21600r21600,l21600,xe">
                <v:stroke joinstyle="miter"/>
                <v:path gradientshapeok="t" o:connecttype="rect"/>
              </v:shapetype>
              <v:shape id="Text Box 2" o:spid="_x0000_s1026" type="#_x0000_t202" style="position:absolute;margin-left:0;margin-top:0;width:248.75pt;height:128.2pt;z-index:-251654144;visibility:visible;mso-wrap-style:square;mso-width-percent:0;mso-height-percent:200;mso-wrap-distance-left:9pt;mso-wrap-distance-top:8.5pt;mso-wrap-distance-right:9pt;mso-wrap-distance-bottom:0;mso-position-horizontal:absolute;mso-position-horizontal-relative:text;mso-position-vertical:bottom;mso-position-vertical-relative:margin;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" o:allowincell="f" o:allowoverlap="f" stroked="f">
                <o:lock v:ext="edit" aspectratio="t"/>
                <v:textbox style="mso-fit-shape-to-text:t" inset="0,1mm,0,1mm">
                  <w:txbxContent>
                    <w:p w14:paraId="4F449DC0" w14:textId="77777777" w:rsidR="00B31AF1" w:rsidRPr="00C405FD" w:rsidRDefault="00B31AF1" w:rsidP="00136616">
                      <w:pPr>
                        <w:pStyle w:val="RSCF01FootnoteAuthorAddress"/>
                      </w:pPr>
                      <w:r w:rsidRPr="00136616">
                        <w:t>Department of Chemistry, Imperial College London, London, UK, SW7 2AZ</w:t>
                      </w:r>
                      <w:r w:rsidRPr="00C405FD">
                        <w:t>.</w:t>
                      </w:r>
                      <w:r w:rsidRPr="00136616">
                        <w:t xml:space="preserve"> * corresponding author, email: e.tate@imperial.ac.uk</w:t>
                      </w:r>
                    </w:p>
                    <w:p w14:paraId="1664A512" w14:textId="751AD2DA" w:rsidR="00B31AF1" w:rsidRPr="00C405FD" w:rsidRDefault="00B31AF1" w:rsidP="00136616">
                      <w:pPr>
                        <w:pStyle w:val="RSCF01FootnoteAuthorAddress"/>
                      </w:pPr>
                      <w:r>
                        <w:t>Medicine Design</w:t>
                      </w:r>
                      <w:r w:rsidRPr="00136616">
                        <w:t xml:space="preserve">, Pfizer, </w:t>
                      </w:r>
                      <w:r>
                        <w:t>610 Main Street, Cambridge, MA, 02139</w:t>
                      </w:r>
                      <w:r w:rsidRPr="00136616">
                        <w:t>, USA</w:t>
                      </w:r>
                      <w:r w:rsidRPr="00C405FD">
                        <w:t>.</w:t>
                      </w:r>
                    </w:p>
                    <w:p w14:paraId="380FF592" w14:textId="1CBBAFAB" w:rsidR="00B31AF1" w:rsidRDefault="00B31AF1" w:rsidP="00241ACD">
                      <w:pPr>
                        <w:pStyle w:val="RSCF02FootnotestoTitleAuthors"/>
                      </w:pPr>
                      <w:r>
                        <w:t>†</w:t>
                      </w:r>
                      <w:r w:rsidRPr="00241ACD">
                        <w:t>Electronic Supplementar</w:t>
                      </w:r>
                      <w:r>
                        <w:t>y Information (ESI) available:</w:t>
                      </w:r>
                      <w:r w:rsidR="0076529F">
                        <w:t xml:space="preserve"> </w:t>
                      </w:r>
                      <w:r w:rsidRPr="00241ACD">
                        <w:t>See DOI: 10.1039/x0xx00000x</w:t>
                      </w:r>
                      <w:r w:rsidR="00AC4E41">
                        <w:t>, and</w:t>
                      </w:r>
                      <w:r w:rsidR="00AC4E41" w:rsidRPr="00AC4E41">
                        <w:t xml:space="preserve"> ProteomeXchange with identifier PXD006279</w:t>
                      </w:r>
                      <w:r w:rsidR="00583C05">
                        <w:t>.</w:t>
                      </w:r>
                    </w:p>
                    <w:p w14:paraId="47B2B4A8" w14:textId="20893C0B" w:rsidR="008D7303" w:rsidRPr="00241ACD" w:rsidRDefault="008D7303" w:rsidP="00241ACD">
                      <w:pPr>
                        <w:pStyle w:val="RSCF02FootnotestoTitleAuthors"/>
                      </w:pPr>
                      <w:r>
                        <w:t>‡ Authors share equal contribution</w:t>
                      </w:r>
                    </w:p>
                  </w:txbxContent>
                </v:textbox>
                <w10:wrap type="topAndBottom" anchory="margin"/>
                <w10:anchorlock/>
              </v:shape>
            </w:pict>
          </mc:Fallback>
        </mc:AlternateContent>
      </w:r>
      <w:r w:rsidR="00F62C8B" w:rsidRPr="00270DD5">
        <w:t>Received 00th January 20</w:t>
      </w:r>
      <w:r w:rsidR="00F15F90" w:rsidRPr="00270DD5">
        <w:t>xx</w:t>
      </w:r>
      <w:r w:rsidR="00F62C8B" w:rsidRPr="00270DD5">
        <w:t>,</w:t>
      </w:r>
    </w:p>
    <w:p w14:paraId="1846D9C9" w14:textId="77777777" w:rsidR="00F62C8B" w:rsidRPr="00270DD5" w:rsidRDefault="00F62C8B" w:rsidP="004C531E">
      <w:pPr>
        <w:pStyle w:val="RSCM01ReceivedAccepted"/>
      </w:pPr>
      <w:r w:rsidRPr="00270DD5">
        <w:t>Accepted 00th January 20</w:t>
      </w:r>
      <w:r w:rsidR="00F15F90" w:rsidRPr="00270DD5">
        <w:t>xx</w:t>
      </w:r>
    </w:p>
    <w:p w14:paraId="711DBD5F" w14:textId="77777777" w:rsidR="00F62C8B" w:rsidRPr="00794787" w:rsidRDefault="00F62C8B" w:rsidP="004C531E">
      <w:pPr>
        <w:pStyle w:val="RSCM02DOI"/>
      </w:pPr>
      <w:r w:rsidRPr="00794787">
        <w:t>DOI: 10.1039/x0xx00000x</w:t>
      </w:r>
    </w:p>
    <w:p w14:paraId="1CF6DF0C" w14:textId="77777777" w:rsidR="00A9649E" w:rsidRPr="00794787" w:rsidRDefault="00A9649E" w:rsidP="004C531E">
      <w:pPr>
        <w:pStyle w:val="RSCM03Website"/>
      </w:pPr>
      <w:r w:rsidRPr="00794787">
        <w:t>www.rsc.org/</w:t>
      </w:r>
    </w:p>
    <w:p w14:paraId="45D79AD0" w14:textId="1EEB4878" w:rsidR="004414A5" w:rsidRPr="00C32EDF" w:rsidRDefault="00F62C8B" w:rsidP="00C32EDF">
      <w:pPr>
        <w:pStyle w:val="RSCH01PaperTitle"/>
      </w:pPr>
      <w:r w:rsidRPr="004414A5">
        <w:br w:type="column"/>
      </w:r>
      <w:r w:rsidR="00136616" w:rsidRPr="00136616">
        <w:lastRenderedPageBreak/>
        <w:t>Competition-based, quantitative chemical proteomics in breast cancer cells identifies new target profiles for sulforaphane</w:t>
      </w:r>
    </w:p>
    <w:p w14:paraId="7B5AF407" w14:textId="47FCC8DD" w:rsidR="00670ED4" w:rsidRPr="0025490A" w:rsidRDefault="00136616" w:rsidP="00F21465">
      <w:pPr>
        <w:pStyle w:val="RSCH02PaperAuthorsandByline"/>
        <w:sectPr w:rsidR="00670ED4" w:rsidRPr="0025490A" w:rsidSect="00514CBA">
          <w:headerReference w:type="even" r:id="rId10"/>
          <w:headerReference w:type="default" r:id="rId11"/>
          <w:footerReference w:type="even" r:id="rId12"/>
          <w:footerReference w:type="default" r:id="rId13"/>
          <w:headerReference w:type="first" r:id="rId14"/>
          <w:footerReference w:type="first" r:id="rId15"/>
          <w:pgSz w:w="11907" w:h="16840" w:code="9"/>
          <w:pgMar w:top="1009" w:right="851" w:bottom="1758" w:left="851" w:header="851" w:footer="1049" w:gutter="0"/>
          <w:cols w:num="2" w:space="227" w:equalWidth="0">
            <w:col w:w="1985" w:space="227"/>
            <w:col w:w="7993"/>
          </w:cols>
          <w:titlePg/>
          <w:docGrid w:linePitch="360"/>
        </w:sectPr>
      </w:pPr>
      <w:r w:rsidRPr="00136616">
        <w:t>James A. Clulow</w:t>
      </w:r>
      <w:proofErr w:type="gramStart"/>
      <w:r w:rsidRPr="00136616">
        <w:t>,</w:t>
      </w:r>
      <w:r w:rsidRPr="00136616">
        <w:rPr>
          <w:vertAlign w:val="superscript"/>
        </w:rPr>
        <w:t>a</w:t>
      </w:r>
      <w:proofErr w:type="gramEnd"/>
      <w:r w:rsidR="008D7303">
        <w:rPr>
          <w:vertAlign w:val="superscript"/>
        </w:rPr>
        <w:t>,</w:t>
      </w:r>
      <w:r w:rsidR="008D7303">
        <w:t>‡</w:t>
      </w:r>
      <w:r w:rsidRPr="00136616">
        <w:t xml:space="preserve"> Elisabeth M. Storck,</w:t>
      </w:r>
      <w:r w:rsidRPr="00136616">
        <w:rPr>
          <w:vertAlign w:val="superscript"/>
        </w:rPr>
        <w:t>a</w:t>
      </w:r>
      <w:r w:rsidR="008D7303">
        <w:rPr>
          <w:vertAlign w:val="superscript"/>
        </w:rPr>
        <w:t>,</w:t>
      </w:r>
      <w:r w:rsidR="008D7303">
        <w:t>‡</w:t>
      </w:r>
      <w:r w:rsidRPr="008D7303">
        <w:t xml:space="preserve"> </w:t>
      </w:r>
      <w:r w:rsidR="002F560A">
        <w:t>Thomas Lanyon-Hogg,</w:t>
      </w:r>
      <w:r w:rsidR="002F560A" w:rsidRPr="005D56D6">
        <w:rPr>
          <w:vertAlign w:val="superscript"/>
        </w:rPr>
        <w:t>a</w:t>
      </w:r>
      <w:r w:rsidR="008D7303">
        <w:rPr>
          <w:vertAlign w:val="superscript"/>
        </w:rPr>
        <w:t>,</w:t>
      </w:r>
      <w:r w:rsidR="008D7303">
        <w:t>‡</w:t>
      </w:r>
      <w:r w:rsidR="002F560A">
        <w:t xml:space="preserve"> </w:t>
      </w:r>
      <w:r w:rsidRPr="00136616">
        <w:t>Karunakaran A. Kalesh,</w:t>
      </w:r>
      <w:r w:rsidR="00965040">
        <w:rPr>
          <w:vertAlign w:val="superscript"/>
        </w:rPr>
        <w:t>a</w:t>
      </w:r>
      <w:r w:rsidRPr="00136616">
        <w:rPr>
          <w:vertAlign w:val="superscript"/>
        </w:rPr>
        <w:t xml:space="preserve"> </w:t>
      </w:r>
      <w:r w:rsidRPr="00136616">
        <w:t xml:space="preserve">Lyn </w:t>
      </w:r>
      <w:r w:rsidR="002B26C4">
        <w:t xml:space="preserve">H. </w:t>
      </w:r>
      <w:r w:rsidRPr="00136616">
        <w:t>Jones</w:t>
      </w:r>
      <w:r w:rsidRPr="00136616">
        <w:rPr>
          <w:vertAlign w:val="superscript"/>
        </w:rPr>
        <w:t>b</w:t>
      </w:r>
      <w:r w:rsidRPr="00136616">
        <w:t xml:space="preserve"> and Edward W. Tate</w:t>
      </w:r>
      <w:r w:rsidRPr="00136616">
        <w:rPr>
          <w:vertAlign w:val="superscript"/>
        </w:rPr>
        <w:t>a,*</w:t>
      </w:r>
      <w:r w:rsidR="0025490A" w:rsidRPr="00136616">
        <w:rPr>
          <w:vertAlign w:val="superscript"/>
        </w:rPr>
        <w:t xml:space="preserve"> </w:t>
      </w:r>
    </w:p>
    <w:p w14:paraId="6B50A1E8" w14:textId="50B42BA9" w:rsidR="00180ABE" w:rsidRPr="0025490A" w:rsidRDefault="00136616" w:rsidP="0025490A">
      <w:pPr>
        <w:pStyle w:val="RSCB01COMAbstract"/>
        <w:rPr>
          <w:rStyle w:val="06CHeading"/>
          <w:rFonts w:asciiTheme="minorHAnsi" w:hAnsiTheme="minorHAnsi" w:cstheme="minorBidi"/>
          <w:b/>
          <w:smallCaps w:val="0"/>
          <w:w w:val="100"/>
          <w:szCs w:val="22"/>
        </w:rPr>
      </w:pPr>
      <w:r w:rsidRPr="00136616">
        <w:rPr>
          <w:rStyle w:val="06CHeading"/>
          <w:rFonts w:asciiTheme="minorHAnsi" w:hAnsiTheme="minorHAnsi" w:cstheme="minorBidi"/>
          <w:b/>
          <w:smallCaps w:val="0"/>
          <w:w w:val="100"/>
          <w:szCs w:val="22"/>
        </w:rPr>
        <w:lastRenderedPageBreak/>
        <w:t xml:space="preserve">Sulforaphane is </w:t>
      </w:r>
      <w:r w:rsidR="008C0CA2">
        <w:rPr>
          <w:rStyle w:val="06CHeading"/>
          <w:rFonts w:asciiTheme="minorHAnsi" w:hAnsiTheme="minorHAnsi" w:cstheme="minorBidi"/>
          <w:b/>
          <w:smallCaps w:val="0"/>
          <w:w w:val="100"/>
          <w:szCs w:val="22"/>
        </w:rPr>
        <w:t>a small molecule isothiocyanate which exhibits</w:t>
      </w:r>
      <w:r w:rsidRPr="00136616">
        <w:rPr>
          <w:rStyle w:val="06CHeading"/>
          <w:rFonts w:asciiTheme="minorHAnsi" w:hAnsiTheme="minorHAnsi" w:cstheme="minorBidi"/>
          <w:b/>
          <w:smallCaps w:val="0"/>
          <w:w w:val="100"/>
          <w:szCs w:val="22"/>
        </w:rPr>
        <w:t xml:space="preserve"> anticancer</w:t>
      </w:r>
      <w:r w:rsidR="008C0CA2">
        <w:rPr>
          <w:rStyle w:val="06CHeading"/>
          <w:rFonts w:asciiTheme="minorHAnsi" w:hAnsiTheme="minorHAnsi" w:cstheme="minorBidi"/>
          <w:b/>
          <w:smallCaps w:val="0"/>
          <w:w w:val="100"/>
          <w:szCs w:val="22"/>
        </w:rPr>
        <w:t xml:space="preserve"> potential</w:t>
      </w:r>
      <w:r w:rsidRPr="00136616">
        <w:rPr>
          <w:rStyle w:val="06CHeading"/>
          <w:rFonts w:asciiTheme="minorHAnsi" w:hAnsiTheme="minorHAnsi" w:cstheme="minorBidi"/>
          <w:b/>
          <w:smallCaps w:val="0"/>
          <w:w w:val="100"/>
          <w:szCs w:val="22"/>
        </w:rPr>
        <w:t xml:space="preserve">, </w:t>
      </w:r>
      <w:r w:rsidR="008C0CA2">
        <w:rPr>
          <w:rStyle w:val="06CHeading"/>
          <w:rFonts w:asciiTheme="minorHAnsi" w:hAnsiTheme="minorHAnsi" w:cstheme="minorBidi"/>
          <w:b/>
          <w:smallCaps w:val="0"/>
          <w:w w:val="100"/>
          <w:szCs w:val="22"/>
        </w:rPr>
        <w:t xml:space="preserve">yet its biological targets </w:t>
      </w:r>
      <w:r w:rsidRPr="00136616">
        <w:rPr>
          <w:rStyle w:val="06CHeading"/>
          <w:rFonts w:asciiTheme="minorHAnsi" w:hAnsiTheme="minorHAnsi" w:cstheme="minorBidi"/>
          <w:b/>
          <w:smallCaps w:val="0"/>
          <w:w w:val="100"/>
          <w:szCs w:val="22"/>
        </w:rPr>
        <w:t xml:space="preserve">remain poorly understood. </w:t>
      </w:r>
      <w:r w:rsidR="008C0CA2">
        <w:rPr>
          <w:rStyle w:val="06CHeading"/>
          <w:rFonts w:asciiTheme="minorHAnsi" w:hAnsiTheme="minorHAnsi" w:cstheme="minorBidi"/>
          <w:b/>
          <w:smallCaps w:val="0"/>
          <w:w w:val="100"/>
          <w:szCs w:val="22"/>
        </w:rPr>
        <w:t>Here we employ</w:t>
      </w:r>
      <w:r w:rsidRPr="00136616">
        <w:rPr>
          <w:rStyle w:val="06CHeading"/>
          <w:rFonts w:asciiTheme="minorHAnsi" w:hAnsiTheme="minorHAnsi" w:cstheme="minorBidi"/>
          <w:b/>
          <w:smallCaps w:val="0"/>
          <w:w w:val="100"/>
          <w:szCs w:val="22"/>
        </w:rPr>
        <w:t xml:space="preserve"> a competition-based chemical pr</w:t>
      </w:r>
      <w:r w:rsidR="008C0CA2">
        <w:rPr>
          <w:rStyle w:val="06CHeading"/>
          <w:rFonts w:asciiTheme="minorHAnsi" w:hAnsiTheme="minorHAnsi" w:cstheme="minorBidi"/>
          <w:b/>
          <w:smallCaps w:val="0"/>
          <w:w w:val="100"/>
          <w:szCs w:val="22"/>
        </w:rPr>
        <w:t>oteomics strategy to profile</w:t>
      </w:r>
      <w:r w:rsidRPr="00136616">
        <w:rPr>
          <w:rStyle w:val="06CHeading"/>
          <w:rFonts w:asciiTheme="minorHAnsi" w:hAnsiTheme="minorHAnsi" w:cstheme="minorBidi"/>
          <w:b/>
          <w:smallCaps w:val="0"/>
          <w:w w:val="100"/>
          <w:szCs w:val="22"/>
        </w:rPr>
        <w:t xml:space="preserve"> </w:t>
      </w:r>
      <w:r w:rsidR="008C0CA2">
        <w:rPr>
          <w:rStyle w:val="06CHeading"/>
          <w:rFonts w:asciiTheme="minorHAnsi" w:hAnsiTheme="minorHAnsi" w:cstheme="minorBidi"/>
          <w:b/>
          <w:smallCaps w:val="0"/>
          <w:w w:val="100"/>
          <w:szCs w:val="22"/>
        </w:rPr>
        <w:t>sulfor</w:t>
      </w:r>
      <w:r w:rsidR="00C92A6F">
        <w:rPr>
          <w:rStyle w:val="06CHeading"/>
          <w:rFonts w:asciiTheme="minorHAnsi" w:hAnsiTheme="minorHAnsi" w:cstheme="minorBidi"/>
          <w:b/>
          <w:smallCaps w:val="0"/>
          <w:w w:val="100"/>
          <w:szCs w:val="22"/>
        </w:rPr>
        <w:t>a</w:t>
      </w:r>
      <w:r w:rsidR="008C0CA2">
        <w:rPr>
          <w:rStyle w:val="06CHeading"/>
          <w:rFonts w:asciiTheme="minorHAnsi" w:hAnsiTheme="minorHAnsi" w:cstheme="minorBidi"/>
          <w:b/>
          <w:smallCaps w:val="0"/>
          <w:w w:val="100"/>
          <w:szCs w:val="22"/>
        </w:rPr>
        <w:t>phane’s targets and identify</w:t>
      </w:r>
      <w:r w:rsidRPr="00136616">
        <w:rPr>
          <w:rStyle w:val="06CHeading"/>
          <w:rFonts w:asciiTheme="minorHAnsi" w:hAnsiTheme="minorHAnsi" w:cstheme="minorBidi"/>
          <w:b/>
          <w:smallCaps w:val="0"/>
          <w:w w:val="100"/>
          <w:szCs w:val="22"/>
        </w:rPr>
        <w:t xml:space="preserve"> </w:t>
      </w:r>
      <w:r w:rsidR="008C0CA2">
        <w:rPr>
          <w:rStyle w:val="06CHeading"/>
          <w:rFonts w:asciiTheme="minorHAnsi" w:hAnsiTheme="minorHAnsi" w:cstheme="minorBidi"/>
          <w:b/>
          <w:smallCaps w:val="0"/>
          <w:w w:val="100"/>
          <w:szCs w:val="22"/>
        </w:rPr>
        <w:t>over 500 targets along with</w:t>
      </w:r>
      <w:r w:rsidRPr="00136616">
        <w:rPr>
          <w:rStyle w:val="06CHeading"/>
          <w:rFonts w:asciiTheme="minorHAnsi" w:hAnsiTheme="minorHAnsi" w:cstheme="minorBidi"/>
          <w:b/>
          <w:smallCaps w:val="0"/>
          <w:w w:val="100"/>
          <w:szCs w:val="22"/>
        </w:rPr>
        <w:t xml:space="preserve"> </w:t>
      </w:r>
      <w:r w:rsidR="008C0CA2">
        <w:rPr>
          <w:rStyle w:val="06CHeading"/>
          <w:rFonts w:asciiTheme="minorHAnsi" w:hAnsiTheme="minorHAnsi" w:cstheme="minorBidi"/>
          <w:b/>
          <w:smallCaps w:val="0"/>
          <w:w w:val="100"/>
          <w:szCs w:val="22"/>
        </w:rPr>
        <w:t xml:space="preserve">their </w:t>
      </w:r>
      <w:r w:rsidRPr="00136616">
        <w:rPr>
          <w:rStyle w:val="06CHeading"/>
          <w:rFonts w:asciiTheme="minorHAnsi" w:hAnsiTheme="minorHAnsi" w:cstheme="minorBidi"/>
          <w:b/>
          <w:smallCaps w:val="0"/>
          <w:w w:val="100"/>
          <w:szCs w:val="22"/>
        </w:rPr>
        <w:t>relati</w:t>
      </w:r>
      <w:r w:rsidR="008C0CA2">
        <w:rPr>
          <w:rStyle w:val="06CHeading"/>
          <w:rFonts w:asciiTheme="minorHAnsi" w:hAnsiTheme="minorHAnsi" w:cstheme="minorBidi"/>
          <w:b/>
          <w:smallCaps w:val="0"/>
          <w:w w:val="100"/>
          <w:szCs w:val="22"/>
        </w:rPr>
        <w:t>ve affinities. These</w:t>
      </w:r>
      <w:r w:rsidRPr="00136616">
        <w:rPr>
          <w:rStyle w:val="06CHeading"/>
          <w:rFonts w:asciiTheme="minorHAnsi" w:hAnsiTheme="minorHAnsi" w:cstheme="minorBidi"/>
          <w:b/>
          <w:smallCaps w:val="0"/>
          <w:w w:val="100"/>
          <w:szCs w:val="22"/>
        </w:rPr>
        <w:t xml:space="preserve"> targe</w:t>
      </w:r>
      <w:r w:rsidR="008C0CA2">
        <w:rPr>
          <w:rStyle w:val="06CHeading"/>
          <w:rFonts w:asciiTheme="minorHAnsi" w:hAnsiTheme="minorHAnsi" w:cstheme="minorBidi"/>
          <w:b/>
          <w:smallCaps w:val="0"/>
          <w:w w:val="100"/>
          <w:szCs w:val="22"/>
        </w:rPr>
        <w:t xml:space="preserve">ts provide a new set of mediators for sulforaphane’s </w:t>
      </w:r>
      <w:r w:rsidR="00D07FD7">
        <w:rPr>
          <w:rStyle w:val="06CHeading"/>
          <w:rFonts w:asciiTheme="minorHAnsi" w:hAnsiTheme="minorHAnsi" w:cstheme="minorBidi"/>
          <w:b/>
          <w:smallCaps w:val="0"/>
          <w:w w:val="100"/>
          <w:szCs w:val="22"/>
        </w:rPr>
        <w:t>bioactivity</w:t>
      </w:r>
      <w:r w:rsidR="008C0CA2">
        <w:rPr>
          <w:rStyle w:val="06CHeading"/>
          <w:rFonts w:asciiTheme="minorHAnsi" w:hAnsiTheme="minorHAnsi" w:cstheme="minorBidi"/>
          <w:b/>
          <w:smallCaps w:val="0"/>
          <w:w w:val="100"/>
          <w:szCs w:val="22"/>
        </w:rPr>
        <w:t xml:space="preserve">, and aid </w:t>
      </w:r>
      <w:r w:rsidRPr="00136616">
        <w:rPr>
          <w:rStyle w:val="06CHeading"/>
          <w:rFonts w:asciiTheme="minorHAnsi" w:hAnsiTheme="minorHAnsi" w:cstheme="minorBidi"/>
          <w:b/>
          <w:smallCaps w:val="0"/>
          <w:w w:val="100"/>
          <w:szCs w:val="22"/>
        </w:rPr>
        <w:t>understanding of its complex mode of action.</w:t>
      </w:r>
    </w:p>
    <w:p w14:paraId="6EB1253B" w14:textId="07F516E1" w:rsidR="00F36FD0" w:rsidRDefault="00C47EE4" w:rsidP="00D13046">
      <w:pPr>
        <w:pStyle w:val="RSCB02ArticleText"/>
      </w:pPr>
      <w:r>
        <w:tab/>
      </w:r>
      <w:r w:rsidR="00D13046">
        <w:t xml:space="preserve">Isothiocyanates are a class of bioactive, electrophilic compounds that are </w:t>
      </w:r>
      <w:r w:rsidR="0064735E">
        <w:t xml:space="preserve">produced from metabolism of </w:t>
      </w:r>
      <w:r w:rsidR="0064735E" w:rsidRPr="0064735E">
        <w:t xml:space="preserve">glucosinolates </w:t>
      </w:r>
      <w:r w:rsidR="0064735E">
        <w:t xml:space="preserve">found </w:t>
      </w:r>
      <w:r w:rsidR="00D13046">
        <w:t xml:space="preserve">in many cruciferous vegetables. Promising </w:t>
      </w:r>
      <w:r w:rsidR="00D13046" w:rsidRPr="00D14B0B">
        <w:rPr>
          <w:i/>
        </w:rPr>
        <w:t>in vitro</w:t>
      </w:r>
      <w:r w:rsidR="00D13046">
        <w:t xml:space="preserve"> cell culture and </w:t>
      </w:r>
      <w:r w:rsidR="00D13046" w:rsidRPr="00D14B0B">
        <w:rPr>
          <w:i/>
        </w:rPr>
        <w:t>in vivo</w:t>
      </w:r>
      <w:r w:rsidR="00D13046">
        <w:t xml:space="preserve"> animal studies for this </w:t>
      </w:r>
      <w:r w:rsidR="00E05674">
        <w:t xml:space="preserve">compound </w:t>
      </w:r>
      <w:r w:rsidR="00D13046">
        <w:t>class have led to intense research interest.</w:t>
      </w:r>
      <w:r w:rsidR="00525D34">
        <w:fldChar w:fldCharType="begin"/>
      </w:r>
      <w:r w:rsidR="00525D34">
        <w:instrText xml:space="preserve"> ADDIN ZOTERO_ITEM CSL_CITATION {"citationID":"2hmprspi4m","properties":{"formattedCitation":"{\\rtf \\super 1\\nosupersub{}}","plainCitation":"1"},"citationItems":[{"id":367,"uris":["http://zotero.org/users/local/RFLKuGZF/items/8X8WTEZX"],"uri":["http://zotero.org/users/local/RFLKuGZF/items/8X8WTEZX"],"itemData":{"id":367,"type":"article-journal","title":"Research progress on chemopreventive effects of phytochemicals on colorectal cancer and their mechanisms","container-title":"World Journal of Gastroenterology","page":"7058-7068","volume":"22","issue":"31","source":"PubMed","abstract":"Colorectal cancer (CRC) is a type of cancer with high morbidity and mortality rates worldwide and has become a global health problem. The conventional radiotherapy and chemotherapy regimen for CRC not only has a low cure rate but also causes side effects. Many studies have shown that adequate intake of fruits and vegetables in the diet may have a protective effect on CRC occurrence, possibly due to the special biological protective effect of the phytochemicals in these foods. Numerous in vitro and in vivo studies have demonstrated that phytochemicals play strong antioxidant, anti-inflammatory and anti-cancer roles by regulating specific signaling pathways and molecular markers to inhibit the occurrence and development of CRC. This review summarizes the progress on CRC prevention using the phytochemicals sulforaphane, curcumin and resveratrol, and elaborates on the specific underlying mechanisms. Thus, we believe that phytochemicals might provide a novel therapeutic approach for CRC prevention, but future clinical studies are needed to confirm the specific preventive effect of phytochemicals on cancer.","DOI":"10.3748/wjg.v22.i31.7058","ISSN":"2219-2840","note":"PMID: 27610016\nPMCID: PMC4988307","journalAbbreviation":"World J. Gastroenterol.","language":"ENG","author":[{"family":"Yin","given":"Teng-Fei"},{"family":"Wang","given":"Min"},{"family":"Qing","given":"Ying"},{"family":"Lin","given":"Ying-Min"},{"family":"Wu","given":"Dong"}],"issued":{"date-parts":[["2016",8,21]]},"PMID":"27610016","PMCID":"PMC4988307"}}],"schema":"https://github.com/citation-style-language/schema/raw/master/csl-citation.json"} </w:instrText>
      </w:r>
      <w:r w:rsidR="00525D34">
        <w:fldChar w:fldCharType="separate"/>
      </w:r>
      <w:r w:rsidR="00525D34" w:rsidRPr="00525D34">
        <w:rPr>
          <w:rFonts w:ascii="Calibri" w:hAnsi="Calibri" w:cs="Calibri"/>
          <w:szCs w:val="24"/>
          <w:vertAlign w:val="superscript"/>
        </w:rPr>
        <w:t>1</w:t>
      </w:r>
      <w:r w:rsidR="00525D34">
        <w:fldChar w:fldCharType="end"/>
      </w:r>
      <w:r w:rsidR="004418E8">
        <w:t xml:space="preserve"> </w:t>
      </w:r>
      <w:r w:rsidR="00D13046">
        <w:t xml:space="preserve">One such isothiocyanate, (-)-1-isothiocyanato-(4R)-(methylsulfinyl)-butane (sulforaphane), has been particularly well studied owing to its potential anti-cancer activity. Sulforaphane </w:t>
      </w:r>
      <w:r w:rsidR="00D07FD7">
        <w:t xml:space="preserve">has been suggested to </w:t>
      </w:r>
      <w:r w:rsidR="00D13046">
        <w:t xml:space="preserve">prevent </w:t>
      </w:r>
      <w:r w:rsidR="00D07FD7">
        <w:t xml:space="preserve">or </w:t>
      </w:r>
      <w:r w:rsidR="00D13046">
        <w:t>suppress the development of many types of canc</w:t>
      </w:r>
      <w:r w:rsidR="00425212">
        <w:t>er, including breast cancer</w:t>
      </w:r>
      <w:r w:rsidR="00180B62">
        <w:t>;</w:t>
      </w:r>
      <w:r w:rsidR="00425212">
        <w:fldChar w:fldCharType="begin"/>
      </w:r>
      <w:r w:rsidR="001825E1">
        <w:instrText xml:space="preserve"> ADDIN ZOTERO_ITEM CSL_CITATION {"citationID":"1dcd39r313","properties":{"formattedCitation":"{\\rtf \\super 2,3\\nosupersub{}}","plainCitation":"2,3"},"citationItems":[{"id":285,"uris":["http://zotero.org/users/local/RFLKuGZF/items/TTWZCB67"],"uri":["http://zotero.org/users/local/RFLKuGZF/items/TTWZCB67"],"itemData":{"id":285,"type":"article-journal","title":"Breast cancer risk in premenopausal women is inversely associated with consumption of broccoli, a source of isothiocyanates, but is not modified by GST genotype","container-title":"The Journal of Nutrition","page":"1134-1138","volume":"134","issue":"5","source":"PubMed","abstract":"The role of vegetable consumption in relation to breast cancer risk is controversial. Anticarcinogenic compounds may be present only in specific vegetables, thereby attenuating findings for total vegetable intake. Cruciferous vegetables contain precursors of isothiocyanates (ITCs), which may be chemopreventive through potent inhibition of phase I, and induction of phase II enzymes, such as glutathione S-transferases (GSTs). We investigated associations between consumption of cruciferous vegetables, sources of ITCs, and breast cancer risk, and potential modification of relations by GSTM1 and GSTT1 genotypes. Cases (n = 740) were Caucasian women with incident breast cancer identified from all major hospitals in Erie and Niagara counties. Community controls (n = 810) were frequency matched to cases by age and county. An in-depth interview including a validated FFQ was administered in person. Odds ratios (ORs) and 95% CIs were used to estimate relative risks. Consumption of cruciferous vegetables, particularly broccoli, was marginally inversely associated with breast cancer risk in premenopausal women [4th quartile OR = 0.6, 95% CI (0.40-1.01), P = 0.058]. Associations were weaker or null among postmenopausal women. No significant effects of GST genotype on risk were observed in either menopausal group. These data indicate that cruciferous vegetables may play an important role in decreasing the risk of premenopausal breast cancer.","ISSN":"0022-3166","note":"PMID: 15113959","journalAbbreviation":"J. Nutr.","language":"eng","author":[{"family":"Ambrosone","given":"Christine B."},{"family":"McCann","given":"Susan E."},{"family":"Freudenheim","given":"Jo L."},{"family":"Marshall","given":"James R."},{"family":"Zhang","given":"Yueshang"},{"family":"Shields","given":"Peter G."}],"issued":{"date-parts":[["2004",5]]},"PMID":"15113959"}},{"id":287,"uris":["http://zotero.org/users/local/RFLKuGZF/items/BWUIAW68"],"uri":["http://zotero.org/users/local/RFLKuGZF/items/BWUIAW68"],"itemData":{"id":287,"type":"article-journal","title":"Comparison of the effects of phenethyl isothiocyanate and sulforaphane on gene expression in breast cancer and normal mammary epithelial cells","container-title":"Experimental Biology and Medicine (Maywood, N.J.)","page":"287-295","volume":"234","issue":"3","source":"PubMed","abstract":"Phenethyl isothiocyanate (PEITC) and sulforaphane (SF) exhibit tumor preventive activity in lung, prostate, breast and colon cancers. Our objective was to examine the effect of these two isothiocyanates on estrogen receptor-related genes, and genes related to apoptosis and cell cycle in the estrogen-dependent breast cancer cell line MCF7 and in normal human epithelial breast (HME) cells. We treated cells with 0.3 microM or 3.0 microM concentrations of PEITC or SF. In HME cells, gene expression was significantly altered for 23 genes by PEITC at a concentration of 0.3 microM and 4 genes at 3.0 microM. SF altered the expression of 16 genes at a concentration of 0.3 microM and 2 genes at 3.0 microM. In HME cells, genes altered by both PEITC and SF exhibited changes in gene expression that were similar in extent as well as direction of change. In MCF-7 cells, PEITC did not produce any significant changes in the gene expression at both treatment levels. SF produced significant changes in 7 genes, but only at the higher treatment level of 3.0 microM. Normal mammary cells exhibited more changes in the expression of estrogen receptor related genes than did breast cancer cells, and significantly these changes occurred predominantly at the low concentration of 0.3 microM, a concentration achievable by dietary input of isothiocyanates. Novel findings were the upregulation of the pro-apoptotic gene BAD and estrogen receptor beta gene in normal human mammary cells. These gene alterations observed, along with upregulation of tumor suppressors p21 and p27, may provide a protective effect to mammary cells against breast cancer.","DOI":"10.3181/0808-RM-241","ISSN":"1535-3702","note":"PMID: 19144873\nPMCID: PMC3698577","journalAbbreviation":"Exp. Biol. Med. (Maywood)","language":"eng","author":[{"family":"Telang","given":"Urvi"},{"family":"Brazeau","given":"Daniel A."},{"family":"Morris","given":"Marilyn E."}],"issued":{"date-parts":[["2009",3]]},"PMID":"19144873","PMCID":"PMC3698577"}}],"schema":"https://github.com/citation-style-language/schema/raw/master/csl-citation.json"} </w:instrText>
      </w:r>
      <w:r w:rsidR="00425212">
        <w:fldChar w:fldCharType="separate"/>
      </w:r>
      <w:r w:rsidR="001825E1" w:rsidRPr="001825E1">
        <w:rPr>
          <w:rFonts w:ascii="Calibri" w:hAnsi="Calibri" w:cs="Calibri"/>
          <w:szCs w:val="24"/>
          <w:vertAlign w:val="superscript"/>
        </w:rPr>
        <w:t>2,3</w:t>
      </w:r>
      <w:r w:rsidR="00425212">
        <w:fldChar w:fldCharType="end"/>
      </w:r>
      <w:r w:rsidR="00D13046">
        <w:t xml:space="preserve"> </w:t>
      </w:r>
      <w:r w:rsidR="00180B62">
        <w:t>i</w:t>
      </w:r>
      <w:r w:rsidR="00847916">
        <w:t xml:space="preserve">ts properties have been explored in </w:t>
      </w:r>
      <w:r w:rsidR="00D13046">
        <w:t>over 1,</w:t>
      </w:r>
      <w:r w:rsidR="00E0082D">
        <w:t>5</w:t>
      </w:r>
      <w:r w:rsidR="00D13046">
        <w:t xml:space="preserve">00 publications and </w:t>
      </w:r>
      <w:r w:rsidR="00847916">
        <w:t xml:space="preserve">many </w:t>
      </w:r>
      <w:r w:rsidR="00D13046">
        <w:t>registered clinical trials</w:t>
      </w:r>
      <w:r w:rsidR="00180B62">
        <w:t xml:space="preserve">, including </w:t>
      </w:r>
      <w:r w:rsidR="00D07FD7">
        <w:t xml:space="preserve">ongoing </w:t>
      </w:r>
      <w:r w:rsidR="00A86AC3">
        <w:t>trials of a stabilis</w:t>
      </w:r>
      <w:r w:rsidR="00180B62">
        <w:t>ed sulforaphane-cyclodextrin complex in breast cancer</w:t>
      </w:r>
      <w:r w:rsidR="00D13046">
        <w:t xml:space="preserve">. </w:t>
      </w:r>
      <w:r w:rsidR="00847916">
        <w:t>S</w:t>
      </w:r>
      <w:r w:rsidR="00D13046">
        <w:t xml:space="preserve">ulforaphane can covalently </w:t>
      </w:r>
      <w:r w:rsidR="00847916">
        <w:t>modify</w:t>
      </w:r>
      <w:r w:rsidR="00D13046">
        <w:t xml:space="preserve"> proteins</w:t>
      </w:r>
      <w:r w:rsidR="00847916">
        <w:t>, as well as other biomolecules</w:t>
      </w:r>
      <w:r w:rsidR="00D13046">
        <w:t xml:space="preserve">, and is widely appreciated </w:t>
      </w:r>
      <w:r w:rsidR="00E05674">
        <w:t>to be</w:t>
      </w:r>
      <w:r w:rsidR="00D13046">
        <w:t xml:space="preserve"> a </w:t>
      </w:r>
      <w:r w:rsidR="00FD6635">
        <w:t>polypharmacological</w:t>
      </w:r>
      <w:r w:rsidR="00E05674">
        <w:t xml:space="preserve"> agent that likely</w:t>
      </w:r>
      <w:r w:rsidR="00D13046">
        <w:t xml:space="preserve"> affect</w:t>
      </w:r>
      <w:r w:rsidR="00E05674">
        <w:t>s</w:t>
      </w:r>
      <w:r w:rsidR="00D13046">
        <w:t xml:space="preserve"> multiple targets and signa</w:t>
      </w:r>
      <w:r w:rsidR="00D14B0B">
        <w:t>lling cascades</w:t>
      </w:r>
      <w:r w:rsidR="00D13046">
        <w:t>.</w:t>
      </w:r>
      <w:r w:rsidR="00F34E1B">
        <w:fldChar w:fldCharType="begin"/>
      </w:r>
      <w:r w:rsidR="001825E1">
        <w:instrText xml:space="preserve"> ADDIN ZOTERO_ITEM CSL_CITATION {"citationID":"510tbs3r1","properties":{"formattedCitation":"{\\rtf \\super 4,5\\nosupersub{}}","plainCitation":"4,5"},"citationItems":[{"id":351,"uris":["http://zotero.org/users/local/RFLKuGZF/items/9BJXTQ6D"],"uri":["http://zotero.org/users/local/RFLKuGZF/items/9BJXTQ6D"],"itemData":{"id":351,"type":"article-journal","title":"Nutraceuticals for prostate cancer chemoprevention: from molecular mechanisms to clinical application","container-title":"Expert Opinion on Investigational Drugs","page":"1613-1626","volume":"22","issue":"12","source":"PubMed","abstract":"INTRODUCTION: Nutraceutical is a food, or part of a food, used for the prevention and/or treatment of diseases. A number of nutraceuticals serve as candidates for development of prostate cancer chemopreventive agents because of promising epidemiological, preclinical and pilot clinical findings. Their mechanisms of action may involve an ability to target multiple molecular pathways in carcinogenesis without eliciting toxic side effects.\nAREAS COVERED: This review provides an overview of several nutraceuticals, including green tea polyphenol, omega-3 fatty acids, vitamin D, lycopene, genistein, quercetin, resveratrol and sulforaphane, for the clinical relevance to chemoprevention of prostate cancer. Their mechanisms of action on regulating key processes of carcinogenesis are also discussed. For each of these agents, a brief summary of completed or currently ongoing clinical trials related to the chemopreventive efficacy on prostate cancer is given.\nEXPERT OPINION: Even though a few clinical trials have been conducted, review of these results indicate that further studies are required to confirm the clinical efficacy and safety, and to provide a guidance on how to use nutraceuticals for optimal effect. Future cancer prevention clinical trials for the nutraceuticals should recruit men with an increased risk of prostate cancer.","DOI":"10.1517/13543784.2013.833183","ISSN":"1744-7658","note":"PMID: 24050482","shortTitle":"Nutraceuticals for prostate cancer chemoprevention","journalAbbreviation":"Expert Opin Investig Drugs","language":"eng","author":[{"family":"Wang","given":"Zhijun"},{"family":"Fan","given":"Jeffery"},{"family":"Liu","given":"Mandy"},{"family":"Yeung","given":"Steven"},{"family":"Chang","given":"Andy"},{"family":"Chow","given":"Moses S. S."},{"family":"Pon","given":"Doreen"},{"family":"Huang","given":"Ying"}],"issued":{"date-parts":[["2013",12]]},"PMID":"24050482"}},{"id":353,"uris":["http://zotero.org/users/local/RFLKuGZF/items/FCI6CNXE"],"uri":["http://zotero.org/users/local/RFLKuGZF/items/FCI6CNXE"],"itemData":{"id":353,"type":"article-journal","title":"Dietary Sulforaphane in Cancer Chemoprevention: The Role of Epigenetic Regulation and HDAC Inhibition","container-title":"Antioxidants &amp; Redox Signaling","page":"1382-1424","volume":"22","issue":"16","source":"PubMed","abstract":"SIGNIFICANCE: Sulforaphane, produced by the hydrolytic conversion of glucoraphanin after ingestion of cruciferous vegetables, particularly broccoli and broccoli sprouts, has been extensively studied due to its apparent health-promoting properties in disease and limited toxicity in normal tissue. Recent Studies: Recent identification of a sub-population of tumor cells with stem cell-like self-renewal capacity that may be responsible for relapse, metastasis, and resistance, as a potential target of the dietary compound, may be an important aspect of sulforaphane chemoprevention. Evidence also suggests that sulforaphane may target the epigenetic alterations observed in specific cancers, reversing aberrant changes in gene transcription through mechanisms of histone deacetylase inhibition, global demethylation, and microRNA modulation.\nCRITICAL ISSUES: In this review, we discuss the biochemical and biological properties of sulforaphane with a particular emphasis on the anticancer properties of the dietary compound. Sulforaphane possesses the capacity to intervene in multistage carcinogenesis through the modulation and/or regulation of important cellular mechanisms. The inhibition of phase I enzymes that are responsible for the activation of pro-carcinogens, and the induction of phase II enzymes that are critical in mutagen elimination are well-characterized chemopreventive properties. Furthermore, sulforaphane mediates a number of anticancer pathways, including the activation of apoptosis, induction of cell cycle arrest, and inhibition of NFκB.\nFUTURE DIRECTIONS: Further characterization of the chemopreventive properties of sulforaphane and its capacity to be selectively toxic to malignant cells are warranted to potentially establish the clinical utility of the dietary compound as an anti-cancer compound alone, and in combination with clinically relevant therapeutic and management strategies.","DOI":"10.1089/ars.2014.6097","ISSN":"1557-7716","note":"PMID: 25364882\nPMCID: PMC4432495","shortTitle":"Dietary Sulforaphane in Cancer Chemoprevention","journalAbbreviation":"Antioxid. Redox Signal.","language":"eng","author":[{"family":"Tortorella","given":"Stephanie M."},{"family":"Royce","given":"Simon G."},{"family":"Licciardi","given":"Paul V."},{"family":"Karagiannis","given":"Tom C."}],"issued":{"date-parts":[["2015",6,1]]},"PMID":"25364882","PMCID":"PMC4432495"}}],"schema":"https://github.com/citation-style-language/schema/raw/master/csl-citation.json"} </w:instrText>
      </w:r>
      <w:r w:rsidR="00F34E1B">
        <w:fldChar w:fldCharType="separate"/>
      </w:r>
      <w:r w:rsidR="001825E1" w:rsidRPr="001825E1">
        <w:rPr>
          <w:rFonts w:ascii="Calibri" w:hAnsi="Calibri" w:cs="Calibri"/>
          <w:szCs w:val="24"/>
          <w:vertAlign w:val="superscript"/>
        </w:rPr>
        <w:t>4,5</w:t>
      </w:r>
      <w:r w:rsidR="00F34E1B">
        <w:fldChar w:fldCharType="end"/>
      </w:r>
      <w:r w:rsidR="00D13046">
        <w:t xml:space="preserve"> A </w:t>
      </w:r>
      <w:r w:rsidR="00D14B0B">
        <w:t>small number of well-characteris</w:t>
      </w:r>
      <w:r w:rsidR="00D13046">
        <w:t xml:space="preserve">ed protein targets have been identified for sulforaphane that provide an initial basis for explaining its </w:t>
      </w:r>
      <w:r w:rsidR="00FD6635">
        <w:t xml:space="preserve">cellular </w:t>
      </w:r>
      <w:r w:rsidR="00D13046">
        <w:t>activ</w:t>
      </w:r>
      <w:r w:rsidR="00425212">
        <w:t>ities;</w:t>
      </w:r>
      <w:r w:rsidR="00425212">
        <w:fldChar w:fldCharType="begin"/>
      </w:r>
      <w:r w:rsidR="001825E1">
        <w:instrText xml:space="preserve"> ADDIN ZOTERO_ITEM CSL_CITATION {"citationID":"2f88jriu0n","properties":{"formattedCitation":"{\\rtf \\super 6\\nosupersub{}}","plainCitation":"6"},"citationItems":[{"id":289,"uris":["http://zotero.org/users/local/RFLKuGZF/items/WGN4AT7J"],"uri":["http://zotero.org/users/local/RFLKuGZF/items/WGN4AT7J"],"itemData":{"id":289,"type":"article-journal","title":"Proteins as binding targets of isothiocyanates in cancer prevention","container-title":"Carcinogenesis","page":"1405-1413","volume":"32","issue":"10","source":"PubMed","abstract":"Isothiocyanates are versatile cancer-preventive compounds. Evidence from animal studies indicates that the anticarcinogenic activities of ITCs involve all the major stages of tumor growth: initiation, promotion and progression. Epidemiological studies have also shown that dietary intake of ITCs is associated with reduced risk of certain human cancers. A number of mechanisms have been proposed for the chemopreventive activities of ITCs. To identify the molecular targets of ITCs is a first step to understand the molecular mechanisms of ITCs. Studies in recent years have shown that the covalent binding to certain protein targets by ITCs seems to play an important role in ITC-induced apoptosis and cell growth inhibition and other cellular effects. The knowledge gained from these studies may be used to guide future design and screen of better and more efficacious compounds. In this review, we intend to cover all potential protein targets of ITCs so far studied and summarize what are known about their binding sites and the potential biological consequences. In the end, we also offer discussions to shed light onto the relationship between protein binding and reactive oxygen species generation by ITCs.","DOI":"10.1093/carcin/bgr111","ISSN":"1460-2180","note":"PMID: 21665889\nPMCID: PMC3179418","journalAbbreviation":"Carcinogenesis","language":"eng","author":[{"family":"Mi","given":"Lixin"},{"family":"Di Pasqua","given":"Anthony J."},{"family":"Chung","given":"Fung-Lung"}],"issued":{"date-parts":[["2011",10]]},"PMID":"21665889","PMCID":"PMC3179418"}}],"schema":"https://github.com/citation-style-language/schema/raw/master/csl-citation.json"} </w:instrText>
      </w:r>
      <w:r w:rsidR="00425212">
        <w:fldChar w:fldCharType="separate"/>
      </w:r>
      <w:r w:rsidR="001825E1" w:rsidRPr="001825E1">
        <w:rPr>
          <w:rFonts w:ascii="Calibri" w:hAnsi="Calibri" w:cs="Calibri"/>
          <w:szCs w:val="24"/>
          <w:vertAlign w:val="superscript"/>
        </w:rPr>
        <w:t>6</w:t>
      </w:r>
      <w:r w:rsidR="00425212">
        <w:fldChar w:fldCharType="end"/>
      </w:r>
      <w:r w:rsidR="00D13046">
        <w:t xml:space="preserve"> however, despite growing interest in sulforaphane and its potential therapeutic application, its molecular targets and underlying mode of action remain poorly char</w:t>
      </w:r>
      <w:r w:rsidR="00111BF2">
        <w:t>acteris</w:t>
      </w:r>
      <w:r w:rsidR="00D13046">
        <w:t>ed.</w:t>
      </w:r>
    </w:p>
    <w:p w14:paraId="79BA4F6E" w14:textId="0523D153" w:rsidR="00D13046" w:rsidRDefault="00C47EE4" w:rsidP="00D13046">
      <w:pPr>
        <w:pStyle w:val="RSCB02ArticleText"/>
      </w:pPr>
      <w:r>
        <w:tab/>
      </w:r>
      <w:r w:rsidR="00D13046">
        <w:t xml:space="preserve">Understanding the full </w:t>
      </w:r>
      <w:r w:rsidR="00D07FD7">
        <w:t xml:space="preserve">protein </w:t>
      </w:r>
      <w:r w:rsidR="00D13046">
        <w:t xml:space="preserve">target spectrum of </w:t>
      </w:r>
      <w:r w:rsidR="00D13046">
        <w:lastRenderedPageBreak/>
        <w:t>sulforaphane</w:t>
      </w:r>
      <w:r w:rsidR="00D07FD7">
        <w:t xml:space="preserve"> could </w:t>
      </w:r>
      <w:r w:rsidR="00D13046">
        <w:t xml:space="preserve">provide greater insight into its mode of action. The effect of sulforaphane treatment on cellular protein levels has previously been analysed </w:t>
      </w:r>
      <w:r w:rsidR="00FD6635">
        <w:t xml:space="preserve">by </w:t>
      </w:r>
      <w:r w:rsidR="00D13046">
        <w:t>proteomic strategies;</w:t>
      </w:r>
      <w:r w:rsidR="00425212">
        <w:fldChar w:fldCharType="begin"/>
      </w:r>
      <w:r w:rsidR="001825E1">
        <w:instrText xml:space="preserve"> ADDIN ZOTERO_ITEM CSL_CITATION {"citationID":"248b8jpthk","properties":{"formattedCitation":"{\\rtf \\super 7\\uc0\\u8211{}9\\nosupersub{}}","plainCitation":"7–9"},"citationItems":[{"id":337,"uris":["http://zotero.org/users/local/RFLKuGZF/items/AH75K8FD"],"uri":["http://zotero.org/users/local/RFLKuGZF/items/AH75K8FD"],"itemData":{"id":337,"type":"article-journal","title":"Serotonin receptors, novel targets of sulforaphane identified by proteomic analysis in Caco-2 cells","container-title":"Cancer Research","page":"5487-5491","volume":"68","issue":"13","source":"PubMed","abstract":"Cancer chemopreventive activity of sulforaphane has been predominantly associated with its ability to induce phase II detoxification enzymes. In the present study, novel targets of sulforaphane were identified and characterized using a proteomics approach. Two-dimensional gel electrophoresis and mass spectrometry were used to produce protein profiles of human colon adenocarcinoma Caco-2 cells treated with 5 mumol/L sulforaphane for 48 h and control cells (0.05% DMSO). Gel comparisons showed the down-regulation to undetectable level of the serotonin receptor 5-HT(3) after sulforaphane treatment. In addition, Aldo-keto reductase and d-dopachrome decarboxylase were also differentially expressed in control and treated cell extracts. To elucidate two-dimensional gel findings, the neurotransmitter receptors 5-HT(3A), 5-HT(1A), 5-HT(2C), and the serotonin reuptake transporter were analyzed using Western blotting. Results showed a decrease of neurotransmitter receptors in a dose-dependent manner after sulforaphane treatment. Moreover, after exposure of Caco-2 cells to sulforaphane, nicotinic acetylcholine receptor protein level was increased. These findings suggested a potential effect of sulforaphane on serotonin release. Activation of neurotransmitter receptors followed by initiation of cyclic AMP signaling might be crucial events in colon carcinoma progression. Thus, the effect of sulforaphane may help to elucidate signaling pathways serotonin-mediated in colon cancer and lead to development of potential novel therapeutic agents.","DOI":"10.1158/0008-5472.CAN-07-6171","ISSN":"1538-7445","note":"PMID: 18593952","journalAbbreviation":"Cancer Res.","language":"eng","author":[{"family":"Mastrangelo","given":"Lina"},{"family":"Cassidy","given":"Aedin"},{"family":"Mulholland","given":"Francis"},{"family":"Wang","given":"Wei"},{"family":"Bao","given":"Yongping"}],"issued":{"date-parts":[["2008",7,1]]},"PMID":"18593952"}},{"id":339,"uris":["http://zotero.org/users/local/RFLKuGZF/items/6Q73XCIF"],"uri":["http://zotero.org/users/local/RFLKuGZF/items/6Q73XCIF"],"itemData":{"id":339,"type":"article-journal","title":"Transcriptomic and proteomic profiling of KEAP1 disrupted and sulforaphane-treated human breast epithelial cells reveals common expression profiles","container-title":"Breast Cancer Research and Treatment","page":"175-187","volume":"132","issue":"1","source":"PubMed","abstract":"Sulforaphane (SFN), an isothiocyanate found in cruciferous vegetables, is a potent inhibitor of experimental mammary carcinogenesis and may be an effective, safe chemopreventive agent for use in humans. SFN acts in part on the Keap1/Nrf2 pathway to regulate a battery of cytoprotective genes. In this study, transcriptomic and proteomic changes in the estrogen receptor negative, non-tumorigenic human breast epithelial MCF10A cell line were analyzed following SFN treatment or KEAP1 knockdown with siRNA using microarray and stable isotopic labeling with amino acids in culture (SILAC), respectively. Changes in selected transcripts and proteins were confirmed by PCR and Western blot in MCF10A and MCF12A cells. There was strong correlation between the transcriptomic and proteomic responses in both the SFN treatment (R = 0.679, P &lt; 0.05) and KEAP1 knockdown (R = 0.853, P &lt; 0.05) experiments. Common pathways for SFN treatment and KEAP1 knockdown were xenobiotic metabolism and antioxidants, glutathione metabolism, carbohydrate metabolism, and NADH/NADPH regeneration. Moreover, these pathways were most prominent in both the transcriptomic and the proteomic analyses. The aldo-keto reductase family members, AKR1B10, AKR1C1, AKR1C2 and AKR1C3, as well as NQO1 and ALDH3A1, were highly upregulated at both the transcriptomic and the proteomic levels. Collectively, these studies served to identify potential biomarkers that can be used in clinical trials to investigate the initial pharmacodynamic action of SFN in the breast.","DOI":"10.1007/s10549-011-1536-9","ISSN":"1573-7217","note":"PMID: 21597922\nPMCID: PMC3564494","journalAbbreviation":"Breast Cancer Res. Treat.","language":"eng","author":[{"family":"Agyeman","given":"Abena S."},{"family":"Chaerkady","given":"Raghothama"},{"family":"Shaw","given":"Patrick G."},{"family":"Davidson","given":"Nancy E."},{"family":"Visvanathan","given":"Kala"},{"family":"Pandey","given":"Akhilesh"},{"family":"Kensler","given":"Thomas W."}],"issued":{"date-parts":[["2012",2]]},"PMID":"21597922","PMCID":"PMC3564494"}},{"id":341,"uris":["http://zotero.org/users/local/RFLKuGZF/items/C8QDUNUX"],"uri":["http://zotero.org/users/local/RFLKuGZF/items/C8QDUNUX"],"itemData":{"id":341,"type":"article-journal","title":"Novel targets of sulforaphane in primary cardiomyocytes identified by proteomic analysis","container-title":"PloS One","page":"e83283","volume":"8","issue":"12","source":"PubMed","abstract":"Cardiovascular diseases represent the main cause of mortality in the industrialized world and the identification of effective preventive strategies is of fundamental importance. Sulforaphane, an isothiocyanate from cruciferous vegetables, has been shown to up-regulate phase II enzymes in cardiomyocytes and counteract oxidative stress-induced apoptosis. Aim of the present study was the identification and characterization of novel sulforaphane targets in cardiomyocytes applying a proteomic approach. Two-dimensional gel electrophoresis and mass spectrometry were used to generate protein profiles of primary neonatal rat cardiomyocytes treated and untreated with 5 µM sulforaphane for 1-48 h. According to image analysis, 64 protein spots were found as differentially expressed and their functional correlations were investigated using the MetaCore program. We mainly focused on 3 proteins: macrophage migration inhibitory factor (MIF), CLP36 or Elfin, and glyoxalase 1, due to their possible involvement in cardioprotection. Validation of the time-dependent differential expression of these proteins was performed by western blotting. In particular, to gain insight into the cardioprotective role of the modulation of glyoxalase 1 by sulforaphane, further experiments were performed using methylglyoxal to mimic glycative stress. Sulforaphane was able to counteract methylglyoxal-induced apoptosis, ROS production, and glycative stress, likely through glyoxalase 1 up-regulation. In this study, we reported for the first time new molecular targets of sulforaphane, such as MIF, CLP36 and glyoxalase 1. In particular, we gave new insights into the anti-glycative role of sulforaphane in cardiomyocytes, confirming its pleiotropic behavior in counteracting cardiovascular diseases.","DOI":"10.1371/journal.pone.0083283","ISSN":"1932-6203","note":"PMID: 24349480\nPMCID: PMC3859650","journalAbbreviation":"PLoS ONE","language":"eng","author":[{"family":"Angeloni","given":"Cristina"},{"family":"Turroni","given":"Silvia"},{"family":"Bianchi","given":"Laura"},{"family":"Fabbri","given":"Daniele"},{"family":"Motori","given":"Elisa"},{"family":"Malaguti","given":"Marco"},{"family":"Leoncini","given":"Emanuela"},{"family":"Maraldi","given":"Tullia"},{"family":"Bini","given":"Luca"},{"family":"Brigidi","given":"Patrizia"},{"family":"Hrelia","given":"Silvana"}],"issued":{"date-parts":[["2013"]]},"PMID":"24349480","PMCID":"PMC3859650"}}],"schema":"https://github.com/citation-style-language/schema/raw/master/csl-citation.json"} </w:instrText>
      </w:r>
      <w:r w:rsidR="00425212">
        <w:fldChar w:fldCharType="separate"/>
      </w:r>
      <w:r w:rsidR="001825E1" w:rsidRPr="001825E1">
        <w:rPr>
          <w:rFonts w:ascii="Calibri" w:hAnsi="Calibri" w:cs="Calibri"/>
          <w:szCs w:val="24"/>
          <w:vertAlign w:val="superscript"/>
        </w:rPr>
        <w:t>7–9</w:t>
      </w:r>
      <w:r w:rsidR="00425212">
        <w:fldChar w:fldCharType="end"/>
      </w:r>
      <w:r w:rsidR="00D14B0B">
        <w:t xml:space="preserve"> however, investigations into</w:t>
      </w:r>
      <w:r w:rsidR="00D13046">
        <w:t xml:space="preserve"> alterations in protein expression and/or degradation </w:t>
      </w:r>
      <w:r w:rsidR="00FD6635">
        <w:t xml:space="preserve">do not </w:t>
      </w:r>
      <w:r w:rsidR="00D13046">
        <w:t xml:space="preserve">provide insight into direct target binding. Attempts to profile the </w:t>
      </w:r>
      <w:r w:rsidR="00FD6635">
        <w:t xml:space="preserve">covalent </w:t>
      </w:r>
      <w:r w:rsidR="00D13046">
        <w:t>target spectrum of sulforaphane have empl</w:t>
      </w:r>
      <w:r w:rsidR="00473C4D">
        <w:t>oyed sulforaphane probe</w:t>
      </w:r>
      <w:r w:rsidR="00D13046">
        <w:t>s labelled with radioisotopes or bioorthogonal alkyne reporters.</w:t>
      </w:r>
      <w:r w:rsidR="007836BE">
        <w:fldChar w:fldCharType="begin"/>
      </w:r>
      <w:r w:rsidR="001825E1">
        <w:instrText xml:space="preserve"> ADDIN ZOTERO_ITEM CSL_CITATION {"citationID":"dqp8bh4q2","properties":{"formattedCitation":"{\\rtf \\super 8,10\\nosupersub{}}","plainCitation":"8,10"},"citationItems":[{"id":291,"uris":["http://zotero.org/users/local/RFLKuGZF/items/I74FW6NN"],"uri":["http://zotero.org/users/local/RFLKuGZF/items/I74FW6NN"],"itemData":{"id":291,"type":"article-journal","title":"Electrophilic tuning of the chemoprotective natural product sulforaphane","container-title":"Proceedings of the National Academy of Sciences of the United States of America","page":"9590-9595","volume":"107","issue":"21","source":"PubMed","abstract":"Sulforaphane [1-isothiocyanato-4-(methylsulfinyl)butane], a naturally occurring isothiocyanate derived from cruciferous vegetables, is a highly potent inducer of phase 2 cytoprotective enzymes and can protect against electrophiles including carcinogens, oxidative stress, and inflammation. The mechanism of action of sulforaphane is believed to involve modifications of critical cysteine residues of Keap1, which lead to stabilization of Nrf2 to activate the antioxidant response element of phase 2 enzymes. However, the dithiocarbamate functional group formed by a reversible reaction between isothiocyanate of sulforaphane and sulfhydryl nucleophiles of Keap1 is kinetically labile, and such modification in intact cells has not yet been demonstrated. Here we designed sulforaphane analogs with replacement of the reactive isothiocyanate by the more gentle electrophilic sulfoxythiocarbamate group that also selectively targets cysteine residues in proteins but forms stable thiocarbamate adducts. Twenty-four sulfoxythiocarbamate analogs were synthesized that retain the structural features important for high potency in sulforaphane analogs: the sulfoxide or keto group and its appropriate distance to electrophilic functional group. Evaluation in various cell lines including hepatoma cells, retinal pigment epithelial cells, and keratinocytes as well as in mouse skin shows that these analogs maintain high potency and efficacy for phase 2 enzyme induction as well as the inhibitory effect on lipopolysaccharide-induced nitric oxide formation like sulforaphane. We further show in living cells that a sulfoxythiocarbamate analog can label Keap1 on several key cysteine residues as well as other cellular proteins offering new insights into the mechanism of chemoprotection.","DOI":"10.1073/pnas.1004104107","ISSN":"1091-6490","note":"PMID: 20439747\nPMCID: PMC2906893","journalAbbreviation":"Proc. Natl. Acad. Sci. U.S.A.","language":"eng","author":[{"family":"Ahn","given":"Young-Hoon"},{"family":"Hwang","given":"Yousang"},{"family":"Liu","given":"Hua"},{"family":"Wang","given":"Xiu Jun"},{"family":"Zhang","given":"Ying"},{"family":"Stephenson","given":"Katherine K."},{"family":"Boronina","given":"Tatiana N."},{"family":"Cole","given":"Robert N."},{"family":"Dinkova-Kostova","given":"Albena T."},{"family":"Talalay","given":"Paul"},{"family":"Cole","given":"Philip A."}],"issued":{"date-parts":[["2010",5,25]]},"PMID":"20439747","PMCID":"PMC2906893"}},{"id":339,"uris":["http://zotero.org/users/local/RFLKuGZF/items/6Q73XCIF"],"uri":["http://zotero.org/users/local/RFLKuGZF/items/6Q73XCIF"],"itemData":{"id":339,"type":"article-journal","title":"Transcriptomic and proteomic profiling of KEAP1 disrupted and sulforaphane-treated human breast epithelial cells reveals common expression profiles","container-title":"Breast Cancer Research and Treatment","page":"175-187","volume":"132","issue":"1","source":"PubMed","abstract":"Sulforaphane (SFN), an isothiocyanate found in cruciferous vegetables, is a potent inhibitor of experimental mammary carcinogenesis and may be an effective, safe chemopreventive agent for use in humans. SFN acts in part on the Keap1/Nrf2 pathway to regulate a battery of cytoprotective genes. In this study, transcriptomic and proteomic changes in the estrogen receptor negative, non-tumorigenic human breast epithelial MCF10A cell line were analyzed following SFN treatment or KEAP1 knockdown with siRNA using microarray and stable isotopic labeling with amino acids in culture (SILAC), respectively. Changes in selected transcripts and proteins were confirmed by PCR and Western blot in MCF10A and MCF12A cells. There was strong correlation between the transcriptomic and proteomic responses in both the SFN treatment (R = 0.679, P &lt; 0.05) and KEAP1 knockdown (R = 0.853, P &lt; 0.05) experiments. Common pathways for SFN treatment and KEAP1 knockdown were xenobiotic metabolism and antioxidants, glutathione metabolism, carbohydrate metabolism, and NADH/NADPH regeneration. Moreover, these pathways were most prominent in both the transcriptomic and the proteomic analyses. The aldo-keto reductase family members, AKR1B10, AKR1C1, AKR1C2 and AKR1C3, as well as NQO1 and ALDH3A1, were highly upregulated at both the transcriptomic and the proteomic levels. Collectively, these studies served to identify potential biomarkers that can be used in clinical trials to investigate the initial pharmacodynamic action of SFN in the breast.","DOI":"10.1007/s10549-011-1536-9","ISSN":"1573-7217","note":"PMID: 21597922\nPMCID: PMC3564494","journalAbbreviation":"Breast Cancer Res. Treat.","language":"eng","author":[{"family":"Agyeman","given":"Abena S."},{"family":"Chaerkady","given":"Raghothama"},{"family":"Shaw","given":"Patrick G."},{"family":"Davidson","given":"Nancy E."},{"family":"Visvanathan","given":"Kala"},{"family":"Pandey","given":"Akhilesh"},{"family":"Kensler","given":"Thomas W."}],"issued":{"date-parts":[["2012",2]]},"PMID":"21597922","PMCID":"PMC3564494"}}],"schema":"https://github.com/citation-style-language/schema/raw/master/csl-citation.json"} </w:instrText>
      </w:r>
      <w:r w:rsidR="007836BE">
        <w:fldChar w:fldCharType="separate"/>
      </w:r>
      <w:r w:rsidR="001825E1" w:rsidRPr="001825E1">
        <w:rPr>
          <w:rFonts w:ascii="Calibri" w:hAnsi="Calibri" w:cs="Calibri"/>
          <w:szCs w:val="24"/>
          <w:vertAlign w:val="superscript"/>
        </w:rPr>
        <w:t>8</w:t>
      </w:r>
      <w:proofErr w:type="gramStart"/>
      <w:r w:rsidR="001825E1" w:rsidRPr="001825E1">
        <w:rPr>
          <w:rFonts w:ascii="Calibri" w:hAnsi="Calibri" w:cs="Calibri"/>
          <w:szCs w:val="24"/>
          <w:vertAlign w:val="superscript"/>
        </w:rPr>
        <w:t>,10</w:t>
      </w:r>
      <w:proofErr w:type="gramEnd"/>
      <w:r w:rsidR="007836BE">
        <w:fldChar w:fldCharType="end"/>
      </w:r>
      <w:r w:rsidR="00D13046">
        <w:t xml:space="preserve"> Analysis of radiolabelled targets by 2D PAGE followed by proteomic identification</w:t>
      </w:r>
      <w:r w:rsidR="00FD6635">
        <w:t xml:space="preserve"> has a strong</w:t>
      </w:r>
      <w:r w:rsidR="00D13046">
        <w:t xml:space="preserve"> bias towards highly abundant targets. </w:t>
      </w:r>
      <w:r w:rsidR="00FD6635">
        <w:t xml:space="preserve">In contrast, advances </w:t>
      </w:r>
      <w:r w:rsidR="00D13046">
        <w:t>in the use o</w:t>
      </w:r>
      <w:r w:rsidR="00473C4D">
        <w:t>f ‘click’ chemistry functionalis</w:t>
      </w:r>
      <w:r w:rsidR="00D13046">
        <w:t>ation of bioorthogonal reporters allow for a range of analysis, including global prote</w:t>
      </w:r>
      <w:r w:rsidR="007836BE">
        <w:t>omic profiling</w:t>
      </w:r>
      <w:r w:rsidR="00D13046">
        <w:t>.</w:t>
      </w:r>
      <w:r w:rsidR="007836BE">
        <w:fldChar w:fldCharType="begin"/>
      </w:r>
      <w:r w:rsidR="001825E1">
        <w:instrText xml:space="preserve"> ADDIN ZOTERO_ITEM CSL_CITATION {"citationID":"n4ajc7vbc","properties":{"formattedCitation":"{\\rtf \\super 11\\nosupersub{}}","plainCitation":"11"},"citationItems":[{"id":45,"uris":["http://zotero.org/users/local/RFLKuGZF/items/W8WRIFTP"],"uri":["http://zotero.org/users/local/RFLKuGZF/items/W8WRIFTP"],"itemData":{"id":45,"type":"article-journal","title":"Global profiling of protein lipidation using chemical proteomic technologies","container-title":"Current Opinion in Chemical Biology","page":"48-57","volume":"24","source":"PubMed","abstract":"Protein lipidation is unique amongst post-translational modifications (PTMs) in enabling direct interaction with cell membranes, and is found in every form of life. Lipidation is important in normal function and in disease, but its intricate interplay with disease context presents a challenging for drug development. Global whole-proteome profiling of protein lipidation lies beyond the range of standard methods, but is well-suited to metabolic tagging with small 'clickable' chemical reporters that do not disrupt metabolism and function; chemoselective reactions are then used to add multifunctional labels exclusively to tagged-lipidated proteins. This chemical proteomic technology has opened up the first quantitative whole-proteome studies of the known major classes of protein lipidation, and the first insights into their full scope in vivo.","DOI":"10.1016/j.cbpa.2014.10.016","ISSN":"1879-0402","note":"PMID: 25461723\nPMCID: PMC4319709","journalAbbreviation":"Curr Opin Chem Biol","language":"eng","author":[{"family":"Tate","given":"Edward W."},{"family":"Kalesh","given":"Karunakaran A."},{"family":"Lanyon-Hogg","given":"Thomas"},{"family":"Storck","given":"Elisabeth M."},{"family":"Thinon","given":"Emmanuelle"}],"issued":{"date-parts":[["2015",2]]},"PMID":"25461723","PMCID":"PMC4319709"}}],"schema":"https://github.com/citation-style-language/schema/raw/master/csl-citation.json"} </w:instrText>
      </w:r>
      <w:r w:rsidR="007836BE">
        <w:fldChar w:fldCharType="separate"/>
      </w:r>
      <w:r w:rsidR="001825E1" w:rsidRPr="001825E1">
        <w:rPr>
          <w:rFonts w:ascii="Calibri" w:hAnsi="Calibri" w:cs="Calibri"/>
          <w:szCs w:val="24"/>
          <w:vertAlign w:val="superscript"/>
        </w:rPr>
        <w:t>11</w:t>
      </w:r>
      <w:r w:rsidR="007836BE">
        <w:fldChar w:fldCharType="end"/>
      </w:r>
      <w:r w:rsidR="00D13046">
        <w:t xml:space="preserve"> To date, however, a comprehensive and </w:t>
      </w:r>
      <w:r w:rsidR="00FD6635">
        <w:t>un</w:t>
      </w:r>
      <w:r w:rsidR="00D13046">
        <w:t xml:space="preserve">biased screen of sulforaphane’s targets in a relevant </w:t>
      </w:r>
      <w:r w:rsidR="00D07FD7">
        <w:t xml:space="preserve">cancer </w:t>
      </w:r>
      <w:r w:rsidR="00D13046">
        <w:t>system is still lacking. We therefore sought to employ a quantitative, competition-based chemical proteomics strategy to profile sulforaphane’s targets in two breast cancer cell lines, and to identify the relative affinities of these targets for sulforaphane.</w:t>
      </w:r>
    </w:p>
    <w:p w14:paraId="77980674" w14:textId="4DBC029A" w:rsidR="0076529F" w:rsidRDefault="00C47EE4" w:rsidP="00D56B93">
      <w:pPr>
        <w:pStyle w:val="RSCB02ArticleText"/>
      </w:pPr>
      <w:r>
        <w:tab/>
      </w:r>
      <w:r w:rsidR="00D13046">
        <w:t xml:space="preserve">Ahn </w:t>
      </w:r>
      <w:r w:rsidR="00D13046" w:rsidRPr="00C47EE4">
        <w:rPr>
          <w:i/>
        </w:rPr>
        <w:t>et al</w:t>
      </w:r>
      <w:r w:rsidR="007836BE">
        <w:t>.</w:t>
      </w:r>
      <w:r w:rsidR="00D13046">
        <w:t xml:space="preserve"> </w:t>
      </w:r>
      <w:r w:rsidR="00DA3C03">
        <w:t xml:space="preserve">previously </w:t>
      </w:r>
      <w:r w:rsidR="00D13046">
        <w:t xml:space="preserve">reported the synthesis and application of cell-permeable alkyne-tagged </w:t>
      </w:r>
      <w:r w:rsidR="00473C4D">
        <w:t xml:space="preserve">sulforaphane </w:t>
      </w:r>
      <w:r w:rsidR="00D13046">
        <w:t xml:space="preserve">probe </w:t>
      </w:r>
      <w:r w:rsidR="00D13046" w:rsidRPr="00111BF2">
        <w:rPr>
          <w:b/>
        </w:rPr>
        <w:t>1</w:t>
      </w:r>
      <w:r w:rsidR="00D13046">
        <w:t xml:space="preserve"> (</w:t>
      </w:r>
      <w:r w:rsidR="005550E4">
        <w:t>Fig.</w:t>
      </w:r>
      <w:r w:rsidR="00226A39">
        <w:t xml:space="preserve"> 1a</w:t>
      </w:r>
      <w:r w:rsidR="00D13046">
        <w:t>);</w:t>
      </w:r>
      <w:r w:rsidR="007836BE">
        <w:fldChar w:fldCharType="begin"/>
      </w:r>
      <w:r w:rsidR="001825E1">
        <w:instrText xml:space="preserve"> ADDIN ZOTERO_ITEM CSL_CITATION {"citationID":"2o5hcgl4md","properties":{"formattedCitation":"{\\rtf \\super 10\\nosupersub{}}","plainCitation":"10"},"citationItems":[{"id":291,"uris":["http://zotero.org/users/local/RFLKuGZF/items/I74FW6NN"],"uri":["http://zotero.org/users/local/RFLKuGZF/items/I74FW6NN"],"itemData":{"id":291,"type":"article-journal","title":"Electrophilic tuning of the chemoprotective natural product sulforaphane","container-title":"Proceedings of the National Academy of Sciences of the United States of America","page":"9590-9595","volume":"107","issue":"21","source":"PubMed","abstract":"Sulforaphane [1-isothiocyanato-4-(methylsulfinyl)butane], a naturally occurring isothiocyanate derived from cruciferous vegetables, is a highly potent inducer of phase 2 cytoprotective enzymes and can protect against electrophiles including carcinogens, oxidative stress, and inflammation. The mechanism of action of sulforaphane is believed to involve modifications of critical cysteine residues of Keap1, which lead to stabilization of Nrf2 to activate the antioxidant response element of phase 2 enzymes. However, the dithiocarbamate functional group formed by a reversible reaction between isothiocyanate of sulforaphane and sulfhydryl nucleophiles of Keap1 is kinetically labile, and such modification in intact cells has not yet been demonstrated. Here we designed sulforaphane analogs with replacement of the reactive isothiocyanate by the more gentle electrophilic sulfoxythiocarbamate group that also selectively targets cysteine residues in proteins but forms stable thiocarbamate adducts. Twenty-four sulfoxythiocarbamate analogs were synthesized that retain the structural features important for high potency in sulforaphane analogs: the sulfoxide or keto group and its appropriate distance to electrophilic functional group. Evaluation in various cell lines including hepatoma cells, retinal pigment epithelial cells, and keratinocytes as well as in mouse skin shows that these analogs maintain high potency and efficacy for phase 2 enzyme induction as well as the inhibitory effect on lipopolysaccharide-induced nitric oxide formation like sulforaphane. We further show in living cells that a sulfoxythiocarbamate analog can label Keap1 on several key cysteine residues as well as other cellular proteins offering new insights into the mechanism of chemoprotection.","DOI":"10.1073/pnas.1004104107","ISSN":"1091-6490","note":"PMID: 20439747\nPMCID: PMC2906893","journalAbbreviation":"Proc. Natl. Acad. Sci. U.S.A.","language":"eng","author":[{"family":"Ahn","given":"Young-Hoon"},{"family":"Hwang","given":"Yousang"},{"family":"Liu","given":"Hua"},{"family":"Wang","given":"Xiu Jun"},{"family":"Zhang","given":"Ying"},{"family":"Stephenson","given":"Katherine K."},{"family":"Boronina","given":"Tatiana N."},{"family":"Cole","given":"Robert N."},{"family":"Dinkova-Kostova","given":"Albena T."},{"family":"Talalay","given":"Paul"},{"family":"Cole","given":"Philip A."}],"issued":{"date-parts":[["2010",5,25]]},"PMID":"20439747","PMCID":"PMC2906893"}}],"schema":"https://github.com/citation-style-language/schema/raw/master/csl-citation.json"} </w:instrText>
      </w:r>
      <w:r w:rsidR="007836BE">
        <w:fldChar w:fldCharType="separate"/>
      </w:r>
      <w:r w:rsidR="001825E1" w:rsidRPr="001825E1">
        <w:rPr>
          <w:rFonts w:ascii="Calibri" w:hAnsi="Calibri" w:cs="Calibri"/>
          <w:szCs w:val="24"/>
          <w:vertAlign w:val="superscript"/>
        </w:rPr>
        <w:t>10</w:t>
      </w:r>
      <w:r w:rsidR="007836BE">
        <w:fldChar w:fldCharType="end"/>
      </w:r>
      <w:r w:rsidR="00D13046">
        <w:t xml:space="preserve"> the electrophilic isothiocyanate group is replaced with sulfoxythiocarbamate</w:t>
      </w:r>
      <w:r w:rsidR="00FD6635">
        <w:t>,</w:t>
      </w:r>
      <w:r w:rsidR="00D13046">
        <w:t xml:space="preserve"> as the product of thiol addition to the latter is more stable.</w:t>
      </w:r>
      <w:r w:rsidR="00705C94">
        <w:t xml:space="preserve"> Sulforaphane’s sulfoxide moiety can be replaced with a ketone without affecting activity.</w:t>
      </w:r>
      <w:r w:rsidR="001F2D3F">
        <w:fldChar w:fldCharType="begin"/>
      </w:r>
      <w:r w:rsidR="001825E1">
        <w:instrText xml:space="preserve"> ADDIN ZOTERO_ITEM CSL_CITATION {"citationID":"1erc2mr05m","properties":{"formattedCitation":"{\\rtf \\super 10\\nosupersub{}}","plainCitation":"10"},"citationItems":[{"id":291,"uris":["http://zotero.org/users/local/RFLKuGZF/items/I74FW6NN"],"uri":["http://zotero.org/users/local/RFLKuGZF/items/I74FW6NN"],"itemData":{"id":291,"type":"article-journal","title":"Electrophilic tuning of the chemoprotective natural product sulforaphane","container-title":"Proceedings of the National Academy of Sciences of the United States of America","page":"9590-9595","volume":"107","issue":"21","source":"PubMed","abstract":"Sulforaphane [1-isothiocyanato-4-(methylsulfinyl)butane], a naturally occurring isothiocyanate derived from cruciferous vegetables, is a highly potent inducer of phase 2 cytoprotective enzymes and can protect against electrophiles including carcinogens, oxidative stress, and inflammation. The mechanism of action of sulforaphane is believed to involve modifications of critical cysteine residues of Keap1, which lead to stabilization of Nrf2 to activate the antioxidant response element of phase 2 enzymes. However, the dithiocarbamate functional group formed by a reversible reaction between isothiocyanate of sulforaphane and sulfhydryl nucleophiles of Keap1 is kinetically labile, and such modification in intact cells has not yet been demonstrated. Here we designed sulforaphane analogs with replacement of the reactive isothiocyanate by the more gentle electrophilic sulfoxythiocarbamate group that also selectively targets cysteine residues in proteins but forms stable thiocarbamate adducts. Twenty-four sulfoxythiocarbamate analogs were synthesized that retain the structural features important for high potency in sulforaphane analogs: the sulfoxide or keto group and its appropriate distance to electrophilic functional group. Evaluation in various cell lines including hepatoma cells, retinal pigment epithelial cells, and keratinocytes as well as in mouse skin shows that these analogs maintain high potency and efficacy for phase 2 enzyme induction as well as the inhibitory effect on lipopolysaccharide-induced nitric oxide formation like sulforaphane. We further show in living cells that a sulfoxythiocarbamate analog can label Keap1 on several key cysteine residues as well as other cellular proteins offering new insights into the mechanism of chemoprotection.","DOI":"10.1073/pnas.1004104107","ISSN":"1091-6490","note":"PMID: 20439747\nPMCID: PMC2906893","journalAbbreviation":"Proc. Natl. Acad. Sci. U.S.A.","language":"eng","author":[{"family":"Ahn","given":"Young-Hoon"},{"family":"Hwang","given":"Yousang"},{"family":"Liu","given":"Hua"},{"family":"Wang","given":"Xiu Jun"},{"family":"Zhang","given":"Ying"},{"family":"Stephenson","given":"Katherine K."},{"family":"Boronina","given":"Tatiana N."},{"family":"Cole","given":"Robert N."},{"family":"Dinkova-Kostova","given":"Albena T."},{"family":"Talalay","given":"Paul"},{"family":"Cole","given":"Philip A."}],"issued":{"date-parts":[["2010",5,25]]},"PMID":"20439747","PMCID":"PMC2906893"}}],"schema":"https://github.com/citation-style-language/schema/raw/master/csl-citation.json"} </w:instrText>
      </w:r>
      <w:r w:rsidR="001F2D3F">
        <w:fldChar w:fldCharType="separate"/>
      </w:r>
      <w:r w:rsidR="001825E1" w:rsidRPr="001825E1">
        <w:rPr>
          <w:rFonts w:ascii="Calibri" w:hAnsi="Calibri" w:cs="Calibri"/>
          <w:szCs w:val="24"/>
          <w:vertAlign w:val="superscript"/>
        </w:rPr>
        <w:t>10</w:t>
      </w:r>
      <w:r w:rsidR="001F2D3F">
        <w:fldChar w:fldCharType="end"/>
      </w:r>
      <w:r w:rsidR="00D13046">
        <w:t xml:space="preserve"> </w:t>
      </w:r>
      <w:r w:rsidR="00D13046" w:rsidRPr="00111BF2">
        <w:rPr>
          <w:b/>
        </w:rPr>
        <w:t>1</w:t>
      </w:r>
      <w:r w:rsidR="00D13046">
        <w:t xml:space="preserve"> </w:t>
      </w:r>
      <w:r w:rsidR="00FD6635">
        <w:t xml:space="preserve">was reported to </w:t>
      </w:r>
      <w:r w:rsidR="00D13046">
        <w:t>identif</w:t>
      </w:r>
      <w:r w:rsidR="00FD6635">
        <w:t>y</w:t>
      </w:r>
      <w:r w:rsidR="00D13046">
        <w:t xml:space="preserve"> over 100 protein targets in HEK293 cells by mass spectrometry</w:t>
      </w:r>
      <w:r w:rsidR="00473C4D">
        <w:t xml:space="preserve"> (MS)</w:t>
      </w:r>
      <w:r w:rsidR="00D13046">
        <w:t>; however, only two targets of this probe have been validated as genuine sulforaphane targets (macrophage migration inhibitory factor (MIF) and AKAP149)</w:t>
      </w:r>
      <w:r w:rsidR="00FD6635">
        <w:t>, and profiling was not performed in cancer cell lines</w:t>
      </w:r>
      <w:r w:rsidR="00D13046">
        <w:t>.</w:t>
      </w:r>
      <w:r w:rsidR="007836BE">
        <w:fldChar w:fldCharType="begin"/>
      </w:r>
      <w:r w:rsidR="001825E1">
        <w:instrText xml:space="preserve"> ADDIN ZOTERO_ITEM CSL_CITATION {"citationID":"2s2a47gpu","properties":{"formattedCitation":"{\\rtf \\super 10\\nosupersub{}}","plainCitation":"10"},"citationItems":[{"id":291,"uris":["http://zotero.org/users/local/RFLKuGZF/items/I74FW6NN"],"uri":["http://zotero.org/users/local/RFLKuGZF/items/I74FW6NN"],"itemData":{"id":291,"type":"article-journal","title":"Electrophilic tuning of the chemoprotective natural product sulforaphane","container-title":"Proceedings of the National Academy of Sciences of the United States of America","page":"9590-9595","volume":"107","issue":"21","source":"PubMed","abstract":"Sulforaphane [1-isothiocyanato-4-(methylsulfinyl)butane], a naturally occurring isothiocyanate derived from cruciferous vegetables, is a highly potent inducer of phase 2 cytoprotective enzymes and can protect against electrophiles including carcinogens, oxidative stress, and inflammation. The mechanism of action of sulforaphane is believed to involve modifications of critical cysteine residues of Keap1, which lead to stabilization of Nrf2 to activate the antioxidant response element of phase 2 enzymes. However, the dithiocarbamate functional group formed by a reversible reaction between isothiocyanate of sulforaphane and sulfhydryl nucleophiles of Keap1 is kinetically labile, and such modification in intact cells has not yet been demonstrated. Here we designed sulforaphane analogs with replacement of the reactive isothiocyanate by the more gentle electrophilic sulfoxythiocarbamate group that also selectively targets cysteine residues in proteins but forms stable thiocarbamate adducts. Twenty-four sulfoxythiocarbamate analogs were synthesized that retain the structural features important for high potency in sulforaphane analogs: the sulfoxide or keto group and its appropriate distance to electrophilic functional group. Evaluation in various cell lines including hepatoma cells, retinal pigment epithelial cells, and keratinocytes as well as in mouse skin shows that these analogs maintain high potency and efficacy for phase 2 enzyme induction as well as the inhibitory effect on lipopolysaccharide-induced nitric oxide formation like sulforaphane. We further show in living cells that a sulfoxythiocarbamate analog can label Keap1 on several key cysteine residues as well as other cellular proteins offering new insights into the mechanism of chemoprotection.","DOI":"10.1073/pnas.1004104107","ISSN":"1091-6490","note":"PMID: 20439747\nPMCID: PMC2906893","journalAbbreviation":"Proc. Natl. Acad. Sci. U.S.A.","language":"eng","author":[{"family":"Ahn","given":"Young-Hoon"},{"family":"Hwang","given":"Yousang"},{"family":"Liu","given":"Hua"},{"family":"Wang","given":"Xiu Jun"},{"family":"Zhang","given":"Ying"},{"family":"Stephenson","given":"Katherine K."},{"family":"Boronina","given":"Tatiana N."},{"family":"Cole","given":"Robert N."},{"family":"Dinkova-Kostova","given":"Albena T."},{"family":"Talalay","given":"Paul"},{"family":"Cole","given":"Philip A."}],"issued":{"date-parts":[["2010",5,25]]},"PMID":"20439747","PMCID":"PMC2906893"}}],"schema":"https://github.com/citation-style-language/schema/raw/master/csl-citation.json"} </w:instrText>
      </w:r>
      <w:r w:rsidR="007836BE">
        <w:fldChar w:fldCharType="separate"/>
      </w:r>
      <w:r w:rsidR="001825E1" w:rsidRPr="001825E1">
        <w:rPr>
          <w:rFonts w:ascii="Calibri" w:hAnsi="Calibri" w:cs="Calibri"/>
          <w:szCs w:val="24"/>
          <w:vertAlign w:val="superscript"/>
        </w:rPr>
        <w:t>10</w:t>
      </w:r>
      <w:r w:rsidR="007836BE">
        <w:fldChar w:fldCharType="end"/>
      </w:r>
      <w:r w:rsidR="00473C4D">
        <w:t xml:space="preserve"> We therefore synthesis</w:t>
      </w:r>
      <w:r w:rsidR="00D13046">
        <w:t xml:space="preserve">ed </w:t>
      </w:r>
      <w:r w:rsidR="00D13046" w:rsidRPr="00111BF2">
        <w:rPr>
          <w:b/>
        </w:rPr>
        <w:t>1</w:t>
      </w:r>
      <w:r w:rsidR="00473C4D">
        <w:t xml:space="preserve"> alongside</w:t>
      </w:r>
      <w:r w:rsidR="00D13046">
        <w:t xml:space="preserve"> </w:t>
      </w:r>
      <w:r w:rsidR="00D07FD7">
        <w:t xml:space="preserve">a </w:t>
      </w:r>
      <w:r w:rsidR="00D13046">
        <w:t xml:space="preserve">novel probe </w:t>
      </w:r>
      <w:r w:rsidR="00D13046" w:rsidRPr="00111BF2">
        <w:rPr>
          <w:b/>
        </w:rPr>
        <w:t>2</w:t>
      </w:r>
      <w:r w:rsidR="00D13046">
        <w:t xml:space="preserve"> (</w:t>
      </w:r>
      <w:r w:rsidR="005550E4">
        <w:t>Fig.</w:t>
      </w:r>
      <w:r w:rsidR="00226A39">
        <w:t xml:space="preserve"> 1a</w:t>
      </w:r>
      <w:r w:rsidR="00095AEF">
        <w:t>) with</w:t>
      </w:r>
      <w:r w:rsidR="00473C4D">
        <w:t xml:space="preserve"> </w:t>
      </w:r>
      <w:r w:rsidR="00D07FD7">
        <w:t xml:space="preserve">greatly </w:t>
      </w:r>
      <w:r w:rsidR="00473C4D">
        <w:t>reduced steric encumbrance around the electrophilic warhead</w:t>
      </w:r>
      <w:r w:rsidR="00095AEF">
        <w:t xml:space="preserve">. </w:t>
      </w:r>
      <w:r w:rsidR="00095AEF" w:rsidRPr="00095AEF">
        <w:rPr>
          <w:b/>
        </w:rPr>
        <w:t>2</w:t>
      </w:r>
      <w:r w:rsidR="00095AEF">
        <w:t xml:space="preserve"> was synthesised</w:t>
      </w:r>
      <w:r w:rsidR="00473C4D">
        <w:t xml:space="preserve"> </w:t>
      </w:r>
      <w:r w:rsidR="00D13046">
        <w:t>using a modifi</w:t>
      </w:r>
      <w:r w:rsidR="00473C4D">
        <w:t>ed procedure</w:t>
      </w:r>
      <w:r w:rsidR="00705C94">
        <w:t xml:space="preserve"> </w:t>
      </w:r>
      <w:r w:rsidR="00171A22">
        <w:t xml:space="preserve">to introduce the alkyne handle in </w:t>
      </w:r>
      <w:r w:rsidR="00C92A6F">
        <w:t xml:space="preserve">a </w:t>
      </w:r>
      <w:r w:rsidR="00D07FD7">
        <w:t>short synthetic sequence from</w:t>
      </w:r>
      <w:r w:rsidR="00171A22">
        <w:t xml:space="preserve"> propargyl</w:t>
      </w:r>
      <w:r w:rsidR="00E53FA7">
        <w:t>a</w:t>
      </w:r>
      <w:r w:rsidR="00171A22">
        <w:t>m</w:t>
      </w:r>
      <w:r w:rsidR="00E53FA7">
        <w:t>in</w:t>
      </w:r>
      <w:r w:rsidR="00171A22">
        <w:t xml:space="preserve">e </w:t>
      </w:r>
      <w:r w:rsidR="00705C94">
        <w:t>(</w:t>
      </w:r>
      <w:r w:rsidR="00226A39">
        <w:t>ESI</w:t>
      </w:r>
      <w:proofErr w:type="gramStart"/>
      <w:r w:rsidR="00226A39">
        <w:t>,†</w:t>
      </w:r>
      <w:proofErr w:type="gramEnd"/>
      <w:r w:rsidR="00226A39">
        <w:t xml:space="preserve"> Scheme S1 and S2</w:t>
      </w:r>
      <w:r w:rsidR="00705C94">
        <w:t>)</w:t>
      </w:r>
      <w:r w:rsidR="00D13046">
        <w:t xml:space="preserve">. </w:t>
      </w:r>
      <w:r w:rsidR="001F2D3F" w:rsidRPr="001F2D3F">
        <w:t>S</w:t>
      </w:r>
      <w:r w:rsidR="004241EC" w:rsidRPr="004241EC">
        <w:t xml:space="preserve">ulforaphane </w:t>
      </w:r>
      <w:r w:rsidR="001F2D3F">
        <w:t xml:space="preserve">and </w:t>
      </w:r>
      <w:r w:rsidR="001F2D3F" w:rsidRPr="001F2D3F">
        <w:rPr>
          <w:b/>
        </w:rPr>
        <w:t>2</w:t>
      </w:r>
      <w:r w:rsidR="001F2D3F">
        <w:t xml:space="preserve"> </w:t>
      </w:r>
      <w:r w:rsidR="004241EC" w:rsidRPr="004241EC">
        <w:t>display similar</w:t>
      </w:r>
      <w:r w:rsidR="004E4FB1" w:rsidRPr="004241EC">
        <w:t xml:space="preserve"> </w:t>
      </w:r>
      <w:r w:rsidR="00E05674">
        <w:t xml:space="preserve">lipophilicity (cLogP = 0.15 </w:t>
      </w:r>
    </w:p>
    <w:p w14:paraId="7159BEC2" w14:textId="1E3C8F85" w:rsidR="008D7303" w:rsidRDefault="00E05674" w:rsidP="00D56B93">
      <w:pPr>
        <w:pStyle w:val="RSCB02ArticleText"/>
      </w:pPr>
      <w:proofErr w:type="gramStart"/>
      <w:r>
        <w:t>and</w:t>
      </w:r>
      <w:proofErr w:type="gramEnd"/>
      <w:r>
        <w:t xml:space="preserve"> -0.62, respectively), which is</w:t>
      </w:r>
      <w:r w:rsidR="005A000A" w:rsidRPr="005A000A">
        <w:t xml:space="preserve"> </w:t>
      </w:r>
      <w:r w:rsidR="005A000A">
        <w:t>significantly lower than probe</w:t>
      </w:r>
    </w:p>
    <w:p w14:paraId="0A83FF0A" w14:textId="35960EA5" w:rsidR="00F14385" w:rsidRDefault="005226CD" w:rsidP="00DD205A">
      <w:pPr>
        <w:pStyle w:val="RSCB02ArticleText"/>
        <w:pBdr>
          <w:bottom w:val="single" w:sz="6" w:space="1" w:color="auto"/>
        </w:pBdr>
        <w:spacing w:line="240" w:lineRule="auto"/>
        <w:rPr>
          <w:noProof/>
          <w:lang w:eastAsia="en-GB"/>
        </w:rPr>
      </w:pPr>
      <w:r w:rsidRPr="005226CD">
        <w:rPr>
          <w:noProof/>
          <w:lang w:eastAsia="en-GB"/>
        </w:rPr>
        <w:lastRenderedPageBreak/>
        <w:drawing>
          <wp:inline distT="0" distB="0" distL="0" distR="0" wp14:anchorId="309DC83A" wp14:editId="4A3A31D1">
            <wp:extent cx="2959100" cy="42183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9100" cy="4218305"/>
                    </a:xfrm>
                    <a:prstGeom prst="rect">
                      <a:avLst/>
                    </a:prstGeom>
                    <a:noFill/>
                    <a:ln>
                      <a:noFill/>
                    </a:ln>
                  </pic:spPr>
                </pic:pic>
              </a:graphicData>
            </a:graphic>
          </wp:inline>
        </w:drawing>
      </w:r>
    </w:p>
    <w:p w14:paraId="24834201" w14:textId="74E45F98" w:rsidR="00D56B93" w:rsidRDefault="005550E4" w:rsidP="00DD205A">
      <w:pPr>
        <w:pStyle w:val="RSCB02ArticleText"/>
        <w:pBdr>
          <w:bottom w:val="single" w:sz="6" w:space="1" w:color="auto"/>
        </w:pBdr>
        <w:spacing w:line="240" w:lineRule="auto"/>
        <w:rPr>
          <w:sz w:val="14"/>
          <w:szCs w:val="14"/>
        </w:rPr>
      </w:pPr>
      <w:proofErr w:type="gramStart"/>
      <w:r w:rsidRPr="00DA3C03">
        <w:rPr>
          <w:b/>
          <w:sz w:val="14"/>
          <w:szCs w:val="14"/>
        </w:rPr>
        <w:t xml:space="preserve">Fig. 1 </w:t>
      </w:r>
      <w:r w:rsidR="00C318FC">
        <w:rPr>
          <w:sz w:val="14"/>
          <w:szCs w:val="14"/>
        </w:rPr>
        <w:t>(a) S</w:t>
      </w:r>
      <w:r w:rsidRPr="00DA3C03">
        <w:rPr>
          <w:sz w:val="14"/>
          <w:szCs w:val="14"/>
        </w:rPr>
        <w:t xml:space="preserve">tructures of sulforaphane and probes </w:t>
      </w:r>
      <w:r w:rsidRPr="00C318FC">
        <w:rPr>
          <w:b/>
          <w:sz w:val="14"/>
          <w:szCs w:val="14"/>
        </w:rPr>
        <w:t>1</w:t>
      </w:r>
      <w:r w:rsidRPr="00DA3C03">
        <w:rPr>
          <w:sz w:val="14"/>
          <w:szCs w:val="14"/>
        </w:rPr>
        <w:t xml:space="preserve"> and </w:t>
      </w:r>
      <w:r w:rsidRPr="00C318FC">
        <w:rPr>
          <w:b/>
          <w:sz w:val="14"/>
          <w:szCs w:val="14"/>
        </w:rPr>
        <w:t>2</w:t>
      </w:r>
      <w:r w:rsidRPr="00DA3C03">
        <w:rPr>
          <w:sz w:val="14"/>
          <w:szCs w:val="14"/>
        </w:rPr>
        <w:t>.</w:t>
      </w:r>
      <w:proofErr w:type="gramEnd"/>
      <w:r w:rsidRPr="00DA3C03">
        <w:rPr>
          <w:sz w:val="14"/>
          <w:szCs w:val="14"/>
        </w:rPr>
        <w:t xml:space="preserve"> The electrophilic moiety of each molecule is highlighted in blue, and</w:t>
      </w:r>
      <w:r w:rsidR="008A667C">
        <w:rPr>
          <w:sz w:val="14"/>
          <w:szCs w:val="14"/>
        </w:rPr>
        <w:t xml:space="preserve"> the bioorthogonal alkyne handle</w:t>
      </w:r>
      <w:r w:rsidRPr="00DA3C03">
        <w:rPr>
          <w:sz w:val="14"/>
          <w:szCs w:val="14"/>
        </w:rPr>
        <w:t xml:space="preserve"> in red. (b) </w:t>
      </w:r>
      <w:r w:rsidR="00C669AA">
        <w:rPr>
          <w:sz w:val="14"/>
          <w:szCs w:val="14"/>
        </w:rPr>
        <w:t>MCF7 and (c) MDA-MB-231 lysate i</w:t>
      </w:r>
      <w:r w:rsidRPr="00DA3C03">
        <w:rPr>
          <w:sz w:val="14"/>
          <w:szCs w:val="14"/>
        </w:rPr>
        <w:t xml:space="preserve">n-gel fluorescence and coomassie staining </w:t>
      </w:r>
      <w:r w:rsidR="00C669AA">
        <w:rPr>
          <w:sz w:val="14"/>
          <w:szCs w:val="14"/>
        </w:rPr>
        <w:t>after</w:t>
      </w:r>
      <w:r w:rsidR="008A667C">
        <w:rPr>
          <w:sz w:val="14"/>
          <w:szCs w:val="14"/>
        </w:rPr>
        <w:t xml:space="preserve"> in-cell</w:t>
      </w:r>
      <w:r w:rsidRPr="00DA3C03">
        <w:rPr>
          <w:sz w:val="14"/>
          <w:szCs w:val="14"/>
        </w:rPr>
        <w:t xml:space="preserve"> labelling with </w:t>
      </w:r>
      <w:r w:rsidRPr="00C318FC">
        <w:rPr>
          <w:b/>
          <w:sz w:val="14"/>
          <w:szCs w:val="14"/>
        </w:rPr>
        <w:t>1</w:t>
      </w:r>
      <w:r w:rsidRPr="00DA3C03">
        <w:rPr>
          <w:sz w:val="14"/>
          <w:szCs w:val="14"/>
        </w:rPr>
        <w:t xml:space="preserve"> or </w:t>
      </w:r>
      <w:r w:rsidRPr="00C318FC">
        <w:rPr>
          <w:b/>
          <w:sz w:val="14"/>
          <w:szCs w:val="14"/>
        </w:rPr>
        <w:t>2</w:t>
      </w:r>
      <w:r w:rsidRPr="00DA3C03">
        <w:rPr>
          <w:sz w:val="14"/>
          <w:szCs w:val="14"/>
        </w:rPr>
        <w:t xml:space="preserve">, competed against a concentration gradient of sulforaphane, iodoacetamide (IAA), or </w:t>
      </w:r>
      <w:r w:rsidRPr="00C318FC">
        <w:rPr>
          <w:i/>
          <w:sz w:val="14"/>
          <w:szCs w:val="14"/>
        </w:rPr>
        <w:t>N</w:t>
      </w:r>
      <w:r w:rsidRPr="00DA3C03">
        <w:rPr>
          <w:sz w:val="14"/>
          <w:szCs w:val="14"/>
        </w:rPr>
        <w:t>-ethylmaleimide (NEM).</w:t>
      </w:r>
    </w:p>
    <w:p w14:paraId="283B4C41" w14:textId="3B4D3C62" w:rsidR="00D13046" w:rsidRDefault="008D7303" w:rsidP="008D7303">
      <w:pPr>
        <w:pStyle w:val="RSCB02ArticleText"/>
      </w:pPr>
      <w:r w:rsidRPr="004E4FB1">
        <w:rPr>
          <w:b/>
        </w:rPr>
        <w:t>1</w:t>
      </w:r>
      <w:r>
        <w:t xml:space="preserve"> (cLogP = 2.7). This</w:t>
      </w:r>
      <w:r w:rsidRPr="003E3593">
        <w:t xml:space="preserve"> </w:t>
      </w:r>
      <w:r>
        <w:t xml:space="preserve">improvement in probe lipophilicity </w:t>
      </w:r>
      <w:r w:rsidR="00095AEF">
        <w:t xml:space="preserve">(ΔcLogP = 3.3) was expected </w:t>
      </w:r>
      <w:r w:rsidR="00E05674">
        <w:t xml:space="preserve">to </w:t>
      </w:r>
      <w:r w:rsidR="00D07FD7">
        <w:t xml:space="preserve">impart </w:t>
      </w:r>
      <w:r w:rsidR="00E05674">
        <w:t>reduced non-specific</w:t>
      </w:r>
      <w:r w:rsidR="001F2D3F">
        <w:t xml:space="preserve"> </w:t>
      </w:r>
      <w:r w:rsidR="001825E1">
        <w:t>binding</w:t>
      </w:r>
      <w:r w:rsidR="00D07FD7">
        <w:t xml:space="preserve"> to </w:t>
      </w:r>
      <w:r w:rsidR="00D07FD7" w:rsidRPr="004241EC">
        <w:rPr>
          <w:b/>
        </w:rPr>
        <w:t>2</w:t>
      </w:r>
      <w:r w:rsidR="001825E1">
        <w:t>.</w:t>
      </w:r>
      <w:r w:rsidR="00095AEF">
        <w:t xml:space="preserve"> </w:t>
      </w:r>
      <w:r w:rsidR="006E410B">
        <w:t xml:space="preserve">Probe </w:t>
      </w:r>
      <w:r w:rsidR="006E410B" w:rsidRPr="000A30D6">
        <w:rPr>
          <w:b/>
        </w:rPr>
        <w:t>1</w:t>
      </w:r>
      <w:r w:rsidR="006E410B">
        <w:t xml:space="preserve"> has already been shown to exert similar biological effects to sulforaphane,</w:t>
      </w:r>
      <w:r w:rsidR="006E410B">
        <w:fldChar w:fldCharType="begin"/>
      </w:r>
      <w:r w:rsidR="006E410B">
        <w:instrText xml:space="preserve"> ADDIN ZOTERO_ITEM CSL_CITATION {"citationID":"2o5hcgl4md","properties":{"formattedCitation":"{\\rtf \\super 10\\nosupersub{}}","plainCitation":"10"},"citationItems":[{"id":291,"uris":["http://zotero.org/users/local/RFLKuGZF/items/I74FW6NN"],"uri":["http://zotero.org/users/local/RFLKuGZF/items/I74FW6NN"],"itemData":{"id":291,"type":"article-journal","title":"Electrophilic tuning of the chemoprotective natural product sulforaphane","container-title":"Proceedings of the National Academy of Sciences of the United States of America","page":"9590-9595","volume":"107","issue":"21","source":"PubMed","abstract":"Sulforaphane [1-isothiocyanato-4-(methylsulfinyl)butane], a naturally occurring isothiocyanate derived from cruciferous vegetables, is a highly potent inducer of phase 2 cytoprotective enzymes and can protect against electrophiles including carcinogens, oxidative stress, and inflammation. The mechanism of action of sulforaphane is believed to involve modifications of critical cysteine residues of Keap1, which lead to stabilization of Nrf2 to activate the antioxidant response element of phase 2 enzymes. However, the dithiocarbamate functional group formed by a reversible reaction between isothiocyanate of sulforaphane and sulfhydryl nucleophiles of Keap1 is kinetically labile, and such modification in intact cells has not yet been demonstrated. Here we designed sulforaphane analogs with replacement of the reactive isothiocyanate by the more gentle electrophilic sulfoxythiocarbamate group that also selectively targets cysteine residues in proteins but forms stable thiocarbamate adducts. Twenty-four sulfoxythiocarbamate analogs were synthesized that retain the structural features important for high potency in sulforaphane analogs: the sulfoxide or keto group and its appropriate distance to electrophilic functional group. Evaluation in various cell lines including hepatoma cells, retinal pigment epithelial cells, and keratinocytes as well as in mouse skin shows that these analogs maintain high potency and efficacy for phase 2 enzyme induction as well as the inhibitory effect on lipopolysaccharide-induced nitric oxide formation like sulforaphane. We further show in living cells that a sulfoxythiocarbamate analog can label Keap1 on several key cysteine residues as well as other cellular proteins offering new insights into the mechanism of chemoprotection.","DOI":"10.1073/pnas.1004104107","ISSN":"1091-6490","note":"PMID: 20439747\nPMCID: PMC2906893","journalAbbreviation":"Proc. Natl. Acad. Sci. U.S.A.","language":"eng","author":[{"family":"Ahn","given":"Young-Hoon"},{"family":"Hwang","given":"Yousang"},{"family":"Liu","given":"Hua"},{"family":"Wang","given":"Xiu Jun"},{"family":"Zhang","given":"Ying"},{"family":"Stephenson","given":"Katherine K."},{"family":"Boronina","given":"Tatiana N."},{"family":"Cole","given":"Robert N."},{"family":"Dinkova-Kostova","given":"Albena T."},{"family":"Talalay","given":"Paul"},{"family":"Cole","given":"Philip A."}],"issued":{"date-parts":[["2010",5,25]]},"PMID":"20439747","PMCID":"PMC2906893"}}],"schema":"https://github.com/citation-style-language/schema/raw/master/csl-citation.json"} </w:instrText>
      </w:r>
      <w:r w:rsidR="006E410B">
        <w:fldChar w:fldCharType="separate"/>
      </w:r>
      <w:r w:rsidR="006E410B" w:rsidRPr="001825E1">
        <w:rPr>
          <w:rFonts w:ascii="Calibri" w:hAnsi="Calibri" w:cs="Calibri"/>
          <w:szCs w:val="24"/>
          <w:vertAlign w:val="superscript"/>
        </w:rPr>
        <w:t>10</w:t>
      </w:r>
      <w:r w:rsidR="006E410B">
        <w:fldChar w:fldCharType="end"/>
      </w:r>
      <w:r w:rsidR="006E410B">
        <w:t xml:space="preserve"> suggesting </w:t>
      </w:r>
      <w:r w:rsidR="006E410B" w:rsidRPr="000A30D6">
        <w:rPr>
          <w:b/>
        </w:rPr>
        <w:t>2</w:t>
      </w:r>
      <w:r w:rsidR="006E410B">
        <w:t xml:space="preserve"> would also mimic this biological activity. </w:t>
      </w:r>
      <w:r w:rsidR="004241EC">
        <w:t xml:space="preserve">MCF7 and MDA-MB-231 breast </w:t>
      </w:r>
      <w:r w:rsidR="00171A22">
        <w:t xml:space="preserve">cancer cell lines were selected as biologically relevant systems for treatment with </w:t>
      </w:r>
      <w:r w:rsidR="00171A22" w:rsidRPr="00D14B0B">
        <w:rPr>
          <w:b/>
        </w:rPr>
        <w:t>1</w:t>
      </w:r>
      <w:r w:rsidR="00171A22">
        <w:t xml:space="preserve"> and </w:t>
      </w:r>
      <w:r w:rsidR="00171A22" w:rsidRPr="00D14B0B">
        <w:rPr>
          <w:b/>
        </w:rPr>
        <w:t>2</w:t>
      </w:r>
      <w:r w:rsidR="00171A22">
        <w:t xml:space="preserve">. </w:t>
      </w:r>
      <w:r w:rsidR="00705C94">
        <w:t xml:space="preserve">Following in-cell labelling with </w:t>
      </w:r>
      <w:r w:rsidR="00D07FD7">
        <w:t xml:space="preserve">each </w:t>
      </w:r>
      <w:r w:rsidR="00705C94">
        <w:t xml:space="preserve">probe, cells were lysed and probe-labelled proteomes functionalised with azido-TAMRA </w:t>
      </w:r>
      <w:r w:rsidR="00965040">
        <w:t>capture reagent</w:t>
      </w:r>
      <w:r w:rsidR="00965040">
        <w:fldChar w:fldCharType="begin"/>
      </w:r>
      <w:r w:rsidR="001825E1">
        <w:instrText xml:space="preserve"> ADDIN ZOTERO_ITEM CSL_CITATION {"citationID":"1n0jdrmpf6","properties":{"formattedCitation":"{\\rtf \\super 12\\nosupersub{}}","plainCitation":"12"},"citationItems":[{"id":123,"uris":["http://zotero.org/users/local/RFLKuGZF/items/ZGSRARGJ"],"uri":["http://zotero.org/users/local/RFLKuGZF/items/ZGSRARGJ"],"itemData":{"id":123,"type":"article-journal","title":"Global profiling of co- and post-translationally N-myristoylated proteomes in human cells","container-title":"Nature Communications","page":"4919","volume":"5","source":"www.nature.com","abstract":"Protein N-myristoylation is a ubiquitous co- and post-translational modification that has been implicated in the development and progression of a range of human diseases. Here, we report the global N-myristoylated proteome in human cells determined using quantitative chemical proteomics combined with potent and specific human N-myristoyltransferase (NMT) inhibition. Global quantification of N-myristoylation during normal growth or apoptosis allowed the identification of &gt;100 N-myristoylated proteins, &gt;95% of which are identified for the first time at endogenous levels. Furthermore, quantitative dose response for inhibition of N-myristoylation is determined for &gt;70 substrates simultaneously across the proteome. Small-molecule inhibition through a conserved substrate-binding pocket is also demonstrated by solving the crystal structures of inhibitor-bound ​NMT1 and ​NMT2. The presented data substantially expand the known repertoire of co- and post-translational N-myristoylation in addition to validating tools for the pharmacological inhibition of NMT in living cells.","DOI":"10.1038/ncomms5919","journalAbbreviation":"Nat Commun","language":"en","author":[{"family":"Thinon","given":"Emmanuelle"},{"family":"Serwa","given":"Remigiusz A."},{"family":"Broncel","given":"Malgorzata"},{"family":"Brannigan","given":"James A."},{"family":"Brassat","given":"Ute"},{"family":"Wright","given":"Megan H."},{"family":"Heal","given":"William P."},{"family":"Wilkinson","given":"Anthony J."},{"family":"Mann","given":"David J."},{"family":"Tate","given":"Edward W."}],"issued":{"date-parts":[["2014",9,26]]}}}],"schema":"https://github.com/citation-style-language/schema/raw/master/csl-citation.json"} </w:instrText>
      </w:r>
      <w:r w:rsidR="00965040">
        <w:fldChar w:fldCharType="separate"/>
      </w:r>
      <w:r w:rsidR="001825E1" w:rsidRPr="001825E1">
        <w:rPr>
          <w:rFonts w:ascii="Calibri" w:hAnsi="Calibri" w:cs="Calibri"/>
          <w:szCs w:val="24"/>
          <w:vertAlign w:val="superscript"/>
        </w:rPr>
        <w:t>12</w:t>
      </w:r>
      <w:r w:rsidR="00965040">
        <w:fldChar w:fldCharType="end"/>
      </w:r>
      <w:r w:rsidR="00965040">
        <w:t xml:space="preserve"> to specifically visualise covalent targets, using </w:t>
      </w:r>
      <w:r w:rsidR="00D07FD7">
        <w:t>well-</w:t>
      </w:r>
      <w:r w:rsidR="00D13046">
        <w:t>established copper-catalysed alkyne-azide cycloaddition (CuAAC) methodology.</w:t>
      </w:r>
      <w:r w:rsidR="007836BE">
        <w:fldChar w:fldCharType="begin"/>
      </w:r>
      <w:r w:rsidR="00E0082D">
        <w:instrText xml:space="preserve"> ADDIN ZOTERO_ITEM CSL_CITATION {"citationID":"DcecNY6t","properties":{"formattedCitation":"{\\rtf \\super 13\\nosupersub{}}","plainCitation":"13"},"citationItems":[{"id":120,"uris":["http://zotero.org/users/local/RFLKuGZF/items/Z4P8CP8P"],"uri":["http://zotero.org/users/local/RFLKuGZF/items/Z4P8CP8P"],"itemData":{"id":120,"type":"article-journal","title":"Validation of N-myristoyltransferase as an antimalarial drug target using an integrated chemical biology approach","container-title":"Nature Chemistry","page":"112-121","volume":"6","issue":"2","source":"www.nature.com","abstract":"Malaria is an infectious disease caused by parasites of the genus Plasmodium, which leads to approximately one million deaths per annum worldwide. Chemical validation of new antimalarial targets is urgently required in view of rising resistance to current drugs. One such putative target is the enzyme N-myristoyltransferase, which catalyses the attachment of the fatty acid myristate to protein substrates (N-myristoylation). Here, we report an integrated chemical biology approach to explore protein myristoylation in the major human parasite P. falciparum, combining chemical proteomic tools for identification of the myristoylated and glycosylphosphatidylinositol-anchored proteome with selective small-molecule N-myristoyltransferase inhibitors. We demonstrate that N-myristoyltransferase is an essential and chemically tractable target in malaria parasites both in vitro and in vivo, and show that selective inhibition of N-myristoylation leads to catastrophic and irreversible failure to assemble the inner membrane complex, a critical subcellular organelle in the parasite life cycle. Our studies provide the basis for the development of new antimalarials targeting N-myristoyltransferase.","DOI":"10.1038/nchem.1830","ISSN":"1755-4330","journalAbbreviation":"Nat Chem","language":"en","author":[{"family":"Wright","given":"Megan H."},{"family":"Clough","given":"Barbara"},{"family":"Rackham","given":"Mark D."},{"family":"Rangachari","given":"Kaveri"},{"family":"Brannigan","given":"James A."},{"family":"Grainger","given":"Munira"},{"family":"Moss","given":"David K."},{"family":"Bottrill","given":"Andrew R."},{"family":"Heal","given":"William P."},{"family":"Broncel","given":"Malgorzata"},{"family":"Serwa","given":"Remigiusz A."},{"family":"Brady","given":"Declan"},{"family":"Mann","given":"David J."},{"family":"Leatherbarrow","given":"Robin J."},{"family":"Tewari","given":"Rita"},{"family":"Wilkinson","given":"Anthony J."},{"family":"Holder","given":"Anthony A."},{"family":"Tate","given":"Edward W."}],"issued":{"date-parts":[["2014",2]]}}}],"schema":"https://github.com/citation-style-language/schema/raw/master/csl-citation.json"} </w:instrText>
      </w:r>
      <w:r w:rsidR="007836BE">
        <w:fldChar w:fldCharType="separate"/>
      </w:r>
      <w:r w:rsidR="00E0082D" w:rsidRPr="00E0082D">
        <w:rPr>
          <w:rFonts w:ascii="Calibri" w:hAnsi="Calibri"/>
          <w:szCs w:val="24"/>
          <w:vertAlign w:val="superscript"/>
        </w:rPr>
        <w:t>13</w:t>
      </w:r>
      <w:r w:rsidR="007836BE">
        <w:fldChar w:fldCharType="end"/>
      </w:r>
      <w:r w:rsidR="00D13046">
        <w:t xml:space="preserve"> Proteomes were resolved by SDS-PAGE and analysed by in-gel fluorescence</w:t>
      </w:r>
      <w:r w:rsidR="001825E1">
        <w:t xml:space="preserve"> (Fig. 1)</w:t>
      </w:r>
      <w:r w:rsidR="00D13046">
        <w:t xml:space="preserve">. To </w:t>
      </w:r>
      <w:r w:rsidR="00DF60C9">
        <w:t xml:space="preserve">determine the extent to which </w:t>
      </w:r>
      <w:r w:rsidR="00D13046">
        <w:t xml:space="preserve">sulforaphane </w:t>
      </w:r>
      <w:r w:rsidR="00DF60C9">
        <w:t xml:space="preserve">shares </w:t>
      </w:r>
      <w:r w:rsidR="00D13046">
        <w:t xml:space="preserve">the same </w:t>
      </w:r>
      <w:r w:rsidR="00D14B0B">
        <w:t>target</w:t>
      </w:r>
      <w:r w:rsidR="00B54F24">
        <w:t xml:space="preserve"> profile</w:t>
      </w:r>
      <w:r w:rsidR="00D14B0B">
        <w:t xml:space="preserve"> as </w:t>
      </w:r>
      <w:r w:rsidR="00DF60C9">
        <w:t xml:space="preserve">each </w:t>
      </w:r>
      <w:r w:rsidR="00D14B0B">
        <w:t>probe</w:t>
      </w:r>
      <w:r w:rsidR="00D13046">
        <w:t>, competition assays were performed where</w:t>
      </w:r>
      <w:r w:rsidR="00DF60C9">
        <w:t>by</w:t>
      </w:r>
      <w:r w:rsidR="00D13046">
        <w:t xml:space="preserve"> cells were incubated with sulforaphane prior to probe treatment. </w:t>
      </w:r>
      <w:r w:rsidR="00DF60C9">
        <w:t>S</w:t>
      </w:r>
      <w:r w:rsidR="00D13046">
        <w:t xml:space="preserve">ulforaphane concentration-dependent reduction in labelling by </w:t>
      </w:r>
      <w:r w:rsidR="00D13046" w:rsidRPr="00473C4D">
        <w:rPr>
          <w:b/>
        </w:rPr>
        <w:t>1</w:t>
      </w:r>
      <w:r w:rsidR="00D13046">
        <w:t xml:space="preserve"> and </w:t>
      </w:r>
      <w:r w:rsidR="00D13046" w:rsidRPr="00473C4D">
        <w:rPr>
          <w:b/>
        </w:rPr>
        <w:t>2</w:t>
      </w:r>
      <w:r w:rsidR="00D13046">
        <w:t xml:space="preserve"> was obser</w:t>
      </w:r>
      <w:r w:rsidR="00B54F24">
        <w:t xml:space="preserve">ved for the majority of </w:t>
      </w:r>
      <w:r w:rsidR="00DF60C9">
        <w:t>bands</w:t>
      </w:r>
      <w:r w:rsidR="00D13046">
        <w:t xml:space="preserve">, </w:t>
      </w:r>
      <w:r w:rsidR="00DF60C9">
        <w:t xml:space="preserve">suggesting </w:t>
      </w:r>
      <w:r w:rsidR="00A2032A">
        <w:t xml:space="preserve">a high degree of </w:t>
      </w:r>
      <w:r w:rsidR="00D13046">
        <w:t>ta</w:t>
      </w:r>
      <w:r w:rsidR="00473C4D">
        <w:t>rget overlap</w:t>
      </w:r>
      <w:r w:rsidR="00D13046">
        <w:t xml:space="preserve"> (</w:t>
      </w:r>
      <w:r w:rsidR="005550E4">
        <w:t>Fig.</w:t>
      </w:r>
      <w:r w:rsidR="00D13046">
        <w:t xml:space="preserve"> 1). Competition assays against other electrophilic alkylating agents (iodoacetamide and </w:t>
      </w:r>
      <w:r w:rsidR="00D13046" w:rsidRPr="00A2032A">
        <w:rPr>
          <w:i/>
        </w:rPr>
        <w:t>N</w:t>
      </w:r>
      <w:r w:rsidR="00D13046">
        <w:t xml:space="preserve">-ethylmaleimide) </w:t>
      </w:r>
      <w:r w:rsidR="00473C4D">
        <w:t>indicated</w:t>
      </w:r>
      <w:r w:rsidR="00D13046">
        <w:t xml:space="preserve"> common target reactivity </w:t>
      </w:r>
      <w:r w:rsidR="008E5022">
        <w:t>with</w:t>
      </w:r>
      <w:r w:rsidR="00A2032A">
        <w:t xml:space="preserve"> the probes</w:t>
      </w:r>
      <w:r w:rsidR="00D13046">
        <w:t>.</w:t>
      </w:r>
      <w:r w:rsidR="00FD6635">
        <w:t xml:space="preserve"> The </w:t>
      </w:r>
      <w:r w:rsidR="00DF60C9">
        <w:t>sulforaphane-mimetic</w:t>
      </w:r>
      <w:r w:rsidR="00FD6635">
        <w:t xml:space="preserve"> </w:t>
      </w:r>
      <w:r w:rsidR="00BB0EE5">
        <w:t xml:space="preserve">probe </w:t>
      </w:r>
      <w:r w:rsidR="00BB0EE5" w:rsidRPr="005A2645">
        <w:rPr>
          <w:b/>
        </w:rPr>
        <w:t>2</w:t>
      </w:r>
      <w:r w:rsidR="00BB0EE5">
        <w:t xml:space="preserve"> showed </w:t>
      </w:r>
      <w:r w:rsidR="00DF60C9">
        <w:t xml:space="preserve">the </w:t>
      </w:r>
      <w:r w:rsidR="00BB0EE5">
        <w:t>mo</w:t>
      </w:r>
      <w:r w:rsidR="00DF60C9">
        <w:t>st</w:t>
      </w:r>
      <w:r w:rsidR="00BB0EE5">
        <w:t xml:space="preserve"> robust competition by sulforaphane (Fig. 1).</w:t>
      </w:r>
    </w:p>
    <w:p w14:paraId="2DC8B849" w14:textId="4625069C" w:rsidR="00451E9D" w:rsidRDefault="00C47EE4">
      <w:pPr>
        <w:pStyle w:val="RSCB02ArticleText"/>
      </w:pPr>
      <w:r>
        <w:tab/>
      </w:r>
      <w:r w:rsidR="008E5022">
        <w:t>T</w:t>
      </w:r>
      <w:r w:rsidR="00D13046">
        <w:t xml:space="preserve">o identify the protein targets of sulforaphane </w:t>
      </w:r>
      <w:r w:rsidR="008E5022">
        <w:t>we employed</w:t>
      </w:r>
      <w:r w:rsidR="00D13046">
        <w:t xml:space="preserve"> ‘spike-in’ stable isotopic labelling of amino acids in </w:t>
      </w:r>
      <w:r w:rsidR="00D13046">
        <w:lastRenderedPageBreak/>
        <w:t>cell culture (SILAC) methodology coupled with competition-based chemical proteomics.</w:t>
      </w:r>
      <w:r w:rsidR="007836BE">
        <w:fldChar w:fldCharType="begin"/>
      </w:r>
      <w:r w:rsidR="008E38AE">
        <w:instrText xml:space="preserve"> ADDIN ZOTERO_ITEM CSL_CITATION {"citationID":"zxO6yHRF","properties":{"formattedCitation":"{\\rtf \\super 14\\nosupersub{}}","plainCitation":"14"},"citationItems":[{"id":297,"uris":["http://zotero.org/users/local/RFLKuGZF/items/N3WNDP95"],"uri":["http://zotero.org/users/local/RFLKuGZF/items/N3WNDP95"],"itemData":{"id":297,"type":"article-journal","title":"Target profiling of zerumbone using a novel cell-permeable clickable probe and quantitative chemical proteomics","container-title":"Chemical Communications (Cambridge, England)","page":"5497-5500","volume":"51","issue":"25","source":"PubMed","abstract":"Zerumbone is a phytochemical with diverse biological activities ranging from anti-inflammatory to anti-cancer properties; however, to date the cellular targets of this important compound have remained elusive. Here we report the global protein target spectrum of zerumbone in living cancer cells using competitive activity-based protein profiling of a novel cell-permeable clickable probe, combined with quantitative mass spectrometry.","DOI":"10.1039/c4cc09527h","ISSN":"1364-548X","note":"PMID: 25598414","journalAbbreviation":"Chem. Commun. (Camb.)","language":"eng","author":[{"family":"Kalesh","given":"Karunakaran A."},{"family":"Clulow","given":"James A."},{"family":"Tate","given":"Edward W."}],"issued":{"date-parts":[["2015",3,28]]},"PMID":"25598414"}}],"schema":"https://github.com/citation-style-language/schema/raw/master/csl-citation.json"} </w:instrText>
      </w:r>
      <w:r w:rsidR="007836BE">
        <w:fldChar w:fldCharType="separate"/>
      </w:r>
      <w:r w:rsidR="008E38AE" w:rsidRPr="008E38AE">
        <w:rPr>
          <w:rFonts w:ascii="Calibri" w:hAnsi="Calibri"/>
          <w:szCs w:val="24"/>
          <w:vertAlign w:val="superscript"/>
        </w:rPr>
        <w:t>14</w:t>
      </w:r>
      <w:r w:rsidR="007836BE">
        <w:fldChar w:fldCharType="end"/>
      </w:r>
      <w:r w:rsidR="008E5022">
        <w:t xml:space="preserve"> </w:t>
      </w:r>
      <w:r w:rsidR="00981BDB">
        <w:t>Sulforaphane exerts biological activity at low µM concentrations</w:t>
      </w:r>
      <w:r w:rsidR="000238FD" w:rsidRPr="000238FD">
        <w:t xml:space="preserve"> </w:t>
      </w:r>
      <w:r w:rsidR="000238FD">
        <w:t>in MCF7 and MDA-MB-231 cell line</w:t>
      </w:r>
      <w:r w:rsidR="008E38AE">
        <w:t>s</w:t>
      </w:r>
      <w:r w:rsidR="00981BDB">
        <w:t>,</w:t>
      </w:r>
      <w:r w:rsidR="000238FD">
        <w:fldChar w:fldCharType="begin"/>
      </w:r>
      <w:r w:rsidR="008E38AE">
        <w:instrText xml:space="preserve"> ADDIN ZOTERO_ITEM CSL_CITATION {"citationID":"h7oqo5hn8","properties":{"formattedCitation":"{\\rtf \\super 15\\nosupersub{}}","plainCitation":"15"},"citationItems":[{"id":761,"uris":["http://zotero.org/users/local/aQnskgjk/items/ME9NFSBS"],"uri":["http://zotero.org/users/local/aQnskgjk/items/ME9NFSBS"],"itemData":{"id":761,"type":"article-journal","title":"Autophagy inhibition enhances sulforaphane-induced apoptosis in human breast cancer cells","container-title":"Anticancer Research","page":"3381-3390","volume":"30","issue":"9","source":"PubMed","abstract":"AIM: Sulforaphane (SFN), which is present in cruciferous vegetables, induces growth arrest and/or cell death in cancer of various organs. The involvement of autophagy in the SFN-induced apoptotic death of human breast cancer cells was investigated.\nMATERIALS AND METHODS: Cell proliferation and viability was assessed by 3-(4,5-dimethylthiazol-2-yl)-2,5-diphenyltetrazolium bromide (MTT) assay and trypan blue exclusion assay. Flow cytometry, immunofluorescence, electron microscopy, and Western blot analysis were used for detection of apoptosis and autophagy, and the role of autophagy was assessed using autophagy inhibitors.\nRESULTS: SFN dose- and time-dependently retarded the growth and induced cell death in MCF-7 and MDA-MB-231 human breast cancer cells. In MDA-MB-231 cells, 30 μM SFN caused S and G2/M cell-cycle arrest associated with increased p21WAF1 and p27KIP1 levels and decreased cyclin A, cyclin B1 and CDC2 levels. Cell death was due to apoptosis with increased caspase-3 and lowered BCL-2 levels. In addition, the SFN-treated cells exhibited autophagy, as characterized by the appearance of autophagic vacuoles by electron microscopy, the accumulation of acidic vesicular organelles by flow cytometry, and the punctuate patterns of microtubule-associated protein 1 light chain 3 (LC3) by fluorescein microscopy. The levels of LC3-I and -II proteins (processed forms of LC3-I) and LC3 mRNA were increased. Treatment with autophagy inhibitor bafilomycin A1 (but not 3-methyladenine) with SFN significantly enhanced apoptosis, which was accompanied by increases in the level of BAX and the cleavage of caspase-3 and poly(ADP-ribose)polymerase (PARP)-1 and decreases in the mitochondrial membrane potential (ΔΨm).\nCONCLUSION: These results indicate a cytoprotective role of autophagy against SFN-induced apoptosis and that the combination of SFN treatment with autophagy inhibition may be a promising strategy for breast cancer control.","ISSN":"1791-7530","note":"PMID: 20944112","journalAbbreviation":"Anticancer Res.","language":"eng","author":[{"family":"Kanematsu","given":"Sayaka"},{"family":"Uehara","given":"Norihisa"},{"family":"Miki","given":"Hisanori"},{"family":"Yoshizawa","given":"Katsuhiko"},{"family":"Kawanaka","given":"Ayako"},{"family":"Yuri","given":"Takashi"},{"family":"Tsubura","given":"Airo"}],"issued":{"date-parts":[["2010",9]]},"PMID":"20944112"}}],"schema":"https://github.com/citation-style-language/schema/raw/master/csl-citation.json"} </w:instrText>
      </w:r>
      <w:r w:rsidR="000238FD">
        <w:fldChar w:fldCharType="separate"/>
      </w:r>
      <w:r w:rsidR="008E38AE" w:rsidRPr="008E38AE">
        <w:rPr>
          <w:rFonts w:ascii="Calibri" w:hAnsi="Calibri"/>
          <w:szCs w:val="24"/>
          <w:vertAlign w:val="superscript"/>
        </w:rPr>
        <w:t>15</w:t>
      </w:r>
      <w:r w:rsidR="000238FD">
        <w:fldChar w:fldCharType="end"/>
      </w:r>
      <w:r w:rsidR="00981BDB">
        <w:t xml:space="preserve"> therefore c</w:t>
      </w:r>
      <w:r w:rsidR="008E5022">
        <w:t>ells were</w:t>
      </w:r>
      <w:r w:rsidR="00D13046">
        <w:t xml:space="preserve"> cultured under normal conditions and treated with </w:t>
      </w:r>
      <w:r w:rsidR="00D13046" w:rsidRPr="008E5022">
        <w:rPr>
          <w:b/>
        </w:rPr>
        <w:t>2</w:t>
      </w:r>
      <w:r w:rsidR="00A60E5B">
        <w:t xml:space="preserve"> </w:t>
      </w:r>
      <w:r w:rsidR="00D13046">
        <w:t>(5</w:t>
      </w:r>
      <w:r w:rsidR="00A2032A" w:rsidRPr="00A2032A">
        <w:rPr>
          <w:rFonts w:cs="Arial"/>
          <w:lang w:val="en-US"/>
        </w:rPr>
        <w:t> </w:t>
      </w:r>
      <w:r w:rsidR="00D13046">
        <w:t>μM)</w:t>
      </w:r>
      <w:r w:rsidR="00A60E5B">
        <w:t xml:space="preserve"> </w:t>
      </w:r>
      <w:r w:rsidR="00DF60C9">
        <w:t xml:space="preserve">alone, </w:t>
      </w:r>
      <w:r w:rsidR="00D13046">
        <w:t xml:space="preserve">or </w:t>
      </w:r>
      <w:r w:rsidR="00D13046" w:rsidRPr="008E5022">
        <w:rPr>
          <w:b/>
        </w:rPr>
        <w:t>2</w:t>
      </w:r>
      <w:r w:rsidR="00D13046">
        <w:t xml:space="preserve"> (5</w:t>
      </w:r>
      <w:r w:rsidR="00A2032A" w:rsidRPr="00A2032A">
        <w:rPr>
          <w:rFonts w:cs="Arial"/>
          <w:lang w:val="en-US"/>
        </w:rPr>
        <w:t> </w:t>
      </w:r>
      <w:r w:rsidR="00D13046">
        <w:t>μM) plus sulforaphane (5, 25 or 100</w:t>
      </w:r>
      <w:r w:rsidR="00A2032A" w:rsidRPr="00A2032A">
        <w:rPr>
          <w:rFonts w:cs="Arial"/>
          <w:lang w:val="en-US"/>
        </w:rPr>
        <w:t> </w:t>
      </w:r>
      <w:r w:rsidR="00D13046">
        <w:t>μM)</w:t>
      </w:r>
      <w:r w:rsidR="00F34E1B">
        <w:t xml:space="preserve"> for 30 min</w:t>
      </w:r>
      <w:r w:rsidR="00D13046">
        <w:t xml:space="preserve">. In parallel, the cell line of interest </w:t>
      </w:r>
      <w:r w:rsidR="00461193">
        <w:t>was</w:t>
      </w:r>
      <w:r w:rsidR="00D13046">
        <w:t xml:space="preserve"> labelled with DMEM media containing </w:t>
      </w:r>
      <w:r w:rsidR="00D13046" w:rsidRPr="00A2032A">
        <w:rPr>
          <w:vertAlign w:val="superscript"/>
        </w:rPr>
        <w:t>15</w:t>
      </w:r>
      <w:r w:rsidR="00D13046">
        <w:t>N</w:t>
      </w:r>
      <w:r w:rsidR="00D13046" w:rsidRPr="00A2032A">
        <w:rPr>
          <w:vertAlign w:val="subscript"/>
        </w:rPr>
        <w:t>4</w:t>
      </w:r>
      <w:r w:rsidR="00D13046" w:rsidRPr="00A2032A">
        <w:rPr>
          <w:vertAlign w:val="superscript"/>
        </w:rPr>
        <w:t>13</w:t>
      </w:r>
      <w:r w:rsidR="00D13046">
        <w:t>C</w:t>
      </w:r>
      <w:r w:rsidR="00D13046" w:rsidRPr="00A2032A">
        <w:rPr>
          <w:vertAlign w:val="subscript"/>
        </w:rPr>
        <w:t>6</w:t>
      </w:r>
      <w:r w:rsidR="00D13046">
        <w:t xml:space="preserve">-arginine and </w:t>
      </w:r>
      <w:r w:rsidR="00D13046" w:rsidRPr="00A2032A">
        <w:rPr>
          <w:vertAlign w:val="superscript"/>
        </w:rPr>
        <w:t>15</w:t>
      </w:r>
      <w:r w:rsidR="00D13046">
        <w:t>N</w:t>
      </w:r>
      <w:r w:rsidR="00D13046" w:rsidRPr="00A2032A">
        <w:rPr>
          <w:vertAlign w:val="subscript"/>
        </w:rPr>
        <w:t>2</w:t>
      </w:r>
      <w:r w:rsidR="00D13046" w:rsidRPr="00A2032A">
        <w:rPr>
          <w:vertAlign w:val="superscript"/>
        </w:rPr>
        <w:t>13</w:t>
      </w:r>
      <w:r w:rsidR="00D13046">
        <w:t>C</w:t>
      </w:r>
      <w:r w:rsidR="00D13046" w:rsidRPr="00A2032A">
        <w:rPr>
          <w:vertAlign w:val="subscript"/>
        </w:rPr>
        <w:t>6</w:t>
      </w:r>
      <w:r w:rsidR="00D13046">
        <w:t xml:space="preserve">-lysine (R10K8) over </w:t>
      </w:r>
      <w:r w:rsidR="00D13046" w:rsidRPr="00A2032A">
        <w:t>multiple</w:t>
      </w:r>
      <w:r w:rsidR="008E5022">
        <w:t xml:space="preserve"> passages until </w:t>
      </w:r>
      <w:r w:rsidR="00D13046">
        <w:t xml:space="preserve">incorporation of R10K8 </w:t>
      </w:r>
      <w:r w:rsidR="008E5022">
        <w:t>was</w:t>
      </w:r>
      <w:r w:rsidR="00D13046">
        <w:t xml:space="preserve"> &gt;</w:t>
      </w:r>
      <w:r w:rsidR="00A2032A" w:rsidRPr="00A2032A">
        <w:rPr>
          <w:rFonts w:cs="Arial"/>
          <w:lang w:val="en-US"/>
        </w:rPr>
        <w:t> </w:t>
      </w:r>
      <w:r w:rsidR="00226A39">
        <w:t>98% (</w:t>
      </w:r>
      <w:r w:rsidR="00E44C4D">
        <w:t>Supplementary</w:t>
      </w:r>
      <w:r w:rsidR="00D13046">
        <w:t xml:space="preserve"> Table</w:t>
      </w:r>
      <w:r w:rsidR="00152EA2">
        <w:t>s</w:t>
      </w:r>
      <w:r w:rsidR="00D13046">
        <w:t xml:space="preserve"> S1 and S2). R10K8-label</w:t>
      </w:r>
      <w:r w:rsidR="008E5022">
        <w:t>l</w:t>
      </w:r>
      <w:r w:rsidR="00D13046">
        <w:t xml:space="preserve">ed cells were treated with </w:t>
      </w:r>
      <w:r w:rsidR="00D13046" w:rsidRPr="008E5022">
        <w:rPr>
          <w:b/>
        </w:rPr>
        <w:t>2</w:t>
      </w:r>
      <w:r w:rsidR="00D13046">
        <w:t xml:space="preserve"> (20</w:t>
      </w:r>
      <w:r w:rsidR="00A2032A" w:rsidRPr="00A2032A">
        <w:rPr>
          <w:rFonts w:cs="Arial"/>
          <w:lang w:val="en-US"/>
        </w:rPr>
        <w:t> </w:t>
      </w:r>
      <w:r w:rsidR="00D13046">
        <w:t>μM)</w:t>
      </w:r>
      <w:r w:rsidR="00F34E1B">
        <w:t xml:space="preserve"> for 30 min</w:t>
      </w:r>
      <w:r w:rsidR="00D13046">
        <w:t>, and lysed to generate a ‘spike-in’ SILAC lysate. A fixed amount of this ‘spike-in’ lysate was added to each competition lysate an</w:t>
      </w:r>
      <w:r w:rsidR="008E5022">
        <w:t>d the mixed lysates functionalis</w:t>
      </w:r>
      <w:r w:rsidR="00D13046">
        <w:t xml:space="preserve">ed </w:t>
      </w:r>
      <w:r w:rsidR="00DF60C9">
        <w:t xml:space="preserve">by CuAAC with an </w:t>
      </w:r>
      <w:r w:rsidR="00D13046">
        <w:t>azido-biotin capture reagent</w:t>
      </w:r>
      <w:r w:rsidR="007023CB">
        <w:t>.</w:t>
      </w:r>
      <w:r w:rsidR="007836BE">
        <w:fldChar w:fldCharType="begin"/>
      </w:r>
      <w:r w:rsidR="008E38AE">
        <w:instrText xml:space="preserve"> ADDIN ZOTERO_ITEM CSL_CITATION {"citationID":"csbatde7a","properties":{"formattedCitation":"{\\rtf \\super 16\\nosupersub{}}","plainCitation":"16"},"citationItems":[{"id":94,"uris":["http://zotero.org/users/local/RFLKuGZF/items/57G59FVT"],"uri":["http://zotero.org/users/local/RFLKuGZF/items/57G59FVT"],"itemData":{"id":94,"type":"article-journal","title":"Multifunctional reagents for quantitative proteome-wide analysis of protein modification in human cells and dynamic profiling of protein lipidation during vertebrate development","container-title":"Angewandte Chemie (International Ed. in English)","page":"5948-5951","volume":"54","issue":"20","source":"PubMed","abstract":"Novel multifunctional reagents were applied in combination with a lipid probe for affinity enrichment of myristoylated proteins and direct detection of lipid-modified tryptic peptides by mass spectrometry. This method enables high-confidence identification of the myristoylated proteome on an unprecedented scale in cell culture, and allowed the first quantitative analysis of dynamic changes in protein lipidation during vertebrate embryonic development.","DOI":"10.1002/anie.201500342","ISSN":"1521-3773","note":"PMID: 25807930\nPMCID: PMC4471546","journalAbbreviation":"Angew. Chem. Int. Ed. Engl.","language":"eng","author":[{"family":"Broncel","given":"Malgorzata"},{"family":"Serwa","given":"Remigiusz A."},{"family":"Ciepla","given":"Paulina"},{"family":"Krause","given":"Eberhard"},{"family":"Dallman","given":"Margaret J."},{"family":"Magee","given":"Anthony I."},{"family":"Tate","given":"Edward W."}],"issued":{"date-parts":[["2015",5,11]]},"PMID":"25807930","PMCID":"PMC4471546"}}],"schema":"https://github.com/citation-style-language/schema/raw/master/csl-citation.json"} </w:instrText>
      </w:r>
      <w:r w:rsidR="007836BE">
        <w:fldChar w:fldCharType="separate"/>
      </w:r>
      <w:r w:rsidR="008E38AE" w:rsidRPr="008E38AE">
        <w:rPr>
          <w:rFonts w:ascii="Calibri" w:hAnsi="Calibri"/>
          <w:szCs w:val="24"/>
          <w:vertAlign w:val="superscript"/>
        </w:rPr>
        <w:t>16</w:t>
      </w:r>
      <w:r w:rsidR="007836BE">
        <w:fldChar w:fldCharType="end"/>
      </w:r>
      <w:r w:rsidR="00D13046">
        <w:t xml:space="preserve"> Labelled proteins were affinity enriche</w:t>
      </w:r>
      <w:r w:rsidR="009A1CBC">
        <w:t>d on Neutravidin-sepharose</w:t>
      </w:r>
      <w:r w:rsidR="00D13046">
        <w:t>, reduced, alkylated and trypsin digested</w:t>
      </w:r>
      <w:r w:rsidR="00DF60C9">
        <w:t>, and t</w:t>
      </w:r>
      <w:r w:rsidR="00D13046">
        <w:t xml:space="preserve">he resulting peptides </w:t>
      </w:r>
      <w:r w:rsidR="009A1CBC">
        <w:t>analysed by LC-MS/MS</w:t>
      </w:r>
      <w:r w:rsidR="00D13046">
        <w:t xml:space="preserve"> to identify protein targets and quantify enrich</w:t>
      </w:r>
      <w:r w:rsidR="009A1CBC">
        <w:t>ment</w:t>
      </w:r>
      <w:r w:rsidR="00D13046">
        <w:t xml:space="preserve"> levels across the sulfora</w:t>
      </w:r>
      <w:r w:rsidR="009A1CBC">
        <w:t>phane</w:t>
      </w:r>
      <w:r w:rsidR="00D13046">
        <w:t xml:space="preserve"> concentration gradient, using the ‘spike-in’ SILAC peptide as an internal standard </w:t>
      </w:r>
      <w:r w:rsidR="004E462C">
        <w:t xml:space="preserve">to generate heavy/light (H/L) ratios </w:t>
      </w:r>
      <w:r w:rsidR="00D13046">
        <w:t>(</w:t>
      </w:r>
      <w:r w:rsidR="005550E4">
        <w:t>Fig.</w:t>
      </w:r>
      <w:r w:rsidR="00D13046">
        <w:t xml:space="preserve"> 2a). </w:t>
      </w:r>
      <w:r w:rsidR="00295870">
        <w:t>M</w:t>
      </w:r>
      <w:r w:rsidR="00EC334A">
        <w:t>edium-confidence</w:t>
      </w:r>
      <w:r w:rsidR="004E462C">
        <w:t xml:space="preserve"> targets were defined as those giving</w:t>
      </w:r>
      <w:r w:rsidR="00383BD4">
        <w:t xml:space="preserve"> a statistically significant</w:t>
      </w:r>
      <w:r w:rsidR="004E462C">
        <w:t xml:space="preserve"> (</w:t>
      </w:r>
      <w:r w:rsidR="00427811">
        <w:t>t-test, S0 = 1, FDR = 0.01</w:t>
      </w:r>
      <w:r w:rsidR="004E462C">
        <w:t>)</w:t>
      </w:r>
      <w:r w:rsidR="00383BD4">
        <w:t xml:space="preserve"> </w:t>
      </w:r>
      <w:r w:rsidR="004E462C">
        <w:t>increase in H/L ratio</w:t>
      </w:r>
      <w:r w:rsidR="00427811">
        <w:t xml:space="preserve"> compared to samples treated with </w:t>
      </w:r>
      <w:r w:rsidR="00427811" w:rsidRPr="00641956">
        <w:rPr>
          <w:b/>
        </w:rPr>
        <w:t>2</w:t>
      </w:r>
      <w:r w:rsidR="00427811">
        <w:t xml:space="preserve"> only (ESI</w:t>
      </w:r>
      <w:proofErr w:type="gramStart"/>
      <w:r w:rsidR="00427811">
        <w:t>,†</w:t>
      </w:r>
      <w:proofErr w:type="gramEnd"/>
      <w:r w:rsidR="00427811">
        <w:t xml:space="preserve"> Fig. </w:t>
      </w:r>
      <w:proofErr w:type="gramStart"/>
      <w:r w:rsidR="00427811">
        <w:t>S</w:t>
      </w:r>
      <w:r w:rsidR="00451E9D" w:rsidRPr="006E0523">
        <w:t>1</w:t>
      </w:r>
      <w:r w:rsidR="00AA1182">
        <w:t>-S3</w:t>
      </w:r>
      <w:r w:rsidR="00427811">
        <w:t>).</w:t>
      </w:r>
      <w:proofErr w:type="gramEnd"/>
      <w:r w:rsidR="00B66C8E">
        <w:t xml:space="preserve"> </w:t>
      </w:r>
      <w:r w:rsidR="00427811">
        <w:t>H</w:t>
      </w:r>
      <w:r w:rsidR="00EC334A">
        <w:t>igh-</w:t>
      </w:r>
      <w:r w:rsidR="00B66C8E">
        <w:t xml:space="preserve">confidence targets </w:t>
      </w:r>
      <w:r w:rsidR="00427811">
        <w:t xml:space="preserve">were defined as </w:t>
      </w:r>
      <w:r w:rsidR="00B31AF1">
        <w:t>medium-confidence</w:t>
      </w:r>
      <w:r w:rsidR="007023CB">
        <w:t xml:space="preserve"> targets present</w:t>
      </w:r>
      <w:r w:rsidR="00451E9D">
        <w:t xml:space="preserve"> at 5, 25 and 100 μM, or 25 and 100 μM </w:t>
      </w:r>
      <w:r w:rsidR="007023CB">
        <w:t xml:space="preserve">sulforaphane competition </w:t>
      </w:r>
      <w:bookmarkStart w:id="1" w:name="OLE_LINK1"/>
      <w:r w:rsidR="00451E9D">
        <w:t>(ESI,† Fig. S</w:t>
      </w:r>
      <w:r w:rsidR="00AA1182">
        <w:t>4</w:t>
      </w:r>
      <w:r w:rsidR="00451E9D">
        <w:t>)</w:t>
      </w:r>
      <w:bookmarkEnd w:id="1"/>
      <w:r w:rsidR="00E44C4D">
        <w:t>.</w:t>
      </w:r>
      <w:r w:rsidR="00451E9D">
        <w:t xml:space="preserve"> </w:t>
      </w:r>
      <w:r w:rsidR="00E44C4D">
        <w:t>This</w:t>
      </w:r>
      <w:r w:rsidR="00451E9D">
        <w:t xml:space="preserve"> identified</w:t>
      </w:r>
      <w:r w:rsidR="00D13046" w:rsidRPr="00461193">
        <w:t xml:space="preserve"> </w:t>
      </w:r>
      <w:r w:rsidR="00383BD4">
        <w:t>121</w:t>
      </w:r>
      <w:r w:rsidR="00D13046" w:rsidRPr="00461193">
        <w:t xml:space="preserve"> and </w:t>
      </w:r>
      <w:r w:rsidR="00383BD4">
        <w:t>129</w:t>
      </w:r>
      <w:r w:rsidR="00D13046" w:rsidRPr="00461193">
        <w:t xml:space="preserve"> </w:t>
      </w:r>
      <w:r w:rsidR="006B74A9">
        <w:t xml:space="preserve">high-confidence </w:t>
      </w:r>
      <w:r w:rsidR="00D13046">
        <w:t>targets in MDA-MB-231 and MCF7 cells, respectively (</w:t>
      </w:r>
      <w:r w:rsidR="005550E4">
        <w:t>Fig.</w:t>
      </w:r>
      <w:r w:rsidR="00D13046">
        <w:t xml:space="preserve"> 2b)</w:t>
      </w:r>
      <w:r w:rsidR="00383BD4">
        <w:t>, with</w:t>
      </w:r>
      <w:r w:rsidR="00B66C8E">
        <w:t xml:space="preserve"> </w:t>
      </w:r>
      <w:r w:rsidR="00383BD4">
        <w:t xml:space="preserve">56 conserved </w:t>
      </w:r>
      <w:r w:rsidR="007023CB">
        <w:t xml:space="preserve">targets </w:t>
      </w:r>
      <w:r w:rsidR="00D13046">
        <w:t>(</w:t>
      </w:r>
      <w:r w:rsidR="005550E4">
        <w:t>Fig.</w:t>
      </w:r>
      <w:r w:rsidR="00D13046">
        <w:t xml:space="preserve"> 2c</w:t>
      </w:r>
      <w:r w:rsidR="006B74A9">
        <w:t>, ESI</w:t>
      </w:r>
      <w:proofErr w:type="gramStart"/>
      <w:r w:rsidR="006B74A9">
        <w:t>,†</w:t>
      </w:r>
      <w:proofErr w:type="gramEnd"/>
      <w:r w:rsidR="006B74A9">
        <w:t xml:space="preserve"> Table S1 and S2</w:t>
      </w:r>
      <w:r w:rsidR="00D13046">
        <w:t>).</w:t>
      </w:r>
      <w:r w:rsidR="0013263C">
        <w:t xml:space="preserve"> Analysis of </w:t>
      </w:r>
      <w:r w:rsidR="00EB7776">
        <w:t xml:space="preserve">published target abundances </w:t>
      </w:r>
      <w:r w:rsidR="0013263C">
        <w:t>indicates that the difference in target profile between cell lines may relate to differences in expression levels</w:t>
      </w:r>
      <w:r w:rsidR="00EB2083">
        <w:t xml:space="preserve"> of target proteins</w:t>
      </w:r>
      <w:r w:rsidR="000238FD">
        <w:t xml:space="preserve"> (ESI</w:t>
      </w:r>
      <w:proofErr w:type="gramStart"/>
      <w:r w:rsidR="000238FD">
        <w:t>,†</w:t>
      </w:r>
      <w:proofErr w:type="gramEnd"/>
      <w:r w:rsidR="000238FD">
        <w:t xml:space="preserve"> Fig.</w:t>
      </w:r>
      <w:r w:rsidR="00EB7776" w:rsidRPr="00EB7776">
        <w:t xml:space="preserve"> </w:t>
      </w:r>
      <w:r w:rsidR="00EB7776">
        <w:t>S</w:t>
      </w:r>
      <w:r w:rsidR="00AA1182">
        <w:t>5</w:t>
      </w:r>
      <w:r w:rsidR="000238FD">
        <w:t>)</w:t>
      </w:r>
      <w:r w:rsidR="0013263C">
        <w:t xml:space="preserve">. </w:t>
      </w:r>
    </w:p>
    <w:p w14:paraId="36B89BA9" w14:textId="77777777" w:rsidR="008D7303" w:rsidRDefault="00451E9D" w:rsidP="00C47160">
      <w:pPr>
        <w:pStyle w:val="RSCB02ArticleText"/>
      </w:pPr>
      <w:r>
        <w:tab/>
      </w:r>
      <w:r w:rsidR="003160B0">
        <w:t>T</w:t>
      </w:r>
      <w:r w:rsidR="00D13046">
        <w:t xml:space="preserve">he most potent sulforaphane binders </w:t>
      </w:r>
      <w:r w:rsidR="003160B0">
        <w:t xml:space="preserve">were identified </w:t>
      </w:r>
      <w:r w:rsidR="00D13046">
        <w:t xml:space="preserve">through analysis of relative amounts of target captured by </w:t>
      </w:r>
      <w:r w:rsidR="003160B0" w:rsidRPr="003160B0">
        <w:rPr>
          <w:b/>
        </w:rPr>
        <w:t>2</w:t>
      </w:r>
      <w:r w:rsidR="00D13046">
        <w:t xml:space="preserve"> over three sulforaphane concentrations (</w:t>
      </w:r>
      <w:r w:rsidR="00383BD4">
        <w:t>Fig. 2b</w:t>
      </w:r>
      <w:r w:rsidR="00B14EC5">
        <w:t xml:space="preserve">). Targets exhibiting strong competition for probe labelling at the lowest sulforaphane concentration </w:t>
      </w:r>
      <w:r w:rsidR="00461193">
        <w:t>were hypothesised to be the</w:t>
      </w:r>
      <w:r w:rsidR="00B14EC5">
        <w:t xml:space="preserve"> most potent binders</w:t>
      </w:r>
      <w:r w:rsidR="00226A39">
        <w:t xml:space="preserve"> (Fig. </w:t>
      </w:r>
      <w:r w:rsidR="00EB2083">
        <w:t>2b</w:t>
      </w:r>
      <w:r w:rsidR="00B14EC5">
        <w:t>). Across both cell lines the</w:t>
      </w:r>
      <w:r w:rsidR="00461193">
        <w:t>se included</w:t>
      </w:r>
      <w:r w:rsidR="00B14EC5">
        <w:t xml:space="preserve"> Kelch-like ECH-associated protein 1 (KEAP1) and MIF. KEAP1 is a repressor of the nuclear factor (erythroid-derived 2)-like 2 </w:t>
      </w:r>
      <w:r w:rsidR="005A000A">
        <w:t>(Nrf2) transcription factor controlling</w:t>
      </w:r>
      <w:r w:rsidR="00B14EC5">
        <w:t xml:space="preserve"> ARE-driven gene expression</w:t>
      </w:r>
      <w:r w:rsidR="00461193">
        <w:t>,</w:t>
      </w:r>
      <w:r w:rsidR="00B14EC5">
        <w:fldChar w:fldCharType="begin"/>
      </w:r>
      <w:r w:rsidR="008E38AE">
        <w:instrText xml:space="preserve"> ADDIN ZOTERO_ITEM CSL_CITATION {"citationID":"16loff39b5","properties":{"formattedCitation":"{\\rtf \\super 17\\nosupersub{}}","plainCitation":"17"},"citationItems":[{"id":311,"uris":["http://zotero.org/users/local/RFLKuGZF/items/52IBVX6E"],"uri":["http://zotero.org/users/local/RFLKuGZF/items/52IBVX6E"],"itemData":{"id":311,"type":"article-journal","title":"Direct evidence that sulfhydryl groups of Keap1 are the sensors regulating induction of phase 2 enzymes that protect against carcinogens and oxidants","container-title":"Proceedings of the National Academy of Sciences of the United States of America","page":"11908-11913","volume":"99","issue":"18","source":"PubMed","abstract":"Coordinate induction of phase 2 proteins and elevation of glutathione protect cells against the toxic and carcinogenic effects of electrophiles and oxidants. All inducers react covalently with thiols at rates that are closely related to their potencies. Inducers disrupt the cytoplasmic complex between the actin-bound protein Keap1 and the transcription factor Nrf2, thereby releasing Nrf2 to migrate to the nucleus where it activates the antioxidant response element (ARE) of phase 2 genes and accelerates their transcription. We cloned, overexpressed, and purified murine Keap1 and demonstrated on native gels the formation of complexes of Keap1 with the Neh2 domain of Nrf2 and their concentration-dependent disruption by inducers such as sulforaphane and bis(2-hydroxybenzylidene)acetone. The kinetics, stoichiometry, and order of reactivities of the most reactive of the 25 cysteine thiol groups of Keap1 have been determined by tritium incorporation from [(3)H]dexamethasone mesylate (an inducer and irreversible modifier of thiols) and by UV spectroscopy with sulforaphane, 2,2'-dipyridyl disulfide and 4,4'-dipyridyl disulfide (titrants of thiol groups), and two closely related Michael reaction acceptors [bis(2- and 4-hydroxybenzylidene)acetones] that differ 100-fold in inducer potency and the UV spectra of which are bleached by thiol addition. With large excesses of these reagents nearly all thiols of Keap1 react, but sequential reaction with three successive single equivalents (per cysteine residue) of dipyridyl disulfides revealed excellent agreement with pseudo-first order kinetics, rapid successive declines in reaction velocity, and the stoichiometric formation of two equivalents of thiopyridone per reacted cysteine. This finding suggests that reaction of cysteine thiols is followed by rapid formation of protein disulfide linkages. The most reactive residues of Keap1 (C(257), C(273), C(288), and C(297)) were identified by mapping the dexamethasone-modified cysteines by mass spectrometry of tryptic peptides. These residues are located in the intervening region between BTB and Kelch repeat domains of Keap1 and probably are the direct sensors of inducers of the phase 2 system.","DOI":"10.1073/pnas.172398899","ISSN":"0027-8424","note":"PMID: 12193649\nPMCID: PMC129367","journalAbbreviation":"Proc. Natl. Acad. Sci. U.S.A.","language":"eng","author":[{"family":"Dinkova-Kostova","given":"Albena T."},{"family":"Holtzclaw","given":"W. David"},{"family":"Cole","given":"Robert N."},{"family":"Itoh","given":"Ken"},{"family":"Wakabayashi","given":"Nobunao"},{"family":"Katoh","given":"Yasutake"},{"family":"Yamamoto","given":"Masayuki"},{"family":"Talalay","given":"Paul"}],"issued":{"date-parts":[["2002",9,3]]},"PMID":"12193649","PMCID":"PMC129367"}}],"schema":"https://github.com/citation-style-language/schema/raw/master/csl-citation.json"} </w:instrText>
      </w:r>
      <w:r w:rsidR="00B14EC5">
        <w:fldChar w:fldCharType="separate"/>
      </w:r>
      <w:r w:rsidR="008E38AE" w:rsidRPr="008E38AE">
        <w:rPr>
          <w:rFonts w:ascii="Calibri" w:hAnsi="Calibri"/>
          <w:szCs w:val="24"/>
          <w:vertAlign w:val="superscript"/>
        </w:rPr>
        <w:t>17</w:t>
      </w:r>
      <w:r w:rsidR="00B14EC5">
        <w:fldChar w:fldCharType="end"/>
      </w:r>
      <w:r w:rsidR="00B14EC5" w:rsidRPr="00B14EC5">
        <w:t xml:space="preserve"> </w:t>
      </w:r>
      <w:r w:rsidR="00461193">
        <w:t xml:space="preserve">whilst </w:t>
      </w:r>
      <w:r w:rsidR="00B14EC5">
        <w:t>MIF is a pro-inflammatory cytokine, whose</w:t>
      </w:r>
      <w:r w:rsidR="003160B0">
        <w:t xml:space="preserve"> </w:t>
      </w:r>
      <w:r w:rsidR="00B14EC5">
        <w:t>expression in cancer correlates with tumour aggressiveness and metastatic potential.</w:t>
      </w:r>
      <w:r w:rsidR="00B14EC5">
        <w:fldChar w:fldCharType="begin"/>
      </w:r>
      <w:r w:rsidR="008E38AE">
        <w:instrText xml:space="preserve"> ADDIN ZOTERO_ITEM CSL_CITATION {"citationID":"10i4tn652","properties":{"formattedCitation":"{\\rtf \\super 18\\nosupersub{}}","plainCitation":"18"},"citationItems":[{"id":309,"uris":["http://zotero.org/users/local/RFLKuGZF/items/JM6CPRU4"],"uri":["http://zotero.org/users/local/RFLKuGZF/items/JM6CPRU4"],"itemData":{"id":309,"type":"article-journal","title":"Nutrient isothiocyanates covalently modify and inhibit the inflammatory cytokine macrophage migration inhibitory factor (MIF)","container-title":"The Biochemical Journal","page":"315-321","volume":"423","issue":"3","source":"PubMed","abstract":"Dietary ITCs (isothiocyanates) prevent cancer and show other bioactivities in vivo. As electrophiles, ITCs may covalently modify cellular proteins. Using a novel proteomics screen, we identified MIF (macrophage migration inhibitory factor) as the principal target of nutrient ITCs in intact cells. ITCs covalently modify the N-terminal proline residue of MIF and extinguish its catalytic tautomerase activity. MIF deficiency does not prevent induction of Phase 2 gene expression, a hallmark of many cancer chemopreventives, including ITCs. Due to the emerging role of MIF in the control of malignant cell growth and its clear involvement in inflammation, inhibition of MIF by nutrient ITCs suggests therapeutic strategies for inflammatory diseases and cancer.","DOI":"10.1042/BJ20091170","ISSN":"1470-8728","note":"PMID: 19723024\nPMCID: PMC2858637","journalAbbreviation":"Biochem. J.","language":"eng","author":[{"family":"Cross","given":"Janet V."},{"family":"Rady","given":"Joshua M."},{"family":"Foss","given":"Frank W."},{"family":"Lyons","given":"Charles E."},{"family":"Macdonald","given":"Timothy L."},{"family":"Templeton","given":"Dennis J."}],"issued":{"date-parts":[["2009",11,1]]},"PMID":"19723024","PMCID":"PMC2858637"}}],"schema":"https://github.com/citation-style-language/schema/raw/master/csl-citation.json"} </w:instrText>
      </w:r>
      <w:r w:rsidR="00B14EC5">
        <w:fldChar w:fldCharType="separate"/>
      </w:r>
      <w:r w:rsidR="008E38AE" w:rsidRPr="008E38AE">
        <w:rPr>
          <w:rFonts w:ascii="Calibri" w:hAnsi="Calibri"/>
          <w:szCs w:val="24"/>
          <w:vertAlign w:val="superscript"/>
        </w:rPr>
        <w:t>18</w:t>
      </w:r>
      <w:r w:rsidR="00B14EC5">
        <w:fldChar w:fldCharType="end"/>
      </w:r>
      <w:r w:rsidR="00B14EC5">
        <w:t xml:space="preserve"> Both proteins have been previously identified as sulforaphane targets;</w:t>
      </w:r>
      <w:r w:rsidR="00B14EC5">
        <w:fldChar w:fldCharType="begin"/>
      </w:r>
      <w:r w:rsidR="008E38AE">
        <w:instrText xml:space="preserve"> ADDIN ZOTERO_ITEM CSL_CITATION {"citationID":"d30uamcar","properties":{"formattedCitation":"{\\rtf \\super 17,18\\nosupersub{}}","plainCitation":"17,18"},"citationItems":[{"id":311,"uris":["http://zotero.org/users/local/RFLKuGZF/items/52IBVX6E"],"uri":["http://zotero.org/users/local/RFLKuGZF/items/52IBVX6E"],"itemData":{"id":311,"type":"article-journal","title":"Direct evidence that sulfhydryl groups of Keap1 are the sensors regulating induction of phase 2 enzymes that protect against carcinogens and oxidants","container-title":"Proceedings of the National Academy of Sciences of the United States of America","page":"11908-11913","volume":"99","issue":"18","source":"PubMed","abstract":"Coordinate induction of phase 2 proteins and elevation of glutathione protect cells against the toxic and carcinogenic effects of electrophiles and oxidants. All inducers react covalently with thiols at rates that are closely related to their potencies. Inducers disrupt the cytoplasmic complex between the actin-bound protein Keap1 and the transcription factor Nrf2, thereby releasing Nrf2 to migrate to the nucleus where it activates the antioxidant response element (ARE) of phase 2 genes and accelerates their transcription. We cloned, overexpressed, and purified murine Keap1 and demonstrated on native gels the formation of complexes of Keap1 with the Neh2 domain of Nrf2 and their concentration-dependent disruption by inducers such as sulforaphane and bis(2-hydroxybenzylidene)acetone. The kinetics, stoichiometry, and order of reactivities of the most reactive of the 25 cysteine thiol groups of Keap1 have been determined by tritium incorporation from [(3)H]dexamethasone mesylate (an inducer and irreversible modifier of thiols) and by UV spectroscopy with sulforaphane, 2,2'-dipyridyl disulfide and 4,4'-dipyridyl disulfide (titrants of thiol groups), and two closely related Michael reaction acceptors [bis(2- and 4-hydroxybenzylidene)acetones] that differ 100-fold in inducer potency and the UV spectra of which are bleached by thiol addition. With large excesses of these reagents nearly all thiols of Keap1 react, but sequential reaction with three successive single equivalents (per cysteine residue) of dipyridyl disulfides revealed excellent agreement with pseudo-first order kinetics, rapid successive declines in reaction velocity, and the stoichiometric formation of two equivalents of thiopyridone per reacted cysteine. This finding suggests that reaction of cysteine thiols is followed by rapid formation of protein disulfide linkages. The most reactive residues of Keap1 (C(257), C(273), C(288), and C(297)) were identified by mapping the dexamethasone-modified cysteines by mass spectrometry of tryptic peptides. These residues are located in the intervening region between BTB and Kelch repeat domains of Keap1 and probably are the direct sensors of inducers of the phase 2 system.","DOI":"10.1073/pnas.172398899","ISSN":"0027-8424","note":"PMID: 12193649\nPMCID: PMC129367","journalAbbreviation":"Proc. Natl. Acad. Sci. U.S.A.","language":"eng","author":[{"family":"Dinkova-Kostova","given":"Albena T."},{"family":"Holtzclaw","given":"W. David"},{"family":"Cole","given":"Robert N."},{"family":"Itoh","given":"Ken"},{"family":"Wakabayashi","given":"Nobunao"},{"family":"Katoh","given":"Yasutake"},{"family":"Yamamoto","given":"Masayuki"},{"family":"Talalay","given":"Paul"}],"issued":{"date-parts":[["2002",9,3]]},"PMID":"12193649","PMCID":"PMC129367"}},{"id":309,"uris":["http://zotero.org/users/local/RFLKuGZF/items/JM6CPRU4"],"uri":["http://zotero.org/users/local/RFLKuGZF/items/JM6CPRU4"],"itemData":{"id":309,"type":"article-journal","title":"Nutrient isothiocyanates covalently modify and inhibit the inflammatory cytokine macrophage migration inhibitory factor (MIF)","container-title":"The Biochemical Journal","page":"315-321","volume":"423","issue":"3","source":"PubMed","abstract":"Dietary ITCs (isothiocyanates) prevent cancer and show other bioactivities in vivo. As electrophiles, ITCs may covalently modify cellular proteins. Using a novel proteomics screen, we identified MIF (macrophage migration inhibitory factor) as the principal target of nutrient ITCs in intact cells. ITCs covalently modify the N-terminal proline residue of MIF and extinguish its catalytic tautomerase activity. MIF deficiency does not prevent induction of Phase 2 gene expression, a hallmark of many cancer chemopreventives, including ITCs. Due to the emerging role of MIF in the control of malignant cell growth and its clear involvement in inflammation, inhibition of MIF by nutrient ITCs suggests therapeutic strategies for inflammatory diseases and cancer.","DOI":"10.1042/BJ20091170","ISSN":"1470-8728","note":"PMID: 19723024\nPMCID: PMC2858637","journalAbbreviation":"Biochem. J.","language":"eng","author":[{"family":"Cross","given":"Janet V."},{"family":"Rady","given":"Joshua M."},{"family":"Foss","given":"Frank W."},{"family":"Lyons","given":"Charles E."},{"family":"Macdonald","given":"Timothy L."},{"family":"Templeton","given":"Dennis J."}],"issued":{"date-parts":[["2009",11,1]]},"PMID":"19723024","PMCID":"PMC2858637"}}],"schema":"https://github.com/citation-style-language/schema/raw/master/csl-citation.json"} </w:instrText>
      </w:r>
      <w:r w:rsidR="00B14EC5">
        <w:fldChar w:fldCharType="separate"/>
      </w:r>
      <w:r w:rsidR="008E38AE" w:rsidRPr="008E38AE">
        <w:rPr>
          <w:rFonts w:ascii="Calibri" w:hAnsi="Calibri"/>
          <w:szCs w:val="24"/>
          <w:vertAlign w:val="superscript"/>
        </w:rPr>
        <w:t>17,18</w:t>
      </w:r>
      <w:r w:rsidR="00B14EC5">
        <w:fldChar w:fldCharType="end"/>
      </w:r>
      <w:r w:rsidR="00B14EC5">
        <w:t xml:space="preserve"> however, this is the first time their interaction with sulforaphane has been observed in a cellular environment at endogenous expression levels. </w:t>
      </w:r>
      <w:r w:rsidR="00461193">
        <w:t>I</w:t>
      </w:r>
      <w:r w:rsidR="00B14EC5">
        <w:t>dentif</w:t>
      </w:r>
      <w:r w:rsidR="00461193">
        <w:t>ication of</w:t>
      </w:r>
      <w:r w:rsidR="00B14EC5">
        <w:t xml:space="preserve"> </w:t>
      </w:r>
      <w:r w:rsidR="0062639C">
        <w:t>known</w:t>
      </w:r>
      <w:r w:rsidR="00461193">
        <w:t xml:space="preserve"> </w:t>
      </w:r>
      <w:r w:rsidR="00B14EC5">
        <w:t>sulforaphane</w:t>
      </w:r>
      <w:r w:rsidR="003160B0">
        <w:t xml:space="preserve"> targets</w:t>
      </w:r>
      <w:r w:rsidR="00461193">
        <w:t xml:space="preserve"> </w:t>
      </w:r>
      <w:r w:rsidR="00B14EC5">
        <w:t xml:space="preserve">demonstrates </w:t>
      </w:r>
      <w:r w:rsidR="00461193">
        <w:t xml:space="preserve">the validity of </w:t>
      </w:r>
      <w:r w:rsidR="000238FD">
        <w:t>our</w:t>
      </w:r>
      <w:r w:rsidR="00461193">
        <w:t xml:space="preserve"> approach, and provides the first assessment of </w:t>
      </w:r>
      <w:r w:rsidR="00B14EC5">
        <w:t xml:space="preserve">the binding of sulforaphane towards these two targets relative to other proteins in </w:t>
      </w:r>
      <w:r w:rsidR="00461193">
        <w:t xml:space="preserve">the </w:t>
      </w:r>
      <w:r w:rsidR="00B14EC5">
        <w:t>cell</w:t>
      </w:r>
      <w:r w:rsidR="00DF60C9">
        <w:t>, in the absence of artificial overexpression</w:t>
      </w:r>
      <w:r w:rsidR="00B14EC5">
        <w:t>.</w:t>
      </w:r>
      <w:r w:rsidR="00F14385">
        <w:t xml:space="preserve"> Sulforaphane is often used as a </w:t>
      </w:r>
      <w:r w:rsidR="00F14385" w:rsidRPr="00F14385">
        <w:t>chemical probe inhibitor of KEAP1</w:t>
      </w:r>
      <w:r w:rsidR="000238FD">
        <w:t>;</w:t>
      </w:r>
      <w:r w:rsidR="00F14385" w:rsidRPr="00F14385">
        <w:t xml:space="preserve"> </w:t>
      </w:r>
      <w:r w:rsidR="0062639C">
        <w:t>however</w:t>
      </w:r>
      <w:r w:rsidR="00F14385">
        <w:t>,</w:t>
      </w:r>
      <w:r w:rsidR="0062639C">
        <w:t xml:space="preserve"> </w:t>
      </w:r>
      <w:r w:rsidR="00F14385">
        <w:t>our results indicate</w:t>
      </w:r>
      <w:r w:rsidR="00F14385" w:rsidRPr="00F14385">
        <w:t xml:space="preserve"> </w:t>
      </w:r>
      <w:r w:rsidR="00DF60C9">
        <w:t>very substantial</w:t>
      </w:r>
      <w:r w:rsidR="00DF60C9" w:rsidRPr="00F14385">
        <w:t xml:space="preserve"> </w:t>
      </w:r>
      <w:r w:rsidR="00DF60C9">
        <w:t xml:space="preserve">target </w:t>
      </w:r>
      <w:r w:rsidR="00F14385" w:rsidRPr="00F14385">
        <w:t>promiscuity at higher concentrations</w:t>
      </w:r>
      <w:r w:rsidR="00F14385">
        <w:t>.</w:t>
      </w:r>
    </w:p>
    <w:p w14:paraId="644CC4F7" w14:textId="2C9BCB93" w:rsidR="008D7303" w:rsidRPr="008D7303" w:rsidRDefault="008D7303" w:rsidP="008D7303">
      <w:pPr>
        <w:pStyle w:val="RSCB02ArticleText"/>
      </w:pPr>
      <w:r>
        <w:tab/>
      </w:r>
      <w:r w:rsidRPr="008D7303">
        <w:t>Sulforaphane’s targets were globally assessed using the bioinformatic platform Ingenuity® Pathway Analysis.</w:t>
      </w:r>
      <w:r w:rsidRPr="008D7303" w:rsidDel="00322B8B">
        <w:t xml:space="preserve"> </w:t>
      </w:r>
      <w:r w:rsidRPr="008D7303">
        <w:t>The major canonical pathway upregulated in a dose-dependent manner</w:t>
      </w:r>
    </w:p>
    <w:p w14:paraId="65CA1CC5" w14:textId="56CA66DF" w:rsidR="005C5F4E" w:rsidRDefault="00B96247" w:rsidP="005C5F4E">
      <w:pPr>
        <w:pStyle w:val="RSCB02ArticleText"/>
        <w:pBdr>
          <w:bottom w:val="single" w:sz="6" w:space="1" w:color="auto"/>
        </w:pBdr>
        <w:spacing w:line="240" w:lineRule="auto"/>
        <w:rPr>
          <w:sz w:val="14"/>
          <w:szCs w:val="14"/>
        </w:rPr>
      </w:pPr>
      <w:r w:rsidRPr="00B96247">
        <w:rPr>
          <w:noProof/>
          <w:lang w:eastAsia="en-GB"/>
        </w:rPr>
        <w:lastRenderedPageBreak/>
        <w:drawing>
          <wp:inline distT="0" distB="0" distL="0" distR="0" wp14:anchorId="65459E0B" wp14:editId="29A2725C">
            <wp:extent cx="3093085" cy="51047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93085" cy="5104765"/>
                    </a:xfrm>
                    <a:prstGeom prst="rect">
                      <a:avLst/>
                    </a:prstGeom>
                    <a:noFill/>
                    <a:ln>
                      <a:noFill/>
                    </a:ln>
                  </pic:spPr>
                </pic:pic>
              </a:graphicData>
            </a:graphic>
          </wp:inline>
        </w:drawing>
      </w:r>
      <w:proofErr w:type="gramStart"/>
      <w:r w:rsidR="00950176" w:rsidRPr="00DA3C03">
        <w:rPr>
          <w:b/>
          <w:sz w:val="14"/>
          <w:szCs w:val="14"/>
        </w:rPr>
        <w:t xml:space="preserve">Fig. 2 </w:t>
      </w:r>
      <w:r w:rsidR="00035B10">
        <w:rPr>
          <w:sz w:val="14"/>
          <w:szCs w:val="14"/>
        </w:rPr>
        <w:t>(a) ‘S</w:t>
      </w:r>
      <w:r w:rsidR="00950176" w:rsidRPr="00DA3C03">
        <w:rPr>
          <w:sz w:val="14"/>
          <w:szCs w:val="14"/>
        </w:rPr>
        <w:t>pike-in’ SILAC workflow.</w:t>
      </w:r>
      <w:proofErr w:type="gramEnd"/>
      <w:r w:rsidR="00950176" w:rsidRPr="00DA3C03">
        <w:rPr>
          <w:sz w:val="14"/>
          <w:szCs w:val="14"/>
        </w:rPr>
        <w:t xml:space="preserve"> </w:t>
      </w:r>
      <w:r w:rsidR="00950176" w:rsidRPr="005D56D6">
        <w:rPr>
          <w:b/>
          <w:sz w:val="14"/>
          <w:szCs w:val="14"/>
        </w:rPr>
        <w:t>2</w:t>
      </w:r>
      <w:r w:rsidR="00950176" w:rsidRPr="00DA3C03">
        <w:rPr>
          <w:sz w:val="14"/>
          <w:szCs w:val="14"/>
        </w:rPr>
        <w:t xml:space="preserve"> in </w:t>
      </w:r>
      <w:proofErr w:type="gramStart"/>
      <w:r w:rsidR="00950176" w:rsidRPr="00DA3C03">
        <w:rPr>
          <w:sz w:val="14"/>
          <w:szCs w:val="14"/>
        </w:rPr>
        <w:t>competition</w:t>
      </w:r>
      <w:proofErr w:type="gramEnd"/>
      <w:r w:rsidR="00950176" w:rsidRPr="00DA3C03">
        <w:rPr>
          <w:sz w:val="14"/>
          <w:szCs w:val="14"/>
        </w:rPr>
        <w:t xml:space="preserve"> with a sulforaphane (SULF) concentration gradient was incubated with cells grown in normal media, and R10K8 labelled cells were treated with </w:t>
      </w:r>
      <w:r w:rsidR="00950176" w:rsidRPr="00D542F4">
        <w:rPr>
          <w:b/>
          <w:sz w:val="14"/>
          <w:szCs w:val="14"/>
        </w:rPr>
        <w:t>2</w:t>
      </w:r>
      <w:r w:rsidR="00950176" w:rsidRPr="00DA3C03">
        <w:rPr>
          <w:sz w:val="14"/>
          <w:szCs w:val="14"/>
        </w:rPr>
        <w:t xml:space="preserve"> only. </w:t>
      </w:r>
      <w:r w:rsidR="005D56D6">
        <w:rPr>
          <w:sz w:val="14"/>
          <w:szCs w:val="14"/>
        </w:rPr>
        <w:t>C</w:t>
      </w:r>
      <w:r w:rsidR="00950176" w:rsidRPr="00DA3C03">
        <w:rPr>
          <w:sz w:val="14"/>
          <w:szCs w:val="14"/>
        </w:rPr>
        <w:t xml:space="preserve">ells were lysed, and ‘spike-in’ R10K8 lysate labelled with </w:t>
      </w:r>
      <w:r w:rsidR="00950176" w:rsidRPr="005D56D6">
        <w:rPr>
          <w:b/>
          <w:sz w:val="14"/>
          <w:szCs w:val="14"/>
        </w:rPr>
        <w:t>2</w:t>
      </w:r>
      <w:r w:rsidR="00950176" w:rsidRPr="00DA3C03">
        <w:rPr>
          <w:sz w:val="14"/>
          <w:szCs w:val="14"/>
        </w:rPr>
        <w:t xml:space="preserve"> added to</w:t>
      </w:r>
      <w:r w:rsidR="00446BBA">
        <w:rPr>
          <w:sz w:val="14"/>
          <w:szCs w:val="14"/>
        </w:rPr>
        <w:t xml:space="preserve"> light </w:t>
      </w:r>
      <w:r w:rsidR="00950176" w:rsidRPr="00DA3C03">
        <w:rPr>
          <w:sz w:val="14"/>
          <w:szCs w:val="14"/>
        </w:rPr>
        <w:t>lysate</w:t>
      </w:r>
      <w:r w:rsidR="00446BBA">
        <w:rPr>
          <w:sz w:val="14"/>
          <w:szCs w:val="14"/>
        </w:rPr>
        <w:t>s</w:t>
      </w:r>
      <w:r w:rsidR="00950176" w:rsidRPr="00DA3C03">
        <w:rPr>
          <w:sz w:val="14"/>
          <w:szCs w:val="14"/>
        </w:rPr>
        <w:t>. Probe-</w:t>
      </w:r>
      <w:r w:rsidR="005D56D6">
        <w:rPr>
          <w:sz w:val="14"/>
          <w:szCs w:val="14"/>
        </w:rPr>
        <w:t>bound proteins were functionalis</w:t>
      </w:r>
      <w:r w:rsidR="00950176" w:rsidRPr="00DA3C03">
        <w:rPr>
          <w:sz w:val="14"/>
          <w:szCs w:val="14"/>
        </w:rPr>
        <w:t xml:space="preserve">ed by CuAAC, </w:t>
      </w:r>
      <w:r w:rsidR="00A73AFA">
        <w:rPr>
          <w:sz w:val="14"/>
          <w:szCs w:val="14"/>
        </w:rPr>
        <w:t>affinity enriched</w:t>
      </w:r>
      <w:r w:rsidR="00950176" w:rsidRPr="00DA3C03">
        <w:rPr>
          <w:sz w:val="14"/>
          <w:szCs w:val="14"/>
        </w:rPr>
        <w:t xml:space="preserve"> and </w:t>
      </w:r>
      <w:r w:rsidR="00A73AFA">
        <w:rPr>
          <w:sz w:val="14"/>
          <w:szCs w:val="14"/>
        </w:rPr>
        <w:t>digested</w:t>
      </w:r>
      <w:r w:rsidR="00035B10">
        <w:rPr>
          <w:sz w:val="14"/>
          <w:szCs w:val="14"/>
        </w:rPr>
        <w:t xml:space="preserve"> for LC-MS/M</w:t>
      </w:r>
      <w:r w:rsidR="00A73AFA">
        <w:rPr>
          <w:sz w:val="14"/>
          <w:szCs w:val="14"/>
        </w:rPr>
        <w:t>S</w:t>
      </w:r>
      <w:r w:rsidR="00950176" w:rsidRPr="00DA3C03">
        <w:rPr>
          <w:sz w:val="14"/>
          <w:szCs w:val="14"/>
        </w:rPr>
        <w:t>. H</w:t>
      </w:r>
      <w:r w:rsidR="00035B10">
        <w:rPr>
          <w:sz w:val="14"/>
          <w:szCs w:val="14"/>
        </w:rPr>
        <w:t>eavy</w:t>
      </w:r>
      <w:r w:rsidR="00950176" w:rsidRPr="00DA3C03">
        <w:rPr>
          <w:sz w:val="14"/>
          <w:szCs w:val="14"/>
        </w:rPr>
        <w:t>/</w:t>
      </w:r>
      <w:r w:rsidR="00035B10">
        <w:rPr>
          <w:sz w:val="14"/>
          <w:szCs w:val="14"/>
        </w:rPr>
        <w:t>light</w:t>
      </w:r>
      <w:r w:rsidR="005D56D6">
        <w:rPr>
          <w:sz w:val="14"/>
          <w:szCs w:val="14"/>
        </w:rPr>
        <w:t xml:space="preserve"> ratios (</w:t>
      </w:r>
      <w:proofErr w:type="gramStart"/>
      <w:r w:rsidR="005D56D6">
        <w:rPr>
          <w:sz w:val="14"/>
          <w:szCs w:val="14"/>
        </w:rPr>
        <w:t>R</w:t>
      </w:r>
      <w:r w:rsidR="00950176" w:rsidRPr="00DA3C03">
        <w:rPr>
          <w:sz w:val="14"/>
          <w:szCs w:val="14"/>
          <w:vertAlign w:val="subscript"/>
        </w:rPr>
        <w:t>(</w:t>
      </w:r>
      <w:proofErr w:type="gramEnd"/>
      <w:r w:rsidR="00446BBA">
        <w:rPr>
          <w:sz w:val="14"/>
          <w:szCs w:val="14"/>
          <w:vertAlign w:val="subscript"/>
        </w:rPr>
        <w:t>0</w:t>
      </w:r>
      <w:r w:rsidR="00950176" w:rsidRPr="00DA3C03">
        <w:rPr>
          <w:sz w:val="14"/>
          <w:szCs w:val="14"/>
          <w:vertAlign w:val="subscript"/>
        </w:rPr>
        <w:t>)</w:t>
      </w:r>
      <w:r w:rsidR="005D56D6">
        <w:rPr>
          <w:sz w:val="14"/>
          <w:szCs w:val="14"/>
          <w:vertAlign w:val="subscript"/>
        </w:rPr>
        <w:t xml:space="preserve"> </w:t>
      </w:r>
      <w:r w:rsidR="00A73AFA">
        <w:rPr>
          <w:sz w:val="14"/>
          <w:szCs w:val="14"/>
        </w:rPr>
        <w:t>-</w:t>
      </w:r>
      <w:r w:rsidR="00950176" w:rsidRPr="00DA3C03">
        <w:rPr>
          <w:sz w:val="14"/>
          <w:szCs w:val="14"/>
        </w:rPr>
        <w:t>R</w:t>
      </w:r>
      <w:r w:rsidR="00950176" w:rsidRPr="00DA3C03">
        <w:rPr>
          <w:sz w:val="14"/>
          <w:szCs w:val="14"/>
          <w:vertAlign w:val="subscript"/>
        </w:rPr>
        <w:t>(</w:t>
      </w:r>
      <w:r w:rsidR="00446BBA">
        <w:rPr>
          <w:sz w:val="14"/>
          <w:szCs w:val="14"/>
          <w:vertAlign w:val="subscript"/>
        </w:rPr>
        <w:t>100</w:t>
      </w:r>
      <w:r w:rsidR="00950176" w:rsidRPr="00DA3C03">
        <w:rPr>
          <w:sz w:val="14"/>
          <w:szCs w:val="14"/>
          <w:vertAlign w:val="subscript"/>
        </w:rPr>
        <w:t>)</w:t>
      </w:r>
      <w:r w:rsidR="00950176" w:rsidRPr="00DA3C03">
        <w:rPr>
          <w:sz w:val="14"/>
          <w:szCs w:val="14"/>
        </w:rPr>
        <w:t>)</w:t>
      </w:r>
      <w:r w:rsidR="00035B10" w:rsidRPr="00035B10">
        <w:rPr>
          <w:sz w:val="14"/>
          <w:szCs w:val="14"/>
        </w:rPr>
        <w:t xml:space="preserve"> </w:t>
      </w:r>
      <w:r w:rsidR="00A73AFA">
        <w:rPr>
          <w:sz w:val="14"/>
          <w:szCs w:val="14"/>
        </w:rPr>
        <w:t>we</w:t>
      </w:r>
      <w:r w:rsidR="00035B10">
        <w:rPr>
          <w:sz w:val="14"/>
          <w:szCs w:val="14"/>
        </w:rPr>
        <w:t>re calculated and</w:t>
      </w:r>
      <w:r w:rsidR="00950176" w:rsidRPr="00DA3C03">
        <w:rPr>
          <w:sz w:val="14"/>
          <w:szCs w:val="14"/>
        </w:rPr>
        <w:t xml:space="preserve"> </w:t>
      </w:r>
      <w:r w:rsidR="00035B10">
        <w:rPr>
          <w:sz w:val="14"/>
          <w:szCs w:val="14"/>
        </w:rPr>
        <w:t>q</w:t>
      </w:r>
      <w:r w:rsidR="00D542F4">
        <w:rPr>
          <w:sz w:val="14"/>
          <w:szCs w:val="14"/>
        </w:rPr>
        <w:t>uantification</w:t>
      </w:r>
      <w:r w:rsidR="00D542F4" w:rsidRPr="00DA3C03">
        <w:rPr>
          <w:sz w:val="14"/>
          <w:szCs w:val="14"/>
        </w:rPr>
        <w:t xml:space="preserve"> score</w:t>
      </w:r>
      <w:r w:rsidR="00D542F4">
        <w:rPr>
          <w:sz w:val="14"/>
          <w:szCs w:val="14"/>
        </w:rPr>
        <w:t xml:space="preserve">s </w:t>
      </w:r>
      <w:r w:rsidR="00A73AFA">
        <w:rPr>
          <w:sz w:val="14"/>
          <w:szCs w:val="14"/>
        </w:rPr>
        <w:t xml:space="preserve">(QS) </w:t>
      </w:r>
      <w:r w:rsidR="005D56D6">
        <w:rPr>
          <w:sz w:val="14"/>
          <w:szCs w:val="14"/>
        </w:rPr>
        <w:t xml:space="preserve">generated </w:t>
      </w:r>
      <w:r w:rsidR="00D542F4">
        <w:rPr>
          <w:sz w:val="14"/>
          <w:szCs w:val="14"/>
        </w:rPr>
        <w:t xml:space="preserve">as a ratio of ratios </w:t>
      </w:r>
      <w:r w:rsidR="00950176" w:rsidRPr="00DA3C03">
        <w:rPr>
          <w:sz w:val="14"/>
          <w:szCs w:val="14"/>
        </w:rPr>
        <w:t xml:space="preserve">to the probe only sample. (b) Heat maps showing </w:t>
      </w:r>
      <w:proofErr w:type="gramStart"/>
      <w:r w:rsidR="00233E42">
        <w:rPr>
          <w:sz w:val="14"/>
          <w:szCs w:val="14"/>
        </w:rPr>
        <w:t>log</w:t>
      </w:r>
      <w:r w:rsidR="00233E42" w:rsidRPr="000A30D6">
        <w:rPr>
          <w:sz w:val="14"/>
          <w:szCs w:val="14"/>
          <w:vertAlign w:val="subscript"/>
        </w:rPr>
        <w:t>2</w:t>
      </w:r>
      <w:r w:rsidR="00233E42">
        <w:rPr>
          <w:sz w:val="14"/>
          <w:szCs w:val="14"/>
        </w:rPr>
        <w:t>(</w:t>
      </w:r>
      <w:proofErr w:type="gramEnd"/>
      <w:r w:rsidR="00A73AFA">
        <w:rPr>
          <w:sz w:val="14"/>
          <w:szCs w:val="14"/>
        </w:rPr>
        <w:t>QS</w:t>
      </w:r>
      <w:r w:rsidR="00233E42">
        <w:rPr>
          <w:sz w:val="14"/>
          <w:szCs w:val="14"/>
        </w:rPr>
        <w:t>)</w:t>
      </w:r>
      <w:r w:rsidR="00950176" w:rsidRPr="00DA3C03">
        <w:rPr>
          <w:sz w:val="14"/>
          <w:szCs w:val="14"/>
        </w:rPr>
        <w:t xml:space="preserve"> over </w:t>
      </w:r>
      <w:r w:rsidR="007D560F">
        <w:rPr>
          <w:sz w:val="14"/>
          <w:szCs w:val="14"/>
        </w:rPr>
        <w:t>four</w:t>
      </w:r>
      <w:r w:rsidR="007D560F" w:rsidRPr="00DA3C03">
        <w:rPr>
          <w:sz w:val="14"/>
          <w:szCs w:val="14"/>
        </w:rPr>
        <w:t xml:space="preserve"> </w:t>
      </w:r>
      <w:r w:rsidR="00D542F4">
        <w:rPr>
          <w:sz w:val="14"/>
          <w:szCs w:val="14"/>
        </w:rPr>
        <w:t xml:space="preserve">sulforaphane </w:t>
      </w:r>
      <w:r w:rsidR="00950176" w:rsidRPr="00DA3C03">
        <w:rPr>
          <w:sz w:val="14"/>
          <w:szCs w:val="14"/>
        </w:rPr>
        <w:t xml:space="preserve">concentrations (0, 5, 25 and 100 μM). </w:t>
      </w:r>
      <w:r w:rsidR="00A73AFA">
        <w:rPr>
          <w:sz w:val="14"/>
          <w:szCs w:val="14"/>
        </w:rPr>
        <w:t>B</w:t>
      </w:r>
      <w:r w:rsidR="00D542F4">
        <w:rPr>
          <w:sz w:val="14"/>
          <w:szCs w:val="14"/>
        </w:rPr>
        <w:t>lue =</w:t>
      </w:r>
      <w:r w:rsidR="00950176" w:rsidRPr="00DA3C03">
        <w:rPr>
          <w:sz w:val="14"/>
          <w:szCs w:val="14"/>
        </w:rPr>
        <w:t xml:space="preserve"> no competition</w:t>
      </w:r>
      <w:r w:rsidR="00D542F4">
        <w:rPr>
          <w:sz w:val="14"/>
          <w:szCs w:val="14"/>
        </w:rPr>
        <w:t>,</w:t>
      </w:r>
      <w:r w:rsidR="00950176" w:rsidRPr="00DA3C03">
        <w:rPr>
          <w:sz w:val="14"/>
          <w:szCs w:val="14"/>
        </w:rPr>
        <w:t xml:space="preserve"> </w:t>
      </w:r>
      <w:r w:rsidR="00D542F4">
        <w:rPr>
          <w:sz w:val="14"/>
          <w:szCs w:val="14"/>
        </w:rPr>
        <w:t>r</w:t>
      </w:r>
      <w:r w:rsidR="00950176" w:rsidRPr="00DA3C03">
        <w:rPr>
          <w:sz w:val="14"/>
          <w:szCs w:val="14"/>
        </w:rPr>
        <w:t xml:space="preserve">ed </w:t>
      </w:r>
      <w:r w:rsidR="00D542F4">
        <w:rPr>
          <w:sz w:val="14"/>
          <w:szCs w:val="14"/>
        </w:rPr>
        <w:t>=</w:t>
      </w:r>
      <w:r w:rsidR="00A73AFA">
        <w:rPr>
          <w:sz w:val="14"/>
          <w:szCs w:val="14"/>
        </w:rPr>
        <w:t xml:space="preserve"> high</w:t>
      </w:r>
      <w:r w:rsidR="00D542F4">
        <w:rPr>
          <w:sz w:val="14"/>
          <w:szCs w:val="14"/>
        </w:rPr>
        <w:t xml:space="preserve"> competition</w:t>
      </w:r>
      <w:r w:rsidR="00950176" w:rsidRPr="00DA3C03">
        <w:rPr>
          <w:sz w:val="14"/>
          <w:szCs w:val="14"/>
        </w:rPr>
        <w:t xml:space="preserve">. (c) </w:t>
      </w:r>
      <w:r w:rsidR="00B66C8E">
        <w:rPr>
          <w:sz w:val="14"/>
          <w:szCs w:val="14"/>
        </w:rPr>
        <w:t>Distribution of unique and common h</w:t>
      </w:r>
      <w:r w:rsidR="00950176" w:rsidRPr="00DA3C03">
        <w:rPr>
          <w:sz w:val="14"/>
          <w:szCs w:val="14"/>
        </w:rPr>
        <w:t>igh</w:t>
      </w:r>
      <w:r w:rsidR="00EC334A">
        <w:rPr>
          <w:sz w:val="14"/>
          <w:szCs w:val="14"/>
        </w:rPr>
        <w:t>-</w:t>
      </w:r>
      <w:r w:rsidR="00950176" w:rsidRPr="00DA3C03">
        <w:rPr>
          <w:sz w:val="14"/>
          <w:szCs w:val="14"/>
        </w:rPr>
        <w:t xml:space="preserve">confidence </w:t>
      </w:r>
      <w:r w:rsidR="00035B10">
        <w:rPr>
          <w:sz w:val="14"/>
          <w:szCs w:val="14"/>
        </w:rPr>
        <w:t>target</w:t>
      </w:r>
      <w:r w:rsidR="00B66C8E">
        <w:rPr>
          <w:sz w:val="14"/>
          <w:szCs w:val="14"/>
        </w:rPr>
        <w:t>s</w:t>
      </w:r>
      <w:r w:rsidR="005C5F4E">
        <w:rPr>
          <w:sz w:val="14"/>
          <w:szCs w:val="14"/>
        </w:rPr>
        <w:t>.</w:t>
      </w:r>
    </w:p>
    <w:p w14:paraId="1088EDF6" w14:textId="42FAE516" w:rsidR="007D48A4" w:rsidRDefault="008F17AE" w:rsidP="00C47160">
      <w:pPr>
        <w:pStyle w:val="RSCB02ArticleText"/>
      </w:pPr>
      <w:proofErr w:type="gramStart"/>
      <w:r>
        <w:t>in</w:t>
      </w:r>
      <w:proofErr w:type="gramEnd"/>
      <w:r>
        <w:t xml:space="preserve"> both cell lines was apoptosis signalling</w:t>
      </w:r>
      <w:r w:rsidR="00290C52">
        <w:t xml:space="preserve"> (ESI,† Fig. </w:t>
      </w:r>
      <w:r w:rsidR="00AA1182">
        <w:t>S6</w:t>
      </w:r>
      <w:r>
        <w:t>)</w:t>
      </w:r>
      <w:r w:rsidR="00206FD9">
        <w:t>, consistent with sulforaphane’s ability to induce apoptosis in numerous cancer cell lines at elevated concentrations.</w:t>
      </w:r>
      <w:r w:rsidR="00206FD9">
        <w:fldChar w:fldCharType="begin"/>
      </w:r>
      <w:r w:rsidR="008E38AE">
        <w:instrText xml:space="preserve"> ADDIN ZOTERO_ITEM CSL_CITATION {"citationID":"f94PLCix","properties":{"formattedCitation":"{\\rtf \\super 19\\nosupersub{}}","plainCitation":"19"},"citationItems":[{"id":327,"uris":["http://zotero.org/users/local/RFLKuGZF/items/34ISB6BP"],"uri":["http://zotero.org/users/local/RFLKuGZF/items/34ISB6BP"],"itemData":{"id":327,"type":"article-journal","title":"Sulforaphane induces cell type-specific apoptosis in human breast cancer cell lines","container-title":"Molecular Cancer Therapeutics","page":"1013-1021","volume":"6","issue":"3","source":"PubMed","abstract":"Sulforaphane, an isothiocyanate found in cruciferous vegetables, has been shown to induce phase 2 detoxication enzymes and inhibit the growth of chemically induced mammary tumors in rats, although the exact mechanisms of action of sulforaphane are not understood. In this study, we evaluated the effects of sulforaphane on cell growth and death in several human breast cancer cell lines and examined the hypothesis that sulforaphane acts as a histone deacetylase (HDAC) inhibitor in these cell lines. Sulforaphane treatment inhibited cell growth, induced a G(2)-M cell cycle block, increased expression of cyclin B1, and induced oligonucleosomal DNA fragmentation in the four human breast cancer cell lines examined, MDA-MB-231, MDA-MB-468, MCF-7, and T47D cells. Activation of apoptosis by sulforaphane in MDA-MB-231 cells seemed to be initiated through induction of Fas ligand, which resulted in activation of caspase-8, caspase-3, and poly(ADP-ribose) polymerase, whereas apoptosis in the other breast cancer cell lines was initiated by decreased Bcl-2 expression, release of cytochrome c into the cytosol, activation of caspase-9 and caspase-3, but not caspase-8, and poly(ADP-ribose) polymerase cleavage. Sulforaphane inhibited HDAC activity and decreased the expression of estrogen receptor-alpha, epidermal growth factor receptor, and human epidermal growth factor receptor-2 in each cell line, although no change in the acetylation of H3 or H4 was seen. These data suggest that sulforaphane inhibits cell growth, activates apoptosis, inhibits HDAC activity, and decreases the expression of key proteins involved in breast cancer proliferation in human breast cancer cells. These results support testing sulforaphane in vivo and warrant future studies examining the clinical potential of sulforaphane in human breast cancer.","DOI":"10.1158/1535-7163.MCT-06-0494","ISSN":"1535-7163","note":"PMID: 17339367","journalAbbreviation":"Mol. Cancer Ther.","language":"eng","author":[{"family":"Pledgie-Tracy","given":"Allison"},{"family":"Sobolewski","given":"Michele D."},{"family":"Davidson","given":"Nancy E."}],"issued":{"date-parts":[["2007",3]]},"PMID":"17339367"}}],"schema":"https://github.com/citation-style-language/schema/raw/master/csl-citation.json"} </w:instrText>
      </w:r>
      <w:r w:rsidR="00206FD9">
        <w:fldChar w:fldCharType="separate"/>
      </w:r>
      <w:r w:rsidR="008E38AE" w:rsidRPr="008E38AE">
        <w:rPr>
          <w:rFonts w:ascii="Calibri" w:hAnsi="Calibri"/>
          <w:szCs w:val="24"/>
          <w:vertAlign w:val="superscript"/>
        </w:rPr>
        <w:t>19</w:t>
      </w:r>
      <w:r w:rsidR="00206FD9">
        <w:fldChar w:fldCharType="end"/>
      </w:r>
      <w:r>
        <w:t xml:space="preserve"> </w:t>
      </w:r>
      <w:r w:rsidR="007D48A4">
        <w:t xml:space="preserve">In both cell lines a common apoptosis signalling target was </w:t>
      </w:r>
      <w:r w:rsidR="007D48A4" w:rsidRPr="00E06C11">
        <w:t>NF-κB</w:t>
      </w:r>
      <w:r w:rsidR="007D48A4">
        <w:t xml:space="preserve"> subunits</w:t>
      </w:r>
      <w:r w:rsidR="005915E0">
        <w:t xml:space="preserve"> (ESI</w:t>
      </w:r>
      <w:proofErr w:type="gramStart"/>
      <w:r w:rsidR="005915E0">
        <w:t>,†</w:t>
      </w:r>
      <w:proofErr w:type="gramEnd"/>
      <w:r w:rsidR="005915E0">
        <w:t xml:space="preserve"> Fig. </w:t>
      </w:r>
      <w:r w:rsidR="00AA1182">
        <w:t>S7</w:t>
      </w:r>
      <w:r w:rsidR="005915E0">
        <w:t>)</w:t>
      </w:r>
      <w:r w:rsidR="007D48A4" w:rsidRPr="00E06C11">
        <w:t>. NF-κB is a ubiquitous transcription factor control</w:t>
      </w:r>
      <w:r w:rsidR="007D48A4">
        <w:t>ling</w:t>
      </w:r>
      <w:r w:rsidR="007D48A4" w:rsidRPr="00E06C11">
        <w:t xml:space="preserve"> gene expression of a variety of pro-inflammatory mediators, and activation is linked to cancer cell survival.</w:t>
      </w:r>
      <w:r w:rsidR="007D48A4" w:rsidRPr="00E06C11">
        <w:fldChar w:fldCharType="begin"/>
      </w:r>
      <w:r w:rsidR="008E38AE">
        <w:instrText xml:space="preserve"> ADDIN ZOTERO_ITEM CSL_CITATION {"citationID":"19avtqsg3l","properties":{"formattedCitation":"{\\rtf \\super 20\\nosupersub{}}","plainCitation":"20"},"citationItems":[{"id":321,"uris":["http://zotero.org/users/local/RFLKuGZF/items/HZKKRVIS"],"uri":["http://zotero.org/users/local/RFLKuGZF/items/HZKKRVIS"],"itemData":{"id":321,"type":"article-journal","title":"Inflammation meets cancer, with NF-κB as the matchmaker","container-title":"Nature Immunology","page":"715-723","volume":"12","issue":"8","source":"PubMed","abstract":"Inflammation is a fundamental protective response that sometimes goes awry and becomes a major cofactor in the pathogenesis of many chronic human diseases, including cancer. Here we review the evolutionary relationship and opposing functions of the transcription factor NF-κB in inflammation and cancer. Although it seems to fulfill a distinctly tumor-promoting role in many types of cancer, NF-κB has a confounding role in certain tumors. Understanding the activity and function of NF-κB in the context of tumorigenesis is critical for its successful taming, an important challenge for modern cancer biology.","DOI":"10.1038/ni.2060","ISSN":"1529-2916","note":"PMID: 21772280","journalAbbreviation":"Nat. Immunol.","language":"eng","author":[{"family":"Ben-Neriah","given":"Yinon"},{"family":"Karin","given":"Michael"}],"issued":{"date-parts":[["2011",8]]},"PMID":"21772280"}}],"schema":"https://github.com/citation-style-language/schema/raw/master/csl-citation.json"} </w:instrText>
      </w:r>
      <w:r w:rsidR="007D48A4" w:rsidRPr="00E06C11">
        <w:fldChar w:fldCharType="separate"/>
      </w:r>
      <w:r w:rsidR="008E38AE" w:rsidRPr="008E38AE">
        <w:rPr>
          <w:rFonts w:ascii="Calibri" w:hAnsi="Calibri"/>
          <w:szCs w:val="24"/>
          <w:vertAlign w:val="superscript"/>
        </w:rPr>
        <w:t>20</w:t>
      </w:r>
      <w:r w:rsidR="007D48A4" w:rsidRPr="00E06C11">
        <w:fldChar w:fldCharType="end"/>
      </w:r>
      <w:r w:rsidR="007D48A4" w:rsidRPr="00E06C11">
        <w:t xml:space="preserve"> Proposed mechanisms for sulforaphane inhibition of NF-κB include interference with an activating kinase IκBα,</w:t>
      </w:r>
      <w:r w:rsidR="007D48A4" w:rsidRPr="00E06C11">
        <w:fldChar w:fldCharType="begin"/>
      </w:r>
      <w:r w:rsidR="008E38AE">
        <w:instrText xml:space="preserve"> ADDIN ZOTERO_ITEM CSL_CITATION {"citationID":"2bns0msg52","properties":{"formattedCitation":"{\\rtf \\super 21\\nosupersub{}}","plainCitation":"21"},"citationItems":[{"id":319,"uris":["http://zotero.org/users/local/RFLKuGZF/items/28D8NVQP"],"uri":["http://zotero.org/users/local/RFLKuGZF/items/28D8NVQP"],"itemData":{"id":319,"type":"article-journal","title":"Suppression of NF-kappaB and NF-kappaB-regulated gene expression by sulforaphane and PEITC through IkappaBalpha, IKK pathway in human prostate cancer PC-3 cells","container-title":"Oncogene","page":"4486-4495","volume":"24","issue":"28","source":"PubMed","abstract":"Recent studies indicate that natural isothiocyanates, such as sulforaphane (SFN) and phenethyl isothiocyanate (PEITC) possess strong antitumor activities in vitro and in vivo. The nuclear factor kappa B (NF-kappaB) is believed to play an important role in cancer chemoprevention due to its involvement in tumor cell growth, proliferation, angiogenesis, invasion, apoptosis, and survival. In this study, we investigated the effects and the molecular mechanisms of SFN and PEITC on NF-kappaB transcriptional activation and NF-kappaB-regulated gene expression in human prostate cancer PC-3 C4 cells. Treatment with SFN (20 and 30 microM) and PEITC (5 and 7.5 microM) significantly inhibited NF-kappaB transcriptional activity, nuclear transloction of p65, and gene expression of NF-kappaB-regulated VEGF, cylcin D1, and Bcl-X(L) in PC-3 C4 cells. To further elucidate the mechanism, we utilized the dominant-negative mutant of inhibitor of NF-kappaB alpha (IkappaBalpha) (SR-IkappaBalpha). Analogous to treatments with SFN and PEITC, SR-IkappaBalpha also strongly inhibited NF-kappaB transcriptional activity as well as VEGF, cylcin D1, and Bcl-X(L) expression. Furthermore, SFN and PEITC also inhibited the basal and UVC-induced phosphorylation of IkappaBalpha and blocked UVC-induced IkappaBalpha degradation in PC-3 C4 cells. In examining the upstream signaling, we found that the dominant-negative mutant of IKKbeta (dnIKKbeta) possessed inhibitory effects similar to SFN and PEITC on NF-kappaB, VEGF, cylcin D1, Bcl-X(L) as well as IkappaBalpha phosphorylation. In addition, treatment with SFN and PEITC potently inhibited phosphorylation of both IKKbeta and IKKalpha and significantly inhibited the in vitro phosphorylation of IkappaBalpha mediated by IKKbeta. Taken together, these results suggest that the inhibition of SFN and PEITC on NF-kappaB transcriptional activation as well as NF-kappaB-regulated VEGF, cyclin D1, and Bcl-X(L) gene expression is mainly mediated through the inhibition of IKK phosphorylation, particularly IKKbeta, and the inhibition of IkappaBalpha phosphorylation and degradation, as well as the decrease of nuclear translocation of p65 in PC-3 cells.","DOI":"10.1038/sj.onc.1208656","ISSN":"0950-9232","note":"PMID: 15856023","journalAbbreviation":"Oncogene","language":"eng","author":[{"family":"Xu","given":"Changjiang"},{"family":"Shen","given":"Guoxiang"},{"family":"Chen","given":"Chi"},{"family":"Gélinas","given":"Céline"},{"family":"Kong","given":"Ah-Ng Tony"}],"issued":{"date-parts":[["2005",6,30]]},"PMID":"15856023"}}],"schema":"https://github.com/citation-style-language/schema/raw/master/csl-citation.json"} </w:instrText>
      </w:r>
      <w:r w:rsidR="007D48A4" w:rsidRPr="00E06C11">
        <w:fldChar w:fldCharType="separate"/>
      </w:r>
      <w:r w:rsidR="008E38AE" w:rsidRPr="008E38AE">
        <w:rPr>
          <w:rFonts w:ascii="Calibri" w:hAnsi="Calibri"/>
          <w:szCs w:val="24"/>
          <w:vertAlign w:val="superscript"/>
        </w:rPr>
        <w:t>21</w:t>
      </w:r>
      <w:r w:rsidR="007D48A4" w:rsidRPr="00E06C11">
        <w:fldChar w:fldCharType="end"/>
      </w:r>
      <w:r w:rsidR="007D48A4" w:rsidRPr="00E06C11">
        <w:t xml:space="preserve"> reduced NF-κB upstream signalling,</w:t>
      </w:r>
      <w:r w:rsidR="007D48A4" w:rsidRPr="00E06C11">
        <w:fldChar w:fldCharType="begin"/>
      </w:r>
      <w:r w:rsidR="008E38AE">
        <w:instrText xml:space="preserve"> ADDIN ZOTERO_ITEM CSL_CITATION {"citationID":"29bbee1kps","properties":{"formattedCitation":"{\\rtf \\super 22\\nosupersub{}}","plainCitation":"22"},"citationItems":[{"id":323,"uris":["http://zotero.org/users/local/RFLKuGZF/items/99TJZH4M"],"uri":["http://zotero.org/users/local/RFLKuGZF/items/99TJZH4M"],"itemData":{"id":323,"type":"article-journal","title":"Sulforaphane suppresses oligomerization of TLR4 in a thiol-dependent manner","container-title":"Journal of Immunology (Baltimore, Md.: 1950)","page":"411-419","volume":"184","issue":"1","source":"PubMed","abstract":"TLRs are pattern recognition receptors that detect invading microorganisms and nonmicrobial endogenous molecules to trigger immune and inflammatory responses during host defense and tissue repair. TLR activity is closely linked to the risk of many inflammatory diseases and immune disorders. Therefore, TLR signaling pathways can provide efficient therapeutic targets for chronic diseases. Sulforaphane (SFN), an isothiocyanate, has been well known for its anti-inflammatory activities. In this study, we investigated the modulation of TLR activity by SFN and the underlying mechanism. SFN suppressed ligand-induced and ligand-independent TLR4 activation because it prevented IL-1R-associated kinase-1 degradation, activation of NF-kappaB and IFN regulatory factor 3, and cyclooxygenase-2 expression induced by LPS or overexpression of TLR4. Receptor oligomerization, which is one of the initial and critical events of TLR4 activation, was suppressed by SFN, resulting in the downregulation of NF-kappaB activation. SFN formed adducts with cysteine residues in the extracellular domain of TLR4 as confirmed by liquid chromatography-tandem mass spectrometry analysis and the inhibitory effects of SFN on oligomerization and NF-kappaB activation were reversed by thiol donors (DTT and N-acetyl-L-cysteine). These suggest that the reactivity of SFN to sulfhydryl moiety contributes to its inhibitory activities. Blockade of TLR4 signaling by SFN resulted in the reduced production of inflammatory cytokines and the decreased dermal inflammation and edema in vivo in experimental inflammatory animal models. Collectively, our results demonstrated that SFN downregulated TLR4 signaling through the suppression of oligomerization process in a thiol-dependent manner. These present a novel mechanism for beneficial effects of SFN and a novel anti-inflammatory target in TLR4 signaling.","DOI":"10.4049/jimmunol.0803988","ISSN":"1550-6606","note":"PMID: 19949083","journalAbbreviation":"J. Immunol.","language":"eng","author":[{"family":"Youn","given":"Hyung Sun"},{"family":"Kim","given":"Yoon Sun"},{"family":"Park","given":"Zee Yong"},{"family":"Kim","given":"So Young"},{"family":"Choi","given":"Na Young"},{"family":"Joung","given":"Sun Myung"},{"family":"Seo","given":"Jung A."},{"family":"Lim","given":"Kyung-Min"},{"family":"Kwak","given":"Mi-Kyoung"},{"family":"Hwang","given":"Daniel H."},{"family":"Lee","given":"Joo Young"}],"issued":{"date-parts":[["2010",1,1]]},"PMID":"19949083"}}],"schema":"https://github.com/citation-style-language/schema/raw/master/csl-citation.json"} </w:instrText>
      </w:r>
      <w:r w:rsidR="007D48A4" w:rsidRPr="00E06C11">
        <w:fldChar w:fldCharType="separate"/>
      </w:r>
      <w:r w:rsidR="008E38AE" w:rsidRPr="008E38AE">
        <w:rPr>
          <w:rFonts w:ascii="Calibri" w:hAnsi="Calibri"/>
          <w:szCs w:val="24"/>
          <w:vertAlign w:val="superscript"/>
        </w:rPr>
        <w:t>22</w:t>
      </w:r>
      <w:r w:rsidR="007D48A4" w:rsidRPr="00E06C11">
        <w:fldChar w:fldCharType="end"/>
      </w:r>
      <w:r w:rsidR="007D48A4" w:rsidRPr="00E06C11">
        <w:t xml:space="preserve"> or direct interaction with NF-κB p50 subunit.</w:t>
      </w:r>
      <w:r w:rsidR="007D48A4" w:rsidRPr="00E06C11">
        <w:fldChar w:fldCharType="begin"/>
      </w:r>
      <w:r w:rsidR="008E38AE">
        <w:instrText xml:space="preserve"> ADDIN ZOTERO_ITEM CSL_CITATION {"citationID":"1r7f3i8lth","properties":{"formattedCitation":"{\\rtf \\super 23\\nosupersub{}}","plainCitation":"23"},"citationItems":[{"id":325,"uris":["http://zotero.org/users/local/RFLKuGZF/items/7WD9E7IS"],"uri":["http://zotero.org/users/local/RFLKuGZF/items/7WD9E7IS"],"itemData":{"id":325,"type":"article-journal","title":"Nuclear factor kappa B is a molecular target for sulforaphane-mediated anti-inflammatory mechanisms","container-title":"The Journal of Biological Chemistry","page":"32008-32015","volume":"276","issue":"34","source":"PubMed","abstract":"Sulforaphane (SFN), an aliphatic isothiocyanate, is a known cancer chemopreventive agent. Aiming to investigate anti-inflammatory mechanisms of SFN, we here report a potent decrease in lipopolysaccharide (LPS)-induced secretion of pro-inflammatory and pro-carcinogenic signaling factors in cultured Raw 264.7 macrophages after SFN treatment, i.e. NO, prostaglandin E(2), and tumor necrosis factor alpha. SFN did not directly interact with NO, nor did it inhibit inducible nitric-oxide synthase enzymatic activity. Western blot analyses revealed time- and dose-dependent reduction of LPS-induced inducible nitric-oxide synthase as well as Cox-2 protein expression, which was suppressed at the transcriptional level. To reveal the target of SFN beyond its anti-inflammatory action, we performed electrophoretic mobility shift assay analyses of transcription factor-DNA binding. Consequently, nuclear factor kappa B (NF-kappa B), a pivotal transcription factor in LPS-stimulated pro-inflammatory response, was identified as the key mediator. SFN selectively reduced DNA binding of NF-kappa B without interfering with LPS-induced degradation of the inhibitor of NF-kappa B nor with nuclear translocation of NF-kappa B. Because SFN can interact with thiol groups by dithiocarbamate formation, it may impair the redox-sensitive DNA binding and transactivation of NF-kappa B. Sulforaphane could either directly inactivate NF-kappa B subunits by binding to essential Cys residues or interact with glutathione or other redox regulators like thioredoxin and Ref-1 relevant for NF-kappa B function. Our data provide novel evidence that anti-inflammatory mechanisms contribute to sulforaphane-mediated cancer chemoprevention.","DOI":"10.1074/jbc.M104794200","ISSN":"0021-9258","note":"PMID: 11410599","journalAbbreviation":"J. Biol. Chem.","language":"eng","author":[{"family":"Heiss","given":"E."},{"family":"Herhaus","given":"C."},{"family":"Klimo","given":"K."},{"family":"Bartsch","given":"H."},{"family":"Gerhäuser","given":"C."}],"issued":{"date-parts":[["2001",8,24]]},"PMID":"11410599"}}],"schema":"https://github.com/citation-style-language/schema/raw/master/csl-citation.json"} </w:instrText>
      </w:r>
      <w:r w:rsidR="007D48A4" w:rsidRPr="00E06C11">
        <w:fldChar w:fldCharType="separate"/>
      </w:r>
      <w:r w:rsidR="008E38AE" w:rsidRPr="008E38AE">
        <w:rPr>
          <w:rFonts w:ascii="Calibri" w:hAnsi="Calibri"/>
          <w:szCs w:val="24"/>
          <w:vertAlign w:val="superscript"/>
        </w:rPr>
        <w:t>23</w:t>
      </w:r>
      <w:r w:rsidR="007D48A4" w:rsidRPr="00E06C11">
        <w:fldChar w:fldCharType="end"/>
      </w:r>
      <w:r w:rsidR="007D48A4" w:rsidRPr="00E06C11">
        <w:t xml:space="preserve"> Our </w:t>
      </w:r>
      <w:r w:rsidR="007D48A4">
        <w:t>data shows sulforaphane binds</w:t>
      </w:r>
      <w:r w:rsidR="007D48A4" w:rsidRPr="00E06C11">
        <w:t xml:space="preserve"> two other</w:t>
      </w:r>
      <w:r w:rsidR="007D48A4">
        <w:t xml:space="preserve"> NF-κB subunits p65 (</w:t>
      </w:r>
      <w:r w:rsidR="007D48A4" w:rsidRPr="00E06C11">
        <w:t>RELA</w:t>
      </w:r>
      <w:r w:rsidR="007D48A4">
        <w:t>, high-confidence in both lines</w:t>
      </w:r>
      <w:r w:rsidR="007D48A4" w:rsidRPr="00E06C11">
        <w:t>)</w:t>
      </w:r>
      <w:r w:rsidR="007D48A4">
        <w:t xml:space="preserve"> and </w:t>
      </w:r>
      <w:r w:rsidR="007D48A4" w:rsidRPr="00E06C11">
        <w:t>p52 (NFKB2</w:t>
      </w:r>
      <w:r w:rsidR="007D48A4">
        <w:t xml:space="preserve">, medium- and high-confidence in MCF7 and MDA-MB-231, respectively). </w:t>
      </w:r>
      <w:r w:rsidR="005915E0">
        <w:t xml:space="preserve">Other </w:t>
      </w:r>
      <w:r w:rsidR="005F1D1F">
        <w:t>conserved</w:t>
      </w:r>
      <w:r w:rsidR="00867870">
        <w:t xml:space="preserve"> </w:t>
      </w:r>
      <w:r w:rsidR="005915E0">
        <w:t xml:space="preserve">apoptosis signalling </w:t>
      </w:r>
      <w:r w:rsidR="00867870">
        <w:t xml:space="preserve">targets </w:t>
      </w:r>
      <w:r w:rsidR="005915E0">
        <w:t xml:space="preserve">include </w:t>
      </w:r>
      <w:r w:rsidR="000238FD">
        <w:t>DFFA, PLCG1, and RPS6KA1</w:t>
      </w:r>
      <w:r w:rsidR="00867870">
        <w:t xml:space="preserve">; </w:t>
      </w:r>
      <w:r w:rsidR="007B0707">
        <w:t xml:space="preserve">apoptosis signalling </w:t>
      </w:r>
      <w:r w:rsidR="00867870">
        <w:t>targets such as BID and ROCK1 were</w:t>
      </w:r>
      <w:r w:rsidR="007B0707">
        <w:t xml:space="preserve"> only </w:t>
      </w:r>
      <w:r w:rsidR="007B0707">
        <w:lastRenderedPageBreak/>
        <w:t>identified in</w:t>
      </w:r>
      <w:r w:rsidR="00867870">
        <w:t xml:space="preserve"> one cell line</w:t>
      </w:r>
      <w:r w:rsidR="000238FD">
        <w:t xml:space="preserve"> (Fig 3a)</w:t>
      </w:r>
      <w:r w:rsidR="00233E42">
        <w:t>. Sulforaphane mediates apoptosis in a cell line-specific manner through different apoptotic pathways;</w:t>
      </w:r>
      <w:r w:rsidR="00233E42">
        <w:fldChar w:fldCharType="begin"/>
      </w:r>
      <w:r w:rsidR="008E38AE">
        <w:instrText xml:space="preserve"> ADDIN ZOTERO_ITEM CSL_CITATION {"citationID":"hn4540t1m","properties":{"formattedCitation":"{\\rtf \\super 19\\nosupersub{}}","plainCitation":"19"},"citationItems":[{"id":327,"uris":["http://zotero.org/users/local/RFLKuGZF/items/34ISB6BP"],"uri":["http://zotero.org/users/local/RFLKuGZF/items/34ISB6BP"],"itemData":{"id":327,"type":"article-journal","title":"Sulforaphane induces cell type-specific apoptosis in human breast cancer cell lines","container-title":"Molecular Cancer Therapeutics","page":"1013-1021","volume":"6","issue":"3","source":"PubMed","abstract":"Sulforaphane, an isothiocyanate found in cruciferous vegetables, has been shown to induce phase 2 detoxication enzymes and inhibit the growth of chemically induced mammary tumors in rats, although the exact mechanisms of action of sulforaphane are not understood. In this study, we evaluated the effects of sulforaphane on cell growth and death in several human breast cancer cell lines and examined the hypothesis that sulforaphane acts as a histone deacetylase (HDAC) inhibitor in these cell lines. Sulforaphane treatment inhibited cell growth, induced a G(2)-M cell cycle block, increased expression of cyclin B1, and induced oligonucleosomal DNA fragmentation in the four human breast cancer cell lines examined, MDA-MB-231, MDA-MB-468, MCF-7, and T47D cells. Activation of apoptosis by sulforaphane in MDA-MB-231 cells seemed to be initiated through induction of Fas ligand, which resulted in activation of caspase-8, caspase-3, and poly(ADP-ribose) polymerase, whereas apoptosis in the other breast cancer cell lines was initiated by decreased Bcl-2 expression, release of cytochrome c into the cytosol, activation of caspase-9 and caspase-3, but not caspase-8, and poly(ADP-ribose) polymerase cleavage. Sulforaphane inhibited HDAC activity and decreased the expression of estrogen receptor-alpha, epidermal growth factor receptor, and human epidermal growth factor receptor-2 in each cell line, although no change in the acetylation of H3 or H4 was seen. These data suggest that sulforaphane inhibits cell growth, activates apoptosis, inhibits HDAC activity, and decreases the expression of key proteins involved in breast cancer proliferation in human breast cancer cells. These results support testing sulforaphane in vivo and warrant future studies examining the clinical potential of sulforaphane in human breast cancer.","DOI":"10.1158/1535-7163.MCT-06-0494","ISSN":"1535-7163","note":"PMID: 17339367","journalAbbreviation":"Mol. Cancer Ther.","language":"eng","author":[{"family":"Pledgie-Tracy","given":"Allison"},{"family":"Sobolewski","given":"Michele D."},{"family":"Davidson","given":"Nancy E."}],"issued":{"date-parts":[["2007",3]]},"PMID":"17339367"}}],"schema":"https://github.com/citation-style-language/schema/raw/master/csl-citation.json"} </w:instrText>
      </w:r>
      <w:r w:rsidR="00233E42">
        <w:fldChar w:fldCharType="separate"/>
      </w:r>
      <w:r w:rsidR="008E38AE" w:rsidRPr="008E38AE">
        <w:rPr>
          <w:rFonts w:ascii="Calibri" w:hAnsi="Calibri"/>
          <w:szCs w:val="24"/>
          <w:vertAlign w:val="superscript"/>
        </w:rPr>
        <w:t>19</w:t>
      </w:r>
      <w:r w:rsidR="00233E42">
        <w:fldChar w:fldCharType="end"/>
      </w:r>
      <w:r w:rsidR="00233E42">
        <w:t xml:space="preserve"> the</w:t>
      </w:r>
      <w:r w:rsidR="007B0707">
        <w:t>se</w:t>
      </w:r>
      <w:r w:rsidR="00233E42">
        <w:t xml:space="preserve"> differences in target profile between MCF7 and MDA-MB-231 may explain such effects.</w:t>
      </w:r>
    </w:p>
    <w:p w14:paraId="4F188B5A" w14:textId="765BC024" w:rsidR="00C47160" w:rsidRDefault="00290C52" w:rsidP="00C47160">
      <w:pPr>
        <w:pStyle w:val="RSCB02ArticleText"/>
      </w:pPr>
      <w:r>
        <w:tab/>
      </w:r>
      <w:r w:rsidR="002211CB">
        <w:t xml:space="preserve">Major downregulated </w:t>
      </w:r>
      <w:r w:rsidR="00206FD9">
        <w:t>canonical</w:t>
      </w:r>
      <w:r w:rsidR="002211CB">
        <w:t xml:space="preserve"> pathways included growth hormone and ERK/MAP</w:t>
      </w:r>
      <w:r w:rsidR="008846DF">
        <w:t xml:space="preserve"> kinase</w:t>
      </w:r>
      <w:r w:rsidR="002211CB">
        <w:t xml:space="preserve"> signalling pathways</w:t>
      </w:r>
      <w:r w:rsidR="008846DF">
        <w:t>, which have been identified as targeted by sulforaphane.</w:t>
      </w:r>
      <w:r w:rsidR="002C038F">
        <w:fldChar w:fldCharType="begin"/>
      </w:r>
      <w:r w:rsidR="002C038F">
        <w:instrText xml:space="preserve"> ADDIN ZOTERO_ITEM CSL_CITATION {"citationID":"157ho0qm2r","properties":{"formattedCitation":"{\\rtf \\super 24,25\\nosupersub{}}","plainCitation":"24,25"},"citationItems":[{"id":786,"uris":["http://zotero.org/users/local/aQnskgjk/items/PQTMFB8Z"],"uri":["http://zotero.org/users/local/aQnskgjk/items/PQTMFB8Z"],"itemData":{"id":786,"type":"article-journal","title":"Inhibition of PI3K/AKT and MAPK/ERK pathways causes activation of FOXO transcription factor, leading to cell cycle arrest and apoptosis in pancreatic cancer","container-title":"Journal of Molecular Signaling","page":"10","volume":"5","source":"PubMed Central","abstract":"Background\nMammalian forkhead members of the class O (FOXO) transcription factors, including FOXO1, FOXO3a, and FOXO4, are implicated in the regulation of several biological processes, including the stress resistance, metabolism, cell cycle, apoptosis and DNA repair. The objectives of this study were to examine the molecular mechanisms by which FOXO transcription factors induced cell cycle arrest and apoptosis and enhanced anti-proliferative effects of sulforaphane (SFN, an active compound in cruciferous vegetables) in pancreatic cancer cells.\n\nResults\nOur data demonstrated that SFN inhibited cell proliferation and colony formation, and induced apoptosis through caspase-3 activation in pancreatic cancer cells. The inhibition of PI3K/AKT and MEK/ERK pathways activated FOXO transcription factors. SFN inhibited phosphorylation of AKT and ERK, and activated FOXO transcription factors, leading to cell cycle arrest and apoptosis. Phosphorylation deficient mutants of FOXO proteins enhanced FOXO transcriptional activity, and further enhanced SFN-induced FOXO activity and apoptosis. SFN induced the expression of p21/CIP1 and p27/KIP1, and inhibited the expression of cyclin D1.\n\nConclusion\nThese data suggest that inhibition of PI3K/AKT and ERK pathways acts together to activate FOXO transcription factor and enhances SFN-induced FOXO transcriptional activity, leading to cell cycle arrest and apoptosis.","DOI":"10.1186/1750-2187-5-10","ISSN":"1750-2187","note":"PMID: 20642839\nPMCID: PMC2915986","journalAbbreviation":"J Mol Signal","author":[{"family":"Roy","given":"Sanjit K"},{"family":"Srivastava","given":"Rakesh K"},{"family":"Shankar","given":"Sharmila"}],"issued":{"date-parts":[["2010",7,19]]},"PMID":"20642839","PMCID":"PMC2915986"}},{"id":783,"uris":["http://zotero.org/users/local/aQnskgjk/items/DX2K6D9B"],"uri":["http://zotero.org/users/local/aQnskgjk/items/DX2K6D9B"],"itemData":{"id":783,"type":"article-journal","title":"The Natural Chemopreventive Agent Sulforaphane Inhibits STAT5 Activity","container-title":"PLOS ONE","page":"e99391","volume":"9","issue":"6","source":"PLoS Journals","abstract":"Signal transducer and activator of transcription STAT5 is an essential mediator of cytokine, growth factor and hormone signaling. While its activity is tightly regulated in normal cells, its constitutive activation directly contributes to oncogenesis and is associated to a number of hematological and solid tumor cancers. We previously showed that deacetylase inhibitors can inhibit STAT5 transcriptional activity. We now investigated whether the dietary chemopreventive agent sulforaphane, known for its activity as deacetylase inhibitor, might also inhibit STAT5 activity and thus could act as a chemopreventive agent in STAT5-associated cancers. We describe here sulforaphane (SFN) as a novel STAT5 inhibitor. We showed that SFN, like the deacetylase inhibitor trichostatin A (TSA), can inhibit expression of STAT5 target genes in the B cell line Ba/F3, as well as in its transformed counterpart Ba/F3-1*6 and in the human leukemic cell line K562 both of which express a constitutively active form of STAT5. Similarly to TSA, SFN does not alter STAT5 initial activation by phosphorylation or binding to the promoter of specific target genes, in favor of a downstream transcriptional inhibitory effect. Chromatin immunoprecipitation assays revealed that, in contrast to TSA however, SFN only partially impaired the recruitment of RNA polymerase II at STAT5 target genes and did not alter histone H3 and H4 acetylation, suggesting an inhibitory mechanism distinct from that of TSA. Altogether, our data revealed that the natural compound sulforaphane can inhibit STAT5 downstream activity, and as such represents an attractive cancer chemoprotective agent targeting the STAT5 signaling pathway.","DOI":"10.1371/journal.pone.0099391","ISSN":"1932-6203","journalAbbreviation":"PLOS ONE","author":[{"family":"Pinz","given":"Sophia"},{"family":"Unser","given":"Samy"},{"family":"Rascle","given":"Anne"}],"issued":{"date-parts":[["2014",6,9]]}}}],"schema":"https://github.com/citation-style-language/schema/raw/master/csl-citation.json"} </w:instrText>
      </w:r>
      <w:r w:rsidR="002C038F">
        <w:fldChar w:fldCharType="separate"/>
      </w:r>
      <w:r w:rsidR="002C038F" w:rsidRPr="002C038F">
        <w:rPr>
          <w:rFonts w:ascii="Calibri" w:hAnsi="Calibri"/>
          <w:szCs w:val="24"/>
          <w:vertAlign w:val="superscript"/>
        </w:rPr>
        <w:t>24</w:t>
      </w:r>
      <w:proofErr w:type="gramStart"/>
      <w:r w:rsidR="002C038F" w:rsidRPr="002C038F">
        <w:rPr>
          <w:rFonts w:ascii="Calibri" w:hAnsi="Calibri"/>
          <w:szCs w:val="24"/>
          <w:vertAlign w:val="superscript"/>
        </w:rPr>
        <w:t>,25</w:t>
      </w:r>
      <w:proofErr w:type="gramEnd"/>
      <w:r w:rsidR="002C038F">
        <w:fldChar w:fldCharType="end"/>
      </w:r>
      <w:r w:rsidR="008846DF">
        <w:t xml:space="preserve"> </w:t>
      </w:r>
      <w:r w:rsidR="009B4CF9">
        <w:t xml:space="preserve">Several downregulated pathways are mediated via the </w:t>
      </w:r>
      <w:r w:rsidR="00C47160">
        <w:t xml:space="preserve">signal transducer and activator of transcription </w:t>
      </w:r>
      <w:r w:rsidR="009B4CF9">
        <w:t xml:space="preserve">(STAT) </w:t>
      </w:r>
      <w:r w:rsidR="00C47160">
        <w:t>1 and 3</w:t>
      </w:r>
      <w:r w:rsidR="009B4CF9">
        <w:t xml:space="preserve"> proteins</w:t>
      </w:r>
      <w:r>
        <w:t xml:space="preserve"> (ESI,† Fig. S</w:t>
      </w:r>
      <w:r w:rsidR="00AA1182">
        <w:t>8</w:t>
      </w:r>
      <w:r w:rsidR="009B4CF9">
        <w:t>)</w:t>
      </w:r>
      <w:r w:rsidR="00C47160">
        <w:t xml:space="preserve">. </w:t>
      </w:r>
      <w:r w:rsidR="009B4CF9">
        <w:t xml:space="preserve">STAT3 was a high-confidence </w:t>
      </w:r>
      <w:proofErr w:type="gramStart"/>
      <w:r w:rsidR="009B4CF9">
        <w:t>target</w:t>
      </w:r>
      <w:proofErr w:type="gramEnd"/>
      <w:r w:rsidR="009B4CF9">
        <w:t xml:space="preserve"> in both lines, and STAT1 a high-confidence and medium-confidence target in MCF7 and MDA-MB-231, respectively.</w:t>
      </w:r>
      <w:r w:rsidR="00C47160">
        <w:t xml:space="preserve"> STAT proteins are latent cytosolic transcription factors; STAT3 in particular is an oncogenic transcription factor constitutively expressed in a variety of cancers, resulting in expression of various genes involved in cell proliferation.</w:t>
      </w:r>
      <w:r w:rsidR="008F4812">
        <w:fldChar w:fldCharType="begin"/>
      </w:r>
      <w:r w:rsidR="002C038F">
        <w:instrText xml:space="preserve"> ADDIN ZOTERO_ITEM CSL_CITATION {"citationID":"gn5urd6u1","properties":{"formattedCitation":"{\\rtf \\super 26\\nosupersub{}}","plainCitation":"26"},"citationItems":[{"id":315,"uris":["http://zotero.org/users/local/RFLKuGZF/items/33AQJKWT"],"uri":["http://zotero.org/users/local/RFLKuGZF/items/33AQJKWT"],"itemData":{"id":315,"type":"article-journal","title":"Targeting signal-transducer-and-activator-of-transcription-3 for prevention and therapy of cancer: modern target but ancient solution","container-title":"Annals of the New York Academy of Sciences","page":"151-169","volume":"1091","source":"PubMed","abstract":"Recent evidence indicates a convergence of molecular targets for both prevention and therapy of cancer. Signal-transducer-and-activator-of-transcription-3 (STAT3), a member of a family of six different transcription factors, is closely linked with tumorigenesis. Its role in cancer is indicated by numerous avenues of evidence, including the following: STAT3 is constitutively active in tumor cells; STAT3 is activated by growth factors (e.g., EGF, TGF-alpha, IL-6, hepatocyte growth factor) and oncogenic kinases (e.g., Src); STAT3 regulates the expression of genes that mediate proliferation (e.g., c-myc and cyclin D1), suppress apoptosis (e.g., Bcl-x(L) and survivin), or promote angiogenesis (e.g, VEGF); STAT3 activation has been linked with chemoresistance and radioresistance; and chemopreventive agents have been shown to suppress STAT3 activation. Thus inhibitors of STAT3 activation have potential for both prevention and therapy of cancer. Besides small peptides and oligonucleotides, numerous small molecules have been identified as blockers of STAT3 activation, including synthetic molecules (e.g., AG 490, decoy peptides, and oligonucleotides) and plant polyphenols (e.g., curcumin, resveratrol, flavopiridol, indirubin, magnolol, piceatannol, parthenolide, EGCG, and cucurbitacin). This article discusses these aspects of STAT3 in more detail.","DOI":"10.1196/annals.1378.063","ISSN":"0077-8923","note":"PMID: 17341611","shortTitle":"Targeting signal-transducer-and-activator-of-transcription-3 for prevention and therapy of cancer","journalAbbreviation":"Ann. N. Y. Acad. Sci.","language":"eng","author":[{"family":"Aggarwal","given":"Bharat B."},{"family":"Sethi","given":"Gautam"},{"family":"Ahn","given":"Kwang Seok"},{"family":"Sandur","given":"Santosh K."},{"family":"Pandey","given":"Manoj K."},{"family":"Kunnumakkara","given":"Ajaikumar B."},{"family":"Sung","given":"Bokyung"},{"family":"Ichikawa","given":"Haruyo"}],"issued":{"date-parts":[["2006",12]]},"PMID":"17341611"}}],"schema":"https://github.com/citation-style-language/schema/raw/master/csl-citation.json"} </w:instrText>
      </w:r>
      <w:r w:rsidR="008F4812">
        <w:fldChar w:fldCharType="separate"/>
      </w:r>
      <w:r w:rsidR="002C038F" w:rsidRPr="002C038F">
        <w:rPr>
          <w:rFonts w:ascii="Calibri" w:hAnsi="Calibri"/>
          <w:szCs w:val="24"/>
          <w:vertAlign w:val="superscript"/>
        </w:rPr>
        <w:t>26</w:t>
      </w:r>
      <w:r w:rsidR="008F4812">
        <w:fldChar w:fldCharType="end"/>
      </w:r>
      <w:r w:rsidR="00C47160">
        <w:t xml:space="preserve"> STAT1 and STAT3 </w:t>
      </w:r>
      <w:r w:rsidR="00EA4ACC">
        <w:t xml:space="preserve">were </w:t>
      </w:r>
      <w:r w:rsidR="009B4CF9">
        <w:t xml:space="preserve">therefore </w:t>
      </w:r>
      <w:r w:rsidR="00EA4ACC">
        <w:t xml:space="preserve">validated </w:t>
      </w:r>
      <w:r w:rsidR="00C47160">
        <w:t xml:space="preserve">as sulforaphane targets via labelling with </w:t>
      </w:r>
      <w:r w:rsidR="00C47160" w:rsidRPr="003160B0">
        <w:rPr>
          <w:b/>
        </w:rPr>
        <w:t>2</w:t>
      </w:r>
      <w:r w:rsidR="00C47160">
        <w:t xml:space="preserve"> in competition with sulforaphane</w:t>
      </w:r>
      <w:r w:rsidR="003160B0">
        <w:t>, followed by CuAAC functionalis</w:t>
      </w:r>
      <w:r w:rsidR="00C47160">
        <w:t>ation, pull-down</w:t>
      </w:r>
      <w:r w:rsidR="00DF60C9">
        <w:t xml:space="preserve"> </w:t>
      </w:r>
      <w:r w:rsidR="003160B0">
        <w:t>and western b</w:t>
      </w:r>
      <w:r w:rsidR="00C47160">
        <w:t>lot analysis (Fig. 3</w:t>
      </w:r>
      <w:r w:rsidR="000238FD">
        <w:t>b and c,</w:t>
      </w:r>
      <w:r w:rsidR="00C47160">
        <w:t xml:space="preserve"> </w:t>
      </w:r>
      <w:r w:rsidR="00226A39">
        <w:t>ESI†</w:t>
      </w:r>
      <w:r w:rsidR="00C47160">
        <w:t xml:space="preserve"> Fig.</w:t>
      </w:r>
      <w:r w:rsidR="002643F8">
        <w:t xml:space="preserve"> </w:t>
      </w:r>
      <w:r w:rsidR="00AA1182">
        <w:t>S9</w:t>
      </w:r>
      <w:r w:rsidR="00B54F24">
        <w:t>). Sulforaphane i</w:t>
      </w:r>
      <w:r w:rsidR="00C47160">
        <w:t>nhibition of STAT3 signalling has been reported previously, with the proposed mechanism of action through reduction in protein level and phosphorylation status of STAT3’s activat</w:t>
      </w:r>
      <w:r w:rsidR="00B54F24">
        <w:t>or kinase, JAK2</w:t>
      </w:r>
      <w:r w:rsidR="008F4812">
        <w:t>.</w:t>
      </w:r>
      <w:r w:rsidR="008F4812">
        <w:fldChar w:fldCharType="begin"/>
      </w:r>
      <w:r w:rsidR="002C038F">
        <w:instrText xml:space="preserve"> ADDIN ZOTERO_ITEM CSL_CITATION {"citationID":"14s4c8e2ee","properties":{"formattedCitation":"{\\rtf \\super 27\\nosupersub{}}","plainCitation":"27"},"citationItems":[{"id":317,"uris":["http://zotero.org/users/local/RFLKuGZF/items/6HK4X77D"],"uri":["http://zotero.org/users/local/RFLKuGZF/items/6HK4X77D"],"itemData":{"id":317,"type":"article-journal","title":"Sulforaphane inhibits constitutive and interleukin-6-induced activation of signal transducer and activator of transcription 3 in prostate cancer cells","container-title":"Cancer Prevention Research (Philadelphia, Pa.)","page":"484-494","volume":"3","issue":"4","source":"PubMed","abstract":"D,L-sulforaphane (SFN), a synthetic analogue of broccoli-derived L-isomer, inhibits viability of human prostate cancer cells and prevents development of prostate cancer and distant site metastasis in a transgenic mouse model. However, the mechanism underlying the anticancer effect of SFN is not fully understood. We now show that SFN inhibits constitutive and interleukin-6 (IL-6)-inducible activation of signal transducer and activator of transcription 3 (STAT3), which is an oncogenic transcription factor activated in many human malignancies, including prostate cancer. Growth-suppressive concentrations of SFN (20 and 40 micromol/L) decreased constitutive (DU145 cells) and IL-6-induced (DU145 and LNCaP cells) phosphorylation of STAT3 (Tyr(705)) as well as its upstream regulator Janus-activated kinase 2 (Tyr(1007/1008)). Exposure of DU145 and LNCaP cells to SFN resulted in suppression of (a) IL-6-induced transcriptional activity of STAT3 as judged by luciferase reporter assay and (b) nuclear translocation of phospho-STAT3 as revealed by immunofluorescence microscopy. Levels of many STAT3-regulated gene products, including Bcl-2, cyclin D1, and survivin, were also reduced in SFN-treated cells. The IL-6-mediated activation of STAT3 conferred partial but marked protection against SFN-induced apoptosis as evidenced by cytoplasmic histone-associated DNA fragmentation and cleavage of poly(ADP-ribose) polymerase and procaspase-3. Furthermore, knockdown of STAT3 protein using small interfering RNA resulted in a modest yet statistically significant increase in SFN-induced apoptotic DNA fragmentation in DU145 cells. Suppression of STAT3 activation was also observed in cells treated with naturally occurring analogues of SFN. In conclusion, the present study indicates that inhibition of STAT3 partially contributes to the proapoptotic effect of SFN.","DOI":"10.1158/1940-6207.CAPR-09-0250","ISSN":"1940-6215","note":"PMID: 20233902\nPMCID: PMC2853726","journalAbbreviation":"Cancer Prev Res (Phila)","language":"eng","author":[{"family":"Hahm","given":"Eun-Ryeong"},{"family":"Singh","given":"Shivendra V."}],"issued":{"date-parts":[["2010",4]]},"PMID":"20233902","PMCID":"PMC2853726"}}],"schema":"https://github.com/citation-style-language/schema/raw/master/csl-citation.json"} </w:instrText>
      </w:r>
      <w:r w:rsidR="008F4812">
        <w:fldChar w:fldCharType="separate"/>
      </w:r>
      <w:r w:rsidR="002C038F" w:rsidRPr="002C038F">
        <w:rPr>
          <w:rFonts w:ascii="Calibri" w:hAnsi="Calibri"/>
          <w:szCs w:val="24"/>
          <w:vertAlign w:val="superscript"/>
        </w:rPr>
        <w:t>27</w:t>
      </w:r>
      <w:r w:rsidR="008F4812">
        <w:fldChar w:fldCharType="end"/>
      </w:r>
      <w:r w:rsidR="00C47160">
        <w:t xml:space="preserve"> </w:t>
      </w:r>
      <w:r w:rsidR="00B54F24">
        <w:t>O</w:t>
      </w:r>
      <w:r w:rsidR="00EA4ACC">
        <w:t>ur data show sulforaphane</w:t>
      </w:r>
      <w:r w:rsidR="00C47160">
        <w:t xml:space="preserve"> also directly bind</w:t>
      </w:r>
      <w:r w:rsidR="00EA4ACC">
        <w:t>s</w:t>
      </w:r>
      <w:r w:rsidR="00C47160">
        <w:t xml:space="preserve"> STAT1 and STAT3.</w:t>
      </w:r>
    </w:p>
    <w:p w14:paraId="7BA6D18F" w14:textId="674BDFAC" w:rsidR="008F4812" w:rsidRDefault="00C47160" w:rsidP="003160B0">
      <w:pPr>
        <w:pStyle w:val="RSCB02ArticleText"/>
      </w:pPr>
      <w:r>
        <w:tab/>
      </w:r>
      <w:r w:rsidR="00B236AF">
        <w:t>Disease and biofunction analysis of s</w:t>
      </w:r>
      <w:r w:rsidR="00461193">
        <w:t>ulforaphane</w:t>
      </w:r>
      <w:r w:rsidR="00B236AF">
        <w:t>’s</w:t>
      </w:r>
      <w:r w:rsidR="00461193">
        <w:t xml:space="preserve"> targets </w:t>
      </w:r>
      <w:r w:rsidR="00B236AF">
        <w:t xml:space="preserve">indicated upregulation of organismal death </w:t>
      </w:r>
      <w:r w:rsidR="00BF585A">
        <w:t xml:space="preserve">(40 targets in MCF7 and 34 in MDA-MB-231) </w:t>
      </w:r>
      <w:r w:rsidR="00B236AF">
        <w:t xml:space="preserve">and downregulation of </w:t>
      </w:r>
      <w:r w:rsidR="005F1D1F">
        <w:t xml:space="preserve">cell </w:t>
      </w:r>
      <w:r w:rsidR="00B236AF">
        <w:t xml:space="preserve">proliferation </w:t>
      </w:r>
      <w:r w:rsidR="00BF585A">
        <w:t xml:space="preserve">(58 targets in MCF7) </w:t>
      </w:r>
      <w:r w:rsidR="00B236AF">
        <w:t xml:space="preserve">and </w:t>
      </w:r>
      <w:r w:rsidR="005F1D1F">
        <w:t xml:space="preserve">cell </w:t>
      </w:r>
      <w:r w:rsidR="00B236AF">
        <w:t xml:space="preserve">viability </w:t>
      </w:r>
      <w:r w:rsidR="00BF585A">
        <w:t xml:space="preserve">(24 targets in MDA-MB-231) </w:t>
      </w:r>
      <w:r w:rsidR="00B236AF">
        <w:t>with sulforaphane treatment</w:t>
      </w:r>
      <w:r w:rsidR="00290C52">
        <w:t xml:space="preserve"> (ESI,† Fig.</w:t>
      </w:r>
      <w:r w:rsidR="00EB7776" w:rsidRPr="00EB7776">
        <w:t xml:space="preserve"> </w:t>
      </w:r>
      <w:proofErr w:type="gramStart"/>
      <w:r w:rsidR="00EB7776">
        <w:t>S</w:t>
      </w:r>
      <w:r w:rsidR="00AA1182">
        <w:t>10</w:t>
      </w:r>
      <w:r w:rsidR="00EB7776">
        <w:t>-S1</w:t>
      </w:r>
      <w:r w:rsidR="00AA1182">
        <w:t>2</w:t>
      </w:r>
      <w:r w:rsidR="00EB7776">
        <w:t>)</w:t>
      </w:r>
      <w:r w:rsidR="00B236AF">
        <w:t>.</w:t>
      </w:r>
      <w:proofErr w:type="gramEnd"/>
      <w:r w:rsidR="00B236AF">
        <w:t xml:space="preserve"> </w:t>
      </w:r>
      <w:r w:rsidR="00EB7776">
        <w:t xml:space="preserve">Common in these functions were high-affinity, high-confidence conserved targets serine/threonine kinase (STK) 3 and 4, which function in </w:t>
      </w:r>
      <w:r w:rsidR="00867870">
        <w:t>the Hippo pathway to regulate cell proliferation and apoptosis.</w:t>
      </w:r>
      <w:r w:rsidR="000238FD">
        <w:fldChar w:fldCharType="begin"/>
      </w:r>
      <w:r w:rsidR="002C038F">
        <w:instrText xml:space="preserve"> ADDIN ZOTERO_ITEM CSL_CITATION {"citationID":"26l4i60ppd","properties":{"formattedCitation":"{\\rtf \\super 28\\nosupersub{}}","plainCitation":"28"},"citationItems":[{"id":773,"uris":["http://zotero.org/users/local/aQnskgjk/items/676BCW9K"],"uri":["http://zotero.org/users/local/aQnskgjk/items/676BCW9K"],"itemData":{"id":773,"type":"article-journal","title":"hippo Encodes a Ste-20 Family Protein Kinase that Restricts Cell Proliferation and Promotes Apoptosis in Conjunction with salvador and warts","container-title":"Cell","page":"445-456","volume":"114","issue":"4","source":"ScienceDirect","abstract":"The coordination between cell proliferation and cell death is essential to maintain homeostasis within multicellular organisms. The mechanisms underlying this regulation are yet to be completely understood. Here, we report the identification of hippo (hpo) as a gene that regulates both cell proliferation and cell death in Drosophila. hpo encodes a Ste-20 family protein kinase that binds to and phosphorylates the tumor suppressor protein Salvador (Sav), which is known to interact with the Warts (Wts) protein kinase. Loss of hpo results in elevated transcription of the cell cycle regulator cyclin E and the cell-death inhibitor diap1, leading to increased proliferation and reduced apoptosis. Further, we show that hpo, sav, and wts define a pathway that regulates diap1 at the transcriptional level. A human homolog of hpo completely rescues the overgrowth phenotype of Drosophila hpo mutants, suggesting that hpo might play a conserved role for growth control in mammals.","DOI":"10.1016/S0092-8674(03)00549-X","ISSN":"0092-8674","journalAbbreviation":"Cell","author":[{"family":"Wu","given":"Shian"},{"family":"Huang","given":"Jianbin"},{"family":"Dong","given":"Jixin"},{"family":"Pan","given":"Duojia"}],"issued":{"date-parts":[["2003",8,22]]}}}],"schema":"https://github.com/citation-style-language/schema/raw/master/csl-citation.json"} </w:instrText>
      </w:r>
      <w:r w:rsidR="000238FD">
        <w:fldChar w:fldCharType="separate"/>
      </w:r>
      <w:r w:rsidR="002C038F" w:rsidRPr="002C038F">
        <w:rPr>
          <w:rFonts w:ascii="Calibri" w:hAnsi="Calibri"/>
          <w:szCs w:val="24"/>
          <w:vertAlign w:val="superscript"/>
        </w:rPr>
        <w:t>28</w:t>
      </w:r>
      <w:r w:rsidR="000238FD">
        <w:fldChar w:fldCharType="end"/>
      </w:r>
    </w:p>
    <w:p w14:paraId="49C2614C" w14:textId="7D2F8240" w:rsidR="006704EF" w:rsidRDefault="008F4812" w:rsidP="003160B0">
      <w:pPr>
        <w:pStyle w:val="RSCB02ArticleText"/>
      </w:pPr>
      <w:r>
        <w:tab/>
      </w:r>
      <w:r w:rsidR="005F1D1F">
        <w:t xml:space="preserve">The conserved target </w:t>
      </w:r>
      <w:r w:rsidR="00295870">
        <w:t>profile</w:t>
      </w:r>
      <w:r w:rsidR="000238FD">
        <w:t xml:space="preserve"> between cell lines</w:t>
      </w:r>
      <w:r w:rsidR="00295870">
        <w:t xml:space="preserve"> similarly affected apop</w:t>
      </w:r>
      <w:r w:rsidR="008E38AE">
        <w:t>to</w:t>
      </w:r>
      <w:r w:rsidR="00295870">
        <w:t>tic and growth s</w:t>
      </w:r>
      <w:r w:rsidR="007577A7">
        <w:t>ignalling</w:t>
      </w:r>
      <w:r w:rsidR="00295870">
        <w:t>, with corresponding upregulation of cell death biofunctions (ESI</w:t>
      </w:r>
      <w:proofErr w:type="gramStart"/>
      <w:r w:rsidR="00295870">
        <w:t>,†</w:t>
      </w:r>
      <w:proofErr w:type="gramEnd"/>
      <w:r w:rsidR="00295870">
        <w:t xml:space="preserve"> Fig. </w:t>
      </w:r>
      <w:r w:rsidR="00EB7776">
        <w:t>S1</w:t>
      </w:r>
      <w:r w:rsidR="00AA1182">
        <w:t>3</w:t>
      </w:r>
      <w:r w:rsidR="00EB7776">
        <w:t>). Analysis of the interaction network of conserved targets highlighted a high degree of connectivity around Akt protein kinases and caspases (ESI</w:t>
      </w:r>
      <w:proofErr w:type="gramStart"/>
      <w:r w:rsidR="00EB7776">
        <w:t>,†</w:t>
      </w:r>
      <w:proofErr w:type="gramEnd"/>
      <w:r w:rsidR="00EB7776">
        <w:t xml:space="preserve"> Fig. S1</w:t>
      </w:r>
      <w:r w:rsidR="00AA1182">
        <w:t>4</w:t>
      </w:r>
      <w:r w:rsidR="00EB7776">
        <w:t>). Alt</w:t>
      </w:r>
      <w:r w:rsidR="00295870">
        <w:t xml:space="preserve">hough neither </w:t>
      </w:r>
      <w:r w:rsidR="000238FD">
        <w:t>are</w:t>
      </w:r>
      <w:r w:rsidR="00295870">
        <w:t xml:space="preserve"> identified as a direct target of sulforaphane in our study, previous studies have shown sulforaphane can downregulate</w:t>
      </w:r>
      <w:r w:rsidR="00295870" w:rsidRPr="009D430D">
        <w:t xml:space="preserve"> </w:t>
      </w:r>
      <w:r w:rsidR="00295870">
        <w:t>total and</w:t>
      </w:r>
      <w:r w:rsidR="00295870" w:rsidRPr="009D430D">
        <w:t xml:space="preserve"> phosphorylated Akt</w:t>
      </w:r>
      <w:r w:rsidR="00295870">
        <w:t xml:space="preserve"> levels leading</w:t>
      </w:r>
      <w:r w:rsidR="00295870" w:rsidRPr="009D430D">
        <w:t xml:space="preserve"> to antiproliferative ef</w:t>
      </w:r>
      <w:r w:rsidR="00295870">
        <w:t>fects,</w:t>
      </w:r>
      <w:r w:rsidR="000238FD">
        <w:fldChar w:fldCharType="begin"/>
      </w:r>
      <w:r w:rsidR="002C038F">
        <w:instrText xml:space="preserve"> ADDIN ZOTERO_ITEM CSL_CITATION {"citationID":"3kfk1uogv","properties":{"formattedCitation":"{\\rtf \\super 29\\nosupersub{}}","plainCitation":"29"},"citationItems":[{"id":765,"uris":["http://zotero.org/users/local/aQnskgjk/items/5NE8SXQB"],"uri":["http://zotero.org/users/local/aQnskgjk/items/5NE8SXQB"],"itemData":{"id":765,"type":"article-journal","title":"Antiproliferative activity of sulforaphane in Akt-overexpressing ovarian cancer cells","container-title":"Molecular cancer therapeutics","page":"334-345","volume":"6","issue":"1","source":"PubMed Central","abstract":"Epidemiologic studies show a correlation between increased consumption of fruits and vegetables with reduced risk of ovarian cancer. One major bioactive compound found in cruciferous vegetables, particularly broccoli, is sulforaphane, derived from the breakdown of glucoraphanin. We observed potent antiproliferative effects of sulforaphane on human ovarian cancer cell line SKOV3 (IC50 40 μmol/L) and mouse ovarian cancer cell lines C3 and T3 (IC50 25 μmol/L each) by cell viability assays. The loss of viability is reflected by a down-regulation of cell cycle transition regulators cyclin D1, cyclin-dependent kinase 4 (cdk4), and cdk6. The upstream mediators of sulforaphane effects on the cell cycle in ovarian cancer are still unknown. However, because the Akt signal transduction pathway is overactivated in ovarian cancer, we investigated the effects of sulforaphane on this prosurvival pathway. Both total Akt protein and active phosphorylated levels of Akt (Ser473) and phosphoinositide 3-kinase were significantly decreased in sulforaphane-treated SKOV3, C3, and T3 cells with a concomitant inhibition of Akt kinase activity by sulforaphane in SKOV3 and C3 cells. This inhibitory effect of sulforaphane leads to a potent induction of apoptosis in all three cell lines, along with the cleavage of poly(ADP)-ribose polymerase. Our study is the first to report the antiproliferative effects of sulforaphane in ovarian cancer and identifying the Akt pathway as a target of sulforaphane, with implications for the inhibition of carcinogenesis by diet-based chemoprevention.","DOI":"10.1158/1535-7163.MCT-06-0404","ISSN":"1535-7163","note":"PMID: 17237292\nPMCID: PMC2584019","journalAbbreviation":"Mol Cancer Ther","author":[{"family":"Chaudhuri","given":"Devyani"},{"family":"Orsulic","given":"Sandra"},{"family":"Ashok","given":"Badithe T."}],"issued":{"date-parts":[["2007",1]]},"PMID":"17237292","PMCID":"PMC2584019"}}],"schema":"https://github.com/citation-style-language/schema/raw/master/csl-citation.json"} </w:instrText>
      </w:r>
      <w:r w:rsidR="000238FD">
        <w:fldChar w:fldCharType="separate"/>
      </w:r>
      <w:r w:rsidR="002C038F" w:rsidRPr="002C038F">
        <w:rPr>
          <w:rFonts w:ascii="Calibri" w:hAnsi="Calibri"/>
          <w:szCs w:val="24"/>
          <w:vertAlign w:val="superscript"/>
        </w:rPr>
        <w:t>29</w:t>
      </w:r>
      <w:r w:rsidR="000238FD">
        <w:fldChar w:fldCharType="end"/>
      </w:r>
      <w:r w:rsidR="00295870">
        <w:t xml:space="preserve"> and promote activation of </w:t>
      </w:r>
      <w:r w:rsidR="00EB7776">
        <w:t xml:space="preserve">various </w:t>
      </w:r>
      <w:r w:rsidR="00295870">
        <w:t>caspase</w:t>
      </w:r>
      <w:r w:rsidR="00E0082D">
        <w:t>s</w:t>
      </w:r>
      <w:r w:rsidR="00295870">
        <w:t xml:space="preserve"> in apoptosis.</w:t>
      </w:r>
      <w:r w:rsidR="000238FD">
        <w:fldChar w:fldCharType="begin"/>
      </w:r>
      <w:r w:rsidR="008E38AE">
        <w:instrText xml:space="preserve"> ADDIN ZOTERO_ITEM CSL_CITATION {"citationID":"Ukf8rLmC","properties":{"formattedCitation":"{\\rtf \\super 19\\nosupersub{}}","plainCitation":"19"},"citationItems":[{"id":"NvJuZ7Q8/dls3oYnZ","uris":["http://zotero.org/users/local/RFLKuGZF/items/34ISB6BP"],"uri":["http://zotero.org/users/local/RFLKuGZF/items/34ISB6BP"],"itemData":{"id":"NvJuZ7Q8/dls3oYnZ","type":"article-journal","title":"Sulforaphane induces cell type-specific apoptosis in human breast cancer cell lines","container-title":"Molecular Cancer Therapeutics","page":"1013-1021","volume":"6","issue":"3","source":"PubMed","abstract":"Sulforaphane, an isothiocyanate found in cruciferous vegetables, has been shown to induce phase 2 detoxication enzymes and inhibit the growth of chemically induced mammary tumors in rats, although the exact mechanisms of action of sulforaphane are not understood. In this study, we evaluated the effects of sulforaphane on cell growth and death in several human breast cancer cell lines and examined the hypothesis that sulforaphane acts as a histone deacetylase (HDAC) inhibitor in these cell lines. Sulforaphane treatment inhibited cell growth, induced a G(2)-M cell cycle block, increased expression of cyclin B1, and induced oligonucleosomal DNA fragmentation in the four human breast cancer cell lines examined, MDA-MB-231, MDA-MB-468, MCF-7, and T47D cells. Activation of apoptosis by sulforaphane in MDA-MB-231 cells seemed to be initiated through induction of Fas ligand, which resulted in activation of caspase-8, caspase-3, and poly(ADP-ribose) polymerase, whereas apoptosis in the other breast cancer cell lines was initiated by decreased Bcl-2 expression, release of cytochrome c into the cytosol, activation of caspase-9 and caspase-3, but not caspase-8, and poly(ADP-ribose) polymerase cleavage. Sulforaphane inhibited HDAC activity and decreased the expression of estrogen receptor-alpha, epidermal growth factor receptor, and human epidermal growth factor receptor-2 in each cell line, although no change in the acetylation of H3 or H4 was seen. These data suggest that sulforaphane inhibits cell growth, activates apoptosis, inhibits HDAC activity, and decreases the expression of key proteins involved in breast cancer proliferation in human breast cancer cells. These results support testing sulforaphane in vivo and warrant future studies examining the clinical potential of sulforaphane in human breast cancer.","DOI":"10.1158/1535-7163.MCT-06-0494","ISSN":"1535-7163","note":"PMID: 17339367","journalAbbreviation":"Mol. Cancer Ther.","language":"eng","author":[{"family":"Pledgie-Tracy","given":"Allison"},{"family":"Sobolewski","given":"Michele D."},{"family":"Davidson","given":"Nancy E."}],"issued":{"year":2007,"month":3},"PMID":"17339367","page-first":"1013","container-title-short":"Mol. Cancer Ther."}}],"schema":"https://github.com/citation-style-language/schema/raw/master/csl-citation.json"} </w:instrText>
      </w:r>
      <w:r w:rsidR="000238FD">
        <w:fldChar w:fldCharType="separate"/>
      </w:r>
      <w:r w:rsidR="008E38AE" w:rsidRPr="008E38AE">
        <w:rPr>
          <w:rFonts w:ascii="Calibri" w:hAnsi="Calibri"/>
          <w:szCs w:val="24"/>
          <w:vertAlign w:val="superscript"/>
        </w:rPr>
        <w:t>19</w:t>
      </w:r>
      <w:r w:rsidR="000238FD">
        <w:fldChar w:fldCharType="end"/>
      </w:r>
      <w:r w:rsidR="00295870">
        <w:t xml:space="preserve"> Our target </w:t>
      </w:r>
      <w:r w:rsidR="009D430D">
        <w:t xml:space="preserve">profile </w:t>
      </w:r>
      <w:r w:rsidR="00EB7776">
        <w:t xml:space="preserve">therefore identifies </w:t>
      </w:r>
      <w:r w:rsidR="009D430D">
        <w:t xml:space="preserve">several </w:t>
      </w:r>
      <w:r w:rsidR="0023285D">
        <w:t>potential mediators of these effects.</w:t>
      </w:r>
    </w:p>
    <w:p w14:paraId="5463B466" w14:textId="735557F6" w:rsidR="00E06C11" w:rsidRDefault="006704EF" w:rsidP="00AF5715">
      <w:pPr>
        <w:pStyle w:val="RSCB02ArticleText"/>
      </w:pPr>
      <w:r>
        <w:tab/>
        <w:t>The presented dataset represents the most comprehensive direct target profile of sulforaphane to date</w:t>
      </w:r>
      <w:r w:rsidR="00EF17D6">
        <w:t>, and</w:t>
      </w:r>
      <w:r>
        <w:t xml:space="preserve"> highlight</w:t>
      </w:r>
      <w:r w:rsidR="00EF17D6">
        <w:t>s</w:t>
      </w:r>
      <w:r>
        <w:t xml:space="preserve"> the wide range of targets that sulforaphane covalently binds. </w:t>
      </w:r>
      <w:r w:rsidR="008D7303">
        <w:t>It should, however, be noted that use of sulfoxythiocarbamate</w:t>
      </w:r>
      <w:r w:rsidR="008D7303" w:rsidDel="008D7303">
        <w:t xml:space="preserve"> </w:t>
      </w:r>
      <w:r w:rsidR="008D7303">
        <w:t xml:space="preserve">warheads in electrophilic probes may affect target reactivity or target labelling dependent on transient metabolic modification, for example by glutathionylation. </w:t>
      </w:r>
      <w:r w:rsidR="008F4812">
        <w:t xml:space="preserve">Sulforaphane induces </w:t>
      </w:r>
      <w:r w:rsidR="00923E75">
        <w:t xml:space="preserve">varied </w:t>
      </w:r>
      <w:r w:rsidR="008F4812">
        <w:t>biological effects at different concentrations,</w:t>
      </w:r>
      <w:r w:rsidR="008F4812">
        <w:fldChar w:fldCharType="begin"/>
      </w:r>
      <w:r w:rsidR="002C038F">
        <w:instrText xml:space="preserve"> ADDIN ZOTERO_ITEM CSL_CITATION {"citationID":"1vgs1ojra6","properties":{"formattedCitation":"{\\rtf \\super 30\\nosupersub{}}","plainCitation":"30"},"citationItems":[{"id":335,"uris":["http://zotero.org/users/local/RFLKuGZF/items/5C6QXPRR"],"uri":["http://zotero.org/users/local/RFLKuGZF/items/5C6QXPRR"],"itemData":{"id":335,"type":"article-journal","title":"Safety, tolerance, and metabolism of broccoli sprout glucosinolates and isothiocyanates: a clinical phase I study","container-title":"Nutrition and Cancer","page":"53-62","volume":"55","issue":"1","source":"PubMed","abstract":"Broccoli sprouts are widely consumed in many parts of the world. There have been no reported concerns with respect to their tolerance and safety in humans. A formal phase I study of safety, tolerance, and pharmacokinetics appeared justified because these sprouts are being used as vehicles for the delivery of the glucosinolate glucoraphanin and its cognate isothiocyanate sulforaphane [1-isothiocyanato-(4R)-(methylsulfinyl)butane] in clinical trials. Such trials have been designed to evaluate protective efficacy against development of neoplastic and other diseases. A placebo-controlled, double-blind, randomized clinical study of sprout extracts containing either glucosinolates (principally glucoraphanin, the precursor of sulforaphane) or isothiocyanates (principally sulforaphane) was conducted on healthy volunteers who were in-patients on our clinical research unit. The subjects were studied in three cohorts, each comprising three treated individuals and one placebo recipient. Following a 5-day acclimatization period on a crucifer-free diet, the broccoli sprout extracts were administered orally at 8-h intervals for 7 days (21 doses), and the subjects were monitored during this period and for 3 days after the last treatment. Doses were 25 micromol of glucosinolate (cohort A), 100 micromol of glucosinolate (cohort B), or 25 micromol of isothiocyanate (cohort C). The mean cumulative excretion of dithiocarbamates as a fraction of dose was very similar in cohorts A and B (17.8 +/- 8.6% and 19.6 +/- 11.7% of dose, respectively) and very much higher and more consistent in cohort C (70.6 +/- 2.0% of dose). Thirty-two types of hematology or chemistry tests were done before, during, and after the treatment period. Indicators of liver (transaminases) and thyroid [thyroid-stimulating hormone, total triiodothyronine (T3), and free thyroxine (T4)] function were examined in detail. No significant or consistent subjective or objective abnormal events (toxicities) associated with any of the sprout extract ingestions were observed.","DOI":"10.1207/s15327914nc5501_7","ISSN":"0163-5581","note":"PMID: 16965241","shortTitle":"Safety, tolerance, and metabolism of broccoli sprout glucosinolates and isothiocyanates","journalAbbreviation":"Nutr Cancer","language":"eng","author":[{"family":"Shapiro","given":"Theresa A."},{"family":"Fahey","given":"Jed W."},{"family":"Dinkova-Kostova","given":"Albena T."},{"family":"Holtzclaw","given":"W. David"},{"family":"Stephenson","given":"Katherine K."},{"family":"Wade","given":"Kristina L."},{"family":"Ye","given":"Lingxiang"},{"family":"Talalay","given":"Paul"}],"issued":{"date-parts":[["2006"]]},"PMID":"16965241"}}],"schema":"https://github.com/citation-style-language/schema/raw/master/csl-citation.json"} </w:instrText>
      </w:r>
      <w:r w:rsidR="008F4812">
        <w:fldChar w:fldCharType="separate"/>
      </w:r>
      <w:r w:rsidR="002C038F" w:rsidRPr="002C038F">
        <w:rPr>
          <w:rFonts w:ascii="Calibri" w:hAnsi="Calibri"/>
          <w:szCs w:val="24"/>
          <w:vertAlign w:val="superscript"/>
        </w:rPr>
        <w:t>30</w:t>
      </w:r>
      <w:r w:rsidR="008F4812">
        <w:fldChar w:fldCharType="end"/>
      </w:r>
      <w:r w:rsidR="008F4812">
        <w:t xml:space="preserve"> and our quantitative data provides insight into how such effects could be mediated by demonstrating targets that engage sulforaphane at different therapeutically relevant concentrations. These</w:t>
      </w:r>
      <w:r>
        <w:t xml:space="preserve"> target profiles </w:t>
      </w:r>
      <w:r w:rsidR="008F4812">
        <w:t xml:space="preserve">are </w:t>
      </w:r>
      <w:r>
        <w:t>orthogonal datasets</w:t>
      </w:r>
      <w:r w:rsidR="008F4812">
        <w:t xml:space="preserve"> </w:t>
      </w:r>
      <w:r w:rsidR="008F4812">
        <w:lastRenderedPageBreak/>
        <w:t>that</w:t>
      </w:r>
      <w:r>
        <w:t xml:space="preserve"> complement </w:t>
      </w:r>
      <w:r w:rsidR="00EF17D6">
        <w:t xml:space="preserve">general </w:t>
      </w:r>
      <w:r>
        <w:t xml:space="preserve">proteomic and </w:t>
      </w:r>
      <w:r w:rsidR="00DA495E">
        <w:t>transcriptomic studies of sulforaphane treatment,</w:t>
      </w:r>
      <w:r w:rsidR="00DA495E">
        <w:fldChar w:fldCharType="begin"/>
      </w:r>
      <w:r w:rsidR="001825E1">
        <w:instrText xml:space="preserve"> ADDIN ZOTERO_ITEM CSL_CITATION {"citationID":"2hu74re95j","properties":{"formattedCitation":"{\\rtf \\super 8\\nosupersub{}}","plainCitation":"8"},"citationItems":[{"id":339,"uris":["http://zotero.org/users/local/RFLKuGZF/items/6Q73XCIF"],"uri":["http://zotero.org/users/local/RFLKuGZF/items/6Q73XCIF"],"itemData":{"id":339,"type":"article-journal","title":"Transcriptomic and proteomic profiling of KEAP1 disrupted and sulforaphane-treated human breast epithelial cells reveals common expression profiles","container-title":"Breast Cancer Research and Treatment","page":"175-187","volume":"132","issue":"1","source":"PubMed","abstract":"Sulforaphane (SFN), an isothiocyanate found in cruciferous vegetables, is a potent inhibitor of experimental mammary carcinogenesis and may be an effective, safe chemopreventive agent for use in humans. SFN acts in part on the Keap1/Nrf2 pathway to regulate a battery of cytoprotective genes. In this study, transcriptomic and proteomic changes in the estrogen receptor negative, non-tumorigenic human breast epithelial MCF10A cell line were analyzed following SFN treatment or KEAP1 knockdown with siRNA using microarray and stable isotopic labeling with amino acids in culture (SILAC), respectively. Changes in selected transcripts and proteins were confirmed by PCR and Western blot in MCF10A and MCF12A cells. There was strong correlation between the transcriptomic and proteomic responses in both the SFN treatment (R = 0.679, P &lt; 0.05) and KEAP1 knockdown (R = 0.853, P &lt; 0.05) experiments. Common pathways for SFN treatment and KEAP1 knockdown were xenobiotic metabolism and antioxidants, glutathione metabolism, carbohydrate metabolism, and NADH/NADPH regeneration. Moreover, these pathways were most prominent in both the transcriptomic and the proteomic analyses. The aldo-keto reductase family members, AKR1B10, AKR1C1, AKR1C2 and AKR1C3, as well as NQO1 and ALDH3A1, were highly upregulated at both the transcriptomic and the proteomic levels. Collectively, these studies served to identify potential biomarkers that can be used in clinical trials to investigate the initial pharmacodynamic action of SFN in the breast.","DOI":"10.1007/s10549-011-1536-9","ISSN":"1573-7217","note":"PMID: 21597922\nPMCID: PMC3564494","journalAbbreviation":"Breast Cancer Res. Treat.","language":"eng","author":[{"family":"Agyeman","given":"Abena S."},{"family":"Chaerkady","given":"Raghothama"},{"family":"Shaw","given":"Patrick G."},{"family":"Davidson","given":"Nancy E."},{"family":"Visvanathan","given":"Kala"},{"family":"Pandey","given":"Akhilesh"},{"family":"Kensler","given":"Thomas W."}],"issued":{"date-parts":[["2012",2]]},"PMID":"21597922","PMCID":"PMC3564494"}}],"schema":"https://github.com/citation-style-language/schema/raw/master/csl-citation.json"} </w:instrText>
      </w:r>
      <w:r w:rsidR="00DA495E">
        <w:fldChar w:fldCharType="separate"/>
      </w:r>
      <w:r w:rsidR="001825E1" w:rsidRPr="001825E1">
        <w:rPr>
          <w:rFonts w:ascii="Calibri" w:hAnsi="Calibri" w:cs="Calibri"/>
          <w:szCs w:val="24"/>
          <w:vertAlign w:val="superscript"/>
        </w:rPr>
        <w:t>8</w:t>
      </w:r>
      <w:r w:rsidR="00DA495E">
        <w:fldChar w:fldCharType="end"/>
      </w:r>
      <w:r w:rsidR="00DA495E" w:rsidRPr="008F4812">
        <w:t xml:space="preserve"> </w:t>
      </w:r>
      <w:r w:rsidR="00DA495E">
        <w:t xml:space="preserve">and will provide a valuable starting point for future studies. </w:t>
      </w:r>
      <w:r w:rsidR="003E3593">
        <w:t>T</w:t>
      </w:r>
      <w:r w:rsidR="005A000A">
        <w:t>arget profile</w:t>
      </w:r>
      <w:r w:rsidR="003E3593">
        <w:t xml:space="preserve"> difference</w:t>
      </w:r>
      <w:r w:rsidR="005A000A">
        <w:t xml:space="preserve">s </w:t>
      </w:r>
      <w:r w:rsidR="003E3593">
        <w:t>between</w:t>
      </w:r>
      <w:r w:rsidR="005A000A">
        <w:t xml:space="preserve"> the two </w:t>
      </w:r>
      <w:r w:rsidR="00095AEF">
        <w:t>cell</w:t>
      </w:r>
      <w:r w:rsidR="00095AEF" w:rsidRPr="0062639C">
        <w:t xml:space="preserve"> </w:t>
      </w:r>
      <w:r w:rsidR="00095AEF">
        <w:t xml:space="preserve">lines highlight the potential for </w:t>
      </w:r>
      <w:r w:rsidR="00923E75">
        <w:t>sulforaphane</w:t>
      </w:r>
      <w:r w:rsidR="00095AEF">
        <w:t xml:space="preserve"> to</w:t>
      </w:r>
      <w:r w:rsidR="00095AEF" w:rsidRPr="003E3593">
        <w:t xml:space="preserve"> </w:t>
      </w:r>
      <w:r w:rsidR="00095AEF">
        <w:t>differentiate between breast cancers based on molecular</w:t>
      </w:r>
      <w:r w:rsidR="00923E75" w:rsidRPr="00923E75">
        <w:t xml:space="preserve"> </w:t>
      </w:r>
      <w:r w:rsidR="00923E75">
        <w:t>mechanism.</w:t>
      </w:r>
    </w:p>
    <w:p w14:paraId="73409339" w14:textId="77777777" w:rsidR="000238FD" w:rsidRDefault="000238FD" w:rsidP="00DD205A">
      <w:pPr>
        <w:pStyle w:val="RSCB02ArticleText"/>
        <w:pBdr>
          <w:bottom w:val="single" w:sz="6" w:space="1" w:color="auto"/>
        </w:pBdr>
        <w:spacing w:line="240" w:lineRule="auto"/>
      </w:pPr>
      <w:r w:rsidRPr="000238FD">
        <w:rPr>
          <w:noProof/>
          <w:lang w:eastAsia="en-GB"/>
        </w:rPr>
        <w:drawing>
          <wp:inline distT="0" distB="0" distL="0" distR="0" wp14:anchorId="3B1AFDEB" wp14:editId="1BEBE387">
            <wp:extent cx="2886075" cy="35147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6075" cy="3514725"/>
                    </a:xfrm>
                    <a:prstGeom prst="rect">
                      <a:avLst/>
                    </a:prstGeom>
                    <a:noFill/>
                    <a:ln>
                      <a:noFill/>
                    </a:ln>
                  </pic:spPr>
                </pic:pic>
              </a:graphicData>
            </a:graphic>
          </wp:inline>
        </w:drawing>
      </w:r>
    </w:p>
    <w:p w14:paraId="100C95E2" w14:textId="479F318E" w:rsidR="00E06C11" w:rsidRDefault="005B4FA7" w:rsidP="00DD205A">
      <w:pPr>
        <w:pStyle w:val="RSCB02ArticleText"/>
        <w:pBdr>
          <w:bottom w:val="single" w:sz="6" w:space="1" w:color="auto"/>
        </w:pBdr>
        <w:spacing w:line="240" w:lineRule="auto"/>
        <w:rPr>
          <w:sz w:val="14"/>
          <w:szCs w:val="14"/>
        </w:rPr>
      </w:pPr>
      <w:r>
        <w:rPr>
          <w:b/>
          <w:sz w:val="14"/>
          <w:szCs w:val="14"/>
        </w:rPr>
        <w:t>Fig. 3</w:t>
      </w:r>
      <w:r w:rsidR="00AA4FC9" w:rsidRPr="00DA3C03">
        <w:rPr>
          <w:b/>
          <w:sz w:val="14"/>
          <w:szCs w:val="14"/>
        </w:rPr>
        <w:t xml:space="preserve"> </w:t>
      </w:r>
      <w:r w:rsidR="00AA4FC9" w:rsidRPr="00DA3C03">
        <w:rPr>
          <w:sz w:val="14"/>
          <w:szCs w:val="14"/>
        </w:rPr>
        <w:t xml:space="preserve">(a) Scatter plot of </w:t>
      </w:r>
      <w:proofErr w:type="gramStart"/>
      <w:r w:rsidR="00111BF2">
        <w:rPr>
          <w:sz w:val="14"/>
          <w:szCs w:val="14"/>
        </w:rPr>
        <w:t>log</w:t>
      </w:r>
      <w:r w:rsidR="00111BF2" w:rsidRPr="00111BF2">
        <w:rPr>
          <w:sz w:val="14"/>
          <w:szCs w:val="14"/>
          <w:vertAlign w:val="subscript"/>
        </w:rPr>
        <w:t>2</w:t>
      </w:r>
      <w:r w:rsidR="00111BF2">
        <w:rPr>
          <w:sz w:val="14"/>
          <w:szCs w:val="14"/>
        </w:rPr>
        <w:t>(</w:t>
      </w:r>
      <w:proofErr w:type="gramEnd"/>
      <w:r w:rsidR="00111BF2">
        <w:rPr>
          <w:sz w:val="14"/>
          <w:szCs w:val="14"/>
        </w:rPr>
        <w:t>QS)</w:t>
      </w:r>
      <w:r w:rsidR="00AA4FC9" w:rsidRPr="00DA3C03">
        <w:rPr>
          <w:sz w:val="14"/>
          <w:szCs w:val="14"/>
        </w:rPr>
        <w:t xml:space="preserve"> for </w:t>
      </w:r>
      <w:r w:rsidR="00111BF2">
        <w:rPr>
          <w:sz w:val="14"/>
          <w:szCs w:val="14"/>
        </w:rPr>
        <w:t>selected t</w:t>
      </w:r>
      <w:r w:rsidR="00AA4FC9" w:rsidRPr="00DA3C03">
        <w:rPr>
          <w:sz w:val="14"/>
          <w:szCs w:val="14"/>
        </w:rPr>
        <w:t>argets across three concentrations of sulforaphane competition (5, 25</w:t>
      </w:r>
      <w:r w:rsidR="00111BF2">
        <w:rPr>
          <w:sz w:val="14"/>
          <w:szCs w:val="14"/>
        </w:rPr>
        <w:t xml:space="preserve">, </w:t>
      </w:r>
      <w:r w:rsidR="008D132A">
        <w:rPr>
          <w:sz w:val="14"/>
          <w:szCs w:val="14"/>
        </w:rPr>
        <w:t>and 100 μM). Targets we</w:t>
      </w:r>
      <w:r w:rsidR="00AA4FC9" w:rsidRPr="00DA3C03">
        <w:rPr>
          <w:sz w:val="14"/>
          <w:szCs w:val="14"/>
        </w:rPr>
        <w:t xml:space="preserve">re given a value of 0 </w:t>
      </w:r>
      <w:r w:rsidR="008D132A">
        <w:rPr>
          <w:sz w:val="14"/>
          <w:szCs w:val="14"/>
        </w:rPr>
        <w:t>when</w:t>
      </w:r>
      <w:r w:rsidR="00AA4FC9" w:rsidRPr="00DA3C03">
        <w:rPr>
          <w:sz w:val="14"/>
          <w:szCs w:val="14"/>
        </w:rPr>
        <w:t xml:space="preserve"> absent</w:t>
      </w:r>
      <w:r w:rsidR="008D132A">
        <w:rPr>
          <w:sz w:val="14"/>
          <w:szCs w:val="14"/>
        </w:rPr>
        <w:t xml:space="preserve"> from a cell line</w:t>
      </w:r>
      <w:r w:rsidR="00AA4FC9" w:rsidRPr="00DA3C03">
        <w:rPr>
          <w:sz w:val="14"/>
          <w:szCs w:val="14"/>
        </w:rPr>
        <w:t xml:space="preserve">. (b) </w:t>
      </w:r>
      <w:r w:rsidR="00FF48CC">
        <w:rPr>
          <w:sz w:val="14"/>
          <w:szCs w:val="14"/>
        </w:rPr>
        <w:t>MCF7 and (c) MDA-MB-231 western blot analysi</w:t>
      </w:r>
      <w:r w:rsidR="00AA4FC9" w:rsidRPr="00DA3C03">
        <w:rPr>
          <w:sz w:val="14"/>
          <w:szCs w:val="14"/>
        </w:rPr>
        <w:t xml:space="preserve">s </w:t>
      </w:r>
      <w:r w:rsidR="008D132A">
        <w:rPr>
          <w:sz w:val="14"/>
          <w:szCs w:val="14"/>
        </w:rPr>
        <w:t>showing STAT1 and STAT3 are</w:t>
      </w:r>
      <w:r w:rsidR="00AA4FC9" w:rsidRPr="00DA3C03">
        <w:rPr>
          <w:sz w:val="14"/>
          <w:szCs w:val="14"/>
        </w:rPr>
        <w:t xml:space="preserve"> targets of </w:t>
      </w:r>
      <w:r w:rsidR="00AA4FC9" w:rsidRPr="00111BF2">
        <w:rPr>
          <w:b/>
          <w:sz w:val="14"/>
          <w:szCs w:val="14"/>
        </w:rPr>
        <w:t>2</w:t>
      </w:r>
      <w:r w:rsidR="00AA4FC9" w:rsidRPr="00DA3C03">
        <w:rPr>
          <w:sz w:val="14"/>
          <w:szCs w:val="14"/>
        </w:rPr>
        <w:t xml:space="preserve"> and sulforaphane </w:t>
      </w:r>
      <w:r w:rsidR="00111BF2">
        <w:rPr>
          <w:sz w:val="14"/>
          <w:szCs w:val="14"/>
        </w:rPr>
        <w:t xml:space="preserve">labelling </w:t>
      </w:r>
      <w:r w:rsidR="00AA4FC9" w:rsidRPr="00DA3C03">
        <w:rPr>
          <w:sz w:val="14"/>
          <w:szCs w:val="14"/>
        </w:rPr>
        <w:t>competi</w:t>
      </w:r>
      <w:r w:rsidR="008D132A">
        <w:rPr>
          <w:sz w:val="14"/>
          <w:szCs w:val="14"/>
        </w:rPr>
        <w:t>tion</w:t>
      </w:r>
      <w:r w:rsidR="00AA4FC9" w:rsidRPr="00DA3C03">
        <w:rPr>
          <w:sz w:val="14"/>
          <w:szCs w:val="14"/>
        </w:rPr>
        <w:t xml:space="preserve"> </w:t>
      </w:r>
      <w:r w:rsidR="008D132A">
        <w:rPr>
          <w:sz w:val="14"/>
          <w:szCs w:val="14"/>
        </w:rPr>
        <w:t>and</w:t>
      </w:r>
      <w:r w:rsidR="00AA4FC9" w:rsidRPr="00DA3C03">
        <w:rPr>
          <w:sz w:val="14"/>
          <w:szCs w:val="14"/>
        </w:rPr>
        <w:t xml:space="preserve"> pull-down. L = lysate, SN = supernatant, PD = pull-down.</w:t>
      </w:r>
    </w:p>
    <w:p w14:paraId="4361DBC2" w14:textId="21953CD9" w:rsidR="00AF5715" w:rsidRDefault="001C5AD2" w:rsidP="00AF5715">
      <w:pPr>
        <w:pStyle w:val="RSCB02ArticleText"/>
      </w:pPr>
      <w:r>
        <w:t xml:space="preserve">Use of cleavable capture reagents may allow identification of sulforaphane binding sites in future. </w:t>
      </w:r>
      <w:r w:rsidR="006225CF">
        <w:t xml:space="preserve">Increased understanding of sulforaphane’s </w:t>
      </w:r>
      <w:r w:rsidR="00A92771">
        <w:t xml:space="preserve">targets and underlying mode of action may </w:t>
      </w:r>
      <w:r w:rsidR="00923E75">
        <w:t xml:space="preserve">ultimately </w:t>
      </w:r>
      <w:r w:rsidR="00A92771">
        <w:t xml:space="preserve">provide better insight into </w:t>
      </w:r>
      <w:r w:rsidR="00AF5715">
        <w:t>how best to apply this agent or related electrophilic compounds in the clinic.</w:t>
      </w:r>
    </w:p>
    <w:p w14:paraId="4DDEB6FF" w14:textId="1DB4984A" w:rsidR="00D13046" w:rsidRDefault="00AF5715" w:rsidP="00D13046">
      <w:pPr>
        <w:pStyle w:val="RSCB02ArticleText"/>
      </w:pPr>
      <w:r>
        <w:tab/>
        <w:t xml:space="preserve">This work was supported by the UK Engineering and Physical Sciences Research Council and Pfizer (EPSRC Industrial CASE </w:t>
      </w:r>
      <w:r w:rsidR="00F86D77">
        <w:t>Studentship award to J.C.). E.M.S. acknowledges the award of</w:t>
      </w:r>
      <w:r w:rsidR="00F86D77" w:rsidRPr="0046612E">
        <w:t xml:space="preserve"> </w:t>
      </w:r>
      <w:r w:rsidR="00F86D77">
        <w:t xml:space="preserve">a PhD studentship from the British </w:t>
      </w:r>
      <w:r w:rsidR="00DE7FA9">
        <w:t>Heart</w:t>
      </w:r>
      <w:r w:rsidR="00DE7FA9" w:rsidRPr="0046612E">
        <w:t xml:space="preserve"> </w:t>
      </w:r>
      <w:r w:rsidR="00DE7FA9">
        <w:t>Foundation.</w:t>
      </w:r>
      <w:r w:rsidR="00157625" w:rsidRPr="00157625">
        <w:t xml:space="preserve"> </w:t>
      </w:r>
      <w:r w:rsidR="00A92771">
        <w:t xml:space="preserve">T.L.-H. was supported by Cancer Research UK </w:t>
      </w:r>
      <w:r w:rsidR="00157625">
        <w:t>(</w:t>
      </w:r>
      <w:r w:rsidR="00157625" w:rsidRPr="00AE7BCA">
        <w:t>C29637/A20781</w:t>
      </w:r>
      <w:r w:rsidR="00A92771">
        <w:t>)</w:t>
      </w:r>
      <w:r w:rsidR="00157625">
        <w:t>.</w:t>
      </w:r>
      <w:r w:rsidR="00DE7FA9">
        <w:t xml:space="preserve"> K.A.K. was </w:t>
      </w:r>
      <w:r w:rsidR="00C7669B">
        <w:t xml:space="preserve">funded by </w:t>
      </w:r>
      <w:r w:rsidR="00DE7FA9">
        <w:t xml:space="preserve">the European </w:t>
      </w:r>
      <w:r w:rsidR="00D13046">
        <w:t>Commission’s Research Executive Agency (</w:t>
      </w:r>
      <w:r w:rsidR="00C7669B">
        <w:t xml:space="preserve">Marie Curie International Incoming Fellowship, </w:t>
      </w:r>
      <w:r w:rsidR="00D13046">
        <w:t>FP7-PEOPLE-2011-IIF).</w:t>
      </w:r>
      <w:r w:rsidR="00C47EE4">
        <w:t xml:space="preserve"> </w:t>
      </w:r>
      <w:r w:rsidR="00C7669B" w:rsidRPr="00C7669B">
        <w:t>L</w:t>
      </w:r>
      <w:r w:rsidR="00C7669B">
        <w:t>.</w:t>
      </w:r>
      <w:r w:rsidR="00C7669B" w:rsidRPr="00C7669B">
        <w:t>H</w:t>
      </w:r>
      <w:r w:rsidR="00C7669B">
        <w:t>.</w:t>
      </w:r>
      <w:r w:rsidR="00C7669B" w:rsidRPr="00C7669B">
        <w:t>J</w:t>
      </w:r>
      <w:r w:rsidR="00C7669B">
        <w:t>.</w:t>
      </w:r>
      <w:r w:rsidR="00C7669B" w:rsidRPr="00C7669B">
        <w:t xml:space="preserve"> is an employee and shareholder of Pfizer</w:t>
      </w:r>
      <w:r w:rsidR="00C7669B">
        <w:t>.</w:t>
      </w:r>
    </w:p>
    <w:p w14:paraId="741F41CE" w14:textId="77777777" w:rsidR="00D010E8" w:rsidRPr="00EF6BD4" w:rsidRDefault="00E61949" w:rsidP="005546F5">
      <w:pPr>
        <w:pStyle w:val="RSCB04SectionHeading"/>
        <w:spacing w:before="160" w:after="40"/>
      </w:pPr>
      <w:r w:rsidRPr="00EF6BD4">
        <w:t>Notes and references</w:t>
      </w:r>
    </w:p>
    <w:p w14:paraId="3DC698DC" w14:textId="77777777" w:rsidR="002C038F" w:rsidRPr="002C038F" w:rsidRDefault="004418E8" w:rsidP="002C038F">
      <w:pPr>
        <w:pStyle w:val="Bibliography"/>
        <w:rPr>
          <w:rFonts w:ascii="Calibri" w:hAnsi="Calibri"/>
          <w:sz w:val="18"/>
        </w:rPr>
      </w:pPr>
      <w:r w:rsidRPr="000238FD">
        <w:rPr>
          <w:i/>
          <w:sz w:val="18"/>
          <w:szCs w:val="18"/>
        </w:rPr>
        <w:fldChar w:fldCharType="begin"/>
      </w:r>
      <w:r w:rsidR="002C038F">
        <w:rPr>
          <w:sz w:val="18"/>
          <w:szCs w:val="18"/>
        </w:rPr>
        <w:instrText xml:space="preserve"> ADDIN ZOTERO_BIBL {"custom":[]} CSL_BIBLIOGRAPHY </w:instrText>
      </w:r>
      <w:r w:rsidRPr="000238FD">
        <w:rPr>
          <w:i/>
          <w:sz w:val="18"/>
          <w:szCs w:val="18"/>
        </w:rPr>
        <w:fldChar w:fldCharType="separate"/>
      </w:r>
      <w:r w:rsidR="002C038F" w:rsidRPr="002C038F">
        <w:rPr>
          <w:rFonts w:ascii="Calibri" w:hAnsi="Calibri"/>
          <w:sz w:val="18"/>
        </w:rPr>
        <w:t>1</w:t>
      </w:r>
      <w:r w:rsidR="002C038F" w:rsidRPr="002C038F">
        <w:rPr>
          <w:rFonts w:ascii="Calibri" w:hAnsi="Calibri"/>
          <w:sz w:val="18"/>
        </w:rPr>
        <w:tab/>
        <w:t xml:space="preserve">T.-F. Yin, M. Wang, Y. Qing, Y.-M. Lin and D. Wu, </w:t>
      </w:r>
      <w:r w:rsidR="002C038F" w:rsidRPr="002C038F">
        <w:rPr>
          <w:rFonts w:ascii="Calibri" w:hAnsi="Calibri"/>
          <w:i/>
          <w:iCs/>
          <w:sz w:val="18"/>
        </w:rPr>
        <w:t>World J. Gastroenterol.</w:t>
      </w:r>
      <w:r w:rsidR="002C038F" w:rsidRPr="002C038F">
        <w:rPr>
          <w:rFonts w:ascii="Calibri" w:hAnsi="Calibri"/>
          <w:sz w:val="18"/>
        </w:rPr>
        <w:t xml:space="preserve">, 2016, </w:t>
      </w:r>
      <w:r w:rsidR="002C038F" w:rsidRPr="002C038F">
        <w:rPr>
          <w:rFonts w:ascii="Calibri" w:hAnsi="Calibri"/>
          <w:b/>
          <w:bCs/>
          <w:sz w:val="18"/>
        </w:rPr>
        <w:t>22</w:t>
      </w:r>
      <w:r w:rsidR="002C038F" w:rsidRPr="002C038F">
        <w:rPr>
          <w:rFonts w:ascii="Calibri" w:hAnsi="Calibri"/>
          <w:sz w:val="18"/>
        </w:rPr>
        <w:t>, 7058–7068.</w:t>
      </w:r>
    </w:p>
    <w:p w14:paraId="06E30113" w14:textId="77777777" w:rsidR="002C038F" w:rsidRPr="002C038F" w:rsidRDefault="002C038F" w:rsidP="002C038F">
      <w:pPr>
        <w:pStyle w:val="Bibliography"/>
        <w:rPr>
          <w:rFonts w:ascii="Calibri" w:hAnsi="Calibri"/>
          <w:sz w:val="18"/>
        </w:rPr>
      </w:pPr>
      <w:r w:rsidRPr="002C038F">
        <w:rPr>
          <w:rFonts w:ascii="Calibri" w:hAnsi="Calibri"/>
          <w:sz w:val="18"/>
        </w:rPr>
        <w:t>2</w:t>
      </w:r>
      <w:r w:rsidRPr="002C038F">
        <w:rPr>
          <w:rFonts w:ascii="Calibri" w:hAnsi="Calibri"/>
          <w:sz w:val="18"/>
        </w:rPr>
        <w:tab/>
        <w:t xml:space="preserve">C. B. Ambrosone, S. E. McCann, J. L. Freudenheim, J. R. Marshall, Y. Zhang and P. G. Shields, </w:t>
      </w:r>
      <w:r w:rsidRPr="002C038F">
        <w:rPr>
          <w:rFonts w:ascii="Calibri" w:hAnsi="Calibri"/>
          <w:i/>
          <w:iCs/>
          <w:sz w:val="18"/>
        </w:rPr>
        <w:t>J. Nutr.</w:t>
      </w:r>
      <w:r w:rsidRPr="002C038F">
        <w:rPr>
          <w:rFonts w:ascii="Calibri" w:hAnsi="Calibri"/>
          <w:sz w:val="18"/>
        </w:rPr>
        <w:t xml:space="preserve">, 2004, </w:t>
      </w:r>
      <w:r w:rsidRPr="002C038F">
        <w:rPr>
          <w:rFonts w:ascii="Calibri" w:hAnsi="Calibri"/>
          <w:b/>
          <w:bCs/>
          <w:sz w:val="18"/>
        </w:rPr>
        <w:t>134</w:t>
      </w:r>
      <w:r w:rsidRPr="002C038F">
        <w:rPr>
          <w:rFonts w:ascii="Calibri" w:hAnsi="Calibri"/>
          <w:sz w:val="18"/>
        </w:rPr>
        <w:t>, 1134–1138.</w:t>
      </w:r>
    </w:p>
    <w:p w14:paraId="4DACDE83" w14:textId="77777777" w:rsidR="002C038F" w:rsidRPr="002C038F" w:rsidRDefault="002C038F" w:rsidP="002C038F">
      <w:pPr>
        <w:pStyle w:val="Bibliography"/>
        <w:rPr>
          <w:rFonts w:ascii="Calibri" w:hAnsi="Calibri"/>
          <w:sz w:val="18"/>
        </w:rPr>
      </w:pPr>
      <w:r w:rsidRPr="002C038F">
        <w:rPr>
          <w:rFonts w:ascii="Calibri" w:hAnsi="Calibri"/>
          <w:sz w:val="18"/>
        </w:rPr>
        <w:t>3</w:t>
      </w:r>
      <w:r w:rsidRPr="002C038F">
        <w:rPr>
          <w:rFonts w:ascii="Calibri" w:hAnsi="Calibri"/>
          <w:sz w:val="18"/>
        </w:rPr>
        <w:tab/>
        <w:t xml:space="preserve">U. Telang, D. A. Brazeau and M. E. Morris, </w:t>
      </w:r>
      <w:r w:rsidRPr="002C038F">
        <w:rPr>
          <w:rFonts w:ascii="Calibri" w:hAnsi="Calibri"/>
          <w:i/>
          <w:iCs/>
          <w:sz w:val="18"/>
        </w:rPr>
        <w:t>Exp. Biol. Med. Maywood NJ</w:t>
      </w:r>
      <w:r w:rsidRPr="002C038F">
        <w:rPr>
          <w:rFonts w:ascii="Calibri" w:hAnsi="Calibri"/>
          <w:sz w:val="18"/>
        </w:rPr>
        <w:t xml:space="preserve">, 2009, </w:t>
      </w:r>
      <w:r w:rsidRPr="002C038F">
        <w:rPr>
          <w:rFonts w:ascii="Calibri" w:hAnsi="Calibri"/>
          <w:b/>
          <w:bCs/>
          <w:sz w:val="18"/>
        </w:rPr>
        <w:t>234</w:t>
      </w:r>
      <w:r w:rsidRPr="002C038F">
        <w:rPr>
          <w:rFonts w:ascii="Calibri" w:hAnsi="Calibri"/>
          <w:sz w:val="18"/>
        </w:rPr>
        <w:t>, 287–295.</w:t>
      </w:r>
    </w:p>
    <w:p w14:paraId="7BE132A9" w14:textId="77777777" w:rsidR="002C038F" w:rsidRPr="002C038F" w:rsidRDefault="002C038F" w:rsidP="002C038F">
      <w:pPr>
        <w:pStyle w:val="Bibliography"/>
        <w:rPr>
          <w:rFonts w:ascii="Calibri" w:hAnsi="Calibri"/>
          <w:sz w:val="18"/>
        </w:rPr>
      </w:pPr>
      <w:r w:rsidRPr="002C038F">
        <w:rPr>
          <w:rFonts w:ascii="Calibri" w:hAnsi="Calibri"/>
          <w:sz w:val="18"/>
        </w:rPr>
        <w:t>4</w:t>
      </w:r>
      <w:r w:rsidRPr="002C038F">
        <w:rPr>
          <w:rFonts w:ascii="Calibri" w:hAnsi="Calibri"/>
          <w:sz w:val="18"/>
        </w:rPr>
        <w:tab/>
        <w:t xml:space="preserve">Z. Wang, J. Fan, M. Liu, S. Yeung, A. Chang, M. S. S. Chow, D. Pon and Y. Huang, </w:t>
      </w:r>
      <w:r w:rsidRPr="002C038F">
        <w:rPr>
          <w:rFonts w:ascii="Calibri" w:hAnsi="Calibri"/>
          <w:i/>
          <w:iCs/>
          <w:sz w:val="18"/>
        </w:rPr>
        <w:t>Expert Opin. Investig. Drugs</w:t>
      </w:r>
      <w:r w:rsidRPr="002C038F">
        <w:rPr>
          <w:rFonts w:ascii="Calibri" w:hAnsi="Calibri"/>
          <w:sz w:val="18"/>
        </w:rPr>
        <w:t xml:space="preserve">, 2013, </w:t>
      </w:r>
      <w:r w:rsidRPr="002C038F">
        <w:rPr>
          <w:rFonts w:ascii="Calibri" w:hAnsi="Calibri"/>
          <w:b/>
          <w:bCs/>
          <w:sz w:val="18"/>
        </w:rPr>
        <w:t>22</w:t>
      </w:r>
      <w:r w:rsidRPr="002C038F">
        <w:rPr>
          <w:rFonts w:ascii="Calibri" w:hAnsi="Calibri"/>
          <w:sz w:val="18"/>
        </w:rPr>
        <w:t>, 1613–1626.</w:t>
      </w:r>
    </w:p>
    <w:p w14:paraId="09616CE4" w14:textId="77777777" w:rsidR="002C038F" w:rsidRPr="002C038F" w:rsidRDefault="002C038F" w:rsidP="002C038F">
      <w:pPr>
        <w:pStyle w:val="Bibliography"/>
        <w:rPr>
          <w:rFonts w:ascii="Calibri" w:hAnsi="Calibri"/>
          <w:sz w:val="18"/>
        </w:rPr>
      </w:pPr>
      <w:r w:rsidRPr="002C038F">
        <w:rPr>
          <w:rFonts w:ascii="Calibri" w:hAnsi="Calibri"/>
          <w:sz w:val="18"/>
        </w:rPr>
        <w:lastRenderedPageBreak/>
        <w:t>5</w:t>
      </w:r>
      <w:r w:rsidRPr="002C038F">
        <w:rPr>
          <w:rFonts w:ascii="Calibri" w:hAnsi="Calibri"/>
          <w:sz w:val="18"/>
        </w:rPr>
        <w:tab/>
        <w:t xml:space="preserve">S. M. Tortorella, S. G. Royce, P. V. Licciardi and T. C. Karagiannis, </w:t>
      </w:r>
      <w:r w:rsidRPr="002C038F">
        <w:rPr>
          <w:rFonts w:ascii="Calibri" w:hAnsi="Calibri"/>
          <w:i/>
          <w:iCs/>
          <w:sz w:val="18"/>
        </w:rPr>
        <w:t>Antioxid. Redox Signal.</w:t>
      </w:r>
      <w:r w:rsidRPr="002C038F">
        <w:rPr>
          <w:rFonts w:ascii="Calibri" w:hAnsi="Calibri"/>
          <w:sz w:val="18"/>
        </w:rPr>
        <w:t xml:space="preserve">, 2015, </w:t>
      </w:r>
      <w:r w:rsidRPr="002C038F">
        <w:rPr>
          <w:rFonts w:ascii="Calibri" w:hAnsi="Calibri"/>
          <w:b/>
          <w:bCs/>
          <w:sz w:val="18"/>
        </w:rPr>
        <w:t>22</w:t>
      </w:r>
      <w:r w:rsidRPr="002C038F">
        <w:rPr>
          <w:rFonts w:ascii="Calibri" w:hAnsi="Calibri"/>
          <w:sz w:val="18"/>
        </w:rPr>
        <w:t>, 1382–1424.</w:t>
      </w:r>
    </w:p>
    <w:p w14:paraId="799B2517" w14:textId="77777777" w:rsidR="002C038F" w:rsidRPr="002C038F" w:rsidRDefault="002C038F" w:rsidP="002C038F">
      <w:pPr>
        <w:pStyle w:val="Bibliography"/>
        <w:rPr>
          <w:rFonts w:ascii="Calibri" w:hAnsi="Calibri"/>
          <w:sz w:val="18"/>
        </w:rPr>
      </w:pPr>
      <w:r w:rsidRPr="002C038F">
        <w:rPr>
          <w:rFonts w:ascii="Calibri" w:hAnsi="Calibri"/>
          <w:sz w:val="18"/>
        </w:rPr>
        <w:t>6</w:t>
      </w:r>
      <w:r w:rsidRPr="002C038F">
        <w:rPr>
          <w:rFonts w:ascii="Calibri" w:hAnsi="Calibri"/>
          <w:sz w:val="18"/>
        </w:rPr>
        <w:tab/>
        <w:t xml:space="preserve">L. Mi, A. J. Di Pasqua and F.-L. Chung, </w:t>
      </w:r>
      <w:r w:rsidRPr="002C038F">
        <w:rPr>
          <w:rFonts w:ascii="Calibri" w:hAnsi="Calibri"/>
          <w:i/>
          <w:iCs/>
          <w:sz w:val="18"/>
        </w:rPr>
        <w:t>Carcinogenesis</w:t>
      </w:r>
      <w:r w:rsidRPr="002C038F">
        <w:rPr>
          <w:rFonts w:ascii="Calibri" w:hAnsi="Calibri"/>
          <w:sz w:val="18"/>
        </w:rPr>
        <w:t xml:space="preserve">, 2011, </w:t>
      </w:r>
      <w:r w:rsidRPr="002C038F">
        <w:rPr>
          <w:rFonts w:ascii="Calibri" w:hAnsi="Calibri"/>
          <w:b/>
          <w:bCs/>
          <w:sz w:val="18"/>
        </w:rPr>
        <w:t>32</w:t>
      </w:r>
      <w:r w:rsidRPr="002C038F">
        <w:rPr>
          <w:rFonts w:ascii="Calibri" w:hAnsi="Calibri"/>
          <w:sz w:val="18"/>
        </w:rPr>
        <w:t>, 1405–1413.</w:t>
      </w:r>
    </w:p>
    <w:p w14:paraId="4FEAE162" w14:textId="77777777" w:rsidR="002C038F" w:rsidRPr="002C038F" w:rsidRDefault="002C038F" w:rsidP="002C038F">
      <w:pPr>
        <w:pStyle w:val="Bibliography"/>
        <w:rPr>
          <w:rFonts w:ascii="Calibri" w:hAnsi="Calibri"/>
          <w:sz w:val="18"/>
        </w:rPr>
      </w:pPr>
      <w:r w:rsidRPr="002C038F">
        <w:rPr>
          <w:rFonts w:ascii="Calibri" w:hAnsi="Calibri"/>
          <w:sz w:val="18"/>
        </w:rPr>
        <w:t>7</w:t>
      </w:r>
      <w:r w:rsidRPr="002C038F">
        <w:rPr>
          <w:rFonts w:ascii="Calibri" w:hAnsi="Calibri"/>
          <w:sz w:val="18"/>
        </w:rPr>
        <w:tab/>
        <w:t xml:space="preserve">L. Mastrangelo, A. Cassidy, F. Mulholland, W. Wang and Y. Bao, </w:t>
      </w:r>
      <w:r w:rsidRPr="002C038F">
        <w:rPr>
          <w:rFonts w:ascii="Calibri" w:hAnsi="Calibri"/>
          <w:i/>
          <w:iCs/>
          <w:sz w:val="18"/>
        </w:rPr>
        <w:t>Cancer Res.</w:t>
      </w:r>
      <w:r w:rsidRPr="002C038F">
        <w:rPr>
          <w:rFonts w:ascii="Calibri" w:hAnsi="Calibri"/>
          <w:sz w:val="18"/>
        </w:rPr>
        <w:t xml:space="preserve">, 2008, </w:t>
      </w:r>
      <w:r w:rsidRPr="002C038F">
        <w:rPr>
          <w:rFonts w:ascii="Calibri" w:hAnsi="Calibri"/>
          <w:b/>
          <w:bCs/>
          <w:sz w:val="18"/>
        </w:rPr>
        <w:t>68</w:t>
      </w:r>
      <w:r w:rsidRPr="002C038F">
        <w:rPr>
          <w:rFonts w:ascii="Calibri" w:hAnsi="Calibri"/>
          <w:sz w:val="18"/>
        </w:rPr>
        <w:t>, 5487–5491.</w:t>
      </w:r>
    </w:p>
    <w:p w14:paraId="00D55A87" w14:textId="77777777" w:rsidR="002C038F" w:rsidRPr="002C038F" w:rsidRDefault="002C038F" w:rsidP="002C038F">
      <w:pPr>
        <w:pStyle w:val="Bibliography"/>
        <w:rPr>
          <w:rFonts w:ascii="Calibri" w:hAnsi="Calibri"/>
          <w:sz w:val="18"/>
        </w:rPr>
      </w:pPr>
      <w:r w:rsidRPr="002C038F">
        <w:rPr>
          <w:rFonts w:ascii="Calibri" w:hAnsi="Calibri"/>
          <w:sz w:val="18"/>
        </w:rPr>
        <w:t>8</w:t>
      </w:r>
      <w:r w:rsidRPr="002C038F">
        <w:rPr>
          <w:rFonts w:ascii="Calibri" w:hAnsi="Calibri"/>
          <w:sz w:val="18"/>
        </w:rPr>
        <w:tab/>
        <w:t xml:space="preserve">A. S. Agyeman, R. Chaerkady, P. G. Shaw, N. E. Davidson, K. Visvanathan, A. Pandey and T. W. Kensler, </w:t>
      </w:r>
      <w:r w:rsidRPr="002C038F">
        <w:rPr>
          <w:rFonts w:ascii="Calibri" w:hAnsi="Calibri"/>
          <w:i/>
          <w:iCs/>
          <w:sz w:val="18"/>
        </w:rPr>
        <w:t>Breast Cancer Res. Treat.</w:t>
      </w:r>
      <w:r w:rsidRPr="002C038F">
        <w:rPr>
          <w:rFonts w:ascii="Calibri" w:hAnsi="Calibri"/>
          <w:sz w:val="18"/>
        </w:rPr>
        <w:t xml:space="preserve">, 2012, </w:t>
      </w:r>
      <w:r w:rsidRPr="002C038F">
        <w:rPr>
          <w:rFonts w:ascii="Calibri" w:hAnsi="Calibri"/>
          <w:b/>
          <w:bCs/>
          <w:sz w:val="18"/>
        </w:rPr>
        <w:t>132</w:t>
      </w:r>
      <w:r w:rsidRPr="002C038F">
        <w:rPr>
          <w:rFonts w:ascii="Calibri" w:hAnsi="Calibri"/>
          <w:sz w:val="18"/>
        </w:rPr>
        <w:t>, 175–187.</w:t>
      </w:r>
    </w:p>
    <w:p w14:paraId="13FE8C11" w14:textId="77777777" w:rsidR="002C038F" w:rsidRPr="002C038F" w:rsidRDefault="002C038F" w:rsidP="002C038F">
      <w:pPr>
        <w:pStyle w:val="Bibliography"/>
        <w:rPr>
          <w:rFonts w:ascii="Calibri" w:hAnsi="Calibri"/>
          <w:sz w:val="18"/>
        </w:rPr>
      </w:pPr>
      <w:r w:rsidRPr="002C038F">
        <w:rPr>
          <w:rFonts w:ascii="Calibri" w:hAnsi="Calibri"/>
          <w:sz w:val="18"/>
        </w:rPr>
        <w:t>9</w:t>
      </w:r>
      <w:r w:rsidRPr="002C038F">
        <w:rPr>
          <w:rFonts w:ascii="Calibri" w:hAnsi="Calibri"/>
          <w:sz w:val="18"/>
        </w:rPr>
        <w:tab/>
        <w:t xml:space="preserve">C. Angeloni, S. Turroni, L. Bianchi, D. Fabbri, E. Motori, M. Malaguti, E. Leoncini, T. Maraldi, L. Bini, P. Brigidi and S. Hrelia, </w:t>
      </w:r>
      <w:r w:rsidRPr="002C038F">
        <w:rPr>
          <w:rFonts w:ascii="Calibri" w:hAnsi="Calibri"/>
          <w:i/>
          <w:iCs/>
          <w:sz w:val="18"/>
        </w:rPr>
        <w:t>PloS One</w:t>
      </w:r>
      <w:r w:rsidRPr="002C038F">
        <w:rPr>
          <w:rFonts w:ascii="Calibri" w:hAnsi="Calibri"/>
          <w:sz w:val="18"/>
        </w:rPr>
        <w:t xml:space="preserve">, 2013, </w:t>
      </w:r>
      <w:r w:rsidRPr="002C038F">
        <w:rPr>
          <w:rFonts w:ascii="Calibri" w:hAnsi="Calibri"/>
          <w:b/>
          <w:bCs/>
          <w:sz w:val="18"/>
        </w:rPr>
        <w:t>8</w:t>
      </w:r>
      <w:r w:rsidRPr="002C038F">
        <w:rPr>
          <w:rFonts w:ascii="Calibri" w:hAnsi="Calibri"/>
          <w:sz w:val="18"/>
        </w:rPr>
        <w:t>, e83283.</w:t>
      </w:r>
    </w:p>
    <w:p w14:paraId="2750234C" w14:textId="77777777" w:rsidR="002C038F" w:rsidRPr="002C038F" w:rsidRDefault="002C038F" w:rsidP="002C038F">
      <w:pPr>
        <w:pStyle w:val="Bibliography"/>
        <w:rPr>
          <w:rFonts w:ascii="Calibri" w:hAnsi="Calibri"/>
          <w:sz w:val="18"/>
        </w:rPr>
      </w:pPr>
      <w:r w:rsidRPr="002C038F">
        <w:rPr>
          <w:rFonts w:ascii="Calibri" w:hAnsi="Calibri"/>
          <w:sz w:val="18"/>
        </w:rPr>
        <w:t>10</w:t>
      </w:r>
      <w:r w:rsidRPr="002C038F">
        <w:rPr>
          <w:rFonts w:ascii="Calibri" w:hAnsi="Calibri"/>
          <w:sz w:val="18"/>
        </w:rPr>
        <w:tab/>
        <w:t xml:space="preserve">Y.-H. Ahn, Y. Hwang, H. Liu, X. J. Wang, Y. Zhang, K. K. Stephenson, T. N. Boronina, R. N. Cole, A. T. Dinkova-Kostova, P. Talalay and P. A. Cole, </w:t>
      </w:r>
      <w:r w:rsidRPr="002C038F">
        <w:rPr>
          <w:rFonts w:ascii="Calibri" w:hAnsi="Calibri"/>
          <w:i/>
          <w:iCs/>
          <w:sz w:val="18"/>
        </w:rPr>
        <w:t>Proc. Natl. Acad. Sci. U. S. A.</w:t>
      </w:r>
      <w:r w:rsidRPr="002C038F">
        <w:rPr>
          <w:rFonts w:ascii="Calibri" w:hAnsi="Calibri"/>
          <w:sz w:val="18"/>
        </w:rPr>
        <w:t xml:space="preserve">, 2010, </w:t>
      </w:r>
      <w:r w:rsidRPr="002C038F">
        <w:rPr>
          <w:rFonts w:ascii="Calibri" w:hAnsi="Calibri"/>
          <w:b/>
          <w:bCs/>
          <w:sz w:val="18"/>
        </w:rPr>
        <w:t>107</w:t>
      </w:r>
      <w:r w:rsidRPr="002C038F">
        <w:rPr>
          <w:rFonts w:ascii="Calibri" w:hAnsi="Calibri"/>
          <w:sz w:val="18"/>
        </w:rPr>
        <w:t>, 9590–9595.</w:t>
      </w:r>
    </w:p>
    <w:p w14:paraId="4866E5A6" w14:textId="77777777" w:rsidR="002C038F" w:rsidRPr="002C038F" w:rsidRDefault="002C038F" w:rsidP="002C038F">
      <w:pPr>
        <w:pStyle w:val="Bibliography"/>
        <w:rPr>
          <w:rFonts w:ascii="Calibri" w:hAnsi="Calibri"/>
          <w:sz w:val="18"/>
        </w:rPr>
      </w:pPr>
      <w:r w:rsidRPr="002C038F">
        <w:rPr>
          <w:rFonts w:ascii="Calibri" w:hAnsi="Calibri"/>
          <w:sz w:val="18"/>
        </w:rPr>
        <w:t>11</w:t>
      </w:r>
      <w:r w:rsidRPr="002C038F">
        <w:rPr>
          <w:rFonts w:ascii="Calibri" w:hAnsi="Calibri"/>
          <w:sz w:val="18"/>
        </w:rPr>
        <w:tab/>
        <w:t xml:space="preserve">E. W. Tate, K. A. Kalesh, T. Lanyon-Hogg, E. M. Storck and E. Thinon, </w:t>
      </w:r>
      <w:r w:rsidRPr="002C038F">
        <w:rPr>
          <w:rFonts w:ascii="Calibri" w:hAnsi="Calibri"/>
          <w:i/>
          <w:iCs/>
          <w:sz w:val="18"/>
        </w:rPr>
        <w:t>Curr. Opin. Chem. Biol.</w:t>
      </w:r>
      <w:r w:rsidRPr="002C038F">
        <w:rPr>
          <w:rFonts w:ascii="Calibri" w:hAnsi="Calibri"/>
          <w:sz w:val="18"/>
        </w:rPr>
        <w:t xml:space="preserve">, 2015, </w:t>
      </w:r>
      <w:r w:rsidRPr="002C038F">
        <w:rPr>
          <w:rFonts w:ascii="Calibri" w:hAnsi="Calibri"/>
          <w:b/>
          <w:bCs/>
          <w:sz w:val="18"/>
        </w:rPr>
        <w:t>24</w:t>
      </w:r>
      <w:r w:rsidRPr="002C038F">
        <w:rPr>
          <w:rFonts w:ascii="Calibri" w:hAnsi="Calibri"/>
          <w:sz w:val="18"/>
        </w:rPr>
        <w:t>, 48–57.</w:t>
      </w:r>
    </w:p>
    <w:p w14:paraId="2E84FAFE" w14:textId="77777777" w:rsidR="002C038F" w:rsidRPr="002C038F" w:rsidRDefault="002C038F" w:rsidP="002C038F">
      <w:pPr>
        <w:pStyle w:val="Bibliography"/>
        <w:rPr>
          <w:rFonts w:ascii="Calibri" w:hAnsi="Calibri"/>
          <w:sz w:val="18"/>
        </w:rPr>
      </w:pPr>
      <w:r w:rsidRPr="002C038F">
        <w:rPr>
          <w:rFonts w:ascii="Calibri" w:hAnsi="Calibri"/>
          <w:sz w:val="18"/>
        </w:rPr>
        <w:t>12</w:t>
      </w:r>
      <w:r w:rsidRPr="002C038F">
        <w:rPr>
          <w:rFonts w:ascii="Calibri" w:hAnsi="Calibri"/>
          <w:sz w:val="18"/>
        </w:rPr>
        <w:tab/>
        <w:t xml:space="preserve">E. Thinon, R. A. Serwa, M. Broncel, J. A. Brannigan, U. Brassat, M. H. Wright, W. P. Heal, A. J. Wilkinson, D. J. Mann and E. W. Tate, </w:t>
      </w:r>
      <w:r w:rsidRPr="002C038F">
        <w:rPr>
          <w:rFonts w:ascii="Calibri" w:hAnsi="Calibri"/>
          <w:i/>
          <w:iCs/>
          <w:sz w:val="18"/>
        </w:rPr>
        <w:t>Nat. Commun.</w:t>
      </w:r>
      <w:r w:rsidRPr="002C038F">
        <w:rPr>
          <w:rFonts w:ascii="Calibri" w:hAnsi="Calibri"/>
          <w:sz w:val="18"/>
        </w:rPr>
        <w:t xml:space="preserve">, 2014, </w:t>
      </w:r>
      <w:r w:rsidRPr="002C038F">
        <w:rPr>
          <w:rFonts w:ascii="Calibri" w:hAnsi="Calibri"/>
          <w:b/>
          <w:bCs/>
          <w:sz w:val="18"/>
        </w:rPr>
        <w:t>5</w:t>
      </w:r>
      <w:r w:rsidRPr="002C038F">
        <w:rPr>
          <w:rFonts w:ascii="Calibri" w:hAnsi="Calibri"/>
          <w:sz w:val="18"/>
        </w:rPr>
        <w:t>, 4919.</w:t>
      </w:r>
    </w:p>
    <w:p w14:paraId="3E9DB0CC" w14:textId="77777777" w:rsidR="002C038F" w:rsidRPr="002C038F" w:rsidRDefault="002C038F" w:rsidP="002C038F">
      <w:pPr>
        <w:pStyle w:val="Bibliography"/>
        <w:rPr>
          <w:rFonts w:ascii="Calibri" w:hAnsi="Calibri"/>
          <w:sz w:val="18"/>
        </w:rPr>
      </w:pPr>
      <w:r w:rsidRPr="002C038F">
        <w:rPr>
          <w:rFonts w:ascii="Calibri" w:hAnsi="Calibri"/>
          <w:sz w:val="18"/>
        </w:rPr>
        <w:t>13</w:t>
      </w:r>
      <w:r w:rsidRPr="002C038F">
        <w:rPr>
          <w:rFonts w:ascii="Calibri" w:hAnsi="Calibri"/>
          <w:sz w:val="18"/>
        </w:rPr>
        <w:tab/>
        <w:t xml:space="preserve">M. H. Wright, B. Clough, M. D. Rackham, K. Rangachari, J. A. Brannigan, M. Grainger, D. K. Moss, A. R. Bottrill, W. P. Heal, M. Broncel, R. A. Serwa, D. Brady, D. J. Mann, R. J. Leatherbarrow, R. Tewari, A. J. Wilkinson, A. A. Holder and E. W. Tate, </w:t>
      </w:r>
      <w:r w:rsidRPr="002C038F">
        <w:rPr>
          <w:rFonts w:ascii="Calibri" w:hAnsi="Calibri"/>
          <w:i/>
          <w:iCs/>
          <w:sz w:val="18"/>
        </w:rPr>
        <w:t>Nat. Chem.</w:t>
      </w:r>
      <w:r w:rsidRPr="002C038F">
        <w:rPr>
          <w:rFonts w:ascii="Calibri" w:hAnsi="Calibri"/>
          <w:sz w:val="18"/>
        </w:rPr>
        <w:t xml:space="preserve">, 2014, </w:t>
      </w:r>
      <w:r w:rsidRPr="002C038F">
        <w:rPr>
          <w:rFonts w:ascii="Calibri" w:hAnsi="Calibri"/>
          <w:b/>
          <w:bCs/>
          <w:sz w:val="18"/>
        </w:rPr>
        <w:t>6</w:t>
      </w:r>
      <w:r w:rsidRPr="002C038F">
        <w:rPr>
          <w:rFonts w:ascii="Calibri" w:hAnsi="Calibri"/>
          <w:sz w:val="18"/>
        </w:rPr>
        <w:t>, 112–121.</w:t>
      </w:r>
    </w:p>
    <w:p w14:paraId="429469BC" w14:textId="77777777" w:rsidR="002C038F" w:rsidRPr="002C038F" w:rsidRDefault="002C038F" w:rsidP="002C038F">
      <w:pPr>
        <w:pStyle w:val="Bibliography"/>
        <w:rPr>
          <w:rFonts w:ascii="Calibri" w:hAnsi="Calibri"/>
          <w:sz w:val="18"/>
        </w:rPr>
      </w:pPr>
      <w:r w:rsidRPr="002C038F">
        <w:rPr>
          <w:rFonts w:ascii="Calibri" w:hAnsi="Calibri"/>
          <w:sz w:val="18"/>
        </w:rPr>
        <w:t>14</w:t>
      </w:r>
      <w:r w:rsidRPr="002C038F">
        <w:rPr>
          <w:rFonts w:ascii="Calibri" w:hAnsi="Calibri"/>
          <w:sz w:val="18"/>
        </w:rPr>
        <w:tab/>
        <w:t xml:space="preserve">K. A. Kalesh, J. A. Clulow and E. W. Tate, </w:t>
      </w:r>
      <w:r w:rsidRPr="002C038F">
        <w:rPr>
          <w:rFonts w:ascii="Calibri" w:hAnsi="Calibri"/>
          <w:i/>
          <w:iCs/>
          <w:sz w:val="18"/>
        </w:rPr>
        <w:t>Chem. Commun. Camb. Engl.</w:t>
      </w:r>
      <w:r w:rsidRPr="002C038F">
        <w:rPr>
          <w:rFonts w:ascii="Calibri" w:hAnsi="Calibri"/>
          <w:sz w:val="18"/>
        </w:rPr>
        <w:t xml:space="preserve">, 2015, </w:t>
      </w:r>
      <w:r w:rsidRPr="002C038F">
        <w:rPr>
          <w:rFonts w:ascii="Calibri" w:hAnsi="Calibri"/>
          <w:b/>
          <w:bCs/>
          <w:sz w:val="18"/>
        </w:rPr>
        <w:t>51</w:t>
      </w:r>
      <w:r w:rsidRPr="002C038F">
        <w:rPr>
          <w:rFonts w:ascii="Calibri" w:hAnsi="Calibri"/>
          <w:sz w:val="18"/>
        </w:rPr>
        <w:t>, 5497–5500.</w:t>
      </w:r>
    </w:p>
    <w:p w14:paraId="52A93327" w14:textId="77777777" w:rsidR="002C038F" w:rsidRPr="002C038F" w:rsidRDefault="002C038F" w:rsidP="002C038F">
      <w:pPr>
        <w:pStyle w:val="Bibliography"/>
        <w:rPr>
          <w:rFonts w:ascii="Calibri" w:hAnsi="Calibri"/>
          <w:sz w:val="18"/>
        </w:rPr>
      </w:pPr>
      <w:r w:rsidRPr="002C038F">
        <w:rPr>
          <w:rFonts w:ascii="Calibri" w:hAnsi="Calibri"/>
          <w:sz w:val="18"/>
        </w:rPr>
        <w:t>15</w:t>
      </w:r>
      <w:r w:rsidRPr="002C038F">
        <w:rPr>
          <w:rFonts w:ascii="Calibri" w:hAnsi="Calibri"/>
          <w:sz w:val="18"/>
        </w:rPr>
        <w:tab/>
        <w:t xml:space="preserve">S. Kanematsu, N. Uehara, H. Miki, K. Yoshizawa, A. Kawanaka, T. Yuri and A. Tsubura, </w:t>
      </w:r>
      <w:r w:rsidRPr="002C038F">
        <w:rPr>
          <w:rFonts w:ascii="Calibri" w:hAnsi="Calibri"/>
          <w:i/>
          <w:iCs/>
          <w:sz w:val="18"/>
        </w:rPr>
        <w:t>Anticancer Res.</w:t>
      </w:r>
      <w:r w:rsidRPr="002C038F">
        <w:rPr>
          <w:rFonts w:ascii="Calibri" w:hAnsi="Calibri"/>
          <w:sz w:val="18"/>
        </w:rPr>
        <w:t xml:space="preserve">, 2010, </w:t>
      </w:r>
      <w:r w:rsidRPr="002C038F">
        <w:rPr>
          <w:rFonts w:ascii="Calibri" w:hAnsi="Calibri"/>
          <w:b/>
          <w:bCs/>
          <w:sz w:val="18"/>
        </w:rPr>
        <w:t>30</w:t>
      </w:r>
      <w:r w:rsidRPr="002C038F">
        <w:rPr>
          <w:rFonts w:ascii="Calibri" w:hAnsi="Calibri"/>
          <w:sz w:val="18"/>
        </w:rPr>
        <w:t>, 3381–3390.</w:t>
      </w:r>
    </w:p>
    <w:p w14:paraId="401C418D" w14:textId="77777777" w:rsidR="002C038F" w:rsidRPr="002C038F" w:rsidRDefault="002C038F" w:rsidP="002C038F">
      <w:pPr>
        <w:pStyle w:val="Bibliography"/>
        <w:rPr>
          <w:rFonts w:ascii="Calibri" w:hAnsi="Calibri"/>
          <w:sz w:val="18"/>
        </w:rPr>
      </w:pPr>
      <w:r w:rsidRPr="002C038F">
        <w:rPr>
          <w:rFonts w:ascii="Calibri" w:hAnsi="Calibri"/>
          <w:sz w:val="18"/>
        </w:rPr>
        <w:t>16</w:t>
      </w:r>
      <w:r w:rsidRPr="002C038F">
        <w:rPr>
          <w:rFonts w:ascii="Calibri" w:hAnsi="Calibri"/>
          <w:sz w:val="18"/>
        </w:rPr>
        <w:tab/>
        <w:t xml:space="preserve">M. Broncel, R. A. Serwa, P. Ciepla, E. Krause, M. J. Dallman, A. I. Magee and E. W. Tate, </w:t>
      </w:r>
      <w:r w:rsidRPr="002C038F">
        <w:rPr>
          <w:rFonts w:ascii="Calibri" w:hAnsi="Calibri"/>
          <w:i/>
          <w:iCs/>
          <w:sz w:val="18"/>
        </w:rPr>
        <w:t>Angew. Chem. Int. Ed Engl.</w:t>
      </w:r>
      <w:r w:rsidRPr="002C038F">
        <w:rPr>
          <w:rFonts w:ascii="Calibri" w:hAnsi="Calibri"/>
          <w:sz w:val="18"/>
        </w:rPr>
        <w:t xml:space="preserve">, 2015, </w:t>
      </w:r>
      <w:r w:rsidRPr="002C038F">
        <w:rPr>
          <w:rFonts w:ascii="Calibri" w:hAnsi="Calibri"/>
          <w:b/>
          <w:bCs/>
          <w:sz w:val="18"/>
        </w:rPr>
        <w:t>54</w:t>
      </w:r>
      <w:r w:rsidRPr="002C038F">
        <w:rPr>
          <w:rFonts w:ascii="Calibri" w:hAnsi="Calibri"/>
          <w:sz w:val="18"/>
        </w:rPr>
        <w:t>, 5948–5951.</w:t>
      </w:r>
    </w:p>
    <w:p w14:paraId="170B84A8" w14:textId="77777777" w:rsidR="002C038F" w:rsidRPr="002C038F" w:rsidRDefault="002C038F" w:rsidP="002C038F">
      <w:pPr>
        <w:pStyle w:val="Bibliography"/>
        <w:rPr>
          <w:rFonts w:ascii="Calibri" w:hAnsi="Calibri"/>
          <w:sz w:val="18"/>
        </w:rPr>
      </w:pPr>
      <w:r w:rsidRPr="002C038F">
        <w:rPr>
          <w:rFonts w:ascii="Calibri" w:hAnsi="Calibri"/>
          <w:sz w:val="18"/>
        </w:rPr>
        <w:t>17</w:t>
      </w:r>
      <w:r w:rsidRPr="002C038F">
        <w:rPr>
          <w:rFonts w:ascii="Calibri" w:hAnsi="Calibri"/>
          <w:sz w:val="18"/>
        </w:rPr>
        <w:tab/>
        <w:t xml:space="preserve">A. T. Dinkova-Kostova, W. D. Holtzclaw, R. N. Cole, K. Itoh, N. Wakabayashi, Y. Katoh, M. Yamamoto and P. Talalay, </w:t>
      </w:r>
      <w:r w:rsidRPr="002C038F">
        <w:rPr>
          <w:rFonts w:ascii="Calibri" w:hAnsi="Calibri"/>
          <w:i/>
          <w:iCs/>
          <w:sz w:val="18"/>
        </w:rPr>
        <w:t>Proc. Natl. Acad. Sci. U. S. A.</w:t>
      </w:r>
      <w:r w:rsidRPr="002C038F">
        <w:rPr>
          <w:rFonts w:ascii="Calibri" w:hAnsi="Calibri"/>
          <w:sz w:val="18"/>
        </w:rPr>
        <w:t xml:space="preserve">, 2002, </w:t>
      </w:r>
      <w:r w:rsidRPr="002C038F">
        <w:rPr>
          <w:rFonts w:ascii="Calibri" w:hAnsi="Calibri"/>
          <w:b/>
          <w:bCs/>
          <w:sz w:val="18"/>
        </w:rPr>
        <w:t>99</w:t>
      </w:r>
      <w:r w:rsidRPr="002C038F">
        <w:rPr>
          <w:rFonts w:ascii="Calibri" w:hAnsi="Calibri"/>
          <w:sz w:val="18"/>
        </w:rPr>
        <w:t>, 11908–11913.</w:t>
      </w:r>
    </w:p>
    <w:p w14:paraId="2FECF0FB" w14:textId="77777777" w:rsidR="002C038F" w:rsidRPr="002C038F" w:rsidRDefault="002C038F" w:rsidP="002C038F">
      <w:pPr>
        <w:pStyle w:val="Bibliography"/>
        <w:rPr>
          <w:rFonts w:ascii="Calibri" w:hAnsi="Calibri"/>
          <w:sz w:val="18"/>
        </w:rPr>
      </w:pPr>
      <w:r w:rsidRPr="002C038F">
        <w:rPr>
          <w:rFonts w:ascii="Calibri" w:hAnsi="Calibri"/>
          <w:sz w:val="18"/>
        </w:rPr>
        <w:t>18</w:t>
      </w:r>
      <w:r w:rsidRPr="002C038F">
        <w:rPr>
          <w:rFonts w:ascii="Calibri" w:hAnsi="Calibri"/>
          <w:sz w:val="18"/>
        </w:rPr>
        <w:tab/>
        <w:t xml:space="preserve">J. V. Cross, J. M. Rady, F. W. Foss, C. E. Lyons, T. L. Macdonald and D. J. Templeton, </w:t>
      </w:r>
      <w:r w:rsidRPr="002C038F">
        <w:rPr>
          <w:rFonts w:ascii="Calibri" w:hAnsi="Calibri"/>
          <w:i/>
          <w:iCs/>
          <w:sz w:val="18"/>
        </w:rPr>
        <w:t>Biochem. J.</w:t>
      </w:r>
      <w:r w:rsidRPr="002C038F">
        <w:rPr>
          <w:rFonts w:ascii="Calibri" w:hAnsi="Calibri"/>
          <w:sz w:val="18"/>
        </w:rPr>
        <w:t xml:space="preserve">, 2009, </w:t>
      </w:r>
      <w:r w:rsidRPr="002C038F">
        <w:rPr>
          <w:rFonts w:ascii="Calibri" w:hAnsi="Calibri"/>
          <w:b/>
          <w:bCs/>
          <w:sz w:val="18"/>
        </w:rPr>
        <w:t>423</w:t>
      </w:r>
      <w:r w:rsidRPr="002C038F">
        <w:rPr>
          <w:rFonts w:ascii="Calibri" w:hAnsi="Calibri"/>
          <w:sz w:val="18"/>
        </w:rPr>
        <w:t>, 315–321.</w:t>
      </w:r>
    </w:p>
    <w:p w14:paraId="2FE59FC2" w14:textId="77777777" w:rsidR="002C038F" w:rsidRPr="002C038F" w:rsidRDefault="002C038F" w:rsidP="002C038F">
      <w:pPr>
        <w:pStyle w:val="Bibliography"/>
        <w:rPr>
          <w:rFonts w:ascii="Calibri" w:hAnsi="Calibri"/>
          <w:sz w:val="18"/>
        </w:rPr>
      </w:pPr>
      <w:r w:rsidRPr="002C038F">
        <w:rPr>
          <w:rFonts w:ascii="Calibri" w:hAnsi="Calibri"/>
          <w:sz w:val="18"/>
        </w:rPr>
        <w:t>19</w:t>
      </w:r>
      <w:r w:rsidRPr="002C038F">
        <w:rPr>
          <w:rFonts w:ascii="Calibri" w:hAnsi="Calibri"/>
          <w:sz w:val="18"/>
        </w:rPr>
        <w:tab/>
        <w:t xml:space="preserve">A. Pledgie-Tracy, M. D. Sobolewski and N. E. Davidson, </w:t>
      </w:r>
      <w:r w:rsidRPr="002C038F">
        <w:rPr>
          <w:rFonts w:ascii="Calibri" w:hAnsi="Calibri"/>
          <w:i/>
          <w:iCs/>
          <w:sz w:val="18"/>
        </w:rPr>
        <w:t>Mol. Cancer Ther.</w:t>
      </w:r>
      <w:r w:rsidRPr="002C038F">
        <w:rPr>
          <w:rFonts w:ascii="Calibri" w:hAnsi="Calibri"/>
          <w:sz w:val="18"/>
        </w:rPr>
        <w:t xml:space="preserve">, 2007, </w:t>
      </w:r>
      <w:r w:rsidRPr="002C038F">
        <w:rPr>
          <w:rFonts w:ascii="Calibri" w:hAnsi="Calibri"/>
          <w:b/>
          <w:bCs/>
          <w:sz w:val="18"/>
        </w:rPr>
        <w:t>6</w:t>
      </w:r>
      <w:r w:rsidRPr="002C038F">
        <w:rPr>
          <w:rFonts w:ascii="Calibri" w:hAnsi="Calibri"/>
          <w:sz w:val="18"/>
        </w:rPr>
        <w:t>, 1013–1021.</w:t>
      </w:r>
    </w:p>
    <w:p w14:paraId="172E8F66" w14:textId="77777777" w:rsidR="002C038F" w:rsidRPr="002C038F" w:rsidRDefault="002C038F" w:rsidP="002C038F">
      <w:pPr>
        <w:pStyle w:val="Bibliography"/>
        <w:rPr>
          <w:rFonts w:ascii="Calibri" w:hAnsi="Calibri"/>
          <w:sz w:val="18"/>
        </w:rPr>
      </w:pPr>
      <w:r w:rsidRPr="002C038F">
        <w:rPr>
          <w:rFonts w:ascii="Calibri" w:hAnsi="Calibri"/>
          <w:sz w:val="18"/>
        </w:rPr>
        <w:t>20</w:t>
      </w:r>
      <w:r w:rsidRPr="002C038F">
        <w:rPr>
          <w:rFonts w:ascii="Calibri" w:hAnsi="Calibri"/>
          <w:sz w:val="18"/>
        </w:rPr>
        <w:tab/>
        <w:t xml:space="preserve">Y. Ben-Neriah and M. Karin, </w:t>
      </w:r>
      <w:r w:rsidRPr="002C038F">
        <w:rPr>
          <w:rFonts w:ascii="Calibri" w:hAnsi="Calibri"/>
          <w:i/>
          <w:iCs/>
          <w:sz w:val="18"/>
        </w:rPr>
        <w:t>Nat. Immunol.</w:t>
      </w:r>
      <w:r w:rsidRPr="002C038F">
        <w:rPr>
          <w:rFonts w:ascii="Calibri" w:hAnsi="Calibri"/>
          <w:sz w:val="18"/>
        </w:rPr>
        <w:t xml:space="preserve">, 2011, </w:t>
      </w:r>
      <w:r w:rsidRPr="002C038F">
        <w:rPr>
          <w:rFonts w:ascii="Calibri" w:hAnsi="Calibri"/>
          <w:b/>
          <w:bCs/>
          <w:sz w:val="18"/>
        </w:rPr>
        <w:t>12</w:t>
      </w:r>
      <w:r w:rsidRPr="002C038F">
        <w:rPr>
          <w:rFonts w:ascii="Calibri" w:hAnsi="Calibri"/>
          <w:sz w:val="18"/>
        </w:rPr>
        <w:t>, 715–723.</w:t>
      </w:r>
    </w:p>
    <w:p w14:paraId="703FFF30" w14:textId="77777777" w:rsidR="002C038F" w:rsidRPr="002C038F" w:rsidRDefault="002C038F" w:rsidP="002C038F">
      <w:pPr>
        <w:pStyle w:val="Bibliography"/>
        <w:rPr>
          <w:rFonts w:ascii="Calibri" w:hAnsi="Calibri"/>
          <w:sz w:val="18"/>
        </w:rPr>
      </w:pPr>
      <w:r w:rsidRPr="002C038F">
        <w:rPr>
          <w:rFonts w:ascii="Calibri" w:hAnsi="Calibri"/>
          <w:sz w:val="18"/>
        </w:rPr>
        <w:t>21</w:t>
      </w:r>
      <w:r w:rsidRPr="002C038F">
        <w:rPr>
          <w:rFonts w:ascii="Calibri" w:hAnsi="Calibri"/>
          <w:sz w:val="18"/>
        </w:rPr>
        <w:tab/>
        <w:t xml:space="preserve">C. Xu, G. Shen, C. Chen, C. Gélinas and A.-N. T. Kong, </w:t>
      </w:r>
      <w:r w:rsidRPr="002C038F">
        <w:rPr>
          <w:rFonts w:ascii="Calibri" w:hAnsi="Calibri"/>
          <w:i/>
          <w:iCs/>
          <w:sz w:val="18"/>
        </w:rPr>
        <w:t>Oncogene</w:t>
      </w:r>
      <w:r w:rsidRPr="002C038F">
        <w:rPr>
          <w:rFonts w:ascii="Calibri" w:hAnsi="Calibri"/>
          <w:sz w:val="18"/>
        </w:rPr>
        <w:t xml:space="preserve">, 2005, </w:t>
      </w:r>
      <w:r w:rsidRPr="002C038F">
        <w:rPr>
          <w:rFonts w:ascii="Calibri" w:hAnsi="Calibri"/>
          <w:b/>
          <w:bCs/>
          <w:sz w:val="18"/>
        </w:rPr>
        <w:t>24</w:t>
      </w:r>
      <w:r w:rsidRPr="002C038F">
        <w:rPr>
          <w:rFonts w:ascii="Calibri" w:hAnsi="Calibri"/>
          <w:sz w:val="18"/>
        </w:rPr>
        <w:t>, 4486–4495.</w:t>
      </w:r>
    </w:p>
    <w:p w14:paraId="622DCB0C" w14:textId="77777777" w:rsidR="002C038F" w:rsidRPr="002C038F" w:rsidRDefault="002C038F" w:rsidP="002C038F">
      <w:pPr>
        <w:pStyle w:val="Bibliography"/>
        <w:rPr>
          <w:rFonts w:ascii="Calibri" w:hAnsi="Calibri"/>
          <w:sz w:val="18"/>
        </w:rPr>
      </w:pPr>
      <w:r w:rsidRPr="002C038F">
        <w:rPr>
          <w:rFonts w:ascii="Calibri" w:hAnsi="Calibri"/>
          <w:sz w:val="18"/>
        </w:rPr>
        <w:t>22</w:t>
      </w:r>
      <w:r w:rsidRPr="002C038F">
        <w:rPr>
          <w:rFonts w:ascii="Calibri" w:hAnsi="Calibri"/>
          <w:sz w:val="18"/>
        </w:rPr>
        <w:tab/>
        <w:t xml:space="preserve">H. S. Youn, Y. S. Kim, Z. Y. Park, S. Y. Kim, N. Y. Choi, S. M. Joung, J. A. Seo, K.-M. Lim, M.-K. Kwak, D. H. Hwang and J. Y. Lee, </w:t>
      </w:r>
      <w:r w:rsidRPr="002C038F">
        <w:rPr>
          <w:rFonts w:ascii="Calibri" w:hAnsi="Calibri"/>
          <w:i/>
          <w:iCs/>
          <w:sz w:val="18"/>
        </w:rPr>
        <w:t>J. Immunol. Baltim. Md 1950</w:t>
      </w:r>
      <w:r w:rsidRPr="002C038F">
        <w:rPr>
          <w:rFonts w:ascii="Calibri" w:hAnsi="Calibri"/>
          <w:sz w:val="18"/>
        </w:rPr>
        <w:t xml:space="preserve">, 2010, </w:t>
      </w:r>
      <w:r w:rsidRPr="002C038F">
        <w:rPr>
          <w:rFonts w:ascii="Calibri" w:hAnsi="Calibri"/>
          <w:b/>
          <w:bCs/>
          <w:sz w:val="18"/>
        </w:rPr>
        <w:t>184</w:t>
      </w:r>
      <w:r w:rsidRPr="002C038F">
        <w:rPr>
          <w:rFonts w:ascii="Calibri" w:hAnsi="Calibri"/>
          <w:sz w:val="18"/>
        </w:rPr>
        <w:t>, 411–419.</w:t>
      </w:r>
    </w:p>
    <w:p w14:paraId="11D379E2" w14:textId="77777777" w:rsidR="002C038F" w:rsidRPr="002C038F" w:rsidRDefault="002C038F" w:rsidP="002C038F">
      <w:pPr>
        <w:pStyle w:val="Bibliography"/>
        <w:rPr>
          <w:rFonts w:ascii="Calibri" w:hAnsi="Calibri"/>
          <w:sz w:val="18"/>
        </w:rPr>
      </w:pPr>
      <w:r w:rsidRPr="002C038F">
        <w:rPr>
          <w:rFonts w:ascii="Calibri" w:hAnsi="Calibri"/>
          <w:sz w:val="18"/>
        </w:rPr>
        <w:t>23</w:t>
      </w:r>
      <w:r w:rsidRPr="002C038F">
        <w:rPr>
          <w:rFonts w:ascii="Calibri" w:hAnsi="Calibri"/>
          <w:sz w:val="18"/>
        </w:rPr>
        <w:tab/>
        <w:t xml:space="preserve">E. Heiss, C. Herhaus, K. Klimo, H. Bartsch and C. Gerhäuser, </w:t>
      </w:r>
      <w:r w:rsidRPr="002C038F">
        <w:rPr>
          <w:rFonts w:ascii="Calibri" w:hAnsi="Calibri"/>
          <w:i/>
          <w:iCs/>
          <w:sz w:val="18"/>
        </w:rPr>
        <w:t>J. Biol. Chem.</w:t>
      </w:r>
      <w:r w:rsidRPr="002C038F">
        <w:rPr>
          <w:rFonts w:ascii="Calibri" w:hAnsi="Calibri"/>
          <w:sz w:val="18"/>
        </w:rPr>
        <w:t xml:space="preserve">, 2001, </w:t>
      </w:r>
      <w:r w:rsidRPr="002C038F">
        <w:rPr>
          <w:rFonts w:ascii="Calibri" w:hAnsi="Calibri"/>
          <w:b/>
          <w:bCs/>
          <w:sz w:val="18"/>
        </w:rPr>
        <w:t>276</w:t>
      </w:r>
      <w:r w:rsidRPr="002C038F">
        <w:rPr>
          <w:rFonts w:ascii="Calibri" w:hAnsi="Calibri"/>
          <w:sz w:val="18"/>
        </w:rPr>
        <w:t>, 32008–32015.</w:t>
      </w:r>
    </w:p>
    <w:p w14:paraId="78F78381" w14:textId="77777777" w:rsidR="002C038F" w:rsidRPr="002C038F" w:rsidRDefault="002C038F" w:rsidP="002C038F">
      <w:pPr>
        <w:pStyle w:val="Bibliography"/>
        <w:rPr>
          <w:rFonts w:ascii="Calibri" w:hAnsi="Calibri"/>
          <w:sz w:val="18"/>
        </w:rPr>
      </w:pPr>
      <w:r w:rsidRPr="002C038F">
        <w:rPr>
          <w:rFonts w:ascii="Calibri" w:hAnsi="Calibri"/>
          <w:sz w:val="18"/>
        </w:rPr>
        <w:t>24</w:t>
      </w:r>
      <w:r w:rsidRPr="002C038F">
        <w:rPr>
          <w:rFonts w:ascii="Calibri" w:hAnsi="Calibri"/>
          <w:sz w:val="18"/>
        </w:rPr>
        <w:tab/>
        <w:t xml:space="preserve">S. K. Roy, R. K. Srivastava and S. Shankar, </w:t>
      </w:r>
      <w:r w:rsidRPr="002C038F">
        <w:rPr>
          <w:rFonts w:ascii="Calibri" w:hAnsi="Calibri"/>
          <w:i/>
          <w:iCs/>
          <w:sz w:val="18"/>
        </w:rPr>
        <w:t>J. Mol. Signal.</w:t>
      </w:r>
      <w:r w:rsidRPr="002C038F">
        <w:rPr>
          <w:rFonts w:ascii="Calibri" w:hAnsi="Calibri"/>
          <w:sz w:val="18"/>
        </w:rPr>
        <w:t xml:space="preserve">, 2010, </w:t>
      </w:r>
      <w:r w:rsidRPr="002C038F">
        <w:rPr>
          <w:rFonts w:ascii="Calibri" w:hAnsi="Calibri"/>
          <w:b/>
          <w:bCs/>
          <w:sz w:val="18"/>
        </w:rPr>
        <w:t>5</w:t>
      </w:r>
      <w:r w:rsidRPr="002C038F">
        <w:rPr>
          <w:rFonts w:ascii="Calibri" w:hAnsi="Calibri"/>
          <w:sz w:val="18"/>
        </w:rPr>
        <w:t>, 10.</w:t>
      </w:r>
    </w:p>
    <w:p w14:paraId="4A7CD2BD" w14:textId="77777777" w:rsidR="002C038F" w:rsidRPr="002C038F" w:rsidRDefault="002C038F" w:rsidP="002C038F">
      <w:pPr>
        <w:pStyle w:val="Bibliography"/>
        <w:rPr>
          <w:rFonts w:ascii="Calibri" w:hAnsi="Calibri"/>
          <w:sz w:val="18"/>
        </w:rPr>
      </w:pPr>
      <w:r w:rsidRPr="002C038F">
        <w:rPr>
          <w:rFonts w:ascii="Calibri" w:hAnsi="Calibri"/>
          <w:sz w:val="18"/>
        </w:rPr>
        <w:t>25</w:t>
      </w:r>
      <w:r w:rsidRPr="002C038F">
        <w:rPr>
          <w:rFonts w:ascii="Calibri" w:hAnsi="Calibri"/>
          <w:sz w:val="18"/>
        </w:rPr>
        <w:tab/>
        <w:t xml:space="preserve">S. Pinz, S. Unser and A. Rascle, </w:t>
      </w:r>
      <w:r w:rsidRPr="002C038F">
        <w:rPr>
          <w:rFonts w:ascii="Calibri" w:hAnsi="Calibri"/>
          <w:i/>
          <w:iCs/>
          <w:sz w:val="18"/>
        </w:rPr>
        <w:t>PLOS ONE</w:t>
      </w:r>
      <w:r w:rsidRPr="002C038F">
        <w:rPr>
          <w:rFonts w:ascii="Calibri" w:hAnsi="Calibri"/>
          <w:sz w:val="18"/>
        </w:rPr>
        <w:t xml:space="preserve">, 2014, </w:t>
      </w:r>
      <w:r w:rsidRPr="002C038F">
        <w:rPr>
          <w:rFonts w:ascii="Calibri" w:hAnsi="Calibri"/>
          <w:b/>
          <w:bCs/>
          <w:sz w:val="18"/>
        </w:rPr>
        <w:t>9</w:t>
      </w:r>
      <w:r w:rsidRPr="002C038F">
        <w:rPr>
          <w:rFonts w:ascii="Calibri" w:hAnsi="Calibri"/>
          <w:sz w:val="18"/>
        </w:rPr>
        <w:t>, e99391.</w:t>
      </w:r>
    </w:p>
    <w:p w14:paraId="31AD85A3" w14:textId="77777777" w:rsidR="002C038F" w:rsidRPr="002C038F" w:rsidRDefault="002C038F" w:rsidP="002C038F">
      <w:pPr>
        <w:pStyle w:val="Bibliography"/>
        <w:rPr>
          <w:rFonts w:ascii="Calibri" w:hAnsi="Calibri"/>
          <w:sz w:val="18"/>
        </w:rPr>
      </w:pPr>
      <w:r w:rsidRPr="002C038F">
        <w:rPr>
          <w:rFonts w:ascii="Calibri" w:hAnsi="Calibri"/>
          <w:sz w:val="18"/>
        </w:rPr>
        <w:t>26</w:t>
      </w:r>
      <w:r w:rsidRPr="002C038F">
        <w:rPr>
          <w:rFonts w:ascii="Calibri" w:hAnsi="Calibri"/>
          <w:sz w:val="18"/>
        </w:rPr>
        <w:tab/>
        <w:t xml:space="preserve">B. B. Aggarwal, G. Sethi, K. S. Ahn, S. K. Sandur, M. K. Pandey, A. B. Kunnumakkara, B. Sung and H. Ichikawa, </w:t>
      </w:r>
      <w:r w:rsidRPr="002C038F">
        <w:rPr>
          <w:rFonts w:ascii="Calibri" w:hAnsi="Calibri"/>
          <w:i/>
          <w:iCs/>
          <w:sz w:val="18"/>
        </w:rPr>
        <w:t>Ann. N. Y. Acad. Sci.</w:t>
      </w:r>
      <w:r w:rsidRPr="002C038F">
        <w:rPr>
          <w:rFonts w:ascii="Calibri" w:hAnsi="Calibri"/>
          <w:sz w:val="18"/>
        </w:rPr>
        <w:t xml:space="preserve">, 2006, </w:t>
      </w:r>
      <w:r w:rsidRPr="002C038F">
        <w:rPr>
          <w:rFonts w:ascii="Calibri" w:hAnsi="Calibri"/>
          <w:b/>
          <w:bCs/>
          <w:sz w:val="18"/>
        </w:rPr>
        <w:t>1091</w:t>
      </w:r>
      <w:r w:rsidRPr="002C038F">
        <w:rPr>
          <w:rFonts w:ascii="Calibri" w:hAnsi="Calibri"/>
          <w:sz w:val="18"/>
        </w:rPr>
        <w:t>, 151–169.</w:t>
      </w:r>
    </w:p>
    <w:p w14:paraId="68EC840C" w14:textId="77777777" w:rsidR="002C038F" w:rsidRPr="002C038F" w:rsidRDefault="002C038F" w:rsidP="002C038F">
      <w:pPr>
        <w:pStyle w:val="Bibliography"/>
        <w:rPr>
          <w:rFonts w:ascii="Calibri" w:hAnsi="Calibri"/>
          <w:sz w:val="18"/>
        </w:rPr>
      </w:pPr>
      <w:r w:rsidRPr="002C038F">
        <w:rPr>
          <w:rFonts w:ascii="Calibri" w:hAnsi="Calibri"/>
          <w:sz w:val="18"/>
        </w:rPr>
        <w:t>27</w:t>
      </w:r>
      <w:r w:rsidRPr="002C038F">
        <w:rPr>
          <w:rFonts w:ascii="Calibri" w:hAnsi="Calibri"/>
          <w:sz w:val="18"/>
        </w:rPr>
        <w:tab/>
        <w:t xml:space="preserve">E.-R. Hahm and S. V. Singh, </w:t>
      </w:r>
      <w:r w:rsidRPr="002C038F">
        <w:rPr>
          <w:rFonts w:ascii="Calibri" w:hAnsi="Calibri"/>
          <w:i/>
          <w:iCs/>
          <w:sz w:val="18"/>
        </w:rPr>
        <w:t>Cancer Prev. Res. Phila. Pa</w:t>
      </w:r>
      <w:r w:rsidRPr="002C038F">
        <w:rPr>
          <w:rFonts w:ascii="Calibri" w:hAnsi="Calibri"/>
          <w:sz w:val="18"/>
        </w:rPr>
        <w:t xml:space="preserve">, 2010, </w:t>
      </w:r>
      <w:r w:rsidRPr="002C038F">
        <w:rPr>
          <w:rFonts w:ascii="Calibri" w:hAnsi="Calibri"/>
          <w:b/>
          <w:bCs/>
          <w:sz w:val="18"/>
        </w:rPr>
        <w:t>3</w:t>
      </w:r>
      <w:r w:rsidRPr="002C038F">
        <w:rPr>
          <w:rFonts w:ascii="Calibri" w:hAnsi="Calibri"/>
          <w:sz w:val="18"/>
        </w:rPr>
        <w:t>, 484–494.</w:t>
      </w:r>
    </w:p>
    <w:p w14:paraId="5492A549" w14:textId="77777777" w:rsidR="002C038F" w:rsidRPr="002C038F" w:rsidRDefault="002C038F" w:rsidP="002C038F">
      <w:pPr>
        <w:pStyle w:val="Bibliography"/>
        <w:rPr>
          <w:rFonts w:ascii="Calibri" w:hAnsi="Calibri"/>
          <w:sz w:val="18"/>
        </w:rPr>
      </w:pPr>
      <w:r w:rsidRPr="002C038F">
        <w:rPr>
          <w:rFonts w:ascii="Calibri" w:hAnsi="Calibri"/>
          <w:sz w:val="18"/>
        </w:rPr>
        <w:t>28</w:t>
      </w:r>
      <w:r w:rsidRPr="002C038F">
        <w:rPr>
          <w:rFonts w:ascii="Calibri" w:hAnsi="Calibri"/>
          <w:sz w:val="18"/>
        </w:rPr>
        <w:tab/>
        <w:t xml:space="preserve">S. Wu, J. Huang, J. Dong and D. Pan, </w:t>
      </w:r>
      <w:r w:rsidRPr="002C038F">
        <w:rPr>
          <w:rFonts w:ascii="Calibri" w:hAnsi="Calibri"/>
          <w:i/>
          <w:iCs/>
          <w:sz w:val="18"/>
        </w:rPr>
        <w:t>Cell</w:t>
      </w:r>
      <w:r w:rsidRPr="002C038F">
        <w:rPr>
          <w:rFonts w:ascii="Calibri" w:hAnsi="Calibri"/>
          <w:sz w:val="18"/>
        </w:rPr>
        <w:t xml:space="preserve">, 2003, </w:t>
      </w:r>
      <w:r w:rsidRPr="002C038F">
        <w:rPr>
          <w:rFonts w:ascii="Calibri" w:hAnsi="Calibri"/>
          <w:b/>
          <w:bCs/>
          <w:sz w:val="18"/>
        </w:rPr>
        <w:t>114</w:t>
      </w:r>
      <w:r w:rsidRPr="002C038F">
        <w:rPr>
          <w:rFonts w:ascii="Calibri" w:hAnsi="Calibri"/>
          <w:sz w:val="18"/>
        </w:rPr>
        <w:t>, 445–456.</w:t>
      </w:r>
    </w:p>
    <w:p w14:paraId="18DBD510" w14:textId="77777777" w:rsidR="002C038F" w:rsidRPr="002C038F" w:rsidRDefault="002C038F" w:rsidP="002C038F">
      <w:pPr>
        <w:pStyle w:val="Bibliography"/>
        <w:rPr>
          <w:rFonts w:ascii="Calibri" w:hAnsi="Calibri"/>
          <w:sz w:val="18"/>
        </w:rPr>
      </w:pPr>
      <w:r w:rsidRPr="002C038F">
        <w:rPr>
          <w:rFonts w:ascii="Calibri" w:hAnsi="Calibri"/>
          <w:sz w:val="18"/>
        </w:rPr>
        <w:t>29</w:t>
      </w:r>
      <w:r w:rsidRPr="002C038F">
        <w:rPr>
          <w:rFonts w:ascii="Calibri" w:hAnsi="Calibri"/>
          <w:sz w:val="18"/>
        </w:rPr>
        <w:tab/>
        <w:t xml:space="preserve">D. Chaudhuri, S. Orsulic and B. T. Ashok, </w:t>
      </w:r>
      <w:r w:rsidRPr="002C038F">
        <w:rPr>
          <w:rFonts w:ascii="Calibri" w:hAnsi="Calibri"/>
          <w:i/>
          <w:iCs/>
          <w:sz w:val="18"/>
        </w:rPr>
        <w:t>Mol. Cancer Ther.</w:t>
      </w:r>
      <w:r w:rsidRPr="002C038F">
        <w:rPr>
          <w:rFonts w:ascii="Calibri" w:hAnsi="Calibri"/>
          <w:sz w:val="18"/>
        </w:rPr>
        <w:t xml:space="preserve">, 2007, </w:t>
      </w:r>
      <w:r w:rsidRPr="002C038F">
        <w:rPr>
          <w:rFonts w:ascii="Calibri" w:hAnsi="Calibri"/>
          <w:b/>
          <w:bCs/>
          <w:sz w:val="18"/>
        </w:rPr>
        <w:t>6</w:t>
      </w:r>
      <w:r w:rsidRPr="002C038F">
        <w:rPr>
          <w:rFonts w:ascii="Calibri" w:hAnsi="Calibri"/>
          <w:sz w:val="18"/>
        </w:rPr>
        <w:t>, 334–345.</w:t>
      </w:r>
    </w:p>
    <w:p w14:paraId="751F4B57" w14:textId="361D9F97" w:rsidR="009316A6" w:rsidRPr="001825E1" w:rsidRDefault="002C038F" w:rsidP="003E3593">
      <w:pPr>
        <w:pStyle w:val="Bibliography"/>
        <w:rPr>
          <w:sz w:val="18"/>
          <w:szCs w:val="18"/>
        </w:rPr>
      </w:pPr>
      <w:r w:rsidRPr="002C038F">
        <w:rPr>
          <w:rFonts w:ascii="Calibri" w:hAnsi="Calibri"/>
          <w:sz w:val="18"/>
        </w:rPr>
        <w:t>30</w:t>
      </w:r>
      <w:r w:rsidRPr="002C038F">
        <w:rPr>
          <w:rFonts w:ascii="Calibri" w:hAnsi="Calibri"/>
          <w:sz w:val="18"/>
        </w:rPr>
        <w:tab/>
        <w:t xml:space="preserve">T. A. Shapiro, J. W. Fahey, A. T. Dinkova-Kostova, W. D. Holtzclaw, K. K. Stephenson, K. L. Wade, L. Ye and P. Talalay, </w:t>
      </w:r>
      <w:r w:rsidRPr="002C038F">
        <w:rPr>
          <w:rFonts w:ascii="Calibri" w:hAnsi="Calibri"/>
          <w:i/>
          <w:iCs/>
          <w:sz w:val="18"/>
        </w:rPr>
        <w:t>Nutr. Cancer</w:t>
      </w:r>
      <w:r w:rsidRPr="002C038F">
        <w:rPr>
          <w:rFonts w:ascii="Calibri" w:hAnsi="Calibri"/>
          <w:sz w:val="18"/>
        </w:rPr>
        <w:t xml:space="preserve">, 2006, </w:t>
      </w:r>
      <w:r w:rsidRPr="002C038F">
        <w:rPr>
          <w:rFonts w:ascii="Calibri" w:hAnsi="Calibri"/>
          <w:b/>
          <w:bCs/>
          <w:sz w:val="18"/>
        </w:rPr>
        <w:t>55</w:t>
      </w:r>
      <w:r w:rsidRPr="002C038F">
        <w:rPr>
          <w:rFonts w:ascii="Calibri" w:hAnsi="Calibri"/>
          <w:sz w:val="18"/>
        </w:rPr>
        <w:t>, 53–62.</w:t>
      </w:r>
      <w:r w:rsidR="004418E8" w:rsidRPr="000238FD">
        <w:rPr>
          <w:sz w:val="18"/>
          <w:szCs w:val="18"/>
        </w:rPr>
        <w:fldChar w:fldCharType="end"/>
      </w:r>
    </w:p>
    <w:sectPr w:rsidR="009316A6" w:rsidRPr="001825E1" w:rsidSect="00950176">
      <w:headerReference w:type="first" r:id="rId19"/>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B0EC70" w14:textId="77777777" w:rsidR="00B31AF1" w:rsidRDefault="00B31AF1" w:rsidP="00E547DB">
      <w:pPr>
        <w:spacing w:after="0" w:line="240" w:lineRule="auto"/>
      </w:pPr>
      <w:r>
        <w:separator/>
      </w:r>
    </w:p>
    <w:p w14:paraId="4C6B33BE" w14:textId="77777777" w:rsidR="00B31AF1" w:rsidRDefault="00B31AF1"/>
    <w:p w14:paraId="47ACDC8F" w14:textId="77777777" w:rsidR="00B31AF1" w:rsidRDefault="00B31AF1"/>
    <w:p w14:paraId="4D96404D" w14:textId="77777777" w:rsidR="00B31AF1" w:rsidRDefault="00B31AF1"/>
    <w:p w14:paraId="182DA876" w14:textId="77777777" w:rsidR="00B31AF1" w:rsidRDefault="00B31AF1"/>
    <w:p w14:paraId="2AA46C38" w14:textId="77777777" w:rsidR="00B31AF1" w:rsidRDefault="00B31AF1"/>
  </w:endnote>
  <w:endnote w:type="continuationSeparator" w:id="0">
    <w:p w14:paraId="07F75B3D" w14:textId="77777777" w:rsidR="00B31AF1" w:rsidRDefault="00B31AF1" w:rsidP="00E547DB">
      <w:pPr>
        <w:spacing w:after="0" w:line="240" w:lineRule="auto"/>
      </w:pPr>
      <w:r>
        <w:continuationSeparator/>
      </w:r>
    </w:p>
    <w:p w14:paraId="3773E464" w14:textId="77777777" w:rsidR="00B31AF1" w:rsidRDefault="00B31AF1"/>
    <w:p w14:paraId="740D9C44" w14:textId="77777777" w:rsidR="00B31AF1" w:rsidRDefault="00B31AF1"/>
    <w:p w14:paraId="4930CD52" w14:textId="77777777" w:rsidR="00B31AF1" w:rsidRDefault="00B31AF1"/>
    <w:p w14:paraId="70419CED" w14:textId="77777777" w:rsidR="00B31AF1" w:rsidRDefault="00B31AF1"/>
    <w:p w14:paraId="202E1DA5" w14:textId="77777777" w:rsidR="00B31AF1" w:rsidRDefault="00B31A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1" w:fontKey="{43E4E366-65FB-414A-8181-B185777B7900}"/>
    <w:embedBold r:id="rId2" w:fontKey="{89BE6752-AA7C-4C24-BF80-032DF0298854}"/>
    <w:embedItalic r:id="rId3" w:fontKey="{5B430DFD-E0C2-44F9-AF39-EF8B1792BEA8}"/>
  </w:font>
  <w:font w:name="Tahoma">
    <w:panose1 w:val="020B0604030504040204"/>
    <w:charset w:val="00"/>
    <w:family w:val="swiss"/>
    <w:pitch w:val="variable"/>
    <w:sig w:usb0="E1002EFF" w:usb1="C000605B" w:usb2="00000029" w:usb3="00000000" w:csb0="000101FF" w:csb1="00000000"/>
    <w:embedRegular r:id="rId4" w:fontKey="{069E676D-70CF-4893-AE59-FA43BA2E7AC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5" w:fontKey="{340098C1-98FF-4F4B-9A5D-AAAEE3965A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12649" w14:textId="6027BAFF" w:rsidR="00B31AF1" w:rsidRPr="006602F1" w:rsidRDefault="00B31AF1" w:rsidP="00D45ADF">
    <w:pPr>
      <w:pStyle w:val="Footer"/>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BC1285">
      <w:rPr>
        <w:b/>
        <w:noProof/>
        <w:spacing w:val="10"/>
        <w:sz w:val="16"/>
        <w:szCs w:val="16"/>
      </w:rPr>
      <w:t>2</w:t>
    </w:r>
    <w:r w:rsidRPr="006602F1">
      <w:rPr>
        <w:b/>
        <w:noProof/>
        <w:spacing w:val="10"/>
        <w:sz w:val="16"/>
        <w:szCs w:val="16"/>
      </w:rPr>
      <w:fldChar w:fldCharType="end"/>
    </w:r>
    <w:r w:rsidRPr="006602F1">
      <w:rPr>
        <w:noProof/>
        <w:spacing w:val="10"/>
        <w:sz w:val="16"/>
        <w:szCs w:val="16"/>
      </w:rPr>
      <w:t xml:space="preserve"> | </w:t>
    </w:r>
    <w:r>
      <w:rPr>
        <w:i/>
        <w:noProof/>
        <w:spacing w:val="10"/>
        <w:sz w:val="16"/>
        <w:szCs w:val="16"/>
      </w:rPr>
      <w:t>J</w:t>
    </w:r>
    <w:r w:rsidRPr="006602F1">
      <w:rPr>
        <w:i/>
        <w:noProof/>
        <w:spacing w:val="10"/>
        <w:sz w:val="16"/>
        <w:szCs w:val="16"/>
      </w:rPr>
      <w:t xml:space="preserve">. </w:t>
    </w:r>
    <w:r>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Pr="006602F1">
      <w:rPr>
        <w:noProof/>
        <w:spacing w:val="10"/>
        <w:sz w:val="16"/>
        <w:szCs w:val="16"/>
      </w:rPr>
      <w:tab/>
    </w: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 Royal Society of Chemistry 20</w:t>
    </w:r>
    <w:r>
      <w:rPr>
        <w:noProof/>
        <w:spacing w:val="2"/>
        <w:sz w:val="16"/>
        <w:szCs w:val="16"/>
      </w:rPr>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D1888C" w14:textId="2F2F3EB6" w:rsidR="00B31AF1" w:rsidRPr="006602F1" w:rsidRDefault="00B31AF1" w:rsidP="00D45ADF">
    <w:pPr>
      <w:pStyle w:val="Footer"/>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BC1285">
      <w:rPr>
        <w:b/>
        <w:noProof/>
        <w:spacing w:val="10"/>
        <w:sz w:val="16"/>
        <w:szCs w:val="16"/>
      </w:rPr>
      <w:t>3</w:t>
    </w:r>
    <w:r w:rsidRPr="008C1387">
      <w:rPr>
        <w:b/>
        <w:noProof/>
        <w:spacing w:val="1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32FF8" w14:textId="2428F98C" w:rsidR="00B31AF1" w:rsidRPr="006602F1" w:rsidRDefault="00B31AF1" w:rsidP="00D45ADF">
    <w:pPr>
      <w:pStyle w:val="Footer"/>
      <w:tabs>
        <w:tab w:val="clear" w:pos="4513"/>
        <w:tab w:val="clear" w:pos="9026"/>
        <w:tab w:val="right" w:pos="10206"/>
      </w:tabs>
      <w:spacing w:before="480"/>
      <w:rPr>
        <w:sz w:val="16"/>
        <w:szCs w:val="16"/>
      </w:rPr>
    </w:pPr>
    <w:r>
      <w:rPr>
        <w:noProof/>
        <w:lang w:eastAsia="en-GB"/>
      </w:rPr>
      <mc:AlternateContent>
        <mc:Choice Requires="wps">
          <w:drawing>
            <wp:anchor distT="0" distB="0" distL="114300" distR="114300" simplePos="0" relativeHeight="251656192" behindDoc="0" locked="0" layoutInCell="1" allowOverlap="1" wp14:anchorId="3ED0343B" wp14:editId="54708A1B">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1A620F25" w14:textId="77777777" w:rsidR="00B31AF1" w:rsidRPr="00F20A7C" w:rsidRDefault="00B31AF1"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ED0343B" id="_x0000_t202" coordsize="21600,21600" o:spt="202" path="m,l,21600r21600,l21600,xe">
              <v:stroke joinstyle="miter"/>
              <v:path gradientshapeok="t" o:connecttype="rect"/>
            </v:shapetype>
            <v:shape id="_x0000_s1032" type="#_x0000_t202" style="position:absolute;margin-left:0;margin-top:0;width:606.35pt;height:31.2pt;z-index:251656192;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7UbuWDECAABHBAAADgAAAAAAAAAAAAAAAAAuAgAA&#10;ZHJzL2Uyb0RvYy54bWxQSwECLQAUAAYACAAAACEA/zb6gNwAAAAFAQAADwAAAAAAAAAAAAAAAACL&#10;BAAAZHJzL2Rvd25yZXYueG1sUEsFBgAAAAAEAAQA8wAAAJQFAAAAAA==&#10;" fillcolor="#a5a5a5 [2092]" stroked="f">
              <v:textbox>
                <w:txbxContent>
                  <w:p w14:paraId="1A620F25" w14:textId="77777777" w:rsidR="00B31AF1" w:rsidRPr="00F20A7C" w:rsidRDefault="00B31AF1"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Pr="002C0803">
      <w:rPr>
        <w:noProof/>
        <w:spacing w:val="2"/>
        <w:sz w:val="16"/>
        <w:szCs w:val="16"/>
      </w:rPr>
      <w:t xml:space="preserve">This journal is </w:t>
    </w:r>
    <w:r w:rsidRPr="002C0803">
      <w:rPr>
        <w:rFonts w:cstheme="minorHAnsi"/>
        <w:noProof/>
        <w:spacing w:val="2"/>
        <w:sz w:val="16"/>
        <w:szCs w:val="16"/>
      </w:rPr>
      <w:t>©</w:t>
    </w:r>
    <w:r w:rsidRPr="002C0803">
      <w:rPr>
        <w:noProof/>
        <w:spacing w:val="2"/>
        <w:sz w:val="16"/>
        <w:szCs w:val="16"/>
      </w:rPr>
      <w:t xml:space="preserve"> The</w:t>
    </w:r>
    <w:r>
      <w:rPr>
        <w:noProof/>
        <w:spacing w:val="2"/>
        <w:sz w:val="16"/>
        <w:szCs w:val="16"/>
      </w:rPr>
      <w:t xml:space="preserve"> Royal Society of Chemistry 20xx</w:t>
    </w:r>
    <w:r w:rsidRPr="006602F1">
      <w:rPr>
        <w:i/>
        <w:noProof/>
        <w:sz w:val="16"/>
        <w:szCs w:val="16"/>
      </w:rPr>
      <w:tab/>
    </w:r>
    <w:r>
      <w:rPr>
        <w:i/>
        <w:noProof/>
        <w:spacing w:val="10"/>
        <w:sz w:val="16"/>
        <w:szCs w:val="16"/>
      </w:rPr>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BC1285">
      <w:rPr>
        <w:b/>
        <w:noProof/>
        <w:spacing w:val="10"/>
        <w:sz w:val="16"/>
        <w:szCs w:val="16"/>
      </w:rPr>
      <w:t>1</w:t>
    </w:r>
    <w:r w:rsidRPr="008C1387">
      <w:rPr>
        <w:b/>
        <w:noProof/>
        <w:spacing w:val="10"/>
        <w:sz w:val="16"/>
        <w:szCs w:val="16"/>
      </w:rPr>
      <w:fldChar w:fldCharType="end"/>
    </w:r>
    <w:r w:rsidRPr="00CC2E25">
      <w:rPr>
        <w:noProof/>
        <w:spacing w:val="2"/>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E44062" w14:textId="77777777" w:rsidR="00B31AF1" w:rsidRDefault="00B31AF1" w:rsidP="00E547DB">
      <w:pPr>
        <w:spacing w:after="0" w:line="240" w:lineRule="auto"/>
      </w:pPr>
      <w:r>
        <w:separator/>
      </w:r>
    </w:p>
    <w:p w14:paraId="3386AE9E" w14:textId="77777777" w:rsidR="00B31AF1" w:rsidRDefault="00B31AF1"/>
    <w:p w14:paraId="50E5B405" w14:textId="77777777" w:rsidR="00B31AF1" w:rsidRDefault="00B31AF1"/>
    <w:p w14:paraId="17380EBE" w14:textId="77777777" w:rsidR="00B31AF1" w:rsidRDefault="00B31AF1"/>
    <w:p w14:paraId="5C9A4A37" w14:textId="77777777" w:rsidR="00B31AF1" w:rsidRDefault="00B31AF1"/>
    <w:p w14:paraId="261E0CDA" w14:textId="77777777" w:rsidR="00B31AF1" w:rsidRDefault="00B31AF1"/>
  </w:footnote>
  <w:footnote w:type="continuationSeparator" w:id="0">
    <w:p w14:paraId="4C58CCFC" w14:textId="77777777" w:rsidR="00B31AF1" w:rsidRDefault="00B31AF1" w:rsidP="00E547DB">
      <w:pPr>
        <w:spacing w:after="0" w:line="240" w:lineRule="auto"/>
      </w:pPr>
      <w:r>
        <w:continuationSeparator/>
      </w:r>
    </w:p>
    <w:p w14:paraId="05BCC035" w14:textId="77777777" w:rsidR="00B31AF1" w:rsidRDefault="00B31AF1"/>
    <w:p w14:paraId="352670DE" w14:textId="77777777" w:rsidR="00B31AF1" w:rsidRDefault="00B31AF1"/>
    <w:p w14:paraId="1EC4D6A8" w14:textId="77777777" w:rsidR="00B31AF1" w:rsidRDefault="00B31AF1"/>
    <w:p w14:paraId="006BB4FD" w14:textId="77777777" w:rsidR="00B31AF1" w:rsidRDefault="00B31AF1"/>
    <w:p w14:paraId="3F0B0C1A" w14:textId="77777777" w:rsidR="00B31AF1" w:rsidRDefault="00B31AF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E2C59" w14:textId="77777777" w:rsidR="00B31AF1" w:rsidRPr="00E70DCE" w:rsidRDefault="00B31AF1" w:rsidP="00D45ADF">
    <w:pPr>
      <w:pStyle w:val="Header"/>
      <w:tabs>
        <w:tab w:val="clear" w:pos="4513"/>
        <w:tab w:val="clear" w:pos="9026"/>
        <w:tab w:val="right" w:pos="10206"/>
      </w:tabs>
      <w:spacing w:after="240"/>
      <w:rPr>
        <w:rFonts w:cstheme="minorHAnsi"/>
        <w:color w:val="999999"/>
        <w:sz w:val="20"/>
        <w:szCs w:val="20"/>
      </w:rPr>
    </w:pPr>
    <w:r w:rsidRPr="00E70DCE">
      <w:rPr>
        <w:rFonts w:cstheme="minorHAnsi"/>
        <w:b/>
        <w:color w:val="999999"/>
        <w:sz w:val="20"/>
        <w:szCs w:val="20"/>
      </w:rPr>
      <w:t>COMMUNICATION</w:t>
    </w:r>
    <w:r>
      <w:rPr>
        <w:noProof/>
        <w:lang w:eastAsia="en-GB"/>
      </w:rPr>
      <mc:AlternateContent>
        <mc:Choice Requires="wps">
          <w:drawing>
            <wp:anchor distT="0" distB="0" distL="114300" distR="114300" simplePos="0" relativeHeight="251658240" behindDoc="0" locked="0" layoutInCell="1" allowOverlap="1" wp14:anchorId="44073756" wp14:editId="63E2AAD1">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736A432"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4073756" id="_x0000_t202" coordsize="21600,21600" o:spt="202" path="m,l,21600r21600,l21600,xe">
              <v:stroke joinstyle="miter"/>
              <v:path gradientshapeok="t" o:connecttype="rect"/>
            </v:shapetype>
            <v:shape id="_x0000_s1027" type="#_x0000_t202" style="position:absolute;margin-left:0;margin-top:0;width:606.35pt;height:31.2pt;z-index:25165824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" fillcolor="#a5a5a5 [2092]" stroked="f">
              <v:textbox>
                <w:txbxContent>
                  <w:p w14:paraId="2736A432"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eastAsia="en-GB"/>
      </w:rPr>
      <mc:AlternateContent>
        <mc:Choice Requires="wps">
          <w:drawing>
            <wp:anchor distT="0" distB="0" distL="114300" distR="114300" simplePos="0" relativeHeight="251657216" behindDoc="0" locked="0" layoutInCell="1" allowOverlap="1" wp14:anchorId="09C00632" wp14:editId="26BA5FB7">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72D7DB67"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9C00632" id="_x0000_s1028" type="#_x0000_t202" style="position:absolute;margin-left:0;margin-top:0;width:606.35pt;height:31.2pt;z-index:25165721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YiQ2qjECAABHBAAADgAAAAAAAAAAAAAAAAAuAgAA&#10;ZHJzL2Uyb0RvYy54bWxQSwECLQAUAAYACAAAACEA/zb6gNwAAAAFAQAADwAAAAAAAAAAAAAAAACL&#10;BAAAZHJzL2Rvd25yZXYueG1sUEsFBgAAAAAEAAQA8wAAAJQFAAAAAA==&#10;" fillcolor="#a5a5a5 [2092]" stroked="f">
              <v:textbox>
                <w:txbxContent>
                  <w:p w14:paraId="72D7DB67"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Pr="00E70DCE">
      <w:rPr>
        <w:rFonts w:cstheme="minorHAnsi"/>
        <w:color w:val="999999"/>
        <w:sz w:val="20"/>
        <w:szCs w:val="20"/>
      </w:rPr>
      <w:tab/>
    </w:r>
    <w:r>
      <w:rPr>
        <w:rFonts w:cstheme="minorHAnsi"/>
        <w:b/>
        <w:color w:val="999999"/>
        <w:sz w:val="20"/>
        <w:szCs w:val="20"/>
      </w:rPr>
      <w:t>Journal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2C22B" w14:textId="77777777" w:rsidR="00B31AF1" w:rsidRPr="009316A6" w:rsidRDefault="00B31AF1" w:rsidP="00D45ADF">
    <w:pPr>
      <w:pStyle w:val="Header"/>
      <w:tabs>
        <w:tab w:val="clear" w:pos="4513"/>
        <w:tab w:val="clear" w:pos="9026"/>
        <w:tab w:val="right" w:pos="10206"/>
      </w:tabs>
      <w:spacing w:after="240"/>
      <w:rPr>
        <w:rFonts w:cstheme="minorHAnsi"/>
        <w:b/>
        <w:color w:val="999999"/>
        <w:sz w:val="20"/>
        <w:szCs w:val="20"/>
      </w:rPr>
    </w:pPr>
    <w:r>
      <w:rPr>
        <w:noProof/>
        <w:lang w:eastAsia="en-GB"/>
      </w:rPr>
      <mc:AlternateContent>
        <mc:Choice Requires="wps">
          <w:drawing>
            <wp:anchor distT="0" distB="0" distL="114300" distR="114300" simplePos="0" relativeHeight="251660288" behindDoc="0" locked="0" layoutInCell="1" allowOverlap="1" wp14:anchorId="56F6C81F" wp14:editId="54682287">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1AC3A403"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6F6C81F" id="_x0000_t202" coordsize="21600,21600" o:spt="202" path="m,l,21600r21600,l21600,xe">
              <v:stroke joinstyle="miter"/>
              <v:path gradientshapeok="t" o:connecttype="rect"/>
            </v:shapetype>
            <v:shape id="_x0000_s1029" type="#_x0000_t202" style="position:absolute;margin-left:0;margin-top:0;width:606.35pt;height:31.45pt;z-index:251660288;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NnScb4yAgAARwQAAA4AAAAAAAAAAAAAAAAALgIA&#10;AGRycy9lMm9Eb2MueG1sUEsBAi0AFAAGAAgAAAAhAMCm0bfcAAAABQEAAA8AAAAAAAAAAAAAAAAA&#10;jAQAAGRycy9kb3ducmV2LnhtbFBLBQYAAAAABAAEAPMAAACVBQAAAAA=&#10;" fillcolor="#a5a5a5 [2092]" stroked="f">
              <v:textbox>
                <w:txbxContent>
                  <w:p w14:paraId="1AC3A403"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Journal Name</w:t>
    </w:r>
    <w:r>
      <w:rPr>
        <w:noProof/>
        <w:lang w:eastAsia="en-GB"/>
      </w:rPr>
      <mc:AlternateContent>
        <mc:Choice Requires="wps">
          <w:drawing>
            <wp:anchor distT="0" distB="0" distL="114300" distR="114300" simplePos="0" relativeHeight="251659264" behindDoc="0" locked="0" layoutInCell="1" allowOverlap="1" wp14:anchorId="3A018A02" wp14:editId="681836F5">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31E4025C"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A018A02" id="_x0000_s1030" type="#_x0000_t202" style="position:absolute;margin-left:0;margin-top:0;width:606.35pt;height:33.45pt;z-index:251659264;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" fillcolor="#a5a5a5 [2092]" stroked="f">
              <v:textbox>
                <w:txbxContent>
                  <w:p w14:paraId="31E4025C"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ptab w:relativeTo="margin" w:alignment="right" w:leader="none"/>
    </w:r>
    <w:r w:rsidRPr="00E46BDF">
      <w:rPr>
        <w:rFonts w:cstheme="minorHAnsi"/>
        <w:b/>
        <w:color w:val="999999"/>
        <w:sz w:val="20"/>
        <w:szCs w:val="20"/>
      </w:rPr>
      <w:t xml:space="preserve"> </w:t>
    </w:r>
    <w:r w:rsidRPr="00E70DCE">
      <w:rPr>
        <w:rFonts w:cstheme="minorHAnsi"/>
        <w:b/>
        <w:color w:val="999999"/>
        <w:sz w:val="20"/>
        <w:szCs w:val="20"/>
      </w:rPr>
      <w:t>COMMUNICATION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007FA" w14:textId="77777777" w:rsidR="00B31AF1" w:rsidRDefault="00B31AF1" w:rsidP="00180ABE">
    <w:pPr>
      <w:pStyle w:val="Header"/>
      <w:shd w:val="clear" w:color="auto" w:fill="FFFFFF" w:themeFill="background1"/>
      <w:tabs>
        <w:tab w:val="clear" w:pos="4513"/>
        <w:tab w:val="clear" w:pos="9026"/>
        <w:tab w:val="right" w:pos="10205"/>
      </w:tabs>
      <w:spacing w:after="240"/>
      <w:rPr>
        <w:b/>
        <w:sz w:val="32"/>
        <w:szCs w:val="32"/>
      </w:rPr>
    </w:pPr>
    <w:r>
      <w:rPr>
        <w:noProof/>
        <w:lang w:eastAsia="en-GB"/>
      </w:rPr>
      <mc:AlternateContent>
        <mc:Choice Requires="wps">
          <w:drawing>
            <wp:anchor distT="0" distB="0" distL="114300" distR="114300" simplePos="0" relativeHeight="251664384" behindDoc="0" locked="0" layoutInCell="1" allowOverlap="1" wp14:anchorId="040132BE" wp14:editId="3D045F6B">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638A7225"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40132BE" id="_x0000_t202" coordsize="21600,21600" o:spt="202" path="m,l,21600r21600,l21600,xe">
              <v:stroke joinstyle="miter"/>
              <v:path gradientshapeok="t" o:connecttype="rect"/>
            </v:shapetype>
            <v:shape id="_x0000_s1031" type="#_x0000_t202" style="position:absolute;margin-left:0;margin-top:0;width:606.35pt;height:31.45pt;z-index:251664384;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K9ZzlsyAgAARwQAAA4AAAAAAAAAAAAAAAAALgIA&#10;AGRycy9lMm9Eb2MueG1sUEsBAi0AFAAGAAgAAAAhAMCm0bfcAAAABQEAAA8AAAAAAAAAAAAAAAAA&#10;jAQAAGRycy9kb3ducmV2LnhtbFBLBQYAAAAABAAEAPMAAACVBQAAAAA=&#10;" fillcolor="#a5a5a5 [2092]" stroked="f">
              <v:textbox>
                <w:txbxContent>
                  <w:p w14:paraId="638A7225"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ChemComm</w:t>
    </w:r>
    <w:r>
      <w:rPr>
        <w:b/>
        <w:sz w:val="32"/>
        <w:szCs w:val="32"/>
      </w:rPr>
      <w:tab/>
    </w:r>
    <w:r>
      <w:rPr>
        <w:b/>
        <w:noProof/>
        <w:sz w:val="32"/>
        <w:szCs w:val="32"/>
        <w:lang w:eastAsia="en-GB"/>
      </w:rPr>
      <w:drawing>
        <wp:inline distT="0" distB="0" distL="0" distR="0" wp14:anchorId="6BCD4EC8" wp14:editId="3E54305D">
          <wp:extent cx="972312" cy="64922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14:paraId="4BCEE83F" w14:textId="77777777" w:rsidR="00B31AF1" w:rsidRPr="00180ABE" w:rsidRDefault="00B31AF1" w:rsidP="006A7C9F">
    <w:pPr>
      <w:pStyle w:val="Header"/>
      <w:pBdr>
        <w:top w:val="single" w:sz="4" w:space="9" w:color="9CB8C7"/>
        <w:left w:val="single" w:sz="4" w:space="6" w:color="9CB8C7"/>
        <w:bottom w:val="single" w:sz="4" w:space="9" w:color="9CB8C7"/>
        <w:right w:val="single" w:sz="4" w:space="6" w:color="9CB8C7"/>
      </w:pBdr>
      <w:shd w:val="clear" w:color="auto" w:fill="9CB8C7"/>
      <w:tabs>
        <w:tab w:val="clear" w:pos="4513"/>
        <w:tab w:val="clear" w:pos="9026"/>
        <w:tab w:val="left" w:pos="3589"/>
      </w:tabs>
      <w:spacing w:after="240"/>
      <w:ind w:left="170" w:right="170"/>
      <w:rPr>
        <w:rFonts w:cstheme="minorHAnsi"/>
        <w:color w:val="FFFFFF" w:themeColor="background1"/>
        <w:sz w:val="32"/>
        <w:szCs w:val="32"/>
      </w:rPr>
    </w:pPr>
    <w:r w:rsidRPr="00180ABE">
      <w:rPr>
        <w:rFonts w:cstheme="minorHAnsi"/>
        <w:color w:val="FFFFFF" w:themeColor="background1"/>
        <w:sz w:val="32"/>
        <w:szCs w:val="32"/>
      </w:rPr>
      <w:t>COMMUNICATION</w:t>
    </w:r>
    <w:r>
      <w:rPr>
        <w:rFonts w:cstheme="minorHAnsi"/>
        <w:color w:val="FFFFFF" w:themeColor="background1"/>
        <w:sz w:val="32"/>
        <w:szCs w:val="32"/>
      </w:rPr>
      <w:tab/>
    </w:r>
  </w:p>
  <w:p w14:paraId="5BB09E57" w14:textId="77777777" w:rsidR="00B31AF1" w:rsidRDefault="00B31AF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754BF" w14:textId="77777777" w:rsidR="00B31AF1" w:rsidRDefault="00B31AF1" w:rsidP="00180ABE">
    <w:pPr>
      <w:pStyle w:val="Header"/>
      <w:shd w:val="clear" w:color="auto" w:fill="FFFFFF" w:themeFill="background1"/>
      <w:tabs>
        <w:tab w:val="clear" w:pos="4513"/>
        <w:tab w:val="clear" w:pos="9026"/>
        <w:tab w:val="right" w:pos="10205"/>
      </w:tabs>
      <w:spacing w:after="240"/>
      <w:rPr>
        <w:b/>
        <w:sz w:val="32"/>
        <w:szCs w:val="32"/>
      </w:rPr>
    </w:pPr>
    <w:r>
      <w:rPr>
        <w:noProof/>
        <w:lang w:eastAsia="en-GB"/>
      </w:rPr>
      <mc:AlternateContent>
        <mc:Choice Requires="wps">
          <w:drawing>
            <wp:anchor distT="0" distB="0" distL="114300" distR="114300" simplePos="0" relativeHeight="251670528" behindDoc="0" locked="0" layoutInCell="1" allowOverlap="1" wp14:anchorId="7C6F235E" wp14:editId="4EACCD20">
              <wp:simplePos x="0" y="0"/>
              <wp:positionH relativeFrom="column">
                <wp:align>center</wp:align>
              </wp:positionH>
              <wp:positionV relativeFrom="page">
                <wp:align>top</wp:align>
              </wp:positionV>
              <wp:extent cx="7700400" cy="399600"/>
              <wp:effectExtent l="0" t="0" r="0" b="63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76EF49AE"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C6F235E" id="_x0000_t202" coordsize="21600,21600" o:spt="202" path="m,l,21600r21600,l21600,xe">
              <v:stroke joinstyle="miter"/>
              <v:path gradientshapeok="t" o:connecttype="rect"/>
            </v:shapetype>
            <v:shape id="_x0000_s1033" type="#_x0000_t202" style="position:absolute;margin-left:0;margin-top:0;width:606.35pt;height:31.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" fillcolor="#a5a5a5 [2092]" stroked="f">
              <v:textbox>
                <w:txbxContent>
                  <w:p w14:paraId="76EF49AE" w14:textId="77777777" w:rsidR="00B31AF1" w:rsidRPr="00F20A7C" w:rsidRDefault="00B31AF1"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ChemComm</w:t>
    </w:r>
    <w:r>
      <w:rPr>
        <w:b/>
        <w:sz w:val="32"/>
        <w:szCs w:val="32"/>
      </w:rPr>
      <w:tab/>
    </w:r>
    <w:r>
      <w:rPr>
        <w:b/>
        <w:noProof/>
        <w:sz w:val="32"/>
        <w:szCs w:val="32"/>
        <w:lang w:eastAsia="en-GB"/>
      </w:rPr>
      <w:drawing>
        <wp:inline distT="0" distB="0" distL="0" distR="0" wp14:anchorId="564627C1" wp14:editId="5C6FFCDD">
          <wp:extent cx="972312" cy="64922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14:paraId="35EAE5B3" w14:textId="77777777" w:rsidR="00B31AF1" w:rsidRPr="00180ABE" w:rsidRDefault="00B31AF1" w:rsidP="006A7C9F">
    <w:pPr>
      <w:pStyle w:val="Header"/>
      <w:pBdr>
        <w:top w:val="single" w:sz="4" w:space="9" w:color="9CB8C7"/>
        <w:left w:val="single" w:sz="4" w:space="6" w:color="9CB8C7"/>
        <w:bottom w:val="single" w:sz="4" w:space="9" w:color="9CB8C7"/>
        <w:right w:val="single" w:sz="4" w:space="6" w:color="9CB8C7"/>
      </w:pBdr>
      <w:shd w:val="clear" w:color="auto" w:fill="9CB8C7"/>
      <w:tabs>
        <w:tab w:val="clear" w:pos="4513"/>
        <w:tab w:val="clear" w:pos="9026"/>
        <w:tab w:val="left" w:pos="3589"/>
      </w:tabs>
      <w:spacing w:after="240"/>
      <w:ind w:left="170" w:right="170"/>
      <w:rPr>
        <w:rFonts w:cstheme="minorHAnsi"/>
        <w:color w:val="FFFFFF" w:themeColor="background1"/>
        <w:sz w:val="32"/>
        <w:szCs w:val="32"/>
      </w:rPr>
    </w:pPr>
    <w:r w:rsidRPr="00180ABE">
      <w:rPr>
        <w:rFonts w:cstheme="minorHAnsi"/>
        <w:color w:val="FFFFFF" w:themeColor="background1"/>
        <w:sz w:val="32"/>
        <w:szCs w:val="32"/>
      </w:rPr>
      <w:t>COMMUNICATION</w:t>
    </w:r>
    <w:r>
      <w:rPr>
        <w:rFonts w:cstheme="minorHAnsi"/>
        <w:color w:val="FFFFFF" w:themeColor="background1"/>
        <w:sz w:val="32"/>
        <w:szCs w:val="32"/>
      </w:rPr>
      <w:tab/>
    </w:r>
  </w:p>
  <w:p w14:paraId="0F7AD45B" w14:textId="77777777" w:rsidR="00B31AF1" w:rsidRDefault="00B31AF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grammar="clean"/>
  <w:attachedTemplate r:id="rId1"/>
  <w:stylePaneSortMethod w:val="0000"/>
  <w:defaultTabStop w:val="284"/>
  <w:evenAndOddHeaders/>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616"/>
    <w:rsid w:val="00003D22"/>
    <w:rsid w:val="00005B8A"/>
    <w:rsid w:val="000207B6"/>
    <w:rsid w:val="00022D8A"/>
    <w:rsid w:val="000238FD"/>
    <w:rsid w:val="00035B10"/>
    <w:rsid w:val="00044E5B"/>
    <w:rsid w:val="000622D1"/>
    <w:rsid w:val="00071E41"/>
    <w:rsid w:val="00073639"/>
    <w:rsid w:val="00090324"/>
    <w:rsid w:val="00095AEF"/>
    <w:rsid w:val="000A2670"/>
    <w:rsid w:val="000A30D6"/>
    <w:rsid w:val="000C0A9D"/>
    <w:rsid w:val="000D1F34"/>
    <w:rsid w:val="000D2FAC"/>
    <w:rsid w:val="000D5891"/>
    <w:rsid w:val="000D67F8"/>
    <w:rsid w:val="000D6963"/>
    <w:rsid w:val="000E4609"/>
    <w:rsid w:val="000E7A32"/>
    <w:rsid w:val="000F0959"/>
    <w:rsid w:val="000F3A41"/>
    <w:rsid w:val="001036C8"/>
    <w:rsid w:val="00106C54"/>
    <w:rsid w:val="00111BF2"/>
    <w:rsid w:val="00120227"/>
    <w:rsid w:val="00126027"/>
    <w:rsid w:val="0013263C"/>
    <w:rsid w:val="00136616"/>
    <w:rsid w:val="001508E9"/>
    <w:rsid w:val="00152EA2"/>
    <w:rsid w:val="00157625"/>
    <w:rsid w:val="001633D9"/>
    <w:rsid w:val="00171A22"/>
    <w:rsid w:val="00176500"/>
    <w:rsid w:val="00180ABE"/>
    <w:rsid w:val="00180B62"/>
    <w:rsid w:val="001825E1"/>
    <w:rsid w:val="001923AB"/>
    <w:rsid w:val="001A1EEF"/>
    <w:rsid w:val="001C1EB8"/>
    <w:rsid w:val="001C5AD2"/>
    <w:rsid w:val="001F2D3F"/>
    <w:rsid w:val="00205298"/>
    <w:rsid w:val="00206A82"/>
    <w:rsid w:val="00206FD9"/>
    <w:rsid w:val="002211CB"/>
    <w:rsid w:val="00226A39"/>
    <w:rsid w:val="0023285D"/>
    <w:rsid w:val="00233E42"/>
    <w:rsid w:val="00237C8A"/>
    <w:rsid w:val="00241ACD"/>
    <w:rsid w:val="00243D3C"/>
    <w:rsid w:val="00253551"/>
    <w:rsid w:val="0025490A"/>
    <w:rsid w:val="002643F8"/>
    <w:rsid w:val="00270DD5"/>
    <w:rsid w:val="00271235"/>
    <w:rsid w:val="00272D6F"/>
    <w:rsid w:val="00273D5D"/>
    <w:rsid w:val="00290C52"/>
    <w:rsid w:val="002935D1"/>
    <w:rsid w:val="00295870"/>
    <w:rsid w:val="002A5421"/>
    <w:rsid w:val="002B26C4"/>
    <w:rsid w:val="002B5A67"/>
    <w:rsid w:val="002C038F"/>
    <w:rsid w:val="002C0803"/>
    <w:rsid w:val="002C3D7C"/>
    <w:rsid w:val="002E5B1D"/>
    <w:rsid w:val="002F52C3"/>
    <w:rsid w:val="002F560A"/>
    <w:rsid w:val="003160B0"/>
    <w:rsid w:val="00322B8B"/>
    <w:rsid w:val="00332981"/>
    <w:rsid w:val="00342C47"/>
    <w:rsid w:val="00347F7A"/>
    <w:rsid w:val="00352AA4"/>
    <w:rsid w:val="00354579"/>
    <w:rsid w:val="00356F00"/>
    <w:rsid w:val="00377339"/>
    <w:rsid w:val="00377481"/>
    <w:rsid w:val="00383BD4"/>
    <w:rsid w:val="003A428B"/>
    <w:rsid w:val="003A6F86"/>
    <w:rsid w:val="003A7E95"/>
    <w:rsid w:val="003B739C"/>
    <w:rsid w:val="003C0098"/>
    <w:rsid w:val="003C6313"/>
    <w:rsid w:val="003C71FD"/>
    <w:rsid w:val="003D0F4B"/>
    <w:rsid w:val="003D4ECA"/>
    <w:rsid w:val="003E3593"/>
    <w:rsid w:val="003E55B2"/>
    <w:rsid w:val="003E600A"/>
    <w:rsid w:val="003F5AE3"/>
    <w:rsid w:val="004241EC"/>
    <w:rsid w:val="00425212"/>
    <w:rsid w:val="00427811"/>
    <w:rsid w:val="0043180D"/>
    <w:rsid w:val="004414A5"/>
    <w:rsid w:val="004418E8"/>
    <w:rsid w:val="00446BBA"/>
    <w:rsid w:val="0044700B"/>
    <w:rsid w:val="00451E9D"/>
    <w:rsid w:val="00456785"/>
    <w:rsid w:val="00461193"/>
    <w:rsid w:val="004654E5"/>
    <w:rsid w:val="0046612E"/>
    <w:rsid w:val="00467C80"/>
    <w:rsid w:val="00473C4D"/>
    <w:rsid w:val="00474052"/>
    <w:rsid w:val="00481CF9"/>
    <w:rsid w:val="00485FDB"/>
    <w:rsid w:val="004877C8"/>
    <w:rsid w:val="004901D3"/>
    <w:rsid w:val="004B5EA4"/>
    <w:rsid w:val="004C531E"/>
    <w:rsid w:val="004C6C90"/>
    <w:rsid w:val="004E462C"/>
    <w:rsid w:val="004E4FB1"/>
    <w:rsid w:val="00500494"/>
    <w:rsid w:val="005037CD"/>
    <w:rsid w:val="00504795"/>
    <w:rsid w:val="00514CBA"/>
    <w:rsid w:val="005226CD"/>
    <w:rsid w:val="00525D34"/>
    <w:rsid w:val="0052630A"/>
    <w:rsid w:val="0053084C"/>
    <w:rsid w:val="0053177A"/>
    <w:rsid w:val="00533EA1"/>
    <w:rsid w:val="005546F5"/>
    <w:rsid w:val="005550E4"/>
    <w:rsid w:val="005771C3"/>
    <w:rsid w:val="00577B54"/>
    <w:rsid w:val="00583C05"/>
    <w:rsid w:val="00586B15"/>
    <w:rsid w:val="00590F6D"/>
    <w:rsid w:val="005915E0"/>
    <w:rsid w:val="005A000A"/>
    <w:rsid w:val="005A219B"/>
    <w:rsid w:val="005A2467"/>
    <w:rsid w:val="005A2645"/>
    <w:rsid w:val="005A5ED7"/>
    <w:rsid w:val="005B4FA7"/>
    <w:rsid w:val="005C1A41"/>
    <w:rsid w:val="005C4565"/>
    <w:rsid w:val="005C5F4E"/>
    <w:rsid w:val="005D1DF4"/>
    <w:rsid w:val="005D56D6"/>
    <w:rsid w:val="005E05CD"/>
    <w:rsid w:val="005F1D1F"/>
    <w:rsid w:val="006139B2"/>
    <w:rsid w:val="006225CF"/>
    <w:rsid w:val="0062639C"/>
    <w:rsid w:val="00641030"/>
    <w:rsid w:val="006413A9"/>
    <w:rsid w:val="006458F6"/>
    <w:rsid w:val="00645D52"/>
    <w:rsid w:val="0064735E"/>
    <w:rsid w:val="0065133B"/>
    <w:rsid w:val="00656181"/>
    <w:rsid w:val="006602F1"/>
    <w:rsid w:val="006704EF"/>
    <w:rsid w:val="00670B41"/>
    <w:rsid w:val="00670ED4"/>
    <w:rsid w:val="00672928"/>
    <w:rsid w:val="006A69C8"/>
    <w:rsid w:val="006A7C9F"/>
    <w:rsid w:val="006B74A9"/>
    <w:rsid w:val="006C4E22"/>
    <w:rsid w:val="006D6163"/>
    <w:rsid w:val="006E0523"/>
    <w:rsid w:val="006E410B"/>
    <w:rsid w:val="006E58B1"/>
    <w:rsid w:val="006F01C4"/>
    <w:rsid w:val="006F487B"/>
    <w:rsid w:val="006F740B"/>
    <w:rsid w:val="007023CB"/>
    <w:rsid w:val="00705C94"/>
    <w:rsid w:val="0074208B"/>
    <w:rsid w:val="00744A41"/>
    <w:rsid w:val="00755ADC"/>
    <w:rsid w:val="007577A7"/>
    <w:rsid w:val="0076529F"/>
    <w:rsid w:val="00780A41"/>
    <w:rsid w:val="007836BE"/>
    <w:rsid w:val="00794787"/>
    <w:rsid w:val="007A05D5"/>
    <w:rsid w:val="007A37D8"/>
    <w:rsid w:val="007B0707"/>
    <w:rsid w:val="007C3D03"/>
    <w:rsid w:val="007D1EFA"/>
    <w:rsid w:val="007D48A4"/>
    <w:rsid w:val="007D560F"/>
    <w:rsid w:val="007D5FE4"/>
    <w:rsid w:val="00832814"/>
    <w:rsid w:val="00847916"/>
    <w:rsid w:val="008560DE"/>
    <w:rsid w:val="00861263"/>
    <w:rsid w:val="00867870"/>
    <w:rsid w:val="00874259"/>
    <w:rsid w:val="00881687"/>
    <w:rsid w:val="00883AED"/>
    <w:rsid w:val="008846DF"/>
    <w:rsid w:val="0088525A"/>
    <w:rsid w:val="00885A3F"/>
    <w:rsid w:val="008A0D60"/>
    <w:rsid w:val="008A667C"/>
    <w:rsid w:val="008A7CC8"/>
    <w:rsid w:val="008C0CA2"/>
    <w:rsid w:val="008C1387"/>
    <w:rsid w:val="008C682F"/>
    <w:rsid w:val="008D132A"/>
    <w:rsid w:val="008D7303"/>
    <w:rsid w:val="008E38AE"/>
    <w:rsid w:val="008E5022"/>
    <w:rsid w:val="008E509B"/>
    <w:rsid w:val="008F17AE"/>
    <w:rsid w:val="008F4585"/>
    <w:rsid w:val="008F4811"/>
    <w:rsid w:val="008F4812"/>
    <w:rsid w:val="008F525A"/>
    <w:rsid w:val="009026D4"/>
    <w:rsid w:val="0090391D"/>
    <w:rsid w:val="00923E75"/>
    <w:rsid w:val="0092763E"/>
    <w:rsid w:val="009316A6"/>
    <w:rsid w:val="00936114"/>
    <w:rsid w:val="009400E9"/>
    <w:rsid w:val="00942C0A"/>
    <w:rsid w:val="00946830"/>
    <w:rsid w:val="00947698"/>
    <w:rsid w:val="00950176"/>
    <w:rsid w:val="00962779"/>
    <w:rsid w:val="00965040"/>
    <w:rsid w:val="009654EC"/>
    <w:rsid w:val="00981BDB"/>
    <w:rsid w:val="00986701"/>
    <w:rsid w:val="00990AD3"/>
    <w:rsid w:val="009918D9"/>
    <w:rsid w:val="009A1CBC"/>
    <w:rsid w:val="009A392D"/>
    <w:rsid w:val="009B4CF9"/>
    <w:rsid w:val="009B5083"/>
    <w:rsid w:val="009C3F0B"/>
    <w:rsid w:val="009C4EBF"/>
    <w:rsid w:val="009C58BB"/>
    <w:rsid w:val="009D17C3"/>
    <w:rsid w:val="009D430D"/>
    <w:rsid w:val="009D47C2"/>
    <w:rsid w:val="009E36B7"/>
    <w:rsid w:val="009E51F8"/>
    <w:rsid w:val="009E6707"/>
    <w:rsid w:val="009F2649"/>
    <w:rsid w:val="00A074D7"/>
    <w:rsid w:val="00A16A99"/>
    <w:rsid w:val="00A17D23"/>
    <w:rsid w:val="00A2032A"/>
    <w:rsid w:val="00A208E1"/>
    <w:rsid w:val="00A3474D"/>
    <w:rsid w:val="00A521AB"/>
    <w:rsid w:val="00A56CD0"/>
    <w:rsid w:val="00A60E5B"/>
    <w:rsid w:val="00A61D3E"/>
    <w:rsid w:val="00A71610"/>
    <w:rsid w:val="00A73AFA"/>
    <w:rsid w:val="00A7643E"/>
    <w:rsid w:val="00A86AC3"/>
    <w:rsid w:val="00A92771"/>
    <w:rsid w:val="00A9649E"/>
    <w:rsid w:val="00AA1182"/>
    <w:rsid w:val="00AA1341"/>
    <w:rsid w:val="00AA3643"/>
    <w:rsid w:val="00AA4FC9"/>
    <w:rsid w:val="00AB16D0"/>
    <w:rsid w:val="00AB2C1B"/>
    <w:rsid w:val="00AC3BF2"/>
    <w:rsid w:val="00AC4E41"/>
    <w:rsid w:val="00AD5483"/>
    <w:rsid w:val="00AE7BCA"/>
    <w:rsid w:val="00AF0249"/>
    <w:rsid w:val="00AF150F"/>
    <w:rsid w:val="00AF4737"/>
    <w:rsid w:val="00AF5715"/>
    <w:rsid w:val="00B02E8E"/>
    <w:rsid w:val="00B042E0"/>
    <w:rsid w:val="00B0470A"/>
    <w:rsid w:val="00B14EC5"/>
    <w:rsid w:val="00B2364D"/>
    <w:rsid w:val="00B236AF"/>
    <w:rsid w:val="00B2505A"/>
    <w:rsid w:val="00B31AF1"/>
    <w:rsid w:val="00B53582"/>
    <w:rsid w:val="00B54C2A"/>
    <w:rsid w:val="00B54F24"/>
    <w:rsid w:val="00B6239D"/>
    <w:rsid w:val="00B62890"/>
    <w:rsid w:val="00B66C8E"/>
    <w:rsid w:val="00B67630"/>
    <w:rsid w:val="00B722DE"/>
    <w:rsid w:val="00B73C8A"/>
    <w:rsid w:val="00B80DDB"/>
    <w:rsid w:val="00B81D33"/>
    <w:rsid w:val="00B81EE1"/>
    <w:rsid w:val="00B96247"/>
    <w:rsid w:val="00BA761E"/>
    <w:rsid w:val="00BB0EE5"/>
    <w:rsid w:val="00BB26CA"/>
    <w:rsid w:val="00BB3FBE"/>
    <w:rsid w:val="00BC1285"/>
    <w:rsid w:val="00BC603D"/>
    <w:rsid w:val="00BE41EB"/>
    <w:rsid w:val="00BF585A"/>
    <w:rsid w:val="00BF615D"/>
    <w:rsid w:val="00C3016F"/>
    <w:rsid w:val="00C318FC"/>
    <w:rsid w:val="00C31922"/>
    <w:rsid w:val="00C32EDF"/>
    <w:rsid w:val="00C405FD"/>
    <w:rsid w:val="00C4231D"/>
    <w:rsid w:val="00C42573"/>
    <w:rsid w:val="00C47160"/>
    <w:rsid w:val="00C47EE4"/>
    <w:rsid w:val="00C5024A"/>
    <w:rsid w:val="00C57107"/>
    <w:rsid w:val="00C62C2D"/>
    <w:rsid w:val="00C669AA"/>
    <w:rsid w:val="00C7669B"/>
    <w:rsid w:val="00C77B52"/>
    <w:rsid w:val="00C9227C"/>
    <w:rsid w:val="00C92A6F"/>
    <w:rsid w:val="00CA2740"/>
    <w:rsid w:val="00CC12E6"/>
    <w:rsid w:val="00CC2E25"/>
    <w:rsid w:val="00CC7C64"/>
    <w:rsid w:val="00CD0B47"/>
    <w:rsid w:val="00CE7661"/>
    <w:rsid w:val="00D00AF8"/>
    <w:rsid w:val="00D010E8"/>
    <w:rsid w:val="00D02C04"/>
    <w:rsid w:val="00D07982"/>
    <w:rsid w:val="00D07FD7"/>
    <w:rsid w:val="00D13046"/>
    <w:rsid w:val="00D138E8"/>
    <w:rsid w:val="00D14B0B"/>
    <w:rsid w:val="00D208BA"/>
    <w:rsid w:val="00D21668"/>
    <w:rsid w:val="00D216BC"/>
    <w:rsid w:val="00D42F8F"/>
    <w:rsid w:val="00D45ADF"/>
    <w:rsid w:val="00D542F4"/>
    <w:rsid w:val="00D56B93"/>
    <w:rsid w:val="00D60D26"/>
    <w:rsid w:val="00D86C32"/>
    <w:rsid w:val="00D93FC6"/>
    <w:rsid w:val="00DA07F1"/>
    <w:rsid w:val="00DA3C03"/>
    <w:rsid w:val="00DA495E"/>
    <w:rsid w:val="00DB6BEB"/>
    <w:rsid w:val="00DB7EBB"/>
    <w:rsid w:val="00DD06F4"/>
    <w:rsid w:val="00DD205A"/>
    <w:rsid w:val="00DD500F"/>
    <w:rsid w:val="00DE4DA4"/>
    <w:rsid w:val="00DE7FA9"/>
    <w:rsid w:val="00DF3917"/>
    <w:rsid w:val="00DF53E4"/>
    <w:rsid w:val="00DF60C9"/>
    <w:rsid w:val="00E0082D"/>
    <w:rsid w:val="00E05674"/>
    <w:rsid w:val="00E06C11"/>
    <w:rsid w:val="00E152CD"/>
    <w:rsid w:val="00E15E9C"/>
    <w:rsid w:val="00E2136E"/>
    <w:rsid w:val="00E25AF8"/>
    <w:rsid w:val="00E31A6A"/>
    <w:rsid w:val="00E44C4D"/>
    <w:rsid w:val="00E46BDF"/>
    <w:rsid w:val="00E46CD2"/>
    <w:rsid w:val="00E53FA7"/>
    <w:rsid w:val="00E547DB"/>
    <w:rsid w:val="00E555BF"/>
    <w:rsid w:val="00E57DCD"/>
    <w:rsid w:val="00E61949"/>
    <w:rsid w:val="00E70DCE"/>
    <w:rsid w:val="00E8073A"/>
    <w:rsid w:val="00E856C7"/>
    <w:rsid w:val="00E92B9A"/>
    <w:rsid w:val="00E94942"/>
    <w:rsid w:val="00EA446A"/>
    <w:rsid w:val="00EA4ACC"/>
    <w:rsid w:val="00EA7DC1"/>
    <w:rsid w:val="00EB2083"/>
    <w:rsid w:val="00EB5BA2"/>
    <w:rsid w:val="00EB5C28"/>
    <w:rsid w:val="00EB7776"/>
    <w:rsid w:val="00EC334A"/>
    <w:rsid w:val="00ED144C"/>
    <w:rsid w:val="00EF0D19"/>
    <w:rsid w:val="00EF1577"/>
    <w:rsid w:val="00EF17D6"/>
    <w:rsid w:val="00EF6BD4"/>
    <w:rsid w:val="00F02296"/>
    <w:rsid w:val="00F14385"/>
    <w:rsid w:val="00F15F90"/>
    <w:rsid w:val="00F21465"/>
    <w:rsid w:val="00F34E1B"/>
    <w:rsid w:val="00F36C77"/>
    <w:rsid w:val="00F36FD0"/>
    <w:rsid w:val="00F40A7F"/>
    <w:rsid w:val="00F6065C"/>
    <w:rsid w:val="00F61EB1"/>
    <w:rsid w:val="00F62C8B"/>
    <w:rsid w:val="00F7139B"/>
    <w:rsid w:val="00F802D4"/>
    <w:rsid w:val="00F86D77"/>
    <w:rsid w:val="00F91982"/>
    <w:rsid w:val="00FA11D9"/>
    <w:rsid w:val="00FA1B8E"/>
    <w:rsid w:val="00FA311A"/>
    <w:rsid w:val="00FB017B"/>
    <w:rsid w:val="00FC1AAD"/>
    <w:rsid w:val="00FC2FF9"/>
    <w:rsid w:val="00FD6635"/>
    <w:rsid w:val="00FE0FE8"/>
    <w:rsid w:val="00FF48CC"/>
    <w:rsid w:val="00FF5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DF5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F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COMAbstract">
    <w:name w:val="RSC B01 COM Abstract"/>
    <w:basedOn w:val="Normal"/>
    <w:link w:val="RSCB01COMAbstractChar"/>
    <w:qFormat/>
    <w:rsid w:val="0025490A"/>
    <w:pPr>
      <w:spacing w:line="240" w:lineRule="exact"/>
      <w:jc w:val="both"/>
    </w:pPr>
    <w:rPr>
      <w:b/>
      <w:noProof/>
      <w:sz w:val="18"/>
      <w:lang w:eastAsia="en-GB"/>
    </w:rPr>
  </w:style>
  <w:style w:type="table" w:styleId="TableGrid">
    <w:name w:val="Table Grid"/>
    <w:basedOn w:val="TableNormal"/>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SectionHeading"/>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2C3D7C"/>
    <w:pPr>
      <w:tabs>
        <w:tab w:val="left" w:pos="284"/>
      </w:tabs>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2C3D7C"/>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485FDB"/>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485FDB"/>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2E5B1D"/>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2E5B1D"/>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485FDB"/>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485FDB"/>
    <w:rPr>
      <w:rFonts w:cs="Times New Roman"/>
      <w:i/>
      <w:w w:val="105"/>
      <w:sz w:val="14"/>
      <w:szCs w:val="14"/>
    </w:rPr>
  </w:style>
  <w:style w:type="paragraph" w:customStyle="1" w:styleId="RSCR02References">
    <w:name w:val="RSC R02 References"/>
    <w:link w:val="RSCR02ReferencesChar"/>
    <w:qFormat/>
    <w:rsid w:val="00243D3C"/>
    <w:pPr>
      <w:numPr>
        <w:numId w:val="2"/>
      </w:numPr>
      <w:tabs>
        <w:tab w:val="left" w:pos="284"/>
      </w:tabs>
      <w:spacing w:after="0" w:line="200" w:lineRule="exact"/>
      <w:ind w:left="284" w:hanging="284"/>
    </w:pPr>
    <w:rPr>
      <w:rFonts w:cs="Times New Roman"/>
      <w:w w:val="105"/>
      <w:sz w:val="18"/>
      <w:szCs w:val="18"/>
    </w:rPr>
  </w:style>
  <w:style w:type="character" w:customStyle="1" w:styleId="RSCF02FootnotestoTitleAuthorsChar">
    <w:name w:val="RSC F02 Footnotes to Title/Authors Char"/>
    <w:basedOn w:val="DefaultParagraphFont"/>
    <w:link w:val="RSCF02FootnotestoTitleAuthors"/>
    <w:rsid w:val="00485FDB"/>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243D3C"/>
    <w:rPr>
      <w:rFonts w:cs="Times New Roman"/>
      <w:w w:val="105"/>
      <w:sz w:val="18"/>
      <w:szCs w:val="18"/>
    </w:rPr>
  </w:style>
  <w:style w:type="paragraph" w:customStyle="1" w:styleId="RSCB04SectionHeading">
    <w:name w:val="RSC B04 Section Heading"/>
    <w:basedOn w:val="Normal"/>
    <w:link w:val="RSCB04SectionHeading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COMAbstractChar">
    <w:name w:val="RSC B01 COM Abstract Char"/>
    <w:basedOn w:val="DefaultParagraphFont"/>
    <w:link w:val="RSCB01COMAbstract"/>
    <w:rsid w:val="0025490A"/>
    <w:rPr>
      <w:b/>
      <w:noProof/>
      <w:sz w:val="18"/>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SectionHeadingChar">
    <w:name w:val="RSC B04 Section Heading Char"/>
    <w:basedOn w:val="DefaultParagraphFont"/>
    <w:link w:val="RSCB04SectionHeading"/>
    <w:rsid w:val="00EF6BD4"/>
    <w:rPr>
      <w:b/>
      <w:sz w:val="24"/>
    </w:rPr>
  </w:style>
  <w:style w:type="character" w:customStyle="1" w:styleId="05BHeadingChar">
    <w:name w:val="05 B Heading Char"/>
    <w:basedOn w:val="RSCB04SectionHeading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485FDB"/>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485FDB"/>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2E5B1D"/>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2E5B1D"/>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485FDB"/>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485FDB"/>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485FDB"/>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485FDB"/>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485FDB"/>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485FDB"/>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485FDB"/>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SectionHeadingstandalone">
    <w:name w:val="RSC B05 Section Heading (stand alone)"/>
    <w:link w:val="RSCB05SectionHeading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Sub-SectionHeading">
    <w:name w:val="RSC B06 Sub-Section Heading"/>
    <w:link w:val="RSCB06Sub-SectionHeadingChar"/>
    <w:qFormat/>
    <w:rsid w:val="00EF6BD4"/>
    <w:pPr>
      <w:spacing w:after="80" w:line="240" w:lineRule="exact"/>
    </w:pPr>
    <w:rPr>
      <w:b/>
      <w:sz w:val="18"/>
    </w:rPr>
  </w:style>
  <w:style w:type="character" w:customStyle="1" w:styleId="RSCB05SectionHeadingstandaloneChar">
    <w:name w:val="RSC B05 Section Heading (stand alone) Char"/>
    <w:basedOn w:val="RSCH02PaperAuthorsandBylineChar"/>
    <w:link w:val="RSCB05SectionHeadingstandalone"/>
    <w:rsid w:val="00EF6BD4"/>
    <w:rPr>
      <w:rFonts w:cs="Times New Roman"/>
      <w:sz w:val="24"/>
    </w:rPr>
  </w:style>
  <w:style w:type="paragraph" w:customStyle="1" w:styleId="RSCB07Sub-SectionHeadingstandalone">
    <w:name w:val="RSC B07 Sub-Section Heading (stand alone)"/>
    <w:link w:val="RSCB07Sub-SectionHeadingstandaloneChar"/>
    <w:qFormat/>
    <w:rsid w:val="00EF6BD4"/>
    <w:pPr>
      <w:spacing w:before="160" w:after="80" w:line="240" w:lineRule="exact"/>
    </w:pPr>
    <w:rPr>
      <w:b/>
      <w:sz w:val="18"/>
    </w:rPr>
  </w:style>
  <w:style w:type="character" w:customStyle="1" w:styleId="RSCB06Sub-SectionHeadingChar">
    <w:name w:val="RSC B06 Sub-Section Heading Char"/>
    <w:basedOn w:val="DefaultParagraphFont"/>
    <w:link w:val="RSCB06Sub-SectionHeading"/>
    <w:rsid w:val="00EF6BD4"/>
    <w:rPr>
      <w:b/>
      <w:sz w:val="18"/>
    </w:rPr>
  </w:style>
  <w:style w:type="paragraph" w:customStyle="1" w:styleId="RSCB08In-lineHeading">
    <w:name w:val="RSC B08 In-line Heading"/>
    <w:link w:val="RSCB08In-lineHeadingChar"/>
    <w:qFormat/>
    <w:rsid w:val="00EF6BD4"/>
    <w:pPr>
      <w:spacing w:after="0"/>
    </w:pPr>
    <w:rPr>
      <w:b/>
      <w:sz w:val="18"/>
    </w:rPr>
  </w:style>
  <w:style w:type="character" w:customStyle="1" w:styleId="RSCB07Sub-SectionHeadingstandaloneChar">
    <w:name w:val="RSC B07 Sub-Section Heading (stand alone) Char"/>
    <w:basedOn w:val="DefaultParagraphFont"/>
    <w:link w:val="RSCB07Sub-SectionHeadingstandalone"/>
    <w:rsid w:val="00EF6BD4"/>
    <w:rPr>
      <w:b/>
      <w:sz w:val="18"/>
    </w:rPr>
  </w:style>
  <w:style w:type="character" w:customStyle="1" w:styleId="RSCB08In-lineHeadingChar">
    <w:name w:val="RSC B08 In-line Heading Char"/>
    <w:basedOn w:val="DefaultParagraphFont"/>
    <w:link w:val="RSCB08In-lineHeading"/>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485FDB"/>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485FDB"/>
    <w:rPr>
      <w:bCs/>
      <w:sz w:val="14"/>
      <w:szCs w:val="18"/>
    </w:rPr>
  </w:style>
  <w:style w:type="paragraph" w:styleId="Bibliography">
    <w:name w:val="Bibliography"/>
    <w:basedOn w:val="Normal"/>
    <w:next w:val="Normal"/>
    <w:uiPriority w:val="37"/>
    <w:unhideWhenUsed/>
    <w:rsid w:val="004418E8"/>
    <w:pPr>
      <w:tabs>
        <w:tab w:val="left" w:pos="144"/>
      </w:tabs>
      <w:spacing w:after="0" w:line="240" w:lineRule="auto"/>
      <w:ind w:left="144" w:hanging="144"/>
    </w:pPr>
  </w:style>
  <w:style w:type="character" w:styleId="CommentReference">
    <w:name w:val="annotation reference"/>
    <w:basedOn w:val="DefaultParagraphFont"/>
    <w:uiPriority w:val="99"/>
    <w:semiHidden/>
    <w:unhideWhenUsed/>
    <w:rsid w:val="00847916"/>
    <w:rPr>
      <w:sz w:val="16"/>
      <w:szCs w:val="16"/>
    </w:rPr>
  </w:style>
  <w:style w:type="paragraph" w:styleId="CommentText">
    <w:name w:val="annotation text"/>
    <w:basedOn w:val="Normal"/>
    <w:link w:val="CommentTextChar"/>
    <w:uiPriority w:val="99"/>
    <w:semiHidden/>
    <w:unhideWhenUsed/>
    <w:rsid w:val="00847916"/>
    <w:pPr>
      <w:spacing w:line="240" w:lineRule="auto"/>
    </w:pPr>
    <w:rPr>
      <w:sz w:val="20"/>
      <w:szCs w:val="20"/>
    </w:rPr>
  </w:style>
  <w:style w:type="character" w:customStyle="1" w:styleId="CommentTextChar">
    <w:name w:val="Comment Text Char"/>
    <w:basedOn w:val="DefaultParagraphFont"/>
    <w:link w:val="CommentText"/>
    <w:uiPriority w:val="99"/>
    <w:semiHidden/>
    <w:rsid w:val="00847916"/>
    <w:rPr>
      <w:sz w:val="20"/>
      <w:szCs w:val="20"/>
    </w:rPr>
  </w:style>
  <w:style w:type="paragraph" w:styleId="CommentSubject">
    <w:name w:val="annotation subject"/>
    <w:basedOn w:val="CommentText"/>
    <w:next w:val="CommentText"/>
    <w:link w:val="CommentSubjectChar"/>
    <w:uiPriority w:val="99"/>
    <w:semiHidden/>
    <w:unhideWhenUsed/>
    <w:rsid w:val="00847916"/>
    <w:rPr>
      <w:b/>
      <w:bCs/>
    </w:rPr>
  </w:style>
  <w:style w:type="character" w:customStyle="1" w:styleId="CommentSubjectChar">
    <w:name w:val="Comment Subject Char"/>
    <w:basedOn w:val="CommentTextChar"/>
    <w:link w:val="CommentSubject"/>
    <w:uiPriority w:val="99"/>
    <w:semiHidden/>
    <w:rsid w:val="0084791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F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COMAbstract">
    <w:name w:val="RSC B01 COM Abstract"/>
    <w:basedOn w:val="Normal"/>
    <w:link w:val="RSCB01COMAbstractChar"/>
    <w:qFormat/>
    <w:rsid w:val="0025490A"/>
    <w:pPr>
      <w:spacing w:line="240" w:lineRule="exact"/>
      <w:jc w:val="both"/>
    </w:pPr>
    <w:rPr>
      <w:b/>
      <w:noProof/>
      <w:sz w:val="18"/>
      <w:lang w:eastAsia="en-GB"/>
    </w:rPr>
  </w:style>
  <w:style w:type="table" w:styleId="TableGrid">
    <w:name w:val="Table Grid"/>
    <w:basedOn w:val="TableNormal"/>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SectionHeading"/>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2C3D7C"/>
    <w:pPr>
      <w:tabs>
        <w:tab w:val="left" w:pos="284"/>
      </w:tabs>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2C3D7C"/>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485FDB"/>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485FDB"/>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2E5B1D"/>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2E5B1D"/>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485FDB"/>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485FDB"/>
    <w:rPr>
      <w:rFonts w:cs="Times New Roman"/>
      <w:i/>
      <w:w w:val="105"/>
      <w:sz w:val="14"/>
      <w:szCs w:val="14"/>
    </w:rPr>
  </w:style>
  <w:style w:type="paragraph" w:customStyle="1" w:styleId="RSCR02References">
    <w:name w:val="RSC R02 References"/>
    <w:link w:val="RSCR02ReferencesChar"/>
    <w:qFormat/>
    <w:rsid w:val="00243D3C"/>
    <w:pPr>
      <w:numPr>
        <w:numId w:val="2"/>
      </w:numPr>
      <w:tabs>
        <w:tab w:val="left" w:pos="284"/>
      </w:tabs>
      <w:spacing w:after="0" w:line="200" w:lineRule="exact"/>
      <w:ind w:left="284" w:hanging="284"/>
    </w:pPr>
    <w:rPr>
      <w:rFonts w:cs="Times New Roman"/>
      <w:w w:val="105"/>
      <w:sz w:val="18"/>
      <w:szCs w:val="18"/>
    </w:rPr>
  </w:style>
  <w:style w:type="character" w:customStyle="1" w:styleId="RSCF02FootnotestoTitleAuthorsChar">
    <w:name w:val="RSC F02 Footnotes to Title/Authors Char"/>
    <w:basedOn w:val="DefaultParagraphFont"/>
    <w:link w:val="RSCF02FootnotestoTitleAuthors"/>
    <w:rsid w:val="00485FDB"/>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243D3C"/>
    <w:rPr>
      <w:rFonts w:cs="Times New Roman"/>
      <w:w w:val="105"/>
      <w:sz w:val="18"/>
      <w:szCs w:val="18"/>
    </w:rPr>
  </w:style>
  <w:style w:type="paragraph" w:customStyle="1" w:styleId="RSCB04SectionHeading">
    <w:name w:val="RSC B04 Section Heading"/>
    <w:basedOn w:val="Normal"/>
    <w:link w:val="RSCB04SectionHeading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COMAbstractChar">
    <w:name w:val="RSC B01 COM Abstract Char"/>
    <w:basedOn w:val="DefaultParagraphFont"/>
    <w:link w:val="RSCB01COMAbstract"/>
    <w:rsid w:val="0025490A"/>
    <w:rPr>
      <w:b/>
      <w:noProof/>
      <w:sz w:val="18"/>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SectionHeadingChar">
    <w:name w:val="RSC B04 Section Heading Char"/>
    <w:basedOn w:val="DefaultParagraphFont"/>
    <w:link w:val="RSCB04SectionHeading"/>
    <w:rsid w:val="00EF6BD4"/>
    <w:rPr>
      <w:b/>
      <w:sz w:val="24"/>
    </w:rPr>
  </w:style>
  <w:style w:type="character" w:customStyle="1" w:styleId="05BHeadingChar">
    <w:name w:val="05 B Heading Char"/>
    <w:basedOn w:val="RSCB04SectionHeading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485FDB"/>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485FDB"/>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2E5B1D"/>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2E5B1D"/>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485FDB"/>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485FDB"/>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485FDB"/>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485FDB"/>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485FDB"/>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485FDB"/>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485FDB"/>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SectionHeadingstandalone">
    <w:name w:val="RSC B05 Section Heading (stand alone)"/>
    <w:link w:val="RSCB05SectionHeading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Sub-SectionHeading">
    <w:name w:val="RSC B06 Sub-Section Heading"/>
    <w:link w:val="RSCB06Sub-SectionHeadingChar"/>
    <w:qFormat/>
    <w:rsid w:val="00EF6BD4"/>
    <w:pPr>
      <w:spacing w:after="80" w:line="240" w:lineRule="exact"/>
    </w:pPr>
    <w:rPr>
      <w:b/>
      <w:sz w:val="18"/>
    </w:rPr>
  </w:style>
  <w:style w:type="character" w:customStyle="1" w:styleId="RSCB05SectionHeadingstandaloneChar">
    <w:name w:val="RSC B05 Section Heading (stand alone) Char"/>
    <w:basedOn w:val="RSCH02PaperAuthorsandBylineChar"/>
    <w:link w:val="RSCB05SectionHeadingstandalone"/>
    <w:rsid w:val="00EF6BD4"/>
    <w:rPr>
      <w:rFonts w:cs="Times New Roman"/>
      <w:sz w:val="24"/>
    </w:rPr>
  </w:style>
  <w:style w:type="paragraph" w:customStyle="1" w:styleId="RSCB07Sub-SectionHeadingstandalone">
    <w:name w:val="RSC B07 Sub-Section Heading (stand alone)"/>
    <w:link w:val="RSCB07Sub-SectionHeadingstandaloneChar"/>
    <w:qFormat/>
    <w:rsid w:val="00EF6BD4"/>
    <w:pPr>
      <w:spacing w:before="160" w:after="80" w:line="240" w:lineRule="exact"/>
    </w:pPr>
    <w:rPr>
      <w:b/>
      <w:sz w:val="18"/>
    </w:rPr>
  </w:style>
  <w:style w:type="character" w:customStyle="1" w:styleId="RSCB06Sub-SectionHeadingChar">
    <w:name w:val="RSC B06 Sub-Section Heading Char"/>
    <w:basedOn w:val="DefaultParagraphFont"/>
    <w:link w:val="RSCB06Sub-SectionHeading"/>
    <w:rsid w:val="00EF6BD4"/>
    <w:rPr>
      <w:b/>
      <w:sz w:val="18"/>
    </w:rPr>
  </w:style>
  <w:style w:type="paragraph" w:customStyle="1" w:styleId="RSCB08In-lineHeading">
    <w:name w:val="RSC B08 In-line Heading"/>
    <w:link w:val="RSCB08In-lineHeadingChar"/>
    <w:qFormat/>
    <w:rsid w:val="00EF6BD4"/>
    <w:pPr>
      <w:spacing w:after="0"/>
    </w:pPr>
    <w:rPr>
      <w:b/>
      <w:sz w:val="18"/>
    </w:rPr>
  </w:style>
  <w:style w:type="character" w:customStyle="1" w:styleId="RSCB07Sub-SectionHeadingstandaloneChar">
    <w:name w:val="RSC B07 Sub-Section Heading (stand alone) Char"/>
    <w:basedOn w:val="DefaultParagraphFont"/>
    <w:link w:val="RSCB07Sub-SectionHeadingstandalone"/>
    <w:rsid w:val="00EF6BD4"/>
    <w:rPr>
      <w:b/>
      <w:sz w:val="18"/>
    </w:rPr>
  </w:style>
  <w:style w:type="character" w:customStyle="1" w:styleId="RSCB08In-lineHeadingChar">
    <w:name w:val="RSC B08 In-line Heading Char"/>
    <w:basedOn w:val="DefaultParagraphFont"/>
    <w:link w:val="RSCB08In-lineHeading"/>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485FDB"/>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485FDB"/>
    <w:rPr>
      <w:bCs/>
      <w:sz w:val="14"/>
      <w:szCs w:val="18"/>
    </w:rPr>
  </w:style>
  <w:style w:type="paragraph" w:styleId="Bibliography">
    <w:name w:val="Bibliography"/>
    <w:basedOn w:val="Normal"/>
    <w:next w:val="Normal"/>
    <w:uiPriority w:val="37"/>
    <w:unhideWhenUsed/>
    <w:rsid w:val="004418E8"/>
    <w:pPr>
      <w:tabs>
        <w:tab w:val="left" w:pos="144"/>
      </w:tabs>
      <w:spacing w:after="0" w:line="240" w:lineRule="auto"/>
      <w:ind w:left="144" w:hanging="144"/>
    </w:pPr>
  </w:style>
  <w:style w:type="character" w:styleId="CommentReference">
    <w:name w:val="annotation reference"/>
    <w:basedOn w:val="DefaultParagraphFont"/>
    <w:uiPriority w:val="99"/>
    <w:semiHidden/>
    <w:unhideWhenUsed/>
    <w:rsid w:val="00847916"/>
    <w:rPr>
      <w:sz w:val="16"/>
      <w:szCs w:val="16"/>
    </w:rPr>
  </w:style>
  <w:style w:type="paragraph" w:styleId="CommentText">
    <w:name w:val="annotation text"/>
    <w:basedOn w:val="Normal"/>
    <w:link w:val="CommentTextChar"/>
    <w:uiPriority w:val="99"/>
    <w:semiHidden/>
    <w:unhideWhenUsed/>
    <w:rsid w:val="00847916"/>
    <w:pPr>
      <w:spacing w:line="240" w:lineRule="auto"/>
    </w:pPr>
    <w:rPr>
      <w:sz w:val="20"/>
      <w:szCs w:val="20"/>
    </w:rPr>
  </w:style>
  <w:style w:type="character" w:customStyle="1" w:styleId="CommentTextChar">
    <w:name w:val="Comment Text Char"/>
    <w:basedOn w:val="DefaultParagraphFont"/>
    <w:link w:val="CommentText"/>
    <w:uiPriority w:val="99"/>
    <w:semiHidden/>
    <w:rsid w:val="00847916"/>
    <w:rPr>
      <w:sz w:val="20"/>
      <w:szCs w:val="20"/>
    </w:rPr>
  </w:style>
  <w:style w:type="paragraph" w:styleId="CommentSubject">
    <w:name w:val="annotation subject"/>
    <w:basedOn w:val="CommentText"/>
    <w:next w:val="CommentText"/>
    <w:link w:val="CommentSubjectChar"/>
    <w:uiPriority w:val="99"/>
    <w:semiHidden/>
    <w:unhideWhenUsed/>
    <w:rsid w:val="00847916"/>
    <w:rPr>
      <w:b/>
      <w:bCs/>
    </w:rPr>
  </w:style>
  <w:style w:type="character" w:customStyle="1" w:styleId="CommentSubjectChar">
    <w:name w:val="Comment Subject Char"/>
    <w:basedOn w:val="CommentTextChar"/>
    <w:link w:val="CommentSubject"/>
    <w:uiPriority w:val="99"/>
    <w:semiHidden/>
    <w:rsid w:val="008479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4.emf"/><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header4.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anyonh\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C46CD-FA9F-494A-93C6-8BE6D2AD3F7A}">
  <ds:schemaRefs>
    <ds:schemaRef ds:uri="urn:schemas-microsoft-com.VSTO2008Demos.ControlsStorage"/>
  </ds:schemaRefs>
</ds:datastoreItem>
</file>

<file path=customXml/itemProps2.xml><?xml version="1.0" encoding="utf-8"?>
<ds:datastoreItem xmlns:ds="http://schemas.openxmlformats.org/officeDocument/2006/customXml" ds:itemID="{46F1BFB9-AD40-41B9-AFCD-57D48EB6D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2</TotalTime>
  <Pages>4</Pages>
  <Words>18782</Words>
  <Characters>107058</Characters>
  <Application>Microsoft Office Word</Application>
  <DocSecurity>4</DocSecurity>
  <Lines>892</Lines>
  <Paragraphs>251</Paragraphs>
  <ScaleCrop>false</ScaleCrop>
  <HeadingPairs>
    <vt:vector size="2" baseType="variant">
      <vt:variant>
        <vt:lpstr>Title</vt:lpstr>
      </vt:variant>
      <vt:variant>
        <vt:i4>1</vt:i4>
      </vt:variant>
    </vt:vector>
  </HeadingPairs>
  <TitlesOfParts>
    <vt:vector size="1" baseType="lpstr">
      <vt:lpstr/>
    </vt:vector>
  </TitlesOfParts>
  <Company>The Royal Society of Chemistry</Company>
  <LinksUpToDate>false</LinksUpToDate>
  <CharactersWithSpaces>125589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Lanyon-Hogg, Thomas</dc:creator>
  <cp:lastModifiedBy>Hutton, Jennie A</cp:lastModifiedBy>
  <cp:revision>2</cp:revision>
  <cp:lastPrinted>2017-03-08T19:58:00Z</cp:lastPrinted>
  <dcterms:created xsi:type="dcterms:W3CDTF">2017-04-20T10:02:00Z</dcterms:created>
  <dcterms:modified xsi:type="dcterms:W3CDTF">2017-04-20T10:02:00Z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id="b3JLYaq9"/&gt;&lt;style id="http://www.zotero.org/styles/chemical-communications" hasBibliography="1" bibliographyStyleHasBeenSet="1"/&gt;&lt;prefs&gt;&lt;pref name="fieldType" value="Field"/&gt;&lt;pref name="storeR</vt:lpwstr>
  </property>
  <property fmtid="{D5CDD505-2E9C-101B-9397-08002B2CF9AE}" pid="3" name="ZOTERO_PREF_2">
    <vt:lpwstr>eferences" value="true"/&gt;&lt;pref name="automaticJournalAbbreviations" value="true"/&gt;&lt;pref name="noteType" value=""/&gt;&lt;/prefs&gt;&lt;/data&gt;</vt:lpwstr>
  </property>
</Properties>
</file>