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A2775F" w14:textId="77777777" w:rsidR="0044116F" w:rsidRPr="00C32EDF" w:rsidRDefault="0044116F" w:rsidP="0044116F">
      <w:pPr>
        <w:pStyle w:val="RSCH01PaperTitle"/>
        <w:jc w:val="both"/>
      </w:pPr>
      <w:r>
        <w:t>Direct</w:t>
      </w:r>
      <w:r w:rsidRPr="00E41B71">
        <w:t xml:space="preserve"> incorporation of [</w:t>
      </w:r>
      <w:r w:rsidRPr="00E41B71">
        <w:rPr>
          <w:vertAlign w:val="superscript"/>
        </w:rPr>
        <w:t>18</w:t>
      </w:r>
      <w:r w:rsidRPr="00E41B71">
        <w:t xml:space="preserve">F] into aliphatic </w:t>
      </w:r>
      <w:r>
        <w:t>systems</w:t>
      </w:r>
      <w:r w:rsidRPr="00E41B71">
        <w:t xml:space="preserve">: A </w:t>
      </w:r>
      <w:r>
        <w:t xml:space="preserve">promising Mn-catalysed </w:t>
      </w:r>
      <w:r w:rsidRPr="00E41B71">
        <w:t xml:space="preserve">labelling technique </w:t>
      </w:r>
      <w:r>
        <w:t>for</w:t>
      </w:r>
      <w:r w:rsidRPr="00E41B71">
        <w:t xml:space="preserve"> PET imaging</w:t>
      </w:r>
    </w:p>
    <w:p w14:paraId="18CA6D4D" w14:textId="057C1BE4" w:rsidR="0044116F" w:rsidRDefault="0044116F" w:rsidP="0044116F">
      <w:pPr>
        <w:pStyle w:val="RSCH02PaperAuthorsandByline"/>
        <w:jc w:val="both"/>
        <w:rPr>
          <w:i/>
          <w:vertAlign w:val="superscript"/>
        </w:rPr>
      </w:pPr>
      <w:r>
        <w:t xml:space="preserve">Sara </w:t>
      </w:r>
      <w:proofErr w:type="spellStart"/>
      <w:proofErr w:type="gramStart"/>
      <w:r>
        <w:t>Cesarec,</w:t>
      </w:r>
      <w:r w:rsidRPr="00AD1EE6">
        <w:rPr>
          <w:vertAlign w:val="superscript"/>
        </w:rPr>
        <w:t>†</w:t>
      </w:r>
      <w:proofErr w:type="gramEnd"/>
      <w:r w:rsidRPr="00AD1EE6">
        <w:rPr>
          <w:i/>
          <w:vertAlign w:val="superscript"/>
        </w:rPr>
        <w:t>a</w:t>
      </w:r>
      <w:proofErr w:type="spellEnd"/>
      <w:r w:rsidRPr="00F21465">
        <w:t xml:space="preserve"> </w:t>
      </w:r>
      <w:r>
        <w:t xml:space="preserve">Jonathan A. </w:t>
      </w:r>
      <w:proofErr w:type="spellStart"/>
      <w:r>
        <w:t>R</w:t>
      </w:r>
      <w:r w:rsidRPr="00CD39EE">
        <w:t>obson,</w:t>
      </w:r>
      <w:r w:rsidRPr="00CD39EE">
        <w:rPr>
          <w:vertAlign w:val="superscript"/>
        </w:rPr>
        <w:t>†</w:t>
      </w:r>
      <w:r w:rsidRPr="00CD39EE">
        <w:rPr>
          <w:i/>
          <w:vertAlign w:val="superscript"/>
        </w:rPr>
        <w:t>a</w:t>
      </w:r>
      <w:proofErr w:type="spellEnd"/>
      <w:r w:rsidRPr="00CD39EE">
        <w:t xml:space="preserve"> Laurence S. Carroll,</w:t>
      </w:r>
      <w:r>
        <w:t>*</w:t>
      </w:r>
      <w:proofErr w:type="spellStart"/>
      <w:r w:rsidRPr="00CD39EE">
        <w:rPr>
          <w:i/>
          <w:vertAlign w:val="superscript"/>
        </w:rPr>
        <w:t>a</w:t>
      </w:r>
      <w:r w:rsidR="00085620">
        <w:rPr>
          <w:i/>
          <w:vertAlign w:val="superscript"/>
        </w:rPr>
        <w:t>,b</w:t>
      </w:r>
      <w:proofErr w:type="spellEnd"/>
      <w:r w:rsidRPr="00CD39EE">
        <w:t xml:space="preserve"> Eric O. </w:t>
      </w:r>
      <w:proofErr w:type="spellStart"/>
      <w:r w:rsidRPr="00CD39EE">
        <w:t>Aboagye</w:t>
      </w:r>
      <w:r w:rsidRPr="00CD39EE">
        <w:rPr>
          <w:i/>
          <w:vertAlign w:val="superscript"/>
        </w:rPr>
        <w:t>a</w:t>
      </w:r>
      <w:proofErr w:type="spellEnd"/>
      <w:r w:rsidRPr="00CD39EE">
        <w:t xml:space="preserve"> and</w:t>
      </w:r>
      <w:r>
        <w:t xml:space="preserve"> Alan C. </w:t>
      </w:r>
      <w:proofErr w:type="spellStart"/>
      <w:r>
        <w:t>Spivey</w:t>
      </w:r>
      <w:r w:rsidR="00085620">
        <w:rPr>
          <w:i/>
          <w:vertAlign w:val="superscript"/>
        </w:rPr>
        <w:t>c</w:t>
      </w:r>
      <w:proofErr w:type="spellEnd"/>
    </w:p>
    <w:p w14:paraId="024E2834" w14:textId="12C3878D" w:rsidR="00085620" w:rsidRDefault="007A0455" w:rsidP="007A0455">
      <w:pPr>
        <w:pStyle w:val="RSCF01FootnoteAuthorAddress"/>
        <w:jc w:val="both"/>
      </w:pPr>
      <w:r w:rsidRPr="005F0A2C">
        <w:t>Comprehensive Cancer Imaging Centre, Department of Surgery and Cancer, Imperial College London, Hammersmith Campus, Du Cane Road, Londo</w:t>
      </w:r>
      <w:r w:rsidR="00EE7F0F">
        <w:t>n</w:t>
      </w:r>
      <w:r w:rsidRPr="005F0A2C">
        <w:t xml:space="preserve"> W12 0NN</w:t>
      </w:r>
      <w:r w:rsidR="00EE7F0F">
        <w:t xml:space="preserve">, </w:t>
      </w:r>
      <w:r w:rsidR="00781802">
        <w:t>UK</w:t>
      </w:r>
      <w:r w:rsidR="00EE7F0F">
        <w:t>.</w:t>
      </w:r>
    </w:p>
    <w:p w14:paraId="28CFEB21" w14:textId="41006379" w:rsidR="007A0455" w:rsidRDefault="00781802" w:rsidP="007A0455">
      <w:pPr>
        <w:pStyle w:val="RSCF01FootnoteAuthorAddress"/>
        <w:jc w:val="both"/>
      </w:pPr>
      <w:r w:rsidRPr="00FC1CA2">
        <w:t>Russell H. Morgan Department of Radiology and Radiological Sciences, Johns Hopkins Medical Institutions, Baltimore, MD 21231, USA</w:t>
      </w:r>
      <w:r w:rsidR="00EE7F0F">
        <w:t>.</w:t>
      </w:r>
    </w:p>
    <w:p w14:paraId="4B7C27C1" w14:textId="28A1C611" w:rsidR="007A0455" w:rsidRPr="00C405FD" w:rsidRDefault="007A0455" w:rsidP="00EE7F0F">
      <w:pPr>
        <w:pStyle w:val="RSCF01FootnoteAuthorAddress"/>
      </w:pPr>
      <w:r>
        <w:t xml:space="preserve">Department of Chemistry, </w:t>
      </w:r>
      <w:r w:rsidR="00EE7F0F">
        <w:t xml:space="preserve">Molecular Sciences Research Hub (MSRH), White City Campus, 80 Wood Lane, London W12 0BZ, </w:t>
      </w:r>
      <w:r w:rsidR="00781802">
        <w:t>UK</w:t>
      </w:r>
      <w:r w:rsidR="00EE7F0F">
        <w:t>.</w:t>
      </w:r>
    </w:p>
    <w:p w14:paraId="750DFDFD" w14:textId="5E84CF39" w:rsidR="007A0455" w:rsidRDefault="007A0455" w:rsidP="007A0455">
      <w:pPr>
        <w:pStyle w:val="RSCF02FootnotestoTitleAuthors"/>
      </w:pPr>
      <w:r w:rsidRPr="00241ACD">
        <w:t xml:space="preserve">† </w:t>
      </w:r>
      <w:r>
        <w:t>These authors contributed equally.</w:t>
      </w:r>
    </w:p>
    <w:p w14:paraId="280EA1AA" w14:textId="5A037993" w:rsidR="00085620" w:rsidRPr="00241ACD" w:rsidRDefault="00EE7F0F" w:rsidP="007A0455">
      <w:pPr>
        <w:pStyle w:val="RSCF02FootnotestoTitleAuthors"/>
      </w:pPr>
      <w:r>
        <w:t xml:space="preserve">* Correspondence </w:t>
      </w:r>
      <w:r w:rsidRPr="002E2C4C">
        <w:t>E</w:t>
      </w:r>
      <w:r>
        <w:t>-</w:t>
      </w:r>
      <w:r w:rsidRPr="002E2C4C">
        <w:t xml:space="preserve">mail: </w:t>
      </w:r>
      <w:hyperlink r:id="rId8" w:history="1">
        <w:r w:rsidRPr="008B6DD5">
          <w:rPr>
            <w:rStyle w:val="Hyperlink"/>
          </w:rPr>
          <w:t>lcarro19@jhmi.edu</w:t>
        </w:r>
      </w:hyperlink>
    </w:p>
    <w:p w14:paraId="34D5BBD0" w14:textId="77777777" w:rsidR="0044116F" w:rsidRDefault="0044116F" w:rsidP="0044116F">
      <w:pPr>
        <w:spacing w:before="240"/>
        <w:rPr>
          <w:b/>
        </w:rPr>
      </w:pPr>
      <w:r w:rsidRPr="0044116F">
        <w:rPr>
          <w:b/>
          <w:sz w:val="24"/>
          <w:szCs w:val="24"/>
        </w:rPr>
        <w:t>Abstract</w:t>
      </w:r>
    </w:p>
    <w:p w14:paraId="0692D96E" w14:textId="30671277" w:rsidR="0044116F" w:rsidRPr="0044116F" w:rsidRDefault="00597523" w:rsidP="0044116F">
      <w:pPr>
        <w:jc w:val="both"/>
        <w:rPr>
          <w:rStyle w:val="06CHeading"/>
          <w:rFonts w:asciiTheme="minorHAnsi" w:hAnsiTheme="minorHAnsi" w:cstheme="minorBidi"/>
          <w:smallCaps w:val="0"/>
          <w:w w:val="100"/>
        </w:rPr>
      </w:pPr>
      <w:bookmarkStart w:id="0" w:name="_GoBack"/>
      <w:r>
        <w:rPr>
          <w:bCs/>
          <w:sz w:val="18"/>
          <w:szCs w:val="18"/>
        </w:rPr>
        <w:t>One of the challenges</w:t>
      </w:r>
      <w:r w:rsidR="0044116F" w:rsidRPr="0044116F">
        <w:rPr>
          <w:bCs/>
          <w:sz w:val="18"/>
          <w:szCs w:val="18"/>
        </w:rPr>
        <w:t xml:space="preserve"> in positron emission tomography (PET) is labelling complex aliphatic molecules. We report here on the optimisation of an aliphatic C-H to C-</w:t>
      </w:r>
      <w:r w:rsidR="0044116F" w:rsidRPr="0044116F">
        <w:rPr>
          <w:bCs/>
          <w:sz w:val="18"/>
          <w:szCs w:val="18"/>
          <w:vertAlign w:val="superscript"/>
        </w:rPr>
        <w:t>18</w:t>
      </w:r>
      <w:r w:rsidR="0044116F" w:rsidRPr="0044116F">
        <w:rPr>
          <w:bCs/>
          <w:sz w:val="18"/>
          <w:szCs w:val="18"/>
        </w:rPr>
        <w:t>F bond transformation catalysed by a Mn(porphyrin) complex</w:t>
      </w:r>
      <w:bookmarkEnd w:id="0"/>
      <w:r w:rsidR="0044116F" w:rsidRPr="0044116F">
        <w:rPr>
          <w:bCs/>
          <w:sz w:val="18"/>
          <w:szCs w:val="18"/>
        </w:rPr>
        <w:t>. The successful oxidation of 1</w:t>
      </w:r>
      <w:r w:rsidR="00930B8F">
        <w:rPr>
          <w:bCs/>
          <w:sz w:val="18"/>
          <w:szCs w:val="18"/>
        </w:rPr>
        <w:t>1</w:t>
      </w:r>
      <w:r w:rsidR="0044116F" w:rsidRPr="0044116F">
        <w:rPr>
          <w:bCs/>
          <w:sz w:val="18"/>
          <w:szCs w:val="18"/>
        </w:rPr>
        <w:t xml:space="preserve"> aliphatic molecules including progesterone are reported. </w:t>
      </w:r>
      <w:r w:rsidR="0044116F" w:rsidRPr="0044116F">
        <w:rPr>
          <w:sz w:val="18"/>
          <w:szCs w:val="18"/>
        </w:rPr>
        <w:t>Radiochemical Incorporations (RCIs) up to 69% were achieved within 60 min without the need for pre</w:t>
      </w:r>
      <w:r w:rsidR="00753921">
        <w:rPr>
          <w:sz w:val="18"/>
          <w:szCs w:val="18"/>
        </w:rPr>
        <w:t>-</w:t>
      </w:r>
      <w:r w:rsidR="0044116F" w:rsidRPr="0044116F">
        <w:rPr>
          <w:sz w:val="18"/>
          <w:szCs w:val="18"/>
        </w:rPr>
        <w:t>activation or specialist equipment. The method features mild conditions (60</w:t>
      </w:r>
      <w:r w:rsidR="003E0376">
        <w:rPr>
          <w:sz w:val="18"/>
          <w:szCs w:val="18"/>
        </w:rPr>
        <w:t xml:space="preserve"> </w:t>
      </w:r>
      <w:r w:rsidR="0044116F" w:rsidRPr="0044116F">
        <w:rPr>
          <w:sz w:val="18"/>
          <w:szCs w:val="18"/>
        </w:rPr>
        <w:t xml:space="preserve">°C) and promises to constitute a valuable </w:t>
      </w:r>
      <w:r w:rsidR="00226175">
        <w:rPr>
          <w:sz w:val="18"/>
          <w:szCs w:val="18"/>
        </w:rPr>
        <w:t>approach to</w:t>
      </w:r>
      <w:r w:rsidR="00EB036A">
        <w:rPr>
          <w:sz w:val="18"/>
          <w:szCs w:val="18"/>
        </w:rPr>
        <w:t xml:space="preserve"> labelling of biomolecules</w:t>
      </w:r>
      <w:r w:rsidR="0044116F" w:rsidRPr="0044116F" w:rsidDel="007F2942">
        <w:rPr>
          <w:sz w:val="18"/>
          <w:szCs w:val="18"/>
        </w:rPr>
        <w:t xml:space="preserve"> </w:t>
      </w:r>
      <w:r w:rsidR="0044116F" w:rsidRPr="0044116F">
        <w:rPr>
          <w:sz w:val="18"/>
          <w:szCs w:val="18"/>
        </w:rPr>
        <w:t xml:space="preserve">and drug </w:t>
      </w:r>
      <w:r w:rsidR="00EB036A">
        <w:rPr>
          <w:sz w:val="18"/>
          <w:szCs w:val="18"/>
        </w:rPr>
        <w:t>substances</w:t>
      </w:r>
      <w:r w:rsidR="0044116F" w:rsidRPr="0044116F">
        <w:rPr>
          <w:sz w:val="18"/>
          <w:szCs w:val="18"/>
        </w:rPr>
        <w:t>.</w:t>
      </w:r>
    </w:p>
    <w:p w14:paraId="4AAC13A6" w14:textId="760ACFCF" w:rsidR="0044116F" w:rsidRPr="0044116F" w:rsidRDefault="008F0CA7" w:rsidP="0044116F">
      <w:pPr>
        <w:pStyle w:val="RSCB04SectionHeading"/>
        <w:spacing w:before="120"/>
        <w:jc w:val="both"/>
        <w:rPr>
          <w:szCs w:val="24"/>
        </w:rPr>
      </w:pPr>
      <w:r>
        <w:rPr>
          <w:szCs w:val="24"/>
        </w:rPr>
        <w:t>Introduction</w:t>
      </w:r>
      <w:bookmarkStart w:id="1" w:name="_Hlk45009468"/>
    </w:p>
    <w:bookmarkEnd w:id="1"/>
    <w:p w14:paraId="467A941B" w14:textId="4C956E92" w:rsidR="0044116F" w:rsidRDefault="00333CD8" w:rsidP="0044116F">
      <w:pPr>
        <w:pStyle w:val="RSCB04SectionHeading"/>
        <w:spacing w:before="120"/>
        <w:jc w:val="both"/>
        <w:rPr>
          <w:b w:val="0"/>
          <w:sz w:val="18"/>
          <w:szCs w:val="18"/>
        </w:rPr>
      </w:pPr>
      <w:r>
        <w:rPr>
          <w:b w:val="0"/>
          <w:sz w:val="18"/>
          <w:szCs w:val="18"/>
        </w:rPr>
        <w:t>The molecular imaging technique of</w:t>
      </w:r>
      <w:r w:rsidR="005A6E34">
        <w:rPr>
          <w:b w:val="0"/>
          <w:sz w:val="18"/>
          <w:szCs w:val="18"/>
        </w:rPr>
        <w:t xml:space="preserve"> </w:t>
      </w:r>
      <w:r w:rsidR="00E17EB0">
        <w:rPr>
          <w:b w:val="0"/>
          <w:sz w:val="18"/>
          <w:szCs w:val="18"/>
        </w:rPr>
        <w:t>Positron Emission T</w:t>
      </w:r>
      <w:r>
        <w:rPr>
          <w:b w:val="0"/>
          <w:sz w:val="18"/>
          <w:szCs w:val="18"/>
        </w:rPr>
        <w:t>omography (PET) has</w:t>
      </w:r>
      <w:r w:rsidR="005A6E34">
        <w:rPr>
          <w:b w:val="0"/>
          <w:sz w:val="18"/>
          <w:szCs w:val="18"/>
        </w:rPr>
        <w:t xml:space="preserve"> become</w:t>
      </w:r>
      <w:r w:rsidR="0044116F" w:rsidRPr="00736561">
        <w:rPr>
          <w:b w:val="0"/>
          <w:sz w:val="18"/>
          <w:szCs w:val="18"/>
        </w:rPr>
        <w:t xml:space="preserve"> widely used </w:t>
      </w:r>
      <w:r w:rsidR="00930FC3">
        <w:rPr>
          <w:b w:val="0"/>
          <w:sz w:val="18"/>
          <w:szCs w:val="18"/>
        </w:rPr>
        <w:t>for</w:t>
      </w:r>
      <w:r w:rsidR="005A6E34">
        <w:rPr>
          <w:b w:val="0"/>
          <w:sz w:val="18"/>
          <w:szCs w:val="18"/>
        </w:rPr>
        <w:t xml:space="preserve"> clinical disease diagnosis and monitoring</w:t>
      </w:r>
      <w:r w:rsidR="00930FC3">
        <w:rPr>
          <w:b w:val="0"/>
          <w:sz w:val="18"/>
          <w:szCs w:val="18"/>
        </w:rPr>
        <w:t>,</w:t>
      </w:r>
      <w:r w:rsidR="00930FC3">
        <w:rPr>
          <w:b w:val="0"/>
          <w:sz w:val="18"/>
          <w:szCs w:val="18"/>
        </w:rPr>
        <w:fldChar w:fldCharType="begin" w:fldLock="1"/>
      </w:r>
      <w:r w:rsidR="00085620">
        <w:rPr>
          <w:b w:val="0"/>
          <w:sz w:val="18"/>
          <w:szCs w:val="18"/>
        </w:rPr>
        <w:instrText>ADDIN CSL_CITATION {"citationItems":[{"id":"ITEM-1","itemData":{"DOI":"10.1007/BF02988499","ISSN":"1864-6433","abstract":"Cancer cells show increased metabolism of both glucose and amino acids, which can be monitored with18F-2-deoxy-2-fluoro-d-glucose (FDG), a glucose analogue, and11C-l-methionine (Met), respectively. FDG uptake is higher in fast-growing than in slow-growing tumors. FDG uptake is considered to be a good marker of the grade of malignancy. Several studies have indicated that the degree of FDG uptake in primary lung cancer can be used as a prognostic indicator. Differential diagnosis of lung tumors has been studied extensively with both computed tomography (CT) and positron emission tomography (PET). It has been established that FDG-PET is clinically very useful and that its diagnostic accuracy is higher than that of CT. Detection of lymph node or distant metastases in known cancer patients using a whole-body imaging technique with FDG-PET has become a good indication for PET. FDG uptake may be seen in a variety of tissues due to physiological glucose consumption. Also FDG uptake is not specific for cancer. Various types of active inflammation showed FDG uptake to a certain high level. Understanding of the physiological and benign causes of FDG uptake is important for accurate interpretation of FDG-PET.","author":[{"dropping-particle":"","family":"Kubota","given":"Kazuo","non-dropping-particle":"","parse-names":false,"suffix":""}],"container-title":"Annals of Nuclear Medicine","id":"ITEM-1","issue":"6","issued":{"date-parts":[["2001","12"]]},"page":"471-486","title":"From tumor biology to clinical PET: A review of positron emission tomography (PET) in oncology","type":"article-journal","volume":"15"},"uris":["http://www.mendeley.com/documents/?uuid=f0454288-7a12-4802-89e7-ad6abd4e45bd"]}],"mendeley":{"formattedCitation":"&lt;sup&gt;1&lt;/sup&gt;","plainTextFormattedCitation":"1","previouslyFormattedCitation":"(Kubota 2001)"},"properties":{"noteIndex":0},"schema":"https://github.com/citation-style-language/schema/raw/master/csl-citation.json"}</w:instrText>
      </w:r>
      <w:r w:rsidR="00930FC3">
        <w:rPr>
          <w:b w:val="0"/>
          <w:sz w:val="18"/>
          <w:szCs w:val="18"/>
        </w:rPr>
        <w:fldChar w:fldCharType="separate"/>
      </w:r>
      <w:r w:rsidR="00085620" w:rsidRPr="00085620">
        <w:rPr>
          <w:b w:val="0"/>
          <w:noProof/>
          <w:sz w:val="18"/>
          <w:szCs w:val="18"/>
          <w:vertAlign w:val="superscript"/>
        </w:rPr>
        <w:t>1</w:t>
      </w:r>
      <w:r w:rsidR="00930FC3">
        <w:rPr>
          <w:b w:val="0"/>
          <w:sz w:val="18"/>
          <w:szCs w:val="18"/>
        </w:rPr>
        <w:fldChar w:fldCharType="end"/>
      </w:r>
      <w:r w:rsidR="00930FC3">
        <w:rPr>
          <w:b w:val="0"/>
          <w:sz w:val="18"/>
          <w:szCs w:val="18"/>
        </w:rPr>
        <w:t xml:space="preserve"> </w:t>
      </w:r>
      <w:r>
        <w:rPr>
          <w:b w:val="0"/>
          <w:sz w:val="18"/>
          <w:szCs w:val="18"/>
        </w:rPr>
        <w:t>for</w:t>
      </w:r>
      <w:r w:rsidR="00930FC3">
        <w:rPr>
          <w:b w:val="0"/>
          <w:sz w:val="18"/>
          <w:szCs w:val="18"/>
        </w:rPr>
        <w:t xml:space="preserve"> the</w:t>
      </w:r>
      <w:r w:rsidR="00930FC3" w:rsidRPr="00736561">
        <w:rPr>
          <w:b w:val="0"/>
          <w:sz w:val="18"/>
          <w:szCs w:val="18"/>
        </w:rPr>
        <w:t xml:space="preserve"> development of pharmaceuticals</w:t>
      </w:r>
      <w:r w:rsidR="00930FC3">
        <w:rPr>
          <w:b w:val="0"/>
          <w:sz w:val="18"/>
          <w:szCs w:val="18"/>
        </w:rPr>
        <w:t>,</w:t>
      </w:r>
      <w:r w:rsidR="00930FC3">
        <w:rPr>
          <w:b w:val="0"/>
          <w:sz w:val="18"/>
          <w:szCs w:val="18"/>
        </w:rPr>
        <w:fldChar w:fldCharType="begin" w:fldLock="1"/>
      </w:r>
      <w:r w:rsidR="00085620">
        <w:rPr>
          <w:b w:val="0"/>
          <w:sz w:val="18"/>
          <w:szCs w:val="18"/>
        </w:rPr>
        <w:instrText>ADDIN CSL_CITATION {"citationItems":[{"id":"ITEM-1","itemData":{"DOI":"10.1038/sj.clpt.6100467","ISBN":"1532-6535","ISSN":"00099236","PMID":"18167503","abstract":"Molecular imaging biomarkers are playing an increasingly important role in efforts to increase the probability of success of drug candidates by helping to validate novel drug targets in support of proof-of-concept testing early in the drug discovery and development process. By facilitating better and faster decision-making, molecule and mechanism-based failures can be identified and eliminated from a research portfolio early in development thereby focusing research efforts on the best drug candidates and therapeutic hypotheses. Molecular imaging can be used to improve the cost-effectiveness of studying unprecedented mechanisms, decrease cycle time, and improve drug pipeline quality.","author":[{"dropping-particle":"","family":"Hargreaves","given":"R. J.","non-dropping-particle":"","parse-names":false,"suffix":""}],"container-title":"Clinical Pharmacology and Therapeutics","id":"ITEM-1","issue":"2","issued":{"date-parts":[["2008","2","2"]]},"page":"349-353","publisher":"The American Society for Clinical Pharmacology and Therapeutics","title":"The role of molecular imaging in drug discovery and development","title-short":"Clin Pharmacol Ther","type":"article-journal","volume":"83"},"uris":["http://www.mendeley.com/documents/?uuid=cfe067d9-b97d-48d3-bddc-29dbd6024bd3"]}],"mendeley":{"formattedCitation":"&lt;sup&gt;2&lt;/sup&gt;","plainTextFormattedCitation":"2","previouslyFormattedCitation":"(Hargreaves 2008)"},"properties":{"noteIndex":0},"schema":"https://github.com/citation-style-language/schema/raw/master/csl-citation.json"}</w:instrText>
      </w:r>
      <w:r w:rsidR="00930FC3">
        <w:rPr>
          <w:b w:val="0"/>
          <w:sz w:val="18"/>
          <w:szCs w:val="18"/>
        </w:rPr>
        <w:fldChar w:fldCharType="separate"/>
      </w:r>
      <w:r w:rsidR="00085620" w:rsidRPr="00085620">
        <w:rPr>
          <w:b w:val="0"/>
          <w:noProof/>
          <w:sz w:val="18"/>
          <w:szCs w:val="18"/>
          <w:vertAlign w:val="superscript"/>
        </w:rPr>
        <w:t>2</w:t>
      </w:r>
      <w:r w:rsidR="00930FC3">
        <w:rPr>
          <w:b w:val="0"/>
          <w:sz w:val="18"/>
          <w:szCs w:val="18"/>
        </w:rPr>
        <w:fldChar w:fldCharType="end"/>
      </w:r>
      <w:r w:rsidR="003422B1" w:rsidRPr="003422B1">
        <w:rPr>
          <w:b w:val="0"/>
          <w:sz w:val="18"/>
          <w:szCs w:val="18"/>
          <w:vertAlign w:val="superscript"/>
        </w:rPr>
        <w:t>,</w:t>
      </w:r>
      <w:r w:rsidR="00C13595">
        <w:rPr>
          <w:b w:val="0"/>
          <w:sz w:val="18"/>
          <w:szCs w:val="18"/>
        </w:rPr>
        <w:fldChar w:fldCharType="begin" w:fldLock="1"/>
      </w:r>
      <w:r w:rsidR="00085620">
        <w:rPr>
          <w:b w:val="0"/>
          <w:sz w:val="18"/>
          <w:szCs w:val="18"/>
        </w:rPr>
        <w:instrText>ADDIN CSL_CITATION {"citationItems":[{"id":"ITEM-1","itemData":{"DOI":"https://doi.org/10.1053/j.semnuclmed.2017.05.006","ISSN":"0001-2998","author":[{"dropping-particle":"","family":"Donnelly","given":"David J","non-dropping-particle":"","parse-names":false,"suffix":""}],"container-title":"Seminars in Nuclear Medicine","id":"ITEM-1","issue":"5","issued":{"date-parts":[["2017"]]},"page":"454-460","title":"Small Molecule PET Tracers in Drug Discovery","type":"article-journal","volume":"47"},"uris":["http://www.mendeley.com/documents/?uuid=c8fff794-d76e-48b8-b8b9-41dd9ea7b8b1"]}],"mendeley":{"formattedCitation":"&lt;sup&gt;3&lt;/sup&gt;","plainTextFormattedCitation":"3","previouslyFormattedCitation":"(Donnelly 2017)"},"properties":{"noteIndex":0},"schema":"https://github.com/citation-style-language/schema/raw/master/csl-citation.json"}</w:instrText>
      </w:r>
      <w:r w:rsidR="00C13595">
        <w:rPr>
          <w:b w:val="0"/>
          <w:sz w:val="18"/>
          <w:szCs w:val="18"/>
        </w:rPr>
        <w:fldChar w:fldCharType="separate"/>
      </w:r>
      <w:r w:rsidR="00085620" w:rsidRPr="00085620">
        <w:rPr>
          <w:b w:val="0"/>
          <w:noProof/>
          <w:sz w:val="18"/>
          <w:szCs w:val="18"/>
          <w:vertAlign w:val="superscript"/>
        </w:rPr>
        <w:t>3</w:t>
      </w:r>
      <w:r w:rsidR="00C13595">
        <w:rPr>
          <w:b w:val="0"/>
          <w:sz w:val="18"/>
          <w:szCs w:val="18"/>
        </w:rPr>
        <w:fldChar w:fldCharType="end"/>
      </w:r>
      <w:r w:rsidR="00930FC3">
        <w:rPr>
          <w:b w:val="0"/>
          <w:sz w:val="18"/>
          <w:szCs w:val="18"/>
        </w:rPr>
        <w:t xml:space="preserve"> and </w:t>
      </w:r>
      <w:r>
        <w:rPr>
          <w:b w:val="0"/>
          <w:sz w:val="18"/>
          <w:szCs w:val="18"/>
        </w:rPr>
        <w:t>for</w:t>
      </w:r>
      <w:r w:rsidR="00930FC3">
        <w:rPr>
          <w:b w:val="0"/>
          <w:sz w:val="18"/>
          <w:szCs w:val="18"/>
        </w:rPr>
        <w:t xml:space="preserve"> theranostic</w:t>
      </w:r>
      <w:r w:rsidR="00537470">
        <w:rPr>
          <w:b w:val="0"/>
          <w:sz w:val="18"/>
          <w:szCs w:val="18"/>
        </w:rPr>
        <w:fldChar w:fldCharType="begin" w:fldLock="1"/>
      </w:r>
      <w:r w:rsidR="00085620">
        <w:rPr>
          <w:b w:val="0"/>
          <w:sz w:val="18"/>
          <w:szCs w:val="18"/>
        </w:rPr>
        <w:instrText>ADDIN CSL_CITATION {"citationItems":[{"id":"ITEM-1","itemData":{"DOI":"10.1021/bc200151q","ISSN":"1043-1802","author":[{"dropping-particle":"","family":"Kelkar","given":"Sneha S","non-dropping-particle":"","parse-names":false,"suffix":""},{"dropping-particle":"","family":"Reineke","given":"Theresa M","non-dropping-particle":"","parse-names":false,"suffix":""}],"container-title":"Bioconjugate Chemistry","id":"ITEM-1","issue":"10","issued":{"date-parts":[["2011","10","19"]]},"note":"doi: 10.1021/bc200151q","page":"1879-1903","publisher":"American Chemical Society","title":"Theranostics: Combining Imaging and Therapy","type":"article-journal","volume":"22"},"uris":["http://www.mendeley.com/documents/?uuid=dedd928c-14c9-4433-88bb-1321b94f427e"]}],"mendeley":{"formattedCitation":"&lt;sup&gt;4&lt;/sup&gt;","plainTextFormattedCitation":"4","previouslyFormattedCitation":"(Kelkar and Reineke 2011)"},"properties":{"noteIndex":0},"schema":"https://github.com/citation-style-language/schema/raw/master/csl-citation.json"}</w:instrText>
      </w:r>
      <w:r w:rsidR="00537470">
        <w:rPr>
          <w:b w:val="0"/>
          <w:sz w:val="18"/>
          <w:szCs w:val="18"/>
        </w:rPr>
        <w:fldChar w:fldCharType="separate"/>
      </w:r>
      <w:r w:rsidR="00085620" w:rsidRPr="00085620">
        <w:rPr>
          <w:b w:val="0"/>
          <w:noProof/>
          <w:sz w:val="18"/>
          <w:szCs w:val="18"/>
          <w:vertAlign w:val="superscript"/>
        </w:rPr>
        <w:t>4</w:t>
      </w:r>
      <w:r w:rsidR="00537470">
        <w:rPr>
          <w:b w:val="0"/>
          <w:sz w:val="18"/>
          <w:szCs w:val="18"/>
        </w:rPr>
        <w:fldChar w:fldCharType="end"/>
      </w:r>
      <w:r w:rsidR="00930FC3">
        <w:rPr>
          <w:b w:val="0"/>
          <w:sz w:val="18"/>
          <w:szCs w:val="18"/>
        </w:rPr>
        <w:t xml:space="preserve"> applications.</w:t>
      </w:r>
      <w:r w:rsidR="00537470">
        <w:rPr>
          <w:b w:val="0"/>
          <w:sz w:val="18"/>
          <w:szCs w:val="18"/>
        </w:rPr>
        <w:fldChar w:fldCharType="begin" w:fldLock="1"/>
      </w:r>
      <w:r w:rsidR="00085620">
        <w:rPr>
          <w:b w:val="0"/>
          <w:sz w:val="18"/>
          <w:szCs w:val="18"/>
        </w:rPr>
        <w:instrText>ADDIN CSL_CITATION {"citationItems":[{"id":"ITEM-1","itemData":{"DOI":"10.1021/cr0782426","ISSN":"0009-2665","author":[{"dropping-particle":"","family":"Ametamey","given":"Simon M","non-dropping-particle":"","parse-names":false,"suffix":""},{"dropping-particle":"","family":"Honer","given":"Michael","non-dropping-particle":"","parse-names":false,"suffix":""},{"dropping-particle":"","family":"Schubiger","given":"Pius August","non-dropping-particle":"","parse-names":false,"suffix":""}],"container-title":"Chemical Reviews","id":"ITEM-1","issue":"5","issued":{"date-parts":[["2008","5","1"]]},"note":"doi: 10.1021/cr0782426","page":"1501-1516","publisher":"American Chemical Society","title":"Molecular Imaging with PET","type":"article-journal","volume":"108"},"uris":["http://www.mendeley.com/documents/?uuid=cedfa766-7943-44f4-8966-7656ce04875a"]}],"mendeley":{"formattedCitation":"&lt;sup&gt;5&lt;/sup&gt;","plainTextFormattedCitation":"5","previouslyFormattedCitation":"(Ametamey, Honer, and Schubiger 2008)"},"properties":{"noteIndex":0},"schema":"https://github.com/citation-style-language/schema/raw/master/csl-citation.json"}</w:instrText>
      </w:r>
      <w:r w:rsidR="00537470">
        <w:rPr>
          <w:b w:val="0"/>
          <w:sz w:val="18"/>
          <w:szCs w:val="18"/>
        </w:rPr>
        <w:fldChar w:fldCharType="separate"/>
      </w:r>
      <w:r w:rsidR="00085620" w:rsidRPr="00085620">
        <w:rPr>
          <w:b w:val="0"/>
          <w:noProof/>
          <w:sz w:val="18"/>
          <w:szCs w:val="18"/>
          <w:vertAlign w:val="superscript"/>
        </w:rPr>
        <w:t>5</w:t>
      </w:r>
      <w:r w:rsidR="00537470">
        <w:rPr>
          <w:b w:val="0"/>
          <w:sz w:val="18"/>
          <w:szCs w:val="18"/>
        </w:rPr>
        <w:fldChar w:fldCharType="end"/>
      </w:r>
      <w:r w:rsidR="00930FC3">
        <w:rPr>
          <w:b w:val="0"/>
          <w:sz w:val="18"/>
          <w:szCs w:val="18"/>
        </w:rPr>
        <w:t xml:space="preserve"> </w:t>
      </w:r>
      <w:r w:rsidR="0044116F" w:rsidRPr="00736561">
        <w:rPr>
          <w:b w:val="0"/>
          <w:sz w:val="18"/>
          <w:szCs w:val="18"/>
        </w:rPr>
        <w:t>Fluorine-18 is one of the most com</w:t>
      </w:r>
      <w:r w:rsidR="005E7EC6">
        <w:rPr>
          <w:b w:val="0"/>
          <w:sz w:val="18"/>
          <w:szCs w:val="18"/>
        </w:rPr>
        <w:t xml:space="preserve">monly used radioisotopes in PET </w:t>
      </w:r>
      <w:r w:rsidR="0044116F" w:rsidRPr="00736561">
        <w:rPr>
          <w:b w:val="0"/>
          <w:sz w:val="18"/>
          <w:szCs w:val="18"/>
        </w:rPr>
        <w:t xml:space="preserve">due to its </w:t>
      </w:r>
      <w:r w:rsidR="0044116F">
        <w:rPr>
          <w:b w:val="0"/>
          <w:sz w:val="18"/>
          <w:szCs w:val="18"/>
        </w:rPr>
        <w:t>favourable</w:t>
      </w:r>
      <w:r w:rsidR="0044116F" w:rsidRPr="00736561">
        <w:rPr>
          <w:b w:val="0"/>
          <w:sz w:val="18"/>
          <w:szCs w:val="18"/>
        </w:rPr>
        <w:t xml:space="preserve"> </w:t>
      </w:r>
      <w:r w:rsidR="0044116F">
        <w:rPr>
          <w:b w:val="0"/>
          <w:sz w:val="18"/>
          <w:szCs w:val="18"/>
        </w:rPr>
        <w:t>balance</w:t>
      </w:r>
      <w:r w:rsidR="0044116F" w:rsidRPr="00736561">
        <w:rPr>
          <w:b w:val="0"/>
          <w:sz w:val="18"/>
          <w:szCs w:val="18"/>
        </w:rPr>
        <w:t xml:space="preserve"> of </w:t>
      </w:r>
      <w:r w:rsidR="0044116F">
        <w:rPr>
          <w:b w:val="0"/>
          <w:sz w:val="18"/>
          <w:szCs w:val="18"/>
        </w:rPr>
        <w:t xml:space="preserve">long </w:t>
      </w:r>
      <w:r w:rsidR="0044116F" w:rsidRPr="00736561">
        <w:rPr>
          <w:b w:val="0"/>
          <w:sz w:val="18"/>
          <w:szCs w:val="18"/>
        </w:rPr>
        <w:t xml:space="preserve">half-life, </w:t>
      </w:r>
      <w:r w:rsidR="0044116F">
        <w:rPr>
          <w:b w:val="0"/>
          <w:sz w:val="18"/>
          <w:szCs w:val="18"/>
        </w:rPr>
        <w:t xml:space="preserve">high </w:t>
      </w:r>
      <w:r w:rsidR="0044116F" w:rsidRPr="00736561">
        <w:rPr>
          <w:b w:val="0"/>
          <w:sz w:val="18"/>
          <w:szCs w:val="18"/>
        </w:rPr>
        <w:t xml:space="preserve">photon flux, and </w:t>
      </w:r>
      <w:r w:rsidR="00597523">
        <w:rPr>
          <w:b w:val="0"/>
          <w:sz w:val="18"/>
          <w:szCs w:val="18"/>
        </w:rPr>
        <w:t>low positron</w:t>
      </w:r>
      <w:r w:rsidR="0044116F">
        <w:rPr>
          <w:b w:val="0"/>
          <w:sz w:val="18"/>
          <w:szCs w:val="18"/>
        </w:rPr>
        <w:t xml:space="preserve"> </w:t>
      </w:r>
      <w:r w:rsidR="0044116F" w:rsidRPr="00736561">
        <w:rPr>
          <w:b w:val="0"/>
          <w:sz w:val="18"/>
          <w:szCs w:val="18"/>
        </w:rPr>
        <w:t>energ</w:t>
      </w:r>
      <w:r w:rsidR="0044116F">
        <w:rPr>
          <w:b w:val="0"/>
          <w:sz w:val="18"/>
          <w:szCs w:val="18"/>
        </w:rPr>
        <w:t>y (109 min, 97% β+ and 0.6 MeV Eβ+, respectively)</w:t>
      </w:r>
      <w:r w:rsidR="005E7EC6">
        <w:rPr>
          <w:b w:val="0"/>
          <w:sz w:val="18"/>
          <w:szCs w:val="18"/>
        </w:rPr>
        <w:t>,</w:t>
      </w:r>
      <w:r w:rsidR="00E4034C">
        <w:rPr>
          <w:b w:val="0"/>
          <w:sz w:val="18"/>
          <w:szCs w:val="18"/>
        </w:rPr>
        <w:fldChar w:fldCharType="begin" w:fldLock="1"/>
      </w:r>
      <w:r w:rsidR="00085620">
        <w:rPr>
          <w:b w:val="0"/>
          <w:sz w:val="18"/>
          <w:szCs w:val="18"/>
        </w:rPr>
        <w:instrText>ADDIN CSL_CITATION {"citationItems":[{"id":"ITEM-1","itemData":{"DOI":"10.1021/acs.chemrev.5b00493","ISSN":"0009-2665","author":[{"dropping-particle":"","family":"Preshlock","given":"Sean","non-dropping-particle":"","parse-names":false,"suffix":""},{"dropping-particle":"","family":"Tredwell","given":"Matthew","non-dropping-particle":"","parse-names":false,"suffix":""},{"dropping-particle":"","family":"Gouverneur","given":"Véronique","non-dropping-particle":"","parse-names":false,"suffix":""}],"container-title":"Chemical Reviews","id":"ITEM-1","issue":"2","issued":{"date-parts":[["2016","1","27"]]},"note":"doi: 10.1021/acs.chemrev.5b00493","page":"719-766","publisher":"American Chemical Society","title":"18F-Labeling of Arenes and Heteroarenes for Applications in Positron Emission Tomography","type":"article-journal","volume":"116"},"uris":["http://www.mendeley.com/documents/?uuid=1ab678f0-90ee-40a4-bb3c-67c2a2e8dfd9"]}],"mendeley":{"formattedCitation":"&lt;sup&gt;6&lt;/sup&gt;","plainTextFormattedCitation":"6","previouslyFormattedCitation":"(Preshlock, Tredwell, and Gouverneur 2016)"},"properties":{"noteIndex":0},"schema":"https://github.com/citation-style-language/schema/raw/master/csl-citation.json"}</w:instrText>
      </w:r>
      <w:r w:rsidR="00E4034C">
        <w:rPr>
          <w:b w:val="0"/>
          <w:sz w:val="18"/>
          <w:szCs w:val="18"/>
        </w:rPr>
        <w:fldChar w:fldCharType="separate"/>
      </w:r>
      <w:r w:rsidR="00085620" w:rsidRPr="00085620">
        <w:rPr>
          <w:b w:val="0"/>
          <w:noProof/>
          <w:sz w:val="18"/>
          <w:szCs w:val="18"/>
          <w:vertAlign w:val="superscript"/>
        </w:rPr>
        <w:t>6</w:t>
      </w:r>
      <w:r w:rsidR="00E4034C">
        <w:rPr>
          <w:b w:val="0"/>
          <w:sz w:val="18"/>
          <w:szCs w:val="18"/>
        </w:rPr>
        <w:fldChar w:fldCharType="end"/>
      </w:r>
      <w:r w:rsidR="0044116F" w:rsidRPr="00736561">
        <w:rPr>
          <w:b w:val="0"/>
          <w:sz w:val="18"/>
          <w:szCs w:val="18"/>
        </w:rPr>
        <w:t xml:space="preserve"> </w:t>
      </w:r>
      <w:r w:rsidR="00AB4250">
        <w:rPr>
          <w:b w:val="0"/>
          <w:sz w:val="18"/>
          <w:szCs w:val="18"/>
        </w:rPr>
        <w:t>as well as</w:t>
      </w:r>
      <w:r w:rsidR="005E7EC6">
        <w:rPr>
          <w:b w:val="0"/>
          <w:sz w:val="18"/>
          <w:szCs w:val="18"/>
        </w:rPr>
        <w:t xml:space="preserve"> the prevalence of fluorine in marketed drugs. </w:t>
      </w:r>
      <w:r w:rsidR="0044116F" w:rsidRPr="00736561">
        <w:rPr>
          <w:b w:val="0"/>
          <w:sz w:val="18"/>
          <w:szCs w:val="18"/>
        </w:rPr>
        <w:t>Currently, approximately 25% of all pharmaceuticals contain a fluorine atom (</w:t>
      </w:r>
      <w:r w:rsidR="0044116F">
        <w:rPr>
          <w:b w:val="0"/>
          <w:i/>
          <w:sz w:val="18"/>
          <w:szCs w:val="18"/>
        </w:rPr>
        <w:t>c</w:t>
      </w:r>
      <w:r w:rsidR="0044116F" w:rsidRPr="00EC50CF">
        <w:rPr>
          <w:b w:val="0"/>
          <w:i/>
          <w:sz w:val="18"/>
          <w:szCs w:val="18"/>
        </w:rPr>
        <w:t xml:space="preserve">f. </w:t>
      </w:r>
      <w:r w:rsidR="0044116F" w:rsidRPr="00736561">
        <w:rPr>
          <w:b w:val="0"/>
          <w:sz w:val="18"/>
          <w:szCs w:val="18"/>
        </w:rPr>
        <w:t>only 2% in 1970),</w:t>
      </w:r>
      <w:r w:rsidR="0044116F">
        <w:rPr>
          <w:b w:val="0"/>
          <w:sz w:val="18"/>
          <w:szCs w:val="18"/>
        </w:rPr>
        <w:fldChar w:fldCharType="begin" w:fldLock="1"/>
      </w:r>
      <w:r w:rsidR="00085620">
        <w:rPr>
          <w:b w:val="0"/>
          <w:sz w:val="18"/>
          <w:szCs w:val="18"/>
        </w:rPr>
        <w:instrText>ADDIN CSL_CITATION {"citationItems":[{"id":"ITEM-1","itemData":{"DOI":"10.1021/cr4002879","ISSN":"1520-6890","PMID":"24299176","author":[{"dropping-particle":"","family":"Wang","given":"Jiang","non-dropping-particle":"","parse-names":false,"suffix":""},{"dropping-particle":"","family":"Sánchez-Roselló","given":"María","non-dropping-particle":"","parse-names":false,"suffix":""},{"dropping-particle":"","family":"Aceña","given":"José Luis","non-dropping-particle":"","parse-names":false,"suffix":""},{"dropping-particle":"","family":"Pozo","given":"Carlos","non-dropping-particle":"del","parse-names":false,"suffix":""},{"dropping-particle":"","family":"Sorochinsky","given":"Alexander E","non-dropping-particle":"","parse-names":false,"suffix":""},{"dropping-particle":"","family":"Fustero","given":"Santos","non-dropping-particle":"","parse-names":false,"suffix":""},{"dropping-particle":"","family":"Soloshonok","given":"Vadim A","non-dropping-particle":"","parse-names":false,"suffix":""},{"dropping-particle":"","family":"Liu","given":"Hong","non-dropping-particle":"","parse-names":false,"suffix":""}],"container-title":"Chemical reviews","id":"ITEM-1","issue":"4","issued":{"date-parts":[["2014","2"]]},"page":"2432-506","title":"Fluorine in pharmaceutical industry: fluorine-containing drugs introduced to the market in the last decade (2001-2011).","type":"article-journal","volume":"114"},"uris":["http://www.mendeley.com/documents/?uuid=3f01cc03-ec72-499c-8e40-e15ce2c0b530"]}],"mendeley":{"formattedCitation":"&lt;sup&gt;7&lt;/sup&gt;","plainTextFormattedCitation":"7","previouslyFormattedCitation":"(Wang et al. 2014)"},"properties":{"noteIndex":0},"schema":"https://github.com/citation-style-language/schema/raw/master/csl-citation.json"}</w:instrText>
      </w:r>
      <w:r w:rsidR="0044116F">
        <w:rPr>
          <w:b w:val="0"/>
          <w:sz w:val="18"/>
          <w:szCs w:val="18"/>
        </w:rPr>
        <w:fldChar w:fldCharType="separate"/>
      </w:r>
      <w:r w:rsidR="00085620" w:rsidRPr="00085620">
        <w:rPr>
          <w:b w:val="0"/>
          <w:noProof/>
          <w:sz w:val="18"/>
          <w:szCs w:val="18"/>
          <w:vertAlign w:val="superscript"/>
        </w:rPr>
        <w:t>7</w:t>
      </w:r>
      <w:r w:rsidR="0044116F">
        <w:rPr>
          <w:b w:val="0"/>
          <w:sz w:val="18"/>
          <w:szCs w:val="18"/>
        </w:rPr>
        <w:fldChar w:fldCharType="end"/>
      </w:r>
      <w:r w:rsidR="0044116F" w:rsidRPr="00736561">
        <w:rPr>
          <w:b w:val="0"/>
          <w:sz w:val="18"/>
          <w:szCs w:val="18"/>
        </w:rPr>
        <w:t xml:space="preserve"> </w:t>
      </w:r>
      <w:r w:rsidR="0044116F">
        <w:rPr>
          <w:b w:val="0"/>
          <w:sz w:val="18"/>
          <w:szCs w:val="18"/>
        </w:rPr>
        <w:t>in part</w:t>
      </w:r>
      <w:r w:rsidR="00597523">
        <w:rPr>
          <w:b w:val="0"/>
          <w:sz w:val="18"/>
          <w:szCs w:val="18"/>
        </w:rPr>
        <w:t xml:space="preserve"> reflecting </w:t>
      </w:r>
      <w:r w:rsidR="003F53B0">
        <w:rPr>
          <w:b w:val="0"/>
          <w:sz w:val="18"/>
          <w:szCs w:val="18"/>
        </w:rPr>
        <w:t xml:space="preserve">increased awareness of </w:t>
      </w:r>
      <w:r w:rsidR="0044116F">
        <w:rPr>
          <w:b w:val="0"/>
          <w:sz w:val="18"/>
          <w:szCs w:val="18"/>
        </w:rPr>
        <w:t xml:space="preserve">the </w:t>
      </w:r>
      <w:r w:rsidR="0044116F" w:rsidRPr="00736561">
        <w:rPr>
          <w:b w:val="0"/>
          <w:sz w:val="18"/>
          <w:szCs w:val="18"/>
        </w:rPr>
        <w:t>beneficial pharmacokinetic properties</w:t>
      </w:r>
      <w:r w:rsidR="0044116F">
        <w:rPr>
          <w:b w:val="0"/>
          <w:sz w:val="18"/>
          <w:szCs w:val="18"/>
        </w:rPr>
        <w:t xml:space="preserve"> that fluorine can impart</w:t>
      </w:r>
      <w:r w:rsidR="00597523">
        <w:rPr>
          <w:b w:val="0"/>
          <w:sz w:val="18"/>
          <w:szCs w:val="18"/>
        </w:rPr>
        <w:t xml:space="preserve"> on drug substances</w:t>
      </w:r>
      <w:r w:rsidR="0044116F" w:rsidRPr="00736561">
        <w:rPr>
          <w:b w:val="0"/>
          <w:sz w:val="18"/>
          <w:szCs w:val="18"/>
        </w:rPr>
        <w:t>.</w:t>
      </w:r>
      <w:r w:rsidR="003F53B0">
        <w:rPr>
          <w:b w:val="0"/>
          <w:sz w:val="18"/>
          <w:szCs w:val="18"/>
        </w:rPr>
        <w:fldChar w:fldCharType="begin" w:fldLock="1"/>
      </w:r>
      <w:r w:rsidR="00085620">
        <w:rPr>
          <w:b w:val="0"/>
          <w:sz w:val="18"/>
          <w:szCs w:val="18"/>
        </w:rPr>
        <w:instrText>ADDIN CSL_CITATION {"citationItems":[{"id":"ITEM-1","itemData":{"DOI":"10.1021/acs.jmedchem.5b00258","ISSN":"0022-2623","author":[{"dropping-particle":"","family":"Gillis","given":"Eric P","non-dropping-particle":"","parse-names":false,"suffix":""},{"dropping-particle":"","family":"Eastman","given":"Kyle J","non-dropping-particle":"","parse-names":false,"suffix":""},{"dropping-particle":"","family":"Hill","given":"Matthew D","non-dropping-particle":"","parse-names":false,"suffix":""},{"dropping-particle":"","family":"Donnelly","given":"David J","non-dropping-particle":"","parse-names":false,"suffix":""},{"dropping-particle":"","family":"Meanwell","given":"Nicholas A","non-dropping-particle":"","parse-names":false,"suffix":""}],"container-title":"Journal of Medicinal Chemistry","id":"ITEM-1","issue":"21","issued":{"date-parts":[["2015","11","12"]]},"note":"doi: 10.1021/acs.jmedchem.5b00258","page":"8315-8359","publisher":"American Chemical Society","title":"Applications of Fluorine in Medicinal Chemistry","type":"article-journal","volume":"58"},"uris":["http://www.mendeley.com/documents/?uuid=0e53cb57-c76c-4808-9f57-12d33a64189b"]}],"mendeley":{"formattedCitation":"&lt;sup&gt;8&lt;/sup&gt;","plainTextFormattedCitation":"8","previouslyFormattedCitation":"(Gillis et al. 2015)"},"properties":{"noteIndex":0},"schema":"https://github.com/citation-style-language/schema/raw/master/csl-citation.json"}</w:instrText>
      </w:r>
      <w:r w:rsidR="003F53B0">
        <w:rPr>
          <w:b w:val="0"/>
          <w:sz w:val="18"/>
          <w:szCs w:val="18"/>
        </w:rPr>
        <w:fldChar w:fldCharType="separate"/>
      </w:r>
      <w:r w:rsidR="00085620" w:rsidRPr="00085620">
        <w:rPr>
          <w:b w:val="0"/>
          <w:noProof/>
          <w:sz w:val="18"/>
          <w:szCs w:val="18"/>
          <w:vertAlign w:val="superscript"/>
        </w:rPr>
        <w:t>8</w:t>
      </w:r>
      <w:r w:rsidR="003F53B0">
        <w:rPr>
          <w:b w:val="0"/>
          <w:sz w:val="18"/>
          <w:szCs w:val="18"/>
        </w:rPr>
        <w:fldChar w:fldCharType="end"/>
      </w:r>
      <w:r w:rsidR="003F53B0" w:rsidRPr="00736561">
        <w:rPr>
          <w:b w:val="0"/>
          <w:sz w:val="18"/>
          <w:szCs w:val="18"/>
        </w:rPr>
        <w:t xml:space="preserve"> </w:t>
      </w:r>
      <w:r w:rsidR="005E7EC6">
        <w:rPr>
          <w:b w:val="0"/>
          <w:sz w:val="18"/>
          <w:szCs w:val="18"/>
        </w:rPr>
        <w:t>C</w:t>
      </w:r>
      <w:r>
        <w:rPr>
          <w:b w:val="0"/>
          <w:sz w:val="18"/>
          <w:szCs w:val="18"/>
        </w:rPr>
        <w:t xml:space="preserve">onsequently, there is </w:t>
      </w:r>
      <w:r w:rsidR="0044116F" w:rsidRPr="00736561">
        <w:rPr>
          <w:b w:val="0"/>
          <w:sz w:val="18"/>
          <w:szCs w:val="18"/>
        </w:rPr>
        <w:t xml:space="preserve">high demand for </w:t>
      </w:r>
      <w:r w:rsidR="003F53B0">
        <w:rPr>
          <w:b w:val="0"/>
          <w:sz w:val="18"/>
          <w:szCs w:val="18"/>
        </w:rPr>
        <w:t xml:space="preserve">the development of </w:t>
      </w:r>
      <w:r w:rsidR="0044116F" w:rsidRPr="00736561">
        <w:rPr>
          <w:b w:val="0"/>
          <w:sz w:val="18"/>
          <w:szCs w:val="18"/>
        </w:rPr>
        <w:t>[</w:t>
      </w:r>
      <w:r w:rsidR="0044116F" w:rsidRPr="00736561">
        <w:rPr>
          <w:b w:val="0"/>
          <w:sz w:val="18"/>
          <w:szCs w:val="18"/>
          <w:vertAlign w:val="superscript"/>
        </w:rPr>
        <w:t>18</w:t>
      </w:r>
      <w:r>
        <w:rPr>
          <w:b w:val="0"/>
          <w:sz w:val="18"/>
          <w:szCs w:val="18"/>
        </w:rPr>
        <w:t>F]</w:t>
      </w:r>
      <w:r w:rsidR="0044116F" w:rsidRPr="00736561">
        <w:rPr>
          <w:b w:val="0"/>
          <w:sz w:val="18"/>
          <w:szCs w:val="18"/>
        </w:rPr>
        <w:t>tracers</w:t>
      </w:r>
      <w:r w:rsidR="008C4879">
        <w:rPr>
          <w:b w:val="0"/>
          <w:sz w:val="18"/>
          <w:szCs w:val="18"/>
        </w:rPr>
        <w:t xml:space="preserve"> to</w:t>
      </w:r>
      <w:r w:rsidR="003F53B0">
        <w:rPr>
          <w:b w:val="0"/>
          <w:sz w:val="18"/>
          <w:szCs w:val="18"/>
        </w:rPr>
        <w:t xml:space="preserve"> </w:t>
      </w:r>
      <w:r w:rsidR="008C4879">
        <w:rPr>
          <w:b w:val="0"/>
          <w:sz w:val="18"/>
          <w:szCs w:val="18"/>
        </w:rPr>
        <w:t>build</w:t>
      </w:r>
      <w:r w:rsidR="005E7EC6">
        <w:rPr>
          <w:b w:val="0"/>
          <w:sz w:val="18"/>
          <w:szCs w:val="18"/>
        </w:rPr>
        <w:t xml:space="preserve"> upon the notable success</w:t>
      </w:r>
      <w:r w:rsidR="003F53B0">
        <w:rPr>
          <w:b w:val="0"/>
          <w:sz w:val="18"/>
          <w:szCs w:val="18"/>
        </w:rPr>
        <w:t xml:space="preserve"> of </w:t>
      </w:r>
      <w:r w:rsidR="00AB4250">
        <w:rPr>
          <w:b w:val="0"/>
          <w:sz w:val="18"/>
          <w:szCs w:val="18"/>
        </w:rPr>
        <w:t>clinical agents</w:t>
      </w:r>
      <w:r w:rsidR="005E7EC6">
        <w:rPr>
          <w:b w:val="0"/>
          <w:sz w:val="18"/>
          <w:szCs w:val="18"/>
        </w:rPr>
        <w:t xml:space="preserve"> such as</w:t>
      </w:r>
      <w:r w:rsidR="0044116F" w:rsidRPr="00736561">
        <w:rPr>
          <w:b w:val="0"/>
          <w:sz w:val="18"/>
          <w:szCs w:val="18"/>
        </w:rPr>
        <w:t xml:space="preserve"> [</w:t>
      </w:r>
      <w:r w:rsidR="0044116F" w:rsidRPr="00736561">
        <w:rPr>
          <w:b w:val="0"/>
          <w:sz w:val="18"/>
          <w:szCs w:val="18"/>
          <w:vertAlign w:val="superscript"/>
        </w:rPr>
        <w:t>18</w:t>
      </w:r>
      <w:r w:rsidR="0044116F" w:rsidRPr="00736561">
        <w:rPr>
          <w:b w:val="0"/>
          <w:sz w:val="18"/>
          <w:szCs w:val="18"/>
        </w:rPr>
        <w:t>F]fluorodeoxyglucose</w:t>
      </w:r>
      <w:r w:rsidR="005E7EC6">
        <w:rPr>
          <w:b w:val="0"/>
          <w:sz w:val="18"/>
          <w:szCs w:val="18"/>
        </w:rPr>
        <w:fldChar w:fldCharType="begin" w:fldLock="1"/>
      </w:r>
      <w:r w:rsidR="00085620">
        <w:rPr>
          <w:b w:val="0"/>
          <w:sz w:val="18"/>
          <w:szCs w:val="18"/>
        </w:rPr>
        <w:instrText>ADDIN CSL_CITATION {"citationItems":[{"id":"ITEM-1","itemData":{"DOI":"10.1007/s11547-014-0446-4","ISSN":"1826-6983","abstract":"Positron emission tomography, most commonly with 18F-fluorodeoxyglucose, is being used for evaluation of tumour response to therapy. Limitations of this method are associated with (1) fluorodeoxyglucose pharmacokinetic properties, (2) the detection system, (3) discrepancies between metabolic and anatomic images, and (4) acquisition standardization. Response to therapy may be evaluated with qualitative (Deauville score), semiquantitative (standardised uptake value), and quantitative methods (European Organization for Research and Treatment of Cancer; Positron Emission Tomography Response Criteria in Solid Tumours). Methods under evaluation include metabolic tumour volume, total lesion glycolysis, and heterogeneity of fluorodeoxyglucose uptake. The development of positron emission tomography scanners that have larger fields of view may facilitate tumour assessment based on kinetic modelling. Increased clinical use of these methods will depend on the development and validation of intuitive and simple analytic tools.","author":[{"dropping-particle":"","family":"d'Amico","given":"Andrea","non-dropping-particle":"","parse-names":false,"suffix":""}],"container-title":"La radiologia medica","id":"ITEM-1","issue":"4","issued":{"date-parts":[["2015","4"]]},"page":"345-351","title":"Review of clinical practice utility of positron emission tomography with 18F-fluorodeoxyglucose in assessing tumour response to therapy","type":"article-journal","volume":"120"},"uris":["http://www.mendeley.com/documents/?uuid=901b1072-30e2-4464-bd2a-3f12239d155e"]}],"mendeley":{"formattedCitation":"&lt;sup&gt;9&lt;/sup&gt;","plainTextFormattedCitation":"9","previouslyFormattedCitation":"(d’Amico 2015)"},"properties":{"noteIndex":0},"schema":"https://github.com/citation-style-language/schema/raw/master/csl-citation.json"}</w:instrText>
      </w:r>
      <w:r w:rsidR="005E7EC6">
        <w:rPr>
          <w:b w:val="0"/>
          <w:sz w:val="18"/>
          <w:szCs w:val="18"/>
        </w:rPr>
        <w:fldChar w:fldCharType="separate"/>
      </w:r>
      <w:r w:rsidR="00085620" w:rsidRPr="00085620">
        <w:rPr>
          <w:b w:val="0"/>
          <w:noProof/>
          <w:sz w:val="18"/>
          <w:szCs w:val="18"/>
          <w:vertAlign w:val="superscript"/>
        </w:rPr>
        <w:t>9</w:t>
      </w:r>
      <w:r w:rsidR="005E7EC6">
        <w:rPr>
          <w:b w:val="0"/>
          <w:sz w:val="18"/>
          <w:szCs w:val="18"/>
        </w:rPr>
        <w:fldChar w:fldCharType="end"/>
      </w:r>
      <w:r w:rsidR="0044116F" w:rsidRPr="00736561">
        <w:rPr>
          <w:b w:val="0"/>
          <w:sz w:val="18"/>
          <w:szCs w:val="18"/>
        </w:rPr>
        <w:t xml:space="preserve"> and [</w:t>
      </w:r>
      <w:r w:rsidR="0044116F" w:rsidRPr="00736561">
        <w:rPr>
          <w:b w:val="0"/>
          <w:sz w:val="18"/>
          <w:szCs w:val="18"/>
          <w:vertAlign w:val="superscript"/>
        </w:rPr>
        <w:t>18</w:t>
      </w:r>
      <w:r w:rsidR="0044116F" w:rsidRPr="00736561">
        <w:rPr>
          <w:b w:val="0"/>
          <w:sz w:val="18"/>
          <w:szCs w:val="18"/>
        </w:rPr>
        <w:t>F]fluorodopa</w:t>
      </w:r>
      <w:r w:rsidR="003F53B0" w:rsidRPr="00C076EB">
        <w:rPr>
          <w:b w:val="0"/>
          <w:sz w:val="18"/>
          <w:szCs w:val="18"/>
        </w:rPr>
        <w:fldChar w:fldCharType="begin" w:fldLock="1"/>
      </w:r>
      <w:r w:rsidR="00085620">
        <w:rPr>
          <w:b w:val="0"/>
          <w:sz w:val="18"/>
          <w:szCs w:val="18"/>
        </w:rPr>
        <w:instrText>ADDIN CSL_CITATION {"citationItems":[{"id":"ITEM-1","itemData":{"ISSN":"01615505","PMID":"8772636","abstract":"Fluorine-18-fluorodopa (F-Dopa) PET assesses the integrity of the nigrostriatal dopaminergic neurons in Parkinson's disease. It has been used in longitudinal studies to measure the progression of Parkinson's disease and the effects of medications and intracerebral transplants. The significance of changes in PET indices in such studies depends largely on the reproducibility of the F-Dopa PET measurements. Methods: We performed repeated F-Dopa PET scans in 12 subjects with Parkinson's disease (between Hoehn and Yahr stages I and III) to measure scan-to-scan variations. Data were analyzed using five methods comprising two sets of regions of interest (ROIs) (total striatum and substriatal), the striatum-to-cortex ratio and two graphical methods (one using plasma radioactivity, the other using cortical radioactivity as the input function). We also studied the effectiveness of each method in discriminating between patients with Parkinson's disease and normal subjects using data obtained from a similar study in 10 normal subjects. Results: We found reliability coefficients between 66% and 93%; the scan-to-scan intrasubject standard deviation ranged from 2% to 16% of the mean value depending on the method of analysis and the size of the ROIs. All methods discriminated significantly between patients with Parkinson's disease and normal subjects. The ability to discriminate, as reflected by the intergroup/intragroup ratio of variance, ranged from 2 to 18. Conclusion: These results permit selection of the best method of analysis for studies of nigrostriatal dopaminergic function.","author":[{"dropping-particle":"","family":"Vingerhoets","given":"François J.G.","non-dropping-particle":"","parse-names":false,"suffix":""},{"dropping-particle":"","family":"Schulzer","given":"Michael","non-dropping-particle":"","parse-names":false,"suffix":""},{"dropping-particle":"","family":"Ruth","given":"Thomas J","non-dropping-particle":"","parse-names":false,"suffix":""},{"dropping-particle":"","family":"Holden","given":"James E","non-dropping-particle":"","parse-names":false,"suffix":""},{"dropping-particle":"","family":"Snow","given":"Barry J","non-dropping-particle":"","parse-names":false,"suffix":""}],"container-title":"Journal of Nuclear Medicine","id":"ITEM-1","issue":"3","issued":{"date-parts":[["1996","3"]]},"language":"en","page":"421-426","title":"Reproducibility and discriminating ability of fluorine-18-6-fluoro-L-Dopa PET in Parkinson's disease","type":"article-journal","volume":"37"},"uris":["http://www.mendeley.com/documents/?uuid=e70ae4d4-055b-44eb-9b3d-a0946ca70ce7"]}],"mendeley":{"formattedCitation":"&lt;sup&gt;10&lt;/sup&gt;","plainTextFormattedCitation":"10","previouslyFormattedCitation":"(Vingerhoets et al. 1996)"},"properties":{"noteIndex":0},"schema":"https://github.com/citation-style-language/schema/raw/master/csl-citation.json"}</w:instrText>
      </w:r>
      <w:r w:rsidR="003F53B0" w:rsidRPr="00C076EB">
        <w:rPr>
          <w:b w:val="0"/>
          <w:sz w:val="18"/>
          <w:szCs w:val="18"/>
        </w:rPr>
        <w:fldChar w:fldCharType="separate"/>
      </w:r>
      <w:r w:rsidR="00085620" w:rsidRPr="00085620">
        <w:rPr>
          <w:b w:val="0"/>
          <w:noProof/>
          <w:sz w:val="18"/>
          <w:szCs w:val="18"/>
          <w:vertAlign w:val="superscript"/>
        </w:rPr>
        <w:t>10</w:t>
      </w:r>
      <w:r w:rsidR="003F53B0" w:rsidRPr="00C076EB">
        <w:rPr>
          <w:b w:val="0"/>
          <w:sz w:val="18"/>
          <w:szCs w:val="18"/>
        </w:rPr>
        <w:fldChar w:fldCharType="end"/>
      </w:r>
      <w:r w:rsidR="0044116F" w:rsidRPr="00736561">
        <w:rPr>
          <w:b w:val="0"/>
          <w:sz w:val="18"/>
          <w:szCs w:val="18"/>
        </w:rPr>
        <w:t xml:space="preserve"> </w:t>
      </w:r>
      <w:r w:rsidR="0044116F">
        <w:rPr>
          <w:b w:val="0"/>
          <w:sz w:val="18"/>
          <w:szCs w:val="18"/>
        </w:rPr>
        <w:t xml:space="preserve">which </w:t>
      </w:r>
      <w:r w:rsidR="0044116F" w:rsidRPr="00736561">
        <w:rPr>
          <w:b w:val="0"/>
          <w:sz w:val="18"/>
          <w:szCs w:val="18"/>
        </w:rPr>
        <w:t xml:space="preserve">have been widely used in oncology and neurology, </w:t>
      </w:r>
      <w:r w:rsidR="0044116F" w:rsidRPr="00C076EB">
        <w:rPr>
          <w:b w:val="0"/>
          <w:sz w:val="18"/>
          <w:szCs w:val="18"/>
        </w:rPr>
        <w:t>respectively.</w:t>
      </w:r>
    </w:p>
    <w:p w14:paraId="6790B09D" w14:textId="19DB4909" w:rsidR="00C13595" w:rsidRDefault="0044116F" w:rsidP="0044116F">
      <w:pPr>
        <w:pStyle w:val="RSCB04SectionHeading"/>
        <w:spacing w:before="120"/>
        <w:jc w:val="both"/>
        <w:rPr>
          <w:b w:val="0"/>
          <w:sz w:val="18"/>
          <w:szCs w:val="18"/>
          <w:lang w:val="en-US"/>
        </w:rPr>
      </w:pPr>
      <w:r>
        <w:rPr>
          <w:b w:val="0"/>
          <w:sz w:val="18"/>
          <w:szCs w:val="18"/>
        </w:rPr>
        <w:t>M</w:t>
      </w:r>
      <w:r w:rsidR="00333CD8">
        <w:rPr>
          <w:b w:val="0"/>
          <w:sz w:val="18"/>
          <w:szCs w:val="18"/>
        </w:rPr>
        <w:t>ethods of [</w:t>
      </w:r>
      <w:r w:rsidR="00333CD8" w:rsidRPr="00333CD8">
        <w:rPr>
          <w:b w:val="0"/>
          <w:sz w:val="18"/>
          <w:szCs w:val="18"/>
          <w:vertAlign w:val="superscript"/>
        </w:rPr>
        <w:t>18</w:t>
      </w:r>
      <w:r w:rsidR="00333CD8">
        <w:rPr>
          <w:b w:val="0"/>
          <w:sz w:val="18"/>
          <w:szCs w:val="18"/>
        </w:rPr>
        <w:t>F]</w:t>
      </w:r>
      <w:proofErr w:type="spellStart"/>
      <w:r w:rsidR="00333CD8">
        <w:rPr>
          <w:b w:val="0"/>
          <w:sz w:val="18"/>
          <w:szCs w:val="18"/>
        </w:rPr>
        <w:t>radiofluorination</w:t>
      </w:r>
      <w:proofErr w:type="spellEnd"/>
      <w:r w:rsidR="00333CD8">
        <w:rPr>
          <w:b w:val="0"/>
          <w:sz w:val="18"/>
          <w:szCs w:val="18"/>
        </w:rPr>
        <w:t xml:space="preserve"> can be </w:t>
      </w:r>
      <w:r w:rsidR="008C4879">
        <w:rPr>
          <w:b w:val="0"/>
          <w:sz w:val="18"/>
          <w:szCs w:val="18"/>
        </w:rPr>
        <w:t>broadly categorised as using either electrophilic (</w:t>
      </w:r>
      <w:r w:rsidR="008C4879" w:rsidRPr="008C4879">
        <w:rPr>
          <w:b w:val="0"/>
          <w:i/>
          <w:sz w:val="18"/>
          <w:szCs w:val="18"/>
        </w:rPr>
        <w:t>i.e.</w:t>
      </w:r>
      <w:r w:rsidR="008C4879">
        <w:rPr>
          <w:b w:val="0"/>
          <w:sz w:val="18"/>
          <w:szCs w:val="18"/>
        </w:rPr>
        <w:t xml:space="preserve"> F</w:t>
      </w:r>
      <w:r w:rsidR="008C4879" w:rsidRPr="008C4879">
        <w:rPr>
          <w:b w:val="0"/>
          <w:sz w:val="18"/>
          <w:szCs w:val="18"/>
          <w:vertAlign w:val="superscript"/>
        </w:rPr>
        <w:t>+</w:t>
      </w:r>
      <w:r w:rsidR="008C4879">
        <w:rPr>
          <w:b w:val="0"/>
          <w:sz w:val="18"/>
          <w:szCs w:val="18"/>
        </w:rPr>
        <w:t>) or nucleophilic (</w:t>
      </w:r>
      <w:r w:rsidR="008C4879" w:rsidRPr="008C4879">
        <w:rPr>
          <w:b w:val="0"/>
          <w:i/>
          <w:sz w:val="18"/>
          <w:szCs w:val="18"/>
        </w:rPr>
        <w:t>i.e.</w:t>
      </w:r>
      <w:r w:rsidR="008C4879">
        <w:rPr>
          <w:b w:val="0"/>
          <w:sz w:val="18"/>
          <w:szCs w:val="18"/>
        </w:rPr>
        <w:t xml:space="preserve"> F</w:t>
      </w:r>
      <w:r w:rsidR="008C4879" w:rsidRPr="008C4879">
        <w:rPr>
          <w:b w:val="0"/>
          <w:sz w:val="18"/>
          <w:szCs w:val="18"/>
          <w:vertAlign w:val="superscript"/>
        </w:rPr>
        <w:t>-</w:t>
      </w:r>
      <w:r w:rsidR="008C4879">
        <w:rPr>
          <w:b w:val="0"/>
          <w:sz w:val="18"/>
          <w:szCs w:val="18"/>
        </w:rPr>
        <w:t>) fluorine-</w:t>
      </w:r>
      <w:r w:rsidR="00DA3C2E">
        <w:rPr>
          <w:b w:val="0"/>
          <w:sz w:val="18"/>
          <w:szCs w:val="18"/>
        </w:rPr>
        <w:t>18,</w:t>
      </w:r>
      <w:r w:rsidR="008C4879">
        <w:rPr>
          <w:b w:val="0"/>
          <w:sz w:val="18"/>
          <w:szCs w:val="18"/>
        </w:rPr>
        <w:t xml:space="preserve"> </w:t>
      </w:r>
      <w:r w:rsidR="00DA3C2E">
        <w:rPr>
          <w:b w:val="0"/>
          <w:sz w:val="18"/>
          <w:szCs w:val="18"/>
        </w:rPr>
        <w:t xml:space="preserve">with </w:t>
      </w:r>
      <w:r w:rsidR="002D6F6D">
        <w:rPr>
          <w:b w:val="0"/>
          <w:sz w:val="18"/>
          <w:szCs w:val="18"/>
        </w:rPr>
        <w:t xml:space="preserve">nucleophilic methods </w:t>
      </w:r>
      <w:r w:rsidR="008C4879">
        <w:rPr>
          <w:b w:val="0"/>
          <w:sz w:val="18"/>
          <w:szCs w:val="18"/>
        </w:rPr>
        <w:t xml:space="preserve">generally </w:t>
      </w:r>
      <w:r w:rsidR="00DA3C2E">
        <w:rPr>
          <w:b w:val="0"/>
          <w:sz w:val="18"/>
          <w:szCs w:val="18"/>
        </w:rPr>
        <w:t xml:space="preserve">being </w:t>
      </w:r>
      <w:r w:rsidR="008C4879">
        <w:rPr>
          <w:b w:val="0"/>
          <w:sz w:val="18"/>
          <w:szCs w:val="18"/>
        </w:rPr>
        <w:t xml:space="preserve">preferred as </w:t>
      </w:r>
      <w:r w:rsidR="002D6F6D">
        <w:rPr>
          <w:b w:val="0"/>
          <w:sz w:val="18"/>
          <w:szCs w:val="18"/>
        </w:rPr>
        <w:t>fluoride anion</w:t>
      </w:r>
      <w:r w:rsidR="008C4879">
        <w:rPr>
          <w:b w:val="0"/>
          <w:sz w:val="18"/>
          <w:szCs w:val="18"/>
        </w:rPr>
        <w:t xml:space="preserve"> can be routinely prepared with high specific activity.</w:t>
      </w:r>
      <w:r w:rsidR="00D07DCA">
        <w:rPr>
          <w:b w:val="0"/>
          <w:sz w:val="18"/>
          <w:szCs w:val="18"/>
        </w:rPr>
        <w:fldChar w:fldCharType="begin" w:fldLock="1"/>
      </w:r>
      <w:r w:rsidR="00085620">
        <w:rPr>
          <w:b w:val="0"/>
          <w:sz w:val="18"/>
          <w:szCs w:val="18"/>
        </w:rPr>
        <w:instrText>ADDIN CSL_CITATION {"citationItems":[{"id":"ITEM-1","itemData":{"DOI":"10.1021/bc500475e","ISSN":"1043-1802","abstract":"Fluorine-18 is the most frequently used radioisotope in positron emission tomography (PET) radiopharmaceuticals in both clinical and preclinical research. Its physical and nuclear characteristics (97% β(+) decay, 109.7 min half-life, 635 keV positron energy), along with high specific activity and ease of large scale production, make it an attractive nuclide for radiochemical labeling and molecular imaging. Versatile chemistry including nucleophilic and electrophilic substitutions allows direct or indirect introduction of (18)F into molecules of interest. The significant increase in (18)F radiotracers for PET imaging accentuates the need for simple and efficient (18)F-labeling procedures. In this review, we will describe the current radiosynthesis routes and strategies for (18)F labeling of small molecules and biomolecules.","author":[{"dropping-particle":"","family":"Jacobson","given":"Orit","non-dropping-particle":"","parse-names":false,"suffix":""},{"dropping-particle":"","family":"Kiesewetter","given":"Dale O","non-dropping-particle":"","parse-names":false,"suffix":""},{"dropping-particle":"","family":"Chen","given":"Xiaoyuan","non-dropping-particle":"","parse-names":false,"suffix":""}],"container-title":"Bioconjugate Chemistry","id":"ITEM-1","issue":"1","issued":{"date-parts":[["2015","1","21"]]},"page":"1-18","publisher":"American Chemical Society","title":"Fluorine-18 Radiochemistry, Labeling Strategies and Synthetic Routes","type":"article-journal","volume":"26"},"uris":["http://www.mendeley.com/documents/?uuid=7aca2a93-63a2-4d73-8225-4aecd128fba0"]},{"id":"ITEM-2","itemData":{"DOI":"10.1038/s41598-017-00110-1","ISSN":"2045-2322","abstract":"In a relatively short period of time, transition metal-mediated radiofluorination reactions have changed the PET radiochemistry landscape. These reactions have enabled the radiofluorination of a wide range of substrates, facilitating access to radiopharmaceuticals that were challenging to synthesize using traditional fluorine-18 radiochemistry. However, the process of adapting these new reactions for automated radiopharmaceutical production has revealed limitations in fitting them into the confines of traditional radiochemistry systems. In particular, the presence of bases (e.g. K2CO3) and/or phase transfer catalysts (PTC) (e.g. kryptofix 2.2.2) associated with fluorine-18 preparation has been found to be detrimental to reaction yields. We hypothesized that these limitations could be addressed through the development of alternate techniques for preparing [18F]fluoride. This approach also opens the possibility that an eluent can be individually tailored to meet the specific needs of a metal-catalyzed reaction of interest. In this communication, we demonstrate that various solutions of copper salts, bases, and ancillary ligands can be utilized to elute [18F]fluoride from ion exchange cartridges. The new procedures are effective for fluorine-18 radiochemistry and, as proof of concept, have been used to optimize an otherwise base-sensitive copper-mediated radiofluorination reaction.","author":[{"dropping-particle":"V","family":"Mossine","given":"Andrew","non-dropping-particle":"","parse-names":false,"suffix":""},{"dropping-particle":"","family":"Brooks","given":"Allen F","non-dropping-particle":"","parse-names":false,"suffix":""},{"dropping-particle":"","family":"Ichiishi","given":"Naoko","non-dropping-particle":"","parse-names":false,"suffix":""},{"dropping-particle":"","family":"Makaravage","given":"Katarina J","non-dropping-particle":"","parse-names":false,"suffix":""},{"dropping-particle":"","family":"Sanford","given":"Melanie S","non-dropping-particle":"","parse-names":false,"suffix":""},{"dropping-particle":"","family":"Scott","given":"Peter J H","non-dropping-particle":"","parse-names":false,"suffix":""}],"container-title":"Scientific Reports","id":"ITEM-2","issue":"1","issued":{"date-parts":[["2017"]]},"page":"233","title":"Development of Customized [18F]Fluoride Elution Techniques for the Enhancement of Copper-Mediated Late-Stage Radiofluorination","type":"article-journal","volume":"7"},"uris":["http://www.mendeley.com/documents/?uuid=6c530aad-5fc4-439e-9cbd-de91743aa2fa"]}],"mendeley":{"formattedCitation":"&lt;sup&gt;11,12&lt;/sup&gt;","plainTextFormattedCitation":"11,12","previouslyFormattedCitation":"(Jacobson, Kiesewetter, and Chen 2015; Mossine et al. 2017)"},"properties":{"noteIndex":0},"schema":"https://github.com/citation-style-language/schema/raw/master/csl-citation.json"}</w:instrText>
      </w:r>
      <w:r w:rsidR="00D07DCA">
        <w:rPr>
          <w:b w:val="0"/>
          <w:sz w:val="18"/>
          <w:szCs w:val="18"/>
        </w:rPr>
        <w:fldChar w:fldCharType="separate"/>
      </w:r>
      <w:r w:rsidR="00085620" w:rsidRPr="00085620">
        <w:rPr>
          <w:b w:val="0"/>
          <w:noProof/>
          <w:sz w:val="18"/>
          <w:szCs w:val="18"/>
          <w:vertAlign w:val="superscript"/>
        </w:rPr>
        <w:t>11,12</w:t>
      </w:r>
      <w:r w:rsidR="00D07DCA">
        <w:rPr>
          <w:b w:val="0"/>
          <w:sz w:val="18"/>
          <w:szCs w:val="18"/>
        </w:rPr>
        <w:fldChar w:fldCharType="end"/>
      </w:r>
      <w:r w:rsidR="008C4879">
        <w:rPr>
          <w:b w:val="0"/>
          <w:sz w:val="18"/>
          <w:szCs w:val="18"/>
        </w:rPr>
        <w:t xml:space="preserve"> </w:t>
      </w:r>
      <w:r w:rsidR="00DA3C2E">
        <w:rPr>
          <w:b w:val="0"/>
          <w:sz w:val="18"/>
          <w:szCs w:val="18"/>
        </w:rPr>
        <w:t>Thus anhydrous [</w:t>
      </w:r>
      <w:r w:rsidR="00DA3C2E" w:rsidRPr="00DA3C2E">
        <w:rPr>
          <w:b w:val="0"/>
          <w:sz w:val="18"/>
          <w:szCs w:val="18"/>
          <w:vertAlign w:val="superscript"/>
        </w:rPr>
        <w:t>18</w:t>
      </w:r>
      <w:r w:rsidR="00DA3C2E">
        <w:rPr>
          <w:b w:val="0"/>
          <w:sz w:val="18"/>
          <w:szCs w:val="18"/>
        </w:rPr>
        <w:t xml:space="preserve">F]potassium fluoride, usually in the presence of a </w:t>
      </w:r>
      <w:r w:rsidR="00D0641F">
        <w:rPr>
          <w:b w:val="0"/>
          <w:sz w:val="18"/>
          <w:szCs w:val="18"/>
        </w:rPr>
        <w:t>P</w:t>
      </w:r>
      <w:r w:rsidR="00DA3C2E">
        <w:rPr>
          <w:b w:val="0"/>
          <w:sz w:val="18"/>
          <w:szCs w:val="18"/>
        </w:rPr>
        <w:t>hase Transfer Catalyst (PTC) such as the cryptand Kryptofix</w:t>
      </w:r>
      <w:r w:rsidR="00DA3C2E" w:rsidRPr="00DA3C2E">
        <w:rPr>
          <w:b w:val="0"/>
          <w:sz w:val="18"/>
          <w:szCs w:val="18"/>
          <w:vertAlign w:val="subscript"/>
        </w:rPr>
        <w:t>222</w:t>
      </w:r>
      <w:r w:rsidR="00DA3C2E">
        <w:rPr>
          <w:b w:val="0"/>
          <w:sz w:val="18"/>
          <w:szCs w:val="18"/>
        </w:rPr>
        <w:t xml:space="preserve">, is used routinely to effect </w:t>
      </w:r>
      <w:r w:rsidRPr="00736561">
        <w:rPr>
          <w:b w:val="0"/>
          <w:sz w:val="18"/>
          <w:szCs w:val="18"/>
        </w:rPr>
        <w:t>C-</w:t>
      </w:r>
      <w:r>
        <w:rPr>
          <w:b w:val="0"/>
          <w:sz w:val="18"/>
          <w:szCs w:val="18"/>
        </w:rPr>
        <w:t>[</w:t>
      </w:r>
      <w:r w:rsidRPr="00C541BC">
        <w:rPr>
          <w:b w:val="0"/>
          <w:sz w:val="18"/>
          <w:szCs w:val="18"/>
          <w:vertAlign w:val="superscript"/>
        </w:rPr>
        <w:t>18</w:t>
      </w:r>
      <w:r w:rsidRPr="00736561">
        <w:rPr>
          <w:b w:val="0"/>
          <w:sz w:val="18"/>
          <w:szCs w:val="18"/>
        </w:rPr>
        <w:t>F</w:t>
      </w:r>
      <w:r>
        <w:rPr>
          <w:b w:val="0"/>
          <w:sz w:val="18"/>
          <w:szCs w:val="18"/>
        </w:rPr>
        <w:t>]</w:t>
      </w:r>
      <w:r w:rsidRPr="00736561">
        <w:rPr>
          <w:b w:val="0"/>
          <w:sz w:val="18"/>
          <w:szCs w:val="18"/>
        </w:rPr>
        <w:t xml:space="preserve"> </w:t>
      </w:r>
      <w:r>
        <w:rPr>
          <w:b w:val="0"/>
          <w:sz w:val="18"/>
          <w:szCs w:val="18"/>
        </w:rPr>
        <w:t xml:space="preserve">bond formation </w:t>
      </w:r>
      <w:r w:rsidR="00C541BC">
        <w:rPr>
          <w:b w:val="0"/>
          <w:sz w:val="18"/>
          <w:szCs w:val="18"/>
        </w:rPr>
        <w:t xml:space="preserve">in </w:t>
      </w:r>
      <w:r w:rsidR="00C541BC">
        <w:rPr>
          <w:b w:val="0"/>
          <w:i/>
          <w:sz w:val="18"/>
          <w:szCs w:val="18"/>
        </w:rPr>
        <w:t xml:space="preserve">aromatic </w:t>
      </w:r>
      <w:r w:rsidR="00C541BC" w:rsidRPr="00C541BC">
        <w:rPr>
          <w:b w:val="0"/>
          <w:sz w:val="18"/>
          <w:szCs w:val="18"/>
        </w:rPr>
        <w:t>tracers</w:t>
      </w:r>
      <w:r w:rsidR="00C541BC">
        <w:rPr>
          <w:b w:val="0"/>
          <w:sz w:val="18"/>
          <w:szCs w:val="18"/>
        </w:rPr>
        <w:t xml:space="preserve"> by </w:t>
      </w:r>
      <w:r w:rsidR="00DA3C2E">
        <w:rPr>
          <w:b w:val="0"/>
          <w:sz w:val="18"/>
          <w:szCs w:val="18"/>
        </w:rPr>
        <w:t>aromatic nucleophilic substitution (S</w:t>
      </w:r>
      <w:r w:rsidR="00DA3C2E" w:rsidRPr="00DA3C2E">
        <w:rPr>
          <w:b w:val="0"/>
          <w:i/>
          <w:sz w:val="18"/>
          <w:szCs w:val="18"/>
          <w:vertAlign w:val="subscript"/>
        </w:rPr>
        <w:t>N</w:t>
      </w:r>
      <w:r w:rsidR="00DA3C2E">
        <w:rPr>
          <w:b w:val="0"/>
          <w:sz w:val="18"/>
          <w:szCs w:val="18"/>
        </w:rPr>
        <w:t>Ar) with activated (</w:t>
      </w:r>
      <w:r w:rsidR="00DA3C2E" w:rsidRPr="00DA3C2E">
        <w:rPr>
          <w:b w:val="0"/>
          <w:i/>
          <w:sz w:val="18"/>
          <w:szCs w:val="18"/>
        </w:rPr>
        <w:t>i.e.</w:t>
      </w:r>
      <w:r w:rsidR="00DA3C2E">
        <w:rPr>
          <w:b w:val="0"/>
          <w:sz w:val="18"/>
          <w:szCs w:val="18"/>
        </w:rPr>
        <w:t xml:space="preserve"> electron deficient) aryl precursors</w:t>
      </w:r>
      <w:r w:rsidR="00C541BC">
        <w:rPr>
          <w:b w:val="0"/>
          <w:sz w:val="18"/>
          <w:szCs w:val="18"/>
        </w:rPr>
        <w:t xml:space="preserve"> and in </w:t>
      </w:r>
      <w:r w:rsidR="00C541BC" w:rsidRPr="008F0CA7">
        <w:rPr>
          <w:b w:val="0"/>
          <w:i/>
          <w:iCs/>
          <w:sz w:val="18"/>
          <w:szCs w:val="18"/>
        </w:rPr>
        <w:t>aliphatic</w:t>
      </w:r>
      <w:r w:rsidR="00C541BC">
        <w:rPr>
          <w:b w:val="0"/>
          <w:sz w:val="18"/>
          <w:szCs w:val="18"/>
        </w:rPr>
        <w:t xml:space="preserve"> tracers by bimolecular nucleophilic substitution (S</w:t>
      </w:r>
      <w:r w:rsidR="00C541BC" w:rsidRPr="00C541BC">
        <w:rPr>
          <w:b w:val="0"/>
          <w:i/>
          <w:sz w:val="18"/>
          <w:szCs w:val="18"/>
          <w:vertAlign w:val="subscript"/>
        </w:rPr>
        <w:t>N</w:t>
      </w:r>
      <w:r w:rsidR="00C541BC">
        <w:rPr>
          <w:b w:val="0"/>
          <w:sz w:val="18"/>
          <w:szCs w:val="18"/>
        </w:rPr>
        <w:t>2) with alkyl precursors.</w:t>
      </w:r>
      <w:r w:rsidR="00840D3E">
        <w:rPr>
          <w:b w:val="0"/>
          <w:sz w:val="18"/>
          <w:szCs w:val="18"/>
        </w:rPr>
        <w:fldChar w:fldCharType="begin" w:fldLock="1"/>
      </w:r>
      <w:r w:rsidR="00085620">
        <w:rPr>
          <w:b w:val="0"/>
          <w:sz w:val="18"/>
          <w:szCs w:val="18"/>
        </w:rPr>
        <w:instrText>ADDIN CSL_CITATION {"citationItems":[{"id":"ITEM-1","itemData":{"DOI":"10.1021/bc500475e","ISSN":"1043-1802","abstract":"Fluorine-18 is the most frequently used radioisotope in positron emission tomography (PET) radiopharmaceuticals in both clinical and preclinical research. Its physical and nuclear characteristics (97% β(+) decay, 109.7 min half-life, 635 keV positron energy), along with high specific activity and ease of large scale production, make it an attractive nuclide for radiochemical labeling and molecular imaging. Versatile chemistry including nucleophilic and electrophilic substitutions allows direct or indirect introduction of (18)F into molecules of interest. The significant increase in (18)F radiotracers for PET imaging accentuates the need for simple and efficient (18)F-labeling procedures. In this review, we will describe the current radiosynthesis routes and strategies for (18)F labeling of small molecules and biomolecules.","author":[{"dropping-particle":"","family":"Jacobson","given":"Orit","non-dropping-particle":"","parse-names":false,"suffix":""},{"dropping-particle":"","family":"Kiesewetter","given":"Dale O","non-dropping-particle":"","parse-names":false,"suffix":""},{"dropping-particle":"","family":"Chen","given":"Xiaoyuan","non-dropping-particle":"","parse-names":false,"suffix":""}],"container-title":"Bioconjugate Chemistry","id":"ITEM-1","issue":"1","issued":{"date-parts":[["2015","1","21"]]},"page":"1-18","publisher":"American Chemical Society","title":"Fluorine-18 Radiochemistry, Labeling Strategies and Synthetic Routes","type":"article-journal","volume":"26"},"uris":["http://www.mendeley.com/documents/?uuid=7aca2a93-63a2-4d73-8225-4aecd128fba0"]}],"mendeley":{"formattedCitation":"&lt;sup&gt;11&lt;/sup&gt;","plainTextFormattedCitation":"11","previouslyFormattedCitation":"(Jacobson et al. 2015)"},"properties":{"noteIndex":0},"schema":"https://github.com/citation-style-language/schema/raw/master/csl-citation.json"}</w:instrText>
      </w:r>
      <w:r w:rsidR="00840D3E">
        <w:rPr>
          <w:b w:val="0"/>
          <w:sz w:val="18"/>
          <w:szCs w:val="18"/>
        </w:rPr>
        <w:fldChar w:fldCharType="separate"/>
      </w:r>
      <w:r w:rsidR="00085620" w:rsidRPr="00085620">
        <w:rPr>
          <w:b w:val="0"/>
          <w:noProof/>
          <w:sz w:val="18"/>
          <w:szCs w:val="18"/>
          <w:vertAlign w:val="superscript"/>
        </w:rPr>
        <w:t>11</w:t>
      </w:r>
      <w:r w:rsidR="00840D3E">
        <w:rPr>
          <w:b w:val="0"/>
          <w:sz w:val="18"/>
          <w:szCs w:val="18"/>
        </w:rPr>
        <w:fldChar w:fldCharType="end"/>
      </w:r>
      <w:r w:rsidR="00C541BC">
        <w:rPr>
          <w:b w:val="0"/>
          <w:sz w:val="18"/>
          <w:szCs w:val="18"/>
        </w:rPr>
        <w:t xml:space="preserve"> </w:t>
      </w:r>
      <w:r w:rsidR="00840D3E">
        <w:rPr>
          <w:b w:val="0"/>
          <w:sz w:val="18"/>
          <w:szCs w:val="18"/>
        </w:rPr>
        <w:t xml:space="preserve">However, </w:t>
      </w:r>
      <w:r>
        <w:rPr>
          <w:b w:val="0"/>
          <w:sz w:val="18"/>
          <w:szCs w:val="18"/>
        </w:rPr>
        <w:t xml:space="preserve">the sometimes </w:t>
      </w:r>
      <w:r w:rsidRPr="00736561">
        <w:rPr>
          <w:b w:val="0"/>
          <w:sz w:val="18"/>
          <w:szCs w:val="18"/>
        </w:rPr>
        <w:t xml:space="preserve">harsh reaction conditions </w:t>
      </w:r>
      <w:r>
        <w:rPr>
          <w:b w:val="0"/>
          <w:sz w:val="18"/>
          <w:szCs w:val="18"/>
        </w:rPr>
        <w:t xml:space="preserve">and </w:t>
      </w:r>
      <w:r w:rsidRPr="00736561">
        <w:rPr>
          <w:b w:val="0"/>
          <w:sz w:val="18"/>
          <w:szCs w:val="18"/>
        </w:rPr>
        <w:t xml:space="preserve">low functional group tolerance </w:t>
      </w:r>
      <w:r>
        <w:rPr>
          <w:b w:val="0"/>
          <w:sz w:val="18"/>
          <w:szCs w:val="18"/>
        </w:rPr>
        <w:t>associated with these approaches</w:t>
      </w:r>
      <w:r w:rsidR="00840D3E">
        <w:rPr>
          <w:b w:val="0"/>
          <w:sz w:val="18"/>
          <w:szCs w:val="18"/>
        </w:rPr>
        <w:t xml:space="preserve"> has </w:t>
      </w:r>
      <w:r>
        <w:rPr>
          <w:b w:val="0"/>
          <w:sz w:val="18"/>
          <w:szCs w:val="18"/>
        </w:rPr>
        <w:t>encou</w:t>
      </w:r>
      <w:r w:rsidR="00840D3E">
        <w:rPr>
          <w:b w:val="0"/>
          <w:sz w:val="18"/>
          <w:szCs w:val="18"/>
        </w:rPr>
        <w:t>raged the development of</w:t>
      </w:r>
      <w:r>
        <w:rPr>
          <w:b w:val="0"/>
          <w:sz w:val="18"/>
          <w:szCs w:val="18"/>
        </w:rPr>
        <w:t xml:space="preserve"> a</w:t>
      </w:r>
      <w:r w:rsidRPr="00736561">
        <w:rPr>
          <w:b w:val="0"/>
          <w:sz w:val="18"/>
          <w:szCs w:val="18"/>
        </w:rPr>
        <w:t xml:space="preserve">lternative </w:t>
      </w:r>
      <w:r w:rsidR="00F0718E">
        <w:rPr>
          <w:b w:val="0"/>
          <w:sz w:val="18"/>
          <w:szCs w:val="18"/>
        </w:rPr>
        <w:t xml:space="preserve">methods </w:t>
      </w:r>
      <w:r>
        <w:rPr>
          <w:b w:val="0"/>
          <w:sz w:val="18"/>
          <w:szCs w:val="18"/>
        </w:rPr>
        <w:t>suitable for late stage labelling.</w:t>
      </w:r>
      <w:r w:rsidR="00035E11">
        <w:rPr>
          <w:b w:val="0"/>
          <w:sz w:val="18"/>
          <w:szCs w:val="18"/>
        </w:rPr>
        <w:fldChar w:fldCharType="begin" w:fldLock="1"/>
      </w:r>
      <w:r w:rsidR="00085620">
        <w:rPr>
          <w:b w:val="0"/>
          <w:sz w:val="18"/>
          <w:szCs w:val="18"/>
        </w:rPr>
        <w:instrText>ADDIN CSL_CITATION {"citationItems":[{"id":"ITEM-1","itemData":{"DOI":"10.1039/C4SC02099E","ISBN":"10.1039/C4SC02099E","ISSN":"2041-6520","PMID":"25379166","abstract":"In this perspective we highlight recent developments and key milestones in “late-stage fluorination” since 2011.","author":[{"dropping-particle":"","family":"Brooks","given":"Allen F","non-dropping-particle":"","parse-names":false,"suffix":""},{"dropping-particle":"","family":"Topczewski","given":"Joseph J","non-dropping-particle":"","parse-names":false,"suffix":""},{"dropping-particle":"","family":"Ichiishi","given":"Naoko","non-dropping-particle":"","parse-names":false,"suffix":""},{"dropping-particle":"","family":"Sanford","given":"Melanie S","non-dropping-particle":"","parse-names":false,"suffix":""},{"dropping-particle":"","family":"Scott","given":"Peter J H","non-dropping-particle":"","parse-names":false,"suffix":""}],"container-title":"Chem. Sci.","id":"ITEM-1","issue":"12","issued":{"date-parts":[["2014","12"]]},"language":"en","page":"4545-4553","publisher":"The Royal Society of Chemistry","title":"Late-stage [ 18 F]fluorination: new solutions to old problems","type":"article-journal","volume":"5"},"uris":["http://www.mendeley.com/documents/?uuid=1c4bf2da-9837-4c32-a708-134263b9a5d2"]},{"id":"ITEM-2","itemData":{"DOI":"10.1021/acscentsci.6b00061","ISSN":"2374-7943","abstract":"How adherence to current Good Manufacturing Practices helps get Ritter and Hooker?s fluorination method one step closer to widespread use. How adherence to current Good Manufacturing Practices helps get Ritter and Hooker?s fluorination method one step closer to widespread use.","author":[{"dropping-particle":"","family":"Sanford","given":"Melanie S.","non-dropping-particle":"","parse-names":false,"suffix":""},{"dropping-particle":"","family":"Scott","given":"Peter J. H.","non-dropping-particle":"","parse-names":false,"suffix":""}],"container-title":"ACS Central Science","id":"ITEM-2","issue":"3","issued":{"date-parts":[["2016","3","23"]]},"page":"128-130","publisher":"American Chemical Society","title":"Moving Metal-Mediated 18 F-Fluorination from Concept to Clinic","type":"article-journal","volume":"2"},"uris":["http://www.mendeley.com/documents/?uuid=98cb8ea8-8c3b-4778-a01b-6c83e3421596"]}],"mendeley":{"formattedCitation":"&lt;sup&gt;13,14&lt;/sup&gt;","plainTextFormattedCitation":"13,14","previouslyFormattedCitation":"(Brooks et al. 2014; Sanford and Scott 2016)"},"properties":{"noteIndex":0},"schema":"https://github.com/citation-style-language/schema/raw/master/csl-citation.json"}</w:instrText>
      </w:r>
      <w:r w:rsidR="00035E11">
        <w:rPr>
          <w:b w:val="0"/>
          <w:sz w:val="18"/>
          <w:szCs w:val="18"/>
        </w:rPr>
        <w:fldChar w:fldCharType="separate"/>
      </w:r>
      <w:r w:rsidR="00085620" w:rsidRPr="00085620">
        <w:rPr>
          <w:b w:val="0"/>
          <w:noProof/>
          <w:sz w:val="18"/>
          <w:szCs w:val="18"/>
          <w:vertAlign w:val="superscript"/>
        </w:rPr>
        <w:t>13,14</w:t>
      </w:r>
      <w:r w:rsidR="00035E11">
        <w:rPr>
          <w:b w:val="0"/>
          <w:sz w:val="18"/>
          <w:szCs w:val="18"/>
        </w:rPr>
        <w:fldChar w:fldCharType="end"/>
      </w:r>
      <w:r w:rsidR="002708E4">
        <w:rPr>
          <w:b w:val="0"/>
          <w:sz w:val="18"/>
          <w:szCs w:val="18"/>
        </w:rPr>
        <w:t xml:space="preserve"> Of note </w:t>
      </w:r>
      <w:r w:rsidR="00035E11">
        <w:rPr>
          <w:b w:val="0"/>
          <w:sz w:val="18"/>
          <w:szCs w:val="18"/>
        </w:rPr>
        <w:t xml:space="preserve">for aromatic tracers </w:t>
      </w:r>
      <w:r w:rsidR="002708E4">
        <w:rPr>
          <w:b w:val="0"/>
          <w:sz w:val="18"/>
          <w:szCs w:val="18"/>
        </w:rPr>
        <w:t>are Ritter’s</w:t>
      </w:r>
      <w:r>
        <w:rPr>
          <w:b w:val="0"/>
          <w:sz w:val="18"/>
          <w:szCs w:val="18"/>
        </w:rPr>
        <w:t xml:space="preserve"> </w:t>
      </w:r>
      <w:r w:rsidR="002708E4">
        <w:rPr>
          <w:b w:val="0"/>
          <w:sz w:val="18"/>
          <w:szCs w:val="18"/>
        </w:rPr>
        <w:t>Pd-</w:t>
      </w:r>
      <w:r w:rsidR="00D07DCA">
        <w:rPr>
          <w:b w:val="0"/>
          <w:sz w:val="18"/>
          <w:szCs w:val="18"/>
        </w:rPr>
        <w:fldChar w:fldCharType="begin" w:fldLock="1"/>
      </w:r>
      <w:r w:rsidR="00085620">
        <w:rPr>
          <w:b w:val="0"/>
          <w:sz w:val="18"/>
          <w:szCs w:val="18"/>
        </w:rPr>
        <w:instrText>ADDIN CSL_CITATION {"citationItems":[{"id":"ITEM-1","itemData":{"DOI":"10.1126/science.1212625","ISSN":"0036-8075","PMID":"22053044","abstract":"The unnatural isotope fluorine-18 ((18)F) is used as a positron emitter in molecular imaging. Currently, many potentially useful (18)F-labeled probe molecules are inaccessible for imaging because no fluorination chemistry is available to make them. The 110-minute half-life of (18)F requires rapid syntheses for which [(18)F]fluoride is the preferred source of fluorine because of its practical access and suitable isotope enrichment. However, conventional [(18)F]fluoride chemistry has been limited to nucleophilic fluorination reactions. We report the development of a palladium-based electrophilic fluorination reagent derived from fluoride and its application to the synthesis of aromatic (18)F-labeled molecules via late-stage fluorination. Late-stage fluorination enables the synthesis of conventionally unavailable positron emission tomography (PET) tracers for anticipated applications in pharmaceutical development as well as preclinical and clinical PET imaging.","author":[{"dropping-particle":"","family":"Lee","given":"Eunsung","non-dropping-particle":"","parse-names":false,"suffix":""},{"dropping-particle":"","family":"Kamlet","given":"Adam S","non-dropping-particle":"","parse-names":false,"suffix":""},{"dropping-particle":"","family":"Powers","given":"David C","non-dropping-particle":"","parse-names":false,"suffix":""},{"dropping-particle":"","family":"Neumann","given":"Constanze N","non-dropping-particle":"","parse-names":false,"suffix":""},{"dropping-particle":"","family":"Boursalian","given":"Gregory B","non-dropping-particle":"","parse-names":false,"suffix":""},{"dropping-particle":"","family":"Furuya","given":"Takeru","non-dropping-particle":"","parse-names":false,"suffix":""},{"dropping-particle":"","family":"Choi","given":"Daniel C","non-dropping-particle":"","parse-names":false,"suffix":""},{"dropping-particle":"","family":"Hooker","given":"Jacob M","non-dropping-particle":"","parse-names":false,"suffix":""},{"dropping-particle":"","family":"Ritter","given":"Tobias","non-dropping-particle":"","parse-names":false,"suffix":""}],"container-title":"Science","id":"ITEM-1","issued":{"date-parts":[["2011","11","4"]]},"page":"639-642","title":"A Fluoride-Derived Electrophilic Late-Stage Fluorination Reagent for PET Imaging","type":"article-journal","volume":"334"},"uris":["http://www.mendeley.com/documents/?uuid=0631e643-7aa6-4ad5-a353-4be0163d2aa8"]},{"id":"ITEM-2","itemData":{"DOI":"10.1371/journal.pone.0059187","ISSN":"1932-6203","author":[{"dropping-particle":"","family":"Kamlet","given":"Adam S.","non-dropping-particle":"","parse-names":false,"suffix":""},{"dropping-particle":"","family":"Neumann","given":"Constanze N.","non-dropping-particle":"","parse-names":false,"suffix":""},{"dropping-particle":"","family":"Lee","given":"Eunsung","non-dropping-particle":"","parse-names":false,"suffix":""},{"dropping-particle":"","family":"Carlin","given":"Stephen M.","non-dropping-particle":"","parse-names":false,"suffix":""},{"dropping-particle":"","family":"Moseley","given":"Christian K.","non-dropping-particle":"","parse-names":false,"suffix":""},{"dropping-particle":"","family":"Stephenson","given":"Nickeisha","non-dropping-particle":"","parse-names":false,"suffix":""},{"dropping-particle":"","family":"Hooker","given":"Jacob M.","non-dropping-particle":"","parse-names":false,"suffix":""},{"dropping-particle":"","family":"Ritter","given":"Tobias","non-dropping-particle":"","parse-names":false,"suffix":""}],"container-title":"PLoS ONE","editor":[{"dropping-particle":"","family":"Woloschak","given":"Gayle E.","non-dropping-particle":"","parse-names":false,"suffix":""}],"id":"ITEM-2","issue":"3","issued":{"date-parts":[["2013","3","12"]]},"page":"e59187","publisher":"Public Library of Science","title":"Application of Palladium-Mediated 18F-Fluorination to PET Radiotracer Development: Overcoming Hurdles to Translation","type":"article-journal","volume":"8"},"uris":["http://www.mendeley.com/documents/?uuid=f28a370c-3298-36b1-89d5-674d10beb95d"]}],"mendeley":{"formattedCitation":"&lt;sup&gt;15,16&lt;/sup&gt;","plainTextFormattedCitation":"15,16","previouslyFormattedCitation":"(Kamlet et al. 2013; Lee et al. 2011)"},"properties":{"noteIndex":0},"schema":"https://github.com/citation-style-language/schema/raw/master/csl-citation.json"}</w:instrText>
      </w:r>
      <w:r w:rsidR="00D07DCA">
        <w:rPr>
          <w:b w:val="0"/>
          <w:sz w:val="18"/>
          <w:szCs w:val="18"/>
        </w:rPr>
        <w:fldChar w:fldCharType="separate"/>
      </w:r>
      <w:r w:rsidR="00085620" w:rsidRPr="00085620">
        <w:rPr>
          <w:b w:val="0"/>
          <w:noProof/>
          <w:sz w:val="18"/>
          <w:szCs w:val="18"/>
          <w:vertAlign w:val="superscript"/>
        </w:rPr>
        <w:t>15,16</w:t>
      </w:r>
      <w:r w:rsidR="00D07DCA">
        <w:rPr>
          <w:b w:val="0"/>
          <w:sz w:val="18"/>
          <w:szCs w:val="18"/>
        </w:rPr>
        <w:fldChar w:fldCharType="end"/>
      </w:r>
      <w:r w:rsidR="00AA0564">
        <w:rPr>
          <w:b w:val="0"/>
          <w:sz w:val="18"/>
          <w:szCs w:val="18"/>
        </w:rPr>
        <w:t xml:space="preserve"> and Ni-</w:t>
      </w:r>
      <w:r w:rsidR="002708E4">
        <w:rPr>
          <w:b w:val="0"/>
          <w:sz w:val="18"/>
          <w:szCs w:val="18"/>
        </w:rPr>
        <w:t>mediated</w:t>
      </w:r>
      <w:r w:rsidR="00D07DCA">
        <w:rPr>
          <w:b w:val="0"/>
          <w:sz w:val="18"/>
          <w:szCs w:val="18"/>
        </w:rPr>
        <w:fldChar w:fldCharType="begin" w:fldLock="1"/>
      </w:r>
      <w:r w:rsidR="00085620">
        <w:rPr>
          <w:b w:val="0"/>
          <w:sz w:val="18"/>
          <w:szCs w:val="18"/>
        </w:rPr>
        <w:instrText>ADDIN CSL_CITATION {"citationItems":[{"id":"ITEM-1","itemData":{"DOI":"10.1021/ja3084797","ISSN":"0002-7863","author":[{"dropping-particle":"","family":"Lee","given":"Eunsung","non-dropping-particle":"","parse-names":false,"suffix":""},{"dropping-particle":"","family":"Hooker","given":"Jacob M","non-dropping-particle":"","parse-names":false,"suffix":""},{"dropping-particle":"","family":"Ritter","given":"Tobias","non-dropping-particle":"","parse-names":false,"suffix":""}],"container-title":"Journal of the American Chemical Society","id":"ITEM-1","issue":"42","issued":{"date-parts":[["2012","10","24"]]},"note":"doi: 10.1021/ja3084797","page":"17456-17458","publisher":"American Chemical Society","title":"Nickel-Mediated Oxidative Fluorination for PET with Aqueous [18F] Fluoride","type":"article-journal","volume":"134"},"uris":["http://www.mendeley.com/documents/?uuid=2a934722-3738-4d8b-a670-f1577a48840b"]},{"id":"ITEM-2","itemData":{"DOI":"10.1021/cn500078e","author":[{"dropping-particle":"","family":"Ren","given":"Hong","non-dropping-particle":"","parse-names":false,"suffix":""},{"dropping-particle":"","family":"Wey","given":"Hsiao-Ying","non-dropping-particle":"","parse-names":false,"suffix":""},{"dropping-particle":"","family":"Strebl","given":"Martin","non-dropping-particle":"","parse-names":false,"suffix":""},{"dropping-particle":"","family":"Neelamegam","given":"Ramesh","non-dropping-particle":"","parse-names":false,"suffix":""},{"dropping-particle":"","family":"Ritter","given":"Tobias","non-dropping-particle":"","parse-names":false,"suffix":""},{"dropping-particle":"","family":"Hooker","given":"Jacob M","non-dropping-particle":"","parse-names":false,"suffix":""}],"container-title":"ACS Chemical Neuroscience","id":"ITEM-2","issue":"7","issued":{"date-parts":[["2014","7","16"]]},"note":"doi: 10.1021/cn500078e","page":"611-615","publisher":"American Chemical Society","title":"Synthesis and Imaging Validation of [18F]MDL100907 Enabled by Ni-Mediated Fluorination","type":"article-journal","volume":"5"},"uris":["http://www.mendeley.com/documents/?uuid=20d4b2a2-01ab-423a-8d57-48f08e56afa1"]},{"id":"ITEM-3","itemData":{"DOI":"10.1021/acs.organomet.6b00059","ISSN":"0276-7333","author":[{"dropping-particle":"","family":"Hoover","given":"Andrew J","non-dropping-particle":"","parse-names":false,"suffix":""},{"dropping-particle":"","family":"Lazari","given":"Mark","non-dropping-particle":"","parse-names":false,"suffix":""},{"dropping-particle":"","family":"Ren","given":"Hong","non-dropping-particle":"","parse-names":false,"suffix":""},{"dropping-particle":"","family":"Narayanam","given":"Maruthi Kumar","non-dropping-particle":"","parse-names":false,"suffix":""},{"dropping-particle":"","family":"Murphy","given":"Jennifer M","non-dropping-particle":"","parse-names":false,"suffix":""},{"dropping-particle":"","family":"Dam","given":"R Michael","non-dropping-particle":"van","parse-names":false,"suffix":""},{"dropping-particle":"","family":"Hooker","given":"Jacob M","non-dropping-particle":"","parse-names":false,"suffix":""},{"dropping-particle":"","family":"Ritter","given":"Tobias","non-dropping-particle":"","parse-names":false,"suffix":""}],"container-title":"Organometallics","id":"ITEM-3","issue":"7","issued":{"date-parts":[["2016","4","11"]]},"note":"doi: 10.1021/acs.organomet.6b00059","page":"1008-1014","publisher":"American Chemical Society","title":"A Transmetalation Reaction Enables the Synthesis of [18F]5-Fluorouracil from [18F]Fluoride for Human PET Imaging","type":"article-journal","volume":"35"},"uris":["http://www.mendeley.com/documents/?uuid=0b02bfcf-3c03-4861-9274-5a3ac704d49a"]}],"mendeley":{"formattedCitation":"&lt;sup&gt;17–19&lt;/sup&gt;","plainTextFormattedCitation":"17–19","previouslyFormattedCitation":"(Hoover et al. 2016; Lee, Hooker, and Ritter 2012; Ren et al. 2014)"},"properties":{"noteIndex":0},"schema":"https://github.com/citation-style-language/schema/raw/master/csl-citation.json"}</w:instrText>
      </w:r>
      <w:r w:rsidR="00D07DCA">
        <w:rPr>
          <w:b w:val="0"/>
          <w:sz w:val="18"/>
          <w:szCs w:val="18"/>
        </w:rPr>
        <w:fldChar w:fldCharType="separate"/>
      </w:r>
      <w:r w:rsidR="00085620" w:rsidRPr="00085620">
        <w:rPr>
          <w:b w:val="0"/>
          <w:noProof/>
          <w:sz w:val="18"/>
          <w:szCs w:val="18"/>
          <w:vertAlign w:val="superscript"/>
        </w:rPr>
        <w:t>17–19</w:t>
      </w:r>
      <w:r w:rsidR="00D07DCA">
        <w:rPr>
          <w:b w:val="0"/>
          <w:sz w:val="18"/>
          <w:szCs w:val="18"/>
        </w:rPr>
        <w:fldChar w:fldCharType="end"/>
      </w:r>
      <w:r w:rsidR="004466B1">
        <w:rPr>
          <w:b w:val="0"/>
          <w:sz w:val="18"/>
          <w:szCs w:val="18"/>
        </w:rPr>
        <w:t xml:space="preserve"> haloarene</w:t>
      </w:r>
      <w:r w:rsidR="002708E4">
        <w:rPr>
          <w:b w:val="0"/>
          <w:sz w:val="18"/>
          <w:szCs w:val="18"/>
        </w:rPr>
        <w:t xml:space="preserve"> fluorination protocol</w:t>
      </w:r>
      <w:r w:rsidR="00AA0564">
        <w:rPr>
          <w:b w:val="0"/>
          <w:sz w:val="18"/>
          <w:szCs w:val="18"/>
        </w:rPr>
        <w:t>s</w:t>
      </w:r>
      <w:r>
        <w:rPr>
          <w:b w:val="0"/>
          <w:sz w:val="18"/>
          <w:szCs w:val="18"/>
          <w:lang w:val="en-US"/>
        </w:rPr>
        <w:t>,</w:t>
      </w:r>
      <w:r w:rsidR="002708E4">
        <w:rPr>
          <w:b w:val="0"/>
          <w:sz w:val="18"/>
          <w:szCs w:val="18"/>
          <w:lang w:val="en-US"/>
        </w:rPr>
        <w:t xml:space="preserve"> </w:t>
      </w:r>
      <w:r w:rsidR="001C1BF5">
        <w:rPr>
          <w:b w:val="0"/>
          <w:sz w:val="18"/>
          <w:szCs w:val="18"/>
          <w:lang w:val="en-US"/>
        </w:rPr>
        <w:t>Sandford’</w:t>
      </w:r>
      <w:r w:rsidR="00304B0A">
        <w:rPr>
          <w:b w:val="0"/>
          <w:sz w:val="18"/>
          <w:szCs w:val="18"/>
          <w:lang w:val="en-US"/>
        </w:rPr>
        <w:t>s Cu-mediated</w:t>
      </w:r>
      <w:r w:rsidR="001C1BF5">
        <w:rPr>
          <w:b w:val="0"/>
          <w:sz w:val="18"/>
          <w:szCs w:val="18"/>
          <w:lang w:val="en-US"/>
        </w:rPr>
        <w:t xml:space="preserve"> fluorination of </w:t>
      </w:r>
      <w:proofErr w:type="spellStart"/>
      <w:r w:rsidR="001C1BF5">
        <w:rPr>
          <w:b w:val="0"/>
          <w:sz w:val="18"/>
          <w:szCs w:val="18"/>
          <w:lang w:val="en-US"/>
        </w:rPr>
        <w:t>aryliodonium</w:t>
      </w:r>
      <w:proofErr w:type="spellEnd"/>
      <w:r w:rsidR="001C1BF5">
        <w:rPr>
          <w:b w:val="0"/>
          <w:sz w:val="18"/>
          <w:szCs w:val="18"/>
          <w:lang w:val="en-US"/>
        </w:rPr>
        <w:t xml:space="preserve"> salts</w:t>
      </w:r>
      <w:r w:rsidR="004466B1">
        <w:rPr>
          <w:b w:val="0"/>
          <w:sz w:val="18"/>
          <w:szCs w:val="18"/>
          <w:lang w:val="en-US"/>
        </w:rPr>
        <w:t>,</w:t>
      </w:r>
      <w:r w:rsidR="00D07DCA">
        <w:rPr>
          <w:b w:val="0"/>
          <w:sz w:val="18"/>
          <w:szCs w:val="18"/>
          <w:lang w:val="en-US"/>
        </w:rPr>
        <w:fldChar w:fldCharType="begin" w:fldLock="1"/>
      </w:r>
      <w:r w:rsidR="00085620">
        <w:rPr>
          <w:b w:val="0"/>
          <w:sz w:val="18"/>
          <w:szCs w:val="18"/>
          <w:lang w:val="en-US"/>
        </w:rPr>
        <w:instrText>ADDIN CSL_CITATION {"citationItems":[{"id":"ITEM-1","itemData":{"DOI":"10.1021/ol501243g","ISSN":"1523-7060","author":[{"dropping-particle":"","family":"Ichiishi","given":"Naoko","non-dropping-particle":"","parse-names":false,"suffix":""},{"dropping-particle":"","family":"Brooks","given":"Allen F","non-dropping-particle":"","parse-names":false,"suffix":""},{"dropping-particle":"","family":"Topczewski","given":"Joseph J","non-dropping-particle":"","parse-names":false,"suffix":""},{"dropping-particle":"","family":"Rodnick","given":"Melissa E","non-dropping-particle":"","parse-names":false,"suffix":""},{"dropping-particle":"","family":"Sanford","given":"Melanie S","non-dropping-particle":"","parse-names":false,"suffix":""},{"dropping-particle":"","family":"Scott","given":"Peter J H","non-dropping-particle":"","parse-names":false,"suffix":""}],"container-title":"Organic Letters","id":"ITEM-1","issue":"12","issued":{"date-parts":[["2014","6","20"]]},"note":"doi: 10.1021/ol501243g","page":"3224-3227","publisher":"American Chemical Society","title":"Copper-Catalyzed [18F]Fluorination of (Mesityl)(aryl)iodonium Salts","type":"article-journal","volume":"16"},"uris":["http://www.mendeley.com/documents/?uuid=8df3df62-621c-465d-87ff-04e3318d3778"]},{"id":"ITEM-2","itemData":{"DOI":"10.1021/acs.orglett.7b01902","ISSN":"1523-7060","author":[{"dropping-particle":"","family":"McCammant","given":"Matthew S","non-dropping-particle":"","parse-names":false,"suffix":""},{"dropping-particle":"","family":"Thompson","given":"Stephen","non-dropping-particle":"","parse-names":false,"suffix":""},{"dropping-particle":"","family":"Brooks","given":"Allen F","non-dropping-particle":"","parse-names":false,"suffix":""},{"dropping-particle":"","family":"Krska","given":"Shane W","non-dropping-particle":"","parse-names":false,"suffix":""},{"dropping-particle":"","family":"Scott","given":"Peter J H","non-dropping-particle":"","parse-names":false,"suffix":""},{"dropping-particle":"","family":"Sanford","given":"Melanie S","non-dropping-particle":"","parse-names":false,"suffix":""}],"container-title":"Organic Letters","id":"ITEM-2","issue":"14","issued":{"date-parts":[["2017","7","21"]]},"note":"doi: 10.1021/acs.orglett.7b01902","page":"3939-3942","publisher":"American Chemical Society","title":"Cu-Mediated C–H 18F-Fluorination of Electron-Rich (Hetero)arenes","type":"article-journal","volume":"19"},"uris":["http://www.mendeley.com/documents/?uuid=fd5da72d-c83f-45b1-af3a-2adb11707ba4"]}],"mendeley":{"formattedCitation":"&lt;sup&gt;20,21&lt;/sup&gt;","plainTextFormattedCitation":"20,21","previouslyFormattedCitation":"(Ichiishi et al. 2014; McCammant et al. 2017)"},"properties":{"noteIndex":0},"schema":"https://github.com/citation-style-language/schema/raw/master/csl-citation.json"}</w:instrText>
      </w:r>
      <w:r w:rsidR="00D07DCA">
        <w:rPr>
          <w:b w:val="0"/>
          <w:sz w:val="18"/>
          <w:szCs w:val="18"/>
          <w:lang w:val="en-US"/>
        </w:rPr>
        <w:fldChar w:fldCharType="separate"/>
      </w:r>
      <w:r w:rsidR="00085620" w:rsidRPr="00085620">
        <w:rPr>
          <w:b w:val="0"/>
          <w:noProof/>
          <w:sz w:val="18"/>
          <w:szCs w:val="18"/>
          <w:vertAlign w:val="superscript"/>
          <w:lang w:val="en-US"/>
        </w:rPr>
        <w:t>20,21</w:t>
      </w:r>
      <w:r w:rsidR="00D07DCA">
        <w:rPr>
          <w:b w:val="0"/>
          <w:sz w:val="18"/>
          <w:szCs w:val="18"/>
          <w:lang w:val="en-US"/>
        </w:rPr>
        <w:fldChar w:fldCharType="end"/>
      </w:r>
      <w:r w:rsidR="001C1BF5">
        <w:rPr>
          <w:b w:val="0"/>
          <w:sz w:val="18"/>
          <w:szCs w:val="18"/>
          <w:lang w:val="en-US"/>
        </w:rPr>
        <w:t xml:space="preserve"> </w:t>
      </w:r>
      <w:r w:rsidR="004466B1">
        <w:rPr>
          <w:b w:val="0"/>
          <w:sz w:val="18"/>
          <w:szCs w:val="18"/>
          <w:lang w:val="en-US"/>
        </w:rPr>
        <w:t>boronic acids</w:t>
      </w:r>
      <w:r w:rsidR="00304B0A">
        <w:rPr>
          <w:b w:val="0"/>
          <w:sz w:val="18"/>
          <w:szCs w:val="18"/>
          <w:lang w:val="en-US"/>
        </w:rPr>
        <w:fldChar w:fldCharType="begin" w:fldLock="1"/>
      </w:r>
      <w:r w:rsidR="00085620">
        <w:rPr>
          <w:b w:val="0"/>
          <w:sz w:val="18"/>
          <w:szCs w:val="18"/>
          <w:lang w:val="en-US"/>
        </w:rPr>
        <w:instrText>ADDIN CSL_CITATION {"citationItems":[{"id":"ITEM-1","itemData":{"DOI":"10.1021/acs.orglett.5b02875","ISSN":"1523-7060","author":[{"dropping-particle":"V","family":"Mossine","given":"Andrew","non-dropping-particle":"","parse-names":false,"suffix":""},{"dropping-particle":"","family":"Brooks","given":"Allen F","non-dropping-particle":"","parse-names":false,"suffix":""},{"dropping-particle":"","family":"Makaravage","given":"Katarina J","non-dropping-particle":"","parse-names":false,"suffix":""},{"dropping-particle":"","family":"Miller","given":"Jason M","non-dropping-particle":"","parse-names":false,"suffix":""},{"dropping-particle":"","family":"Ichiishi","given":"Naoko","non-dropping-particle":"","parse-names":false,"suffix":""},{"dropping-particle":"","family":"Sanford","given":"Melanie S","non-dropping-particle":"","parse-names":false,"suffix":""},{"dropping-particle":"","family":"Scott","given":"Peter J H","non-dropping-particle":"","parse-names":false,"suffix":""}],"container-title":"Organic Letters","id":"ITEM-1","issue":"23","issued":{"date-parts":[["2015","12","4"]]},"note":"doi: 10.1021/acs.orglett.5b02875","page":"5780-5783","publisher":"American Chemical Society","title":"Synthesis of [18F]Arenes via the Copper-Mediated [18F]Fluorination of Boronic Acids","type":"article-journal","volume":"17"},"uris":["http://www.mendeley.com/documents/?uuid=c38c918f-8f46-453b-93fa-1ee93a87f27a"]}],"mendeley":{"formattedCitation":"&lt;sup&gt;22&lt;/sup&gt;","plainTextFormattedCitation":"22","previouslyFormattedCitation":"(Mossine et al. 2015)"},"properties":{"noteIndex":0},"schema":"https://github.com/citation-style-language/schema/raw/master/csl-citation.json"}</w:instrText>
      </w:r>
      <w:r w:rsidR="00304B0A">
        <w:rPr>
          <w:b w:val="0"/>
          <w:sz w:val="18"/>
          <w:szCs w:val="18"/>
          <w:lang w:val="en-US"/>
        </w:rPr>
        <w:fldChar w:fldCharType="separate"/>
      </w:r>
      <w:r w:rsidR="00085620" w:rsidRPr="00085620">
        <w:rPr>
          <w:b w:val="0"/>
          <w:noProof/>
          <w:sz w:val="18"/>
          <w:szCs w:val="18"/>
          <w:vertAlign w:val="superscript"/>
          <w:lang w:val="en-US"/>
        </w:rPr>
        <w:t>22</w:t>
      </w:r>
      <w:r w:rsidR="00304B0A">
        <w:rPr>
          <w:b w:val="0"/>
          <w:sz w:val="18"/>
          <w:szCs w:val="18"/>
          <w:lang w:val="en-US"/>
        </w:rPr>
        <w:fldChar w:fldCharType="end"/>
      </w:r>
      <w:r w:rsidR="00304B0A">
        <w:rPr>
          <w:b w:val="0"/>
          <w:sz w:val="18"/>
          <w:szCs w:val="18"/>
          <w:lang w:val="en-US"/>
        </w:rPr>
        <w:t xml:space="preserve"> </w:t>
      </w:r>
      <w:r w:rsidR="004466B1">
        <w:rPr>
          <w:b w:val="0"/>
          <w:sz w:val="18"/>
          <w:szCs w:val="18"/>
          <w:lang w:val="en-US"/>
        </w:rPr>
        <w:t xml:space="preserve">and </w:t>
      </w:r>
      <w:proofErr w:type="spellStart"/>
      <w:r w:rsidR="004466B1">
        <w:rPr>
          <w:b w:val="0"/>
          <w:sz w:val="18"/>
          <w:szCs w:val="18"/>
          <w:lang w:val="en-US"/>
        </w:rPr>
        <w:t>arylstannanes</w:t>
      </w:r>
      <w:proofErr w:type="spellEnd"/>
      <w:r w:rsidR="004466B1">
        <w:rPr>
          <w:b w:val="0"/>
          <w:sz w:val="18"/>
          <w:szCs w:val="18"/>
          <w:lang w:val="en-US"/>
        </w:rPr>
        <w:t xml:space="preserve">, </w:t>
      </w:r>
      <w:r w:rsidR="00035E11">
        <w:rPr>
          <w:b w:val="0"/>
          <w:sz w:val="18"/>
          <w:szCs w:val="18"/>
          <w:lang w:val="en-US"/>
        </w:rPr>
        <w:t xml:space="preserve">and </w:t>
      </w:r>
      <w:r>
        <w:rPr>
          <w:b w:val="0"/>
          <w:sz w:val="18"/>
          <w:szCs w:val="18"/>
          <w:lang w:val="en-US"/>
        </w:rPr>
        <w:t>Gouverneur</w:t>
      </w:r>
      <w:r w:rsidR="002708E4">
        <w:rPr>
          <w:b w:val="0"/>
          <w:sz w:val="18"/>
          <w:szCs w:val="18"/>
          <w:lang w:val="en-US"/>
        </w:rPr>
        <w:t xml:space="preserve">’s </w:t>
      </w:r>
      <w:r w:rsidR="001C1BF5">
        <w:rPr>
          <w:b w:val="0"/>
          <w:sz w:val="18"/>
          <w:szCs w:val="18"/>
          <w:lang w:val="en-US"/>
        </w:rPr>
        <w:t>Cu-mediated flu</w:t>
      </w:r>
      <w:r w:rsidR="00537470">
        <w:rPr>
          <w:b w:val="0"/>
          <w:sz w:val="18"/>
          <w:szCs w:val="18"/>
          <w:lang w:val="en-US"/>
        </w:rPr>
        <w:t>or</w:t>
      </w:r>
      <w:r w:rsidR="001C1BF5">
        <w:rPr>
          <w:b w:val="0"/>
          <w:sz w:val="18"/>
          <w:szCs w:val="18"/>
          <w:lang w:val="en-US"/>
        </w:rPr>
        <w:t>ination of aryl boronic acids</w:t>
      </w:r>
      <w:r w:rsidR="00035E11">
        <w:rPr>
          <w:b w:val="0"/>
          <w:sz w:val="18"/>
          <w:szCs w:val="18"/>
          <w:lang w:val="en-US"/>
        </w:rPr>
        <w:t>.</w:t>
      </w:r>
      <w:r w:rsidR="001C1BF5">
        <w:rPr>
          <w:b w:val="0"/>
          <w:sz w:val="18"/>
          <w:szCs w:val="18"/>
          <w:lang w:val="en-US"/>
        </w:rPr>
        <w:fldChar w:fldCharType="begin" w:fldLock="1"/>
      </w:r>
      <w:r w:rsidR="00085620">
        <w:rPr>
          <w:b w:val="0"/>
          <w:sz w:val="18"/>
          <w:szCs w:val="18"/>
          <w:lang w:val="en-US"/>
        </w:rPr>
        <w:instrText>ADDIN CSL_CITATION {"citationItems":[{"id":"ITEM-1","itemData":{"DOI":"10.1002/anie.201404436","ISSN":"14337851","author":[{"dropping-particle":"","family":"Tredwell","given":"Matthew","non-dropping-particle":"","parse-names":false,"suffix":""},{"dropping-particle":"","family":"Preshlock","given":"Sean M.","non-dropping-particle":"","parse-names":false,"suffix":""},{"dropping-particle":"","family":"Taylor","given":"Nicholas J.","non-dropping-particle":"","parse-names":false,"suffix":""},{"dropping-particle":"","family":"Gruber","given":"Stefan","non-dropping-particle":"","parse-names":false,"suffix":""},{"dropping-particle":"","family":"Huiban","given":"Mickael","non-dropping-particle":"","parse-names":false,"suffix":""},{"dropping-particle":"","family":"Passchier","given":"Jan","non-dropping-particle":"","parse-names":false,"suffix":""},{"dropping-particle":"","family":"Mercier","given":"Joël","non-dropping-particle":"","parse-names":false,"suffix":""},{"dropping-particle":"","family":"Génicot","given":"Christophe","non-dropping-particle":"","parse-names":false,"suffix":""},{"dropping-particle":"","family":"Gouverneur","given":"Véronique","non-dropping-particle":"","parse-names":false,"suffix":""}],"container-title":"Angewandte Chemie International Edition","id":"ITEM-1","issue":"30","issued":{"date-parts":[["2014","7","21"]]},"page":"7751-7755","publisher":"WILEY‐VCH Verlag","title":"A General Copper-Mediated Nucleophilic 18 F Fluorination of Arenes","type":"article-journal","volume":"53"},"uris":["http://www.mendeley.com/documents/?uuid=5a055dd6-8673-3d19-a608-365f6629484a"]}],"mendeley":{"formattedCitation":"&lt;sup&gt;23&lt;/sup&gt;","plainTextFormattedCitation":"23","previouslyFormattedCitation":"(Tredwell et al. 2014)"},"properties":{"noteIndex":0},"schema":"https://github.com/citation-style-language/schema/raw/master/csl-citation.json"}</w:instrText>
      </w:r>
      <w:r w:rsidR="001C1BF5">
        <w:rPr>
          <w:b w:val="0"/>
          <w:sz w:val="18"/>
          <w:szCs w:val="18"/>
          <w:lang w:val="en-US"/>
        </w:rPr>
        <w:fldChar w:fldCharType="separate"/>
      </w:r>
      <w:r w:rsidR="00085620" w:rsidRPr="00085620">
        <w:rPr>
          <w:b w:val="0"/>
          <w:noProof/>
          <w:sz w:val="18"/>
          <w:szCs w:val="18"/>
          <w:vertAlign w:val="superscript"/>
          <w:lang w:val="en-US"/>
        </w:rPr>
        <w:t>23</w:t>
      </w:r>
      <w:r w:rsidR="001C1BF5">
        <w:rPr>
          <w:b w:val="0"/>
          <w:sz w:val="18"/>
          <w:szCs w:val="18"/>
          <w:lang w:val="en-US"/>
        </w:rPr>
        <w:fldChar w:fldCharType="end"/>
      </w:r>
      <w:r w:rsidR="001C1BF5">
        <w:rPr>
          <w:b w:val="0"/>
          <w:sz w:val="18"/>
          <w:szCs w:val="18"/>
          <w:lang w:val="en-US"/>
        </w:rPr>
        <w:t xml:space="preserve"> </w:t>
      </w:r>
      <w:r w:rsidR="00035E11">
        <w:rPr>
          <w:b w:val="0"/>
          <w:sz w:val="18"/>
          <w:szCs w:val="18"/>
          <w:lang w:val="en-US"/>
        </w:rPr>
        <w:t>Of note f</w:t>
      </w:r>
      <w:r w:rsidR="004466B1">
        <w:rPr>
          <w:b w:val="0"/>
          <w:sz w:val="18"/>
          <w:szCs w:val="18"/>
          <w:lang w:val="en-US"/>
        </w:rPr>
        <w:t xml:space="preserve">or aliphatic tracers is Doyle’s </w:t>
      </w:r>
      <w:r w:rsidR="00AF4C97">
        <w:rPr>
          <w:b w:val="0"/>
          <w:sz w:val="18"/>
          <w:szCs w:val="18"/>
          <w:lang w:val="en-US"/>
        </w:rPr>
        <w:t>Co(</w:t>
      </w:r>
      <w:proofErr w:type="spellStart"/>
      <w:r w:rsidR="00AF4C97">
        <w:rPr>
          <w:b w:val="0"/>
          <w:sz w:val="18"/>
          <w:szCs w:val="18"/>
          <w:lang w:val="en-US"/>
        </w:rPr>
        <w:t>salen</w:t>
      </w:r>
      <w:proofErr w:type="spellEnd"/>
      <w:r w:rsidR="00AF4C97">
        <w:rPr>
          <w:b w:val="0"/>
          <w:sz w:val="18"/>
          <w:szCs w:val="18"/>
          <w:lang w:val="en-US"/>
        </w:rPr>
        <w:t>)</w:t>
      </w:r>
      <w:r w:rsidR="004466B1">
        <w:rPr>
          <w:b w:val="0"/>
          <w:sz w:val="18"/>
          <w:szCs w:val="18"/>
          <w:lang w:val="en-US"/>
        </w:rPr>
        <w:t>F catalyzed enantioselective epoxide opening</w:t>
      </w:r>
      <w:r w:rsidR="0092440B">
        <w:rPr>
          <w:b w:val="0"/>
          <w:sz w:val="18"/>
          <w:szCs w:val="18"/>
          <w:lang w:val="en-US"/>
        </w:rPr>
        <w:t>,</w:t>
      </w:r>
      <w:r w:rsidR="004466B1">
        <w:rPr>
          <w:b w:val="0"/>
          <w:sz w:val="18"/>
          <w:szCs w:val="18"/>
          <w:lang w:val="en-US"/>
        </w:rPr>
        <w:fldChar w:fldCharType="begin" w:fldLock="1"/>
      </w:r>
      <w:r w:rsidR="00085620">
        <w:rPr>
          <w:b w:val="0"/>
          <w:sz w:val="18"/>
          <w:szCs w:val="18"/>
          <w:lang w:val="en-US"/>
        </w:rPr>
        <w:instrText>ADDIN CSL_CITATION {"citationItems":[{"id":"ITEM-1","itemData":{"DOI":"10.1021/ja5025645","ISSN":"0002-7863","author":[{"dropping-particle":"","family":"Graham","given":"Thomas J A","non-dropping-particle":"","parse-names":false,"suffix":""},{"dropping-particle":"","family":"Lambert","given":"R Frederick","non-dropping-particle":"","parse-names":false,"suffix":""},{"dropping-particle":"","family":"Ploessl","given":"Karl","non-dropping-particle":"","parse-names":false,"suffix":""},{"dropping-particle":"","family":"Kung","given":"Hank F","non-dropping-particle":"","parse-names":false,"suffix":""},{"dropping-particle":"","family":"Doyle","given":"Abigail G","non-dropping-particle":"","parse-names":false,"suffix":""}],"container-title":"Journal of the American Chemical Society","id":"ITEM-1","issue":"14","issued":{"date-parts":[["2014","4","9"]]},"note":"doi: 10.1021/ja5025645","page":"5291-5294","publisher":"American Chemical Society","title":"Enantioselective Radiosynthesis of Positron Emission Tomography (PET) Tracers Containing [18F]Fluorohydrins","type":"article-journal","volume":"136"},"uris":["http://www.mendeley.com/documents/?uuid=10035cb0-bc06-4818-8d8a-64f1fcfc9cd7"]}],"mendeley":{"formattedCitation":"&lt;sup&gt;24&lt;/sup&gt;","plainTextFormattedCitation":"24","previouslyFormattedCitation":"(Graham et al. 2014)"},"properties":{"noteIndex":0},"schema":"https://github.com/citation-style-language/schema/raw/master/csl-citation.json"}</w:instrText>
      </w:r>
      <w:r w:rsidR="004466B1">
        <w:rPr>
          <w:b w:val="0"/>
          <w:sz w:val="18"/>
          <w:szCs w:val="18"/>
          <w:lang w:val="en-US"/>
        </w:rPr>
        <w:fldChar w:fldCharType="separate"/>
      </w:r>
      <w:r w:rsidR="00085620" w:rsidRPr="00085620">
        <w:rPr>
          <w:b w:val="0"/>
          <w:noProof/>
          <w:sz w:val="18"/>
          <w:szCs w:val="18"/>
          <w:vertAlign w:val="superscript"/>
          <w:lang w:val="en-US"/>
        </w:rPr>
        <w:t>24</w:t>
      </w:r>
      <w:r w:rsidR="004466B1">
        <w:rPr>
          <w:b w:val="0"/>
          <w:sz w:val="18"/>
          <w:szCs w:val="18"/>
          <w:lang w:val="en-US"/>
        </w:rPr>
        <w:fldChar w:fldCharType="end"/>
      </w:r>
      <w:r w:rsidR="0092440B" w:rsidRPr="0092440B">
        <w:rPr>
          <w:b w:val="0"/>
          <w:sz w:val="18"/>
          <w:szCs w:val="18"/>
          <w:vertAlign w:val="superscript"/>
          <w:lang w:val="en-US"/>
        </w:rPr>
        <w:t>a</w:t>
      </w:r>
      <w:r w:rsidR="004466B1">
        <w:rPr>
          <w:b w:val="0"/>
          <w:sz w:val="18"/>
          <w:szCs w:val="18"/>
          <w:lang w:val="en-US"/>
        </w:rPr>
        <w:t xml:space="preserve"> </w:t>
      </w:r>
      <w:r w:rsidR="0092440B">
        <w:rPr>
          <w:b w:val="0"/>
          <w:sz w:val="18"/>
          <w:szCs w:val="18"/>
          <w:lang w:val="en-US"/>
        </w:rPr>
        <w:t xml:space="preserve">Doyle’s </w:t>
      </w:r>
      <w:proofErr w:type="spellStart"/>
      <w:r w:rsidR="0092440B">
        <w:rPr>
          <w:b w:val="0"/>
          <w:sz w:val="18"/>
          <w:szCs w:val="18"/>
          <w:lang w:val="en-US"/>
        </w:rPr>
        <w:t>photoredox</w:t>
      </w:r>
      <w:proofErr w:type="spellEnd"/>
      <w:r w:rsidR="0092440B">
        <w:rPr>
          <w:b w:val="0"/>
          <w:sz w:val="18"/>
          <w:szCs w:val="18"/>
          <w:lang w:val="en-US"/>
        </w:rPr>
        <w:t xml:space="preserve"> catalyzed decarboxylative fluorination protocol,</w:t>
      </w:r>
      <w:r w:rsidR="0092440B" w:rsidRPr="0092440B">
        <w:rPr>
          <w:b w:val="0"/>
          <w:sz w:val="18"/>
          <w:szCs w:val="18"/>
          <w:vertAlign w:val="superscript"/>
          <w:lang w:val="en-US"/>
        </w:rPr>
        <w:t>24b</w:t>
      </w:r>
      <w:r w:rsidR="0092440B">
        <w:rPr>
          <w:b w:val="0"/>
          <w:sz w:val="18"/>
          <w:szCs w:val="18"/>
          <w:lang w:val="en-US"/>
        </w:rPr>
        <w:t xml:space="preserve"> </w:t>
      </w:r>
      <w:r w:rsidR="004466B1">
        <w:rPr>
          <w:b w:val="0"/>
          <w:sz w:val="18"/>
          <w:szCs w:val="18"/>
          <w:lang w:val="en-US"/>
        </w:rPr>
        <w:t xml:space="preserve">and </w:t>
      </w:r>
      <w:r w:rsidR="00D07DCA">
        <w:rPr>
          <w:b w:val="0"/>
          <w:sz w:val="18"/>
          <w:szCs w:val="18"/>
          <w:lang w:val="en-US"/>
        </w:rPr>
        <w:t xml:space="preserve">recent </w:t>
      </w:r>
      <w:r w:rsidR="004466B1">
        <w:rPr>
          <w:b w:val="0"/>
          <w:sz w:val="18"/>
          <w:szCs w:val="18"/>
          <w:lang w:val="en-US"/>
        </w:rPr>
        <w:t>C-H activation methods which obviate the</w:t>
      </w:r>
      <w:r w:rsidR="004466B1">
        <w:rPr>
          <w:b w:val="0"/>
          <w:sz w:val="18"/>
          <w:szCs w:val="18"/>
        </w:rPr>
        <w:t xml:space="preserve"> requirement for installation of a suitable leaving group in the labelling precursor </w:t>
      </w:r>
      <w:r w:rsidR="00360DDF">
        <w:rPr>
          <w:b w:val="0"/>
          <w:sz w:val="18"/>
          <w:szCs w:val="18"/>
        </w:rPr>
        <w:t xml:space="preserve">molecule such as </w:t>
      </w:r>
      <w:r w:rsidR="004466B1">
        <w:rPr>
          <w:b w:val="0"/>
          <w:sz w:val="18"/>
          <w:szCs w:val="18"/>
          <w:lang w:val="en-US"/>
        </w:rPr>
        <w:t>Gouverneur’s o</w:t>
      </w:r>
      <w:r w:rsidR="00360DDF">
        <w:rPr>
          <w:b w:val="0"/>
          <w:sz w:val="18"/>
          <w:szCs w:val="18"/>
          <w:lang w:val="en-US"/>
        </w:rPr>
        <w:t>r</w:t>
      </w:r>
      <w:r w:rsidR="004466B1">
        <w:rPr>
          <w:b w:val="0"/>
          <w:sz w:val="18"/>
          <w:szCs w:val="18"/>
          <w:lang w:val="en-US"/>
        </w:rPr>
        <w:t xml:space="preserve">ganocatalytic </w:t>
      </w:r>
      <w:r w:rsidR="004466B1" w:rsidRPr="00537470">
        <w:rPr>
          <w:rFonts w:ascii="Symbol" w:hAnsi="Symbol"/>
          <w:b w:val="0"/>
          <w:sz w:val="18"/>
          <w:szCs w:val="18"/>
          <w:lang w:val="en-US"/>
        </w:rPr>
        <w:t></w:t>
      </w:r>
      <w:r w:rsidR="004466B1">
        <w:rPr>
          <w:b w:val="0"/>
          <w:sz w:val="18"/>
          <w:szCs w:val="18"/>
          <w:lang w:val="en-US"/>
        </w:rPr>
        <w:t>-fluorination of aliphatic aldehydes,</w:t>
      </w:r>
      <w:r w:rsidR="004466B1">
        <w:rPr>
          <w:b w:val="0"/>
          <w:sz w:val="18"/>
          <w:szCs w:val="18"/>
          <w:lang w:val="en-US"/>
        </w:rPr>
        <w:fldChar w:fldCharType="begin" w:fldLock="1"/>
      </w:r>
      <w:r w:rsidR="00085620">
        <w:rPr>
          <w:b w:val="0"/>
          <w:sz w:val="18"/>
          <w:szCs w:val="18"/>
          <w:lang w:val="en-US"/>
        </w:rPr>
        <w:instrText>ADDIN CSL_CITATION {"citationItems":[{"id":"ITEM-1","itemData":{"DOI":"10.1002/anie.201506035","ISSN":"14337851","PMID":"26360631","abstract":"The first organomediated asymmetric (18)F fluorination has been accomplished using a chiral imidazolidinone and [(18)F]N-fluorobenzenesulfonimide. The method provides access to enantioenriched (18)F-labeled α-fluoroaldehydes (&gt;90% ee), which are versatile chiral (18)F synthons for the synthesis of radiotracers. The utility of this process is demonstrated with the synthesis of the PET (positron emission tomography) tracer (2S,4S)-4-[(18)F]fluoroglutamic acid.","author":[{"dropping-particle":"","family":"Buckingham","given":"Faye","non-dropping-particle":"","parse-names":false,"suffix":""},{"dropping-particle":"","family":"Kirjavainen","given":"Anna K.","non-dropping-particle":"","parse-names":false,"suffix":""},{"dropping-particle":"","family":"Forsback","given":"Sarita","non-dropping-particle":"","parse-names":false,"suffix":""},{"dropping-particle":"","family":"Krzyczmonik","given":"Anna","non-dropping-particle":"","parse-names":false,"suffix":""},{"dropping-particle":"","family":"Keller","given":"Thomas","non-dropping-particle":"","parse-names":false,"suffix":""},{"dropping-particle":"","family":"Newington","given":"Ian M.","non-dropping-particle":"","parse-names":false,"suffix":""},{"dropping-particle":"","family":"Glaser","given":"Matthias","non-dropping-particle":"","parse-names":false,"suffix":""},{"dropping-particle":"","family":"Luthra","given":"Sajinder K.","non-dropping-particle":"","parse-names":false,"suffix":""},{"dropping-particle":"","family":"Solin","given":"Olof","non-dropping-particle":"","parse-names":false,"suffix":""},{"dropping-particle":"","family":"Gouverneur","given":"Véronique","non-dropping-particle":"","parse-names":false,"suffix":""}],"container-title":"Angewandte Chemie International Edition","id":"ITEM-1","issue":"45","issued":{"date-parts":[["2015","11","2"]]},"page":"13366-13369","title":"Organomediated Enantioselective 18 F Fluorination for PET Applications","type":"article-journal","volume":"54"},"uris":["http://www.mendeley.com/documents/?uuid=c5eb0dc8-bbd4-431d-925d-aa244fad2163"]}],"mendeley":{"formattedCitation":"&lt;sup&gt;25&lt;/sup&gt;","plainTextFormattedCitation":"25","previouslyFormattedCitation":"(Buckingham et al. 2015)"},"properties":{"noteIndex":0},"schema":"https://github.com/citation-style-language/schema/raw/master/csl-citation.json"}</w:instrText>
      </w:r>
      <w:r w:rsidR="004466B1">
        <w:rPr>
          <w:b w:val="0"/>
          <w:sz w:val="18"/>
          <w:szCs w:val="18"/>
          <w:lang w:val="en-US"/>
        </w:rPr>
        <w:fldChar w:fldCharType="separate"/>
      </w:r>
      <w:r w:rsidR="00085620" w:rsidRPr="00085620">
        <w:rPr>
          <w:b w:val="0"/>
          <w:noProof/>
          <w:sz w:val="18"/>
          <w:szCs w:val="18"/>
          <w:vertAlign w:val="superscript"/>
          <w:lang w:val="en-US"/>
        </w:rPr>
        <w:t>25</w:t>
      </w:r>
      <w:r w:rsidR="004466B1">
        <w:rPr>
          <w:b w:val="0"/>
          <w:sz w:val="18"/>
          <w:szCs w:val="18"/>
          <w:lang w:val="en-US"/>
        </w:rPr>
        <w:fldChar w:fldCharType="end"/>
      </w:r>
      <w:r w:rsidR="003422B1" w:rsidRPr="003422B1">
        <w:rPr>
          <w:b w:val="0"/>
          <w:sz w:val="18"/>
          <w:szCs w:val="18"/>
          <w:vertAlign w:val="superscript"/>
          <w:lang w:val="en-US"/>
        </w:rPr>
        <w:t>,</w:t>
      </w:r>
      <w:r w:rsidR="00C13595">
        <w:rPr>
          <w:b w:val="0"/>
          <w:sz w:val="18"/>
          <w:szCs w:val="18"/>
          <w:lang w:val="en-US"/>
        </w:rPr>
        <w:fldChar w:fldCharType="begin" w:fldLock="1"/>
      </w:r>
      <w:r w:rsidR="00085620">
        <w:rPr>
          <w:b w:val="0"/>
          <w:sz w:val="18"/>
          <w:szCs w:val="18"/>
          <w:lang w:val="en-US"/>
        </w:rPr>
        <w:instrText>ADDIN CSL_CITATION {"citationItems":[{"id":"ITEM-1","itemData":{"DOI":"10.1039/C5SC04229A","abstract":"Positron emission tomography (PET) is becoming more frequently used by medicinal chemists to facilitate the selection of the most promising lead compounds for further evaluation. For PET{,} this entails the preparation of 11C- or 18F-labeled drugs or radioligands. With the importance of chirality and fluorine substitution in drug development{,} chemists can be faced with the challenge of preparing enantiopure molecules featuring the 18F-tag on a stereogenic carbon. Asymmetric 18F-fluorination is an emerging field of research that provides an alternative to resolution or conventional SN2-based radiochemistry. To date{,} both transition metal complexes and organomediators have been successfully employed for 18F-incorporation at a stereogenic carbon.","author":[{"dropping-particle":"","family":"Buckingham","given":"Faye","non-dropping-particle":"","parse-names":false,"suffix":""},{"dropping-particle":"","family":"Gouverneur","given":"Veronique","non-dropping-particle":"","parse-names":false,"suffix":""}],"container-title":"Chem. Sci.","id":"ITEM-1","issue":"3","issued":{"date-parts":[["2016"]]},"page":"1645-1652","publisher":"The Royal Society of Chemistry","title":"Asymmetric 18F-fluorination for applications in positron emission tomography","type":"article-journal","volume":"7"},"uris":["http://www.mendeley.com/documents/?uuid=cc812c62-563f-45a9-a020-b6a3dd79a8b8"]}],"mendeley":{"formattedCitation":"&lt;sup&gt;26&lt;/sup&gt;","plainTextFormattedCitation":"26","previouslyFormattedCitation":"(Buckingham and Gouverneur 2016)"},"properties":{"noteIndex":0},"schema":"https://github.com/citation-style-language/schema/raw/master/csl-citation.json"}</w:instrText>
      </w:r>
      <w:r w:rsidR="00C13595">
        <w:rPr>
          <w:b w:val="0"/>
          <w:sz w:val="18"/>
          <w:szCs w:val="18"/>
          <w:lang w:val="en-US"/>
        </w:rPr>
        <w:fldChar w:fldCharType="separate"/>
      </w:r>
      <w:r w:rsidR="00085620" w:rsidRPr="00085620">
        <w:rPr>
          <w:b w:val="0"/>
          <w:noProof/>
          <w:sz w:val="18"/>
          <w:szCs w:val="18"/>
          <w:vertAlign w:val="superscript"/>
          <w:lang w:val="en-US"/>
        </w:rPr>
        <w:t>26</w:t>
      </w:r>
      <w:r w:rsidR="00C13595">
        <w:rPr>
          <w:b w:val="0"/>
          <w:sz w:val="18"/>
          <w:szCs w:val="18"/>
          <w:lang w:val="en-US"/>
        </w:rPr>
        <w:fldChar w:fldCharType="end"/>
      </w:r>
      <w:r w:rsidR="004466B1">
        <w:rPr>
          <w:b w:val="0"/>
          <w:sz w:val="18"/>
          <w:szCs w:val="18"/>
          <w:vertAlign w:val="superscript"/>
        </w:rPr>
        <w:t xml:space="preserve"> </w:t>
      </w:r>
      <w:r w:rsidR="004466B1">
        <w:rPr>
          <w:b w:val="0"/>
          <w:sz w:val="18"/>
          <w:szCs w:val="18"/>
        </w:rPr>
        <w:t xml:space="preserve"> </w:t>
      </w:r>
      <w:r w:rsidR="00D845CE">
        <w:rPr>
          <w:b w:val="0"/>
          <w:sz w:val="18"/>
          <w:szCs w:val="18"/>
        </w:rPr>
        <w:t xml:space="preserve">Britton’s photoactivated </w:t>
      </w:r>
      <w:proofErr w:type="spellStart"/>
      <w:r w:rsidR="00D845CE" w:rsidRPr="00D845CE">
        <w:rPr>
          <w:b w:val="0"/>
          <w:sz w:val="18"/>
          <w:szCs w:val="18"/>
        </w:rPr>
        <w:t>decatungstate-catalyzed</w:t>
      </w:r>
      <w:proofErr w:type="spellEnd"/>
      <w:r w:rsidR="00D845CE">
        <w:rPr>
          <w:b w:val="0"/>
          <w:sz w:val="18"/>
          <w:szCs w:val="18"/>
        </w:rPr>
        <w:t xml:space="preserve"> fluorination of </w:t>
      </w:r>
      <w:r w:rsidR="00907CF9">
        <w:rPr>
          <w:b w:val="0"/>
          <w:sz w:val="18"/>
          <w:szCs w:val="18"/>
        </w:rPr>
        <w:t xml:space="preserve">branched </w:t>
      </w:r>
      <w:r w:rsidR="00907CF9" w:rsidRPr="00907CF9">
        <w:rPr>
          <w:rFonts w:ascii="Symbol" w:hAnsi="Symbol"/>
          <w:b w:val="0"/>
          <w:sz w:val="18"/>
          <w:szCs w:val="18"/>
        </w:rPr>
        <w:t></w:t>
      </w:r>
      <w:r w:rsidR="008161B4">
        <w:rPr>
          <w:b w:val="0"/>
          <w:sz w:val="18"/>
          <w:szCs w:val="18"/>
        </w:rPr>
        <w:t>-amino acids,</w:t>
      </w:r>
      <w:r w:rsidR="00907CF9">
        <w:rPr>
          <w:b w:val="0"/>
          <w:sz w:val="18"/>
          <w:szCs w:val="18"/>
        </w:rPr>
        <w:fldChar w:fldCharType="begin" w:fldLock="1"/>
      </w:r>
      <w:r w:rsidR="00085620">
        <w:rPr>
          <w:b w:val="0"/>
          <w:sz w:val="18"/>
          <w:szCs w:val="18"/>
        </w:rPr>
        <w:instrText>ADDIN CSL_CITATION {"citationItems":[{"id":"ITEM-1","itemData":{"DOI":"10.1021/jacs.6b11533","ISSN":"0002-7863","author":[{"dropping-particle":"","family":"Nodwell","given":"Matthew B","non-dropping-particle":"","parse-names":false,"suffix":""},{"dropping-particle":"","family":"Yang","given":"Hua","non-dropping-particle":"","parse-names":false,"suffix":""},{"dropping-particle":"","family":"Čolović","given":"Milena","non-dropping-particle":"","parse-names":false,"suffix":""},{"dropping-particle":"","family":"Yuan","given":"Zheliang","non-dropping-particle":"","parse-names":false,"suffix":""},{"dropping-particle":"","family":"Merkens","given":"Helen","non-dropping-particle":"","parse-names":false,"suffix":""},{"dropping-particle":"","family":"Martin","given":"Rainer E","non-dropping-particle":"","parse-names":false,"suffix":""},{"dropping-particle":"","family":"Bénard","given":"François","non-dropping-particle":"","parse-names":false,"suffix":""},{"dropping-particle":"","family":"Schaffer","given":"Paul","non-dropping-particle":"","parse-names":false,"suffix":""},{"dropping-particle":"","family":"Britton","given":"Robert","non-dropping-particle":"","parse-names":false,"suffix":""}],"container-title":"Journal of the American Chemical Society","id":"ITEM-1","issue":"10","issued":{"date-parts":[["2017","3","15"]]},"note":"doi: 10.1021/jacs.6b11533","page":"3595-3598","publisher":"American Chemical Society","title":"18F-Fluorination of Unactivated C–H Bonds in Branched Aliphatic Amino Acids: Direct Synthesis of Oncological Positron Emission Tomography Imaging Agents","type":"article-journal","volume":"139"},"uris":["http://www.mendeley.com/documents/?uuid=aeb862c4-ea2a-4881-9f1d-f51481cf71be"]}],"mendeley":{"formattedCitation":"&lt;sup&gt;27&lt;/sup&gt;","plainTextFormattedCitation":"27","previouslyFormattedCitation":"(Nodwell et al. 2017)"},"properties":{"noteIndex":0},"schema":"https://github.com/citation-style-language/schema/raw/master/csl-citation.json"}</w:instrText>
      </w:r>
      <w:r w:rsidR="00907CF9">
        <w:rPr>
          <w:b w:val="0"/>
          <w:sz w:val="18"/>
          <w:szCs w:val="18"/>
        </w:rPr>
        <w:fldChar w:fldCharType="separate"/>
      </w:r>
      <w:r w:rsidR="00085620" w:rsidRPr="00085620">
        <w:rPr>
          <w:b w:val="0"/>
          <w:noProof/>
          <w:sz w:val="18"/>
          <w:szCs w:val="18"/>
          <w:vertAlign w:val="superscript"/>
        </w:rPr>
        <w:t>27</w:t>
      </w:r>
      <w:r w:rsidR="00907CF9">
        <w:rPr>
          <w:b w:val="0"/>
          <w:sz w:val="18"/>
          <w:szCs w:val="18"/>
        </w:rPr>
        <w:fldChar w:fldCharType="end"/>
      </w:r>
      <w:r w:rsidR="00907CF9">
        <w:rPr>
          <w:b w:val="0"/>
          <w:sz w:val="18"/>
          <w:szCs w:val="18"/>
        </w:rPr>
        <w:t xml:space="preserve"> </w:t>
      </w:r>
      <w:r w:rsidR="00035E11">
        <w:rPr>
          <w:b w:val="0"/>
          <w:sz w:val="18"/>
          <w:szCs w:val="18"/>
          <w:lang w:val="en-US"/>
        </w:rPr>
        <w:t>a</w:t>
      </w:r>
      <w:r w:rsidR="00537470">
        <w:rPr>
          <w:b w:val="0"/>
          <w:sz w:val="18"/>
          <w:szCs w:val="18"/>
          <w:lang w:val="en-US"/>
        </w:rPr>
        <w:t>nd</w:t>
      </w:r>
      <w:r w:rsidRPr="00EB589F">
        <w:rPr>
          <w:b w:val="0"/>
          <w:sz w:val="18"/>
          <w:szCs w:val="18"/>
          <w:lang w:val="en-US"/>
        </w:rPr>
        <w:t xml:space="preserve"> </w:t>
      </w:r>
      <w:r>
        <w:rPr>
          <w:b w:val="0"/>
          <w:sz w:val="18"/>
          <w:szCs w:val="18"/>
          <w:lang w:val="en-US"/>
        </w:rPr>
        <w:t>Groves</w:t>
      </w:r>
      <w:r w:rsidR="004E3F3E">
        <w:rPr>
          <w:b w:val="0"/>
          <w:sz w:val="18"/>
          <w:szCs w:val="18"/>
          <w:lang w:val="en-US"/>
        </w:rPr>
        <w:t>’</w:t>
      </w:r>
      <w:r>
        <w:rPr>
          <w:b w:val="0"/>
          <w:sz w:val="18"/>
          <w:szCs w:val="18"/>
          <w:lang w:val="en-US"/>
        </w:rPr>
        <w:t xml:space="preserve"> benzylic fluorination </w:t>
      </w:r>
      <w:r w:rsidR="008161B4">
        <w:rPr>
          <w:b w:val="0"/>
          <w:sz w:val="18"/>
          <w:szCs w:val="18"/>
          <w:lang w:val="en-US"/>
        </w:rPr>
        <w:t xml:space="preserve">of benzylic positions </w:t>
      </w:r>
      <w:r>
        <w:rPr>
          <w:b w:val="0"/>
          <w:sz w:val="18"/>
          <w:szCs w:val="18"/>
          <w:lang w:val="en-US"/>
        </w:rPr>
        <w:t xml:space="preserve">using </w:t>
      </w:r>
      <w:r w:rsidR="00AF4C97">
        <w:rPr>
          <w:b w:val="0"/>
          <w:sz w:val="18"/>
          <w:szCs w:val="18"/>
          <w:lang w:val="en-US"/>
        </w:rPr>
        <w:t>Mn</w:t>
      </w:r>
      <w:r w:rsidR="004E3F3E">
        <w:rPr>
          <w:b w:val="0"/>
          <w:sz w:val="18"/>
          <w:szCs w:val="18"/>
        </w:rPr>
        <w:t>(</w:t>
      </w:r>
      <w:proofErr w:type="spellStart"/>
      <w:r w:rsidR="004E3F3E">
        <w:rPr>
          <w:b w:val="0"/>
          <w:sz w:val="18"/>
          <w:szCs w:val="18"/>
        </w:rPr>
        <w:t>salen</w:t>
      </w:r>
      <w:proofErr w:type="spellEnd"/>
      <w:r w:rsidR="004E3F3E">
        <w:rPr>
          <w:b w:val="0"/>
          <w:sz w:val="18"/>
          <w:szCs w:val="18"/>
        </w:rPr>
        <w:t>)</w:t>
      </w:r>
      <w:r w:rsidR="00907CF9">
        <w:rPr>
          <w:b w:val="0"/>
          <w:sz w:val="18"/>
          <w:szCs w:val="18"/>
        </w:rPr>
        <w:t>OTs</w:t>
      </w:r>
      <w:r w:rsidR="008161B4">
        <w:rPr>
          <w:b w:val="0"/>
          <w:sz w:val="18"/>
          <w:szCs w:val="18"/>
        </w:rPr>
        <w:fldChar w:fldCharType="begin" w:fldLock="1"/>
      </w:r>
      <w:r w:rsidR="00085620">
        <w:rPr>
          <w:b w:val="0"/>
          <w:sz w:val="18"/>
          <w:szCs w:val="18"/>
        </w:rPr>
        <w:instrText>ADDIN CSL_CITATION {"citationItems":[{"id":"ITEM-1","itemData":{"DOI":"10.1021/ja5039819","ISSN":"0002-7863","PMID":"24766544","abstract":"We describe the first late-stage (18)F labeling chemistry for aliphatic C-H bonds with no-carrier-added [(18)F]fluoride. The method uses Mn(salen)OTs as an F-transfer catalyst and enables the facile labeling of a variety of bioactive molecules and building blocks with radiochemical yields (RCY) ranging from 20% to 72% within 10 min without the need for preactivation of the labeling precursor. Notably, the catalyst itself can directly elute [(18)F]fluoride from an ion exchange cartridge with over 90% efficiency. Using this feature, the conventional and laborious dry-down step prior to reaction is circumvented, greatly simplifying the mechanics of this protocol and shortening the time for automated synthesis. Eight drug molecules, including COX, ACE, MAO, and PDE inhibitors, have been successfully [(18)F]-labeled in this way.","author":[{"dropping-particle":"","family":"Huang","given":"Xiongyi","non-dropping-particle":"","parse-names":false,"suffix":""},{"dropping-particle":"","family":"Liu","given":"Wei","non-dropping-particle":"","parse-names":false,"suffix":""},{"dropping-particle":"","family":"Ren","given":"Hong","non-dropping-particle":"","parse-names":false,"suffix":""},{"dropping-particle":"","family":"Neelamegam","given":"Ramesh","non-dropping-particle":"","parse-names":false,"suffix":""},{"dropping-particle":"","family":"Hooker","given":"Jacob M","non-dropping-particle":"","parse-names":false,"suffix":""},{"dropping-particle":"","family":"Groves","given":"John T","non-dropping-particle":"","parse-names":false,"suffix":""}],"container-title":"Journal of the American Chemical Society","id":"ITEM-1","issue":"19","issued":{"date-parts":[["2014","5","14"]]},"page":"6842-6845","title":"Late Stage Benzylic C–H Fluorination with [ 18 F]Fluoride for PET Imaging","type":"article-journal","volume":"136"},"uris":["http://www.mendeley.com/documents/?uuid=f3c71cd4-51be-4523-9edc-04de371cf2ee"]},{"id":"ITEM-2","itemData":{"DOI":"10.1021/acs.accounts.5b00062","ISSN":"0001-4842","author":[{"dropping-particle":"","family":"Liu","given":"Wei","non-dropping-particle":"","parse-names":false,"suffix":""},{"dropping-particle":"","family":"Groves","given":"John T","non-dropping-particle":"","parse-names":false,"suffix":""}],"container-title":"Accounts of Chemical Research","id":"ITEM-2","issue":"6","issued":{"date-parts":[["2015","6","16"]]},"note":"doi: 10.1021/acs.accounts.5b00062","page":"1727-1735","publisher":"American Chemical Society","title":"Manganese Catalyzed C–H Halogenation","type":"article-journal","volume":"48"},"uris":["http://www.mendeley.com/documents/?uuid=7dd1ef21-3e5f-470f-a794-efb9c49ed9b7"]}],"mendeley":{"formattedCitation":"&lt;sup&gt;28,29&lt;/sup&gt;","plainTextFormattedCitation":"28,29","previouslyFormattedCitation":"(Huang et al. 2014; Liu and Groves 2015)"},"properties":{"noteIndex":0},"schema":"https://github.com/citation-style-language/schema/raw/master/csl-citation.json"}</w:instrText>
      </w:r>
      <w:r w:rsidR="008161B4">
        <w:rPr>
          <w:b w:val="0"/>
          <w:sz w:val="18"/>
          <w:szCs w:val="18"/>
        </w:rPr>
        <w:fldChar w:fldCharType="separate"/>
      </w:r>
      <w:r w:rsidR="00085620" w:rsidRPr="00085620">
        <w:rPr>
          <w:b w:val="0"/>
          <w:noProof/>
          <w:sz w:val="18"/>
          <w:szCs w:val="18"/>
          <w:vertAlign w:val="superscript"/>
        </w:rPr>
        <w:t>28,29</w:t>
      </w:r>
      <w:r w:rsidR="008161B4">
        <w:rPr>
          <w:b w:val="0"/>
          <w:sz w:val="18"/>
          <w:szCs w:val="18"/>
        </w:rPr>
        <w:fldChar w:fldCharType="end"/>
      </w:r>
      <w:r w:rsidR="008161B4">
        <w:rPr>
          <w:b w:val="0"/>
          <w:sz w:val="18"/>
          <w:szCs w:val="18"/>
          <w:lang w:val="en-US"/>
        </w:rPr>
        <w:t xml:space="preserve"> </w:t>
      </w:r>
      <w:r w:rsidR="00391869">
        <w:rPr>
          <w:b w:val="0"/>
          <w:sz w:val="18"/>
          <w:szCs w:val="18"/>
          <w:lang w:val="en-US"/>
        </w:rPr>
        <w:t xml:space="preserve">and </w:t>
      </w:r>
      <w:r w:rsidR="002D6F6D">
        <w:rPr>
          <w:b w:val="0"/>
          <w:sz w:val="18"/>
          <w:szCs w:val="18"/>
          <w:lang w:val="en-US"/>
        </w:rPr>
        <w:t xml:space="preserve">most recently </w:t>
      </w:r>
      <w:proofErr w:type="spellStart"/>
      <w:r w:rsidR="002D6F6D">
        <w:rPr>
          <w:b w:val="0"/>
          <w:sz w:val="18"/>
          <w:szCs w:val="18"/>
          <w:lang w:val="en-US"/>
        </w:rPr>
        <w:t>unactivated</w:t>
      </w:r>
      <w:proofErr w:type="spellEnd"/>
      <w:r w:rsidR="002D6F6D">
        <w:rPr>
          <w:b w:val="0"/>
          <w:sz w:val="18"/>
          <w:szCs w:val="18"/>
          <w:lang w:val="en-US"/>
        </w:rPr>
        <w:t xml:space="preserve"> aliphatic positions using a </w:t>
      </w:r>
      <w:r w:rsidR="00AF4C97">
        <w:rPr>
          <w:b w:val="0"/>
          <w:sz w:val="18"/>
          <w:szCs w:val="18"/>
          <w:lang w:val="en-US"/>
        </w:rPr>
        <w:t>Mn(porphyrin)</w:t>
      </w:r>
      <w:r w:rsidR="008161B4">
        <w:rPr>
          <w:b w:val="0"/>
          <w:sz w:val="18"/>
          <w:szCs w:val="18"/>
          <w:lang w:val="en-US"/>
        </w:rPr>
        <w:t xml:space="preserve">OTs </w:t>
      </w:r>
      <w:r w:rsidR="00391869">
        <w:rPr>
          <w:b w:val="0"/>
          <w:sz w:val="18"/>
          <w:szCs w:val="18"/>
          <w:lang w:val="en-US"/>
        </w:rPr>
        <w:t>pre-</w:t>
      </w:r>
      <w:r w:rsidR="008161B4">
        <w:rPr>
          <w:b w:val="0"/>
          <w:sz w:val="18"/>
          <w:szCs w:val="18"/>
          <w:lang w:val="en-US"/>
        </w:rPr>
        <w:t>catalyst</w:t>
      </w:r>
      <w:r w:rsidR="002D6F6D">
        <w:rPr>
          <w:b w:val="0"/>
          <w:sz w:val="18"/>
          <w:szCs w:val="18"/>
          <w:lang w:val="en-US"/>
        </w:rPr>
        <w:t>.</w:t>
      </w:r>
      <w:r w:rsidR="008161B4">
        <w:rPr>
          <w:b w:val="0"/>
          <w:sz w:val="18"/>
          <w:szCs w:val="18"/>
          <w:lang w:val="en-US"/>
        </w:rPr>
        <w:fldChar w:fldCharType="begin" w:fldLock="1"/>
      </w:r>
      <w:r w:rsidR="00085620">
        <w:rPr>
          <w:b w:val="0"/>
          <w:sz w:val="18"/>
          <w:szCs w:val="18"/>
          <w:lang w:val="en-US"/>
        </w:rPr>
        <w:instrText>ADDIN CSL_CITATION {"citationItems":[{"id":"ITEM-1","itemData":{"DOI":"10.1039/C7SC04545J","ISSN":"2041-6520","abstract":"The first direct C-H 18F fluorination reaction of unactivated aliphatic sites using no-carrier-added [18F]fluoride is reported. Under the influence of a manganese porphyrin/iodosylbenzene system, a variety of unactivated aliphatic C-H bonds can be selectively converted to C-18F bonds. The mild conditions, broad substrate scope and generally inaccessible regiochemistry make this radio-fluorination a powerful alternate to established nucleophilic substitution for the preparation of 18F labeled radio tracers.","author":[{"dropping-particle":"","family":"Liu","given":"Wei","non-dropping-particle":"","parse-names":false,"suffix":""},{"dropping-particle":"","family":"Huang","given":"Xiongyi","non-dropping-particle":"","parse-names":false,"suffix":""},{"dropping-particle":"","family":"Placzek","given":"Michael S","non-dropping-particle":"","parse-names":false,"suffix":""},{"dropping-particle":"","family":"Krska","given":"Shane W","non-dropping-particle":"","parse-names":false,"suffix":""},{"dropping-particle":"","family":"McQuade","given":"Paul","non-dropping-particle":"","parse-names":false,"suffix":""},{"dropping-particle":"","family":"Hooker","given":"Jacob M","non-dropping-particle":"","parse-names":false,"suffix":""},{"dropping-particle":"","family":"Groves","given":"John T","non-dropping-particle":"","parse-names":false,"suffix":""}],"container-title":"Chemical Science","id":"ITEM-1","issued":{"date-parts":[["2018"]]},"publisher":"The Royal Society of Chemistry","title":"Site-selective 18F fluorination of unactivated C-H bonds mediated by a manganese porphyrin","type":"article-journal"},"uris":["http://www.mendeley.com/documents/?uuid=566ff11c-c12d-458a-a5c7-84d4c51ba886"]}],"mendeley":{"formattedCitation":"&lt;sup&gt;30&lt;/sup&gt;","plainTextFormattedCitation":"30","previouslyFormattedCitation":"(Liu et al. 2018)"},"properties":{"noteIndex":0},"schema":"https://github.com/citation-style-language/schema/raw/master/csl-citation.json"}</w:instrText>
      </w:r>
      <w:r w:rsidR="008161B4">
        <w:rPr>
          <w:b w:val="0"/>
          <w:sz w:val="18"/>
          <w:szCs w:val="18"/>
          <w:lang w:val="en-US"/>
        </w:rPr>
        <w:fldChar w:fldCharType="separate"/>
      </w:r>
      <w:r w:rsidR="00085620" w:rsidRPr="00085620">
        <w:rPr>
          <w:b w:val="0"/>
          <w:noProof/>
          <w:sz w:val="18"/>
          <w:szCs w:val="18"/>
          <w:vertAlign w:val="superscript"/>
          <w:lang w:val="en-US"/>
        </w:rPr>
        <w:t>30</w:t>
      </w:r>
      <w:r w:rsidR="008161B4">
        <w:rPr>
          <w:b w:val="0"/>
          <w:sz w:val="18"/>
          <w:szCs w:val="18"/>
          <w:lang w:val="en-US"/>
        </w:rPr>
        <w:fldChar w:fldCharType="end"/>
      </w:r>
    </w:p>
    <w:p w14:paraId="34D46AF3" w14:textId="26AC59DB" w:rsidR="0044116F" w:rsidRPr="00C13595" w:rsidRDefault="008161B4" w:rsidP="00C13595">
      <w:pPr>
        <w:pStyle w:val="RSCB04SectionHeading"/>
        <w:spacing w:before="120"/>
        <w:jc w:val="both"/>
        <w:rPr>
          <w:b w:val="0"/>
        </w:rPr>
      </w:pPr>
      <w:r>
        <w:rPr>
          <w:b w:val="0"/>
          <w:sz w:val="18"/>
          <w:szCs w:val="18"/>
          <w:lang w:val="en-US"/>
        </w:rPr>
        <w:t xml:space="preserve">We also recently </w:t>
      </w:r>
      <w:r>
        <w:rPr>
          <w:b w:val="0"/>
          <w:sz w:val="18"/>
          <w:szCs w:val="18"/>
        </w:rPr>
        <w:t>disclosed a protocol</w:t>
      </w:r>
      <w:r w:rsidR="00AF4C97">
        <w:rPr>
          <w:b w:val="0"/>
          <w:sz w:val="18"/>
          <w:szCs w:val="18"/>
        </w:rPr>
        <w:t xml:space="preserve"> similar to that of Groves </w:t>
      </w:r>
      <w:r w:rsidR="00AF4C97" w:rsidRPr="00AF4C97">
        <w:rPr>
          <w:b w:val="0"/>
          <w:i/>
          <w:sz w:val="18"/>
          <w:szCs w:val="18"/>
        </w:rPr>
        <w:t>et al.</w:t>
      </w:r>
      <w:r w:rsidR="00391869">
        <w:rPr>
          <w:b w:val="0"/>
          <w:i/>
          <w:sz w:val="18"/>
          <w:szCs w:val="18"/>
        </w:rPr>
        <w:fldChar w:fldCharType="begin" w:fldLock="1"/>
      </w:r>
      <w:r w:rsidR="00085620">
        <w:rPr>
          <w:b w:val="0"/>
          <w:i/>
          <w:sz w:val="18"/>
          <w:szCs w:val="18"/>
        </w:rPr>
        <w:instrText>ADDIN CSL_CITATION {"citationItems":[{"id":"ITEM-1","itemData":{"DOI":"10.1021/ja5039819","ISSN":"0002-7863","PMID":"24766544","abstract":"We describe the first late-stage (18)F labeling chemistry for aliphatic C-H bonds with no-carrier-added [(18)F]fluoride. The method uses Mn(salen)OTs as an F-transfer catalyst and enables the facile labeling of a variety of bioactive molecules and building blocks with radiochemical yields (RCY) ranging from 20% to 72% within 10 min without the need for preactivation of the labeling precursor. Notably, the catalyst itself can directly elute [(18)F]fluoride from an ion exchange cartridge with over 90% efficiency. Using this feature, the conventional and laborious dry-down step prior to reaction is circumvented, greatly simplifying the mechanics of this protocol and shortening the time for automated synthesis. Eight drug molecules, including COX, ACE, MAO, and PDE inhibitors, have been successfully [(18)F]-labeled in this way.","author":[{"dropping-particle":"","family":"Huang","given":"Xiongyi","non-dropping-particle":"","parse-names":false,"suffix":""},{"dropping-particle":"","family":"Liu","given":"Wei","non-dropping-particle":"","parse-names":false,"suffix":""},{"dropping-particle":"","family":"Ren","given":"Hong","non-dropping-particle":"","parse-names":false,"suffix":""},{"dropping-particle":"","family":"Neelamegam","given":"Ramesh","non-dropping-particle":"","parse-names":false,"suffix":""},{"dropping-particle":"","family":"Hooker","given":"Jacob M","non-dropping-particle":"","parse-names":false,"suffix":""},{"dropping-particle":"","family":"Groves","given":"John T","non-dropping-particle":"","parse-names":false,"suffix":""}],"container-title":"Journal of the American Chemical Society","id":"ITEM-1","issue":"19","issued":{"date-parts":[["2014","5","14"]]},"page":"6842-6845","title":"Late Stage Benzylic C–H Fluorination with [ 18 F]Fluoride for PET Imaging","type":"article-journal","volume":"136"},"uris":["http://www.mendeley.com/documents/?uuid=f3c71cd4-51be-4523-9edc-04de371cf2ee"]}],"mendeley":{"formattedCitation":"&lt;sup&gt;28&lt;/sup&gt;","plainTextFormattedCitation":"28","previouslyFormattedCitation":"(Huang et al. 2014)"},"properties":{"noteIndex":0},"schema":"https://github.com/citation-style-language/schema/raw/master/csl-citation.json"}</w:instrText>
      </w:r>
      <w:r w:rsidR="00391869">
        <w:rPr>
          <w:b w:val="0"/>
          <w:i/>
          <w:sz w:val="18"/>
          <w:szCs w:val="18"/>
        </w:rPr>
        <w:fldChar w:fldCharType="separate"/>
      </w:r>
      <w:r w:rsidR="00085620" w:rsidRPr="00085620">
        <w:rPr>
          <w:b w:val="0"/>
          <w:noProof/>
          <w:sz w:val="18"/>
          <w:szCs w:val="18"/>
          <w:vertAlign w:val="superscript"/>
        </w:rPr>
        <w:t>28</w:t>
      </w:r>
      <w:r w:rsidR="00391869">
        <w:rPr>
          <w:b w:val="0"/>
          <w:i/>
          <w:sz w:val="18"/>
          <w:szCs w:val="18"/>
        </w:rPr>
        <w:fldChar w:fldCharType="end"/>
      </w:r>
      <w:r w:rsidR="002D6F6D">
        <w:rPr>
          <w:b w:val="0"/>
          <w:sz w:val="18"/>
          <w:szCs w:val="18"/>
        </w:rPr>
        <w:t xml:space="preserve"> </w:t>
      </w:r>
      <w:r>
        <w:rPr>
          <w:b w:val="0"/>
          <w:sz w:val="18"/>
          <w:szCs w:val="18"/>
        </w:rPr>
        <w:t>for the efficient preparation of benzylic [</w:t>
      </w:r>
      <w:r w:rsidRPr="00EC50CF">
        <w:rPr>
          <w:b w:val="0"/>
          <w:sz w:val="18"/>
          <w:szCs w:val="18"/>
          <w:vertAlign w:val="superscript"/>
        </w:rPr>
        <w:t>18</w:t>
      </w:r>
      <w:r>
        <w:rPr>
          <w:b w:val="0"/>
          <w:sz w:val="18"/>
          <w:szCs w:val="18"/>
        </w:rPr>
        <w:t>F]-trifluoromethyl-containing compounds</w:t>
      </w:r>
      <w:r w:rsidR="00AF4C97">
        <w:rPr>
          <w:b w:val="0"/>
          <w:sz w:val="18"/>
          <w:szCs w:val="18"/>
        </w:rPr>
        <w:t xml:space="preserve"> using the commercially available Jacobsen-type</w:t>
      </w:r>
      <w:r>
        <w:rPr>
          <w:b w:val="0"/>
          <w:sz w:val="18"/>
          <w:szCs w:val="18"/>
        </w:rPr>
        <w:t xml:space="preserve"> </w:t>
      </w:r>
      <w:r w:rsidR="00391869">
        <w:rPr>
          <w:b w:val="0"/>
          <w:sz w:val="18"/>
          <w:szCs w:val="18"/>
        </w:rPr>
        <w:t>Mn</w:t>
      </w:r>
      <w:r>
        <w:rPr>
          <w:b w:val="0"/>
          <w:sz w:val="18"/>
          <w:szCs w:val="18"/>
        </w:rPr>
        <w:t>(</w:t>
      </w:r>
      <w:proofErr w:type="spellStart"/>
      <w:r w:rsidR="00391869">
        <w:rPr>
          <w:b w:val="0"/>
          <w:sz w:val="18"/>
          <w:szCs w:val="18"/>
        </w:rPr>
        <w:t>salen</w:t>
      </w:r>
      <w:proofErr w:type="spellEnd"/>
      <w:r w:rsidR="00391869">
        <w:rPr>
          <w:b w:val="0"/>
          <w:sz w:val="18"/>
          <w:szCs w:val="18"/>
        </w:rPr>
        <w:t>)</w:t>
      </w:r>
      <w:r>
        <w:rPr>
          <w:b w:val="0"/>
          <w:sz w:val="18"/>
          <w:szCs w:val="18"/>
        </w:rPr>
        <w:t xml:space="preserve">Cl </w:t>
      </w:r>
      <w:r w:rsidR="00391869">
        <w:rPr>
          <w:b w:val="0"/>
          <w:sz w:val="18"/>
          <w:szCs w:val="18"/>
        </w:rPr>
        <w:t>pre-</w:t>
      </w:r>
      <w:r>
        <w:rPr>
          <w:b w:val="0"/>
          <w:sz w:val="18"/>
          <w:szCs w:val="18"/>
        </w:rPr>
        <w:t>catalyst.</w:t>
      </w:r>
      <w:r>
        <w:rPr>
          <w:b w:val="0"/>
          <w:sz w:val="18"/>
          <w:szCs w:val="18"/>
        </w:rPr>
        <w:fldChar w:fldCharType="begin" w:fldLock="1"/>
      </w:r>
      <w:r w:rsidR="00085620">
        <w:rPr>
          <w:b w:val="0"/>
          <w:sz w:val="18"/>
          <w:szCs w:val="18"/>
        </w:rPr>
        <w:instrText>ADDIN CSL_CITATION {"citationItems":[{"id":"ITEM-1","itemData":{"DOI":"10.1039/C4CC05762G","ISSN":"1359-7345","PMID":"25714781","abstract":"Development of a Mn–salen catalysed oxidative benzylic fluorination of non-activated C–H bonds using [ 18 F]fluoride is described for installation of [ 18 F]CHRF, [ 18 F]CR 2 F and [ 18 F]CF 3 containing groups.","author":[{"dropping-particle":"","family":"Carroll","given":"L","non-dropping-particle":"","parse-names":false,"suffix":""},{"dropping-particle":"","family":"Evans","given":"H L","non-dropping-particle":"","parse-names":false,"suffix":""},{"dropping-particle":"","family":"Spivey","given":"A C","non-dropping-particle":"","parse-names":false,"suffix":""},{"dropping-particle":"","family":"Aboagye","given":"E O","non-dropping-particle":"","parse-names":false,"suffix":""}],"container-title":"Chemical Communications","id":"ITEM-1","issue":"40","issued":{"date-parts":[["2015","5"]]},"language":"en","page":"8439-8441","publisher":"The Royal Society of Chemistry","title":"Mn–salen catalysed benzylic C–H activation for the synthesis of aryl [ 18 F]CF 3 -containing PET probes","type":"article-journal","volume":"51"},"uris":["http://www.mendeley.com/documents/?uuid=f9d46c67-137b-4b3e-ac54-e0e270176e50"]}],"mendeley":{"formattedCitation":"&lt;sup&gt;31&lt;/sup&gt;","plainTextFormattedCitation":"31","previouslyFormattedCitation":"(Carroll et al. 2015)"},"properties":{"noteIndex":0},"schema":"https://github.com/citation-style-language/schema/raw/master/csl-citation.json"}</w:instrText>
      </w:r>
      <w:r>
        <w:rPr>
          <w:b w:val="0"/>
          <w:sz w:val="18"/>
          <w:szCs w:val="18"/>
        </w:rPr>
        <w:fldChar w:fldCharType="separate"/>
      </w:r>
      <w:r w:rsidR="00085620" w:rsidRPr="00085620">
        <w:rPr>
          <w:b w:val="0"/>
          <w:noProof/>
          <w:sz w:val="18"/>
          <w:szCs w:val="18"/>
          <w:vertAlign w:val="superscript"/>
        </w:rPr>
        <w:t>31</w:t>
      </w:r>
      <w:r>
        <w:rPr>
          <w:b w:val="0"/>
          <w:sz w:val="18"/>
          <w:szCs w:val="18"/>
        </w:rPr>
        <w:fldChar w:fldCharType="end"/>
      </w:r>
      <w:r>
        <w:rPr>
          <w:b w:val="0"/>
          <w:sz w:val="18"/>
          <w:szCs w:val="18"/>
        </w:rPr>
        <w:t xml:space="preserve"> </w:t>
      </w:r>
      <w:r w:rsidR="004C16B6">
        <w:rPr>
          <w:b w:val="0"/>
          <w:sz w:val="18"/>
          <w:szCs w:val="18"/>
        </w:rPr>
        <w:t>W</w:t>
      </w:r>
      <w:r w:rsidR="0044116F">
        <w:rPr>
          <w:b w:val="0"/>
          <w:sz w:val="18"/>
          <w:szCs w:val="18"/>
        </w:rPr>
        <w:t xml:space="preserve">e </w:t>
      </w:r>
      <w:r>
        <w:rPr>
          <w:b w:val="0"/>
          <w:sz w:val="18"/>
          <w:szCs w:val="18"/>
        </w:rPr>
        <w:t>report here an extension of our</w:t>
      </w:r>
      <w:r w:rsidR="0044116F">
        <w:rPr>
          <w:b w:val="0"/>
          <w:sz w:val="18"/>
          <w:szCs w:val="18"/>
        </w:rPr>
        <w:t xml:space="preserve"> work to the [</w:t>
      </w:r>
      <w:r w:rsidR="0044116F" w:rsidRPr="006A0A77">
        <w:rPr>
          <w:b w:val="0"/>
          <w:sz w:val="18"/>
          <w:szCs w:val="18"/>
          <w:vertAlign w:val="superscript"/>
        </w:rPr>
        <w:t>18</w:t>
      </w:r>
      <w:r w:rsidR="0044116F">
        <w:rPr>
          <w:b w:val="0"/>
          <w:sz w:val="18"/>
          <w:szCs w:val="18"/>
        </w:rPr>
        <w:t>F]-labelling of non-benzylic aliphatic molecule</w:t>
      </w:r>
      <w:r w:rsidR="00AF4C97">
        <w:rPr>
          <w:b w:val="0"/>
          <w:sz w:val="18"/>
          <w:szCs w:val="18"/>
        </w:rPr>
        <w:t xml:space="preserve">s using a Mn(III) </w:t>
      </w:r>
      <w:proofErr w:type="spellStart"/>
      <w:r w:rsidR="00391869">
        <w:rPr>
          <w:b w:val="0"/>
          <w:sz w:val="18"/>
          <w:szCs w:val="18"/>
        </w:rPr>
        <w:t>tetramesityl</w:t>
      </w:r>
      <w:proofErr w:type="spellEnd"/>
      <w:r w:rsidR="00AF4C97">
        <w:rPr>
          <w:b w:val="0"/>
          <w:sz w:val="18"/>
          <w:szCs w:val="18"/>
        </w:rPr>
        <w:t xml:space="preserve"> porphyrin coordinated with a chloride ligand, (</w:t>
      </w:r>
      <w:bookmarkStart w:id="2" w:name="_Hlk48573359"/>
      <w:r w:rsidR="00AF4C97">
        <w:rPr>
          <w:b w:val="0"/>
          <w:sz w:val="18"/>
          <w:szCs w:val="18"/>
        </w:rPr>
        <w:t>TMP</w:t>
      </w:r>
      <w:bookmarkEnd w:id="2"/>
      <w:r w:rsidR="00AF4C97">
        <w:rPr>
          <w:b w:val="0"/>
          <w:sz w:val="18"/>
          <w:szCs w:val="18"/>
        </w:rPr>
        <w:t>)</w:t>
      </w:r>
      <w:proofErr w:type="spellStart"/>
      <w:r w:rsidR="00AF4C97">
        <w:rPr>
          <w:b w:val="0"/>
          <w:sz w:val="18"/>
          <w:szCs w:val="18"/>
        </w:rPr>
        <w:t>MnCl</w:t>
      </w:r>
      <w:proofErr w:type="spellEnd"/>
      <w:r w:rsidR="00AF4C97">
        <w:rPr>
          <w:b w:val="0"/>
          <w:sz w:val="18"/>
          <w:szCs w:val="18"/>
        </w:rPr>
        <w:t xml:space="preserve">. </w:t>
      </w:r>
      <w:r w:rsidR="00391869">
        <w:rPr>
          <w:b w:val="0"/>
          <w:sz w:val="18"/>
          <w:szCs w:val="18"/>
        </w:rPr>
        <w:t xml:space="preserve">Once again our protocol is similar to that recently reported by Groves </w:t>
      </w:r>
      <w:r w:rsidR="00391869" w:rsidRPr="00391869">
        <w:rPr>
          <w:b w:val="0"/>
          <w:i/>
          <w:sz w:val="18"/>
          <w:szCs w:val="18"/>
        </w:rPr>
        <w:t>et al</w:t>
      </w:r>
      <w:r w:rsidR="00391869">
        <w:rPr>
          <w:b w:val="0"/>
          <w:sz w:val="18"/>
          <w:szCs w:val="18"/>
        </w:rPr>
        <w:t>.</w:t>
      </w:r>
      <w:r w:rsidR="00391869">
        <w:rPr>
          <w:b w:val="0"/>
          <w:sz w:val="18"/>
          <w:szCs w:val="18"/>
        </w:rPr>
        <w:fldChar w:fldCharType="begin" w:fldLock="1"/>
      </w:r>
      <w:r w:rsidR="00085620">
        <w:rPr>
          <w:b w:val="0"/>
          <w:sz w:val="18"/>
          <w:szCs w:val="18"/>
        </w:rPr>
        <w:instrText>ADDIN CSL_CITATION {"citationItems":[{"id":"ITEM-1","itemData":{"DOI":"10.1039/C7SC04545J","ISSN":"2041-6520","abstract":"The first direct C-H 18F fluorination reaction of unactivated aliphatic sites using no-carrier-added [18F]fluoride is reported. Under the influence of a manganese porphyrin/iodosylbenzene system, a variety of unactivated aliphatic C-H bonds can be selectively converted to C-18F bonds. The mild conditions, broad substrate scope and generally inaccessible regiochemistry make this radio-fluorination a powerful alternate to established nucleophilic substitution for the preparation of 18F labeled radio tracers.","author":[{"dropping-particle":"","family":"Liu","given":"Wei","non-dropping-particle":"","parse-names":false,"suffix":""},{"dropping-particle":"","family":"Huang","given":"Xiongyi","non-dropping-particle":"","parse-names":false,"suffix":""},{"dropping-particle":"","family":"Placzek","given":"Michael S","non-dropping-particle":"","parse-names":false,"suffix":""},{"dropping-particle":"","family":"Krska","given":"Shane W","non-dropping-particle":"","parse-names":false,"suffix":""},{"dropping-particle":"","family":"McQuade","given":"Paul","non-dropping-particle":"","parse-names":false,"suffix":""},{"dropping-particle":"","family":"Hooker","given":"Jacob M","non-dropping-particle":"","parse-names":false,"suffix":""},{"dropping-particle":"","family":"Groves","given":"John T","non-dropping-particle":"","parse-names":false,"suffix":""}],"container-title":"Chemical Science","id":"ITEM-1","issued":{"date-parts":[["2018"]]},"publisher":"The Royal Society of Chemistry","title":"Site-selective 18F fluorination of unactivated C-H bonds mediated by a manganese porphyrin","type":"article-journal"},"uris":["http://www.mendeley.com/documents/?uuid=566ff11c-c12d-458a-a5c7-84d4c51ba886"]}],"mendeley":{"formattedCitation":"&lt;sup&gt;30&lt;/sup&gt;","plainTextFormattedCitation":"30","previouslyFormattedCitation":"(Liu et al. 2018)"},"properties":{"noteIndex":0},"schema":"https://github.com/citation-style-language/schema/raw/master/csl-citation.json"}</w:instrText>
      </w:r>
      <w:r w:rsidR="00391869">
        <w:rPr>
          <w:b w:val="0"/>
          <w:sz w:val="18"/>
          <w:szCs w:val="18"/>
        </w:rPr>
        <w:fldChar w:fldCharType="separate"/>
      </w:r>
      <w:r w:rsidR="00085620" w:rsidRPr="00085620">
        <w:rPr>
          <w:b w:val="0"/>
          <w:noProof/>
          <w:sz w:val="18"/>
          <w:szCs w:val="18"/>
          <w:vertAlign w:val="superscript"/>
        </w:rPr>
        <w:t>30</w:t>
      </w:r>
      <w:r w:rsidR="00391869">
        <w:rPr>
          <w:b w:val="0"/>
          <w:sz w:val="18"/>
          <w:szCs w:val="18"/>
        </w:rPr>
        <w:fldChar w:fldCharType="end"/>
      </w:r>
      <w:r w:rsidR="00391869">
        <w:rPr>
          <w:b w:val="0"/>
          <w:sz w:val="18"/>
          <w:szCs w:val="18"/>
        </w:rPr>
        <w:t xml:space="preserve"> but is differentiated by employing this more readily available pre-catalyst; Groves uses Mn(III) </w:t>
      </w:r>
      <w:proofErr w:type="spellStart"/>
      <w:r w:rsidR="00391869">
        <w:rPr>
          <w:b w:val="0"/>
          <w:sz w:val="18"/>
          <w:szCs w:val="18"/>
        </w:rPr>
        <w:t>tetrakis</w:t>
      </w:r>
      <w:proofErr w:type="spellEnd"/>
      <w:r w:rsidR="00391869">
        <w:rPr>
          <w:b w:val="0"/>
          <w:sz w:val="18"/>
          <w:szCs w:val="18"/>
        </w:rPr>
        <w:t>(</w:t>
      </w:r>
      <w:bookmarkStart w:id="3" w:name="_Hlk48573443"/>
      <w:proofErr w:type="spellStart"/>
      <w:r w:rsidR="00391869">
        <w:rPr>
          <w:b w:val="0"/>
          <w:sz w:val="18"/>
          <w:szCs w:val="18"/>
        </w:rPr>
        <w:t>pentafluorophenylporphyrin</w:t>
      </w:r>
      <w:bookmarkEnd w:id="3"/>
      <w:proofErr w:type="spellEnd"/>
      <w:r w:rsidR="00AF4C97">
        <w:rPr>
          <w:b w:val="0"/>
          <w:sz w:val="18"/>
          <w:szCs w:val="18"/>
        </w:rPr>
        <w:t xml:space="preserve"> </w:t>
      </w:r>
      <w:r w:rsidR="00391869">
        <w:rPr>
          <w:b w:val="0"/>
          <w:sz w:val="18"/>
          <w:szCs w:val="18"/>
        </w:rPr>
        <w:t xml:space="preserve">coordinated with a </w:t>
      </w:r>
      <w:proofErr w:type="spellStart"/>
      <w:r w:rsidR="00391869">
        <w:rPr>
          <w:b w:val="0"/>
          <w:sz w:val="18"/>
          <w:szCs w:val="18"/>
        </w:rPr>
        <w:t>tosylate</w:t>
      </w:r>
      <w:proofErr w:type="spellEnd"/>
      <w:r w:rsidR="00391869">
        <w:rPr>
          <w:b w:val="0"/>
          <w:sz w:val="18"/>
          <w:szCs w:val="18"/>
        </w:rPr>
        <w:t xml:space="preserve"> ligand, Mn(PFP)OTs. </w:t>
      </w:r>
      <w:r w:rsidR="0044116F">
        <w:rPr>
          <w:b w:val="0"/>
          <w:sz w:val="18"/>
          <w:szCs w:val="18"/>
        </w:rPr>
        <w:t>Although numerous commercial drugs and candidate pharmaceuticals comprise alkyl moieties, late-stage [</w:t>
      </w:r>
      <w:r w:rsidR="0044116F" w:rsidRPr="00EC50CF">
        <w:rPr>
          <w:sz w:val="18"/>
          <w:szCs w:val="18"/>
          <w:vertAlign w:val="superscript"/>
        </w:rPr>
        <w:t>18</w:t>
      </w:r>
      <w:r w:rsidR="0044116F">
        <w:rPr>
          <w:b w:val="0"/>
          <w:sz w:val="18"/>
          <w:szCs w:val="18"/>
        </w:rPr>
        <w:t xml:space="preserve">F] </w:t>
      </w:r>
      <w:r w:rsidR="0044116F" w:rsidRPr="00736561">
        <w:rPr>
          <w:b w:val="0"/>
          <w:sz w:val="18"/>
          <w:szCs w:val="18"/>
        </w:rPr>
        <w:t xml:space="preserve">fluorination of saturated </w:t>
      </w:r>
      <w:r w:rsidR="0044116F">
        <w:rPr>
          <w:b w:val="0"/>
          <w:sz w:val="18"/>
          <w:szCs w:val="18"/>
        </w:rPr>
        <w:t>positions</w:t>
      </w:r>
      <w:r w:rsidR="004A6B21">
        <w:rPr>
          <w:b w:val="0"/>
          <w:sz w:val="18"/>
          <w:szCs w:val="18"/>
        </w:rPr>
        <w:t>, prior to the aforementioned disclosure of Groves,</w:t>
      </w:r>
      <w:r w:rsidR="0044116F">
        <w:rPr>
          <w:b w:val="0"/>
          <w:sz w:val="18"/>
          <w:szCs w:val="18"/>
        </w:rPr>
        <w:t xml:space="preserve"> has not hitherto been possible.</w:t>
      </w:r>
      <w:r w:rsidR="00C62532">
        <w:rPr>
          <w:b w:val="0"/>
          <w:sz w:val="18"/>
          <w:szCs w:val="18"/>
        </w:rPr>
        <w:fldChar w:fldCharType="begin" w:fldLock="1"/>
      </w:r>
      <w:r w:rsidR="00085620">
        <w:rPr>
          <w:b w:val="0"/>
          <w:sz w:val="18"/>
          <w:szCs w:val="18"/>
        </w:rPr>
        <w:instrText>ADDIN CSL_CITATION {"citationItems":[{"id":"ITEM-1","itemData":{"DOI":"10.1021/acs.joc.8b00982","ISSN":"15206904","abstract":"In the last six years, the direct functionalization of aliphatic C-H (and C-C) bonds through user-friendly, radical-based fluorination reactions has emerged as an exciting research area in fluorine chemistry. Considering the historical narratives about the challenges of developing practical radical fluorination in organic frameworks, notable advancements in controlling both reactivity and selectivity have been achieved during this time. As one of the participants in the field, herein, we a provide brief account of research efforts in our laboratory from the initial discovery of radical monofluorination on unactivated C-H bonds in 2012 to more useful strategies to install fluorine on biologically relevant molecules through directed fluorination methods. In addition, accompanying mechanistic studies that have helped guide reaction design are highlighted in context.","author":[{"dropping-particle":"","family":"Bume","given":"Desta Doro","non-dropping-particle":"","parse-names":false,"suffix":""},{"dropping-particle":"","family":"Harry","given":"Stefan Andrew","non-dropping-particle":"","parse-names":false,"suffix":""},{"dropping-particle":"","family":"Lectka","given":"Thomas","non-dropping-particle":"","parse-names":false,"suffix":""},{"dropping-particle":"","family":"Pitts","given":"Cody Ross","non-dropping-particle":"","parse-names":false,"suffix":""}],"container-title":"Journal of Organic Chemistry","genre":"review-article","id":"ITEM-1","issue":"16","issued":{"date-parts":[["2018"]]},"page":"8803-8814","publisher":"American Chemical Society","title":"Catalyzed and Promoted Aliphatic Fluorination","type":"article-journal","volume":"83"},"uris":["http://www.mendeley.com/documents/?uuid=ae386c83-939d-40dc-a272-f529755ed7c3"]}],"mendeley":{"formattedCitation":"&lt;sup&gt;32&lt;/sup&gt;","plainTextFormattedCitation":"32","previouslyFormattedCitation":"(Bume et al. 2018)"},"properties":{"noteIndex":0},"schema":"https://github.com/citation-style-language/schema/raw/master/csl-citation.json"}</w:instrText>
      </w:r>
      <w:r w:rsidR="00C62532">
        <w:rPr>
          <w:b w:val="0"/>
          <w:sz w:val="18"/>
          <w:szCs w:val="18"/>
        </w:rPr>
        <w:fldChar w:fldCharType="separate"/>
      </w:r>
      <w:r w:rsidR="00085620" w:rsidRPr="00085620">
        <w:rPr>
          <w:b w:val="0"/>
          <w:noProof/>
          <w:sz w:val="18"/>
          <w:szCs w:val="18"/>
          <w:vertAlign w:val="superscript"/>
        </w:rPr>
        <w:t>32</w:t>
      </w:r>
      <w:r w:rsidR="00C62532">
        <w:rPr>
          <w:b w:val="0"/>
          <w:sz w:val="18"/>
          <w:szCs w:val="18"/>
        </w:rPr>
        <w:fldChar w:fldCharType="end"/>
      </w:r>
      <w:r w:rsidR="0044116F">
        <w:rPr>
          <w:b w:val="0"/>
          <w:sz w:val="18"/>
          <w:szCs w:val="18"/>
        </w:rPr>
        <w:t xml:space="preserve"> The d</w:t>
      </w:r>
      <w:r w:rsidR="0044116F" w:rsidRPr="00BA7CE7">
        <w:rPr>
          <w:b w:val="0"/>
          <w:sz w:val="18"/>
          <w:szCs w:val="18"/>
        </w:rPr>
        <w:t>irect C-H to C-[</w:t>
      </w:r>
      <w:r w:rsidR="0044116F" w:rsidRPr="00BA7CE7">
        <w:rPr>
          <w:b w:val="0"/>
          <w:sz w:val="18"/>
          <w:szCs w:val="18"/>
          <w:vertAlign w:val="superscript"/>
        </w:rPr>
        <w:t>18</w:t>
      </w:r>
      <w:r w:rsidR="0044116F" w:rsidRPr="00BA7CE7">
        <w:rPr>
          <w:b w:val="0"/>
          <w:sz w:val="18"/>
          <w:szCs w:val="18"/>
        </w:rPr>
        <w:t xml:space="preserve">F] bond transformation </w:t>
      </w:r>
      <w:r w:rsidR="0044116F">
        <w:rPr>
          <w:b w:val="0"/>
          <w:sz w:val="18"/>
          <w:szCs w:val="18"/>
        </w:rPr>
        <w:t>of</w:t>
      </w:r>
      <w:r w:rsidR="002D6F6D">
        <w:rPr>
          <w:b w:val="0"/>
          <w:sz w:val="18"/>
          <w:szCs w:val="18"/>
        </w:rPr>
        <w:t xml:space="preserve"> non </w:t>
      </w:r>
      <w:proofErr w:type="spellStart"/>
      <w:r w:rsidR="002D6F6D">
        <w:rPr>
          <w:b w:val="0"/>
          <w:sz w:val="18"/>
          <w:szCs w:val="18"/>
        </w:rPr>
        <w:t>prefunctionalised</w:t>
      </w:r>
      <w:proofErr w:type="spellEnd"/>
      <w:r w:rsidR="00321852">
        <w:rPr>
          <w:b w:val="0"/>
          <w:sz w:val="18"/>
          <w:szCs w:val="18"/>
        </w:rPr>
        <w:t xml:space="preserve"> aliphatic </w:t>
      </w:r>
      <w:r w:rsidR="002D6F6D">
        <w:rPr>
          <w:b w:val="0"/>
          <w:sz w:val="18"/>
          <w:szCs w:val="18"/>
        </w:rPr>
        <w:t>tracer precursors</w:t>
      </w:r>
      <w:r w:rsidR="00321852">
        <w:rPr>
          <w:b w:val="0"/>
          <w:sz w:val="18"/>
          <w:szCs w:val="18"/>
        </w:rPr>
        <w:t xml:space="preserve"> using</w:t>
      </w:r>
      <w:r w:rsidR="0044116F" w:rsidRPr="00BA7CE7">
        <w:rPr>
          <w:b w:val="0"/>
          <w:sz w:val="18"/>
          <w:szCs w:val="18"/>
        </w:rPr>
        <w:t xml:space="preserve"> </w:t>
      </w:r>
      <w:r w:rsidR="0044116F">
        <w:rPr>
          <w:b w:val="0"/>
          <w:sz w:val="18"/>
          <w:szCs w:val="18"/>
        </w:rPr>
        <w:t>Mn(</w:t>
      </w:r>
      <w:r w:rsidR="0044116F" w:rsidRPr="00BA7CE7">
        <w:rPr>
          <w:b w:val="0"/>
          <w:sz w:val="18"/>
          <w:szCs w:val="18"/>
        </w:rPr>
        <w:t>porphyrin</w:t>
      </w:r>
      <w:r w:rsidR="0044116F">
        <w:rPr>
          <w:b w:val="0"/>
          <w:sz w:val="18"/>
          <w:szCs w:val="18"/>
        </w:rPr>
        <w:t>)</w:t>
      </w:r>
      <w:r w:rsidR="0044116F" w:rsidRPr="00BA7CE7">
        <w:rPr>
          <w:b w:val="0"/>
          <w:sz w:val="18"/>
          <w:szCs w:val="18"/>
        </w:rPr>
        <w:t xml:space="preserve"> </w:t>
      </w:r>
      <w:r w:rsidR="00321852">
        <w:rPr>
          <w:b w:val="0"/>
          <w:sz w:val="18"/>
          <w:szCs w:val="18"/>
        </w:rPr>
        <w:t>pre-</w:t>
      </w:r>
      <w:r w:rsidR="0044116F" w:rsidRPr="00BA7CE7">
        <w:rPr>
          <w:b w:val="0"/>
          <w:sz w:val="18"/>
          <w:szCs w:val="18"/>
        </w:rPr>
        <w:t>catalyst</w:t>
      </w:r>
      <w:r w:rsidR="00321852">
        <w:rPr>
          <w:b w:val="0"/>
          <w:sz w:val="18"/>
          <w:szCs w:val="18"/>
        </w:rPr>
        <w:t>s</w:t>
      </w:r>
      <w:r w:rsidR="0044116F">
        <w:rPr>
          <w:b w:val="0"/>
          <w:sz w:val="18"/>
          <w:szCs w:val="18"/>
        </w:rPr>
        <w:t xml:space="preserve"> is a simple, functional group tolerant transformation, which significantly expands the diversity of methods in a radiochemists toolbox for labelling</w:t>
      </w:r>
      <w:r w:rsidR="0044116F" w:rsidRPr="00BA7CE7">
        <w:rPr>
          <w:b w:val="0"/>
          <w:sz w:val="18"/>
          <w:szCs w:val="18"/>
        </w:rPr>
        <w:t xml:space="preserve"> complex </w:t>
      </w:r>
      <w:r w:rsidR="0044116F">
        <w:rPr>
          <w:b w:val="0"/>
          <w:sz w:val="18"/>
          <w:szCs w:val="18"/>
        </w:rPr>
        <w:t>molecules</w:t>
      </w:r>
      <w:r w:rsidR="0044116F" w:rsidRPr="00246B77">
        <w:rPr>
          <w:b w:val="0"/>
          <w:sz w:val="18"/>
          <w:szCs w:val="18"/>
        </w:rPr>
        <w:t>.</w:t>
      </w:r>
    </w:p>
    <w:p w14:paraId="7215C72E" w14:textId="77777777" w:rsidR="008F0CA7" w:rsidRPr="008F0CA7" w:rsidRDefault="008F0CA7" w:rsidP="008F0CA7">
      <w:pPr>
        <w:pStyle w:val="RSCB04SectionHeading"/>
        <w:spacing w:before="120"/>
        <w:jc w:val="both"/>
        <w:rPr>
          <w:bCs/>
          <w:szCs w:val="24"/>
        </w:rPr>
      </w:pPr>
      <w:r w:rsidRPr="008F0CA7">
        <w:rPr>
          <w:rFonts w:cs="Times New Roman"/>
          <w:bCs/>
          <w:w w:val="108"/>
          <w:szCs w:val="24"/>
        </w:rPr>
        <w:t>Results and Discussion</w:t>
      </w:r>
    </w:p>
    <w:p w14:paraId="5417C60A" w14:textId="24231CD4" w:rsidR="0044116F" w:rsidRDefault="0044116F" w:rsidP="0044116F">
      <w:pPr>
        <w:pStyle w:val="RSCB04SectionHeading"/>
        <w:spacing w:before="120"/>
        <w:jc w:val="both"/>
        <w:rPr>
          <w:rFonts w:cs="Times New Roman"/>
          <w:b w:val="0"/>
          <w:w w:val="108"/>
          <w:sz w:val="18"/>
          <w:szCs w:val="18"/>
        </w:rPr>
      </w:pPr>
      <w:r>
        <w:rPr>
          <w:rFonts w:cs="Times New Roman"/>
          <w:b w:val="0"/>
          <w:w w:val="108"/>
          <w:sz w:val="18"/>
          <w:szCs w:val="18"/>
        </w:rPr>
        <w:t>For our development studies, three pre-catalysts [</w:t>
      </w:r>
      <w:r w:rsidRPr="003E6520">
        <w:rPr>
          <w:rFonts w:cs="Times New Roman"/>
          <w:b w:val="0"/>
          <w:w w:val="108"/>
          <w:sz w:val="18"/>
          <w:szCs w:val="18"/>
        </w:rPr>
        <w:t>(TMP)Mn</w:t>
      </w:r>
      <w:r>
        <w:rPr>
          <w:rFonts w:cs="Times New Roman"/>
          <w:b w:val="0"/>
          <w:w w:val="108"/>
          <w:sz w:val="18"/>
          <w:szCs w:val="18"/>
        </w:rPr>
        <w:t>-</w:t>
      </w:r>
      <w:r w:rsidRPr="003E6520">
        <w:rPr>
          <w:rFonts w:cs="Times New Roman"/>
          <w:b w:val="0"/>
          <w:w w:val="108"/>
          <w:sz w:val="18"/>
          <w:szCs w:val="18"/>
        </w:rPr>
        <w:t>Cl (</w:t>
      </w:r>
      <w:r w:rsidRPr="00EC50CF">
        <w:rPr>
          <w:rFonts w:cs="Times New Roman"/>
          <w:w w:val="108"/>
          <w:sz w:val="18"/>
          <w:szCs w:val="18"/>
        </w:rPr>
        <w:t>1a</w:t>
      </w:r>
      <w:r w:rsidRPr="003E6520">
        <w:rPr>
          <w:rFonts w:cs="Times New Roman"/>
          <w:b w:val="0"/>
          <w:w w:val="108"/>
          <w:sz w:val="18"/>
          <w:szCs w:val="18"/>
        </w:rPr>
        <w:t xml:space="preserve">), </w:t>
      </w:r>
      <w:r>
        <w:rPr>
          <w:rFonts w:cs="Times New Roman"/>
          <w:b w:val="0"/>
          <w:w w:val="108"/>
          <w:sz w:val="18"/>
          <w:szCs w:val="18"/>
        </w:rPr>
        <w:t>(DCP)Mn-Cl (</w:t>
      </w:r>
      <w:r w:rsidRPr="00EC50CF">
        <w:rPr>
          <w:rFonts w:cs="Times New Roman"/>
          <w:w w:val="108"/>
          <w:sz w:val="18"/>
          <w:szCs w:val="18"/>
        </w:rPr>
        <w:t>1b</w:t>
      </w:r>
      <w:r>
        <w:rPr>
          <w:rFonts w:cs="Times New Roman"/>
          <w:b w:val="0"/>
          <w:w w:val="108"/>
          <w:sz w:val="18"/>
          <w:szCs w:val="18"/>
        </w:rPr>
        <w:t xml:space="preserve">), and Jacobsen’s </w:t>
      </w:r>
      <w:r w:rsidR="00930B8F">
        <w:rPr>
          <w:rFonts w:cs="Times New Roman"/>
          <w:b w:val="0"/>
          <w:w w:val="108"/>
          <w:sz w:val="18"/>
          <w:szCs w:val="18"/>
        </w:rPr>
        <w:t>pre-</w:t>
      </w:r>
      <w:r>
        <w:rPr>
          <w:rFonts w:cs="Times New Roman"/>
          <w:b w:val="0"/>
          <w:w w:val="108"/>
          <w:sz w:val="18"/>
          <w:szCs w:val="18"/>
        </w:rPr>
        <w:t>catalyst (</w:t>
      </w:r>
      <w:r>
        <w:rPr>
          <w:rFonts w:cs="Times New Roman"/>
          <w:w w:val="108"/>
          <w:sz w:val="18"/>
          <w:szCs w:val="18"/>
        </w:rPr>
        <w:t>2</w:t>
      </w:r>
      <w:r>
        <w:rPr>
          <w:rFonts w:cs="Times New Roman"/>
          <w:b w:val="0"/>
          <w:w w:val="108"/>
          <w:sz w:val="18"/>
          <w:szCs w:val="18"/>
        </w:rPr>
        <w:t>)], and three substrates (</w:t>
      </w:r>
      <w:r w:rsidRPr="00BA7CE7">
        <w:rPr>
          <w:rFonts w:cs="Times New Roman"/>
          <w:b w:val="0"/>
          <w:w w:val="108"/>
          <w:sz w:val="18"/>
          <w:szCs w:val="18"/>
        </w:rPr>
        <w:t>norbornane</w:t>
      </w:r>
      <w:r>
        <w:rPr>
          <w:rFonts w:cs="Times New Roman"/>
          <w:b w:val="0"/>
          <w:w w:val="108"/>
          <w:sz w:val="18"/>
          <w:szCs w:val="18"/>
        </w:rPr>
        <w:t>,</w:t>
      </w:r>
      <w:r w:rsidRPr="00BA7CE7">
        <w:rPr>
          <w:rFonts w:cs="Times New Roman"/>
          <w:b w:val="0"/>
          <w:w w:val="108"/>
          <w:sz w:val="18"/>
          <w:szCs w:val="18"/>
        </w:rPr>
        <w:t xml:space="preserve"> cycloheptane and </w:t>
      </w:r>
      <w:proofErr w:type="spellStart"/>
      <w:r w:rsidRPr="00BA7CE7">
        <w:rPr>
          <w:rFonts w:cs="Times New Roman"/>
          <w:b w:val="0"/>
          <w:w w:val="108"/>
          <w:sz w:val="18"/>
          <w:szCs w:val="18"/>
        </w:rPr>
        <w:t>indan</w:t>
      </w:r>
      <w:r>
        <w:rPr>
          <w:rFonts w:cs="Times New Roman"/>
          <w:b w:val="0"/>
          <w:w w:val="108"/>
          <w:sz w:val="18"/>
          <w:szCs w:val="18"/>
        </w:rPr>
        <w:t>e</w:t>
      </w:r>
      <w:proofErr w:type="spellEnd"/>
      <w:r>
        <w:rPr>
          <w:rFonts w:cs="Times New Roman"/>
          <w:b w:val="0"/>
          <w:w w:val="108"/>
          <w:sz w:val="18"/>
          <w:szCs w:val="18"/>
        </w:rPr>
        <w:t>) were investigated (Table 1).</w:t>
      </w:r>
    </w:p>
    <w:p w14:paraId="2F155EB3" w14:textId="44E82EB2" w:rsidR="0044116F" w:rsidRDefault="0044116F" w:rsidP="00A93D08">
      <w:pPr>
        <w:pStyle w:val="Caption"/>
        <w:keepNext/>
        <w:spacing w:before="160" w:after="0"/>
        <w:ind w:right="-113"/>
        <w:rPr>
          <w:sz w:val="18"/>
        </w:rPr>
      </w:pPr>
      <w:r w:rsidRPr="00AE7EE7">
        <w:rPr>
          <w:b/>
          <w:sz w:val="18"/>
        </w:rPr>
        <w:lastRenderedPageBreak/>
        <w:t xml:space="preserve">Table </w:t>
      </w:r>
      <w:r>
        <w:rPr>
          <w:b/>
          <w:sz w:val="18"/>
        </w:rPr>
        <w:t>1</w:t>
      </w:r>
      <w:r w:rsidRPr="00AE7EE7">
        <w:rPr>
          <w:b/>
          <w:sz w:val="18"/>
        </w:rPr>
        <w:t>:</w:t>
      </w:r>
      <w:r>
        <w:rPr>
          <w:sz w:val="18"/>
        </w:rPr>
        <w:t xml:space="preserve"> </w:t>
      </w:r>
      <w:r w:rsidRPr="000413C2">
        <w:rPr>
          <w:sz w:val="18"/>
        </w:rPr>
        <w:t xml:space="preserve">Optimisation of </w:t>
      </w:r>
      <w:r>
        <w:rPr>
          <w:sz w:val="18"/>
        </w:rPr>
        <w:t>conditions for [</w:t>
      </w:r>
      <w:r w:rsidRPr="008227FF">
        <w:rPr>
          <w:sz w:val="18"/>
          <w:vertAlign w:val="superscript"/>
        </w:rPr>
        <w:t>18</w:t>
      </w:r>
      <w:proofErr w:type="gramStart"/>
      <w:r>
        <w:rPr>
          <w:sz w:val="18"/>
        </w:rPr>
        <w:t>F]radiolabelling</w:t>
      </w:r>
      <w:proofErr w:type="gramEnd"/>
      <w:r>
        <w:rPr>
          <w:sz w:val="18"/>
        </w:rPr>
        <w:t xml:space="preserve"> of norbornane, cycloheptane and </w:t>
      </w:r>
      <w:proofErr w:type="spellStart"/>
      <w:r>
        <w:rPr>
          <w:sz w:val="18"/>
        </w:rPr>
        <w:t>indane</w:t>
      </w:r>
      <w:proofErr w:type="spellEnd"/>
      <w:r>
        <w:rPr>
          <w:sz w:val="18"/>
        </w:rPr>
        <w:t xml:space="preserve"> using </w:t>
      </w:r>
      <w:r w:rsidR="00930B8F">
        <w:rPr>
          <w:sz w:val="18"/>
        </w:rPr>
        <w:t>pre-</w:t>
      </w:r>
      <w:r w:rsidRPr="009A2A8C">
        <w:rPr>
          <w:sz w:val="18"/>
        </w:rPr>
        <w:t xml:space="preserve">catalysts </w:t>
      </w:r>
      <w:r w:rsidRPr="00EC50CF">
        <w:rPr>
          <w:b/>
          <w:sz w:val="18"/>
        </w:rPr>
        <w:t>1a</w:t>
      </w:r>
      <w:r w:rsidRPr="009A2A8C">
        <w:rPr>
          <w:sz w:val="18"/>
        </w:rPr>
        <w:t xml:space="preserve">, </w:t>
      </w:r>
      <w:r w:rsidRPr="00EC50CF">
        <w:rPr>
          <w:b/>
          <w:sz w:val="18"/>
        </w:rPr>
        <w:t>1b</w:t>
      </w:r>
      <w:r>
        <w:rPr>
          <w:sz w:val="18"/>
        </w:rPr>
        <w:t xml:space="preserve"> and </w:t>
      </w:r>
      <w:r w:rsidRPr="00EC50CF">
        <w:rPr>
          <w:b/>
          <w:sz w:val="18"/>
        </w:rPr>
        <w:t>2</w:t>
      </w:r>
      <w:r>
        <w:rPr>
          <w:sz w:val="18"/>
        </w:rPr>
        <w:t>.</w:t>
      </w:r>
    </w:p>
    <w:p w14:paraId="1B54620C" w14:textId="2891F63C" w:rsidR="00A93D08" w:rsidRDefault="00132B43" w:rsidP="00A93D08">
      <w:pPr>
        <w:jc w:val="center"/>
        <w:rPr>
          <w:noProof/>
        </w:rPr>
      </w:pPr>
      <w:r>
        <w:object w:dxaOrig="9167" w:dyaOrig="2629" w14:anchorId="59B285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9pt;height:102.7pt" o:ole="">
            <v:imagedata r:id="rId9" o:title=""/>
          </v:shape>
          <o:OLEObject Type="Embed" ProgID="ChemDraw.Document.6.0" ShapeID="_x0000_i1025" DrawAspect="Content" ObjectID="_1659187375" r:id="rId10"/>
        </w:object>
      </w:r>
    </w:p>
    <w:tbl>
      <w:tblPr>
        <w:tblW w:w="7241" w:type="dxa"/>
        <w:jc w:val="center"/>
        <w:tblLayout w:type="fixed"/>
        <w:tblCellMar>
          <w:left w:w="0" w:type="dxa"/>
          <w:right w:w="0" w:type="dxa"/>
        </w:tblCellMar>
        <w:tblLook w:val="04A0" w:firstRow="1" w:lastRow="0" w:firstColumn="1" w:lastColumn="0" w:noHBand="0" w:noVBand="1"/>
      </w:tblPr>
      <w:tblGrid>
        <w:gridCol w:w="577"/>
        <w:gridCol w:w="1124"/>
        <w:gridCol w:w="696"/>
        <w:gridCol w:w="297"/>
        <w:gridCol w:w="1559"/>
        <w:gridCol w:w="971"/>
        <w:gridCol w:w="939"/>
        <w:gridCol w:w="1078"/>
      </w:tblGrid>
      <w:tr w:rsidR="00A93D08" w:rsidRPr="00246E82" w14:paraId="613966B4" w14:textId="77777777" w:rsidTr="00930B8F">
        <w:trPr>
          <w:trHeight w:hRule="exact" w:val="270"/>
          <w:jc w:val="center"/>
        </w:trPr>
        <w:tc>
          <w:tcPr>
            <w:tcW w:w="577" w:type="dxa"/>
            <w:tcBorders>
              <w:top w:val="single" w:sz="12" w:space="0" w:color="auto"/>
              <w:left w:val="nil"/>
              <w:bottom w:val="single" w:sz="12" w:space="0" w:color="auto"/>
              <w:right w:val="nil"/>
            </w:tcBorders>
            <w:shd w:val="clear" w:color="auto" w:fill="auto"/>
            <w:noWrap/>
            <w:vAlign w:val="center"/>
          </w:tcPr>
          <w:p w14:paraId="791F5FC1" w14:textId="53A79DBE" w:rsidR="00A93D08" w:rsidRPr="00930B8F" w:rsidRDefault="00930B8F" w:rsidP="008B306C">
            <w:pPr>
              <w:spacing w:after="0" w:line="240" w:lineRule="auto"/>
              <w:ind w:right="167"/>
              <w:jc w:val="center"/>
              <w:rPr>
                <w:rFonts w:ascii="Calibri" w:eastAsia="Times New Roman" w:hAnsi="Calibri" w:cs="Calibri"/>
                <w:b/>
                <w:bCs/>
                <w:color w:val="000000"/>
                <w:sz w:val="16"/>
                <w:szCs w:val="18"/>
                <w:lang w:eastAsia="en-GB"/>
              </w:rPr>
            </w:pPr>
            <w:r w:rsidRPr="00930B8F">
              <w:rPr>
                <w:rFonts w:ascii="Calibri" w:eastAsia="Times New Roman" w:hAnsi="Calibri" w:cs="Calibri"/>
                <w:b/>
                <w:bCs/>
                <w:color w:val="000000"/>
                <w:sz w:val="16"/>
                <w:szCs w:val="18"/>
                <w:lang w:eastAsia="en-GB"/>
              </w:rPr>
              <w:t>E</w:t>
            </w:r>
            <w:r w:rsidR="00A93D08" w:rsidRPr="00930B8F">
              <w:rPr>
                <w:rFonts w:ascii="Calibri" w:eastAsia="Times New Roman" w:hAnsi="Calibri" w:cs="Calibri"/>
                <w:b/>
                <w:bCs/>
                <w:color w:val="000000"/>
                <w:sz w:val="16"/>
                <w:szCs w:val="18"/>
                <w:lang w:eastAsia="en-GB"/>
              </w:rPr>
              <w:t>ntry</w:t>
            </w:r>
          </w:p>
        </w:tc>
        <w:tc>
          <w:tcPr>
            <w:tcW w:w="1124" w:type="dxa"/>
            <w:tcBorders>
              <w:top w:val="single" w:sz="12" w:space="0" w:color="auto"/>
              <w:left w:val="nil"/>
              <w:bottom w:val="single" w:sz="12" w:space="0" w:color="auto"/>
              <w:right w:val="nil"/>
            </w:tcBorders>
            <w:shd w:val="clear" w:color="auto" w:fill="auto"/>
            <w:noWrap/>
            <w:vAlign w:val="center"/>
          </w:tcPr>
          <w:p w14:paraId="43A9674C" w14:textId="77777777" w:rsidR="00A93D08" w:rsidRPr="00930B8F" w:rsidRDefault="00A93D08" w:rsidP="008B306C">
            <w:pPr>
              <w:spacing w:after="0" w:line="240" w:lineRule="auto"/>
              <w:ind w:right="48"/>
              <w:jc w:val="center"/>
              <w:rPr>
                <w:rFonts w:ascii="Calibri" w:eastAsia="Times New Roman" w:hAnsi="Calibri" w:cs="Calibri"/>
                <w:b/>
                <w:bCs/>
                <w:color w:val="000000"/>
                <w:sz w:val="16"/>
                <w:szCs w:val="18"/>
                <w:lang w:eastAsia="en-GB"/>
              </w:rPr>
            </w:pPr>
            <w:r w:rsidRPr="00930B8F">
              <w:rPr>
                <w:rFonts w:ascii="Calibri" w:eastAsia="Times New Roman" w:hAnsi="Calibri" w:cs="Calibri"/>
                <w:b/>
                <w:bCs/>
                <w:color w:val="000000"/>
                <w:sz w:val="16"/>
                <w:szCs w:val="18"/>
                <w:lang w:eastAsia="en-GB"/>
              </w:rPr>
              <w:t>RH</w:t>
            </w:r>
          </w:p>
        </w:tc>
        <w:tc>
          <w:tcPr>
            <w:tcW w:w="993" w:type="dxa"/>
            <w:gridSpan w:val="2"/>
            <w:tcBorders>
              <w:top w:val="single" w:sz="12" w:space="0" w:color="auto"/>
              <w:left w:val="nil"/>
              <w:bottom w:val="single" w:sz="12" w:space="0" w:color="auto"/>
              <w:right w:val="nil"/>
            </w:tcBorders>
            <w:shd w:val="clear" w:color="auto" w:fill="auto"/>
            <w:noWrap/>
            <w:vAlign w:val="center"/>
          </w:tcPr>
          <w:p w14:paraId="54ECB5EF" w14:textId="7888CEFE" w:rsidR="00A93D08" w:rsidRPr="00930B8F" w:rsidRDefault="00930B8F" w:rsidP="00930B8F">
            <w:pPr>
              <w:spacing w:after="0" w:line="240" w:lineRule="auto"/>
              <w:jc w:val="center"/>
              <w:rPr>
                <w:rFonts w:ascii="Calibri" w:eastAsia="Times New Roman" w:hAnsi="Calibri" w:cs="Calibri"/>
                <w:b/>
                <w:bCs/>
                <w:color w:val="000000"/>
                <w:sz w:val="16"/>
                <w:szCs w:val="18"/>
                <w:lang w:eastAsia="en-GB"/>
              </w:rPr>
            </w:pPr>
            <w:r w:rsidRPr="00930B8F">
              <w:rPr>
                <w:rFonts w:ascii="Calibri" w:eastAsia="Times New Roman" w:hAnsi="Calibri" w:cs="Calibri"/>
                <w:b/>
                <w:bCs/>
                <w:color w:val="000000"/>
                <w:sz w:val="16"/>
                <w:szCs w:val="18"/>
                <w:lang w:eastAsia="en-GB"/>
              </w:rPr>
              <w:t>Pre-</w:t>
            </w:r>
            <w:r w:rsidR="00A93D08" w:rsidRPr="00930B8F">
              <w:rPr>
                <w:rFonts w:ascii="Calibri" w:eastAsia="Times New Roman" w:hAnsi="Calibri" w:cs="Calibri"/>
                <w:b/>
                <w:bCs/>
                <w:color w:val="000000"/>
                <w:sz w:val="16"/>
                <w:szCs w:val="18"/>
                <w:lang w:eastAsia="en-GB"/>
              </w:rPr>
              <w:t>catalyst</w:t>
            </w:r>
          </w:p>
        </w:tc>
        <w:tc>
          <w:tcPr>
            <w:tcW w:w="1559" w:type="dxa"/>
            <w:tcBorders>
              <w:top w:val="single" w:sz="12" w:space="0" w:color="auto"/>
              <w:left w:val="nil"/>
              <w:bottom w:val="single" w:sz="12" w:space="0" w:color="auto"/>
              <w:right w:val="nil"/>
            </w:tcBorders>
            <w:shd w:val="clear" w:color="auto" w:fill="auto"/>
            <w:noWrap/>
            <w:vAlign w:val="center"/>
          </w:tcPr>
          <w:p w14:paraId="180C7E2C" w14:textId="77777777" w:rsidR="00A93D08" w:rsidRPr="00930B8F" w:rsidRDefault="00A93D08" w:rsidP="008B306C">
            <w:pPr>
              <w:spacing w:after="0" w:line="240" w:lineRule="auto"/>
              <w:jc w:val="center"/>
              <w:rPr>
                <w:rFonts w:ascii="Calibri" w:eastAsia="Times New Roman" w:hAnsi="Calibri" w:cs="Calibri"/>
                <w:b/>
                <w:bCs/>
                <w:color w:val="000000"/>
                <w:sz w:val="16"/>
                <w:szCs w:val="18"/>
                <w:lang w:eastAsia="en-GB"/>
              </w:rPr>
            </w:pPr>
            <w:r w:rsidRPr="00930B8F">
              <w:rPr>
                <w:rFonts w:ascii="Calibri" w:eastAsia="Times New Roman" w:hAnsi="Calibri" w:cs="Calibri"/>
                <w:b/>
                <w:bCs/>
                <w:color w:val="000000"/>
                <w:sz w:val="16"/>
                <w:szCs w:val="18"/>
                <w:lang w:eastAsia="en-GB"/>
              </w:rPr>
              <w:t>[O]</w:t>
            </w:r>
          </w:p>
        </w:tc>
        <w:tc>
          <w:tcPr>
            <w:tcW w:w="971" w:type="dxa"/>
            <w:tcBorders>
              <w:top w:val="single" w:sz="12" w:space="0" w:color="auto"/>
              <w:left w:val="nil"/>
              <w:bottom w:val="single" w:sz="12" w:space="0" w:color="auto"/>
              <w:right w:val="nil"/>
            </w:tcBorders>
            <w:vAlign w:val="center"/>
          </w:tcPr>
          <w:p w14:paraId="32512A7D" w14:textId="2C1C5C3E" w:rsidR="00A93D08" w:rsidRPr="00930B8F" w:rsidRDefault="00930B8F" w:rsidP="008B306C">
            <w:pPr>
              <w:spacing w:after="0" w:line="240" w:lineRule="auto"/>
              <w:jc w:val="center"/>
              <w:rPr>
                <w:rFonts w:ascii="Calibri" w:eastAsia="Times New Roman" w:hAnsi="Calibri" w:cs="Calibri"/>
                <w:b/>
                <w:bCs/>
                <w:color w:val="000000"/>
                <w:sz w:val="16"/>
                <w:szCs w:val="18"/>
                <w:lang w:eastAsia="en-GB"/>
              </w:rPr>
            </w:pPr>
            <w:r>
              <w:rPr>
                <w:rFonts w:ascii="Calibri" w:eastAsia="Times New Roman" w:hAnsi="Calibri" w:cs="Calibri"/>
                <w:b/>
                <w:bCs/>
                <w:color w:val="000000"/>
                <w:sz w:val="16"/>
                <w:szCs w:val="18"/>
                <w:lang w:eastAsia="en-GB"/>
              </w:rPr>
              <w:t>A</w:t>
            </w:r>
            <w:r w:rsidR="00A93D08" w:rsidRPr="00930B8F">
              <w:rPr>
                <w:rFonts w:ascii="Calibri" w:eastAsia="Times New Roman" w:hAnsi="Calibri" w:cs="Calibri"/>
                <w:b/>
                <w:bCs/>
                <w:color w:val="000000"/>
                <w:sz w:val="16"/>
                <w:szCs w:val="18"/>
                <w:lang w:eastAsia="en-GB"/>
              </w:rPr>
              <w:t>dditive</w:t>
            </w:r>
          </w:p>
        </w:tc>
        <w:tc>
          <w:tcPr>
            <w:tcW w:w="939" w:type="dxa"/>
            <w:tcBorders>
              <w:top w:val="single" w:sz="12" w:space="0" w:color="auto"/>
              <w:left w:val="nil"/>
              <w:bottom w:val="single" w:sz="12" w:space="0" w:color="auto"/>
              <w:right w:val="nil"/>
            </w:tcBorders>
            <w:shd w:val="clear" w:color="auto" w:fill="auto"/>
            <w:noWrap/>
            <w:vAlign w:val="center"/>
          </w:tcPr>
          <w:p w14:paraId="6ED7C257" w14:textId="26FFC9A4" w:rsidR="00A93D08" w:rsidRPr="00930B8F" w:rsidRDefault="00930B8F" w:rsidP="008B306C">
            <w:pPr>
              <w:spacing w:after="0" w:line="240" w:lineRule="auto"/>
              <w:ind w:right="237"/>
              <w:jc w:val="center"/>
              <w:rPr>
                <w:rFonts w:ascii="Calibri" w:eastAsia="Times New Roman" w:hAnsi="Calibri" w:cs="Calibri"/>
                <w:b/>
                <w:bCs/>
                <w:color w:val="000000"/>
                <w:sz w:val="16"/>
                <w:szCs w:val="18"/>
                <w:lang w:eastAsia="en-GB"/>
              </w:rPr>
            </w:pPr>
            <w:r>
              <w:rPr>
                <w:rFonts w:ascii="Calibri" w:eastAsia="Times New Roman" w:hAnsi="Calibri" w:cs="Calibri"/>
                <w:b/>
                <w:bCs/>
                <w:color w:val="000000"/>
                <w:sz w:val="16"/>
                <w:szCs w:val="18"/>
                <w:lang w:eastAsia="en-GB"/>
              </w:rPr>
              <w:t>Ti</w:t>
            </w:r>
            <w:r w:rsidR="00A93D08" w:rsidRPr="00930B8F">
              <w:rPr>
                <w:rFonts w:ascii="Calibri" w:eastAsia="Times New Roman" w:hAnsi="Calibri" w:cs="Calibri"/>
                <w:b/>
                <w:bCs/>
                <w:color w:val="000000"/>
                <w:sz w:val="16"/>
                <w:szCs w:val="18"/>
                <w:lang w:eastAsia="en-GB"/>
              </w:rPr>
              <w:t>me</w:t>
            </w:r>
          </w:p>
        </w:tc>
        <w:tc>
          <w:tcPr>
            <w:tcW w:w="1078" w:type="dxa"/>
            <w:tcBorders>
              <w:top w:val="single" w:sz="12" w:space="0" w:color="auto"/>
              <w:left w:val="nil"/>
              <w:bottom w:val="single" w:sz="12" w:space="0" w:color="auto"/>
              <w:right w:val="nil"/>
            </w:tcBorders>
            <w:shd w:val="clear" w:color="auto" w:fill="auto"/>
            <w:noWrap/>
            <w:vAlign w:val="center"/>
          </w:tcPr>
          <w:p w14:paraId="66478800" w14:textId="77777777" w:rsidR="00A93D08" w:rsidRPr="00930B8F" w:rsidRDefault="00A93D08" w:rsidP="008B306C">
            <w:pPr>
              <w:spacing w:after="0" w:line="240" w:lineRule="auto"/>
              <w:ind w:right="237"/>
              <w:jc w:val="center"/>
              <w:rPr>
                <w:rFonts w:ascii="Calibri" w:eastAsia="Times New Roman" w:hAnsi="Calibri" w:cs="Calibri"/>
                <w:b/>
                <w:bCs/>
                <w:color w:val="000000"/>
                <w:sz w:val="18"/>
                <w:szCs w:val="18"/>
                <w:lang w:eastAsia="en-GB"/>
              </w:rPr>
            </w:pPr>
            <w:r w:rsidRPr="00930B8F">
              <w:rPr>
                <w:rFonts w:ascii="Calibri" w:eastAsia="Times New Roman" w:hAnsi="Calibri" w:cs="Calibri"/>
                <w:b/>
                <w:bCs/>
                <w:color w:val="000000"/>
                <w:sz w:val="16"/>
                <w:szCs w:val="18"/>
                <w:lang w:eastAsia="en-GB"/>
              </w:rPr>
              <w:t>%</w:t>
            </w:r>
            <w:proofErr w:type="spellStart"/>
            <w:r w:rsidRPr="00930B8F">
              <w:rPr>
                <w:rFonts w:ascii="Calibri" w:eastAsia="Times New Roman" w:hAnsi="Calibri" w:cs="Calibri"/>
                <w:b/>
                <w:bCs/>
                <w:color w:val="000000"/>
                <w:sz w:val="16"/>
                <w:szCs w:val="18"/>
                <w:lang w:eastAsia="en-GB"/>
              </w:rPr>
              <w:t>RCI</w:t>
            </w:r>
            <w:r w:rsidRPr="00930B8F">
              <w:rPr>
                <w:rFonts w:ascii="Calibri" w:eastAsia="Times New Roman" w:hAnsi="Calibri" w:cs="Calibri"/>
                <w:b/>
                <w:bCs/>
                <w:i/>
                <w:color w:val="000000"/>
                <w:sz w:val="16"/>
                <w:szCs w:val="18"/>
                <w:vertAlign w:val="superscript"/>
                <w:lang w:eastAsia="en-GB"/>
              </w:rPr>
              <w:t>a</w:t>
            </w:r>
            <w:proofErr w:type="spellEnd"/>
          </w:p>
        </w:tc>
      </w:tr>
      <w:tr w:rsidR="00A93D08" w:rsidRPr="00246E82" w14:paraId="6A497C13" w14:textId="77777777" w:rsidTr="00930B8F">
        <w:trPr>
          <w:trHeight w:hRule="exact" w:val="270"/>
          <w:jc w:val="center"/>
        </w:trPr>
        <w:tc>
          <w:tcPr>
            <w:tcW w:w="577" w:type="dxa"/>
            <w:tcBorders>
              <w:top w:val="single" w:sz="12" w:space="0" w:color="auto"/>
              <w:left w:val="nil"/>
              <w:bottom w:val="nil"/>
              <w:right w:val="nil"/>
            </w:tcBorders>
            <w:shd w:val="clear" w:color="auto" w:fill="auto"/>
            <w:noWrap/>
            <w:vAlign w:val="center"/>
            <w:hideMark/>
          </w:tcPr>
          <w:p w14:paraId="7225E725"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1</w:t>
            </w:r>
            <w:r w:rsidRPr="008227FF">
              <w:rPr>
                <w:rFonts w:ascii="Calibri" w:eastAsia="Times New Roman" w:hAnsi="Calibri" w:cs="Calibri"/>
                <w:i/>
                <w:color w:val="000000"/>
                <w:sz w:val="16"/>
                <w:szCs w:val="18"/>
                <w:vertAlign w:val="superscript"/>
                <w:lang w:eastAsia="en-GB"/>
              </w:rPr>
              <w:t>b</w:t>
            </w:r>
          </w:p>
        </w:tc>
        <w:tc>
          <w:tcPr>
            <w:tcW w:w="1124" w:type="dxa"/>
            <w:tcBorders>
              <w:top w:val="single" w:sz="12" w:space="0" w:color="auto"/>
              <w:left w:val="nil"/>
              <w:bottom w:val="nil"/>
              <w:right w:val="nil"/>
            </w:tcBorders>
            <w:shd w:val="clear" w:color="auto" w:fill="auto"/>
            <w:noWrap/>
            <w:vAlign w:val="center"/>
            <w:hideMark/>
          </w:tcPr>
          <w:p w14:paraId="33217BE4" w14:textId="77777777" w:rsidR="00A93D08" w:rsidRPr="008227FF"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norbornane</w:t>
            </w:r>
          </w:p>
        </w:tc>
        <w:tc>
          <w:tcPr>
            <w:tcW w:w="993" w:type="dxa"/>
            <w:gridSpan w:val="2"/>
            <w:tcBorders>
              <w:top w:val="single" w:sz="12" w:space="0" w:color="auto"/>
              <w:left w:val="nil"/>
              <w:bottom w:val="nil"/>
              <w:right w:val="nil"/>
            </w:tcBorders>
            <w:shd w:val="clear" w:color="auto" w:fill="auto"/>
            <w:noWrap/>
            <w:vAlign w:val="center"/>
            <w:hideMark/>
          </w:tcPr>
          <w:p w14:paraId="269AA0A3" w14:textId="77777777" w:rsidR="00A93D08" w:rsidRPr="008227FF" w:rsidRDefault="00A93D08" w:rsidP="008B306C">
            <w:pPr>
              <w:spacing w:after="0" w:line="240" w:lineRule="auto"/>
              <w:ind w:right="237"/>
              <w:jc w:val="center"/>
              <w:rPr>
                <w:rFonts w:ascii="Calibri" w:eastAsia="Times New Roman" w:hAnsi="Calibri" w:cs="Calibri"/>
                <w:b/>
                <w:color w:val="000000"/>
                <w:sz w:val="16"/>
                <w:szCs w:val="18"/>
                <w:vertAlign w:val="superscript"/>
                <w:lang w:eastAsia="en-GB"/>
              </w:rPr>
            </w:pPr>
            <w:r w:rsidRPr="008227FF">
              <w:rPr>
                <w:rFonts w:ascii="Calibri" w:eastAsia="Times New Roman" w:hAnsi="Calibri" w:cs="Calibri"/>
                <w:b/>
                <w:color w:val="000000"/>
                <w:sz w:val="16"/>
                <w:szCs w:val="18"/>
                <w:lang w:eastAsia="en-GB"/>
              </w:rPr>
              <w:t>2</w:t>
            </w:r>
          </w:p>
        </w:tc>
        <w:tc>
          <w:tcPr>
            <w:tcW w:w="1559" w:type="dxa"/>
            <w:tcBorders>
              <w:top w:val="single" w:sz="12" w:space="0" w:color="auto"/>
              <w:left w:val="nil"/>
              <w:bottom w:val="nil"/>
              <w:right w:val="nil"/>
            </w:tcBorders>
            <w:shd w:val="clear" w:color="auto" w:fill="auto"/>
            <w:noWrap/>
            <w:vAlign w:val="center"/>
            <w:hideMark/>
          </w:tcPr>
          <w:p w14:paraId="151159A5"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sz w:val="16"/>
                <w:szCs w:val="18"/>
                <w:lang w:eastAsia="en-GB"/>
              </w:rPr>
              <w:t>PhIO</w:t>
            </w:r>
            <w:proofErr w:type="spellEnd"/>
            <w:r>
              <w:rPr>
                <w:rFonts w:ascii="Calibri" w:eastAsia="Times New Roman" w:hAnsi="Calibri" w:cs="Calibri"/>
                <w:sz w:val="16"/>
                <w:szCs w:val="18"/>
                <w:lang w:eastAsia="en-GB"/>
              </w:rPr>
              <w:t xml:space="preserve"> (</w:t>
            </w:r>
            <w:r w:rsidRPr="00416989">
              <w:rPr>
                <w:rFonts w:ascii="Calibri" w:eastAsia="Times New Roman" w:hAnsi="Calibri" w:cs="Calibri"/>
                <w:b/>
                <w:bCs/>
                <w:sz w:val="16"/>
                <w:szCs w:val="18"/>
                <w:lang w:eastAsia="en-GB"/>
              </w:rPr>
              <w:t>16a</w:t>
            </w:r>
            <w:r>
              <w:rPr>
                <w:rFonts w:ascii="Calibri" w:eastAsia="Times New Roman" w:hAnsi="Calibri" w:cs="Calibri"/>
                <w:sz w:val="16"/>
                <w:szCs w:val="18"/>
                <w:lang w:eastAsia="en-GB"/>
              </w:rPr>
              <w:t>)</w:t>
            </w:r>
          </w:p>
        </w:tc>
        <w:tc>
          <w:tcPr>
            <w:tcW w:w="971" w:type="dxa"/>
            <w:tcBorders>
              <w:top w:val="single" w:sz="12" w:space="0" w:color="auto"/>
              <w:left w:val="nil"/>
              <w:bottom w:val="nil"/>
              <w:right w:val="nil"/>
            </w:tcBorders>
            <w:vAlign w:val="center"/>
          </w:tcPr>
          <w:p w14:paraId="55A8CCE8"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AgOTs</w:t>
            </w:r>
            <w:proofErr w:type="spellEnd"/>
          </w:p>
        </w:tc>
        <w:tc>
          <w:tcPr>
            <w:tcW w:w="939" w:type="dxa"/>
            <w:tcBorders>
              <w:top w:val="single" w:sz="12" w:space="0" w:color="auto"/>
              <w:left w:val="nil"/>
              <w:bottom w:val="nil"/>
              <w:right w:val="nil"/>
            </w:tcBorders>
            <w:shd w:val="clear" w:color="auto" w:fill="auto"/>
            <w:noWrap/>
            <w:vAlign w:val="center"/>
            <w:hideMark/>
          </w:tcPr>
          <w:p w14:paraId="47C9C270"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30</w:t>
            </w:r>
          </w:p>
        </w:tc>
        <w:tc>
          <w:tcPr>
            <w:tcW w:w="1078" w:type="dxa"/>
            <w:tcBorders>
              <w:top w:val="single" w:sz="12" w:space="0" w:color="auto"/>
              <w:left w:val="nil"/>
              <w:bottom w:val="nil"/>
              <w:right w:val="nil"/>
            </w:tcBorders>
            <w:shd w:val="clear" w:color="auto" w:fill="auto"/>
            <w:noWrap/>
            <w:vAlign w:val="center"/>
            <w:hideMark/>
          </w:tcPr>
          <w:p w14:paraId="22351A95" w14:textId="77777777" w:rsidR="00A93D08" w:rsidRPr="00B56F06" w:rsidRDefault="00A93D08" w:rsidP="008B306C">
            <w:pPr>
              <w:spacing w:after="0" w:line="240" w:lineRule="auto"/>
              <w:ind w:right="237"/>
              <w:jc w:val="center"/>
              <w:rPr>
                <w:rFonts w:ascii="Calibri" w:eastAsia="Times New Roman" w:hAnsi="Calibri" w:cs="Calibri"/>
                <w:color w:val="000000"/>
                <w:sz w:val="18"/>
                <w:szCs w:val="18"/>
                <w:lang w:eastAsia="en-GB"/>
              </w:rPr>
            </w:pPr>
            <w:proofErr w:type="spellStart"/>
            <w:r>
              <w:rPr>
                <w:rFonts w:ascii="Calibri" w:eastAsia="Times New Roman" w:hAnsi="Calibri" w:cs="Calibri"/>
                <w:color w:val="000000"/>
                <w:sz w:val="18"/>
                <w:szCs w:val="18"/>
                <w:lang w:eastAsia="en-GB"/>
              </w:rPr>
              <w:t>trace</w:t>
            </w:r>
            <w:r>
              <w:rPr>
                <w:rFonts w:ascii="Calibri" w:eastAsia="Times New Roman" w:hAnsi="Calibri" w:cs="Calibri"/>
                <w:i/>
                <w:color w:val="000000"/>
                <w:sz w:val="18"/>
                <w:szCs w:val="18"/>
                <w:vertAlign w:val="superscript"/>
                <w:lang w:eastAsia="en-GB"/>
              </w:rPr>
              <w:t>c</w:t>
            </w:r>
            <w:proofErr w:type="spellEnd"/>
          </w:p>
        </w:tc>
      </w:tr>
      <w:tr w:rsidR="00A93D08" w:rsidRPr="00246E82" w14:paraId="6D539541" w14:textId="77777777" w:rsidTr="00930B8F">
        <w:trPr>
          <w:trHeight w:hRule="exact" w:val="270"/>
          <w:jc w:val="center"/>
        </w:trPr>
        <w:tc>
          <w:tcPr>
            <w:tcW w:w="577" w:type="dxa"/>
            <w:tcBorders>
              <w:top w:val="nil"/>
              <w:left w:val="nil"/>
              <w:bottom w:val="nil"/>
              <w:right w:val="nil"/>
            </w:tcBorders>
            <w:shd w:val="clear" w:color="auto" w:fill="auto"/>
            <w:noWrap/>
            <w:vAlign w:val="center"/>
          </w:tcPr>
          <w:p w14:paraId="2029DCB7" w14:textId="77777777" w:rsidR="00A93D08" w:rsidRPr="008227FF" w:rsidDel="00EC50C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2</w:t>
            </w:r>
          </w:p>
        </w:tc>
        <w:tc>
          <w:tcPr>
            <w:tcW w:w="1124" w:type="dxa"/>
            <w:tcBorders>
              <w:top w:val="nil"/>
              <w:left w:val="nil"/>
              <w:bottom w:val="nil"/>
              <w:right w:val="nil"/>
            </w:tcBorders>
            <w:shd w:val="clear" w:color="auto" w:fill="auto"/>
            <w:noWrap/>
            <w:vAlign w:val="center"/>
          </w:tcPr>
          <w:p w14:paraId="01051CF8" w14:textId="77777777" w:rsidR="00A93D08" w:rsidRPr="008227FF"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norbornane</w:t>
            </w:r>
          </w:p>
        </w:tc>
        <w:tc>
          <w:tcPr>
            <w:tcW w:w="993" w:type="dxa"/>
            <w:gridSpan w:val="2"/>
            <w:tcBorders>
              <w:top w:val="nil"/>
              <w:left w:val="nil"/>
              <w:bottom w:val="nil"/>
              <w:right w:val="nil"/>
            </w:tcBorders>
            <w:shd w:val="clear" w:color="auto" w:fill="auto"/>
            <w:noWrap/>
            <w:vAlign w:val="center"/>
          </w:tcPr>
          <w:p w14:paraId="3C350A52" w14:textId="77777777" w:rsidR="00A93D08" w:rsidRPr="008227FF" w:rsidRDefault="00A93D08" w:rsidP="008B306C">
            <w:pPr>
              <w:spacing w:after="0" w:line="240" w:lineRule="auto"/>
              <w:ind w:right="237"/>
              <w:jc w:val="center"/>
              <w:rPr>
                <w:rFonts w:ascii="Calibri" w:eastAsia="Times New Roman" w:hAnsi="Calibri" w:cs="Calibri"/>
                <w:b/>
                <w:color w:val="000000"/>
                <w:sz w:val="16"/>
                <w:szCs w:val="18"/>
                <w:lang w:eastAsia="en-GB"/>
              </w:rPr>
            </w:pPr>
            <w:r w:rsidRPr="008227FF">
              <w:rPr>
                <w:rFonts w:ascii="Calibri" w:eastAsia="Times New Roman" w:hAnsi="Calibri" w:cs="Calibri"/>
                <w:b/>
                <w:color w:val="000000"/>
                <w:sz w:val="16"/>
                <w:szCs w:val="18"/>
                <w:lang w:eastAsia="en-GB"/>
              </w:rPr>
              <w:t>1a</w:t>
            </w:r>
          </w:p>
        </w:tc>
        <w:tc>
          <w:tcPr>
            <w:tcW w:w="1559" w:type="dxa"/>
            <w:tcBorders>
              <w:top w:val="nil"/>
              <w:left w:val="nil"/>
              <w:bottom w:val="nil"/>
              <w:right w:val="nil"/>
            </w:tcBorders>
            <w:shd w:val="clear" w:color="auto" w:fill="auto"/>
            <w:noWrap/>
            <w:vAlign w:val="center"/>
          </w:tcPr>
          <w:p w14:paraId="59D9B66B"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sz w:val="16"/>
                <w:szCs w:val="18"/>
                <w:lang w:eastAsia="en-GB"/>
              </w:rPr>
              <w:t>PhIO</w:t>
            </w:r>
            <w:proofErr w:type="spellEnd"/>
            <w:r>
              <w:rPr>
                <w:rFonts w:ascii="Calibri" w:eastAsia="Times New Roman" w:hAnsi="Calibri" w:cs="Calibri"/>
                <w:sz w:val="16"/>
                <w:szCs w:val="18"/>
                <w:lang w:eastAsia="en-GB"/>
              </w:rPr>
              <w:t xml:space="preserve"> (</w:t>
            </w:r>
            <w:r w:rsidRPr="00416989">
              <w:rPr>
                <w:rFonts w:ascii="Calibri" w:eastAsia="Times New Roman" w:hAnsi="Calibri" w:cs="Calibri"/>
                <w:b/>
                <w:bCs/>
                <w:sz w:val="16"/>
                <w:szCs w:val="18"/>
                <w:lang w:eastAsia="en-GB"/>
              </w:rPr>
              <w:t>16a</w:t>
            </w:r>
            <w:r>
              <w:rPr>
                <w:rFonts w:ascii="Calibri" w:eastAsia="Times New Roman" w:hAnsi="Calibri" w:cs="Calibri"/>
                <w:sz w:val="16"/>
                <w:szCs w:val="18"/>
                <w:lang w:eastAsia="en-GB"/>
              </w:rPr>
              <w:t>)</w:t>
            </w:r>
          </w:p>
        </w:tc>
        <w:tc>
          <w:tcPr>
            <w:tcW w:w="971" w:type="dxa"/>
            <w:tcBorders>
              <w:top w:val="nil"/>
              <w:left w:val="nil"/>
              <w:bottom w:val="nil"/>
              <w:right w:val="nil"/>
            </w:tcBorders>
            <w:vAlign w:val="center"/>
          </w:tcPr>
          <w:p w14:paraId="103808E1"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AgOTs</w:t>
            </w:r>
            <w:proofErr w:type="spellEnd"/>
          </w:p>
        </w:tc>
        <w:tc>
          <w:tcPr>
            <w:tcW w:w="939" w:type="dxa"/>
            <w:tcBorders>
              <w:top w:val="nil"/>
              <w:left w:val="nil"/>
              <w:bottom w:val="nil"/>
              <w:right w:val="nil"/>
            </w:tcBorders>
            <w:shd w:val="clear" w:color="auto" w:fill="auto"/>
            <w:noWrap/>
            <w:vAlign w:val="center"/>
          </w:tcPr>
          <w:p w14:paraId="50B969B1"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30</w:t>
            </w:r>
          </w:p>
        </w:tc>
        <w:tc>
          <w:tcPr>
            <w:tcW w:w="1078" w:type="dxa"/>
            <w:tcBorders>
              <w:top w:val="nil"/>
              <w:left w:val="nil"/>
              <w:bottom w:val="nil"/>
              <w:right w:val="nil"/>
            </w:tcBorders>
            <w:shd w:val="clear" w:color="auto" w:fill="auto"/>
            <w:noWrap/>
            <w:vAlign w:val="center"/>
          </w:tcPr>
          <w:p w14:paraId="74188FDA" w14:textId="77777777" w:rsidR="00A93D08" w:rsidRDefault="00A93D08" w:rsidP="008B306C">
            <w:pPr>
              <w:spacing w:after="0" w:line="240" w:lineRule="auto"/>
              <w:ind w:right="237"/>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5</w:t>
            </w:r>
          </w:p>
        </w:tc>
      </w:tr>
      <w:tr w:rsidR="00A93D08" w:rsidRPr="007D3A91" w14:paraId="55E8AC84" w14:textId="77777777" w:rsidTr="00930B8F">
        <w:trPr>
          <w:trHeight w:hRule="exact" w:val="270"/>
          <w:jc w:val="center"/>
        </w:trPr>
        <w:tc>
          <w:tcPr>
            <w:tcW w:w="577" w:type="dxa"/>
            <w:tcBorders>
              <w:top w:val="nil"/>
              <w:left w:val="nil"/>
              <w:bottom w:val="nil"/>
              <w:right w:val="nil"/>
            </w:tcBorders>
            <w:shd w:val="clear" w:color="auto" w:fill="auto"/>
            <w:noWrap/>
            <w:vAlign w:val="center"/>
          </w:tcPr>
          <w:p w14:paraId="3A91D094" w14:textId="77777777" w:rsidR="00A93D08" w:rsidRPr="00FD6D3E" w:rsidDel="00EC50CF" w:rsidRDefault="00A93D08" w:rsidP="008B306C">
            <w:pPr>
              <w:spacing w:after="0" w:line="240" w:lineRule="auto"/>
              <w:ind w:right="237"/>
              <w:jc w:val="center"/>
              <w:rPr>
                <w:rFonts w:ascii="Calibri" w:eastAsia="Times New Roman" w:hAnsi="Calibri" w:cs="Calibri"/>
                <w:color w:val="000000"/>
                <w:sz w:val="16"/>
                <w:szCs w:val="18"/>
                <w:lang w:eastAsia="en-GB"/>
              </w:rPr>
            </w:pPr>
            <w:r w:rsidRPr="00FD6D3E">
              <w:rPr>
                <w:rFonts w:ascii="Calibri" w:eastAsia="Times New Roman" w:hAnsi="Calibri" w:cs="Calibri"/>
                <w:color w:val="000000"/>
                <w:sz w:val="16"/>
                <w:szCs w:val="18"/>
                <w:lang w:eastAsia="en-GB"/>
              </w:rPr>
              <w:t>3</w:t>
            </w:r>
          </w:p>
        </w:tc>
        <w:tc>
          <w:tcPr>
            <w:tcW w:w="1124" w:type="dxa"/>
            <w:tcBorders>
              <w:top w:val="nil"/>
              <w:left w:val="nil"/>
              <w:bottom w:val="nil"/>
              <w:right w:val="nil"/>
            </w:tcBorders>
            <w:shd w:val="clear" w:color="auto" w:fill="auto"/>
            <w:noWrap/>
            <w:vAlign w:val="center"/>
          </w:tcPr>
          <w:p w14:paraId="06FBA240" w14:textId="77777777" w:rsidR="00A93D08" w:rsidRPr="00FD6D3E"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norbornane</w:t>
            </w:r>
          </w:p>
        </w:tc>
        <w:tc>
          <w:tcPr>
            <w:tcW w:w="993" w:type="dxa"/>
            <w:gridSpan w:val="2"/>
            <w:tcBorders>
              <w:top w:val="nil"/>
              <w:left w:val="nil"/>
              <w:bottom w:val="nil"/>
              <w:right w:val="nil"/>
            </w:tcBorders>
            <w:shd w:val="clear" w:color="auto" w:fill="auto"/>
            <w:noWrap/>
            <w:vAlign w:val="center"/>
          </w:tcPr>
          <w:p w14:paraId="7E8C149D" w14:textId="77777777" w:rsidR="00A93D08" w:rsidRPr="00FD6D3E" w:rsidRDefault="00A93D08" w:rsidP="008B306C">
            <w:pPr>
              <w:spacing w:after="0" w:line="240" w:lineRule="auto"/>
              <w:ind w:right="237"/>
              <w:jc w:val="center"/>
              <w:rPr>
                <w:rFonts w:ascii="Calibri" w:eastAsia="Times New Roman" w:hAnsi="Calibri" w:cs="Calibri"/>
                <w:b/>
                <w:color w:val="000000"/>
                <w:sz w:val="16"/>
                <w:szCs w:val="18"/>
                <w:lang w:eastAsia="en-GB"/>
              </w:rPr>
            </w:pPr>
            <w:r w:rsidRPr="00FD6D3E">
              <w:rPr>
                <w:rFonts w:ascii="Calibri" w:eastAsia="Times New Roman" w:hAnsi="Calibri" w:cs="Calibri"/>
                <w:b/>
                <w:color w:val="000000"/>
                <w:sz w:val="16"/>
                <w:szCs w:val="18"/>
                <w:lang w:eastAsia="en-GB"/>
              </w:rPr>
              <w:t>2</w:t>
            </w:r>
          </w:p>
        </w:tc>
        <w:tc>
          <w:tcPr>
            <w:tcW w:w="1559" w:type="dxa"/>
            <w:tcBorders>
              <w:top w:val="nil"/>
              <w:left w:val="nil"/>
              <w:bottom w:val="nil"/>
              <w:right w:val="nil"/>
            </w:tcBorders>
            <w:shd w:val="clear" w:color="auto" w:fill="auto"/>
            <w:noWrap/>
            <w:vAlign w:val="center"/>
          </w:tcPr>
          <w:p w14:paraId="5EFFC10C" w14:textId="77777777" w:rsidR="00A93D08" w:rsidRPr="00FD6D3E"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sz w:val="16"/>
                <w:szCs w:val="18"/>
                <w:lang w:eastAsia="en-GB"/>
              </w:rPr>
              <w:t>PhIO</w:t>
            </w:r>
            <w:proofErr w:type="spellEnd"/>
            <w:r>
              <w:rPr>
                <w:rFonts w:ascii="Calibri" w:eastAsia="Times New Roman" w:hAnsi="Calibri" w:cs="Calibri"/>
                <w:sz w:val="16"/>
                <w:szCs w:val="18"/>
                <w:lang w:eastAsia="en-GB"/>
              </w:rPr>
              <w:t xml:space="preserve"> (</w:t>
            </w:r>
            <w:r w:rsidRPr="00416989">
              <w:rPr>
                <w:rFonts w:ascii="Calibri" w:eastAsia="Times New Roman" w:hAnsi="Calibri" w:cs="Calibri"/>
                <w:b/>
                <w:bCs/>
                <w:sz w:val="16"/>
                <w:szCs w:val="18"/>
                <w:lang w:eastAsia="en-GB"/>
              </w:rPr>
              <w:t>16a</w:t>
            </w:r>
            <w:r>
              <w:rPr>
                <w:rFonts w:ascii="Calibri" w:eastAsia="Times New Roman" w:hAnsi="Calibri" w:cs="Calibri"/>
                <w:sz w:val="16"/>
                <w:szCs w:val="18"/>
                <w:lang w:eastAsia="en-GB"/>
              </w:rPr>
              <w:t>)</w:t>
            </w:r>
          </w:p>
        </w:tc>
        <w:tc>
          <w:tcPr>
            <w:tcW w:w="971" w:type="dxa"/>
            <w:tcBorders>
              <w:top w:val="nil"/>
              <w:left w:val="nil"/>
              <w:bottom w:val="nil"/>
              <w:right w:val="nil"/>
            </w:tcBorders>
            <w:vAlign w:val="center"/>
          </w:tcPr>
          <w:p w14:paraId="149DC680" w14:textId="77777777" w:rsidR="00A93D08" w:rsidRPr="00FD6D3E"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FD6D3E">
              <w:rPr>
                <w:rFonts w:ascii="Calibri" w:eastAsia="Times New Roman" w:hAnsi="Calibri" w:cs="Calibri"/>
                <w:color w:val="000000"/>
                <w:sz w:val="16"/>
                <w:szCs w:val="18"/>
                <w:lang w:eastAsia="en-GB"/>
              </w:rPr>
              <w:t>AgOTs</w:t>
            </w:r>
            <w:proofErr w:type="spellEnd"/>
          </w:p>
        </w:tc>
        <w:tc>
          <w:tcPr>
            <w:tcW w:w="939" w:type="dxa"/>
            <w:tcBorders>
              <w:top w:val="nil"/>
              <w:left w:val="nil"/>
              <w:bottom w:val="nil"/>
              <w:right w:val="nil"/>
            </w:tcBorders>
            <w:shd w:val="clear" w:color="auto" w:fill="auto"/>
            <w:noWrap/>
            <w:vAlign w:val="center"/>
          </w:tcPr>
          <w:p w14:paraId="03D4C783" w14:textId="77777777" w:rsidR="00A93D08" w:rsidRPr="00FD6D3E" w:rsidRDefault="00A93D08" w:rsidP="008B306C">
            <w:pPr>
              <w:spacing w:after="0" w:line="240" w:lineRule="auto"/>
              <w:ind w:right="237"/>
              <w:jc w:val="center"/>
              <w:rPr>
                <w:rFonts w:ascii="Calibri" w:eastAsia="Times New Roman" w:hAnsi="Calibri" w:cs="Calibri"/>
                <w:color w:val="000000"/>
                <w:sz w:val="16"/>
                <w:szCs w:val="18"/>
                <w:lang w:eastAsia="en-GB"/>
              </w:rPr>
            </w:pPr>
            <w:r w:rsidRPr="00FD6D3E">
              <w:rPr>
                <w:rFonts w:ascii="Calibri" w:eastAsia="Times New Roman" w:hAnsi="Calibri" w:cs="Calibri"/>
                <w:color w:val="000000"/>
                <w:sz w:val="16"/>
                <w:szCs w:val="18"/>
                <w:lang w:eastAsia="en-GB"/>
              </w:rPr>
              <w:t>60</w:t>
            </w:r>
          </w:p>
        </w:tc>
        <w:tc>
          <w:tcPr>
            <w:tcW w:w="1078" w:type="dxa"/>
            <w:tcBorders>
              <w:top w:val="nil"/>
              <w:left w:val="nil"/>
              <w:bottom w:val="nil"/>
              <w:right w:val="nil"/>
            </w:tcBorders>
            <w:shd w:val="clear" w:color="auto" w:fill="auto"/>
            <w:noWrap/>
            <w:vAlign w:val="center"/>
          </w:tcPr>
          <w:p w14:paraId="14F6AA1C" w14:textId="77777777" w:rsidR="00A93D08" w:rsidRPr="00FD6D3E" w:rsidRDefault="00A93D08" w:rsidP="008B306C">
            <w:pPr>
              <w:spacing w:after="0" w:line="240" w:lineRule="auto"/>
              <w:ind w:right="237"/>
              <w:jc w:val="center"/>
              <w:rPr>
                <w:rFonts w:ascii="Calibri" w:eastAsia="Times New Roman" w:hAnsi="Calibri" w:cs="Calibri"/>
                <w:color w:val="000000"/>
                <w:sz w:val="18"/>
                <w:szCs w:val="18"/>
                <w:lang w:eastAsia="en-GB"/>
              </w:rPr>
            </w:pPr>
            <w:r w:rsidRPr="00FD6D3E">
              <w:rPr>
                <w:rFonts w:ascii="Calibri" w:eastAsia="Times New Roman" w:hAnsi="Calibri" w:cs="Calibri"/>
                <w:color w:val="000000"/>
                <w:sz w:val="18"/>
                <w:szCs w:val="18"/>
                <w:lang w:eastAsia="en-GB"/>
              </w:rPr>
              <w:t>12</w:t>
            </w:r>
          </w:p>
        </w:tc>
      </w:tr>
      <w:tr w:rsidR="00A93D08" w:rsidRPr="00246E82" w14:paraId="551C9CAE" w14:textId="77777777" w:rsidTr="00930B8F">
        <w:trPr>
          <w:trHeight w:hRule="exact" w:val="270"/>
          <w:jc w:val="center"/>
        </w:trPr>
        <w:tc>
          <w:tcPr>
            <w:tcW w:w="577" w:type="dxa"/>
            <w:tcBorders>
              <w:top w:val="nil"/>
              <w:left w:val="nil"/>
              <w:bottom w:val="nil"/>
              <w:right w:val="nil"/>
            </w:tcBorders>
            <w:shd w:val="clear" w:color="auto" w:fill="auto"/>
            <w:noWrap/>
            <w:vAlign w:val="center"/>
          </w:tcPr>
          <w:p w14:paraId="5A2F3492" w14:textId="77777777" w:rsidR="00A93D08" w:rsidRPr="008227FF" w:rsidDel="00EC50CF" w:rsidRDefault="00A93D08" w:rsidP="008B306C">
            <w:pPr>
              <w:spacing w:after="0" w:line="240" w:lineRule="auto"/>
              <w:ind w:right="237"/>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4</w:t>
            </w:r>
          </w:p>
        </w:tc>
        <w:tc>
          <w:tcPr>
            <w:tcW w:w="1124" w:type="dxa"/>
            <w:tcBorders>
              <w:top w:val="nil"/>
              <w:left w:val="nil"/>
              <w:bottom w:val="nil"/>
              <w:right w:val="nil"/>
            </w:tcBorders>
            <w:shd w:val="clear" w:color="auto" w:fill="auto"/>
            <w:noWrap/>
            <w:vAlign w:val="center"/>
          </w:tcPr>
          <w:p w14:paraId="60009F1A" w14:textId="77777777" w:rsidR="00A93D08" w:rsidRPr="008227FF"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norbornane</w:t>
            </w:r>
          </w:p>
        </w:tc>
        <w:tc>
          <w:tcPr>
            <w:tcW w:w="993" w:type="dxa"/>
            <w:gridSpan w:val="2"/>
            <w:tcBorders>
              <w:top w:val="nil"/>
              <w:left w:val="nil"/>
              <w:bottom w:val="nil"/>
              <w:right w:val="nil"/>
            </w:tcBorders>
            <w:shd w:val="clear" w:color="auto" w:fill="auto"/>
            <w:noWrap/>
            <w:vAlign w:val="center"/>
          </w:tcPr>
          <w:p w14:paraId="12E48F06" w14:textId="77777777" w:rsidR="00A93D08" w:rsidRPr="008227FF" w:rsidRDefault="00A93D08" w:rsidP="008B306C">
            <w:pPr>
              <w:spacing w:after="0" w:line="240" w:lineRule="auto"/>
              <w:ind w:right="237"/>
              <w:jc w:val="center"/>
              <w:rPr>
                <w:rFonts w:ascii="Calibri" w:eastAsia="Times New Roman" w:hAnsi="Calibri" w:cs="Calibri"/>
                <w:b/>
                <w:color w:val="000000"/>
                <w:sz w:val="16"/>
                <w:szCs w:val="18"/>
                <w:lang w:eastAsia="en-GB"/>
              </w:rPr>
            </w:pPr>
            <w:r w:rsidRPr="008227FF">
              <w:rPr>
                <w:rFonts w:ascii="Calibri" w:eastAsia="Times New Roman" w:hAnsi="Calibri" w:cs="Calibri"/>
                <w:b/>
                <w:color w:val="000000"/>
                <w:sz w:val="16"/>
                <w:szCs w:val="18"/>
                <w:lang w:eastAsia="en-GB"/>
              </w:rPr>
              <w:t>1a</w:t>
            </w:r>
          </w:p>
        </w:tc>
        <w:tc>
          <w:tcPr>
            <w:tcW w:w="1559" w:type="dxa"/>
            <w:tcBorders>
              <w:top w:val="nil"/>
              <w:left w:val="nil"/>
              <w:bottom w:val="nil"/>
              <w:right w:val="nil"/>
            </w:tcBorders>
            <w:shd w:val="clear" w:color="auto" w:fill="auto"/>
            <w:noWrap/>
            <w:vAlign w:val="center"/>
          </w:tcPr>
          <w:p w14:paraId="654FA634"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sz w:val="16"/>
                <w:szCs w:val="18"/>
                <w:lang w:eastAsia="en-GB"/>
              </w:rPr>
              <w:t>PhIO</w:t>
            </w:r>
            <w:proofErr w:type="spellEnd"/>
            <w:r>
              <w:rPr>
                <w:rFonts w:ascii="Calibri" w:eastAsia="Times New Roman" w:hAnsi="Calibri" w:cs="Calibri"/>
                <w:sz w:val="16"/>
                <w:szCs w:val="18"/>
                <w:lang w:eastAsia="en-GB"/>
              </w:rPr>
              <w:t xml:space="preserve"> (</w:t>
            </w:r>
            <w:r w:rsidRPr="00416989">
              <w:rPr>
                <w:rFonts w:ascii="Calibri" w:eastAsia="Times New Roman" w:hAnsi="Calibri" w:cs="Calibri"/>
                <w:b/>
                <w:bCs/>
                <w:sz w:val="16"/>
                <w:szCs w:val="18"/>
                <w:lang w:eastAsia="en-GB"/>
              </w:rPr>
              <w:t>16a</w:t>
            </w:r>
            <w:r>
              <w:rPr>
                <w:rFonts w:ascii="Calibri" w:eastAsia="Times New Roman" w:hAnsi="Calibri" w:cs="Calibri"/>
                <w:sz w:val="16"/>
                <w:szCs w:val="18"/>
                <w:lang w:eastAsia="en-GB"/>
              </w:rPr>
              <w:t>)</w:t>
            </w:r>
          </w:p>
        </w:tc>
        <w:tc>
          <w:tcPr>
            <w:tcW w:w="971" w:type="dxa"/>
            <w:tcBorders>
              <w:top w:val="nil"/>
              <w:left w:val="nil"/>
              <w:bottom w:val="nil"/>
              <w:right w:val="nil"/>
            </w:tcBorders>
            <w:vAlign w:val="center"/>
          </w:tcPr>
          <w:p w14:paraId="3BA80E9B"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AgOTf</w:t>
            </w:r>
            <w:proofErr w:type="spellEnd"/>
          </w:p>
        </w:tc>
        <w:tc>
          <w:tcPr>
            <w:tcW w:w="939" w:type="dxa"/>
            <w:tcBorders>
              <w:top w:val="nil"/>
              <w:left w:val="nil"/>
              <w:bottom w:val="nil"/>
              <w:right w:val="nil"/>
            </w:tcBorders>
            <w:shd w:val="clear" w:color="auto" w:fill="auto"/>
            <w:noWrap/>
            <w:vAlign w:val="center"/>
          </w:tcPr>
          <w:p w14:paraId="3945117F"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30</w:t>
            </w:r>
          </w:p>
        </w:tc>
        <w:tc>
          <w:tcPr>
            <w:tcW w:w="1078" w:type="dxa"/>
            <w:tcBorders>
              <w:top w:val="nil"/>
              <w:left w:val="nil"/>
              <w:bottom w:val="nil"/>
              <w:right w:val="nil"/>
            </w:tcBorders>
            <w:shd w:val="clear" w:color="auto" w:fill="auto"/>
            <w:noWrap/>
            <w:vAlign w:val="center"/>
          </w:tcPr>
          <w:p w14:paraId="29BD1007" w14:textId="77777777" w:rsidR="00A93D08" w:rsidRDefault="00A93D08" w:rsidP="008B306C">
            <w:pPr>
              <w:spacing w:after="0" w:line="240" w:lineRule="auto"/>
              <w:ind w:right="237"/>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7</w:t>
            </w:r>
          </w:p>
        </w:tc>
      </w:tr>
      <w:tr w:rsidR="00A93D08" w:rsidRPr="00246E82" w14:paraId="3EDCAD4B" w14:textId="77777777" w:rsidTr="00930B8F">
        <w:trPr>
          <w:trHeight w:hRule="exact" w:val="270"/>
          <w:jc w:val="center"/>
        </w:trPr>
        <w:tc>
          <w:tcPr>
            <w:tcW w:w="577" w:type="dxa"/>
            <w:tcBorders>
              <w:top w:val="nil"/>
              <w:left w:val="nil"/>
              <w:right w:val="nil"/>
            </w:tcBorders>
            <w:shd w:val="clear" w:color="auto" w:fill="auto"/>
            <w:noWrap/>
            <w:vAlign w:val="center"/>
            <w:hideMark/>
          </w:tcPr>
          <w:p w14:paraId="45B3ABA2"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5</w:t>
            </w:r>
          </w:p>
        </w:tc>
        <w:tc>
          <w:tcPr>
            <w:tcW w:w="1124" w:type="dxa"/>
            <w:tcBorders>
              <w:top w:val="nil"/>
              <w:left w:val="nil"/>
              <w:right w:val="nil"/>
            </w:tcBorders>
            <w:shd w:val="clear" w:color="auto" w:fill="auto"/>
            <w:noWrap/>
            <w:vAlign w:val="center"/>
            <w:hideMark/>
          </w:tcPr>
          <w:p w14:paraId="18CC3953" w14:textId="77777777" w:rsidR="00A93D08" w:rsidRPr="008227FF"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norbornane</w:t>
            </w:r>
          </w:p>
        </w:tc>
        <w:tc>
          <w:tcPr>
            <w:tcW w:w="993" w:type="dxa"/>
            <w:gridSpan w:val="2"/>
            <w:tcBorders>
              <w:top w:val="nil"/>
              <w:left w:val="nil"/>
              <w:right w:val="nil"/>
            </w:tcBorders>
            <w:shd w:val="clear" w:color="auto" w:fill="auto"/>
            <w:noWrap/>
            <w:vAlign w:val="center"/>
            <w:hideMark/>
          </w:tcPr>
          <w:p w14:paraId="6DBFE5F6"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vertAlign w:val="superscript"/>
                <w:lang w:eastAsia="en-GB"/>
              </w:rPr>
            </w:pPr>
            <w:r w:rsidRPr="008227FF">
              <w:rPr>
                <w:rFonts w:ascii="Calibri" w:eastAsia="Times New Roman" w:hAnsi="Calibri" w:cs="Calibri"/>
                <w:b/>
                <w:color w:val="000000"/>
                <w:sz w:val="16"/>
                <w:szCs w:val="18"/>
                <w:lang w:eastAsia="en-GB"/>
              </w:rPr>
              <w:t>1a</w:t>
            </w:r>
            <w:r w:rsidRPr="008227FF">
              <w:rPr>
                <w:rFonts w:ascii="Calibri" w:eastAsia="Times New Roman" w:hAnsi="Calibri" w:cs="Calibri"/>
                <w:i/>
                <w:color w:val="000000"/>
                <w:sz w:val="16"/>
                <w:szCs w:val="18"/>
                <w:vertAlign w:val="superscript"/>
                <w:lang w:eastAsia="en-GB"/>
              </w:rPr>
              <w:t>d</w:t>
            </w:r>
          </w:p>
        </w:tc>
        <w:tc>
          <w:tcPr>
            <w:tcW w:w="1559" w:type="dxa"/>
            <w:tcBorders>
              <w:top w:val="nil"/>
              <w:left w:val="nil"/>
              <w:right w:val="nil"/>
            </w:tcBorders>
            <w:shd w:val="clear" w:color="auto" w:fill="auto"/>
            <w:noWrap/>
            <w:vAlign w:val="center"/>
            <w:hideMark/>
          </w:tcPr>
          <w:p w14:paraId="75E61323" w14:textId="6EEA6FE1"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sz w:val="16"/>
                <w:szCs w:val="18"/>
                <w:lang w:eastAsia="en-GB"/>
              </w:rPr>
              <w:t>PhIO</w:t>
            </w:r>
            <w:proofErr w:type="spellEnd"/>
            <w:r>
              <w:rPr>
                <w:rFonts w:ascii="Calibri" w:eastAsia="Times New Roman" w:hAnsi="Calibri" w:cs="Calibri"/>
                <w:sz w:val="16"/>
                <w:szCs w:val="18"/>
                <w:lang w:eastAsia="en-GB"/>
              </w:rPr>
              <w:t xml:space="preserve"> (</w:t>
            </w:r>
            <w:r w:rsidRPr="00416989">
              <w:rPr>
                <w:rFonts w:ascii="Calibri" w:eastAsia="Times New Roman" w:hAnsi="Calibri" w:cs="Calibri"/>
                <w:b/>
                <w:bCs/>
                <w:sz w:val="16"/>
                <w:szCs w:val="18"/>
                <w:lang w:eastAsia="en-GB"/>
              </w:rPr>
              <w:t>16</w:t>
            </w:r>
            <w:proofErr w:type="gramStart"/>
            <w:r w:rsidRPr="00416989">
              <w:rPr>
                <w:rFonts w:ascii="Calibri" w:eastAsia="Times New Roman" w:hAnsi="Calibri" w:cs="Calibri"/>
                <w:b/>
                <w:bCs/>
                <w:sz w:val="16"/>
                <w:szCs w:val="18"/>
                <w:lang w:eastAsia="en-GB"/>
              </w:rPr>
              <w:t>a</w:t>
            </w:r>
            <w:r>
              <w:rPr>
                <w:rFonts w:ascii="Calibri" w:eastAsia="Times New Roman" w:hAnsi="Calibri" w:cs="Calibri"/>
                <w:sz w:val="16"/>
                <w:szCs w:val="18"/>
                <w:lang w:eastAsia="en-GB"/>
              </w:rPr>
              <w:t>)</w:t>
            </w:r>
            <w:r w:rsidR="002D0A23" w:rsidRPr="002D0A23">
              <w:rPr>
                <w:rFonts w:ascii="Calibri" w:eastAsia="Times New Roman" w:hAnsi="Calibri" w:cs="Calibri"/>
                <w:i/>
                <w:iCs/>
                <w:sz w:val="16"/>
                <w:szCs w:val="18"/>
                <w:vertAlign w:val="superscript"/>
                <w:lang w:eastAsia="en-GB"/>
              </w:rPr>
              <w:t>e</w:t>
            </w:r>
            <w:proofErr w:type="gramEnd"/>
          </w:p>
        </w:tc>
        <w:tc>
          <w:tcPr>
            <w:tcW w:w="971" w:type="dxa"/>
            <w:tcBorders>
              <w:top w:val="nil"/>
              <w:left w:val="nil"/>
              <w:right w:val="nil"/>
            </w:tcBorders>
            <w:vAlign w:val="center"/>
          </w:tcPr>
          <w:p w14:paraId="167920D3"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AgOTf</w:t>
            </w:r>
            <w:proofErr w:type="spellEnd"/>
          </w:p>
        </w:tc>
        <w:tc>
          <w:tcPr>
            <w:tcW w:w="939" w:type="dxa"/>
            <w:tcBorders>
              <w:top w:val="nil"/>
              <w:left w:val="nil"/>
              <w:right w:val="nil"/>
            </w:tcBorders>
            <w:shd w:val="clear" w:color="auto" w:fill="auto"/>
            <w:noWrap/>
            <w:vAlign w:val="center"/>
            <w:hideMark/>
          </w:tcPr>
          <w:p w14:paraId="3FED02EA"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30</w:t>
            </w:r>
          </w:p>
        </w:tc>
        <w:tc>
          <w:tcPr>
            <w:tcW w:w="1078" w:type="dxa"/>
            <w:tcBorders>
              <w:top w:val="nil"/>
              <w:left w:val="nil"/>
              <w:right w:val="nil"/>
            </w:tcBorders>
            <w:shd w:val="clear" w:color="auto" w:fill="auto"/>
            <w:noWrap/>
            <w:vAlign w:val="center"/>
            <w:hideMark/>
          </w:tcPr>
          <w:p w14:paraId="029590B2" w14:textId="77777777" w:rsidR="00A93D08" w:rsidRPr="00B56F06" w:rsidRDefault="00A93D08" w:rsidP="008B306C">
            <w:pPr>
              <w:spacing w:after="0" w:line="240" w:lineRule="auto"/>
              <w:ind w:right="237"/>
              <w:jc w:val="center"/>
              <w:rPr>
                <w:rFonts w:ascii="Calibri" w:eastAsia="Times New Roman" w:hAnsi="Calibri" w:cs="Calibri"/>
                <w:color w:val="000000"/>
                <w:sz w:val="18"/>
                <w:szCs w:val="18"/>
                <w:lang w:eastAsia="en-GB"/>
              </w:rPr>
            </w:pPr>
            <w:r w:rsidRPr="00B56F06">
              <w:rPr>
                <w:rFonts w:ascii="Calibri" w:eastAsia="Times New Roman" w:hAnsi="Calibri" w:cs="Calibri"/>
                <w:color w:val="000000"/>
                <w:sz w:val="18"/>
                <w:szCs w:val="18"/>
                <w:lang w:eastAsia="en-GB"/>
              </w:rPr>
              <w:t>20</w:t>
            </w:r>
          </w:p>
        </w:tc>
      </w:tr>
      <w:tr w:rsidR="00A93D08" w:rsidRPr="00246E82" w14:paraId="2E56A835" w14:textId="77777777" w:rsidTr="00930B8F">
        <w:trPr>
          <w:trHeight w:hRule="exact" w:val="270"/>
          <w:jc w:val="center"/>
        </w:trPr>
        <w:tc>
          <w:tcPr>
            <w:tcW w:w="577" w:type="dxa"/>
            <w:tcBorders>
              <w:top w:val="nil"/>
              <w:left w:val="nil"/>
              <w:right w:val="nil"/>
            </w:tcBorders>
            <w:shd w:val="pct10" w:color="auto" w:fill="auto"/>
            <w:noWrap/>
            <w:vAlign w:val="center"/>
            <w:hideMark/>
          </w:tcPr>
          <w:p w14:paraId="32F0EBAB"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6</w:t>
            </w:r>
          </w:p>
        </w:tc>
        <w:tc>
          <w:tcPr>
            <w:tcW w:w="1124" w:type="dxa"/>
            <w:tcBorders>
              <w:top w:val="nil"/>
              <w:left w:val="nil"/>
              <w:right w:val="nil"/>
            </w:tcBorders>
            <w:shd w:val="pct10" w:color="auto" w:fill="auto"/>
            <w:noWrap/>
            <w:vAlign w:val="center"/>
            <w:hideMark/>
          </w:tcPr>
          <w:p w14:paraId="5F8DCC4C" w14:textId="77777777" w:rsidR="00A93D08" w:rsidRPr="008227FF"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norbornane</w:t>
            </w:r>
          </w:p>
        </w:tc>
        <w:tc>
          <w:tcPr>
            <w:tcW w:w="993" w:type="dxa"/>
            <w:gridSpan w:val="2"/>
            <w:tcBorders>
              <w:top w:val="nil"/>
              <w:left w:val="nil"/>
              <w:right w:val="nil"/>
            </w:tcBorders>
            <w:shd w:val="pct10" w:color="auto" w:fill="auto"/>
            <w:noWrap/>
            <w:vAlign w:val="center"/>
            <w:hideMark/>
          </w:tcPr>
          <w:p w14:paraId="5DE35CE5" w14:textId="77777777" w:rsidR="00A93D08" w:rsidRPr="008227FF" w:rsidRDefault="00A93D08" w:rsidP="008B306C">
            <w:pPr>
              <w:spacing w:after="0" w:line="240" w:lineRule="auto"/>
              <w:ind w:right="237"/>
              <w:jc w:val="center"/>
              <w:rPr>
                <w:rFonts w:ascii="Calibri" w:eastAsia="Times New Roman" w:hAnsi="Calibri" w:cs="Calibri"/>
                <w:b/>
                <w:color w:val="000000"/>
                <w:sz w:val="16"/>
                <w:szCs w:val="18"/>
                <w:lang w:eastAsia="en-GB"/>
              </w:rPr>
            </w:pPr>
            <w:r w:rsidRPr="008227FF">
              <w:rPr>
                <w:rFonts w:ascii="Calibri" w:eastAsia="Times New Roman" w:hAnsi="Calibri" w:cs="Calibri"/>
                <w:b/>
                <w:color w:val="000000"/>
                <w:sz w:val="16"/>
                <w:szCs w:val="18"/>
                <w:lang w:eastAsia="en-GB"/>
              </w:rPr>
              <w:t>1a</w:t>
            </w:r>
          </w:p>
        </w:tc>
        <w:tc>
          <w:tcPr>
            <w:tcW w:w="1559" w:type="dxa"/>
            <w:tcBorders>
              <w:top w:val="nil"/>
              <w:left w:val="nil"/>
              <w:right w:val="nil"/>
            </w:tcBorders>
            <w:shd w:val="pct10" w:color="auto" w:fill="auto"/>
            <w:noWrap/>
            <w:vAlign w:val="center"/>
            <w:hideMark/>
          </w:tcPr>
          <w:p w14:paraId="766F9C7F"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sz w:val="16"/>
                <w:szCs w:val="18"/>
                <w:lang w:eastAsia="en-GB"/>
              </w:rPr>
              <w:t>PhIO</w:t>
            </w:r>
            <w:proofErr w:type="spellEnd"/>
            <w:r>
              <w:rPr>
                <w:rFonts w:ascii="Calibri" w:eastAsia="Times New Roman" w:hAnsi="Calibri" w:cs="Calibri"/>
                <w:sz w:val="16"/>
                <w:szCs w:val="18"/>
                <w:lang w:eastAsia="en-GB"/>
              </w:rPr>
              <w:t xml:space="preserve"> (</w:t>
            </w:r>
            <w:r w:rsidRPr="00416989">
              <w:rPr>
                <w:rFonts w:ascii="Calibri" w:eastAsia="Times New Roman" w:hAnsi="Calibri" w:cs="Calibri"/>
                <w:b/>
                <w:bCs/>
                <w:sz w:val="16"/>
                <w:szCs w:val="18"/>
                <w:lang w:eastAsia="en-GB"/>
              </w:rPr>
              <w:t>16a</w:t>
            </w:r>
            <w:r>
              <w:rPr>
                <w:rFonts w:ascii="Calibri" w:eastAsia="Times New Roman" w:hAnsi="Calibri" w:cs="Calibri"/>
                <w:sz w:val="16"/>
                <w:szCs w:val="18"/>
                <w:lang w:eastAsia="en-GB"/>
              </w:rPr>
              <w:t>)</w:t>
            </w:r>
          </w:p>
        </w:tc>
        <w:tc>
          <w:tcPr>
            <w:tcW w:w="971" w:type="dxa"/>
            <w:tcBorders>
              <w:top w:val="nil"/>
              <w:left w:val="nil"/>
              <w:right w:val="nil"/>
            </w:tcBorders>
            <w:shd w:val="pct10" w:color="auto" w:fill="auto"/>
            <w:vAlign w:val="center"/>
          </w:tcPr>
          <w:p w14:paraId="32D3B623"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AgOTf</w:t>
            </w:r>
            <w:proofErr w:type="spellEnd"/>
          </w:p>
        </w:tc>
        <w:tc>
          <w:tcPr>
            <w:tcW w:w="939" w:type="dxa"/>
            <w:tcBorders>
              <w:top w:val="nil"/>
              <w:left w:val="nil"/>
              <w:right w:val="nil"/>
            </w:tcBorders>
            <w:shd w:val="pct10" w:color="auto" w:fill="auto"/>
            <w:noWrap/>
            <w:vAlign w:val="center"/>
            <w:hideMark/>
          </w:tcPr>
          <w:p w14:paraId="7EFF3C3F"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60</w:t>
            </w:r>
          </w:p>
        </w:tc>
        <w:tc>
          <w:tcPr>
            <w:tcW w:w="1078" w:type="dxa"/>
            <w:tcBorders>
              <w:top w:val="nil"/>
              <w:left w:val="nil"/>
              <w:bottom w:val="nil"/>
              <w:right w:val="nil"/>
            </w:tcBorders>
            <w:shd w:val="pct10" w:color="auto" w:fill="auto"/>
            <w:noWrap/>
            <w:vAlign w:val="center"/>
            <w:hideMark/>
          </w:tcPr>
          <w:p w14:paraId="20B72D6E" w14:textId="77777777" w:rsidR="00A93D08" w:rsidRPr="00F847D2" w:rsidRDefault="00A93D08" w:rsidP="008B306C">
            <w:pPr>
              <w:spacing w:after="0" w:line="240" w:lineRule="auto"/>
              <w:ind w:right="237"/>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46</w:t>
            </w:r>
          </w:p>
        </w:tc>
      </w:tr>
      <w:tr w:rsidR="00A93D08" w:rsidRPr="00246E82" w14:paraId="1F08C877" w14:textId="77777777" w:rsidTr="00930B8F">
        <w:trPr>
          <w:trHeight w:hRule="exact" w:val="270"/>
          <w:jc w:val="center"/>
        </w:trPr>
        <w:tc>
          <w:tcPr>
            <w:tcW w:w="577" w:type="dxa"/>
            <w:tcBorders>
              <w:top w:val="nil"/>
              <w:left w:val="nil"/>
              <w:bottom w:val="single" w:sz="4" w:space="0" w:color="auto"/>
              <w:right w:val="nil"/>
            </w:tcBorders>
            <w:shd w:val="clear" w:color="auto" w:fill="auto"/>
            <w:noWrap/>
            <w:vAlign w:val="center"/>
          </w:tcPr>
          <w:p w14:paraId="4D7FCB86"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Pr>
                <w:rFonts w:ascii="Calibri" w:eastAsia="Times New Roman" w:hAnsi="Calibri" w:cs="Calibri"/>
                <w:sz w:val="16"/>
                <w:szCs w:val="18"/>
                <w:lang w:eastAsia="en-GB"/>
              </w:rPr>
              <w:t>7</w:t>
            </w:r>
            <w:r w:rsidRPr="008227FF">
              <w:rPr>
                <w:rFonts w:ascii="Calibri" w:eastAsia="Times New Roman" w:hAnsi="Calibri" w:cs="Calibri"/>
                <w:i/>
                <w:color w:val="000000"/>
                <w:sz w:val="16"/>
                <w:szCs w:val="18"/>
                <w:vertAlign w:val="superscript"/>
                <w:lang w:eastAsia="en-GB"/>
              </w:rPr>
              <w:t>b</w:t>
            </w:r>
          </w:p>
        </w:tc>
        <w:tc>
          <w:tcPr>
            <w:tcW w:w="1124" w:type="dxa"/>
            <w:tcBorders>
              <w:top w:val="nil"/>
              <w:left w:val="nil"/>
              <w:bottom w:val="single" w:sz="4" w:space="0" w:color="auto"/>
              <w:right w:val="nil"/>
            </w:tcBorders>
            <w:shd w:val="clear" w:color="auto" w:fill="auto"/>
            <w:noWrap/>
            <w:vAlign w:val="center"/>
          </w:tcPr>
          <w:p w14:paraId="3AAFBE74" w14:textId="77777777" w:rsidR="00A93D08" w:rsidRPr="008227FF"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norbornane</w:t>
            </w:r>
          </w:p>
        </w:tc>
        <w:tc>
          <w:tcPr>
            <w:tcW w:w="993" w:type="dxa"/>
            <w:gridSpan w:val="2"/>
            <w:tcBorders>
              <w:top w:val="nil"/>
              <w:left w:val="nil"/>
              <w:bottom w:val="single" w:sz="4" w:space="0" w:color="auto"/>
              <w:right w:val="nil"/>
            </w:tcBorders>
            <w:shd w:val="clear" w:color="auto" w:fill="auto"/>
            <w:noWrap/>
            <w:vAlign w:val="center"/>
          </w:tcPr>
          <w:p w14:paraId="032A3BC4" w14:textId="77777777" w:rsidR="00A93D08" w:rsidRPr="008227FF" w:rsidRDefault="00A93D08" w:rsidP="008B306C">
            <w:pPr>
              <w:spacing w:after="0" w:line="240" w:lineRule="auto"/>
              <w:ind w:right="237"/>
              <w:jc w:val="center"/>
              <w:rPr>
                <w:rFonts w:ascii="Calibri" w:eastAsia="Times New Roman" w:hAnsi="Calibri" w:cs="Calibri"/>
                <w:b/>
                <w:color w:val="000000"/>
                <w:sz w:val="16"/>
                <w:szCs w:val="18"/>
                <w:lang w:eastAsia="en-GB"/>
              </w:rPr>
            </w:pPr>
            <w:r w:rsidRPr="008227FF">
              <w:rPr>
                <w:rFonts w:ascii="Calibri" w:eastAsia="Times New Roman" w:hAnsi="Calibri" w:cs="Calibri"/>
                <w:b/>
                <w:sz w:val="16"/>
                <w:szCs w:val="18"/>
                <w:lang w:eastAsia="en-GB"/>
              </w:rPr>
              <w:t>1a</w:t>
            </w:r>
          </w:p>
        </w:tc>
        <w:tc>
          <w:tcPr>
            <w:tcW w:w="1559" w:type="dxa"/>
            <w:tcBorders>
              <w:top w:val="nil"/>
              <w:left w:val="nil"/>
              <w:bottom w:val="single" w:sz="4" w:space="0" w:color="auto"/>
              <w:right w:val="nil"/>
            </w:tcBorders>
            <w:shd w:val="clear" w:color="auto" w:fill="auto"/>
            <w:noWrap/>
            <w:vAlign w:val="center"/>
          </w:tcPr>
          <w:p w14:paraId="06437698" w14:textId="77777777" w:rsidR="00A93D08" w:rsidRPr="008227FF" w:rsidRDefault="00A93D08" w:rsidP="008B306C">
            <w:pPr>
              <w:spacing w:after="0" w:line="240" w:lineRule="auto"/>
              <w:jc w:val="center"/>
              <w:rPr>
                <w:rFonts w:ascii="Calibri" w:eastAsia="Times New Roman" w:hAnsi="Calibri" w:cs="Calibri"/>
                <w:i/>
                <w:color w:val="000000"/>
                <w:sz w:val="16"/>
                <w:szCs w:val="18"/>
                <w:lang w:eastAsia="en-GB"/>
              </w:rPr>
            </w:pPr>
            <w:proofErr w:type="spellStart"/>
            <w:r w:rsidRPr="008227FF">
              <w:rPr>
                <w:rFonts w:ascii="Calibri" w:eastAsia="Times New Roman" w:hAnsi="Calibri" w:cs="Calibri"/>
                <w:sz w:val="16"/>
                <w:szCs w:val="18"/>
                <w:lang w:eastAsia="en-GB"/>
              </w:rPr>
              <w:t>PhIO</w:t>
            </w:r>
            <w:proofErr w:type="spellEnd"/>
            <w:r>
              <w:rPr>
                <w:rFonts w:ascii="Calibri" w:eastAsia="Times New Roman" w:hAnsi="Calibri" w:cs="Calibri"/>
                <w:sz w:val="16"/>
                <w:szCs w:val="18"/>
                <w:lang w:eastAsia="en-GB"/>
              </w:rPr>
              <w:t xml:space="preserve"> (</w:t>
            </w:r>
            <w:r w:rsidRPr="00416989">
              <w:rPr>
                <w:rFonts w:ascii="Calibri" w:eastAsia="Times New Roman" w:hAnsi="Calibri" w:cs="Calibri"/>
                <w:b/>
                <w:bCs/>
                <w:sz w:val="16"/>
                <w:szCs w:val="18"/>
                <w:lang w:eastAsia="en-GB"/>
              </w:rPr>
              <w:t>16a</w:t>
            </w:r>
            <w:r>
              <w:rPr>
                <w:rFonts w:ascii="Calibri" w:eastAsia="Times New Roman" w:hAnsi="Calibri" w:cs="Calibri"/>
                <w:sz w:val="16"/>
                <w:szCs w:val="18"/>
                <w:lang w:eastAsia="en-GB"/>
              </w:rPr>
              <w:t>)</w:t>
            </w:r>
          </w:p>
        </w:tc>
        <w:tc>
          <w:tcPr>
            <w:tcW w:w="971" w:type="dxa"/>
            <w:tcBorders>
              <w:top w:val="nil"/>
              <w:left w:val="nil"/>
              <w:bottom w:val="single" w:sz="4" w:space="0" w:color="auto"/>
              <w:right w:val="nil"/>
            </w:tcBorders>
            <w:vAlign w:val="center"/>
          </w:tcPr>
          <w:p w14:paraId="65295506" w14:textId="77777777" w:rsidR="00A93D08" w:rsidRPr="008227FF" w:rsidRDefault="00A93D08" w:rsidP="008B306C">
            <w:pPr>
              <w:spacing w:after="0" w:line="240" w:lineRule="auto"/>
              <w:jc w:val="center"/>
              <w:rPr>
                <w:rFonts w:ascii="Calibri" w:eastAsia="Times New Roman" w:hAnsi="Calibri" w:cs="Calibri"/>
                <w:sz w:val="16"/>
                <w:szCs w:val="18"/>
                <w:lang w:eastAsia="en-GB"/>
              </w:rPr>
            </w:pPr>
            <w:proofErr w:type="spellStart"/>
            <w:r w:rsidRPr="008227FF">
              <w:rPr>
                <w:rFonts w:ascii="Calibri" w:eastAsia="Times New Roman" w:hAnsi="Calibri" w:cs="Calibri"/>
                <w:color w:val="000000"/>
                <w:sz w:val="16"/>
                <w:szCs w:val="18"/>
                <w:lang w:eastAsia="en-GB"/>
              </w:rPr>
              <w:t>AgOTf</w:t>
            </w:r>
            <w:proofErr w:type="spellEnd"/>
          </w:p>
        </w:tc>
        <w:tc>
          <w:tcPr>
            <w:tcW w:w="939" w:type="dxa"/>
            <w:tcBorders>
              <w:top w:val="nil"/>
              <w:left w:val="nil"/>
              <w:bottom w:val="single" w:sz="4" w:space="0" w:color="auto"/>
              <w:right w:val="nil"/>
            </w:tcBorders>
            <w:shd w:val="clear" w:color="auto" w:fill="auto"/>
            <w:noWrap/>
            <w:vAlign w:val="center"/>
          </w:tcPr>
          <w:p w14:paraId="7DAFB3AA"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Pr>
                <w:rFonts w:ascii="Calibri" w:eastAsia="Times New Roman" w:hAnsi="Calibri" w:cs="Calibri"/>
                <w:sz w:val="16"/>
                <w:szCs w:val="18"/>
                <w:lang w:eastAsia="en-GB"/>
              </w:rPr>
              <w:t>6</w:t>
            </w:r>
            <w:r w:rsidRPr="008227FF">
              <w:rPr>
                <w:rFonts w:ascii="Calibri" w:eastAsia="Times New Roman" w:hAnsi="Calibri" w:cs="Calibri"/>
                <w:sz w:val="16"/>
                <w:szCs w:val="18"/>
                <w:lang w:eastAsia="en-GB"/>
              </w:rPr>
              <w:t>0</w:t>
            </w:r>
          </w:p>
        </w:tc>
        <w:tc>
          <w:tcPr>
            <w:tcW w:w="1078" w:type="dxa"/>
            <w:tcBorders>
              <w:top w:val="nil"/>
              <w:left w:val="nil"/>
              <w:bottom w:val="single" w:sz="4" w:space="0" w:color="auto"/>
              <w:right w:val="nil"/>
            </w:tcBorders>
            <w:shd w:val="clear" w:color="auto" w:fill="auto"/>
            <w:noWrap/>
            <w:vAlign w:val="center"/>
          </w:tcPr>
          <w:p w14:paraId="588C7246" w14:textId="77777777" w:rsidR="00A93D08" w:rsidRDefault="00A93D08" w:rsidP="008B306C">
            <w:pPr>
              <w:spacing w:after="0" w:line="240" w:lineRule="auto"/>
              <w:ind w:right="237"/>
              <w:jc w:val="center"/>
              <w:rPr>
                <w:rFonts w:ascii="Calibri" w:eastAsia="Times New Roman" w:hAnsi="Calibri" w:cs="Calibri"/>
                <w:color w:val="000000"/>
                <w:sz w:val="18"/>
                <w:szCs w:val="18"/>
                <w:lang w:eastAsia="en-GB"/>
              </w:rPr>
            </w:pPr>
            <w:r>
              <w:rPr>
                <w:rFonts w:ascii="Calibri" w:eastAsia="Times New Roman" w:hAnsi="Calibri" w:cs="Calibri"/>
                <w:sz w:val="18"/>
                <w:szCs w:val="18"/>
                <w:lang w:eastAsia="en-GB"/>
              </w:rPr>
              <w:t>10</w:t>
            </w:r>
          </w:p>
        </w:tc>
      </w:tr>
      <w:tr w:rsidR="00A93D08" w:rsidRPr="00246E82" w14:paraId="0471B56A" w14:textId="77777777" w:rsidTr="00930B8F">
        <w:trPr>
          <w:trHeight w:hRule="exact" w:val="270"/>
          <w:jc w:val="center"/>
        </w:trPr>
        <w:tc>
          <w:tcPr>
            <w:tcW w:w="577" w:type="dxa"/>
            <w:tcBorders>
              <w:top w:val="single" w:sz="4" w:space="0" w:color="auto"/>
              <w:left w:val="nil"/>
              <w:bottom w:val="nil"/>
              <w:right w:val="nil"/>
            </w:tcBorders>
            <w:shd w:val="pct10" w:color="auto" w:fill="auto"/>
            <w:noWrap/>
            <w:vAlign w:val="center"/>
          </w:tcPr>
          <w:p w14:paraId="2EFF3953"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8</w:t>
            </w:r>
          </w:p>
        </w:tc>
        <w:tc>
          <w:tcPr>
            <w:tcW w:w="1124" w:type="dxa"/>
            <w:tcBorders>
              <w:top w:val="single" w:sz="4" w:space="0" w:color="auto"/>
              <w:left w:val="nil"/>
              <w:bottom w:val="nil"/>
              <w:right w:val="nil"/>
            </w:tcBorders>
            <w:shd w:val="pct10" w:color="auto" w:fill="auto"/>
            <w:noWrap/>
            <w:vAlign w:val="center"/>
          </w:tcPr>
          <w:p w14:paraId="1046F28E" w14:textId="22C2C538" w:rsidR="00A93D08" w:rsidRPr="008227FF"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cycloheptane</w:t>
            </w:r>
          </w:p>
        </w:tc>
        <w:tc>
          <w:tcPr>
            <w:tcW w:w="993" w:type="dxa"/>
            <w:gridSpan w:val="2"/>
            <w:tcBorders>
              <w:top w:val="single" w:sz="4" w:space="0" w:color="auto"/>
              <w:left w:val="nil"/>
              <w:bottom w:val="nil"/>
              <w:right w:val="nil"/>
            </w:tcBorders>
            <w:shd w:val="pct10" w:color="auto" w:fill="auto"/>
            <w:noWrap/>
            <w:vAlign w:val="center"/>
          </w:tcPr>
          <w:p w14:paraId="0CD3FD6B" w14:textId="77777777" w:rsidR="00A93D08" w:rsidRPr="008227FF" w:rsidRDefault="00A93D08" w:rsidP="008B306C">
            <w:pPr>
              <w:spacing w:after="0" w:line="240" w:lineRule="auto"/>
              <w:ind w:right="237"/>
              <w:jc w:val="center"/>
              <w:rPr>
                <w:rFonts w:ascii="Calibri" w:eastAsia="Times New Roman" w:hAnsi="Calibri" w:cs="Calibri"/>
                <w:b/>
                <w:color w:val="000000"/>
                <w:sz w:val="16"/>
                <w:szCs w:val="18"/>
                <w:lang w:eastAsia="en-GB"/>
              </w:rPr>
            </w:pPr>
            <w:r w:rsidRPr="008227FF">
              <w:rPr>
                <w:rFonts w:ascii="Calibri" w:eastAsia="Times New Roman" w:hAnsi="Calibri" w:cs="Calibri"/>
                <w:b/>
                <w:color w:val="000000"/>
                <w:sz w:val="16"/>
                <w:szCs w:val="18"/>
                <w:lang w:eastAsia="en-GB"/>
              </w:rPr>
              <w:t>1a</w:t>
            </w:r>
          </w:p>
        </w:tc>
        <w:tc>
          <w:tcPr>
            <w:tcW w:w="1559" w:type="dxa"/>
            <w:tcBorders>
              <w:top w:val="single" w:sz="4" w:space="0" w:color="auto"/>
              <w:left w:val="nil"/>
              <w:bottom w:val="nil"/>
              <w:right w:val="nil"/>
            </w:tcBorders>
            <w:shd w:val="pct10" w:color="auto" w:fill="auto"/>
            <w:noWrap/>
            <w:vAlign w:val="center"/>
          </w:tcPr>
          <w:p w14:paraId="3BAD9E74"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sz w:val="16"/>
                <w:szCs w:val="18"/>
                <w:lang w:eastAsia="en-GB"/>
              </w:rPr>
              <w:t>PhIO</w:t>
            </w:r>
            <w:proofErr w:type="spellEnd"/>
            <w:r>
              <w:rPr>
                <w:rFonts w:ascii="Calibri" w:eastAsia="Times New Roman" w:hAnsi="Calibri" w:cs="Calibri"/>
                <w:sz w:val="16"/>
                <w:szCs w:val="18"/>
                <w:lang w:eastAsia="en-GB"/>
              </w:rPr>
              <w:t xml:space="preserve"> (</w:t>
            </w:r>
            <w:r w:rsidRPr="00416989">
              <w:rPr>
                <w:rFonts w:ascii="Calibri" w:eastAsia="Times New Roman" w:hAnsi="Calibri" w:cs="Calibri"/>
                <w:b/>
                <w:bCs/>
                <w:sz w:val="16"/>
                <w:szCs w:val="18"/>
                <w:lang w:eastAsia="en-GB"/>
              </w:rPr>
              <w:t>16a</w:t>
            </w:r>
            <w:r>
              <w:rPr>
                <w:rFonts w:ascii="Calibri" w:eastAsia="Times New Roman" w:hAnsi="Calibri" w:cs="Calibri"/>
                <w:sz w:val="16"/>
                <w:szCs w:val="18"/>
                <w:lang w:eastAsia="en-GB"/>
              </w:rPr>
              <w:t>)</w:t>
            </w:r>
          </w:p>
        </w:tc>
        <w:tc>
          <w:tcPr>
            <w:tcW w:w="971" w:type="dxa"/>
            <w:tcBorders>
              <w:top w:val="single" w:sz="4" w:space="0" w:color="auto"/>
              <w:left w:val="nil"/>
              <w:bottom w:val="nil"/>
              <w:right w:val="nil"/>
            </w:tcBorders>
            <w:shd w:val="pct10" w:color="auto" w:fill="auto"/>
            <w:vAlign w:val="center"/>
          </w:tcPr>
          <w:p w14:paraId="0EA4A4E8"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AgOTf</w:t>
            </w:r>
            <w:proofErr w:type="spellEnd"/>
          </w:p>
        </w:tc>
        <w:tc>
          <w:tcPr>
            <w:tcW w:w="939" w:type="dxa"/>
            <w:tcBorders>
              <w:top w:val="single" w:sz="4" w:space="0" w:color="auto"/>
              <w:left w:val="nil"/>
              <w:bottom w:val="nil"/>
              <w:right w:val="nil"/>
            </w:tcBorders>
            <w:shd w:val="pct10" w:color="auto" w:fill="auto"/>
            <w:noWrap/>
            <w:vAlign w:val="center"/>
          </w:tcPr>
          <w:p w14:paraId="5D5706CF"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30</w:t>
            </w:r>
          </w:p>
        </w:tc>
        <w:tc>
          <w:tcPr>
            <w:tcW w:w="1078" w:type="dxa"/>
            <w:tcBorders>
              <w:top w:val="single" w:sz="4" w:space="0" w:color="auto"/>
              <w:left w:val="nil"/>
              <w:bottom w:val="nil"/>
              <w:right w:val="nil"/>
            </w:tcBorders>
            <w:shd w:val="pct10" w:color="auto" w:fill="auto"/>
            <w:noWrap/>
            <w:vAlign w:val="center"/>
          </w:tcPr>
          <w:p w14:paraId="6EAD2BAE" w14:textId="77777777" w:rsidR="00A93D08" w:rsidRDefault="00A93D08" w:rsidP="008B306C">
            <w:pPr>
              <w:spacing w:after="0" w:line="240" w:lineRule="auto"/>
              <w:ind w:right="237"/>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15</w:t>
            </w:r>
          </w:p>
        </w:tc>
      </w:tr>
      <w:tr w:rsidR="00A93D08" w:rsidRPr="00246E82" w14:paraId="0CCC47B0" w14:textId="77777777" w:rsidTr="00930B8F">
        <w:trPr>
          <w:trHeight w:hRule="exact" w:val="270"/>
          <w:jc w:val="center"/>
        </w:trPr>
        <w:tc>
          <w:tcPr>
            <w:tcW w:w="577" w:type="dxa"/>
            <w:tcBorders>
              <w:top w:val="nil"/>
              <w:left w:val="nil"/>
              <w:bottom w:val="nil"/>
              <w:right w:val="nil"/>
            </w:tcBorders>
            <w:shd w:val="clear" w:color="auto" w:fill="auto"/>
            <w:noWrap/>
            <w:vAlign w:val="center"/>
          </w:tcPr>
          <w:p w14:paraId="19495916"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9</w:t>
            </w:r>
          </w:p>
        </w:tc>
        <w:tc>
          <w:tcPr>
            <w:tcW w:w="1124" w:type="dxa"/>
            <w:tcBorders>
              <w:top w:val="nil"/>
              <w:left w:val="nil"/>
              <w:bottom w:val="nil"/>
              <w:right w:val="nil"/>
            </w:tcBorders>
            <w:shd w:val="clear" w:color="auto" w:fill="auto"/>
            <w:noWrap/>
            <w:vAlign w:val="center"/>
          </w:tcPr>
          <w:p w14:paraId="2DEB4F99" w14:textId="35BB8FA1" w:rsidR="00A93D08" w:rsidRPr="00F375A5"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cycloheptane</w:t>
            </w:r>
          </w:p>
        </w:tc>
        <w:tc>
          <w:tcPr>
            <w:tcW w:w="993" w:type="dxa"/>
            <w:gridSpan w:val="2"/>
            <w:tcBorders>
              <w:top w:val="nil"/>
              <w:left w:val="nil"/>
              <w:bottom w:val="nil"/>
              <w:right w:val="nil"/>
            </w:tcBorders>
            <w:shd w:val="clear" w:color="auto" w:fill="auto"/>
            <w:noWrap/>
            <w:vAlign w:val="center"/>
          </w:tcPr>
          <w:p w14:paraId="375979AC" w14:textId="77777777" w:rsidR="00A93D08" w:rsidRPr="008227FF" w:rsidRDefault="00A93D08" w:rsidP="008B306C">
            <w:pPr>
              <w:spacing w:after="0" w:line="240" w:lineRule="auto"/>
              <w:ind w:right="237"/>
              <w:jc w:val="center"/>
              <w:rPr>
                <w:rFonts w:ascii="Calibri" w:eastAsia="Times New Roman" w:hAnsi="Calibri" w:cs="Calibri"/>
                <w:b/>
                <w:color w:val="000000"/>
                <w:sz w:val="16"/>
                <w:szCs w:val="18"/>
                <w:lang w:eastAsia="en-GB"/>
              </w:rPr>
            </w:pPr>
            <w:r w:rsidRPr="008227FF">
              <w:rPr>
                <w:rFonts w:ascii="Calibri" w:eastAsia="Times New Roman" w:hAnsi="Calibri" w:cs="Calibri"/>
                <w:b/>
                <w:color w:val="000000"/>
                <w:sz w:val="16"/>
                <w:szCs w:val="18"/>
                <w:lang w:eastAsia="en-GB"/>
              </w:rPr>
              <w:t>1b</w:t>
            </w:r>
          </w:p>
        </w:tc>
        <w:tc>
          <w:tcPr>
            <w:tcW w:w="1559" w:type="dxa"/>
            <w:tcBorders>
              <w:top w:val="nil"/>
              <w:left w:val="nil"/>
              <w:bottom w:val="nil"/>
              <w:right w:val="nil"/>
            </w:tcBorders>
            <w:shd w:val="clear" w:color="auto" w:fill="auto"/>
            <w:noWrap/>
            <w:vAlign w:val="center"/>
          </w:tcPr>
          <w:p w14:paraId="7E9D9432"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sz w:val="16"/>
                <w:szCs w:val="18"/>
                <w:lang w:eastAsia="en-GB"/>
              </w:rPr>
              <w:t>PhIO</w:t>
            </w:r>
            <w:proofErr w:type="spellEnd"/>
            <w:r>
              <w:rPr>
                <w:rFonts w:ascii="Calibri" w:eastAsia="Times New Roman" w:hAnsi="Calibri" w:cs="Calibri"/>
                <w:sz w:val="16"/>
                <w:szCs w:val="18"/>
                <w:lang w:eastAsia="en-GB"/>
              </w:rPr>
              <w:t xml:space="preserve"> (</w:t>
            </w:r>
            <w:r w:rsidRPr="00416989">
              <w:rPr>
                <w:rFonts w:ascii="Calibri" w:eastAsia="Times New Roman" w:hAnsi="Calibri" w:cs="Calibri"/>
                <w:b/>
                <w:bCs/>
                <w:sz w:val="16"/>
                <w:szCs w:val="18"/>
                <w:lang w:eastAsia="en-GB"/>
              </w:rPr>
              <w:t>16a</w:t>
            </w:r>
            <w:r>
              <w:rPr>
                <w:rFonts w:ascii="Calibri" w:eastAsia="Times New Roman" w:hAnsi="Calibri" w:cs="Calibri"/>
                <w:sz w:val="16"/>
                <w:szCs w:val="18"/>
                <w:lang w:eastAsia="en-GB"/>
              </w:rPr>
              <w:t>)</w:t>
            </w:r>
          </w:p>
        </w:tc>
        <w:tc>
          <w:tcPr>
            <w:tcW w:w="971" w:type="dxa"/>
            <w:tcBorders>
              <w:top w:val="nil"/>
              <w:left w:val="nil"/>
              <w:bottom w:val="nil"/>
              <w:right w:val="nil"/>
            </w:tcBorders>
            <w:vAlign w:val="center"/>
          </w:tcPr>
          <w:p w14:paraId="7E4B44C3"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AgOTf</w:t>
            </w:r>
            <w:proofErr w:type="spellEnd"/>
          </w:p>
        </w:tc>
        <w:tc>
          <w:tcPr>
            <w:tcW w:w="939" w:type="dxa"/>
            <w:tcBorders>
              <w:top w:val="nil"/>
              <w:left w:val="nil"/>
              <w:bottom w:val="nil"/>
              <w:right w:val="nil"/>
            </w:tcBorders>
            <w:shd w:val="clear" w:color="auto" w:fill="auto"/>
            <w:noWrap/>
            <w:vAlign w:val="center"/>
          </w:tcPr>
          <w:p w14:paraId="2899DDC2"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30</w:t>
            </w:r>
          </w:p>
        </w:tc>
        <w:tc>
          <w:tcPr>
            <w:tcW w:w="1078" w:type="dxa"/>
            <w:tcBorders>
              <w:top w:val="nil"/>
              <w:left w:val="nil"/>
              <w:bottom w:val="nil"/>
              <w:right w:val="nil"/>
            </w:tcBorders>
            <w:shd w:val="clear" w:color="auto" w:fill="auto"/>
            <w:noWrap/>
            <w:vAlign w:val="center"/>
          </w:tcPr>
          <w:p w14:paraId="31DD2B20" w14:textId="77777777" w:rsidR="00A93D08" w:rsidRDefault="00A93D08" w:rsidP="008B306C">
            <w:pPr>
              <w:spacing w:after="0" w:line="240" w:lineRule="auto"/>
              <w:ind w:right="237"/>
              <w:jc w:val="center"/>
              <w:rPr>
                <w:rFonts w:ascii="Calibri" w:eastAsia="Times New Roman" w:hAnsi="Calibri" w:cs="Calibri"/>
                <w:color w:val="000000"/>
                <w:sz w:val="18"/>
                <w:szCs w:val="18"/>
                <w:lang w:eastAsia="en-GB"/>
              </w:rPr>
            </w:pPr>
            <w:proofErr w:type="spellStart"/>
            <w:r>
              <w:rPr>
                <w:rFonts w:ascii="Calibri" w:eastAsia="Times New Roman" w:hAnsi="Calibri" w:cs="Calibri"/>
                <w:color w:val="000000"/>
                <w:sz w:val="18"/>
                <w:szCs w:val="18"/>
                <w:lang w:eastAsia="en-GB"/>
              </w:rPr>
              <w:t>trace</w:t>
            </w:r>
            <w:r>
              <w:rPr>
                <w:rFonts w:ascii="Calibri" w:eastAsia="Times New Roman" w:hAnsi="Calibri" w:cs="Calibri"/>
                <w:i/>
                <w:color w:val="000000"/>
                <w:sz w:val="18"/>
                <w:szCs w:val="18"/>
                <w:vertAlign w:val="superscript"/>
                <w:lang w:eastAsia="en-GB"/>
              </w:rPr>
              <w:t>c</w:t>
            </w:r>
            <w:proofErr w:type="spellEnd"/>
          </w:p>
        </w:tc>
      </w:tr>
      <w:tr w:rsidR="00A93D08" w:rsidRPr="00246E82" w14:paraId="223FD4A6" w14:textId="77777777" w:rsidTr="00930B8F">
        <w:trPr>
          <w:trHeight w:hRule="exact" w:val="270"/>
          <w:jc w:val="center"/>
        </w:trPr>
        <w:tc>
          <w:tcPr>
            <w:tcW w:w="577" w:type="dxa"/>
            <w:tcBorders>
              <w:top w:val="nil"/>
              <w:left w:val="nil"/>
              <w:right w:val="nil"/>
            </w:tcBorders>
            <w:shd w:val="clear" w:color="auto" w:fill="auto"/>
            <w:noWrap/>
            <w:vAlign w:val="center"/>
          </w:tcPr>
          <w:p w14:paraId="13E6F558"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1</w:t>
            </w:r>
            <w:r>
              <w:rPr>
                <w:rFonts w:ascii="Calibri" w:eastAsia="Times New Roman" w:hAnsi="Calibri" w:cs="Calibri"/>
                <w:color w:val="000000"/>
                <w:sz w:val="16"/>
                <w:szCs w:val="18"/>
                <w:lang w:eastAsia="en-GB"/>
              </w:rPr>
              <w:t>0</w:t>
            </w:r>
          </w:p>
        </w:tc>
        <w:tc>
          <w:tcPr>
            <w:tcW w:w="1124" w:type="dxa"/>
            <w:tcBorders>
              <w:top w:val="nil"/>
              <w:left w:val="nil"/>
              <w:right w:val="nil"/>
            </w:tcBorders>
            <w:shd w:val="clear" w:color="auto" w:fill="auto"/>
            <w:noWrap/>
            <w:vAlign w:val="center"/>
          </w:tcPr>
          <w:p w14:paraId="1E5EF29C" w14:textId="3547B350" w:rsidR="00A93D08" w:rsidRPr="00F375A5"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cycloheptane</w:t>
            </w:r>
          </w:p>
        </w:tc>
        <w:tc>
          <w:tcPr>
            <w:tcW w:w="696" w:type="dxa"/>
            <w:tcBorders>
              <w:top w:val="nil"/>
              <w:left w:val="nil"/>
              <w:right w:val="nil"/>
            </w:tcBorders>
            <w:shd w:val="clear" w:color="auto" w:fill="auto"/>
            <w:noWrap/>
            <w:vAlign w:val="center"/>
          </w:tcPr>
          <w:p w14:paraId="3B8E02A5" w14:textId="77777777" w:rsidR="00A93D08" w:rsidRPr="008227FF" w:rsidRDefault="00A93D08" w:rsidP="008B306C">
            <w:pPr>
              <w:spacing w:after="0" w:line="240" w:lineRule="auto"/>
              <w:ind w:right="96"/>
              <w:jc w:val="center"/>
              <w:rPr>
                <w:rFonts w:ascii="Calibri" w:eastAsia="Times New Roman" w:hAnsi="Calibri" w:cs="Calibri"/>
                <w:b/>
                <w:color w:val="000000"/>
                <w:sz w:val="16"/>
                <w:szCs w:val="18"/>
                <w:lang w:eastAsia="en-GB"/>
              </w:rPr>
            </w:pPr>
            <w:r w:rsidRPr="008227FF">
              <w:rPr>
                <w:rFonts w:ascii="Calibri" w:eastAsia="Times New Roman" w:hAnsi="Calibri" w:cs="Calibri"/>
                <w:b/>
                <w:color w:val="000000"/>
                <w:sz w:val="16"/>
                <w:szCs w:val="18"/>
                <w:lang w:eastAsia="en-GB"/>
              </w:rPr>
              <w:t>1a</w:t>
            </w:r>
          </w:p>
        </w:tc>
        <w:tc>
          <w:tcPr>
            <w:tcW w:w="1856" w:type="dxa"/>
            <w:gridSpan w:val="2"/>
            <w:tcBorders>
              <w:top w:val="nil"/>
              <w:left w:val="nil"/>
              <w:right w:val="nil"/>
            </w:tcBorders>
            <w:shd w:val="clear" w:color="auto" w:fill="auto"/>
            <w:noWrap/>
            <w:vAlign w:val="center"/>
          </w:tcPr>
          <w:p w14:paraId="520841B7" w14:textId="77777777" w:rsidR="00A93D08" w:rsidRPr="00416989" w:rsidRDefault="00A93D08" w:rsidP="008B306C">
            <w:pPr>
              <w:spacing w:after="0" w:line="240" w:lineRule="auto"/>
              <w:jc w:val="center"/>
              <w:rPr>
                <w:rFonts w:ascii="Calibri" w:eastAsia="Times New Roman" w:hAnsi="Calibri" w:cs="Calibri"/>
                <w:color w:val="000000"/>
                <w:sz w:val="16"/>
                <w:szCs w:val="16"/>
                <w:lang w:eastAsia="en-GB"/>
              </w:rPr>
            </w:pPr>
            <w:r w:rsidRPr="00416989">
              <w:rPr>
                <w:rFonts w:ascii="Calibri" w:eastAsia="Times New Roman" w:hAnsi="Calibri" w:cs="Calibri"/>
                <w:color w:val="000000"/>
                <w:sz w:val="16"/>
                <w:szCs w:val="16"/>
                <w:lang w:eastAsia="en-GB"/>
              </w:rPr>
              <w:t>(</w:t>
            </w:r>
            <w:proofErr w:type="spellStart"/>
            <w:r w:rsidRPr="00416989">
              <w:rPr>
                <w:rFonts w:ascii="Calibri" w:eastAsia="Times New Roman" w:hAnsi="Calibri" w:cs="Calibri"/>
                <w:color w:val="000000"/>
                <w:sz w:val="16"/>
                <w:szCs w:val="16"/>
                <w:lang w:eastAsia="en-GB"/>
              </w:rPr>
              <w:t>PhIO</w:t>
            </w:r>
            <w:proofErr w:type="spellEnd"/>
            <w:r w:rsidRPr="00416989">
              <w:rPr>
                <w:rFonts w:ascii="Calibri" w:eastAsia="Times New Roman" w:hAnsi="Calibri" w:cs="Calibri"/>
                <w:color w:val="000000"/>
                <w:sz w:val="16"/>
                <w:szCs w:val="16"/>
                <w:lang w:eastAsia="en-GB"/>
              </w:rPr>
              <w:t>)</w:t>
            </w:r>
            <w:r w:rsidRPr="00416989">
              <w:rPr>
                <w:rFonts w:ascii="Calibri" w:eastAsia="Times New Roman" w:hAnsi="Calibri" w:cs="Calibri"/>
                <w:color w:val="000000"/>
                <w:sz w:val="16"/>
                <w:szCs w:val="16"/>
                <w:vertAlign w:val="subscript"/>
                <w:lang w:eastAsia="en-GB"/>
              </w:rPr>
              <w:t>3</w:t>
            </w:r>
            <w:r w:rsidRPr="00416989">
              <w:rPr>
                <w:rFonts w:ascii="Calibri" w:eastAsia="Times New Roman" w:hAnsi="Calibri" w:cs="Calibri"/>
                <w:color w:val="000000"/>
                <w:sz w:val="16"/>
                <w:szCs w:val="16"/>
                <w:lang w:eastAsia="en-GB"/>
              </w:rPr>
              <w:t>·SO</w:t>
            </w:r>
            <w:r w:rsidRPr="00416989">
              <w:rPr>
                <w:rFonts w:ascii="Calibri" w:eastAsia="Times New Roman" w:hAnsi="Calibri" w:cs="Calibri"/>
                <w:color w:val="000000"/>
                <w:sz w:val="16"/>
                <w:szCs w:val="16"/>
                <w:vertAlign w:val="subscript"/>
                <w:lang w:eastAsia="en-GB"/>
              </w:rPr>
              <w:t xml:space="preserve">3 </w:t>
            </w:r>
            <w:r w:rsidRPr="00416989">
              <w:rPr>
                <w:sz w:val="16"/>
                <w:szCs w:val="16"/>
              </w:rPr>
              <w:t>(</w:t>
            </w:r>
            <w:r w:rsidRPr="00416989">
              <w:rPr>
                <w:b/>
                <w:bCs/>
                <w:sz w:val="16"/>
                <w:szCs w:val="16"/>
              </w:rPr>
              <w:t>16d</w:t>
            </w:r>
            <w:r w:rsidRPr="00416989">
              <w:rPr>
                <w:sz w:val="16"/>
                <w:szCs w:val="16"/>
              </w:rPr>
              <w:t>)</w:t>
            </w:r>
          </w:p>
        </w:tc>
        <w:tc>
          <w:tcPr>
            <w:tcW w:w="971" w:type="dxa"/>
            <w:tcBorders>
              <w:top w:val="nil"/>
              <w:left w:val="nil"/>
              <w:right w:val="nil"/>
            </w:tcBorders>
            <w:vAlign w:val="center"/>
          </w:tcPr>
          <w:p w14:paraId="21CDF827" w14:textId="77777777" w:rsidR="00A93D08" w:rsidRPr="00416989" w:rsidRDefault="00A93D08" w:rsidP="008B306C">
            <w:pPr>
              <w:spacing w:after="0" w:line="240" w:lineRule="auto"/>
              <w:jc w:val="center"/>
              <w:rPr>
                <w:rFonts w:ascii="Calibri" w:eastAsia="Times New Roman" w:hAnsi="Calibri" w:cs="Calibri"/>
                <w:color w:val="000000"/>
                <w:sz w:val="16"/>
                <w:szCs w:val="16"/>
                <w:lang w:eastAsia="en-GB"/>
              </w:rPr>
            </w:pPr>
            <w:proofErr w:type="spellStart"/>
            <w:r w:rsidRPr="00416989">
              <w:rPr>
                <w:rFonts w:ascii="Calibri" w:eastAsia="Times New Roman" w:hAnsi="Calibri" w:cs="Calibri"/>
                <w:color w:val="000000"/>
                <w:sz w:val="16"/>
                <w:szCs w:val="16"/>
                <w:lang w:eastAsia="en-GB"/>
              </w:rPr>
              <w:t>AgOTf</w:t>
            </w:r>
            <w:proofErr w:type="spellEnd"/>
          </w:p>
        </w:tc>
        <w:tc>
          <w:tcPr>
            <w:tcW w:w="939" w:type="dxa"/>
            <w:tcBorders>
              <w:top w:val="nil"/>
              <w:left w:val="nil"/>
              <w:right w:val="nil"/>
            </w:tcBorders>
            <w:shd w:val="clear" w:color="auto" w:fill="auto"/>
            <w:noWrap/>
            <w:vAlign w:val="center"/>
          </w:tcPr>
          <w:p w14:paraId="75B5AE81"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30</w:t>
            </w:r>
          </w:p>
        </w:tc>
        <w:tc>
          <w:tcPr>
            <w:tcW w:w="1078" w:type="dxa"/>
            <w:tcBorders>
              <w:top w:val="nil"/>
              <w:left w:val="nil"/>
              <w:bottom w:val="nil"/>
              <w:right w:val="nil"/>
            </w:tcBorders>
            <w:shd w:val="clear" w:color="auto" w:fill="auto"/>
            <w:noWrap/>
            <w:vAlign w:val="center"/>
          </w:tcPr>
          <w:p w14:paraId="55F48FDC" w14:textId="77777777" w:rsidR="00A93D08" w:rsidRDefault="00A93D08" w:rsidP="008B306C">
            <w:pPr>
              <w:spacing w:after="0" w:line="240" w:lineRule="auto"/>
              <w:ind w:right="237"/>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8</w:t>
            </w:r>
          </w:p>
        </w:tc>
      </w:tr>
      <w:tr w:rsidR="00A93D08" w:rsidRPr="00246E82" w14:paraId="54702BFB" w14:textId="77777777" w:rsidTr="00930B8F">
        <w:trPr>
          <w:trHeight w:hRule="exact" w:val="270"/>
          <w:jc w:val="center"/>
        </w:trPr>
        <w:tc>
          <w:tcPr>
            <w:tcW w:w="577" w:type="dxa"/>
            <w:tcBorders>
              <w:top w:val="nil"/>
              <w:left w:val="nil"/>
              <w:bottom w:val="single" w:sz="4" w:space="0" w:color="auto"/>
              <w:right w:val="nil"/>
            </w:tcBorders>
            <w:shd w:val="clear" w:color="auto" w:fill="auto"/>
            <w:noWrap/>
            <w:vAlign w:val="center"/>
          </w:tcPr>
          <w:p w14:paraId="05CDA319"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1</w:t>
            </w:r>
            <w:r>
              <w:rPr>
                <w:rFonts w:ascii="Calibri" w:eastAsia="Times New Roman" w:hAnsi="Calibri" w:cs="Calibri"/>
                <w:color w:val="000000"/>
                <w:sz w:val="16"/>
                <w:szCs w:val="18"/>
                <w:lang w:eastAsia="en-GB"/>
              </w:rPr>
              <w:t>1</w:t>
            </w:r>
          </w:p>
        </w:tc>
        <w:tc>
          <w:tcPr>
            <w:tcW w:w="1124" w:type="dxa"/>
            <w:tcBorders>
              <w:top w:val="nil"/>
              <w:left w:val="nil"/>
              <w:bottom w:val="single" w:sz="4" w:space="0" w:color="auto"/>
              <w:right w:val="nil"/>
            </w:tcBorders>
            <w:shd w:val="clear" w:color="auto" w:fill="auto"/>
            <w:noWrap/>
            <w:vAlign w:val="center"/>
          </w:tcPr>
          <w:p w14:paraId="3CF6B1CD" w14:textId="49819E46" w:rsidR="00A93D08" w:rsidRPr="00F375A5" w:rsidRDefault="00A93D08" w:rsidP="008B306C">
            <w:pPr>
              <w:spacing w:after="0" w:line="240" w:lineRule="auto"/>
              <w:ind w:right="48"/>
              <w:jc w:val="center"/>
              <w:rPr>
                <w:rFonts w:ascii="Calibri" w:eastAsia="Times New Roman" w:hAnsi="Calibri" w:cs="Calibri"/>
                <w:color w:val="000000"/>
                <w:sz w:val="16"/>
                <w:szCs w:val="18"/>
                <w:lang w:eastAsia="en-GB"/>
              </w:rPr>
            </w:pPr>
            <w:r>
              <w:rPr>
                <w:rFonts w:ascii="Calibri" w:eastAsia="Times New Roman" w:hAnsi="Calibri" w:cs="Calibri"/>
                <w:color w:val="000000"/>
                <w:sz w:val="16"/>
                <w:szCs w:val="18"/>
                <w:lang w:eastAsia="en-GB"/>
              </w:rPr>
              <w:t>cycloheptane</w:t>
            </w:r>
          </w:p>
        </w:tc>
        <w:tc>
          <w:tcPr>
            <w:tcW w:w="993" w:type="dxa"/>
            <w:gridSpan w:val="2"/>
            <w:tcBorders>
              <w:top w:val="nil"/>
              <w:left w:val="nil"/>
              <w:bottom w:val="single" w:sz="4" w:space="0" w:color="auto"/>
              <w:right w:val="nil"/>
            </w:tcBorders>
            <w:shd w:val="clear" w:color="auto" w:fill="auto"/>
            <w:noWrap/>
            <w:vAlign w:val="center"/>
          </w:tcPr>
          <w:p w14:paraId="5F0FD665" w14:textId="77777777" w:rsidR="00A93D08" w:rsidRPr="008227FF" w:rsidRDefault="00A93D08" w:rsidP="008B306C">
            <w:pPr>
              <w:spacing w:after="0" w:line="240" w:lineRule="auto"/>
              <w:ind w:right="237"/>
              <w:jc w:val="center"/>
              <w:rPr>
                <w:rFonts w:ascii="Calibri" w:eastAsia="Times New Roman" w:hAnsi="Calibri" w:cs="Calibri"/>
                <w:b/>
                <w:color w:val="000000"/>
                <w:sz w:val="16"/>
                <w:szCs w:val="18"/>
                <w:lang w:eastAsia="en-GB"/>
              </w:rPr>
            </w:pPr>
            <w:r w:rsidRPr="008227FF">
              <w:rPr>
                <w:rFonts w:ascii="Calibri" w:eastAsia="Times New Roman" w:hAnsi="Calibri" w:cs="Calibri"/>
                <w:b/>
                <w:color w:val="000000"/>
                <w:sz w:val="16"/>
                <w:szCs w:val="18"/>
                <w:lang w:eastAsia="en-GB"/>
              </w:rPr>
              <w:t>1a</w:t>
            </w:r>
          </w:p>
        </w:tc>
        <w:tc>
          <w:tcPr>
            <w:tcW w:w="1559" w:type="dxa"/>
            <w:tcBorders>
              <w:top w:val="nil"/>
              <w:left w:val="nil"/>
              <w:bottom w:val="single" w:sz="4" w:space="0" w:color="auto"/>
              <w:right w:val="nil"/>
            </w:tcBorders>
            <w:shd w:val="clear" w:color="auto" w:fill="auto"/>
            <w:noWrap/>
            <w:vAlign w:val="center"/>
          </w:tcPr>
          <w:p w14:paraId="7DA0C11F" w14:textId="627D7225"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IBX ester</w:t>
            </w:r>
            <w:r>
              <w:rPr>
                <w:rFonts w:ascii="Calibri" w:eastAsia="Times New Roman" w:hAnsi="Calibri" w:cs="Calibri"/>
                <w:color w:val="000000"/>
                <w:sz w:val="16"/>
                <w:szCs w:val="18"/>
                <w:lang w:eastAsia="en-GB"/>
              </w:rPr>
              <w:t xml:space="preserve"> </w:t>
            </w:r>
            <w:r w:rsidRPr="00416989">
              <w:rPr>
                <w:rFonts w:ascii="Calibri" w:eastAsia="Times New Roman" w:hAnsi="Calibri" w:cs="Calibri"/>
                <w:b/>
                <w:bCs/>
                <w:color w:val="000000"/>
                <w:sz w:val="16"/>
                <w:szCs w:val="18"/>
                <w:lang w:eastAsia="en-GB"/>
              </w:rPr>
              <w:t>16c</w:t>
            </w:r>
            <w:r w:rsidR="002D0A23" w:rsidRPr="002D0A23">
              <w:rPr>
                <w:rFonts w:ascii="Calibri" w:eastAsia="Times New Roman" w:hAnsi="Calibri" w:cs="Calibri"/>
                <w:i/>
                <w:iCs/>
                <w:color w:val="000000"/>
                <w:sz w:val="16"/>
                <w:szCs w:val="18"/>
                <w:vertAlign w:val="superscript"/>
                <w:lang w:eastAsia="en-GB"/>
              </w:rPr>
              <w:t>f</w:t>
            </w:r>
          </w:p>
        </w:tc>
        <w:tc>
          <w:tcPr>
            <w:tcW w:w="971" w:type="dxa"/>
            <w:tcBorders>
              <w:top w:val="nil"/>
              <w:left w:val="nil"/>
              <w:bottom w:val="single" w:sz="4" w:space="0" w:color="auto"/>
              <w:right w:val="nil"/>
            </w:tcBorders>
            <w:vAlign w:val="center"/>
          </w:tcPr>
          <w:p w14:paraId="1B1DB9B3"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AgOTf</w:t>
            </w:r>
            <w:proofErr w:type="spellEnd"/>
          </w:p>
        </w:tc>
        <w:tc>
          <w:tcPr>
            <w:tcW w:w="939" w:type="dxa"/>
            <w:tcBorders>
              <w:top w:val="nil"/>
              <w:left w:val="nil"/>
              <w:bottom w:val="single" w:sz="4" w:space="0" w:color="auto"/>
              <w:right w:val="nil"/>
            </w:tcBorders>
            <w:shd w:val="clear" w:color="auto" w:fill="auto"/>
            <w:noWrap/>
            <w:vAlign w:val="center"/>
          </w:tcPr>
          <w:p w14:paraId="5E69D02F"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30</w:t>
            </w:r>
          </w:p>
        </w:tc>
        <w:tc>
          <w:tcPr>
            <w:tcW w:w="1078" w:type="dxa"/>
            <w:tcBorders>
              <w:top w:val="nil"/>
              <w:left w:val="nil"/>
              <w:bottom w:val="single" w:sz="4" w:space="0" w:color="auto"/>
              <w:right w:val="nil"/>
            </w:tcBorders>
            <w:shd w:val="clear" w:color="auto" w:fill="auto"/>
            <w:noWrap/>
            <w:vAlign w:val="center"/>
          </w:tcPr>
          <w:p w14:paraId="1C6471D8" w14:textId="77777777" w:rsidR="00A93D08" w:rsidRDefault="00A93D08" w:rsidP="008B306C">
            <w:pPr>
              <w:spacing w:after="0" w:line="240" w:lineRule="auto"/>
              <w:ind w:right="237"/>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0</w:t>
            </w:r>
          </w:p>
        </w:tc>
      </w:tr>
      <w:tr w:rsidR="00A93D08" w:rsidRPr="00246E82" w14:paraId="0A56DE5A" w14:textId="77777777" w:rsidTr="00930B8F">
        <w:trPr>
          <w:trHeight w:hRule="exact" w:val="270"/>
          <w:jc w:val="center"/>
        </w:trPr>
        <w:tc>
          <w:tcPr>
            <w:tcW w:w="577" w:type="dxa"/>
            <w:tcBorders>
              <w:top w:val="single" w:sz="4" w:space="0" w:color="auto"/>
              <w:left w:val="nil"/>
              <w:right w:val="nil"/>
            </w:tcBorders>
            <w:shd w:val="pct10" w:color="auto" w:fill="auto"/>
            <w:noWrap/>
            <w:vAlign w:val="center"/>
          </w:tcPr>
          <w:p w14:paraId="6E542515"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sz w:val="16"/>
                <w:szCs w:val="18"/>
                <w:lang w:eastAsia="en-GB"/>
              </w:rPr>
              <w:t>1</w:t>
            </w:r>
            <w:r>
              <w:rPr>
                <w:rFonts w:ascii="Calibri" w:eastAsia="Times New Roman" w:hAnsi="Calibri" w:cs="Calibri"/>
                <w:sz w:val="16"/>
                <w:szCs w:val="18"/>
                <w:lang w:eastAsia="en-GB"/>
              </w:rPr>
              <w:t>2</w:t>
            </w:r>
          </w:p>
        </w:tc>
        <w:tc>
          <w:tcPr>
            <w:tcW w:w="1124" w:type="dxa"/>
            <w:tcBorders>
              <w:top w:val="single" w:sz="4" w:space="0" w:color="auto"/>
              <w:left w:val="nil"/>
              <w:right w:val="nil"/>
            </w:tcBorders>
            <w:shd w:val="pct10" w:color="auto" w:fill="auto"/>
            <w:noWrap/>
            <w:vAlign w:val="center"/>
          </w:tcPr>
          <w:p w14:paraId="2D1F7BDC" w14:textId="77777777" w:rsidR="00A93D08" w:rsidRPr="008227FF" w:rsidRDefault="00A93D08" w:rsidP="008B306C">
            <w:pPr>
              <w:spacing w:after="0" w:line="240" w:lineRule="auto"/>
              <w:ind w:right="48"/>
              <w:jc w:val="center"/>
              <w:rPr>
                <w:rFonts w:ascii="Calibri" w:eastAsia="Times New Roman" w:hAnsi="Calibri" w:cs="Calibri"/>
                <w:color w:val="000000"/>
                <w:sz w:val="16"/>
                <w:szCs w:val="18"/>
                <w:lang w:eastAsia="en-GB"/>
              </w:rPr>
            </w:pPr>
            <w:proofErr w:type="spellStart"/>
            <w:r>
              <w:rPr>
                <w:rFonts w:ascii="Calibri" w:eastAsia="Times New Roman" w:hAnsi="Calibri" w:cs="Calibri"/>
                <w:sz w:val="16"/>
                <w:szCs w:val="18"/>
                <w:lang w:eastAsia="en-GB"/>
              </w:rPr>
              <w:t>indane</w:t>
            </w:r>
            <w:proofErr w:type="spellEnd"/>
          </w:p>
        </w:tc>
        <w:tc>
          <w:tcPr>
            <w:tcW w:w="993" w:type="dxa"/>
            <w:gridSpan w:val="2"/>
            <w:tcBorders>
              <w:top w:val="single" w:sz="4" w:space="0" w:color="auto"/>
              <w:left w:val="nil"/>
              <w:right w:val="nil"/>
            </w:tcBorders>
            <w:shd w:val="pct10" w:color="auto" w:fill="auto"/>
            <w:noWrap/>
            <w:vAlign w:val="center"/>
          </w:tcPr>
          <w:p w14:paraId="2BDF69AF" w14:textId="77777777" w:rsidR="00A93D08" w:rsidRPr="008227FF" w:rsidRDefault="00A93D08" w:rsidP="008B306C">
            <w:pPr>
              <w:spacing w:after="0" w:line="240" w:lineRule="auto"/>
              <w:ind w:right="237"/>
              <w:jc w:val="center"/>
              <w:rPr>
                <w:rFonts w:ascii="Calibri" w:eastAsia="Times New Roman" w:hAnsi="Calibri" w:cs="Calibri"/>
                <w:b/>
                <w:color w:val="000000"/>
                <w:sz w:val="16"/>
                <w:szCs w:val="18"/>
                <w:lang w:eastAsia="en-GB"/>
              </w:rPr>
            </w:pPr>
            <w:r w:rsidRPr="008227FF">
              <w:rPr>
                <w:rFonts w:ascii="Calibri" w:eastAsia="Times New Roman" w:hAnsi="Calibri" w:cs="Calibri"/>
                <w:b/>
                <w:sz w:val="16"/>
                <w:szCs w:val="18"/>
                <w:lang w:eastAsia="en-GB"/>
              </w:rPr>
              <w:t>1a</w:t>
            </w:r>
          </w:p>
        </w:tc>
        <w:tc>
          <w:tcPr>
            <w:tcW w:w="1559" w:type="dxa"/>
            <w:tcBorders>
              <w:top w:val="single" w:sz="4" w:space="0" w:color="auto"/>
              <w:left w:val="nil"/>
              <w:right w:val="nil"/>
            </w:tcBorders>
            <w:shd w:val="pct10" w:color="auto" w:fill="auto"/>
            <w:noWrap/>
            <w:vAlign w:val="center"/>
          </w:tcPr>
          <w:p w14:paraId="34E63258"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sz w:val="16"/>
                <w:szCs w:val="18"/>
                <w:lang w:eastAsia="en-GB"/>
              </w:rPr>
              <w:t>PhIO</w:t>
            </w:r>
            <w:proofErr w:type="spellEnd"/>
            <w:r>
              <w:rPr>
                <w:rFonts w:ascii="Calibri" w:eastAsia="Times New Roman" w:hAnsi="Calibri" w:cs="Calibri"/>
                <w:sz w:val="16"/>
                <w:szCs w:val="18"/>
                <w:lang w:eastAsia="en-GB"/>
              </w:rPr>
              <w:t xml:space="preserve"> (</w:t>
            </w:r>
            <w:r w:rsidRPr="00416989">
              <w:rPr>
                <w:rFonts w:ascii="Calibri" w:eastAsia="Times New Roman" w:hAnsi="Calibri" w:cs="Calibri"/>
                <w:b/>
                <w:bCs/>
                <w:sz w:val="16"/>
                <w:szCs w:val="18"/>
                <w:lang w:eastAsia="en-GB"/>
              </w:rPr>
              <w:t>16a</w:t>
            </w:r>
            <w:r>
              <w:rPr>
                <w:rFonts w:ascii="Calibri" w:eastAsia="Times New Roman" w:hAnsi="Calibri" w:cs="Calibri"/>
                <w:sz w:val="16"/>
                <w:szCs w:val="18"/>
                <w:lang w:eastAsia="en-GB"/>
              </w:rPr>
              <w:t>)</w:t>
            </w:r>
          </w:p>
        </w:tc>
        <w:tc>
          <w:tcPr>
            <w:tcW w:w="971" w:type="dxa"/>
            <w:tcBorders>
              <w:top w:val="single" w:sz="4" w:space="0" w:color="auto"/>
              <w:left w:val="nil"/>
              <w:right w:val="nil"/>
            </w:tcBorders>
            <w:shd w:val="pct10" w:color="auto" w:fill="auto"/>
            <w:vAlign w:val="center"/>
          </w:tcPr>
          <w:p w14:paraId="7E2636A7"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AgOTf</w:t>
            </w:r>
            <w:proofErr w:type="spellEnd"/>
          </w:p>
        </w:tc>
        <w:tc>
          <w:tcPr>
            <w:tcW w:w="939" w:type="dxa"/>
            <w:tcBorders>
              <w:top w:val="single" w:sz="4" w:space="0" w:color="auto"/>
              <w:left w:val="nil"/>
              <w:right w:val="nil"/>
            </w:tcBorders>
            <w:shd w:val="pct10" w:color="auto" w:fill="auto"/>
            <w:noWrap/>
            <w:vAlign w:val="center"/>
          </w:tcPr>
          <w:p w14:paraId="1B0B98F6"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sz w:val="16"/>
                <w:szCs w:val="18"/>
                <w:lang w:eastAsia="en-GB"/>
              </w:rPr>
              <w:t>60</w:t>
            </w:r>
          </w:p>
        </w:tc>
        <w:tc>
          <w:tcPr>
            <w:tcW w:w="1078" w:type="dxa"/>
            <w:tcBorders>
              <w:top w:val="single" w:sz="4" w:space="0" w:color="auto"/>
              <w:left w:val="nil"/>
              <w:right w:val="nil"/>
            </w:tcBorders>
            <w:shd w:val="pct10" w:color="auto" w:fill="auto"/>
            <w:noWrap/>
            <w:vAlign w:val="center"/>
          </w:tcPr>
          <w:p w14:paraId="26F7C540" w14:textId="77777777" w:rsidR="00A93D08" w:rsidRDefault="00A93D08" w:rsidP="008B306C">
            <w:pPr>
              <w:spacing w:after="0" w:line="240" w:lineRule="auto"/>
              <w:ind w:right="237"/>
              <w:jc w:val="center"/>
              <w:rPr>
                <w:rFonts w:ascii="Calibri" w:eastAsia="Times New Roman" w:hAnsi="Calibri" w:cs="Calibri"/>
                <w:color w:val="000000"/>
                <w:sz w:val="18"/>
                <w:szCs w:val="18"/>
                <w:lang w:eastAsia="en-GB"/>
              </w:rPr>
            </w:pPr>
            <w:r>
              <w:rPr>
                <w:rFonts w:ascii="Calibri" w:eastAsia="Times New Roman" w:hAnsi="Calibri" w:cs="Calibri"/>
                <w:sz w:val="18"/>
                <w:szCs w:val="18"/>
                <w:lang w:eastAsia="en-GB"/>
              </w:rPr>
              <w:t>69</w:t>
            </w:r>
          </w:p>
        </w:tc>
      </w:tr>
      <w:tr w:rsidR="00A93D08" w:rsidRPr="00246E82" w14:paraId="766D4F66" w14:textId="77777777" w:rsidTr="00930B8F">
        <w:trPr>
          <w:trHeight w:hRule="exact" w:val="270"/>
          <w:jc w:val="center"/>
        </w:trPr>
        <w:tc>
          <w:tcPr>
            <w:tcW w:w="577" w:type="dxa"/>
            <w:tcBorders>
              <w:top w:val="nil"/>
              <w:left w:val="nil"/>
              <w:bottom w:val="single" w:sz="12" w:space="0" w:color="auto"/>
              <w:right w:val="nil"/>
            </w:tcBorders>
            <w:shd w:val="clear" w:color="auto" w:fill="auto"/>
            <w:noWrap/>
            <w:vAlign w:val="center"/>
          </w:tcPr>
          <w:p w14:paraId="419CDBB7"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1</w:t>
            </w:r>
            <w:r>
              <w:rPr>
                <w:rFonts w:ascii="Calibri" w:eastAsia="Times New Roman" w:hAnsi="Calibri" w:cs="Calibri"/>
                <w:color w:val="000000"/>
                <w:sz w:val="16"/>
                <w:szCs w:val="18"/>
                <w:lang w:eastAsia="en-GB"/>
              </w:rPr>
              <w:t>3</w:t>
            </w:r>
          </w:p>
        </w:tc>
        <w:tc>
          <w:tcPr>
            <w:tcW w:w="1124" w:type="dxa"/>
            <w:tcBorders>
              <w:top w:val="nil"/>
              <w:left w:val="nil"/>
              <w:bottom w:val="single" w:sz="12" w:space="0" w:color="auto"/>
              <w:right w:val="nil"/>
            </w:tcBorders>
            <w:shd w:val="clear" w:color="auto" w:fill="auto"/>
            <w:noWrap/>
            <w:vAlign w:val="center"/>
          </w:tcPr>
          <w:p w14:paraId="39A5DE16" w14:textId="77777777" w:rsidR="00A93D08" w:rsidRPr="008227FF" w:rsidRDefault="00A93D08" w:rsidP="008B306C">
            <w:pPr>
              <w:spacing w:after="0" w:line="240" w:lineRule="auto"/>
              <w:ind w:right="48"/>
              <w:jc w:val="center"/>
              <w:rPr>
                <w:rFonts w:ascii="Calibri" w:eastAsia="Times New Roman" w:hAnsi="Calibri" w:cs="Calibri"/>
                <w:color w:val="000000"/>
                <w:sz w:val="16"/>
                <w:szCs w:val="18"/>
                <w:lang w:eastAsia="en-GB"/>
              </w:rPr>
            </w:pPr>
            <w:proofErr w:type="spellStart"/>
            <w:r>
              <w:rPr>
                <w:rFonts w:ascii="Calibri" w:eastAsia="Times New Roman" w:hAnsi="Calibri" w:cs="Calibri"/>
                <w:color w:val="000000"/>
                <w:sz w:val="16"/>
                <w:szCs w:val="18"/>
                <w:lang w:eastAsia="en-GB"/>
              </w:rPr>
              <w:t>indane</w:t>
            </w:r>
            <w:proofErr w:type="spellEnd"/>
          </w:p>
        </w:tc>
        <w:tc>
          <w:tcPr>
            <w:tcW w:w="993" w:type="dxa"/>
            <w:gridSpan w:val="2"/>
            <w:tcBorders>
              <w:top w:val="nil"/>
              <w:left w:val="nil"/>
              <w:bottom w:val="single" w:sz="12" w:space="0" w:color="auto"/>
              <w:right w:val="nil"/>
            </w:tcBorders>
            <w:shd w:val="clear" w:color="auto" w:fill="auto"/>
            <w:noWrap/>
            <w:vAlign w:val="center"/>
          </w:tcPr>
          <w:p w14:paraId="2B45CD55" w14:textId="77777777" w:rsidR="00A93D08" w:rsidRPr="008227FF" w:rsidRDefault="00A93D08" w:rsidP="008B306C">
            <w:pPr>
              <w:spacing w:after="0" w:line="240" w:lineRule="auto"/>
              <w:ind w:right="237"/>
              <w:jc w:val="center"/>
              <w:rPr>
                <w:rFonts w:ascii="Calibri" w:eastAsia="Times New Roman" w:hAnsi="Calibri" w:cs="Calibri"/>
                <w:b/>
                <w:color w:val="000000"/>
                <w:sz w:val="16"/>
                <w:szCs w:val="18"/>
                <w:lang w:eastAsia="en-GB"/>
              </w:rPr>
            </w:pPr>
            <w:r w:rsidRPr="008227FF">
              <w:rPr>
                <w:rFonts w:ascii="Calibri" w:eastAsia="Times New Roman" w:hAnsi="Calibri" w:cs="Calibri"/>
                <w:b/>
                <w:color w:val="000000"/>
                <w:sz w:val="16"/>
                <w:szCs w:val="18"/>
                <w:lang w:eastAsia="en-GB"/>
              </w:rPr>
              <w:t>1c</w:t>
            </w:r>
            <w:r w:rsidRPr="008227FF">
              <w:rPr>
                <w:rFonts w:ascii="Calibri" w:eastAsia="Times New Roman" w:hAnsi="Calibri" w:cs="Calibri"/>
                <w:i/>
                <w:color w:val="000000"/>
                <w:sz w:val="16"/>
                <w:szCs w:val="18"/>
                <w:vertAlign w:val="superscript"/>
                <w:lang w:eastAsia="en-GB"/>
              </w:rPr>
              <w:t>g</w:t>
            </w:r>
          </w:p>
        </w:tc>
        <w:tc>
          <w:tcPr>
            <w:tcW w:w="1559" w:type="dxa"/>
            <w:tcBorders>
              <w:top w:val="nil"/>
              <w:left w:val="nil"/>
              <w:bottom w:val="single" w:sz="12" w:space="0" w:color="auto"/>
              <w:right w:val="nil"/>
            </w:tcBorders>
            <w:shd w:val="clear" w:color="auto" w:fill="auto"/>
            <w:noWrap/>
            <w:vAlign w:val="center"/>
          </w:tcPr>
          <w:p w14:paraId="2FE2F977"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PhIO</w:t>
            </w:r>
            <w:proofErr w:type="spellEnd"/>
            <w:r>
              <w:rPr>
                <w:rFonts w:ascii="Calibri" w:eastAsia="Times New Roman" w:hAnsi="Calibri" w:cs="Calibri"/>
                <w:color w:val="000000"/>
                <w:sz w:val="16"/>
                <w:szCs w:val="18"/>
                <w:lang w:eastAsia="en-GB"/>
              </w:rPr>
              <w:t xml:space="preserve"> (</w:t>
            </w:r>
            <w:r w:rsidRPr="00416989">
              <w:rPr>
                <w:rFonts w:ascii="Calibri" w:eastAsia="Times New Roman" w:hAnsi="Calibri" w:cs="Calibri"/>
                <w:b/>
                <w:bCs/>
                <w:color w:val="000000"/>
                <w:sz w:val="16"/>
                <w:szCs w:val="18"/>
                <w:lang w:eastAsia="en-GB"/>
              </w:rPr>
              <w:t>16a</w:t>
            </w:r>
            <w:r>
              <w:rPr>
                <w:rFonts w:ascii="Calibri" w:eastAsia="Times New Roman" w:hAnsi="Calibri" w:cs="Calibri"/>
                <w:color w:val="000000"/>
                <w:sz w:val="16"/>
                <w:szCs w:val="18"/>
                <w:lang w:eastAsia="en-GB"/>
              </w:rPr>
              <w:t>)</w:t>
            </w:r>
          </w:p>
        </w:tc>
        <w:tc>
          <w:tcPr>
            <w:tcW w:w="971" w:type="dxa"/>
            <w:tcBorders>
              <w:top w:val="nil"/>
              <w:left w:val="nil"/>
              <w:bottom w:val="single" w:sz="12" w:space="0" w:color="auto"/>
              <w:right w:val="nil"/>
            </w:tcBorders>
            <w:vAlign w:val="center"/>
          </w:tcPr>
          <w:p w14:paraId="31891DED" w14:textId="77777777" w:rsidR="00A93D08" w:rsidRPr="008227FF" w:rsidRDefault="00A93D08" w:rsidP="008B306C">
            <w:pPr>
              <w:spacing w:after="0" w:line="240" w:lineRule="auto"/>
              <w:jc w:val="center"/>
              <w:rPr>
                <w:rFonts w:ascii="Calibri" w:eastAsia="Times New Roman" w:hAnsi="Calibri" w:cs="Calibri"/>
                <w:color w:val="000000"/>
                <w:sz w:val="16"/>
                <w:szCs w:val="18"/>
                <w:lang w:eastAsia="en-GB"/>
              </w:rPr>
            </w:pPr>
            <w:proofErr w:type="spellStart"/>
            <w:r w:rsidRPr="008227FF">
              <w:rPr>
                <w:rFonts w:ascii="Calibri" w:eastAsia="Times New Roman" w:hAnsi="Calibri" w:cs="Calibri"/>
                <w:color w:val="000000"/>
                <w:sz w:val="16"/>
                <w:szCs w:val="18"/>
                <w:lang w:eastAsia="en-GB"/>
              </w:rPr>
              <w:t>AgOTf</w:t>
            </w:r>
            <w:proofErr w:type="spellEnd"/>
          </w:p>
        </w:tc>
        <w:tc>
          <w:tcPr>
            <w:tcW w:w="939" w:type="dxa"/>
            <w:tcBorders>
              <w:top w:val="nil"/>
              <w:left w:val="nil"/>
              <w:bottom w:val="single" w:sz="12" w:space="0" w:color="auto"/>
              <w:right w:val="nil"/>
            </w:tcBorders>
            <w:shd w:val="clear" w:color="auto" w:fill="auto"/>
            <w:noWrap/>
            <w:vAlign w:val="center"/>
          </w:tcPr>
          <w:p w14:paraId="744DE2D0" w14:textId="77777777" w:rsidR="00A93D08" w:rsidRPr="008227FF" w:rsidRDefault="00A93D08" w:rsidP="008B306C">
            <w:pPr>
              <w:spacing w:after="0" w:line="240" w:lineRule="auto"/>
              <w:ind w:right="237"/>
              <w:jc w:val="center"/>
              <w:rPr>
                <w:rFonts w:ascii="Calibri" w:eastAsia="Times New Roman" w:hAnsi="Calibri" w:cs="Calibri"/>
                <w:color w:val="000000"/>
                <w:sz w:val="16"/>
                <w:szCs w:val="18"/>
                <w:lang w:eastAsia="en-GB"/>
              </w:rPr>
            </w:pPr>
            <w:r w:rsidRPr="008227FF">
              <w:rPr>
                <w:rFonts w:ascii="Calibri" w:eastAsia="Times New Roman" w:hAnsi="Calibri" w:cs="Calibri"/>
                <w:color w:val="000000"/>
                <w:sz w:val="16"/>
                <w:szCs w:val="18"/>
                <w:lang w:eastAsia="en-GB"/>
              </w:rPr>
              <w:t>60</w:t>
            </w:r>
          </w:p>
        </w:tc>
        <w:tc>
          <w:tcPr>
            <w:tcW w:w="1078" w:type="dxa"/>
            <w:tcBorders>
              <w:top w:val="nil"/>
              <w:left w:val="nil"/>
              <w:bottom w:val="single" w:sz="12" w:space="0" w:color="auto"/>
              <w:right w:val="nil"/>
            </w:tcBorders>
            <w:shd w:val="clear" w:color="auto" w:fill="auto"/>
            <w:noWrap/>
            <w:vAlign w:val="center"/>
          </w:tcPr>
          <w:p w14:paraId="6B033DF8" w14:textId="77777777" w:rsidR="00A93D08" w:rsidRDefault="00A93D08" w:rsidP="008B306C">
            <w:pPr>
              <w:spacing w:after="0" w:line="240" w:lineRule="auto"/>
              <w:ind w:right="237"/>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19</w:t>
            </w:r>
          </w:p>
        </w:tc>
      </w:tr>
    </w:tbl>
    <w:p w14:paraId="77F29BF5" w14:textId="77777777" w:rsidR="00A93D08" w:rsidRPr="00FB5C92" w:rsidRDefault="00A93D08" w:rsidP="00FB5C92">
      <w:pPr>
        <w:spacing w:after="0"/>
        <w:jc w:val="center"/>
        <w:rPr>
          <w:sz w:val="12"/>
          <w:szCs w:val="12"/>
        </w:rPr>
      </w:pPr>
    </w:p>
    <w:p w14:paraId="52133F3C" w14:textId="32D2F7E9" w:rsidR="0044116F" w:rsidRPr="002C6CB3" w:rsidRDefault="002C6CB3" w:rsidP="0044116F">
      <w:pPr>
        <w:jc w:val="both"/>
        <w:rPr>
          <w:sz w:val="16"/>
          <w:szCs w:val="16"/>
        </w:rPr>
      </w:pPr>
      <w:r w:rsidRPr="002C6CB3">
        <w:rPr>
          <w:rFonts w:ascii="Calibri" w:eastAsia="Times New Roman" w:hAnsi="Calibri" w:cs="Calibri"/>
          <w:i/>
          <w:color w:val="000000"/>
          <w:sz w:val="16"/>
          <w:szCs w:val="16"/>
          <w:vertAlign w:val="superscript"/>
          <w:lang w:eastAsia="en-GB"/>
        </w:rPr>
        <w:t>a</w:t>
      </w:r>
      <w:r w:rsidR="0044116F" w:rsidRPr="002C6CB3">
        <w:rPr>
          <w:rFonts w:ascii="Calibri" w:eastAsia="Times New Roman" w:hAnsi="Calibri" w:cs="Calibri"/>
          <w:color w:val="000000"/>
          <w:sz w:val="16"/>
          <w:szCs w:val="16"/>
          <w:lang w:eastAsia="en-GB"/>
        </w:rPr>
        <w:t xml:space="preserve"> RCI = radiochemical incorporation calculated from radio-HPLC analysis</w:t>
      </w:r>
      <w:r w:rsidR="00181A41">
        <w:rPr>
          <w:rFonts w:ascii="Calibri" w:eastAsia="Times New Roman" w:hAnsi="Calibri" w:cs="Calibri"/>
          <w:color w:val="000000"/>
          <w:sz w:val="16"/>
          <w:szCs w:val="16"/>
          <w:lang w:eastAsia="en-GB"/>
        </w:rPr>
        <w:t>, all conditions carried out 3 separate times</w:t>
      </w:r>
      <w:r w:rsidR="0044116F" w:rsidRPr="002C6CB3">
        <w:rPr>
          <w:rFonts w:ascii="Calibri" w:eastAsia="Times New Roman" w:hAnsi="Calibri" w:cs="Calibri"/>
          <w:color w:val="000000"/>
          <w:sz w:val="16"/>
          <w:szCs w:val="16"/>
          <w:lang w:eastAsia="en-GB"/>
        </w:rPr>
        <w:t xml:space="preserve">, </w:t>
      </w:r>
      <w:r w:rsidR="0044116F" w:rsidRPr="002C6CB3">
        <w:rPr>
          <w:rFonts w:ascii="Calibri" w:eastAsia="Times New Roman" w:hAnsi="Calibri" w:cs="Calibri"/>
          <w:i/>
          <w:color w:val="000000"/>
          <w:sz w:val="16"/>
          <w:szCs w:val="16"/>
          <w:vertAlign w:val="superscript"/>
          <w:lang w:eastAsia="en-GB"/>
        </w:rPr>
        <w:t>b</w:t>
      </w:r>
      <w:r w:rsidR="0044116F" w:rsidRPr="002C6CB3">
        <w:rPr>
          <w:rFonts w:ascii="Calibri" w:eastAsia="Times New Roman" w:hAnsi="Calibri" w:cs="Calibri"/>
          <w:color w:val="000000"/>
          <w:sz w:val="16"/>
          <w:szCs w:val="16"/>
          <w:lang w:eastAsia="en-GB"/>
        </w:rPr>
        <w:t xml:space="preserve"> acetone as solvent, </w:t>
      </w:r>
      <w:r w:rsidR="0044116F" w:rsidRPr="002C6CB3">
        <w:rPr>
          <w:rFonts w:ascii="Calibri" w:eastAsia="Times New Roman" w:hAnsi="Calibri" w:cs="Calibri"/>
          <w:i/>
          <w:color w:val="000000"/>
          <w:sz w:val="16"/>
          <w:szCs w:val="16"/>
          <w:vertAlign w:val="superscript"/>
          <w:lang w:eastAsia="en-GB"/>
        </w:rPr>
        <w:t>c</w:t>
      </w:r>
      <w:r w:rsidR="0044116F" w:rsidRPr="002C6CB3">
        <w:rPr>
          <w:rFonts w:ascii="Calibri" w:eastAsia="Times New Roman" w:hAnsi="Calibri" w:cs="Calibri"/>
          <w:color w:val="000000"/>
          <w:sz w:val="16"/>
          <w:szCs w:val="16"/>
          <w:lang w:eastAsia="en-GB"/>
        </w:rPr>
        <w:t xml:space="preserve"> RCI detected by radio-HPLC, though too low to be quantified, </w:t>
      </w:r>
      <w:r w:rsidR="0044116F" w:rsidRPr="002C6CB3">
        <w:rPr>
          <w:rFonts w:ascii="Calibri" w:eastAsia="Times New Roman" w:hAnsi="Calibri" w:cs="Calibri"/>
          <w:i/>
          <w:color w:val="000000"/>
          <w:sz w:val="16"/>
          <w:szCs w:val="16"/>
          <w:vertAlign w:val="superscript"/>
          <w:lang w:eastAsia="en-GB"/>
        </w:rPr>
        <w:t>d</w:t>
      </w:r>
      <w:r w:rsidR="0044116F" w:rsidRPr="002C6CB3">
        <w:rPr>
          <w:rFonts w:ascii="Calibri" w:eastAsia="Times New Roman" w:hAnsi="Calibri" w:cs="Calibri"/>
          <w:color w:val="000000"/>
          <w:sz w:val="16"/>
          <w:szCs w:val="16"/>
          <w:lang w:eastAsia="en-GB"/>
        </w:rPr>
        <w:t xml:space="preserve"> four aliquots of the </w:t>
      </w:r>
      <w:r w:rsidR="00930B8F">
        <w:rPr>
          <w:rFonts w:ascii="Calibri" w:eastAsia="Times New Roman" w:hAnsi="Calibri" w:cs="Calibri"/>
          <w:color w:val="000000"/>
          <w:sz w:val="16"/>
          <w:szCs w:val="16"/>
          <w:lang w:eastAsia="en-GB"/>
        </w:rPr>
        <w:t>pre-</w:t>
      </w:r>
      <w:r w:rsidR="0044116F" w:rsidRPr="002C6CB3">
        <w:rPr>
          <w:rFonts w:ascii="Calibri" w:eastAsia="Times New Roman" w:hAnsi="Calibri" w:cs="Calibri"/>
          <w:color w:val="000000"/>
          <w:sz w:val="16"/>
          <w:szCs w:val="16"/>
          <w:lang w:eastAsia="en-GB"/>
        </w:rPr>
        <w:t>catalyst (</w:t>
      </w:r>
      <w:r w:rsidR="0044116F" w:rsidRPr="002C6CB3">
        <w:rPr>
          <w:rFonts w:ascii="Calibri" w:eastAsia="Times New Roman" w:hAnsi="Calibri" w:cs="Calibri"/>
          <w:i/>
          <w:color w:val="000000"/>
          <w:sz w:val="16"/>
          <w:szCs w:val="16"/>
          <w:lang w:eastAsia="en-GB"/>
        </w:rPr>
        <w:t>i.e.</w:t>
      </w:r>
      <w:r w:rsidR="0044116F" w:rsidRPr="002C6CB3">
        <w:rPr>
          <w:rFonts w:ascii="Calibri" w:eastAsia="Times New Roman" w:hAnsi="Calibri" w:cs="Calibri"/>
          <w:color w:val="000000"/>
          <w:sz w:val="16"/>
          <w:szCs w:val="16"/>
          <w:lang w:eastAsia="en-GB"/>
        </w:rPr>
        <w:t xml:space="preserve"> 4 × 1 equiv.) were added at 0.25 h intervals,</w:t>
      </w:r>
      <w:r w:rsidR="0044116F" w:rsidRPr="002C6CB3">
        <w:rPr>
          <w:rFonts w:ascii="Calibri" w:eastAsia="Times New Roman" w:hAnsi="Calibri" w:cs="Calibri"/>
          <w:b/>
          <w:color w:val="000000"/>
          <w:sz w:val="16"/>
          <w:szCs w:val="16"/>
          <w:lang w:eastAsia="en-GB"/>
        </w:rPr>
        <w:t xml:space="preserve"> </w:t>
      </w:r>
      <w:r w:rsidR="0044116F" w:rsidRPr="002C6CB3">
        <w:rPr>
          <w:rFonts w:ascii="Calibri" w:eastAsia="Times New Roman" w:hAnsi="Calibri" w:cs="Calibri"/>
          <w:i/>
          <w:color w:val="000000"/>
          <w:sz w:val="16"/>
          <w:szCs w:val="16"/>
          <w:vertAlign w:val="superscript"/>
          <w:lang w:eastAsia="en-GB"/>
        </w:rPr>
        <w:t>e</w:t>
      </w:r>
      <w:r w:rsidR="0044116F" w:rsidRPr="002C6CB3">
        <w:rPr>
          <w:rFonts w:ascii="Calibri" w:eastAsia="Times New Roman" w:hAnsi="Calibri" w:cs="Calibri"/>
          <w:color w:val="000000"/>
          <w:sz w:val="16"/>
          <w:szCs w:val="16"/>
          <w:lang w:eastAsia="en-GB"/>
        </w:rPr>
        <w:t xml:space="preserve"> four batches of the oxidant (</w:t>
      </w:r>
      <w:r w:rsidR="0044116F" w:rsidRPr="002C6CB3">
        <w:rPr>
          <w:rFonts w:ascii="Calibri" w:eastAsia="Times New Roman" w:hAnsi="Calibri" w:cs="Calibri"/>
          <w:i/>
          <w:color w:val="000000"/>
          <w:sz w:val="16"/>
          <w:szCs w:val="16"/>
          <w:lang w:eastAsia="en-GB"/>
        </w:rPr>
        <w:t>i.e.</w:t>
      </w:r>
      <w:r w:rsidR="0044116F" w:rsidRPr="002C6CB3">
        <w:rPr>
          <w:rFonts w:ascii="Calibri" w:eastAsia="Times New Roman" w:hAnsi="Calibri" w:cs="Calibri"/>
          <w:color w:val="000000"/>
          <w:sz w:val="16"/>
          <w:szCs w:val="16"/>
          <w:lang w:eastAsia="en-GB"/>
        </w:rPr>
        <w:t xml:space="preserve"> 4 × 1 equiv.) were added at 0.25 h intervals, </w:t>
      </w:r>
      <w:r w:rsidR="0044116F" w:rsidRPr="002C6CB3">
        <w:rPr>
          <w:rFonts w:ascii="Calibri" w:eastAsia="Times New Roman" w:hAnsi="Calibri" w:cs="Calibri"/>
          <w:i/>
          <w:color w:val="000000"/>
          <w:sz w:val="16"/>
          <w:szCs w:val="16"/>
          <w:vertAlign w:val="superscript"/>
          <w:lang w:eastAsia="en-GB"/>
        </w:rPr>
        <w:t>f</w:t>
      </w:r>
      <w:r w:rsidR="0044116F" w:rsidRPr="002C6CB3">
        <w:rPr>
          <w:rFonts w:ascii="Calibri" w:eastAsia="Times New Roman" w:hAnsi="Calibri" w:cs="Calibri"/>
          <w:color w:val="000000"/>
          <w:sz w:val="16"/>
          <w:szCs w:val="16"/>
          <w:lang w:eastAsia="en-GB"/>
        </w:rPr>
        <w:t xml:space="preserve"> IBX ester is isopropyl 2-iodoxybenzoate, </w:t>
      </w:r>
      <w:r w:rsidR="0044116F" w:rsidRPr="002C6CB3">
        <w:rPr>
          <w:rFonts w:ascii="Calibri" w:eastAsia="Times New Roman" w:hAnsi="Calibri" w:cs="Calibri"/>
          <w:i/>
          <w:color w:val="000000"/>
          <w:sz w:val="16"/>
          <w:szCs w:val="16"/>
          <w:vertAlign w:val="superscript"/>
          <w:lang w:eastAsia="en-GB"/>
        </w:rPr>
        <w:t>g</w:t>
      </w:r>
      <w:r w:rsidR="0044116F" w:rsidRPr="002C6CB3">
        <w:rPr>
          <w:rFonts w:ascii="Calibri" w:eastAsia="Times New Roman" w:hAnsi="Calibri" w:cs="Calibri"/>
          <w:color w:val="000000"/>
          <w:sz w:val="16"/>
          <w:szCs w:val="16"/>
          <w:lang w:eastAsia="en-GB"/>
        </w:rPr>
        <w:t xml:space="preserve"> </w:t>
      </w:r>
      <w:r w:rsidR="0044116F" w:rsidRPr="002C6CB3">
        <w:rPr>
          <w:rFonts w:ascii="Calibri" w:eastAsia="Times New Roman" w:hAnsi="Calibri" w:cs="Calibri"/>
          <w:b/>
          <w:color w:val="000000"/>
          <w:sz w:val="16"/>
          <w:szCs w:val="16"/>
          <w:lang w:eastAsia="en-GB"/>
        </w:rPr>
        <w:t>1c</w:t>
      </w:r>
      <w:r w:rsidR="0044116F" w:rsidRPr="002C6CB3">
        <w:rPr>
          <w:rFonts w:ascii="Calibri" w:eastAsia="Times New Roman" w:hAnsi="Calibri" w:cs="Calibri"/>
          <w:color w:val="000000"/>
          <w:sz w:val="16"/>
          <w:szCs w:val="16"/>
          <w:lang w:eastAsia="en-GB"/>
        </w:rPr>
        <w:t xml:space="preserve"> refers to the oxo-complex corresponding to </w:t>
      </w:r>
      <w:r w:rsidR="00BA1FAD">
        <w:rPr>
          <w:rFonts w:ascii="Calibri" w:eastAsia="Times New Roman" w:hAnsi="Calibri" w:cs="Calibri"/>
          <w:color w:val="000000"/>
          <w:sz w:val="16"/>
          <w:szCs w:val="16"/>
          <w:lang w:eastAsia="en-GB"/>
        </w:rPr>
        <w:t>pre-</w:t>
      </w:r>
      <w:r w:rsidR="0044116F" w:rsidRPr="002C6CB3">
        <w:rPr>
          <w:rFonts w:ascii="Calibri" w:eastAsia="Times New Roman" w:hAnsi="Calibri" w:cs="Calibri"/>
          <w:color w:val="000000"/>
          <w:sz w:val="16"/>
          <w:szCs w:val="16"/>
          <w:lang w:eastAsia="en-GB"/>
        </w:rPr>
        <w:t xml:space="preserve">catalyst </w:t>
      </w:r>
      <w:r w:rsidR="0044116F" w:rsidRPr="002C6CB3">
        <w:rPr>
          <w:rFonts w:ascii="Calibri" w:eastAsia="Times New Roman" w:hAnsi="Calibri" w:cs="Calibri"/>
          <w:b/>
          <w:color w:val="000000"/>
          <w:sz w:val="16"/>
          <w:szCs w:val="16"/>
          <w:lang w:eastAsia="en-GB"/>
        </w:rPr>
        <w:t>1a</w:t>
      </w:r>
      <w:r w:rsidR="0044116F" w:rsidRPr="002C6CB3">
        <w:rPr>
          <w:rFonts w:ascii="Calibri" w:eastAsia="Times New Roman" w:hAnsi="Calibri" w:cs="Calibri"/>
          <w:color w:val="000000"/>
          <w:sz w:val="16"/>
          <w:szCs w:val="16"/>
          <w:lang w:eastAsia="en-GB"/>
        </w:rPr>
        <w:t xml:space="preserve"> (</w:t>
      </w:r>
      <w:r w:rsidR="0044116F" w:rsidRPr="002C6CB3">
        <w:rPr>
          <w:rFonts w:ascii="Calibri" w:eastAsia="Times New Roman" w:hAnsi="Calibri" w:cs="Calibri"/>
          <w:i/>
          <w:color w:val="000000"/>
          <w:sz w:val="16"/>
          <w:szCs w:val="16"/>
          <w:lang w:eastAsia="en-GB"/>
        </w:rPr>
        <w:t>i.e</w:t>
      </w:r>
      <w:r w:rsidR="0044116F" w:rsidRPr="002C6CB3">
        <w:rPr>
          <w:rFonts w:ascii="Calibri" w:eastAsia="Times New Roman" w:hAnsi="Calibri" w:cs="Calibri"/>
          <w:color w:val="000000"/>
          <w:sz w:val="16"/>
          <w:szCs w:val="16"/>
          <w:lang w:eastAsia="en-GB"/>
        </w:rPr>
        <w:t xml:space="preserve">. Mn=O </w:t>
      </w:r>
      <w:r w:rsidR="0044116F" w:rsidRPr="002C6CB3">
        <w:rPr>
          <w:rFonts w:ascii="Calibri" w:eastAsia="Times New Roman" w:hAnsi="Calibri" w:cs="Calibri"/>
          <w:i/>
          <w:color w:val="000000"/>
          <w:sz w:val="16"/>
          <w:szCs w:val="16"/>
          <w:lang w:eastAsia="en-GB"/>
        </w:rPr>
        <w:t>cf</w:t>
      </w:r>
      <w:r w:rsidR="0044116F" w:rsidRPr="002C6CB3">
        <w:rPr>
          <w:rFonts w:ascii="Calibri" w:eastAsia="Times New Roman" w:hAnsi="Calibri" w:cs="Calibri"/>
          <w:color w:val="000000"/>
          <w:sz w:val="16"/>
          <w:szCs w:val="16"/>
          <w:lang w:eastAsia="en-GB"/>
        </w:rPr>
        <w:t xml:space="preserve">. Mn-Cl, where </w:t>
      </w:r>
      <w:proofErr w:type="spellStart"/>
      <w:r w:rsidR="0044116F" w:rsidRPr="002C6CB3">
        <w:rPr>
          <w:rFonts w:ascii="Calibri" w:eastAsia="Times New Roman" w:hAnsi="Calibri" w:cs="Calibri"/>
          <w:color w:val="000000"/>
          <w:sz w:val="16"/>
          <w:szCs w:val="16"/>
          <w:lang w:eastAsia="en-GB"/>
        </w:rPr>
        <w:t>Ar</w:t>
      </w:r>
      <w:proofErr w:type="spellEnd"/>
      <w:r w:rsidR="0044116F" w:rsidRPr="002C6CB3">
        <w:rPr>
          <w:rFonts w:ascii="Calibri" w:eastAsia="Times New Roman" w:hAnsi="Calibri" w:cs="Calibri"/>
          <w:color w:val="000000"/>
          <w:sz w:val="16"/>
          <w:szCs w:val="16"/>
          <w:lang w:eastAsia="en-GB"/>
        </w:rPr>
        <w:t xml:space="preserve"> = 2,4,6-Me</w:t>
      </w:r>
      <w:r w:rsidR="0044116F" w:rsidRPr="002C6CB3">
        <w:rPr>
          <w:rFonts w:ascii="Calibri" w:eastAsia="Times New Roman" w:hAnsi="Calibri" w:cs="Calibri"/>
          <w:color w:val="000000"/>
          <w:sz w:val="16"/>
          <w:szCs w:val="16"/>
          <w:vertAlign w:val="subscript"/>
          <w:lang w:eastAsia="en-GB"/>
        </w:rPr>
        <w:t>3</w:t>
      </w:r>
      <w:r w:rsidR="0044116F" w:rsidRPr="002C6CB3">
        <w:rPr>
          <w:rFonts w:ascii="Calibri" w:eastAsia="Times New Roman" w:hAnsi="Calibri" w:cs="Calibri"/>
          <w:color w:val="000000"/>
          <w:sz w:val="16"/>
          <w:szCs w:val="16"/>
          <w:lang w:eastAsia="en-GB"/>
        </w:rPr>
        <w:t>C</w:t>
      </w:r>
      <w:r w:rsidR="0044116F" w:rsidRPr="002C6CB3">
        <w:rPr>
          <w:rFonts w:ascii="Calibri" w:eastAsia="Times New Roman" w:hAnsi="Calibri" w:cs="Calibri"/>
          <w:color w:val="000000"/>
          <w:sz w:val="16"/>
          <w:szCs w:val="16"/>
          <w:vertAlign w:val="subscript"/>
          <w:lang w:eastAsia="en-GB"/>
        </w:rPr>
        <w:t>6</w:t>
      </w:r>
      <w:r w:rsidR="0044116F" w:rsidRPr="002C6CB3">
        <w:rPr>
          <w:rFonts w:ascii="Calibri" w:eastAsia="Times New Roman" w:hAnsi="Calibri" w:cs="Calibri"/>
          <w:color w:val="000000"/>
          <w:sz w:val="16"/>
          <w:szCs w:val="16"/>
          <w:lang w:eastAsia="en-GB"/>
        </w:rPr>
        <w:t>H</w:t>
      </w:r>
      <w:r w:rsidR="0044116F" w:rsidRPr="002C6CB3">
        <w:rPr>
          <w:rFonts w:ascii="Calibri" w:eastAsia="Times New Roman" w:hAnsi="Calibri" w:cs="Calibri"/>
          <w:color w:val="000000"/>
          <w:sz w:val="16"/>
          <w:szCs w:val="16"/>
          <w:vertAlign w:val="subscript"/>
          <w:lang w:eastAsia="en-GB"/>
        </w:rPr>
        <w:t>2</w:t>
      </w:r>
      <w:r>
        <w:rPr>
          <w:rFonts w:ascii="Calibri" w:eastAsia="Times New Roman" w:hAnsi="Calibri" w:cs="Calibri"/>
          <w:color w:val="000000"/>
          <w:sz w:val="16"/>
          <w:szCs w:val="16"/>
          <w:lang w:eastAsia="en-GB"/>
        </w:rPr>
        <w:t xml:space="preserve">); </w:t>
      </w:r>
      <w:r w:rsidRPr="002C6CB3">
        <w:rPr>
          <w:rFonts w:ascii="Calibri" w:eastAsia="Times New Roman" w:hAnsi="Calibri" w:cs="Calibri"/>
          <w:b/>
          <w:color w:val="000000"/>
          <w:sz w:val="16"/>
          <w:szCs w:val="16"/>
          <w:lang w:eastAsia="en-GB"/>
        </w:rPr>
        <w:t>1</w:t>
      </w:r>
      <w:r>
        <w:rPr>
          <w:rFonts w:ascii="Calibri" w:eastAsia="Times New Roman" w:hAnsi="Calibri" w:cs="Calibri"/>
          <w:b/>
          <w:color w:val="000000"/>
          <w:sz w:val="16"/>
          <w:szCs w:val="16"/>
          <w:lang w:eastAsia="en-GB"/>
        </w:rPr>
        <w:t>c</w:t>
      </w:r>
      <w:r w:rsidRPr="002C6CB3">
        <w:rPr>
          <w:rFonts w:ascii="Calibri" w:eastAsia="Times New Roman" w:hAnsi="Calibri" w:cs="Calibri"/>
          <w:color w:val="000000"/>
          <w:sz w:val="16"/>
          <w:szCs w:val="16"/>
          <w:lang w:eastAsia="en-GB"/>
        </w:rPr>
        <w:t xml:space="preserve"> is simple to prepare</w:t>
      </w:r>
      <w:r w:rsidR="00BA1FAD">
        <w:rPr>
          <w:rFonts w:ascii="Calibri" w:eastAsia="Times New Roman" w:hAnsi="Calibri" w:cs="Calibri"/>
          <w:color w:val="000000"/>
          <w:sz w:val="16"/>
          <w:szCs w:val="16"/>
          <w:lang w:eastAsia="en-GB"/>
        </w:rPr>
        <w:t xml:space="preserve"> from </w:t>
      </w:r>
      <w:r w:rsidR="00BA1FAD" w:rsidRPr="00BA1FAD">
        <w:rPr>
          <w:rFonts w:ascii="Calibri" w:eastAsia="Times New Roman" w:hAnsi="Calibri" w:cs="Calibri"/>
          <w:b/>
          <w:color w:val="000000"/>
          <w:sz w:val="16"/>
          <w:szCs w:val="16"/>
          <w:lang w:eastAsia="en-GB"/>
        </w:rPr>
        <w:t>1a</w:t>
      </w:r>
      <w:r w:rsidRPr="002C6CB3">
        <w:rPr>
          <w:rFonts w:ascii="Calibri" w:eastAsia="Times New Roman" w:hAnsi="Calibri" w:cs="Calibri"/>
          <w:color w:val="000000"/>
          <w:sz w:val="16"/>
          <w:szCs w:val="16"/>
          <w:lang w:eastAsia="en-GB"/>
        </w:rPr>
        <w:t>,</w:t>
      </w:r>
      <w:r w:rsidR="00BA1FAD">
        <w:rPr>
          <w:rFonts w:ascii="Calibri" w:eastAsia="Times New Roman" w:hAnsi="Calibri" w:cs="Calibri"/>
          <w:color w:val="000000"/>
          <w:sz w:val="16"/>
          <w:szCs w:val="16"/>
          <w:lang w:eastAsia="en-GB"/>
        </w:rPr>
        <w:t xml:space="preserve"> is</w:t>
      </w:r>
      <w:r w:rsidRPr="002C6CB3">
        <w:rPr>
          <w:rFonts w:ascii="Calibri" w:eastAsia="Times New Roman" w:hAnsi="Calibri" w:cs="Calibri"/>
          <w:color w:val="000000"/>
          <w:sz w:val="16"/>
          <w:szCs w:val="16"/>
          <w:lang w:eastAsia="en-GB"/>
        </w:rPr>
        <w:t xml:space="preserve"> air stable and has a characteristic IR absorption at 755 nm.</w:t>
      </w:r>
      <w:r w:rsidRPr="002C6CB3">
        <w:rPr>
          <w:rFonts w:ascii="Calibri" w:eastAsia="Times New Roman" w:hAnsi="Calibri" w:cs="Calibri"/>
          <w:color w:val="000000"/>
          <w:sz w:val="16"/>
          <w:szCs w:val="16"/>
          <w:lang w:eastAsia="en-GB"/>
        </w:rPr>
        <w:fldChar w:fldCharType="begin" w:fldLock="1"/>
      </w:r>
      <w:r w:rsidR="00085620">
        <w:rPr>
          <w:rFonts w:ascii="Calibri" w:eastAsia="Times New Roman" w:hAnsi="Calibri" w:cs="Calibri"/>
          <w:color w:val="000000"/>
          <w:sz w:val="16"/>
          <w:szCs w:val="16"/>
          <w:lang w:eastAsia="en-GB"/>
        </w:rPr>
        <w:instrText>ADDIN CSL_CITATION {"citationItems":[{"id":"ITEM-1","itemData":{"DOI":"10.1021/ja00234a009","ISSN":"0002-7863","author":[{"dropping-particle":"","family":"Groves","given":"John T.","non-dropping-particle":"","parse-names":false,"suffix":""},{"dropping-particle":"","family":"Stern","given":"Michael K.","non-dropping-particle":"","parse-names":false,"suffix":""}],"container-title":"Journal of the American Chemical Society","id":"ITEM-1","issue":"26","issued":{"date-parts":[["1988","12"]]},"page":"8628-8638","publisher":"American Chemical Society","title":"Synthesis, characterization, and reactivity of oxomanganese(IV) porphyrin complexes","type":"article-journal","volume":"110"},"uris":["http://www.mendeley.com/documents/?uuid=46368079-5353-40c7-848a-2df6a39b76eb"]}],"mendeley":{"formattedCitation":"&lt;sup&gt;33&lt;/sup&gt;","plainTextFormattedCitation":"33","previouslyFormattedCitation":"(Groves and Stern 1988)"},"properties":{"noteIndex":0},"schema":"https://github.com/citation-style-language/schema/raw/master/csl-citation.json"}</w:instrText>
      </w:r>
      <w:r w:rsidRPr="002C6CB3">
        <w:rPr>
          <w:rFonts w:ascii="Calibri" w:eastAsia="Times New Roman" w:hAnsi="Calibri" w:cs="Calibri"/>
          <w:color w:val="000000"/>
          <w:sz w:val="16"/>
          <w:szCs w:val="16"/>
          <w:lang w:eastAsia="en-GB"/>
        </w:rPr>
        <w:fldChar w:fldCharType="separate"/>
      </w:r>
      <w:r w:rsidR="00085620" w:rsidRPr="00085620">
        <w:rPr>
          <w:rFonts w:ascii="Calibri" w:eastAsia="Times New Roman" w:hAnsi="Calibri" w:cs="Calibri"/>
          <w:noProof/>
          <w:color w:val="000000"/>
          <w:sz w:val="16"/>
          <w:szCs w:val="16"/>
          <w:vertAlign w:val="superscript"/>
          <w:lang w:eastAsia="en-GB"/>
        </w:rPr>
        <w:t>33</w:t>
      </w:r>
      <w:r w:rsidRPr="002C6CB3">
        <w:rPr>
          <w:rFonts w:ascii="Calibri" w:eastAsia="Times New Roman" w:hAnsi="Calibri" w:cs="Calibri"/>
          <w:color w:val="000000"/>
          <w:sz w:val="16"/>
          <w:szCs w:val="16"/>
          <w:lang w:eastAsia="en-GB"/>
        </w:rPr>
        <w:fldChar w:fldCharType="end"/>
      </w:r>
    </w:p>
    <w:p w14:paraId="476DD263" w14:textId="5C678B28" w:rsidR="0044116F" w:rsidRDefault="0044116F" w:rsidP="0044116F">
      <w:pPr>
        <w:pStyle w:val="RSCB04SectionHeading"/>
        <w:spacing w:before="120"/>
        <w:jc w:val="both"/>
        <w:rPr>
          <w:rFonts w:cs="Times New Roman"/>
          <w:b w:val="0"/>
          <w:w w:val="108"/>
          <w:sz w:val="18"/>
          <w:szCs w:val="18"/>
        </w:rPr>
      </w:pPr>
      <w:r>
        <w:rPr>
          <w:rFonts w:cs="Times New Roman"/>
          <w:b w:val="0"/>
          <w:w w:val="108"/>
          <w:sz w:val="18"/>
          <w:szCs w:val="18"/>
        </w:rPr>
        <w:t xml:space="preserve">Using norbornane as a substrate, </w:t>
      </w:r>
      <w:proofErr w:type="spellStart"/>
      <w:r>
        <w:rPr>
          <w:rFonts w:cs="Times New Roman"/>
          <w:b w:val="0"/>
          <w:w w:val="108"/>
          <w:sz w:val="18"/>
          <w:szCs w:val="18"/>
        </w:rPr>
        <w:t>AgOTs</w:t>
      </w:r>
      <w:proofErr w:type="spellEnd"/>
      <w:r>
        <w:rPr>
          <w:rFonts w:cs="Times New Roman"/>
          <w:b w:val="0"/>
          <w:w w:val="108"/>
          <w:sz w:val="18"/>
          <w:szCs w:val="18"/>
        </w:rPr>
        <w:t xml:space="preserve"> as additive and </w:t>
      </w:r>
      <w:proofErr w:type="spellStart"/>
      <w:r w:rsidR="003C6184" w:rsidRPr="00BA7CE7">
        <w:rPr>
          <w:rFonts w:cs="Times New Roman"/>
          <w:b w:val="0"/>
          <w:w w:val="108"/>
          <w:sz w:val="18"/>
          <w:szCs w:val="18"/>
        </w:rPr>
        <w:t>iodosylbenzene</w:t>
      </w:r>
      <w:proofErr w:type="spellEnd"/>
      <w:r w:rsidR="003C6184" w:rsidRPr="00BA7CE7">
        <w:rPr>
          <w:rFonts w:cs="Times New Roman"/>
          <w:b w:val="0"/>
          <w:w w:val="108"/>
          <w:sz w:val="18"/>
          <w:szCs w:val="18"/>
        </w:rPr>
        <w:t xml:space="preserve"> </w:t>
      </w:r>
      <w:r w:rsidR="003C6184">
        <w:rPr>
          <w:rFonts w:cs="Times New Roman"/>
          <w:b w:val="0"/>
          <w:w w:val="108"/>
          <w:sz w:val="18"/>
          <w:szCs w:val="18"/>
        </w:rPr>
        <w:t>(</w:t>
      </w:r>
      <w:proofErr w:type="spellStart"/>
      <w:r>
        <w:rPr>
          <w:rFonts w:cs="Times New Roman"/>
          <w:b w:val="0"/>
          <w:w w:val="108"/>
          <w:sz w:val="18"/>
          <w:szCs w:val="18"/>
        </w:rPr>
        <w:t>PhIO</w:t>
      </w:r>
      <w:proofErr w:type="spellEnd"/>
      <w:r w:rsidR="003C6184">
        <w:rPr>
          <w:rFonts w:cs="Times New Roman"/>
          <w:b w:val="0"/>
          <w:w w:val="108"/>
          <w:sz w:val="18"/>
          <w:szCs w:val="18"/>
        </w:rPr>
        <w:t xml:space="preserve">, </w:t>
      </w:r>
      <w:r w:rsidR="003C6184" w:rsidRPr="003C6184">
        <w:rPr>
          <w:rFonts w:cs="Times New Roman"/>
          <w:bCs/>
          <w:w w:val="108"/>
          <w:sz w:val="18"/>
          <w:szCs w:val="18"/>
        </w:rPr>
        <w:t>16a</w:t>
      </w:r>
      <w:r w:rsidR="003C6184">
        <w:rPr>
          <w:rFonts w:cs="Times New Roman"/>
          <w:b w:val="0"/>
          <w:w w:val="108"/>
          <w:sz w:val="18"/>
          <w:szCs w:val="18"/>
        </w:rPr>
        <w:t>)</w:t>
      </w:r>
      <w:r>
        <w:rPr>
          <w:rFonts w:cs="Times New Roman"/>
          <w:b w:val="0"/>
          <w:w w:val="108"/>
          <w:sz w:val="18"/>
          <w:szCs w:val="18"/>
        </w:rPr>
        <w:t xml:space="preserve"> as oxidant, </w:t>
      </w:r>
      <w:proofErr w:type="spellStart"/>
      <w:r w:rsidRPr="00EB036A">
        <w:rPr>
          <w:rFonts w:cs="Times New Roman"/>
          <w:b w:val="0"/>
          <w:w w:val="108"/>
          <w:sz w:val="18"/>
          <w:szCs w:val="18"/>
        </w:rPr>
        <w:t>tetra</w:t>
      </w:r>
      <w:r>
        <w:rPr>
          <w:rFonts w:cs="Times New Roman"/>
          <w:b w:val="0"/>
          <w:w w:val="108"/>
          <w:sz w:val="18"/>
          <w:szCs w:val="18"/>
        </w:rPr>
        <w:t>mesityl</w:t>
      </w:r>
      <w:proofErr w:type="spellEnd"/>
      <w:r>
        <w:rPr>
          <w:rFonts w:cs="Times New Roman"/>
          <w:b w:val="0"/>
          <w:w w:val="108"/>
          <w:sz w:val="18"/>
          <w:szCs w:val="18"/>
        </w:rPr>
        <w:t xml:space="preserve"> porphyrin pre-</w:t>
      </w:r>
      <w:r w:rsidRPr="00BA7CE7">
        <w:rPr>
          <w:rFonts w:cs="Times New Roman"/>
          <w:b w:val="0"/>
          <w:w w:val="108"/>
          <w:sz w:val="18"/>
          <w:szCs w:val="18"/>
        </w:rPr>
        <w:t xml:space="preserve">catalyst </w:t>
      </w:r>
      <w:r>
        <w:rPr>
          <w:rFonts w:cs="Times New Roman"/>
          <w:b w:val="0"/>
          <w:w w:val="108"/>
          <w:sz w:val="18"/>
          <w:szCs w:val="18"/>
        </w:rPr>
        <w:t>[</w:t>
      </w:r>
      <w:r w:rsidRPr="003E6520">
        <w:rPr>
          <w:rFonts w:cs="Times New Roman"/>
          <w:b w:val="0"/>
          <w:w w:val="108"/>
          <w:sz w:val="18"/>
          <w:szCs w:val="18"/>
        </w:rPr>
        <w:t>(TMP)Mn</w:t>
      </w:r>
      <w:r>
        <w:rPr>
          <w:rFonts w:cs="Times New Roman"/>
          <w:b w:val="0"/>
          <w:w w:val="108"/>
          <w:sz w:val="18"/>
          <w:szCs w:val="18"/>
        </w:rPr>
        <w:t xml:space="preserve">-Cl, </w:t>
      </w:r>
      <w:r w:rsidRPr="00EC50CF">
        <w:rPr>
          <w:rFonts w:cs="Times New Roman"/>
          <w:w w:val="108"/>
          <w:sz w:val="18"/>
          <w:szCs w:val="18"/>
        </w:rPr>
        <w:t>1a</w:t>
      </w:r>
      <w:r>
        <w:rPr>
          <w:rFonts w:cs="Times New Roman"/>
          <w:b w:val="0"/>
          <w:w w:val="108"/>
          <w:sz w:val="18"/>
          <w:szCs w:val="18"/>
        </w:rPr>
        <w:t>]</w:t>
      </w:r>
      <w:r w:rsidRPr="00BA7CE7">
        <w:rPr>
          <w:rFonts w:cs="Times New Roman"/>
          <w:b w:val="0"/>
          <w:w w:val="108"/>
          <w:sz w:val="18"/>
          <w:szCs w:val="18"/>
        </w:rPr>
        <w:t xml:space="preserve"> was </w:t>
      </w:r>
      <w:r>
        <w:rPr>
          <w:rFonts w:cs="Times New Roman"/>
          <w:b w:val="0"/>
          <w:w w:val="108"/>
          <w:sz w:val="18"/>
          <w:szCs w:val="18"/>
        </w:rPr>
        <w:t>found to give improved radiochemical incorporation (RCI) of [</w:t>
      </w:r>
      <w:r w:rsidRPr="008A6842">
        <w:rPr>
          <w:rFonts w:cs="Times New Roman"/>
          <w:b w:val="0"/>
          <w:w w:val="108"/>
          <w:sz w:val="18"/>
          <w:szCs w:val="18"/>
          <w:vertAlign w:val="superscript"/>
        </w:rPr>
        <w:t>18</w:t>
      </w:r>
      <w:r>
        <w:rPr>
          <w:rFonts w:cs="Times New Roman"/>
          <w:b w:val="0"/>
          <w:w w:val="108"/>
          <w:sz w:val="18"/>
          <w:szCs w:val="18"/>
        </w:rPr>
        <w:t xml:space="preserve">F]fluoride relative to Jacobsen’s </w:t>
      </w:r>
      <w:proofErr w:type="spellStart"/>
      <w:r>
        <w:rPr>
          <w:rFonts w:cs="Times New Roman"/>
          <w:b w:val="0"/>
          <w:w w:val="108"/>
          <w:sz w:val="18"/>
          <w:szCs w:val="18"/>
        </w:rPr>
        <w:t>salen</w:t>
      </w:r>
      <w:proofErr w:type="spellEnd"/>
      <w:r>
        <w:rPr>
          <w:rFonts w:cs="Times New Roman"/>
          <w:b w:val="0"/>
          <w:w w:val="108"/>
          <w:sz w:val="18"/>
          <w:szCs w:val="18"/>
        </w:rPr>
        <w:t xml:space="preserve"> complex </w:t>
      </w:r>
      <w:r w:rsidRPr="008A6842">
        <w:rPr>
          <w:rFonts w:cs="Times New Roman"/>
          <w:w w:val="108"/>
          <w:sz w:val="18"/>
          <w:szCs w:val="18"/>
        </w:rPr>
        <w:t>2</w:t>
      </w:r>
      <w:r>
        <w:rPr>
          <w:rFonts w:cs="Times New Roman"/>
          <w:b w:val="0"/>
          <w:w w:val="108"/>
          <w:sz w:val="18"/>
          <w:szCs w:val="18"/>
        </w:rPr>
        <w:t xml:space="preserve"> which we had used previously in our benzylic oxidation work</w:t>
      </w:r>
      <w:r>
        <w:rPr>
          <w:rFonts w:cs="Times New Roman"/>
          <w:b w:val="0"/>
          <w:w w:val="108"/>
          <w:sz w:val="18"/>
          <w:szCs w:val="18"/>
        </w:rPr>
        <w:fldChar w:fldCharType="begin" w:fldLock="1"/>
      </w:r>
      <w:r w:rsidR="00085620">
        <w:rPr>
          <w:rFonts w:cs="Times New Roman"/>
          <w:b w:val="0"/>
          <w:w w:val="108"/>
          <w:sz w:val="18"/>
          <w:szCs w:val="18"/>
        </w:rPr>
        <w:instrText>ADDIN CSL_CITATION {"citationItems":[{"id":"ITEM-1","itemData":{"DOI":"10.1039/C4CC05762G","ISSN":"1359-7345","PMID":"25714781","abstract":"Development of a Mn–salen catalysed oxidative benzylic fluorination of non-activated C–H bonds using [ 18 F]fluoride is described for installation of [ 18 F]CHRF, [ 18 F]CR 2 F and [ 18 F]CF 3 containing groups.","author":[{"dropping-particle":"","family":"Carroll","given":"L","non-dropping-particle":"","parse-names":false,"suffix":""},{"dropping-particle":"","family":"Evans","given":"H L","non-dropping-particle":"","parse-names":false,"suffix":""},{"dropping-particle":"","family":"Spivey","given":"A C","non-dropping-particle":"","parse-names":false,"suffix":""},{"dropping-particle":"","family":"Aboagye","given":"E O","non-dropping-particle":"","parse-names":false,"suffix":""}],"container-title":"Chemical Communications","id":"ITEM-1","issue":"40","issued":{"date-parts":[["2015","5"]]},"language":"en","page":"8439-8441","publisher":"The Royal Society of Chemistry","title":"Mn–salen catalysed benzylic C–H activation for the synthesis of aryl [ 18 F]CF 3 -containing PET probes","type":"article-journal","volume":"51"},"uris":["http://www.mendeley.com/documents/?uuid=f9d46c67-137b-4b3e-ac54-e0e270176e50"]}],"mendeley":{"formattedCitation":"&lt;sup&gt;31&lt;/sup&gt;","plainTextFormattedCitation":"31","previouslyFormattedCitation":"(Carroll et al. 2015)"},"properties":{"noteIndex":0},"schema":"https://github.com/citation-style-language/schema/raw/master/csl-citation.json"}</w:instrText>
      </w:r>
      <w:r>
        <w:rPr>
          <w:rFonts w:cs="Times New Roman"/>
          <w:b w:val="0"/>
          <w:w w:val="108"/>
          <w:sz w:val="18"/>
          <w:szCs w:val="18"/>
        </w:rPr>
        <w:fldChar w:fldCharType="separate"/>
      </w:r>
      <w:r w:rsidR="00085620" w:rsidRPr="00085620">
        <w:rPr>
          <w:rFonts w:cs="Times New Roman"/>
          <w:b w:val="0"/>
          <w:noProof/>
          <w:w w:val="108"/>
          <w:sz w:val="18"/>
          <w:szCs w:val="18"/>
          <w:vertAlign w:val="superscript"/>
        </w:rPr>
        <w:t>31</w:t>
      </w:r>
      <w:r>
        <w:rPr>
          <w:rFonts w:cs="Times New Roman"/>
          <w:b w:val="0"/>
          <w:w w:val="108"/>
          <w:sz w:val="18"/>
          <w:szCs w:val="18"/>
        </w:rPr>
        <w:fldChar w:fldCharType="end"/>
      </w:r>
      <w:r>
        <w:rPr>
          <w:rFonts w:cs="Times New Roman"/>
          <w:b w:val="0"/>
          <w:w w:val="108"/>
          <w:sz w:val="18"/>
          <w:szCs w:val="18"/>
        </w:rPr>
        <w:t xml:space="preserve"> (RCI 5% </w:t>
      </w:r>
      <w:r w:rsidRPr="008A6842">
        <w:rPr>
          <w:rFonts w:cs="Times New Roman"/>
          <w:b w:val="0"/>
          <w:i/>
          <w:w w:val="108"/>
          <w:sz w:val="18"/>
          <w:szCs w:val="18"/>
        </w:rPr>
        <w:t>vs</w:t>
      </w:r>
      <w:r>
        <w:rPr>
          <w:rFonts w:cs="Times New Roman"/>
          <w:b w:val="0"/>
          <w:w w:val="108"/>
          <w:sz w:val="18"/>
          <w:szCs w:val="18"/>
        </w:rPr>
        <w:t xml:space="preserve">. traces; </w:t>
      </w:r>
      <w:r w:rsidRPr="008A6842">
        <w:rPr>
          <w:rFonts w:cs="Times New Roman"/>
          <w:b w:val="0"/>
          <w:i/>
          <w:w w:val="108"/>
          <w:sz w:val="18"/>
          <w:szCs w:val="18"/>
        </w:rPr>
        <w:t>cf</w:t>
      </w:r>
      <w:r>
        <w:rPr>
          <w:rFonts w:cs="Times New Roman"/>
          <w:b w:val="0"/>
          <w:w w:val="108"/>
          <w:sz w:val="18"/>
          <w:szCs w:val="18"/>
        </w:rPr>
        <w:t xml:space="preserve">. entries 1 and 2). Switching the electron donating mesityl </w:t>
      </w:r>
      <w:r w:rsidRPr="00623DC1">
        <w:rPr>
          <w:rFonts w:cs="Times New Roman"/>
          <w:b w:val="0"/>
          <w:i/>
          <w:w w:val="108"/>
          <w:sz w:val="18"/>
          <w:szCs w:val="18"/>
        </w:rPr>
        <w:t>meso</w:t>
      </w:r>
      <w:r>
        <w:rPr>
          <w:rFonts w:cs="Times New Roman"/>
          <w:b w:val="0"/>
          <w:w w:val="108"/>
          <w:sz w:val="18"/>
          <w:szCs w:val="18"/>
        </w:rPr>
        <w:t xml:space="preserve">-substituents in the pre-catalyst for electron withdrawing </w:t>
      </w:r>
      <w:bookmarkStart w:id="4" w:name="_Hlk48573491"/>
      <w:r>
        <w:rPr>
          <w:rFonts w:cs="Times New Roman"/>
          <w:b w:val="0"/>
          <w:w w:val="108"/>
          <w:sz w:val="18"/>
          <w:szCs w:val="18"/>
        </w:rPr>
        <w:t xml:space="preserve">2,6-dichlorophenyl </w:t>
      </w:r>
      <w:bookmarkEnd w:id="4"/>
      <w:r>
        <w:rPr>
          <w:rFonts w:cs="Times New Roman"/>
          <w:b w:val="0"/>
          <w:w w:val="108"/>
          <w:sz w:val="18"/>
          <w:szCs w:val="18"/>
        </w:rPr>
        <w:t>substituents [</w:t>
      </w:r>
      <w:r w:rsidRPr="00623DC1">
        <w:rPr>
          <w:rFonts w:cs="Times New Roman"/>
          <w:b w:val="0"/>
          <w:i/>
          <w:w w:val="108"/>
          <w:sz w:val="18"/>
          <w:szCs w:val="18"/>
        </w:rPr>
        <w:t>i.e</w:t>
      </w:r>
      <w:r>
        <w:rPr>
          <w:rFonts w:cs="Times New Roman"/>
          <w:b w:val="0"/>
          <w:w w:val="108"/>
          <w:sz w:val="18"/>
          <w:szCs w:val="18"/>
        </w:rPr>
        <w:t xml:space="preserve">. (DCP)Mn-Cl, </w:t>
      </w:r>
      <w:r w:rsidRPr="00623DC1">
        <w:rPr>
          <w:rFonts w:cs="Times New Roman"/>
          <w:w w:val="108"/>
          <w:sz w:val="18"/>
          <w:szCs w:val="18"/>
        </w:rPr>
        <w:t>1b</w:t>
      </w:r>
      <w:r>
        <w:rPr>
          <w:rFonts w:cs="Times New Roman"/>
          <w:b w:val="0"/>
          <w:w w:val="108"/>
          <w:sz w:val="18"/>
          <w:szCs w:val="18"/>
        </w:rPr>
        <w:t xml:space="preserve">] </w:t>
      </w:r>
      <w:r w:rsidR="00EB036A">
        <w:rPr>
          <w:rFonts w:cs="Times New Roman"/>
          <w:b w:val="0"/>
          <w:w w:val="108"/>
          <w:sz w:val="18"/>
          <w:szCs w:val="18"/>
        </w:rPr>
        <w:t xml:space="preserve">resulted in poorer performance </w:t>
      </w:r>
      <w:r>
        <w:rPr>
          <w:rFonts w:cs="Times New Roman"/>
          <w:b w:val="0"/>
          <w:w w:val="108"/>
          <w:sz w:val="18"/>
          <w:szCs w:val="18"/>
        </w:rPr>
        <w:t xml:space="preserve">when using cycloheptane as a substrate, </w:t>
      </w:r>
      <w:proofErr w:type="spellStart"/>
      <w:r>
        <w:rPr>
          <w:rFonts w:cs="Times New Roman"/>
          <w:b w:val="0"/>
          <w:w w:val="108"/>
          <w:sz w:val="18"/>
          <w:szCs w:val="18"/>
        </w:rPr>
        <w:t>AgOTf</w:t>
      </w:r>
      <w:proofErr w:type="spellEnd"/>
      <w:r>
        <w:rPr>
          <w:rFonts w:cs="Times New Roman"/>
          <w:b w:val="0"/>
          <w:w w:val="108"/>
          <w:sz w:val="18"/>
          <w:szCs w:val="18"/>
        </w:rPr>
        <w:t xml:space="preserve"> as additive and </w:t>
      </w:r>
      <w:proofErr w:type="spellStart"/>
      <w:r>
        <w:rPr>
          <w:rFonts w:cs="Times New Roman"/>
          <w:b w:val="0"/>
          <w:w w:val="108"/>
          <w:sz w:val="18"/>
          <w:szCs w:val="18"/>
        </w:rPr>
        <w:t>PhIO</w:t>
      </w:r>
      <w:proofErr w:type="spellEnd"/>
      <w:r>
        <w:rPr>
          <w:rFonts w:cs="Times New Roman"/>
          <w:b w:val="0"/>
          <w:w w:val="108"/>
          <w:sz w:val="18"/>
          <w:szCs w:val="18"/>
        </w:rPr>
        <w:t xml:space="preserve"> </w:t>
      </w:r>
      <w:r w:rsidR="00A93D08">
        <w:rPr>
          <w:rFonts w:cs="Times New Roman"/>
          <w:b w:val="0"/>
          <w:w w:val="108"/>
          <w:sz w:val="18"/>
          <w:szCs w:val="18"/>
        </w:rPr>
        <w:t>(</w:t>
      </w:r>
      <w:r w:rsidR="00A93D08" w:rsidRPr="00A93D08">
        <w:rPr>
          <w:rFonts w:cs="Times New Roman"/>
          <w:bCs/>
          <w:w w:val="108"/>
          <w:sz w:val="18"/>
          <w:szCs w:val="18"/>
        </w:rPr>
        <w:t>16a</w:t>
      </w:r>
      <w:r w:rsidR="00A93D08">
        <w:rPr>
          <w:rFonts w:cs="Times New Roman"/>
          <w:b w:val="0"/>
          <w:w w:val="108"/>
          <w:sz w:val="18"/>
          <w:szCs w:val="18"/>
        </w:rPr>
        <w:t xml:space="preserve">) </w:t>
      </w:r>
      <w:r>
        <w:rPr>
          <w:rFonts w:cs="Times New Roman"/>
          <w:b w:val="0"/>
          <w:w w:val="108"/>
          <w:sz w:val="18"/>
          <w:szCs w:val="18"/>
        </w:rPr>
        <w:t xml:space="preserve">as oxidant (RCI 15% </w:t>
      </w:r>
      <w:r w:rsidRPr="00623DC1">
        <w:rPr>
          <w:rFonts w:cs="Times New Roman"/>
          <w:b w:val="0"/>
          <w:i/>
          <w:w w:val="108"/>
          <w:sz w:val="18"/>
          <w:szCs w:val="18"/>
        </w:rPr>
        <w:t>vs</w:t>
      </w:r>
      <w:r>
        <w:rPr>
          <w:rFonts w:cs="Times New Roman"/>
          <w:b w:val="0"/>
          <w:i/>
          <w:w w:val="108"/>
          <w:sz w:val="18"/>
          <w:szCs w:val="18"/>
        </w:rPr>
        <w:t>.</w:t>
      </w:r>
      <w:r>
        <w:rPr>
          <w:rFonts w:cs="Times New Roman"/>
          <w:b w:val="0"/>
          <w:w w:val="108"/>
          <w:sz w:val="18"/>
          <w:szCs w:val="18"/>
        </w:rPr>
        <w:t xml:space="preserve"> traces; </w:t>
      </w:r>
      <w:r w:rsidRPr="00623DC1">
        <w:rPr>
          <w:rFonts w:cs="Times New Roman"/>
          <w:b w:val="0"/>
          <w:i/>
          <w:w w:val="108"/>
          <w:sz w:val="18"/>
          <w:szCs w:val="18"/>
        </w:rPr>
        <w:t>cf</w:t>
      </w:r>
      <w:r>
        <w:rPr>
          <w:rFonts w:cs="Times New Roman"/>
          <w:b w:val="0"/>
          <w:w w:val="108"/>
          <w:sz w:val="18"/>
          <w:szCs w:val="18"/>
        </w:rPr>
        <w:t>. entries 8 and 9).</w:t>
      </w:r>
      <w:r w:rsidRPr="00BA7CE7">
        <w:rPr>
          <w:rFonts w:cs="Times New Roman"/>
          <w:b w:val="0"/>
          <w:w w:val="108"/>
          <w:sz w:val="18"/>
          <w:szCs w:val="18"/>
        </w:rPr>
        <w:t xml:space="preserve"> </w:t>
      </w:r>
      <w:r>
        <w:rPr>
          <w:rFonts w:cs="Times New Roman"/>
          <w:b w:val="0"/>
          <w:w w:val="108"/>
          <w:sz w:val="18"/>
          <w:szCs w:val="18"/>
        </w:rPr>
        <w:t>Deploying the Mn-oxo</w:t>
      </w:r>
      <w:r w:rsidRPr="005E1C29">
        <w:rPr>
          <w:rFonts w:cs="Times New Roman"/>
          <w:b w:val="0"/>
          <w:w w:val="108"/>
          <w:sz w:val="18"/>
          <w:szCs w:val="18"/>
        </w:rPr>
        <w:t xml:space="preserve"> complex</w:t>
      </w:r>
      <w:r>
        <w:rPr>
          <w:rFonts w:cs="Times New Roman"/>
          <w:b w:val="0"/>
          <w:w w:val="108"/>
          <w:sz w:val="18"/>
          <w:szCs w:val="18"/>
        </w:rPr>
        <w:t xml:space="preserve"> </w:t>
      </w:r>
      <w:r>
        <w:rPr>
          <w:rFonts w:cs="Times New Roman"/>
          <w:w w:val="108"/>
          <w:sz w:val="18"/>
          <w:szCs w:val="18"/>
        </w:rPr>
        <w:t>1c</w:t>
      </w:r>
      <w:r>
        <w:rPr>
          <w:rFonts w:cs="Times New Roman"/>
          <w:b w:val="0"/>
          <w:w w:val="108"/>
          <w:sz w:val="18"/>
          <w:szCs w:val="18"/>
        </w:rPr>
        <w:t xml:space="preserve"> </w:t>
      </w:r>
      <w:r w:rsidR="002D0A23">
        <w:rPr>
          <w:rFonts w:cs="Times New Roman"/>
          <w:b w:val="0"/>
          <w:w w:val="108"/>
          <w:sz w:val="18"/>
          <w:szCs w:val="18"/>
        </w:rPr>
        <w:t xml:space="preserve">(see Table 1, footnote g) </w:t>
      </w:r>
      <w:r>
        <w:rPr>
          <w:rFonts w:cs="Times New Roman"/>
          <w:b w:val="0"/>
          <w:w w:val="108"/>
          <w:sz w:val="18"/>
          <w:szCs w:val="18"/>
        </w:rPr>
        <w:t xml:space="preserve">in place of pre-catalyst </w:t>
      </w:r>
      <w:r w:rsidRPr="000C2CE1">
        <w:rPr>
          <w:rFonts w:cs="Times New Roman"/>
          <w:w w:val="108"/>
          <w:sz w:val="18"/>
          <w:szCs w:val="18"/>
        </w:rPr>
        <w:t>1a</w:t>
      </w:r>
      <w:r>
        <w:rPr>
          <w:rFonts w:cs="Times New Roman"/>
          <w:b w:val="0"/>
          <w:w w:val="108"/>
          <w:sz w:val="18"/>
          <w:szCs w:val="18"/>
        </w:rPr>
        <w:t xml:space="preserve"> was found to be detrimental to performance (RCI 69% </w:t>
      </w:r>
      <w:r w:rsidRPr="004167C3">
        <w:rPr>
          <w:rFonts w:cs="Times New Roman"/>
          <w:b w:val="0"/>
          <w:i/>
          <w:w w:val="108"/>
          <w:sz w:val="18"/>
          <w:szCs w:val="18"/>
        </w:rPr>
        <w:t>vs</w:t>
      </w:r>
      <w:r>
        <w:rPr>
          <w:rFonts w:cs="Times New Roman"/>
          <w:b w:val="0"/>
          <w:w w:val="108"/>
          <w:sz w:val="18"/>
          <w:szCs w:val="18"/>
        </w:rPr>
        <w:t xml:space="preserve">. 19%; </w:t>
      </w:r>
      <w:r w:rsidRPr="004167C3">
        <w:rPr>
          <w:rFonts w:cs="Times New Roman"/>
          <w:b w:val="0"/>
          <w:i/>
          <w:w w:val="108"/>
          <w:sz w:val="18"/>
          <w:szCs w:val="18"/>
        </w:rPr>
        <w:t>cf</w:t>
      </w:r>
      <w:r>
        <w:rPr>
          <w:rFonts w:cs="Times New Roman"/>
          <w:b w:val="0"/>
          <w:w w:val="108"/>
          <w:sz w:val="18"/>
          <w:szCs w:val="18"/>
        </w:rPr>
        <w:t xml:space="preserve">. entries 12 and 13). Complex </w:t>
      </w:r>
      <w:r w:rsidRPr="00F971DB">
        <w:rPr>
          <w:rFonts w:cs="Times New Roman"/>
          <w:w w:val="108"/>
          <w:sz w:val="18"/>
          <w:szCs w:val="18"/>
        </w:rPr>
        <w:t>1a</w:t>
      </w:r>
      <w:r>
        <w:rPr>
          <w:rFonts w:cs="Times New Roman"/>
          <w:b w:val="0"/>
          <w:w w:val="108"/>
          <w:sz w:val="18"/>
          <w:szCs w:val="18"/>
        </w:rPr>
        <w:t xml:space="preserve"> was thereby deemed to be the most suitable pre-catalyst for the process.</w:t>
      </w:r>
    </w:p>
    <w:p w14:paraId="5B2D07E4" w14:textId="77777777" w:rsidR="0044116F" w:rsidRDefault="0044116F" w:rsidP="0044116F">
      <w:pPr>
        <w:pStyle w:val="RSCB04SectionHeading"/>
        <w:spacing w:before="120"/>
        <w:jc w:val="both"/>
        <w:rPr>
          <w:rFonts w:cs="Times New Roman"/>
          <w:b w:val="0"/>
          <w:w w:val="108"/>
          <w:sz w:val="18"/>
          <w:szCs w:val="18"/>
        </w:rPr>
      </w:pPr>
      <w:r>
        <w:rPr>
          <w:rFonts w:cs="Times New Roman"/>
          <w:b w:val="0"/>
          <w:w w:val="108"/>
          <w:sz w:val="18"/>
          <w:szCs w:val="18"/>
        </w:rPr>
        <w:t xml:space="preserve">Using pre-formed </w:t>
      </w:r>
      <w:r w:rsidRPr="003E6520">
        <w:rPr>
          <w:rFonts w:cs="Times New Roman"/>
          <w:b w:val="0"/>
          <w:w w:val="108"/>
          <w:sz w:val="18"/>
          <w:szCs w:val="18"/>
        </w:rPr>
        <w:t>(TMP)Mn</w:t>
      </w:r>
      <w:r>
        <w:rPr>
          <w:rFonts w:cs="Times New Roman"/>
          <w:b w:val="0"/>
          <w:w w:val="108"/>
          <w:sz w:val="18"/>
          <w:szCs w:val="18"/>
        </w:rPr>
        <w:t>-</w:t>
      </w:r>
      <w:proofErr w:type="spellStart"/>
      <w:r>
        <w:rPr>
          <w:rFonts w:cs="Times New Roman"/>
          <w:b w:val="0"/>
          <w:w w:val="108"/>
          <w:sz w:val="18"/>
          <w:szCs w:val="18"/>
        </w:rPr>
        <w:t>OTf</w:t>
      </w:r>
      <w:proofErr w:type="spellEnd"/>
      <w:r>
        <w:rPr>
          <w:rFonts w:cs="Times New Roman"/>
          <w:b w:val="0"/>
          <w:w w:val="108"/>
          <w:sz w:val="18"/>
          <w:szCs w:val="18"/>
        </w:rPr>
        <w:t xml:space="preserve"> complex, which is presumed to form by reaction of the </w:t>
      </w:r>
      <w:r w:rsidRPr="003E6520">
        <w:rPr>
          <w:rFonts w:cs="Times New Roman"/>
          <w:b w:val="0"/>
          <w:w w:val="108"/>
          <w:sz w:val="18"/>
          <w:szCs w:val="18"/>
        </w:rPr>
        <w:t>(TMP)Mn</w:t>
      </w:r>
      <w:r>
        <w:rPr>
          <w:rFonts w:cs="Times New Roman"/>
          <w:b w:val="0"/>
          <w:w w:val="108"/>
          <w:sz w:val="18"/>
          <w:szCs w:val="18"/>
        </w:rPr>
        <w:t xml:space="preserve">-Cl pre-catalyst with the </w:t>
      </w:r>
      <w:proofErr w:type="spellStart"/>
      <w:r>
        <w:rPr>
          <w:rFonts w:cs="Times New Roman"/>
          <w:b w:val="0"/>
          <w:w w:val="108"/>
          <w:sz w:val="18"/>
          <w:szCs w:val="18"/>
        </w:rPr>
        <w:t>AgOTf</w:t>
      </w:r>
      <w:proofErr w:type="spellEnd"/>
      <w:r>
        <w:rPr>
          <w:rFonts w:cs="Times New Roman"/>
          <w:b w:val="0"/>
          <w:w w:val="108"/>
          <w:sz w:val="18"/>
          <w:szCs w:val="18"/>
        </w:rPr>
        <w:t xml:space="preserve"> additive under the reaction conditions, led to an identical result with cycloheptane to that achieved with the more convenient </w:t>
      </w:r>
      <w:r w:rsidRPr="00471782">
        <w:rPr>
          <w:rFonts w:cs="Times New Roman"/>
          <w:b w:val="0"/>
          <w:i/>
          <w:w w:val="108"/>
          <w:sz w:val="18"/>
          <w:szCs w:val="18"/>
        </w:rPr>
        <w:t>in situ</w:t>
      </w:r>
      <w:r>
        <w:rPr>
          <w:rFonts w:cs="Times New Roman"/>
          <w:b w:val="0"/>
          <w:w w:val="108"/>
          <w:sz w:val="18"/>
          <w:szCs w:val="18"/>
        </w:rPr>
        <w:t xml:space="preserve"> mixing (RCI 15%; </w:t>
      </w:r>
      <w:r w:rsidRPr="00063170">
        <w:rPr>
          <w:rFonts w:cs="Times New Roman"/>
          <w:b w:val="0"/>
          <w:i/>
          <w:w w:val="108"/>
          <w:sz w:val="18"/>
          <w:szCs w:val="18"/>
        </w:rPr>
        <w:t>cf</w:t>
      </w:r>
      <w:r>
        <w:rPr>
          <w:rFonts w:cs="Times New Roman"/>
          <w:b w:val="0"/>
          <w:w w:val="108"/>
          <w:sz w:val="18"/>
          <w:szCs w:val="18"/>
        </w:rPr>
        <w:t xml:space="preserve">. entry 8, data not shown). A general comparison of </w:t>
      </w:r>
      <w:proofErr w:type="spellStart"/>
      <w:r>
        <w:rPr>
          <w:rFonts w:cs="Times New Roman"/>
          <w:b w:val="0"/>
          <w:w w:val="108"/>
          <w:sz w:val="18"/>
          <w:szCs w:val="18"/>
        </w:rPr>
        <w:t>AgOTs</w:t>
      </w:r>
      <w:proofErr w:type="spellEnd"/>
      <w:r>
        <w:rPr>
          <w:rFonts w:cs="Times New Roman"/>
          <w:b w:val="0"/>
          <w:w w:val="108"/>
          <w:sz w:val="18"/>
          <w:szCs w:val="18"/>
        </w:rPr>
        <w:t xml:space="preserve"> and </w:t>
      </w:r>
      <w:proofErr w:type="spellStart"/>
      <w:r>
        <w:rPr>
          <w:rFonts w:cs="Times New Roman"/>
          <w:b w:val="0"/>
          <w:w w:val="108"/>
          <w:sz w:val="18"/>
          <w:szCs w:val="18"/>
        </w:rPr>
        <w:t>AgOTf</w:t>
      </w:r>
      <w:proofErr w:type="spellEnd"/>
      <w:r>
        <w:rPr>
          <w:rFonts w:cs="Times New Roman"/>
          <w:b w:val="0"/>
          <w:w w:val="108"/>
          <w:sz w:val="18"/>
          <w:szCs w:val="18"/>
        </w:rPr>
        <w:t xml:space="preserve"> as additives revealed that </w:t>
      </w:r>
      <w:r w:rsidRPr="00FC7D45">
        <w:rPr>
          <w:rFonts w:cs="Times New Roman"/>
          <w:b w:val="0"/>
          <w:w w:val="108"/>
          <w:sz w:val="18"/>
          <w:szCs w:val="18"/>
        </w:rPr>
        <w:t>although the former additive gave slightly cleaner radio-HPLC traces, the latter</w:t>
      </w:r>
      <w:r>
        <w:rPr>
          <w:rFonts w:cs="Times New Roman"/>
          <w:b w:val="0"/>
          <w:w w:val="108"/>
          <w:sz w:val="18"/>
          <w:szCs w:val="18"/>
        </w:rPr>
        <w:t xml:space="preserve"> led to higher overall RCIs. The high reactivity of </w:t>
      </w:r>
      <w:proofErr w:type="spellStart"/>
      <w:r>
        <w:rPr>
          <w:rFonts w:cs="Times New Roman"/>
          <w:b w:val="0"/>
          <w:w w:val="108"/>
          <w:sz w:val="18"/>
          <w:szCs w:val="18"/>
        </w:rPr>
        <w:t>AgOTf</w:t>
      </w:r>
      <w:proofErr w:type="spellEnd"/>
      <w:r>
        <w:rPr>
          <w:rFonts w:cs="Times New Roman"/>
          <w:b w:val="0"/>
          <w:w w:val="108"/>
          <w:sz w:val="18"/>
          <w:szCs w:val="18"/>
        </w:rPr>
        <w:t xml:space="preserve"> presumably not only leads to fast chloride exchange but also some isotopic exchange. All reactions were carried out at 60 °C as it was found that at temperatures of 70 </w:t>
      </w:r>
      <w:r w:rsidRPr="003F0637">
        <w:rPr>
          <w:b w:val="0"/>
          <w:sz w:val="18"/>
        </w:rPr>
        <w:t>°</w:t>
      </w:r>
      <w:r>
        <w:rPr>
          <w:rFonts w:cs="Times New Roman"/>
          <w:b w:val="0"/>
          <w:w w:val="108"/>
          <w:sz w:val="18"/>
          <w:szCs w:val="18"/>
        </w:rPr>
        <w:t>C and higher significantly more side products were formed.</w:t>
      </w:r>
    </w:p>
    <w:p w14:paraId="69948D31" w14:textId="644E38A1" w:rsidR="0044116F" w:rsidRPr="00536D3C" w:rsidRDefault="0044116F" w:rsidP="0044116F">
      <w:pPr>
        <w:pStyle w:val="RSCB04SectionHeading"/>
        <w:spacing w:before="120"/>
        <w:jc w:val="both"/>
        <w:rPr>
          <w:rFonts w:cs="Times New Roman"/>
          <w:b w:val="0"/>
          <w:w w:val="108"/>
          <w:sz w:val="18"/>
          <w:szCs w:val="18"/>
        </w:rPr>
      </w:pPr>
      <w:r>
        <w:rPr>
          <w:rFonts w:cs="Times New Roman"/>
          <w:b w:val="0"/>
          <w:w w:val="108"/>
          <w:sz w:val="18"/>
          <w:szCs w:val="18"/>
        </w:rPr>
        <w:t xml:space="preserve">Since </w:t>
      </w:r>
      <w:proofErr w:type="spellStart"/>
      <w:r w:rsidRPr="00BA7CE7">
        <w:rPr>
          <w:rFonts w:cs="Times New Roman"/>
          <w:b w:val="0"/>
          <w:w w:val="108"/>
          <w:sz w:val="18"/>
          <w:szCs w:val="18"/>
        </w:rPr>
        <w:t>PhIO</w:t>
      </w:r>
      <w:proofErr w:type="spellEnd"/>
      <w:r w:rsidR="003C6184">
        <w:rPr>
          <w:rFonts w:cs="Times New Roman"/>
          <w:b w:val="0"/>
          <w:w w:val="108"/>
          <w:sz w:val="18"/>
          <w:szCs w:val="18"/>
        </w:rPr>
        <w:t xml:space="preserve"> (</w:t>
      </w:r>
      <w:r w:rsidR="003C6184" w:rsidRPr="003C6184">
        <w:rPr>
          <w:rFonts w:cs="Times New Roman"/>
          <w:bCs/>
          <w:w w:val="108"/>
          <w:sz w:val="18"/>
          <w:szCs w:val="18"/>
        </w:rPr>
        <w:t>16a</w:t>
      </w:r>
      <w:r w:rsidRPr="00BA7CE7">
        <w:rPr>
          <w:rFonts w:cs="Times New Roman"/>
          <w:b w:val="0"/>
          <w:w w:val="108"/>
          <w:sz w:val="18"/>
          <w:szCs w:val="18"/>
        </w:rPr>
        <w:t xml:space="preserve">) </w:t>
      </w:r>
      <w:r>
        <w:rPr>
          <w:rFonts w:cs="Times New Roman"/>
          <w:b w:val="0"/>
          <w:w w:val="108"/>
          <w:sz w:val="18"/>
          <w:szCs w:val="18"/>
        </w:rPr>
        <w:t xml:space="preserve">has relatively low solubility in organic solvents including </w:t>
      </w:r>
      <w:proofErr w:type="spellStart"/>
      <w:r>
        <w:rPr>
          <w:rFonts w:cs="Times New Roman"/>
          <w:b w:val="0"/>
          <w:w w:val="108"/>
          <w:sz w:val="18"/>
          <w:szCs w:val="18"/>
        </w:rPr>
        <w:t>MeCN</w:t>
      </w:r>
      <w:proofErr w:type="spellEnd"/>
      <w:r>
        <w:rPr>
          <w:rFonts w:cs="Times New Roman"/>
          <w:b w:val="0"/>
          <w:w w:val="108"/>
          <w:sz w:val="18"/>
          <w:szCs w:val="18"/>
        </w:rPr>
        <w:t xml:space="preserve">, 3 </w:t>
      </w:r>
      <w:r w:rsidRPr="00BA7CE7">
        <w:rPr>
          <w:rFonts w:cs="Times New Roman"/>
          <w:b w:val="0"/>
          <w:w w:val="108"/>
          <w:sz w:val="18"/>
          <w:szCs w:val="18"/>
        </w:rPr>
        <w:t xml:space="preserve">other oxidants were </w:t>
      </w:r>
      <w:r>
        <w:rPr>
          <w:rFonts w:cs="Times New Roman"/>
          <w:b w:val="0"/>
          <w:w w:val="108"/>
          <w:sz w:val="18"/>
          <w:szCs w:val="18"/>
        </w:rPr>
        <w:t>evaluated as potential alternatives</w:t>
      </w:r>
      <w:r w:rsidRPr="00BA7CE7">
        <w:rPr>
          <w:rFonts w:cs="Times New Roman"/>
          <w:b w:val="0"/>
          <w:w w:val="108"/>
          <w:sz w:val="18"/>
          <w:szCs w:val="18"/>
        </w:rPr>
        <w:t>.</w:t>
      </w:r>
      <w:r>
        <w:rPr>
          <w:rFonts w:cs="Times New Roman"/>
          <w:b w:val="0"/>
          <w:w w:val="108"/>
          <w:sz w:val="18"/>
          <w:szCs w:val="18"/>
        </w:rPr>
        <w:t xml:space="preserve"> </w:t>
      </w:r>
      <w:bookmarkStart w:id="5" w:name="_Hlk48573520"/>
      <w:r w:rsidRPr="00F971DB">
        <w:rPr>
          <w:rFonts w:cs="Times New Roman"/>
          <w:b w:val="0"/>
          <w:i/>
          <w:w w:val="108"/>
          <w:sz w:val="18"/>
          <w:szCs w:val="18"/>
        </w:rPr>
        <w:t>meta</w:t>
      </w:r>
      <w:r w:rsidRPr="00BA7CE7">
        <w:rPr>
          <w:rFonts w:cs="Times New Roman"/>
          <w:b w:val="0"/>
          <w:w w:val="108"/>
          <w:sz w:val="18"/>
          <w:szCs w:val="18"/>
        </w:rPr>
        <w:t>-</w:t>
      </w:r>
      <w:proofErr w:type="spellStart"/>
      <w:r w:rsidR="00EB036A">
        <w:rPr>
          <w:rFonts w:cs="Times New Roman"/>
          <w:b w:val="0"/>
          <w:w w:val="108"/>
          <w:sz w:val="18"/>
          <w:szCs w:val="18"/>
        </w:rPr>
        <w:t>c</w:t>
      </w:r>
      <w:r w:rsidRPr="00BA7CE7">
        <w:rPr>
          <w:rFonts w:cs="Times New Roman"/>
          <w:b w:val="0"/>
          <w:w w:val="108"/>
          <w:sz w:val="18"/>
          <w:szCs w:val="18"/>
        </w:rPr>
        <w:t>hloroperoxybenzoic</w:t>
      </w:r>
      <w:proofErr w:type="spellEnd"/>
      <w:r w:rsidRPr="00BA7CE7">
        <w:rPr>
          <w:rFonts w:cs="Times New Roman"/>
          <w:b w:val="0"/>
          <w:w w:val="108"/>
          <w:sz w:val="18"/>
          <w:szCs w:val="18"/>
        </w:rPr>
        <w:t xml:space="preserve"> acid (</w:t>
      </w:r>
      <w:r w:rsidRPr="00F971DB">
        <w:rPr>
          <w:rFonts w:cs="Times New Roman"/>
          <w:b w:val="0"/>
          <w:i/>
          <w:w w:val="108"/>
          <w:sz w:val="18"/>
          <w:szCs w:val="18"/>
        </w:rPr>
        <w:t>m</w:t>
      </w:r>
      <w:r>
        <w:rPr>
          <w:rFonts w:cs="Times New Roman"/>
          <w:b w:val="0"/>
          <w:w w:val="108"/>
          <w:sz w:val="18"/>
          <w:szCs w:val="18"/>
        </w:rPr>
        <w:t>-CPBA</w:t>
      </w:r>
      <w:bookmarkEnd w:id="5"/>
      <w:r>
        <w:rPr>
          <w:rFonts w:cs="Times New Roman"/>
          <w:b w:val="0"/>
          <w:w w:val="108"/>
          <w:sz w:val="18"/>
          <w:szCs w:val="18"/>
        </w:rPr>
        <w:t xml:space="preserve">) was evaluated with progesterone and pre-catalyst </w:t>
      </w:r>
      <w:r w:rsidRPr="00822C59">
        <w:rPr>
          <w:rFonts w:cs="Times New Roman"/>
          <w:w w:val="108"/>
          <w:sz w:val="18"/>
          <w:szCs w:val="18"/>
        </w:rPr>
        <w:t>1a</w:t>
      </w:r>
      <w:r>
        <w:rPr>
          <w:rFonts w:cs="Times New Roman"/>
          <w:b w:val="0"/>
          <w:w w:val="108"/>
          <w:sz w:val="18"/>
          <w:szCs w:val="18"/>
        </w:rPr>
        <w:t xml:space="preserve"> but performed less well than </w:t>
      </w:r>
      <w:proofErr w:type="spellStart"/>
      <w:r>
        <w:rPr>
          <w:rFonts w:cs="Times New Roman"/>
          <w:b w:val="0"/>
          <w:w w:val="108"/>
          <w:sz w:val="18"/>
          <w:szCs w:val="18"/>
        </w:rPr>
        <w:t>PhIO</w:t>
      </w:r>
      <w:proofErr w:type="spellEnd"/>
      <w:r>
        <w:rPr>
          <w:rFonts w:cs="Times New Roman"/>
          <w:b w:val="0"/>
          <w:w w:val="108"/>
          <w:sz w:val="18"/>
          <w:szCs w:val="18"/>
        </w:rPr>
        <w:t xml:space="preserve"> </w:t>
      </w:r>
      <w:r w:rsidRPr="00FD6D3E">
        <w:rPr>
          <w:rFonts w:cs="Times New Roman"/>
          <w:b w:val="0"/>
          <w:w w:val="108"/>
          <w:sz w:val="18"/>
          <w:szCs w:val="18"/>
        </w:rPr>
        <w:t xml:space="preserve">(RCI 13% </w:t>
      </w:r>
      <w:r w:rsidRPr="00FD6D3E">
        <w:rPr>
          <w:rFonts w:cs="Times New Roman"/>
          <w:b w:val="0"/>
          <w:i/>
          <w:w w:val="108"/>
          <w:sz w:val="18"/>
          <w:szCs w:val="18"/>
        </w:rPr>
        <w:t>vs.</w:t>
      </w:r>
      <w:r w:rsidR="00EB036A">
        <w:rPr>
          <w:rFonts w:cs="Times New Roman"/>
          <w:b w:val="0"/>
          <w:w w:val="108"/>
          <w:sz w:val="18"/>
          <w:szCs w:val="18"/>
        </w:rPr>
        <w:t xml:space="preserve"> 38%; see</w:t>
      </w:r>
      <w:r w:rsidRPr="00FD6D3E">
        <w:rPr>
          <w:rFonts w:cs="Times New Roman"/>
          <w:b w:val="0"/>
          <w:i/>
          <w:w w:val="108"/>
          <w:sz w:val="18"/>
          <w:szCs w:val="18"/>
        </w:rPr>
        <w:t xml:space="preserve"> </w:t>
      </w:r>
      <w:r w:rsidR="00EB036A">
        <w:rPr>
          <w:rFonts w:cs="Times New Roman"/>
          <w:b w:val="0"/>
          <w:w w:val="108"/>
          <w:sz w:val="18"/>
          <w:szCs w:val="18"/>
        </w:rPr>
        <w:t>ESI</w:t>
      </w:r>
      <w:r w:rsidRPr="00FD6D3E">
        <w:rPr>
          <w:rFonts w:cs="Times New Roman"/>
          <w:b w:val="0"/>
          <w:w w:val="108"/>
          <w:sz w:val="18"/>
          <w:szCs w:val="18"/>
        </w:rPr>
        <w:t>).</w:t>
      </w:r>
      <w:r w:rsidRPr="00822C59">
        <w:rPr>
          <w:rFonts w:cs="Times New Roman"/>
          <w:b w:val="0"/>
          <w:w w:val="108"/>
          <w:sz w:val="18"/>
          <w:szCs w:val="18"/>
        </w:rPr>
        <w:t xml:space="preserve"> </w:t>
      </w:r>
      <w:proofErr w:type="spellStart"/>
      <w:r>
        <w:rPr>
          <w:rFonts w:cs="Times New Roman"/>
          <w:b w:val="0"/>
          <w:w w:val="108"/>
          <w:sz w:val="18"/>
          <w:szCs w:val="18"/>
        </w:rPr>
        <w:t>Iodone</w:t>
      </w:r>
      <w:proofErr w:type="spellEnd"/>
      <w:r>
        <w:rPr>
          <w:rFonts w:cs="Times New Roman"/>
          <w:b w:val="0"/>
          <w:w w:val="108"/>
          <w:sz w:val="18"/>
          <w:szCs w:val="18"/>
        </w:rPr>
        <w:t xml:space="preserve">(III) oxidants </w:t>
      </w:r>
      <w:r w:rsidRPr="00822C59">
        <w:rPr>
          <w:rFonts w:ascii="Calibri" w:eastAsia="Times New Roman" w:hAnsi="Calibri" w:cs="Calibri"/>
          <w:b w:val="0"/>
          <w:color w:val="000000"/>
          <w:sz w:val="18"/>
          <w:szCs w:val="18"/>
          <w:lang w:eastAsia="en-GB"/>
        </w:rPr>
        <w:t>(</w:t>
      </w:r>
      <w:proofErr w:type="spellStart"/>
      <w:r w:rsidRPr="00822C59">
        <w:rPr>
          <w:rFonts w:ascii="Calibri" w:eastAsia="Times New Roman" w:hAnsi="Calibri" w:cs="Calibri"/>
          <w:b w:val="0"/>
          <w:color w:val="000000"/>
          <w:sz w:val="18"/>
          <w:szCs w:val="18"/>
          <w:lang w:eastAsia="en-GB"/>
        </w:rPr>
        <w:t>PhIO</w:t>
      </w:r>
      <w:proofErr w:type="spellEnd"/>
      <w:r w:rsidRPr="00822C59">
        <w:rPr>
          <w:rFonts w:ascii="Calibri" w:eastAsia="Times New Roman" w:hAnsi="Calibri" w:cs="Calibri"/>
          <w:b w:val="0"/>
          <w:color w:val="000000"/>
          <w:sz w:val="18"/>
          <w:szCs w:val="18"/>
          <w:lang w:eastAsia="en-GB"/>
        </w:rPr>
        <w:t>)</w:t>
      </w:r>
      <w:r w:rsidRPr="00822C59">
        <w:rPr>
          <w:rFonts w:ascii="Calibri" w:eastAsia="Times New Roman" w:hAnsi="Calibri" w:cs="Calibri"/>
          <w:b w:val="0"/>
          <w:color w:val="000000"/>
          <w:sz w:val="18"/>
          <w:szCs w:val="18"/>
          <w:vertAlign w:val="subscript"/>
          <w:lang w:eastAsia="en-GB"/>
        </w:rPr>
        <w:t>3</w:t>
      </w:r>
      <w:r w:rsidRPr="00822C59">
        <w:rPr>
          <w:rFonts w:ascii="Calibri" w:eastAsia="Times New Roman" w:hAnsi="Calibri" w:cs="Calibri"/>
          <w:b w:val="0"/>
          <w:color w:val="000000"/>
          <w:sz w:val="18"/>
          <w:szCs w:val="18"/>
          <w:lang w:eastAsia="en-GB"/>
        </w:rPr>
        <w:t>·SO</w:t>
      </w:r>
      <w:r w:rsidRPr="00822C59">
        <w:rPr>
          <w:rFonts w:ascii="Calibri" w:eastAsia="Times New Roman" w:hAnsi="Calibri" w:cs="Calibri"/>
          <w:b w:val="0"/>
          <w:color w:val="000000"/>
          <w:sz w:val="18"/>
          <w:szCs w:val="18"/>
          <w:vertAlign w:val="subscript"/>
          <w:lang w:eastAsia="en-GB"/>
        </w:rPr>
        <w:t>3</w:t>
      </w:r>
      <w:r>
        <w:rPr>
          <w:rFonts w:ascii="Calibri" w:eastAsia="Times New Roman" w:hAnsi="Calibri" w:cs="Calibri"/>
          <w:color w:val="000000"/>
          <w:sz w:val="18"/>
          <w:szCs w:val="18"/>
          <w:vertAlign w:val="subscript"/>
          <w:lang w:eastAsia="en-GB"/>
        </w:rPr>
        <w:t xml:space="preserve"> </w:t>
      </w:r>
      <w:r w:rsidR="003C6184" w:rsidRPr="003C6184">
        <w:rPr>
          <w:b w:val="0"/>
          <w:bCs/>
          <w:sz w:val="18"/>
          <w:szCs w:val="18"/>
        </w:rPr>
        <w:t>(</w:t>
      </w:r>
      <w:r w:rsidR="003C6184" w:rsidRPr="003C6184">
        <w:rPr>
          <w:sz w:val="18"/>
          <w:szCs w:val="18"/>
        </w:rPr>
        <w:t>16d</w:t>
      </w:r>
      <w:r w:rsidR="003C6184" w:rsidRPr="003C6184">
        <w:rPr>
          <w:rFonts w:ascii="Calibri" w:eastAsia="Times New Roman" w:hAnsi="Calibri" w:cs="Calibri"/>
          <w:b w:val="0"/>
          <w:bCs/>
          <w:color w:val="000000"/>
          <w:sz w:val="18"/>
          <w:szCs w:val="18"/>
          <w:lang w:eastAsia="en-GB"/>
        </w:rPr>
        <w:t>)</w:t>
      </w:r>
      <w:r w:rsidR="003C6184" w:rsidRPr="003C6184">
        <w:rPr>
          <w:rFonts w:ascii="Calibri" w:eastAsia="Times New Roman" w:hAnsi="Calibri" w:cs="Calibri"/>
          <w:color w:val="000000"/>
          <w:sz w:val="18"/>
          <w:szCs w:val="18"/>
          <w:vertAlign w:val="subscript"/>
          <w:lang w:eastAsia="en-GB"/>
        </w:rPr>
        <w:t xml:space="preserve"> </w:t>
      </w:r>
      <w:r w:rsidRPr="003C6184">
        <w:rPr>
          <w:rFonts w:cs="Times New Roman"/>
          <w:b w:val="0"/>
          <w:w w:val="108"/>
          <w:sz w:val="18"/>
          <w:szCs w:val="18"/>
        </w:rPr>
        <w:t>and</w:t>
      </w:r>
      <w:r>
        <w:rPr>
          <w:rFonts w:cs="Times New Roman"/>
          <w:b w:val="0"/>
          <w:w w:val="108"/>
          <w:sz w:val="18"/>
          <w:szCs w:val="18"/>
        </w:rPr>
        <w:t xml:space="preserve"> isopropyl(</w:t>
      </w:r>
      <w:r w:rsidRPr="00583239">
        <w:rPr>
          <w:rFonts w:cs="Times New Roman"/>
          <w:b w:val="0"/>
          <w:w w:val="108"/>
          <w:sz w:val="18"/>
          <w:szCs w:val="18"/>
        </w:rPr>
        <w:t>2-iodoxybenzoate)</w:t>
      </w:r>
      <w:r>
        <w:rPr>
          <w:rFonts w:cs="Times New Roman"/>
          <w:b w:val="0"/>
          <w:w w:val="108"/>
          <w:sz w:val="18"/>
          <w:szCs w:val="18"/>
        </w:rPr>
        <w:t xml:space="preserve"> (IBX ester</w:t>
      </w:r>
      <w:r w:rsidR="00FB5C92">
        <w:rPr>
          <w:rFonts w:cs="Times New Roman"/>
          <w:b w:val="0"/>
          <w:w w:val="108"/>
          <w:sz w:val="18"/>
          <w:szCs w:val="18"/>
        </w:rPr>
        <w:t xml:space="preserve">, </w:t>
      </w:r>
      <w:r w:rsidR="00FB5C92" w:rsidRPr="00FB5C92">
        <w:rPr>
          <w:rFonts w:cs="Times New Roman"/>
          <w:bCs/>
          <w:w w:val="108"/>
          <w:sz w:val="18"/>
          <w:szCs w:val="18"/>
        </w:rPr>
        <w:t>16c</w:t>
      </w:r>
      <w:r>
        <w:rPr>
          <w:rFonts w:cs="Times New Roman"/>
          <w:b w:val="0"/>
          <w:w w:val="108"/>
          <w:sz w:val="18"/>
          <w:szCs w:val="18"/>
        </w:rPr>
        <w:t>) were evaluated with cycloheptane as more soluble analogues</w:t>
      </w:r>
      <w:r w:rsidRPr="00BA7CE7">
        <w:rPr>
          <w:rFonts w:cs="Times New Roman"/>
          <w:b w:val="0"/>
          <w:w w:val="108"/>
          <w:sz w:val="18"/>
          <w:szCs w:val="18"/>
        </w:rPr>
        <w:fldChar w:fldCharType="begin" w:fldLock="1"/>
      </w:r>
      <w:r w:rsidR="00085620">
        <w:rPr>
          <w:rFonts w:cs="Times New Roman"/>
          <w:b w:val="0"/>
          <w:w w:val="108"/>
          <w:sz w:val="18"/>
          <w:szCs w:val="18"/>
        </w:rPr>
        <w:instrText>ADDIN CSL_CITATION {"citationItems":[{"id":"ITEM-1","itemData":{"DOI":"10.1002/adsc.200800784","ISSN":"16154150","author":[{"dropping-particle":"","family":"Geraskin","given":"Ivan M.","non-dropping-particle":"","parse-names":false,"suffix":""},{"dropping-particle":"","family":"Pavlova","given":"Olga","non-dropping-particle":"","parse-names":false,"suffix":""},{"dropping-particle":"","family":"Neu","given":"Heather M.","non-dropping-particle":"","parse-names":false,"suffix":""},{"dropping-particle":"","family":"Yusubov","given":"Mekhman S.","non-dropping-particle":"","parse-names":false,"suffix":""},{"dropping-particle":"","family":"Nemykin","given":"Victor N.","non-dropping-particle":"","parse-names":false,"suffix":""},{"dropping-particle":"","family":"Zhdankin","given":"Viktor V.","non-dropping-particle":"","parse-names":false,"suffix":""}],"container-title":"Advanced Synthesis &amp; Catalysis","id":"ITEM-1","issue":"5","issued":{"date-parts":[["2009","3"]]},"page":"733-737","title":"Comparative Reactivity of Hypervalent Iodine Oxidants in Metalloporphyrin-Catalyzed Oxygenation of Hydrocarbons: Iodosylbenzene Sulfate and 2-Iodylbenzoic Acid Ester as Safe and Convenient Alternatives to Iodosylbenzene","type":"article-journal","volume":"351"},"uris":["http://www.mendeley.com/documents/?uuid=b81584aa-dcc8-4cf6-b272-ca593515d23f"]}],"mendeley":{"formattedCitation":"&lt;sup&gt;34&lt;/sup&gt;","plainTextFormattedCitation":"34","previouslyFormattedCitation":"(Geraskin et al. 2009)"},"properties":{"noteIndex":0},"schema":"https://github.com/citation-style-language/schema/raw/master/csl-citation.json"}</w:instrText>
      </w:r>
      <w:r w:rsidRPr="00BA7CE7">
        <w:rPr>
          <w:rFonts w:cs="Times New Roman"/>
          <w:b w:val="0"/>
          <w:w w:val="108"/>
          <w:sz w:val="18"/>
          <w:szCs w:val="18"/>
        </w:rPr>
        <w:fldChar w:fldCharType="separate"/>
      </w:r>
      <w:r w:rsidR="00085620" w:rsidRPr="00085620">
        <w:rPr>
          <w:rFonts w:cs="Times New Roman"/>
          <w:b w:val="0"/>
          <w:noProof/>
          <w:w w:val="108"/>
          <w:sz w:val="18"/>
          <w:szCs w:val="18"/>
          <w:vertAlign w:val="superscript"/>
        </w:rPr>
        <w:t>34</w:t>
      </w:r>
      <w:r w:rsidRPr="00BA7CE7">
        <w:rPr>
          <w:rFonts w:cs="Times New Roman"/>
          <w:b w:val="0"/>
          <w:w w:val="108"/>
          <w:sz w:val="18"/>
          <w:szCs w:val="18"/>
        </w:rPr>
        <w:fldChar w:fldCharType="end"/>
      </w:r>
      <w:r>
        <w:rPr>
          <w:rFonts w:cs="Times New Roman"/>
          <w:b w:val="0"/>
          <w:w w:val="108"/>
          <w:sz w:val="18"/>
          <w:szCs w:val="18"/>
        </w:rPr>
        <w:t xml:space="preserve"> of </w:t>
      </w:r>
      <w:proofErr w:type="spellStart"/>
      <w:r>
        <w:rPr>
          <w:rFonts w:cs="Times New Roman"/>
          <w:b w:val="0"/>
          <w:w w:val="108"/>
          <w:sz w:val="18"/>
          <w:szCs w:val="18"/>
        </w:rPr>
        <w:t>PhIO</w:t>
      </w:r>
      <w:proofErr w:type="spellEnd"/>
      <w:r w:rsidR="00FB5C92">
        <w:rPr>
          <w:rFonts w:cs="Times New Roman"/>
          <w:b w:val="0"/>
          <w:w w:val="108"/>
          <w:sz w:val="18"/>
          <w:szCs w:val="18"/>
        </w:rPr>
        <w:t xml:space="preserve"> (</w:t>
      </w:r>
      <w:r w:rsidR="00FB5C92" w:rsidRPr="00FB5C92">
        <w:rPr>
          <w:rFonts w:cs="Times New Roman"/>
          <w:bCs/>
          <w:w w:val="108"/>
          <w:sz w:val="18"/>
          <w:szCs w:val="18"/>
        </w:rPr>
        <w:t>16a</w:t>
      </w:r>
      <w:r w:rsidR="00FB5C92">
        <w:rPr>
          <w:rFonts w:cs="Times New Roman"/>
          <w:b w:val="0"/>
          <w:w w:val="108"/>
          <w:sz w:val="18"/>
          <w:szCs w:val="18"/>
        </w:rPr>
        <w:t>)</w:t>
      </w:r>
      <w:r>
        <w:rPr>
          <w:rFonts w:cs="Times New Roman"/>
          <w:b w:val="0"/>
          <w:w w:val="108"/>
          <w:sz w:val="18"/>
          <w:szCs w:val="18"/>
        </w:rPr>
        <w:t xml:space="preserve">. Both oxidants are readily soluble in </w:t>
      </w:r>
      <w:proofErr w:type="spellStart"/>
      <w:r>
        <w:rPr>
          <w:rFonts w:cs="Times New Roman"/>
          <w:b w:val="0"/>
          <w:w w:val="108"/>
          <w:sz w:val="18"/>
          <w:szCs w:val="18"/>
        </w:rPr>
        <w:t>MeCN</w:t>
      </w:r>
      <w:proofErr w:type="spellEnd"/>
      <w:r>
        <w:rPr>
          <w:rFonts w:cs="Times New Roman"/>
          <w:b w:val="0"/>
          <w:w w:val="108"/>
          <w:sz w:val="18"/>
          <w:szCs w:val="18"/>
        </w:rPr>
        <w:t xml:space="preserve"> </w:t>
      </w:r>
      <w:r w:rsidRPr="00BA7CE7">
        <w:rPr>
          <w:rFonts w:cs="Times New Roman"/>
          <w:b w:val="0"/>
          <w:w w:val="108"/>
          <w:sz w:val="18"/>
          <w:szCs w:val="18"/>
        </w:rPr>
        <w:t xml:space="preserve">at room temperature, </w:t>
      </w:r>
      <w:r>
        <w:rPr>
          <w:rFonts w:cs="Times New Roman"/>
          <w:b w:val="0"/>
          <w:w w:val="108"/>
          <w:sz w:val="18"/>
          <w:szCs w:val="18"/>
        </w:rPr>
        <w:t xml:space="preserve">but both delivered lower </w:t>
      </w:r>
      <w:r w:rsidRPr="00BA7CE7">
        <w:rPr>
          <w:rFonts w:cs="Times New Roman"/>
          <w:b w:val="0"/>
          <w:w w:val="108"/>
          <w:sz w:val="18"/>
          <w:szCs w:val="18"/>
        </w:rPr>
        <w:t>RCI</w:t>
      </w:r>
      <w:r>
        <w:rPr>
          <w:rFonts w:cs="Times New Roman"/>
          <w:b w:val="0"/>
          <w:w w:val="108"/>
          <w:sz w:val="18"/>
          <w:szCs w:val="18"/>
        </w:rPr>
        <w:t>s</w:t>
      </w:r>
      <w:r w:rsidRPr="00BA7CE7">
        <w:rPr>
          <w:rFonts w:cs="Times New Roman"/>
          <w:b w:val="0"/>
          <w:w w:val="108"/>
          <w:sz w:val="18"/>
          <w:szCs w:val="18"/>
        </w:rPr>
        <w:t xml:space="preserve"> </w:t>
      </w:r>
      <w:r>
        <w:rPr>
          <w:rFonts w:cs="Times New Roman"/>
          <w:b w:val="0"/>
          <w:w w:val="108"/>
          <w:sz w:val="18"/>
          <w:szCs w:val="18"/>
        </w:rPr>
        <w:t xml:space="preserve">as compared to </w:t>
      </w:r>
      <w:proofErr w:type="spellStart"/>
      <w:r>
        <w:rPr>
          <w:rFonts w:cs="Times New Roman"/>
          <w:b w:val="0"/>
          <w:w w:val="108"/>
          <w:sz w:val="18"/>
          <w:szCs w:val="18"/>
        </w:rPr>
        <w:t>PhIO</w:t>
      </w:r>
      <w:proofErr w:type="spellEnd"/>
      <w:r>
        <w:rPr>
          <w:rFonts w:cs="Times New Roman"/>
          <w:b w:val="0"/>
          <w:w w:val="108"/>
          <w:sz w:val="18"/>
          <w:szCs w:val="18"/>
        </w:rPr>
        <w:t xml:space="preserve"> [</w:t>
      </w:r>
      <w:r w:rsidRPr="00BA7CE7">
        <w:rPr>
          <w:rFonts w:cs="Times New Roman"/>
          <w:b w:val="0"/>
          <w:w w:val="108"/>
          <w:sz w:val="18"/>
          <w:szCs w:val="18"/>
        </w:rPr>
        <w:t>(</w:t>
      </w:r>
      <w:proofErr w:type="spellStart"/>
      <w:r w:rsidRPr="00BA7CE7">
        <w:rPr>
          <w:rFonts w:cs="Times New Roman"/>
          <w:b w:val="0"/>
          <w:w w:val="108"/>
          <w:sz w:val="18"/>
          <w:szCs w:val="18"/>
        </w:rPr>
        <w:t>PhIO</w:t>
      </w:r>
      <w:proofErr w:type="spellEnd"/>
      <w:r w:rsidRPr="00BA7CE7">
        <w:rPr>
          <w:rFonts w:cs="Times New Roman"/>
          <w:b w:val="0"/>
          <w:w w:val="108"/>
          <w:sz w:val="18"/>
          <w:szCs w:val="18"/>
        </w:rPr>
        <w:t>)</w:t>
      </w:r>
      <w:r w:rsidRPr="00BA7CE7">
        <w:rPr>
          <w:rFonts w:cs="Times New Roman"/>
          <w:b w:val="0"/>
          <w:w w:val="108"/>
          <w:sz w:val="18"/>
          <w:szCs w:val="18"/>
          <w:vertAlign w:val="subscript"/>
        </w:rPr>
        <w:t>3</w:t>
      </w:r>
      <w:r w:rsidRPr="00BA7CE7">
        <w:rPr>
          <w:rFonts w:cs="Times New Roman"/>
          <w:b w:val="0"/>
          <w:w w:val="108"/>
          <w:sz w:val="18"/>
          <w:szCs w:val="18"/>
        </w:rPr>
        <w:t>.SO</w:t>
      </w:r>
      <w:r w:rsidRPr="00BA7CE7">
        <w:rPr>
          <w:rFonts w:cs="Times New Roman"/>
          <w:b w:val="0"/>
          <w:w w:val="108"/>
          <w:sz w:val="18"/>
          <w:szCs w:val="18"/>
          <w:vertAlign w:val="subscript"/>
        </w:rPr>
        <w:t>3</w:t>
      </w:r>
      <w:r>
        <w:rPr>
          <w:rFonts w:cs="Times New Roman"/>
          <w:b w:val="0"/>
          <w:w w:val="108"/>
          <w:sz w:val="18"/>
          <w:szCs w:val="18"/>
        </w:rPr>
        <w:t xml:space="preserve"> 8% </w:t>
      </w:r>
      <w:r w:rsidRPr="004F4CAD">
        <w:rPr>
          <w:rFonts w:cs="Times New Roman"/>
          <w:b w:val="0"/>
          <w:i/>
          <w:w w:val="108"/>
          <w:sz w:val="18"/>
          <w:szCs w:val="18"/>
        </w:rPr>
        <w:t>s</w:t>
      </w:r>
      <w:r>
        <w:rPr>
          <w:rFonts w:cs="Times New Roman"/>
          <w:b w:val="0"/>
          <w:w w:val="108"/>
          <w:sz w:val="18"/>
          <w:szCs w:val="18"/>
        </w:rPr>
        <w:t xml:space="preserve">. IBX ester 0% </w:t>
      </w:r>
      <w:r w:rsidRPr="004F4CAD">
        <w:rPr>
          <w:rFonts w:cs="Times New Roman"/>
          <w:b w:val="0"/>
          <w:i/>
          <w:w w:val="108"/>
          <w:sz w:val="18"/>
          <w:szCs w:val="18"/>
        </w:rPr>
        <w:t>vs</w:t>
      </w:r>
      <w:r>
        <w:rPr>
          <w:rFonts w:cs="Times New Roman"/>
          <w:b w:val="0"/>
          <w:w w:val="108"/>
          <w:sz w:val="18"/>
          <w:szCs w:val="18"/>
        </w:rPr>
        <w:t xml:space="preserve">. </w:t>
      </w:r>
      <w:proofErr w:type="spellStart"/>
      <w:r>
        <w:rPr>
          <w:rFonts w:cs="Times New Roman"/>
          <w:b w:val="0"/>
          <w:w w:val="108"/>
          <w:sz w:val="18"/>
          <w:szCs w:val="18"/>
        </w:rPr>
        <w:t>PhIO</w:t>
      </w:r>
      <w:proofErr w:type="spellEnd"/>
      <w:r>
        <w:rPr>
          <w:rFonts w:cs="Times New Roman"/>
          <w:b w:val="0"/>
          <w:w w:val="108"/>
          <w:sz w:val="18"/>
          <w:szCs w:val="18"/>
        </w:rPr>
        <w:t xml:space="preserve"> 15%; </w:t>
      </w:r>
      <w:r w:rsidRPr="004F4CAD">
        <w:rPr>
          <w:rFonts w:cs="Times New Roman"/>
          <w:b w:val="0"/>
          <w:i/>
          <w:w w:val="108"/>
          <w:sz w:val="18"/>
          <w:szCs w:val="18"/>
        </w:rPr>
        <w:t>cf</w:t>
      </w:r>
      <w:r>
        <w:rPr>
          <w:rFonts w:cs="Times New Roman"/>
          <w:b w:val="0"/>
          <w:w w:val="108"/>
          <w:sz w:val="18"/>
          <w:szCs w:val="18"/>
        </w:rPr>
        <w:t>. entries</w:t>
      </w:r>
      <w:r w:rsidR="00EB036A">
        <w:rPr>
          <w:rFonts w:cs="Times New Roman"/>
          <w:b w:val="0"/>
          <w:w w:val="108"/>
          <w:sz w:val="18"/>
          <w:szCs w:val="18"/>
        </w:rPr>
        <w:t xml:space="preserve"> 10, 11 and 8). Therefore, the e</w:t>
      </w:r>
      <w:r>
        <w:rPr>
          <w:rFonts w:cs="Times New Roman"/>
          <w:b w:val="0"/>
          <w:w w:val="108"/>
          <w:sz w:val="18"/>
          <w:szCs w:val="18"/>
        </w:rPr>
        <w:t xml:space="preserve">ffect of adding further equivalents of </w:t>
      </w:r>
      <w:proofErr w:type="spellStart"/>
      <w:r>
        <w:rPr>
          <w:rFonts w:cs="Times New Roman"/>
          <w:b w:val="0"/>
          <w:w w:val="108"/>
          <w:sz w:val="18"/>
          <w:szCs w:val="18"/>
        </w:rPr>
        <w:t>PhIO</w:t>
      </w:r>
      <w:proofErr w:type="spellEnd"/>
      <w:r>
        <w:rPr>
          <w:rFonts w:cs="Times New Roman"/>
          <w:b w:val="0"/>
          <w:w w:val="108"/>
          <w:sz w:val="18"/>
          <w:szCs w:val="18"/>
        </w:rPr>
        <w:t xml:space="preserve"> was explored with norbornane (</w:t>
      </w:r>
      <w:r w:rsidRPr="00763D50">
        <w:rPr>
          <w:rFonts w:cs="Times New Roman"/>
          <w:w w:val="108"/>
          <w:sz w:val="18"/>
          <w:szCs w:val="18"/>
        </w:rPr>
        <w:t>3</w:t>
      </w:r>
      <w:r>
        <w:rPr>
          <w:rFonts w:cs="Times New Roman"/>
          <w:b w:val="0"/>
          <w:w w:val="108"/>
          <w:sz w:val="18"/>
          <w:szCs w:val="18"/>
        </w:rPr>
        <w:t>): it pertained that the batch</w:t>
      </w:r>
      <w:r w:rsidR="00EB036A">
        <w:rPr>
          <w:rFonts w:cs="Times New Roman"/>
          <w:b w:val="0"/>
          <w:w w:val="108"/>
          <w:sz w:val="18"/>
          <w:szCs w:val="18"/>
        </w:rPr>
        <w:t>-</w:t>
      </w:r>
      <w:r>
        <w:rPr>
          <w:rFonts w:cs="Times New Roman"/>
          <w:b w:val="0"/>
          <w:w w:val="108"/>
          <w:sz w:val="18"/>
          <w:szCs w:val="18"/>
        </w:rPr>
        <w:t xml:space="preserve">wise addition </w:t>
      </w:r>
      <w:r w:rsidRPr="005D2D8B">
        <w:rPr>
          <w:rFonts w:cs="Times New Roman"/>
          <w:b w:val="0"/>
          <w:w w:val="108"/>
          <w:sz w:val="18"/>
          <w:szCs w:val="18"/>
        </w:rPr>
        <w:t xml:space="preserve">of three additional equivalents of the oxidant and </w:t>
      </w:r>
      <w:r w:rsidR="00930B8F">
        <w:rPr>
          <w:rFonts w:cs="Times New Roman"/>
          <w:b w:val="0"/>
          <w:w w:val="108"/>
          <w:sz w:val="18"/>
          <w:szCs w:val="18"/>
        </w:rPr>
        <w:t>pre-</w:t>
      </w:r>
      <w:r w:rsidRPr="005D2D8B">
        <w:rPr>
          <w:rFonts w:cs="Times New Roman"/>
          <w:b w:val="0"/>
          <w:w w:val="108"/>
          <w:sz w:val="18"/>
          <w:szCs w:val="18"/>
        </w:rPr>
        <w:t>catalyst at 0.25 h intervals had a positive effect on final RCI relative to the a</w:t>
      </w:r>
      <w:r w:rsidR="00736F00">
        <w:rPr>
          <w:rFonts w:cs="Times New Roman"/>
          <w:b w:val="0"/>
          <w:w w:val="108"/>
          <w:sz w:val="18"/>
          <w:szCs w:val="18"/>
        </w:rPr>
        <w:t>d</w:t>
      </w:r>
      <w:r w:rsidRPr="005D2D8B">
        <w:rPr>
          <w:rFonts w:cs="Times New Roman"/>
          <w:b w:val="0"/>
          <w:w w:val="108"/>
          <w:sz w:val="18"/>
          <w:szCs w:val="18"/>
        </w:rPr>
        <w:t xml:space="preserve">dition of just a single equivalent at the start (RCI 20% </w:t>
      </w:r>
      <w:r w:rsidRPr="005D2D8B">
        <w:rPr>
          <w:rFonts w:cs="Times New Roman"/>
          <w:b w:val="0"/>
          <w:i/>
          <w:w w:val="108"/>
          <w:sz w:val="18"/>
          <w:szCs w:val="18"/>
        </w:rPr>
        <w:t>vs</w:t>
      </w:r>
      <w:r w:rsidRPr="005D2D8B">
        <w:rPr>
          <w:rFonts w:cs="Times New Roman"/>
          <w:b w:val="0"/>
          <w:w w:val="108"/>
          <w:sz w:val="18"/>
          <w:szCs w:val="18"/>
        </w:rPr>
        <w:t xml:space="preserve">. 7%, </w:t>
      </w:r>
      <w:r w:rsidRPr="005D2D8B">
        <w:rPr>
          <w:rFonts w:cs="Times New Roman"/>
          <w:b w:val="0"/>
          <w:i/>
          <w:w w:val="108"/>
          <w:sz w:val="18"/>
          <w:szCs w:val="18"/>
        </w:rPr>
        <w:t>cf</w:t>
      </w:r>
      <w:r w:rsidRPr="005D2D8B">
        <w:rPr>
          <w:rFonts w:cs="Times New Roman"/>
          <w:b w:val="0"/>
          <w:w w:val="108"/>
          <w:sz w:val="18"/>
          <w:szCs w:val="18"/>
        </w:rPr>
        <w:t>.</w:t>
      </w:r>
      <w:r>
        <w:rPr>
          <w:rFonts w:cs="Times New Roman"/>
          <w:b w:val="0"/>
          <w:w w:val="108"/>
          <w:sz w:val="18"/>
          <w:szCs w:val="18"/>
        </w:rPr>
        <w:t xml:space="preserve"> entries 5 and 4). When the reaction duration was prolonged from 30 to 60 min, the resulting </w:t>
      </w:r>
      <w:r w:rsidRPr="00D96999">
        <w:rPr>
          <w:rFonts w:cs="Times New Roman"/>
          <w:b w:val="0"/>
          <w:w w:val="108"/>
          <w:sz w:val="18"/>
          <w:szCs w:val="18"/>
        </w:rPr>
        <w:t>RCI</w:t>
      </w:r>
      <w:r>
        <w:rPr>
          <w:rFonts w:cs="Times New Roman"/>
          <w:b w:val="0"/>
          <w:w w:val="108"/>
          <w:sz w:val="18"/>
          <w:szCs w:val="18"/>
        </w:rPr>
        <w:t xml:space="preserve"> increased to 46% (entry 6</w:t>
      </w:r>
      <w:r w:rsidRPr="00D96999">
        <w:rPr>
          <w:rFonts w:cs="Times New Roman"/>
          <w:b w:val="0"/>
          <w:w w:val="108"/>
          <w:sz w:val="18"/>
          <w:szCs w:val="18"/>
        </w:rPr>
        <w:t>)</w:t>
      </w:r>
      <w:r>
        <w:rPr>
          <w:rFonts w:cs="Times New Roman"/>
          <w:b w:val="0"/>
          <w:w w:val="108"/>
          <w:sz w:val="18"/>
          <w:szCs w:val="18"/>
        </w:rPr>
        <w:t xml:space="preserve">, </w:t>
      </w:r>
      <w:r w:rsidRPr="008C35C4">
        <w:rPr>
          <w:rFonts w:cs="Times New Roman"/>
          <w:b w:val="0"/>
          <w:w w:val="108"/>
          <w:sz w:val="18"/>
          <w:szCs w:val="18"/>
        </w:rPr>
        <w:t>without the need of batch</w:t>
      </w:r>
      <w:r w:rsidR="00EB036A">
        <w:rPr>
          <w:rFonts w:cs="Times New Roman"/>
          <w:b w:val="0"/>
          <w:w w:val="108"/>
          <w:sz w:val="18"/>
          <w:szCs w:val="18"/>
        </w:rPr>
        <w:t xml:space="preserve">-wise addition </w:t>
      </w:r>
      <w:r w:rsidR="00EB036A">
        <w:rPr>
          <w:rFonts w:cs="Times New Roman"/>
          <w:b w:val="0"/>
          <w:w w:val="108"/>
          <w:sz w:val="18"/>
          <w:szCs w:val="18"/>
        </w:rPr>
        <w:lastRenderedPageBreak/>
        <w:t xml:space="preserve">of extra </w:t>
      </w:r>
      <w:r w:rsidRPr="008C35C4">
        <w:rPr>
          <w:rFonts w:cs="Times New Roman"/>
          <w:b w:val="0"/>
          <w:w w:val="108"/>
          <w:sz w:val="18"/>
          <w:szCs w:val="18"/>
        </w:rPr>
        <w:t xml:space="preserve">oxidant and </w:t>
      </w:r>
      <w:r w:rsidR="00930B8F">
        <w:rPr>
          <w:rFonts w:cs="Times New Roman"/>
          <w:b w:val="0"/>
          <w:w w:val="108"/>
          <w:sz w:val="18"/>
          <w:szCs w:val="18"/>
        </w:rPr>
        <w:t>pre-</w:t>
      </w:r>
      <w:r w:rsidRPr="008C35C4">
        <w:rPr>
          <w:rFonts w:cs="Times New Roman"/>
          <w:b w:val="0"/>
          <w:w w:val="108"/>
          <w:sz w:val="18"/>
          <w:szCs w:val="18"/>
        </w:rPr>
        <w:t>catalyst.</w:t>
      </w:r>
      <w:r>
        <w:rPr>
          <w:rFonts w:cs="Times New Roman"/>
          <w:b w:val="0"/>
          <w:w w:val="108"/>
          <w:sz w:val="18"/>
          <w:szCs w:val="18"/>
        </w:rPr>
        <w:t xml:space="preserve"> Optimisation of the reaction duration in a radiochemical labelling reaction invariably reflects a compromise </w:t>
      </w:r>
      <w:r w:rsidRPr="00D96999">
        <w:rPr>
          <w:rFonts w:cs="Times New Roman"/>
          <w:b w:val="0"/>
          <w:w w:val="108"/>
          <w:sz w:val="18"/>
          <w:szCs w:val="18"/>
        </w:rPr>
        <w:t xml:space="preserve">between the radioactive decay and </w:t>
      </w:r>
      <w:r>
        <w:rPr>
          <w:rFonts w:cs="Times New Roman"/>
          <w:b w:val="0"/>
          <w:w w:val="108"/>
          <w:sz w:val="18"/>
          <w:szCs w:val="18"/>
        </w:rPr>
        <w:t xml:space="preserve">the </w:t>
      </w:r>
      <w:r w:rsidRPr="00D96999">
        <w:rPr>
          <w:rFonts w:cs="Times New Roman"/>
          <w:b w:val="0"/>
          <w:w w:val="108"/>
          <w:sz w:val="18"/>
          <w:szCs w:val="18"/>
        </w:rPr>
        <w:t xml:space="preserve">increasing </w:t>
      </w:r>
      <w:r>
        <w:rPr>
          <w:rFonts w:cs="Times New Roman"/>
          <w:b w:val="0"/>
          <w:w w:val="108"/>
          <w:sz w:val="18"/>
          <w:szCs w:val="18"/>
        </w:rPr>
        <w:t>RCI. Here, the longer reaction time outweighed radioactive decay (</w:t>
      </w:r>
      <w:r w:rsidRPr="00EB036A">
        <w:rPr>
          <w:rFonts w:cs="Times New Roman"/>
          <w:b w:val="0"/>
          <w:i/>
          <w:w w:val="108"/>
          <w:sz w:val="18"/>
          <w:szCs w:val="18"/>
        </w:rPr>
        <w:t xml:space="preserve">i.e. </w:t>
      </w:r>
      <w:r>
        <w:rPr>
          <w:rFonts w:cs="Times New Roman"/>
          <w:b w:val="0"/>
          <w:w w:val="108"/>
          <w:sz w:val="18"/>
          <w:szCs w:val="18"/>
        </w:rPr>
        <w:t xml:space="preserve">the extra 30 min </w:t>
      </w:r>
      <w:r w:rsidRPr="00D96999">
        <w:rPr>
          <w:rFonts w:cs="Times New Roman"/>
          <w:b w:val="0"/>
          <w:w w:val="108"/>
          <w:sz w:val="18"/>
          <w:szCs w:val="18"/>
        </w:rPr>
        <w:t xml:space="preserve">increased </w:t>
      </w:r>
      <w:r>
        <w:rPr>
          <w:rFonts w:cs="Times New Roman"/>
          <w:b w:val="0"/>
          <w:w w:val="108"/>
          <w:sz w:val="18"/>
          <w:szCs w:val="18"/>
        </w:rPr>
        <w:t xml:space="preserve">the RCI </w:t>
      </w:r>
      <w:r w:rsidRPr="00D96999">
        <w:rPr>
          <w:rFonts w:cs="Times New Roman"/>
          <w:b w:val="0"/>
          <w:w w:val="108"/>
          <w:sz w:val="18"/>
          <w:szCs w:val="18"/>
        </w:rPr>
        <w:t xml:space="preserve">by </w:t>
      </w:r>
      <w:r>
        <w:rPr>
          <w:rFonts w:cs="Times New Roman"/>
          <w:b w:val="0"/>
          <w:w w:val="108"/>
          <w:sz w:val="18"/>
          <w:szCs w:val="18"/>
        </w:rPr>
        <w:t xml:space="preserve">almost 50% despite the </w:t>
      </w:r>
      <w:r w:rsidR="00736F00">
        <w:rPr>
          <w:rFonts w:cs="Times New Roman"/>
          <w:b w:val="0"/>
          <w:w w:val="108"/>
          <w:sz w:val="18"/>
          <w:szCs w:val="18"/>
        </w:rPr>
        <w:t>inevitable</w:t>
      </w:r>
      <w:r>
        <w:rPr>
          <w:rFonts w:cs="Times New Roman"/>
          <w:b w:val="0"/>
          <w:w w:val="108"/>
          <w:sz w:val="18"/>
          <w:szCs w:val="18"/>
        </w:rPr>
        <w:t xml:space="preserve"> 17% loss of activity by decay).</w:t>
      </w:r>
    </w:p>
    <w:p w14:paraId="02F98911" w14:textId="76BCB056" w:rsidR="0044116F" w:rsidRDefault="0044116F" w:rsidP="0044116F">
      <w:pPr>
        <w:pStyle w:val="RSCB04SectionHeading"/>
        <w:spacing w:before="120"/>
        <w:jc w:val="both"/>
        <w:rPr>
          <w:rFonts w:cs="Times New Roman"/>
          <w:b w:val="0"/>
          <w:w w:val="108"/>
          <w:sz w:val="18"/>
          <w:szCs w:val="18"/>
        </w:rPr>
      </w:pPr>
      <w:r>
        <w:rPr>
          <w:rFonts w:cs="Times New Roman"/>
          <w:b w:val="0"/>
          <w:w w:val="108"/>
          <w:sz w:val="18"/>
          <w:szCs w:val="18"/>
        </w:rPr>
        <w:t xml:space="preserve">In light of findings by Groves </w:t>
      </w:r>
      <w:r w:rsidRPr="00763D50">
        <w:rPr>
          <w:rFonts w:cs="Times New Roman"/>
          <w:b w:val="0"/>
          <w:i/>
          <w:w w:val="108"/>
          <w:sz w:val="18"/>
          <w:szCs w:val="18"/>
        </w:rPr>
        <w:t>et al</w:t>
      </w:r>
      <w:r>
        <w:rPr>
          <w:rFonts w:cs="Times New Roman"/>
          <w:b w:val="0"/>
          <w:w w:val="108"/>
          <w:sz w:val="18"/>
          <w:szCs w:val="18"/>
        </w:rPr>
        <w:t>.,</w:t>
      </w:r>
      <w:r w:rsidRPr="00F975EB">
        <w:rPr>
          <w:rFonts w:cs="Times New Roman"/>
          <w:b w:val="0"/>
          <w:w w:val="108"/>
          <w:sz w:val="18"/>
          <w:szCs w:val="18"/>
        </w:rPr>
        <w:fldChar w:fldCharType="begin" w:fldLock="1"/>
      </w:r>
      <w:r w:rsidR="00085620">
        <w:rPr>
          <w:rFonts w:cs="Times New Roman"/>
          <w:b w:val="0"/>
          <w:w w:val="108"/>
          <w:sz w:val="18"/>
          <w:szCs w:val="18"/>
        </w:rPr>
        <w:instrText>ADDIN CSL_CITATION {"citationItems":[{"id":"ITEM-1","itemData":{"DOI":"10.1021/ja5039819","ISSN":"0002-7863","PMID":"24766544","abstract":"We describe the first late-stage (18)F labeling chemistry for aliphatic C-H bonds with no-carrier-added [(18)F]fluoride. The method uses Mn(salen)OTs as an F-transfer catalyst and enables the facile labeling of a variety of bioactive molecules and building blocks with radiochemical yields (RCY) ranging from 20% to 72% within 10 min without the need for preactivation of the labeling precursor. Notably, the catalyst itself can directly elute [(18)F]fluoride from an ion exchange cartridge with over 90% efficiency. Using this feature, the conventional and laborious dry-down step prior to reaction is circumvented, greatly simplifying the mechanics of this protocol and shortening the time for automated synthesis. Eight drug molecules, including COX, ACE, MAO, and PDE inhibitors, have been successfully [(18)F]-labeled in this way.","author":[{"dropping-particle":"","family":"Huang","given":"Xiongyi","non-dropping-particle":"","parse-names":false,"suffix":""},{"dropping-particle":"","family":"Liu","given":"Wei","non-dropping-particle":"","parse-names":false,"suffix":""},{"dropping-particle":"","family":"Ren","given":"Hong","non-dropping-particle":"","parse-names":false,"suffix":""},{"dropping-particle":"","family":"Neelamegam","given":"Ramesh","non-dropping-particle":"","parse-names":false,"suffix":""},{"dropping-particle":"","family":"Hooker","given":"Jacob M","non-dropping-particle":"","parse-names":false,"suffix":""},{"dropping-particle":"","family":"Groves","given":"John T","non-dropping-particle":"","parse-names":false,"suffix":""}],"container-title":"Journal of the American Chemical Society","id":"ITEM-1","issue":"19","issued":{"date-parts":[["2014","5","14"]]},"page":"6842-6845","title":"Late Stage Benzylic C–H Fluorination with [ 18 F]Fluoride for PET Imaging","type":"article-journal","volume":"136"},"uris":["http://www.mendeley.com/documents/?uuid=f3c71cd4-51be-4523-9edc-04de371cf2ee"]}],"mendeley":{"formattedCitation":"&lt;sup&gt;28&lt;/sup&gt;","plainTextFormattedCitation":"28","previouslyFormattedCitation":"(Huang et al. 2014)"},"properties":{"noteIndex":0},"schema":"https://github.com/citation-style-language/schema/raw/master/csl-citation.json"}</w:instrText>
      </w:r>
      <w:r w:rsidRPr="00F975EB">
        <w:rPr>
          <w:rFonts w:cs="Times New Roman"/>
          <w:b w:val="0"/>
          <w:w w:val="108"/>
          <w:sz w:val="18"/>
          <w:szCs w:val="18"/>
        </w:rPr>
        <w:fldChar w:fldCharType="separate"/>
      </w:r>
      <w:r w:rsidR="00085620" w:rsidRPr="00085620">
        <w:rPr>
          <w:rFonts w:cs="Times New Roman"/>
          <w:b w:val="0"/>
          <w:noProof/>
          <w:w w:val="108"/>
          <w:sz w:val="18"/>
          <w:szCs w:val="18"/>
          <w:vertAlign w:val="superscript"/>
        </w:rPr>
        <w:t>28</w:t>
      </w:r>
      <w:r w:rsidRPr="00F975EB">
        <w:rPr>
          <w:rFonts w:cs="Times New Roman"/>
          <w:b w:val="0"/>
          <w:w w:val="108"/>
          <w:sz w:val="18"/>
          <w:szCs w:val="18"/>
        </w:rPr>
        <w:fldChar w:fldCharType="end"/>
      </w:r>
      <w:r>
        <w:rPr>
          <w:rFonts w:cs="Times New Roman"/>
          <w:b w:val="0"/>
          <w:w w:val="108"/>
          <w:sz w:val="18"/>
          <w:szCs w:val="18"/>
        </w:rPr>
        <w:t xml:space="preserve"> t</w:t>
      </w:r>
      <w:r w:rsidRPr="00763D50">
        <w:rPr>
          <w:rFonts w:cs="Times New Roman"/>
          <w:b w:val="0"/>
          <w:w w:val="108"/>
          <w:sz w:val="18"/>
          <w:szCs w:val="18"/>
        </w:rPr>
        <w:t xml:space="preserve">he </w:t>
      </w:r>
      <w:r>
        <w:rPr>
          <w:rFonts w:cs="Times New Roman"/>
          <w:b w:val="0"/>
          <w:w w:val="108"/>
          <w:sz w:val="18"/>
          <w:szCs w:val="18"/>
        </w:rPr>
        <w:t xml:space="preserve">possibility of using acetone in place of </w:t>
      </w:r>
      <w:proofErr w:type="spellStart"/>
      <w:r>
        <w:rPr>
          <w:rFonts w:cs="Times New Roman"/>
          <w:b w:val="0"/>
          <w:w w:val="108"/>
          <w:sz w:val="18"/>
          <w:szCs w:val="18"/>
        </w:rPr>
        <w:t>MeCN</w:t>
      </w:r>
      <w:proofErr w:type="spellEnd"/>
      <w:r>
        <w:rPr>
          <w:rFonts w:cs="Times New Roman"/>
          <w:b w:val="0"/>
          <w:w w:val="108"/>
          <w:sz w:val="18"/>
          <w:szCs w:val="18"/>
        </w:rPr>
        <w:t xml:space="preserve"> was briefly explored using norbornane. It was found that a higher RCI was obtained in </w:t>
      </w:r>
      <w:proofErr w:type="spellStart"/>
      <w:r>
        <w:rPr>
          <w:rFonts w:cs="Times New Roman"/>
          <w:b w:val="0"/>
          <w:w w:val="108"/>
          <w:sz w:val="18"/>
          <w:szCs w:val="18"/>
        </w:rPr>
        <w:t>MeCN</w:t>
      </w:r>
      <w:proofErr w:type="spellEnd"/>
      <w:r>
        <w:rPr>
          <w:rFonts w:cs="Times New Roman"/>
          <w:b w:val="0"/>
          <w:w w:val="108"/>
          <w:sz w:val="18"/>
          <w:szCs w:val="18"/>
        </w:rPr>
        <w:t xml:space="preserve"> than in acetone (RCI 10% </w:t>
      </w:r>
      <w:r w:rsidRPr="0016727A">
        <w:rPr>
          <w:rFonts w:cs="Times New Roman"/>
          <w:b w:val="0"/>
          <w:i/>
          <w:w w:val="108"/>
          <w:sz w:val="18"/>
          <w:szCs w:val="18"/>
        </w:rPr>
        <w:t>vs</w:t>
      </w:r>
      <w:r>
        <w:rPr>
          <w:rFonts w:cs="Times New Roman"/>
          <w:b w:val="0"/>
          <w:w w:val="108"/>
          <w:sz w:val="18"/>
          <w:szCs w:val="18"/>
        </w:rPr>
        <w:t xml:space="preserve">. 46% entry 7 </w:t>
      </w:r>
      <w:r w:rsidRPr="0016727A">
        <w:rPr>
          <w:rFonts w:cs="Times New Roman"/>
          <w:b w:val="0"/>
          <w:i/>
          <w:w w:val="108"/>
          <w:sz w:val="18"/>
          <w:szCs w:val="18"/>
        </w:rPr>
        <w:t>cf</w:t>
      </w:r>
      <w:r>
        <w:rPr>
          <w:rFonts w:cs="Times New Roman"/>
          <w:b w:val="0"/>
          <w:w w:val="108"/>
          <w:sz w:val="18"/>
          <w:szCs w:val="18"/>
        </w:rPr>
        <w:t>. entry 6).</w:t>
      </w:r>
    </w:p>
    <w:p w14:paraId="3A0BF2BF" w14:textId="77777777" w:rsidR="0044116F" w:rsidRDefault="0044116F" w:rsidP="0044116F">
      <w:pPr>
        <w:pStyle w:val="RSCB04SectionHeading"/>
        <w:spacing w:before="120"/>
        <w:jc w:val="both"/>
        <w:rPr>
          <w:rFonts w:cs="Times New Roman"/>
          <w:b w:val="0"/>
          <w:w w:val="108"/>
          <w:sz w:val="18"/>
          <w:szCs w:val="18"/>
        </w:rPr>
      </w:pPr>
      <w:r>
        <w:rPr>
          <w:rFonts w:cs="Times New Roman"/>
          <w:b w:val="0"/>
          <w:w w:val="108"/>
          <w:sz w:val="18"/>
          <w:szCs w:val="18"/>
        </w:rPr>
        <w:t xml:space="preserve">The final optimised conditions used pre-catalyst </w:t>
      </w:r>
      <w:r w:rsidRPr="00FF1E64">
        <w:rPr>
          <w:rFonts w:cs="Times New Roman"/>
          <w:w w:val="108"/>
          <w:sz w:val="18"/>
          <w:szCs w:val="18"/>
        </w:rPr>
        <w:t>1a</w:t>
      </w:r>
      <w:r>
        <w:rPr>
          <w:rFonts w:cs="Times New Roman"/>
          <w:b w:val="0"/>
          <w:w w:val="108"/>
          <w:sz w:val="18"/>
          <w:szCs w:val="18"/>
        </w:rPr>
        <w:t xml:space="preserve">, </w:t>
      </w:r>
      <w:proofErr w:type="spellStart"/>
      <w:r>
        <w:rPr>
          <w:rFonts w:cs="Times New Roman"/>
          <w:b w:val="0"/>
          <w:w w:val="108"/>
          <w:sz w:val="18"/>
          <w:szCs w:val="18"/>
        </w:rPr>
        <w:t>PhIO</w:t>
      </w:r>
      <w:proofErr w:type="spellEnd"/>
      <w:r>
        <w:rPr>
          <w:rFonts w:cs="Times New Roman"/>
          <w:b w:val="0"/>
          <w:w w:val="108"/>
          <w:sz w:val="18"/>
          <w:szCs w:val="18"/>
        </w:rPr>
        <w:t xml:space="preserve"> as oxidant, </w:t>
      </w:r>
      <w:proofErr w:type="spellStart"/>
      <w:r>
        <w:rPr>
          <w:rFonts w:cs="Times New Roman"/>
          <w:b w:val="0"/>
          <w:w w:val="108"/>
          <w:sz w:val="18"/>
          <w:szCs w:val="18"/>
        </w:rPr>
        <w:t>AgOTf</w:t>
      </w:r>
      <w:proofErr w:type="spellEnd"/>
      <w:r>
        <w:rPr>
          <w:rFonts w:cs="Times New Roman"/>
          <w:b w:val="0"/>
          <w:w w:val="108"/>
          <w:sz w:val="18"/>
          <w:szCs w:val="18"/>
        </w:rPr>
        <w:t xml:space="preserve"> as additive in </w:t>
      </w:r>
      <w:proofErr w:type="spellStart"/>
      <w:r>
        <w:rPr>
          <w:rFonts w:cs="Times New Roman"/>
          <w:b w:val="0"/>
          <w:w w:val="108"/>
          <w:sz w:val="18"/>
          <w:szCs w:val="18"/>
        </w:rPr>
        <w:t>MeCN</w:t>
      </w:r>
      <w:proofErr w:type="spellEnd"/>
      <w:r>
        <w:rPr>
          <w:rFonts w:cs="Times New Roman"/>
          <w:b w:val="0"/>
          <w:w w:val="108"/>
          <w:sz w:val="18"/>
          <w:szCs w:val="18"/>
        </w:rPr>
        <w:t xml:space="preserve"> for 60 min and gave RCIs of 46%, 15% and 69% for </w:t>
      </w:r>
      <w:r w:rsidRPr="00BA7CE7">
        <w:rPr>
          <w:rFonts w:cs="Times New Roman"/>
          <w:b w:val="0"/>
          <w:w w:val="108"/>
          <w:sz w:val="18"/>
          <w:szCs w:val="18"/>
        </w:rPr>
        <w:t>norbornane</w:t>
      </w:r>
      <w:r>
        <w:rPr>
          <w:rFonts w:cs="Times New Roman"/>
          <w:b w:val="0"/>
          <w:w w:val="108"/>
          <w:sz w:val="18"/>
          <w:szCs w:val="18"/>
        </w:rPr>
        <w:t>,</w:t>
      </w:r>
      <w:r w:rsidRPr="00BA7CE7">
        <w:rPr>
          <w:rFonts w:cs="Times New Roman"/>
          <w:b w:val="0"/>
          <w:w w:val="108"/>
          <w:sz w:val="18"/>
          <w:szCs w:val="18"/>
        </w:rPr>
        <w:t xml:space="preserve"> cycloheptane, and </w:t>
      </w:r>
      <w:proofErr w:type="spellStart"/>
      <w:r w:rsidRPr="00BA7CE7">
        <w:rPr>
          <w:rFonts w:cs="Times New Roman"/>
          <w:b w:val="0"/>
          <w:w w:val="108"/>
          <w:sz w:val="18"/>
          <w:szCs w:val="18"/>
        </w:rPr>
        <w:t>indan</w:t>
      </w:r>
      <w:r>
        <w:rPr>
          <w:rFonts w:cs="Times New Roman"/>
          <w:b w:val="0"/>
          <w:w w:val="108"/>
          <w:sz w:val="18"/>
          <w:szCs w:val="18"/>
        </w:rPr>
        <w:t>e</w:t>
      </w:r>
      <w:proofErr w:type="spellEnd"/>
      <w:r>
        <w:rPr>
          <w:rFonts w:cs="Times New Roman"/>
          <w:b w:val="0"/>
          <w:w w:val="108"/>
          <w:sz w:val="18"/>
          <w:szCs w:val="18"/>
        </w:rPr>
        <w:t xml:space="preserve"> respectively (entries 6, 8 and 12). </w:t>
      </w:r>
      <w:r w:rsidRPr="00FF1E64">
        <w:rPr>
          <w:rFonts w:cs="Times New Roman"/>
          <w:b w:val="0"/>
          <w:w w:val="108"/>
          <w:sz w:val="18"/>
          <w:szCs w:val="18"/>
        </w:rPr>
        <w:t>Control reactions</w:t>
      </w:r>
      <w:r w:rsidRPr="005E1C29">
        <w:rPr>
          <w:rFonts w:cs="Times New Roman"/>
          <w:b w:val="0"/>
          <w:w w:val="108"/>
          <w:sz w:val="18"/>
          <w:szCs w:val="18"/>
        </w:rPr>
        <w:t xml:space="preserve"> were performed to </w:t>
      </w:r>
      <w:r>
        <w:rPr>
          <w:rFonts w:cs="Times New Roman"/>
          <w:b w:val="0"/>
          <w:w w:val="108"/>
          <w:sz w:val="18"/>
          <w:szCs w:val="18"/>
        </w:rPr>
        <w:t>assure that</w:t>
      </w:r>
      <w:r w:rsidRPr="005E1C29">
        <w:rPr>
          <w:rFonts w:cs="Times New Roman"/>
          <w:b w:val="0"/>
          <w:w w:val="108"/>
          <w:sz w:val="18"/>
          <w:szCs w:val="18"/>
        </w:rPr>
        <w:t xml:space="preserve"> </w:t>
      </w:r>
      <w:r>
        <w:rPr>
          <w:rFonts w:cs="Times New Roman"/>
          <w:b w:val="0"/>
          <w:w w:val="108"/>
          <w:sz w:val="18"/>
          <w:szCs w:val="18"/>
        </w:rPr>
        <w:t xml:space="preserve">each component of the mixture was required for fluorination to occur. Radioactivity was measured after 30 min </w:t>
      </w:r>
      <w:r w:rsidRPr="005E1C29">
        <w:rPr>
          <w:rFonts w:cs="Times New Roman"/>
          <w:b w:val="0"/>
          <w:w w:val="108"/>
          <w:sz w:val="18"/>
          <w:szCs w:val="18"/>
        </w:rPr>
        <w:t xml:space="preserve">and </w:t>
      </w:r>
      <w:r>
        <w:rPr>
          <w:rFonts w:cs="Times New Roman"/>
          <w:b w:val="0"/>
          <w:w w:val="108"/>
          <w:sz w:val="18"/>
          <w:szCs w:val="18"/>
        </w:rPr>
        <w:t xml:space="preserve">after 60 min; the </w:t>
      </w:r>
      <w:r w:rsidRPr="005E1C29">
        <w:rPr>
          <w:rFonts w:cs="Times New Roman"/>
          <w:b w:val="0"/>
          <w:w w:val="108"/>
          <w:sz w:val="18"/>
          <w:szCs w:val="18"/>
        </w:rPr>
        <w:t>measured final ac</w:t>
      </w:r>
      <w:r>
        <w:rPr>
          <w:rFonts w:cs="Times New Roman"/>
          <w:b w:val="0"/>
          <w:w w:val="108"/>
          <w:sz w:val="18"/>
          <w:szCs w:val="18"/>
        </w:rPr>
        <w:t xml:space="preserve">tivities were 1.57 and 1.30 </w:t>
      </w:r>
      <w:proofErr w:type="spellStart"/>
      <w:r>
        <w:rPr>
          <w:rFonts w:cs="Times New Roman"/>
          <w:b w:val="0"/>
          <w:w w:val="108"/>
          <w:sz w:val="18"/>
          <w:szCs w:val="18"/>
        </w:rPr>
        <w:t>mCi</w:t>
      </w:r>
      <w:proofErr w:type="spellEnd"/>
      <w:r w:rsidRPr="005E1C29">
        <w:rPr>
          <w:rFonts w:cs="Times New Roman"/>
          <w:b w:val="0"/>
          <w:w w:val="108"/>
          <w:sz w:val="18"/>
          <w:szCs w:val="18"/>
        </w:rPr>
        <w:t xml:space="preserve"> respectively, indicating no </w:t>
      </w:r>
      <w:r>
        <w:rPr>
          <w:rFonts w:cs="Times New Roman"/>
          <w:b w:val="0"/>
          <w:w w:val="108"/>
          <w:sz w:val="18"/>
          <w:szCs w:val="18"/>
        </w:rPr>
        <w:t xml:space="preserve">loss in </w:t>
      </w:r>
      <w:r w:rsidRPr="00BA7CE7">
        <w:rPr>
          <w:rFonts w:cs="Times New Roman"/>
          <w:b w:val="0"/>
          <w:w w:val="108"/>
          <w:sz w:val="18"/>
          <w:szCs w:val="18"/>
        </w:rPr>
        <w:t xml:space="preserve">radioactivity and no </w:t>
      </w:r>
      <w:r w:rsidRPr="00210E1C">
        <w:rPr>
          <w:rFonts w:cs="Times New Roman"/>
          <w:b w:val="0"/>
          <w:w w:val="108"/>
          <w:sz w:val="18"/>
          <w:szCs w:val="18"/>
        </w:rPr>
        <w:t xml:space="preserve">volatile side products. </w:t>
      </w:r>
      <w:r w:rsidRPr="00E05B76">
        <w:rPr>
          <w:rFonts w:cs="Times New Roman"/>
          <w:b w:val="0"/>
          <w:w w:val="108"/>
          <w:sz w:val="18"/>
          <w:szCs w:val="18"/>
        </w:rPr>
        <w:t xml:space="preserve">The synthesis </w:t>
      </w:r>
      <w:r>
        <w:rPr>
          <w:rFonts w:cs="Times New Roman"/>
          <w:b w:val="0"/>
          <w:w w:val="108"/>
          <w:sz w:val="18"/>
          <w:szCs w:val="18"/>
        </w:rPr>
        <w:t xml:space="preserve">of the cold </w:t>
      </w:r>
      <w:proofErr w:type="spellStart"/>
      <w:r w:rsidRPr="00E05B76">
        <w:rPr>
          <w:rFonts w:cs="Times New Roman"/>
          <w:b w:val="0"/>
          <w:w w:val="108"/>
          <w:sz w:val="18"/>
          <w:szCs w:val="18"/>
        </w:rPr>
        <w:t>fluorocycloalkane</w:t>
      </w:r>
      <w:proofErr w:type="spellEnd"/>
      <w:r>
        <w:rPr>
          <w:rFonts w:cs="Times New Roman"/>
          <w:b w:val="0"/>
          <w:w w:val="108"/>
          <w:sz w:val="18"/>
          <w:szCs w:val="18"/>
        </w:rPr>
        <w:t xml:space="preserve"> standards for radiochemical HPLC analysis </w:t>
      </w:r>
      <w:r w:rsidRPr="00E05B76">
        <w:rPr>
          <w:rFonts w:cs="Times New Roman"/>
          <w:b w:val="0"/>
          <w:w w:val="108"/>
          <w:sz w:val="18"/>
          <w:szCs w:val="18"/>
        </w:rPr>
        <w:t xml:space="preserve">is detailed in the </w:t>
      </w:r>
      <w:r>
        <w:rPr>
          <w:rFonts w:cs="Times New Roman"/>
          <w:b w:val="0"/>
          <w:w w:val="108"/>
          <w:sz w:val="18"/>
          <w:szCs w:val="18"/>
        </w:rPr>
        <w:t>ESI.</w:t>
      </w:r>
    </w:p>
    <w:p w14:paraId="776C4B3F" w14:textId="40542D29" w:rsidR="0044116F" w:rsidRPr="00205E71" w:rsidRDefault="0044116F" w:rsidP="0044116F">
      <w:pPr>
        <w:pStyle w:val="RSCB04SectionHeading"/>
        <w:spacing w:before="120"/>
        <w:jc w:val="both"/>
        <w:rPr>
          <w:b w:val="0"/>
          <w:sz w:val="18"/>
          <w:szCs w:val="18"/>
          <w:vertAlign w:val="superscript"/>
        </w:rPr>
      </w:pPr>
      <w:r>
        <w:rPr>
          <w:rFonts w:cs="Times New Roman"/>
          <w:b w:val="0"/>
          <w:w w:val="108"/>
          <w:sz w:val="18"/>
          <w:szCs w:val="18"/>
        </w:rPr>
        <w:t xml:space="preserve">5-10 Membered cycloalkane rings are found in </w:t>
      </w:r>
      <w:r w:rsidRPr="00583239">
        <w:rPr>
          <w:rFonts w:cs="Times New Roman"/>
          <w:b w:val="0"/>
          <w:w w:val="108"/>
          <w:sz w:val="18"/>
          <w:szCs w:val="18"/>
        </w:rPr>
        <w:t>many bio</w:t>
      </w:r>
      <w:r>
        <w:rPr>
          <w:rFonts w:cs="Times New Roman"/>
          <w:b w:val="0"/>
          <w:w w:val="108"/>
          <w:sz w:val="18"/>
          <w:szCs w:val="18"/>
        </w:rPr>
        <w:t>logically active</w:t>
      </w:r>
      <w:r w:rsidRPr="00583239">
        <w:rPr>
          <w:rFonts w:cs="Times New Roman"/>
          <w:b w:val="0"/>
          <w:w w:val="108"/>
          <w:sz w:val="18"/>
          <w:szCs w:val="18"/>
        </w:rPr>
        <w:t xml:space="preserve"> and drug molecule</w:t>
      </w:r>
      <w:r>
        <w:rPr>
          <w:rFonts w:cs="Times New Roman"/>
          <w:b w:val="0"/>
          <w:w w:val="108"/>
          <w:sz w:val="18"/>
          <w:szCs w:val="18"/>
        </w:rPr>
        <w:t>s,</w:t>
      </w:r>
      <w:r>
        <w:rPr>
          <w:rFonts w:cs="Times New Roman"/>
          <w:b w:val="0"/>
          <w:w w:val="108"/>
          <w:sz w:val="18"/>
          <w:szCs w:val="18"/>
        </w:rPr>
        <w:fldChar w:fldCharType="begin" w:fldLock="1"/>
      </w:r>
      <w:r w:rsidR="00085620">
        <w:rPr>
          <w:rFonts w:cs="Times New Roman"/>
          <w:b w:val="0"/>
          <w:w w:val="108"/>
          <w:sz w:val="18"/>
          <w:szCs w:val="18"/>
        </w:rPr>
        <w:instrText>ADDIN CSL_CITATION {"citationItems":[{"id":"ITEM-1","itemData":{"DOI":"10.1002/jhet.2246","ISSN":"0022152X","author":[{"dropping-particle":"","family":"Nassar","given":"E.","non-dropping-particle":"","parse-names":false,"suffix":""},{"dropping-particle":"","family":"El-Farargy","given":"A. F.","non-dropping-particle":"","parse-names":false,"suffix":""},{"dropping-particle":"","family":"Abdelrazek","given":"F. M.","non-dropping-particle":"","parse-names":false,"suffix":""}],"container-title":"Journal of Heterocyclic Chemistry","id":"ITEM-1","issue":"5","issued":{"date-parts":[["2015","9"]]},"page":"1395-1399","title":"Synthesis of Some Novel Cyclooctane-Fused-Heterocycles with Anticipated Biological Activities","type":"article-journal","volume":"52"},"uris":["http://www.mendeley.com/documents/?uuid=097e36c4-cefa-48e7-b943-b13320c3e22c"]}],"mendeley":{"formattedCitation":"&lt;sup&gt;35&lt;/sup&gt;","plainTextFormattedCitation":"35","previouslyFormattedCitation":"(Nassar, El-Farargy, and Abdelrazek 2015)"},"properties":{"noteIndex":0},"schema":"https://github.com/citation-style-language/schema/raw/master/csl-citation.json"}</w:instrText>
      </w:r>
      <w:r>
        <w:rPr>
          <w:rFonts w:cs="Times New Roman"/>
          <w:b w:val="0"/>
          <w:w w:val="108"/>
          <w:sz w:val="18"/>
          <w:szCs w:val="18"/>
        </w:rPr>
        <w:fldChar w:fldCharType="separate"/>
      </w:r>
      <w:r w:rsidR="00085620" w:rsidRPr="00085620">
        <w:rPr>
          <w:rFonts w:cs="Times New Roman"/>
          <w:b w:val="0"/>
          <w:noProof/>
          <w:w w:val="108"/>
          <w:sz w:val="18"/>
          <w:szCs w:val="18"/>
          <w:vertAlign w:val="superscript"/>
        </w:rPr>
        <w:t>35</w:t>
      </w:r>
      <w:r>
        <w:rPr>
          <w:rFonts w:cs="Times New Roman"/>
          <w:b w:val="0"/>
          <w:w w:val="108"/>
          <w:sz w:val="18"/>
          <w:szCs w:val="18"/>
        </w:rPr>
        <w:fldChar w:fldCharType="end"/>
      </w:r>
      <w:r w:rsidRPr="00E00759">
        <w:rPr>
          <w:rFonts w:cs="Times New Roman"/>
          <w:b w:val="0"/>
          <w:w w:val="108"/>
          <w:sz w:val="18"/>
          <w:szCs w:val="18"/>
        </w:rPr>
        <w:t xml:space="preserve"> </w:t>
      </w:r>
      <w:r>
        <w:rPr>
          <w:rFonts w:cs="Times New Roman"/>
          <w:b w:val="0"/>
          <w:w w:val="108"/>
          <w:sz w:val="18"/>
          <w:szCs w:val="18"/>
        </w:rPr>
        <w:t xml:space="preserve">and so to exemplify the utility and demonstrate the scope of the method a further 9 substrates </w:t>
      </w:r>
      <w:r w:rsidRPr="0009200C">
        <w:rPr>
          <w:rFonts w:cs="Times New Roman"/>
          <w:b w:val="0"/>
          <w:w w:val="108"/>
          <w:sz w:val="18"/>
          <w:szCs w:val="18"/>
        </w:rPr>
        <w:t xml:space="preserve">containing </w:t>
      </w:r>
      <w:r>
        <w:rPr>
          <w:rFonts w:cs="Times New Roman"/>
          <w:b w:val="0"/>
          <w:w w:val="108"/>
          <w:sz w:val="18"/>
          <w:szCs w:val="18"/>
        </w:rPr>
        <w:t>saturated rings</w:t>
      </w:r>
      <w:r>
        <w:rPr>
          <w:rFonts w:cs="Times New Roman"/>
          <w:w w:val="108"/>
          <w:sz w:val="18"/>
          <w:szCs w:val="18"/>
        </w:rPr>
        <w:t xml:space="preserve"> </w:t>
      </w:r>
      <w:r>
        <w:rPr>
          <w:rFonts w:cs="Times New Roman"/>
          <w:b w:val="0"/>
          <w:w w:val="108"/>
          <w:sz w:val="18"/>
          <w:szCs w:val="18"/>
        </w:rPr>
        <w:t>were [</w:t>
      </w:r>
      <w:r w:rsidRPr="00022A31">
        <w:rPr>
          <w:rFonts w:cs="Times New Roman"/>
          <w:b w:val="0"/>
          <w:w w:val="108"/>
          <w:sz w:val="18"/>
          <w:szCs w:val="18"/>
          <w:vertAlign w:val="superscript"/>
        </w:rPr>
        <w:t>18</w:t>
      </w:r>
      <w:r>
        <w:rPr>
          <w:rFonts w:cs="Times New Roman"/>
          <w:b w:val="0"/>
          <w:w w:val="108"/>
          <w:sz w:val="18"/>
          <w:szCs w:val="18"/>
        </w:rPr>
        <w:t>F] labelled under the optimised conditions (Figure 1</w:t>
      </w:r>
      <w:r w:rsidRPr="00205E71">
        <w:rPr>
          <w:rFonts w:cs="Times New Roman"/>
          <w:b w:val="0"/>
          <w:w w:val="108"/>
          <w:sz w:val="18"/>
          <w:szCs w:val="18"/>
        </w:rPr>
        <w:t>).</w:t>
      </w:r>
    </w:p>
    <w:p w14:paraId="108FBA22" w14:textId="0A8A99A6" w:rsidR="0044116F" w:rsidRDefault="0044116F" w:rsidP="0044116F">
      <w:pPr>
        <w:pStyle w:val="RSCB04SectionHeading"/>
        <w:spacing w:before="120"/>
        <w:jc w:val="both"/>
        <w:rPr>
          <w:rFonts w:cs="Times New Roman"/>
          <w:b w:val="0"/>
          <w:w w:val="108"/>
          <w:sz w:val="18"/>
          <w:szCs w:val="18"/>
        </w:rPr>
      </w:pPr>
      <w:r>
        <w:rPr>
          <w:rFonts w:cs="Times New Roman"/>
          <w:b w:val="0"/>
          <w:w w:val="108"/>
          <w:sz w:val="18"/>
          <w:szCs w:val="18"/>
        </w:rPr>
        <w:t xml:space="preserve">The ascending RCI values with ring size from 5-18% for formation of the </w:t>
      </w:r>
      <w:proofErr w:type="spellStart"/>
      <w:r>
        <w:rPr>
          <w:rFonts w:cs="Times New Roman"/>
          <w:b w:val="0"/>
          <w:w w:val="108"/>
          <w:sz w:val="18"/>
          <w:szCs w:val="18"/>
        </w:rPr>
        <w:t>fluorocycloalkanes</w:t>
      </w:r>
      <w:proofErr w:type="spellEnd"/>
      <w:r w:rsidRPr="00583239">
        <w:rPr>
          <w:rFonts w:cs="Times New Roman"/>
          <w:b w:val="0"/>
          <w:w w:val="108"/>
          <w:sz w:val="18"/>
          <w:szCs w:val="18"/>
        </w:rPr>
        <w:t xml:space="preserve"> </w:t>
      </w:r>
      <w:r w:rsidRPr="00EB036A">
        <w:rPr>
          <w:rFonts w:cs="Times New Roman"/>
          <w:w w:val="108"/>
          <w:sz w:val="18"/>
          <w:szCs w:val="18"/>
        </w:rPr>
        <w:t>[</w:t>
      </w:r>
      <w:r w:rsidRPr="00EB036A">
        <w:rPr>
          <w:rFonts w:cs="Times New Roman"/>
          <w:w w:val="108"/>
          <w:sz w:val="18"/>
          <w:szCs w:val="18"/>
          <w:vertAlign w:val="superscript"/>
        </w:rPr>
        <w:t>18</w:t>
      </w:r>
      <w:r w:rsidRPr="00EB036A">
        <w:rPr>
          <w:rFonts w:cs="Times New Roman"/>
          <w:w w:val="108"/>
          <w:sz w:val="18"/>
          <w:szCs w:val="18"/>
        </w:rPr>
        <w:t>F]</w:t>
      </w:r>
      <w:r w:rsidRPr="00294E0D">
        <w:rPr>
          <w:rFonts w:cs="Times New Roman"/>
          <w:w w:val="108"/>
          <w:sz w:val="18"/>
          <w:szCs w:val="18"/>
        </w:rPr>
        <w:t>4</w:t>
      </w:r>
      <w:r>
        <w:rPr>
          <w:rFonts w:cs="Times New Roman"/>
          <w:w w:val="108"/>
          <w:sz w:val="18"/>
          <w:szCs w:val="18"/>
        </w:rPr>
        <w:t>,5</w:t>
      </w:r>
      <w:r w:rsidR="003A6EF3">
        <w:rPr>
          <w:rFonts w:cs="Times New Roman"/>
          <w:b w:val="0"/>
          <w:w w:val="108"/>
          <w:sz w:val="18"/>
          <w:szCs w:val="18"/>
        </w:rPr>
        <w:t>,</w:t>
      </w:r>
      <w:r>
        <w:rPr>
          <w:rFonts w:cs="Times New Roman"/>
          <w:w w:val="108"/>
          <w:sz w:val="18"/>
          <w:szCs w:val="18"/>
        </w:rPr>
        <w:t>8</w:t>
      </w:r>
      <w:r>
        <w:rPr>
          <w:rFonts w:cs="Times New Roman"/>
          <w:b w:val="0"/>
          <w:w w:val="108"/>
          <w:sz w:val="18"/>
          <w:szCs w:val="18"/>
        </w:rPr>
        <w:t>-</w:t>
      </w:r>
      <w:r>
        <w:rPr>
          <w:rFonts w:cs="Times New Roman"/>
          <w:w w:val="108"/>
          <w:sz w:val="18"/>
          <w:szCs w:val="18"/>
        </w:rPr>
        <w:t>10</w:t>
      </w:r>
      <w:r>
        <w:rPr>
          <w:rFonts w:cs="Times New Roman"/>
          <w:b w:val="0"/>
          <w:w w:val="108"/>
          <w:sz w:val="18"/>
          <w:szCs w:val="18"/>
        </w:rPr>
        <w:t xml:space="preserve"> reflects their relative boiling points; </w:t>
      </w:r>
      <w:proofErr w:type="gramStart"/>
      <w:r w:rsidRPr="00583239">
        <w:rPr>
          <w:rFonts w:cs="Times New Roman"/>
          <w:b w:val="0"/>
          <w:w w:val="108"/>
          <w:sz w:val="18"/>
          <w:szCs w:val="18"/>
        </w:rPr>
        <w:t>i</w:t>
      </w:r>
      <w:r>
        <w:rPr>
          <w:rFonts w:cs="Times New Roman"/>
          <w:b w:val="0"/>
          <w:w w:val="108"/>
          <w:sz w:val="18"/>
          <w:szCs w:val="18"/>
        </w:rPr>
        <w:t xml:space="preserve">n particular </w:t>
      </w:r>
      <w:proofErr w:type="spellStart"/>
      <w:r>
        <w:rPr>
          <w:rFonts w:cs="Times New Roman"/>
          <w:b w:val="0"/>
          <w:w w:val="108"/>
          <w:sz w:val="18"/>
          <w:szCs w:val="18"/>
        </w:rPr>
        <w:t>fluorocyclopentane</w:t>
      </w:r>
      <w:proofErr w:type="spellEnd"/>
      <w:proofErr w:type="gramEnd"/>
      <w:r>
        <w:rPr>
          <w:rFonts w:cs="Times New Roman"/>
          <w:b w:val="0"/>
          <w:w w:val="108"/>
          <w:sz w:val="18"/>
          <w:szCs w:val="18"/>
        </w:rPr>
        <w:t xml:space="preserve"> </w:t>
      </w:r>
      <w:r w:rsidRPr="00325CEB">
        <w:rPr>
          <w:rFonts w:cs="Times New Roman"/>
          <w:w w:val="108"/>
          <w:sz w:val="18"/>
          <w:szCs w:val="18"/>
        </w:rPr>
        <w:t>[</w:t>
      </w:r>
      <w:r w:rsidRPr="00325CEB">
        <w:rPr>
          <w:rFonts w:cs="Times New Roman"/>
          <w:w w:val="108"/>
          <w:sz w:val="18"/>
          <w:szCs w:val="18"/>
          <w:vertAlign w:val="superscript"/>
        </w:rPr>
        <w:t>18</w:t>
      </w:r>
      <w:r w:rsidRPr="00325CEB">
        <w:rPr>
          <w:rFonts w:cs="Times New Roman"/>
          <w:w w:val="108"/>
          <w:sz w:val="18"/>
          <w:szCs w:val="18"/>
        </w:rPr>
        <w:t>F]</w:t>
      </w:r>
      <w:r>
        <w:rPr>
          <w:rFonts w:cs="Times New Roman"/>
          <w:w w:val="108"/>
          <w:sz w:val="18"/>
          <w:szCs w:val="18"/>
        </w:rPr>
        <w:t>4</w:t>
      </w:r>
      <w:r>
        <w:rPr>
          <w:rFonts w:cs="Times New Roman"/>
          <w:b w:val="0"/>
          <w:w w:val="108"/>
          <w:sz w:val="18"/>
          <w:szCs w:val="18"/>
        </w:rPr>
        <w:t xml:space="preserve"> is extremely volatile</w:t>
      </w:r>
      <w:r w:rsidRPr="00583239">
        <w:rPr>
          <w:rFonts w:cs="Times New Roman"/>
          <w:b w:val="0"/>
          <w:w w:val="108"/>
          <w:sz w:val="18"/>
          <w:szCs w:val="18"/>
        </w:rPr>
        <w:t xml:space="preserve"> </w:t>
      </w:r>
      <w:r>
        <w:rPr>
          <w:rFonts w:cs="Times New Roman"/>
          <w:b w:val="0"/>
          <w:w w:val="108"/>
          <w:sz w:val="18"/>
          <w:szCs w:val="18"/>
        </w:rPr>
        <w:t xml:space="preserve">leading to losses </w:t>
      </w:r>
      <w:r w:rsidRPr="00294E0D">
        <w:rPr>
          <w:rFonts w:cs="Times New Roman"/>
          <w:b w:val="0"/>
          <w:i/>
          <w:w w:val="108"/>
          <w:sz w:val="18"/>
          <w:szCs w:val="18"/>
        </w:rPr>
        <w:t>via</w:t>
      </w:r>
      <w:r>
        <w:rPr>
          <w:rFonts w:cs="Times New Roman"/>
          <w:b w:val="0"/>
          <w:w w:val="108"/>
          <w:sz w:val="18"/>
          <w:szCs w:val="18"/>
        </w:rPr>
        <w:t xml:space="preserve"> evaporation. </w:t>
      </w:r>
      <w:r w:rsidRPr="006023AB">
        <w:rPr>
          <w:rFonts w:cs="Times New Roman"/>
          <w:b w:val="0"/>
          <w:i/>
          <w:w w:val="108"/>
          <w:sz w:val="18"/>
          <w:szCs w:val="18"/>
        </w:rPr>
        <w:t>trans</w:t>
      </w:r>
      <w:r>
        <w:rPr>
          <w:rFonts w:cs="Times New Roman"/>
          <w:b w:val="0"/>
          <w:w w:val="108"/>
          <w:sz w:val="18"/>
          <w:szCs w:val="18"/>
        </w:rPr>
        <w:t xml:space="preserve">-Decalin was labelled to give </w:t>
      </w:r>
      <w:r w:rsidRPr="00325CEB">
        <w:rPr>
          <w:rFonts w:cs="Times New Roman"/>
          <w:w w:val="108"/>
          <w:sz w:val="18"/>
          <w:szCs w:val="18"/>
        </w:rPr>
        <w:t>[</w:t>
      </w:r>
      <w:r w:rsidRPr="00325CEB">
        <w:rPr>
          <w:rFonts w:cs="Times New Roman"/>
          <w:w w:val="108"/>
          <w:sz w:val="18"/>
          <w:szCs w:val="18"/>
          <w:vertAlign w:val="superscript"/>
        </w:rPr>
        <w:t>18</w:t>
      </w:r>
      <w:r w:rsidRPr="00325CEB">
        <w:rPr>
          <w:rFonts w:cs="Times New Roman"/>
          <w:w w:val="108"/>
          <w:sz w:val="18"/>
          <w:szCs w:val="18"/>
        </w:rPr>
        <w:t>F]</w:t>
      </w:r>
      <w:r>
        <w:rPr>
          <w:rFonts w:cs="Times New Roman"/>
          <w:w w:val="108"/>
          <w:sz w:val="18"/>
          <w:szCs w:val="18"/>
        </w:rPr>
        <w:t>7</w:t>
      </w:r>
      <w:r w:rsidR="00E46C74">
        <w:rPr>
          <w:rFonts w:cs="Times New Roman"/>
          <w:w w:val="108"/>
          <w:sz w:val="18"/>
          <w:szCs w:val="18"/>
        </w:rPr>
        <w:t>b</w:t>
      </w:r>
      <w:r>
        <w:rPr>
          <w:rFonts w:cs="Times New Roman"/>
          <w:w w:val="108"/>
          <w:sz w:val="18"/>
          <w:szCs w:val="18"/>
        </w:rPr>
        <w:t xml:space="preserve"> </w:t>
      </w:r>
      <w:r>
        <w:rPr>
          <w:rFonts w:cs="Times New Roman"/>
          <w:b w:val="0"/>
          <w:w w:val="108"/>
          <w:sz w:val="18"/>
          <w:szCs w:val="18"/>
        </w:rPr>
        <w:t>with an</w:t>
      </w:r>
      <w:r w:rsidRPr="005E1C29">
        <w:rPr>
          <w:rFonts w:cs="Times New Roman"/>
          <w:b w:val="0"/>
          <w:w w:val="108"/>
          <w:sz w:val="18"/>
          <w:szCs w:val="18"/>
        </w:rPr>
        <w:t xml:space="preserve"> RCI of 9%</w:t>
      </w:r>
      <w:r>
        <w:rPr>
          <w:rFonts w:cs="Times New Roman"/>
          <w:b w:val="0"/>
          <w:w w:val="108"/>
          <w:sz w:val="18"/>
          <w:szCs w:val="18"/>
        </w:rPr>
        <w:t xml:space="preserve"> despite its low solubility in </w:t>
      </w:r>
      <w:proofErr w:type="spellStart"/>
      <w:r>
        <w:rPr>
          <w:rFonts w:cs="Times New Roman"/>
          <w:b w:val="0"/>
          <w:w w:val="108"/>
          <w:sz w:val="18"/>
          <w:szCs w:val="18"/>
        </w:rPr>
        <w:t>MeCN</w:t>
      </w:r>
      <w:proofErr w:type="spellEnd"/>
      <w:r>
        <w:rPr>
          <w:rFonts w:cs="Times New Roman"/>
          <w:b w:val="0"/>
          <w:w w:val="108"/>
          <w:sz w:val="18"/>
          <w:szCs w:val="18"/>
        </w:rPr>
        <w:t>.</w:t>
      </w:r>
      <w:r w:rsidRPr="005E1C29">
        <w:rPr>
          <w:rFonts w:cs="Times New Roman"/>
          <w:b w:val="0"/>
          <w:w w:val="108"/>
          <w:sz w:val="18"/>
          <w:szCs w:val="18"/>
        </w:rPr>
        <w:t xml:space="preserve"> </w:t>
      </w:r>
      <w:r>
        <w:rPr>
          <w:rFonts w:cs="Times New Roman"/>
          <w:b w:val="0"/>
          <w:w w:val="108"/>
          <w:sz w:val="18"/>
          <w:szCs w:val="18"/>
        </w:rPr>
        <w:t>Interestingly, there was a divergence of behaviour between the two ester</w:t>
      </w:r>
      <w:r w:rsidR="00C931E8">
        <w:rPr>
          <w:rFonts w:cs="Times New Roman"/>
          <w:b w:val="0"/>
          <w:w w:val="108"/>
          <w:sz w:val="18"/>
          <w:szCs w:val="18"/>
        </w:rPr>
        <w:t>-</w:t>
      </w:r>
      <w:r>
        <w:rPr>
          <w:rFonts w:cs="Times New Roman"/>
          <w:b w:val="0"/>
          <w:w w:val="108"/>
          <w:sz w:val="18"/>
          <w:szCs w:val="18"/>
        </w:rPr>
        <w:t xml:space="preserve">functionalised </w:t>
      </w:r>
      <w:proofErr w:type="spellStart"/>
      <w:r>
        <w:rPr>
          <w:rFonts w:cs="Times New Roman"/>
          <w:b w:val="0"/>
          <w:w w:val="108"/>
          <w:sz w:val="18"/>
          <w:szCs w:val="18"/>
        </w:rPr>
        <w:t>cyclohexanes</w:t>
      </w:r>
      <w:proofErr w:type="spellEnd"/>
      <w:r>
        <w:rPr>
          <w:rFonts w:cs="Times New Roman"/>
          <w:b w:val="0"/>
          <w:w w:val="108"/>
          <w:sz w:val="18"/>
          <w:szCs w:val="18"/>
        </w:rPr>
        <w:t xml:space="preserve"> examined: </w:t>
      </w:r>
      <w:proofErr w:type="spellStart"/>
      <w:r>
        <w:rPr>
          <w:rFonts w:cs="Times New Roman"/>
          <w:b w:val="0"/>
          <w:w w:val="108"/>
          <w:sz w:val="18"/>
          <w:szCs w:val="18"/>
        </w:rPr>
        <w:t>cyclohexylacetate</w:t>
      </w:r>
      <w:proofErr w:type="spellEnd"/>
      <w:r>
        <w:rPr>
          <w:rFonts w:cs="Times New Roman"/>
          <w:b w:val="0"/>
          <w:w w:val="108"/>
          <w:sz w:val="18"/>
          <w:szCs w:val="18"/>
        </w:rPr>
        <w:t xml:space="preserve"> gave </w:t>
      </w:r>
      <w:r w:rsidRPr="00325CEB">
        <w:rPr>
          <w:rFonts w:cs="Times New Roman"/>
          <w:w w:val="108"/>
          <w:sz w:val="18"/>
          <w:szCs w:val="18"/>
        </w:rPr>
        <w:t>[</w:t>
      </w:r>
      <w:r w:rsidRPr="00325CEB">
        <w:rPr>
          <w:rFonts w:cs="Times New Roman"/>
          <w:w w:val="108"/>
          <w:sz w:val="18"/>
          <w:szCs w:val="18"/>
          <w:vertAlign w:val="superscript"/>
        </w:rPr>
        <w:t>18</w:t>
      </w:r>
      <w:r w:rsidRPr="00325CEB">
        <w:rPr>
          <w:rFonts w:cs="Times New Roman"/>
          <w:w w:val="108"/>
          <w:sz w:val="18"/>
          <w:szCs w:val="18"/>
        </w:rPr>
        <w:t>F]</w:t>
      </w:r>
      <w:r>
        <w:rPr>
          <w:rFonts w:cs="Times New Roman"/>
          <w:w w:val="108"/>
          <w:sz w:val="18"/>
          <w:szCs w:val="18"/>
        </w:rPr>
        <w:t>11</w:t>
      </w:r>
      <w:r>
        <w:rPr>
          <w:rFonts w:cs="Times New Roman"/>
          <w:b w:val="0"/>
          <w:w w:val="108"/>
          <w:sz w:val="18"/>
          <w:szCs w:val="18"/>
        </w:rPr>
        <w:t xml:space="preserve"> in 9% RCI whereas ethyl </w:t>
      </w:r>
      <w:proofErr w:type="spellStart"/>
      <w:r>
        <w:rPr>
          <w:rFonts w:cs="Times New Roman"/>
          <w:b w:val="0"/>
          <w:w w:val="108"/>
          <w:sz w:val="18"/>
          <w:szCs w:val="18"/>
        </w:rPr>
        <w:t>cyclohexanecarboxylate</w:t>
      </w:r>
      <w:proofErr w:type="spellEnd"/>
      <w:r>
        <w:rPr>
          <w:rFonts w:cs="Times New Roman"/>
          <w:b w:val="0"/>
          <w:w w:val="108"/>
          <w:sz w:val="18"/>
          <w:szCs w:val="18"/>
        </w:rPr>
        <w:t xml:space="preserve"> was inert to the oxidation conditions and no </w:t>
      </w:r>
      <w:r w:rsidRPr="00325CEB">
        <w:rPr>
          <w:rFonts w:cs="Times New Roman"/>
          <w:w w:val="108"/>
          <w:sz w:val="18"/>
          <w:szCs w:val="18"/>
        </w:rPr>
        <w:t>[</w:t>
      </w:r>
      <w:r w:rsidRPr="00325CEB">
        <w:rPr>
          <w:rFonts w:cs="Times New Roman"/>
          <w:w w:val="108"/>
          <w:sz w:val="18"/>
          <w:szCs w:val="18"/>
          <w:vertAlign w:val="superscript"/>
        </w:rPr>
        <w:t>18</w:t>
      </w:r>
      <w:r w:rsidRPr="00325CEB">
        <w:rPr>
          <w:rFonts w:cs="Times New Roman"/>
          <w:w w:val="108"/>
          <w:sz w:val="18"/>
          <w:szCs w:val="18"/>
        </w:rPr>
        <w:t>F]</w:t>
      </w:r>
      <w:r>
        <w:rPr>
          <w:rFonts w:cs="Times New Roman"/>
          <w:w w:val="108"/>
          <w:sz w:val="18"/>
          <w:szCs w:val="18"/>
        </w:rPr>
        <w:t>13</w:t>
      </w:r>
      <w:r>
        <w:rPr>
          <w:rFonts w:cs="Times New Roman"/>
          <w:b w:val="0"/>
          <w:w w:val="108"/>
          <w:sz w:val="18"/>
          <w:szCs w:val="18"/>
        </w:rPr>
        <w:t xml:space="preserve"> was obtained. Application of our method to the oxidation of </w:t>
      </w:r>
      <w:r w:rsidR="00EB036A">
        <w:rPr>
          <w:rFonts w:cs="Times New Roman"/>
          <w:b w:val="0"/>
          <w:w w:val="108"/>
          <w:sz w:val="18"/>
          <w:szCs w:val="18"/>
        </w:rPr>
        <w:t>two</w:t>
      </w:r>
      <w:r>
        <w:rPr>
          <w:rFonts w:cs="Times New Roman"/>
          <w:b w:val="0"/>
          <w:w w:val="108"/>
          <w:sz w:val="18"/>
          <w:szCs w:val="18"/>
        </w:rPr>
        <w:t xml:space="preserve"> steroid derivatives yielded particularly pleasing results: </w:t>
      </w:r>
      <w:r w:rsidRPr="00FC3017">
        <w:rPr>
          <w:rFonts w:cs="Times New Roman"/>
          <w:b w:val="0"/>
          <w:w w:val="108"/>
          <w:sz w:val="18"/>
          <w:szCs w:val="18"/>
        </w:rPr>
        <w:t>16β-</w:t>
      </w:r>
      <w:proofErr w:type="spellStart"/>
      <w:r w:rsidRPr="00FC3017">
        <w:rPr>
          <w:rFonts w:cs="Times New Roman"/>
          <w:b w:val="0"/>
          <w:w w:val="108"/>
          <w:sz w:val="18"/>
          <w:szCs w:val="18"/>
        </w:rPr>
        <w:t>fluoro</w:t>
      </w:r>
      <w:proofErr w:type="spellEnd"/>
      <w:r w:rsidRPr="00FC3017">
        <w:rPr>
          <w:rFonts w:cs="Times New Roman"/>
          <w:b w:val="0"/>
          <w:w w:val="108"/>
          <w:sz w:val="18"/>
          <w:szCs w:val="18"/>
        </w:rPr>
        <w:t xml:space="preserve">-progesterone </w:t>
      </w:r>
      <w:r w:rsidRPr="00FC3017">
        <w:rPr>
          <w:rFonts w:cs="Times New Roman"/>
          <w:w w:val="108"/>
          <w:sz w:val="18"/>
          <w:szCs w:val="18"/>
        </w:rPr>
        <w:t>[</w:t>
      </w:r>
      <w:r w:rsidRPr="00FC3017">
        <w:rPr>
          <w:rFonts w:cs="Times New Roman"/>
          <w:w w:val="108"/>
          <w:sz w:val="18"/>
          <w:szCs w:val="18"/>
          <w:vertAlign w:val="superscript"/>
        </w:rPr>
        <w:t>18</w:t>
      </w:r>
      <w:r w:rsidRPr="00FC3017">
        <w:rPr>
          <w:rFonts w:cs="Times New Roman"/>
          <w:w w:val="108"/>
          <w:sz w:val="18"/>
          <w:szCs w:val="18"/>
        </w:rPr>
        <w:t>F]14</w:t>
      </w:r>
      <w:r w:rsidRPr="00FC3017">
        <w:rPr>
          <w:rFonts w:cs="Times New Roman"/>
          <w:b w:val="0"/>
          <w:w w:val="108"/>
          <w:sz w:val="18"/>
          <w:szCs w:val="18"/>
        </w:rPr>
        <w:t xml:space="preserve"> and </w:t>
      </w:r>
      <w:bookmarkStart w:id="6" w:name="_Hlk45005728"/>
      <w:bookmarkStart w:id="7" w:name="_Hlk48573689"/>
      <w:r w:rsidRPr="00FC3017">
        <w:rPr>
          <w:rFonts w:cs="Times New Roman"/>
          <w:b w:val="0"/>
          <w:w w:val="108"/>
          <w:sz w:val="18"/>
          <w:szCs w:val="18"/>
        </w:rPr>
        <w:t>16β-fluoro-5α-dihydrotestosterone</w:t>
      </w:r>
      <w:r w:rsidRPr="005E1C29">
        <w:rPr>
          <w:rFonts w:cs="Times New Roman"/>
          <w:b w:val="0"/>
          <w:w w:val="108"/>
          <w:sz w:val="18"/>
          <w:szCs w:val="18"/>
        </w:rPr>
        <w:t xml:space="preserve"> </w:t>
      </w:r>
      <w:bookmarkEnd w:id="7"/>
      <w:r>
        <w:rPr>
          <w:rFonts w:cs="Times New Roman"/>
          <w:b w:val="0"/>
          <w:w w:val="108"/>
          <w:sz w:val="18"/>
          <w:szCs w:val="18"/>
        </w:rPr>
        <w:t>(</w:t>
      </w:r>
      <w:bookmarkStart w:id="8" w:name="_Hlk48573678"/>
      <w:r w:rsidRPr="005E1C29">
        <w:rPr>
          <w:rFonts w:cs="Times New Roman"/>
          <w:b w:val="0"/>
          <w:w w:val="108"/>
          <w:sz w:val="18"/>
          <w:szCs w:val="18"/>
        </w:rPr>
        <w:t>FDHT</w:t>
      </w:r>
      <w:bookmarkEnd w:id="8"/>
      <w:r>
        <w:rPr>
          <w:rFonts w:cs="Times New Roman"/>
          <w:b w:val="0"/>
          <w:w w:val="108"/>
          <w:sz w:val="18"/>
          <w:szCs w:val="18"/>
        </w:rPr>
        <w:t xml:space="preserve">) </w:t>
      </w:r>
      <w:r w:rsidRPr="00C1152E">
        <w:rPr>
          <w:rFonts w:cs="Times New Roman"/>
          <w:w w:val="108"/>
          <w:sz w:val="18"/>
          <w:szCs w:val="18"/>
        </w:rPr>
        <w:t>[</w:t>
      </w:r>
      <w:r w:rsidRPr="00C1152E">
        <w:rPr>
          <w:rFonts w:cs="Times New Roman"/>
          <w:w w:val="108"/>
          <w:sz w:val="18"/>
          <w:szCs w:val="18"/>
          <w:vertAlign w:val="superscript"/>
        </w:rPr>
        <w:t>18</w:t>
      </w:r>
      <w:r>
        <w:rPr>
          <w:rFonts w:cs="Times New Roman"/>
          <w:w w:val="108"/>
          <w:sz w:val="18"/>
          <w:szCs w:val="18"/>
        </w:rPr>
        <w:t>F]15</w:t>
      </w:r>
      <w:bookmarkEnd w:id="6"/>
      <w:r>
        <w:rPr>
          <w:rFonts w:cs="Times New Roman"/>
          <w:b w:val="0"/>
          <w:w w:val="108"/>
          <w:sz w:val="18"/>
          <w:szCs w:val="18"/>
        </w:rPr>
        <w:t xml:space="preserve"> were obtained with RCIs of </w:t>
      </w:r>
      <w:r w:rsidRPr="005E1C29">
        <w:rPr>
          <w:rFonts w:cs="Times New Roman"/>
          <w:b w:val="0"/>
          <w:w w:val="108"/>
          <w:sz w:val="18"/>
          <w:szCs w:val="18"/>
        </w:rPr>
        <w:t>38% and 3</w:t>
      </w:r>
      <w:r w:rsidR="00FB5C92">
        <w:rPr>
          <w:rFonts w:cs="Times New Roman"/>
          <w:b w:val="0"/>
          <w:w w:val="108"/>
          <w:sz w:val="18"/>
          <w:szCs w:val="18"/>
        </w:rPr>
        <w:t>1</w:t>
      </w:r>
      <w:r w:rsidRPr="005E1C29">
        <w:rPr>
          <w:rFonts w:cs="Times New Roman"/>
          <w:b w:val="0"/>
          <w:w w:val="108"/>
          <w:sz w:val="18"/>
          <w:szCs w:val="18"/>
        </w:rPr>
        <w:t>%</w:t>
      </w:r>
      <w:r>
        <w:rPr>
          <w:rFonts w:cs="Times New Roman"/>
          <w:b w:val="0"/>
          <w:w w:val="108"/>
          <w:sz w:val="18"/>
          <w:szCs w:val="18"/>
        </w:rPr>
        <w:t xml:space="preserve"> respectively.</w:t>
      </w:r>
    </w:p>
    <w:p w14:paraId="74E462C5" w14:textId="7A653E8C" w:rsidR="0044116F" w:rsidRDefault="006871F3" w:rsidP="0044116F">
      <w:pPr>
        <w:pStyle w:val="RSCB04SectionHeading"/>
        <w:keepNext/>
        <w:jc w:val="center"/>
      </w:pPr>
      <w:r>
        <w:object w:dxaOrig="6115" w:dyaOrig="6943" w14:anchorId="18907F02">
          <v:shape id="_x0000_i1026" type="#_x0000_t75" style="width:305.75pt;height:347.1pt" o:ole="">
            <v:imagedata r:id="rId11" o:title=""/>
          </v:shape>
          <o:OLEObject Type="Embed" ProgID="ChemDraw.Document.6.0" ShapeID="_x0000_i1026" DrawAspect="Content" ObjectID="_1659187376" r:id="rId12"/>
        </w:object>
      </w:r>
    </w:p>
    <w:p w14:paraId="78AE1726" w14:textId="195F28AB" w:rsidR="0044116F" w:rsidRPr="00CC2405" w:rsidRDefault="0044116F" w:rsidP="00FB5C92">
      <w:pPr>
        <w:pStyle w:val="Caption"/>
        <w:spacing w:before="240" w:after="0"/>
        <w:jc w:val="both"/>
        <w:rPr>
          <w:sz w:val="18"/>
        </w:rPr>
      </w:pPr>
      <w:r w:rsidRPr="00CC2405">
        <w:rPr>
          <w:b/>
          <w:sz w:val="18"/>
        </w:rPr>
        <w:t xml:space="preserve">Figure </w:t>
      </w:r>
      <w:r w:rsidRPr="00791007">
        <w:rPr>
          <w:b/>
          <w:sz w:val="18"/>
        </w:rPr>
        <w:fldChar w:fldCharType="begin"/>
      </w:r>
      <w:r w:rsidRPr="008F1B1E">
        <w:rPr>
          <w:b/>
          <w:sz w:val="18"/>
        </w:rPr>
        <w:instrText xml:space="preserve"> SEQ Figure \* ARABIC </w:instrText>
      </w:r>
      <w:r w:rsidRPr="00791007">
        <w:rPr>
          <w:b/>
          <w:sz w:val="18"/>
        </w:rPr>
        <w:fldChar w:fldCharType="separate"/>
      </w:r>
      <w:r>
        <w:rPr>
          <w:b/>
          <w:noProof/>
          <w:sz w:val="18"/>
        </w:rPr>
        <w:t>1</w:t>
      </w:r>
      <w:r w:rsidRPr="00791007">
        <w:rPr>
          <w:b/>
          <w:sz w:val="18"/>
        </w:rPr>
        <w:fldChar w:fldCharType="end"/>
      </w:r>
      <w:r w:rsidRPr="008F1B1E">
        <w:rPr>
          <w:b/>
          <w:sz w:val="18"/>
        </w:rPr>
        <w:t>.</w:t>
      </w:r>
      <w:r w:rsidRPr="00CC2405">
        <w:rPr>
          <w:sz w:val="18"/>
        </w:rPr>
        <w:t xml:space="preserve"> </w:t>
      </w:r>
      <w:r w:rsidRPr="00CC2405">
        <w:rPr>
          <w:rFonts w:cs="Times New Roman"/>
          <w:w w:val="108"/>
          <w:sz w:val="18"/>
        </w:rPr>
        <w:t>[</w:t>
      </w:r>
      <w:r w:rsidRPr="00CC2405">
        <w:rPr>
          <w:rFonts w:cs="Times New Roman"/>
          <w:w w:val="108"/>
          <w:sz w:val="18"/>
          <w:vertAlign w:val="superscript"/>
        </w:rPr>
        <w:t>18</w:t>
      </w:r>
      <w:proofErr w:type="gramStart"/>
      <w:r w:rsidRPr="00CC2405">
        <w:rPr>
          <w:rFonts w:cs="Times New Roman"/>
          <w:w w:val="108"/>
          <w:sz w:val="18"/>
        </w:rPr>
        <w:t>F]Fluorination</w:t>
      </w:r>
      <w:proofErr w:type="gramEnd"/>
      <w:r w:rsidRPr="00CC2405">
        <w:rPr>
          <w:rFonts w:cs="Times New Roman"/>
          <w:w w:val="108"/>
          <w:sz w:val="18"/>
        </w:rPr>
        <w:t xml:space="preserve"> of </w:t>
      </w:r>
      <w:r w:rsidR="005324F6">
        <w:rPr>
          <w:rFonts w:cs="Times New Roman"/>
          <w:w w:val="108"/>
          <w:sz w:val="18"/>
        </w:rPr>
        <w:t>eleven</w:t>
      </w:r>
      <w:r w:rsidRPr="00CC2405">
        <w:rPr>
          <w:rFonts w:cs="Times New Roman"/>
          <w:w w:val="108"/>
          <w:sz w:val="18"/>
        </w:rPr>
        <w:t xml:space="preserve"> cycloalkanes</w:t>
      </w:r>
      <w:r>
        <w:rPr>
          <w:rFonts w:cs="Times New Roman"/>
          <w:w w:val="108"/>
          <w:sz w:val="18"/>
        </w:rPr>
        <w:t xml:space="preserve"> and derivatives</w:t>
      </w:r>
      <w:r w:rsidRPr="00CC2405">
        <w:rPr>
          <w:rFonts w:cs="Times New Roman"/>
          <w:w w:val="108"/>
          <w:sz w:val="18"/>
        </w:rPr>
        <w:t xml:space="preserve"> using </w:t>
      </w:r>
      <w:r>
        <w:rPr>
          <w:rFonts w:cs="Times New Roman"/>
          <w:w w:val="108"/>
          <w:sz w:val="18"/>
        </w:rPr>
        <w:t>our</w:t>
      </w:r>
      <w:r w:rsidRPr="00CC2405">
        <w:rPr>
          <w:rFonts w:cs="Times New Roman"/>
          <w:w w:val="108"/>
          <w:sz w:val="18"/>
        </w:rPr>
        <w:t xml:space="preserve"> optimised method</w:t>
      </w:r>
      <w:r>
        <w:rPr>
          <w:rFonts w:cs="Times New Roman"/>
          <w:w w:val="108"/>
          <w:sz w:val="18"/>
        </w:rPr>
        <w:t xml:space="preserve"> (</w:t>
      </w:r>
      <w:r w:rsidRPr="00EB036A">
        <w:rPr>
          <w:rFonts w:cs="Times New Roman"/>
          <w:i/>
          <w:w w:val="108"/>
          <w:sz w:val="18"/>
        </w:rPr>
        <w:t>i.e.</w:t>
      </w:r>
      <w:r>
        <w:rPr>
          <w:rFonts w:cs="Times New Roman"/>
          <w:w w:val="108"/>
          <w:sz w:val="18"/>
        </w:rPr>
        <w:t xml:space="preserve"> </w:t>
      </w:r>
      <w:r w:rsidR="00930B8F">
        <w:rPr>
          <w:rFonts w:cs="Times New Roman"/>
          <w:w w:val="108"/>
          <w:sz w:val="18"/>
        </w:rPr>
        <w:t>pre-</w:t>
      </w:r>
      <w:r>
        <w:rPr>
          <w:rFonts w:cs="Times New Roman"/>
          <w:w w:val="108"/>
          <w:sz w:val="18"/>
        </w:rPr>
        <w:t xml:space="preserve">catalyst </w:t>
      </w:r>
      <w:r w:rsidRPr="00EE013C">
        <w:rPr>
          <w:rFonts w:cs="Times New Roman"/>
          <w:b/>
          <w:w w:val="108"/>
          <w:sz w:val="18"/>
        </w:rPr>
        <w:t>1a</w:t>
      </w:r>
      <w:r>
        <w:rPr>
          <w:rFonts w:cs="Times New Roman"/>
          <w:w w:val="108"/>
          <w:sz w:val="18"/>
        </w:rPr>
        <w:t xml:space="preserve"> and oxidant </w:t>
      </w:r>
      <w:proofErr w:type="spellStart"/>
      <w:r>
        <w:rPr>
          <w:rFonts w:cs="Times New Roman"/>
          <w:w w:val="108"/>
          <w:sz w:val="18"/>
        </w:rPr>
        <w:t>PhIO</w:t>
      </w:r>
      <w:proofErr w:type="spellEnd"/>
      <w:r w:rsidR="00FB5C92">
        <w:rPr>
          <w:rFonts w:cs="Times New Roman"/>
          <w:w w:val="108"/>
          <w:sz w:val="18"/>
        </w:rPr>
        <w:t xml:space="preserve"> (</w:t>
      </w:r>
      <w:r w:rsidR="00FB5C92" w:rsidRPr="00FB5C92">
        <w:rPr>
          <w:rFonts w:cs="Times New Roman"/>
          <w:b/>
          <w:bCs w:val="0"/>
          <w:w w:val="108"/>
          <w:sz w:val="18"/>
        </w:rPr>
        <w:t>16a</w:t>
      </w:r>
      <w:r w:rsidR="00FB5C92">
        <w:rPr>
          <w:rFonts w:cs="Times New Roman"/>
          <w:w w:val="108"/>
          <w:sz w:val="18"/>
        </w:rPr>
        <w:t>)</w:t>
      </w:r>
      <w:r w:rsidR="00EB036A">
        <w:rPr>
          <w:rFonts w:cs="Times New Roman"/>
          <w:w w:val="108"/>
          <w:sz w:val="18"/>
        </w:rPr>
        <w:t xml:space="preserve"> 1:1 equiv. in </w:t>
      </w:r>
      <w:proofErr w:type="spellStart"/>
      <w:r w:rsidR="00EB036A">
        <w:rPr>
          <w:rFonts w:cs="Times New Roman"/>
          <w:w w:val="108"/>
          <w:sz w:val="18"/>
        </w:rPr>
        <w:t>MeCN</w:t>
      </w:r>
      <w:proofErr w:type="spellEnd"/>
      <w:r w:rsidR="00EB036A">
        <w:rPr>
          <w:rFonts w:cs="Times New Roman"/>
          <w:w w:val="108"/>
          <w:sz w:val="18"/>
        </w:rPr>
        <w:t xml:space="preserve"> for 60 min). </w:t>
      </w:r>
      <w:r w:rsidR="00526A75">
        <w:rPr>
          <w:sz w:val="18"/>
        </w:rPr>
        <w:t xml:space="preserve">The indicated </w:t>
      </w:r>
      <w:proofErr w:type="spellStart"/>
      <w:r w:rsidR="00526A75">
        <w:rPr>
          <w:sz w:val="18"/>
        </w:rPr>
        <w:t>d</w:t>
      </w:r>
      <w:r w:rsidR="00EB036A">
        <w:rPr>
          <w:sz w:val="18"/>
        </w:rPr>
        <w:t>iastereoisomer</w:t>
      </w:r>
      <w:r w:rsidR="00526A75">
        <w:rPr>
          <w:sz w:val="18"/>
        </w:rPr>
        <w:t>s</w:t>
      </w:r>
      <w:proofErr w:type="spellEnd"/>
      <w:r w:rsidR="00526A75">
        <w:rPr>
          <w:sz w:val="18"/>
        </w:rPr>
        <w:t xml:space="preserve"> </w:t>
      </w:r>
      <w:r w:rsidR="00EB036A">
        <w:rPr>
          <w:sz w:val="18"/>
        </w:rPr>
        <w:t xml:space="preserve">are </w:t>
      </w:r>
      <w:r w:rsidR="006871F3">
        <w:rPr>
          <w:sz w:val="18"/>
        </w:rPr>
        <w:t>tentatively assigned</w:t>
      </w:r>
      <w:r w:rsidR="00EB036A">
        <w:rPr>
          <w:sz w:val="18"/>
        </w:rPr>
        <w:t xml:space="preserve"> for compounds </w:t>
      </w:r>
      <w:r w:rsidR="00EB036A">
        <w:rPr>
          <w:b/>
          <w:sz w:val="18"/>
        </w:rPr>
        <w:t>6</w:t>
      </w:r>
      <w:r w:rsidR="00EB036A" w:rsidRPr="0014545C">
        <w:rPr>
          <w:b/>
          <w:sz w:val="18"/>
        </w:rPr>
        <w:t>,7</w:t>
      </w:r>
      <w:r w:rsidR="00FB5C92">
        <w:rPr>
          <w:b/>
          <w:sz w:val="18"/>
        </w:rPr>
        <w:t>b</w:t>
      </w:r>
      <w:r w:rsidR="00EB036A" w:rsidRPr="0014545C">
        <w:rPr>
          <w:b/>
          <w:sz w:val="18"/>
        </w:rPr>
        <w:t>,11</w:t>
      </w:r>
      <w:r w:rsidR="00EB036A">
        <w:rPr>
          <w:sz w:val="18"/>
        </w:rPr>
        <w:t xml:space="preserve"> and </w:t>
      </w:r>
      <w:r w:rsidR="006871F3">
        <w:rPr>
          <w:b/>
          <w:sz w:val="18"/>
        </w:rPr>
        <w:t>14</w:t>
      </w:r>
      <w:r w:rsidR="00EB036A">
        <w:rPr>
          <w:b/>
          <w:sz w:val="18"/>
        </w:rPr>
        <w:t>-15</w:t>
      </w:r>
      <w:r w:rsidR="00526A75">
        <w:rPr>
          <w:sz w:val="18"/>
        </w:rPr>
        <w:t>;</w:t>
      </w:r>
      <w:r w:rsidR="002233E3">
        <w:rPr>
          <w:sz w:val="18"/>
        </w:rPr>
        <w:t xml:space="preserve"> single</w:t>
      </w:r>
      <w:r w:rsidR="00EB036A" w:rsidRPr="007229C6">
        <w:rPr>
          <w:sz w:val="18"/>
        </w:rPr>
        <w:t xml:space="preserve"> </w:t>
      </w:r>
      <w:r w:rsidR="00FC3017">
        <w:rPr>
          <w:sz w:val="18"/>
        </w:rPr>
        <w:t>peaks</w:t>
      </w:r>
      <w:r w:rsidR="00EB036A" w:rsidRPr="007229C6">
        <w:rPr>
          <w:sz w:val="18"/>
        </w:rPr>
        <w:t xml:space="preserve"> w</w:t>
      </w:r>
      <w:r w:rsidR="002233E3">
        <w:rPr>
          <w:sz w:val="18"/>
        </w:rPr>
        <w:t>ere</w:t>
      </w:r>
      <w:r w:rsidR="00EB036A" w:rsidRPr="007229C6">
        <w:rPr>
          <w:sz w:val="18"/>
        </w:rPr>
        <w:t xml:space="preserve"> observed </w:t>
      </w:r>
      <w:r w:rsidR="002233E3">
        <w:rPr>
          <w:sz w:val="18"/>
        </w:rPr>
        <w:t>by</w:t>
      </w:r>
      <w:r w:rsidR="00EB036A" w:rsidRPr="007229C6">
        <w:rPr>
          <w:sz w:val="18"/>
        </w:rPr>
        <w:t xml:space="preserve"> HPLC</w:t>
      </w:r>
      <w:r w:rsidR="00EB036A">
        <w:rPr>
          <w:sz w:val="18"/>
        </w:rPr>
        <w:t xml:space="preserve"> analysis (see ESI).</w:t>
      </w:r>
    </w:p>
    <w:p w14:paraId="49BB091C" w14:textId="51275231" w:rsidR="0044116F" w:rsidRDefault="0044116F" w:rsidP="0044116F">
      <w:pPr>
        <w:pStyle w:val="RSCB04SectionHeading"/>
        <w:spacing w:before="120"/>
        <w:jc w:val="both"/>
        <w:rPr>
          <w:rFonts w:cs="Times New Roman"/>
          <w:b w:val="0"/>
          <w:w w:val="108"/>
          <w:sz w:val="18"/>
          <w:szCs w:val="18"/>
        </w:rPr>
      </w:pPr>
      <w:r>
        <w:rPr>
          <w:rFonts w:cs="Times New Roman"/>
          <w:b w:val="0"/>
          <w:w w:val="108"/>
          <w:sz w:val="18"/>
          <w:szCs w:val="18"/>
        </w:rPr>
        <w:lastRenderedPageBreak/>
        <w:t xml:space="preserve">The reactions </w:t>
      </w:r>
      <w:r w:rsidR="00BF68E9">
        <w:rPr>
          <w:rFonts w:cs="Times New Roman"/>
          <w:b w:val="0"/>
          <w:w w:val="108"/>
          <w:sz w:val="18"/>
          <w:szCs w:val="18"/>
        </w:rPr>
        <w:t xml:space="preserve">to give </w:t>
      </w:r>
      <w:r w:rsidR="00BF68E9" w:rsidRPr="00C1152E">
        <w:rPr>
          <w:rFonts w:cs="Times New Roman"/>
          <w:w w:val="108"/>
          <w:sz w:val="18"/>
          <w:szCs w:val="18"/>
        </w:rPr>
        <w:t>[</w:t>
      </w:r>
      <w:r w:rsidR="00BF68E9" w:rsidRPr="00C1152E">
        <w:rPr>
          <w:rFonts w:cs="Times New Roman"/>
          <w:w w:val="108"/>
          <w:sz w:val="18"/>
          <w:szCs w:val="18"/>
          <w:vertAlign w:val="superscript"/>
        </w:rPr>
        <w:t>18</w:t>
      </w:r>
      <w:r w:rsidR="00BF68E9" w:rsidRPr="00C1152E">
        <w:rPr>
          <w:rFonts w:cs="Times New Roman"/>
          <w:w w:val="108"/>
          <w:sz w:val="18"/>
          <w:szCs w:val="18"/>
        </w:rPr>
        <w:t>F]</w:t>
      </w:r>
      <w:r w:rsidR="00BF68E9">
        <w:rPr>
          <w:rFonts w:cs="Times New Roman"/>
          <w:w w:val="108"/>
          <w:sz w:val="18"/>
          <w:szCs w:val="18"/>
        </w:rPr>
        <w:t>14</w:t>
      </w:r>
      <w:r w:rsidR="00BF68E9" w:rsidRPr="005E1C29">
        <w:rPr>
          <w:rFonts w:cs="Times New Roman"/>
          <w:b w:val="0"/>
          <w:w w:val="108"/>
          <w:sz w:val="18"/>
          <w:szCs w:val="18"/>
        </w:rPr>
        <w:t xml:space="preserve"> and</w:t>
      </w:r>
      <w:r w:rsidR="00BF68E9">
        <w:rPr>
          <w:rFonts w:cs="Times New Roman"/>
          <w:b w:val="0"/>
          <w:w w:val="108"/>
          <w:sz w:val="18"/>
          <w:szCs w:val="18"/>
        </w:rPr>
        <w:t xml:space="preserve"> </w:t>
      </w:r>
      <w:r w:rsidR="00BF68E9" w:rsidRPr="00C1152E">
        <w:rPr>
          <w:rFonts w:cs="Times New Roman"/>
          <w:w w:val="108"/>
          <w:sz w:val="18"/>
          <w:szCs w:val="18"/>
        </w:rPr>
        <w:t>[</w:t>
      </w:r>
      <w:r w:rsidR="00BF68E9" w:rsidRPr="00C1152E">
        <w:rPr>
          <w:rFonts w:cs="Times New Roman"/>
          <w:w w:val="108"/>
          <w:sz w:val="18"/>
          <w:szCs w:val="18"/>
          <w:vertAlign w:val="superscript"/>
        </w:rPr>
        <w:t>18</w:t>
      </w:r>
      <w:r w:rsidR="00BF68E9">
        <w:rPr>
          <w:rFonts w:cs="Times New Roman"/>
          <w:w w:val="108"/>
          <w:sz w:val="18"/>
          <w:szCs w:val="18"/>
        </w:rPr>
        <w:t>F]15</w:t>
      </w:r>
      <w:r w:rsidR="00526A75">
        <w:rPr>
          <w:rFonts w:cs="Times New Roman"/>
          <w:w w:val="108"/>
          <w:sz w:val="18"/>
          <w:szCs w:val="18"/>
        </w:rPr>
        <w:t xml:space="preserve"> </w:t>
      </w:r>
      <w:r w:rsidR="00526A75" w:rsidRPr="00526A75">
        <w:rPr>
          <w:rFonts w:cs="Times New Roman"/>
          <w:b w:val="0"/>
          <w:w w:val="108"/>
          <w:sz w:val="18"/>
          <w:szCs w:val="18"/>
        </w:rPr>
        <w:t>(FHDT)</w:t>
      </w:r>
      <w:r w:rsidR="00526A75">
        <w:rPr>
          <w:rFonts w:cs="Times New Roman"/>
          <w:w w:val="108"/>
          <w:sz w:val="18"/>
          <w:szCs w:val="18"/>
        </w:rPr>
        <w:t xml:space="preserve"> </w:t>
      </w:r>
      <w:r>
        <w:rPr>
          <w:rFonts w:cs="Times New Roman"/>
          <w:b w:val="0"/>
          <w:w w:val="108"/>
          <w:sz w:val="18"/>
          <w:szCs w:val="18"/>
        </w:rPr>
        <w:t xml:space="preserve">displayed remarkable </w:t>
      </w:r>
      <w:proofErr w:type="spellStart"/>
      <w:r>
        <w:rPr>
          <w:rFonts w:cs="Times New Roman"/>
          <w:b w:val="0"/>
          <w:w w:val="108"/>
          <w:sz w:val="18"/>
          <w:szCs w:val="18"/>
        </w:rPr>
        <w:t>regio</w:t>
      </w:r>
      <w:proofErr w:type="spellEnd"/>
      <w:r>
        <w:rPr>
          <w:rFonts w:cs="Times New Roman"/>
          <w:b w:val="0"/>
          <w:w w:val="108"/>
          <w:sz w:val="18"/>
          <w:szCs w:val="18"/>
        </w:rPr>
        <w:t xml:space="preserve">- and </w:t>
      </w:r>
      <w:r w:rsidR="00526A75">
        <w:rPr>
          <w:rFonts w:cs="Times New Roman"/>
          <w:b w:val="0"/>
          <w:w w:val="108"/>
          <w:sz w:val="18"/>
          <w:szCs w:val="18"/>
        </w:rPr>
        <w:t xml:space="preserve">apparent </w:t>
      </w:r>
      <w:r>
        <w:rPr>
          <w:rFonts w:cs="Times New Roman"/>
          <w:b w:val="0"/>
          <w:w w:val="108"/>
          <w:sz w:val="18"/>
          <w:szCs w:val="18"/>
        </w:rPr>
        <w:t>stereoselectivity as well as functional group tolerance (to alcohol, carbonyl and alkene functions) and were conducted in just 30 min. T</w:t>
      </w:r>
      <w:r w:rsidRPr="005E1C29">
        <w:rPr>
          <w:rFonts w:cs="Times New Roman"/>
          <w:b w:val="0"/>
          <w:w w:val="108"/>
          <w:sz w:val="18"/>
          <w:szCs w:val="18"/>
        </w:rPr>
        <w:t>he conventional [</w:t>
      </w:r>
      <w:r w:rsidRPr="00924E72">
        <w:rPr>
          <w:rFonts w:cs="Times New Roman"/>
          <w:b w:val="0"/>
          <w:w w:val="108"/>
          <w:sz w:val="18"/>
          <w:szCs w:val="18"/>
          <w:vertAlign w:val="superscript"/>
        </w:rPr>
        <w:t>18</w:t>
      </w:r>
      <w:r w:rsidRPr="005E1C29">
        <w:rPr>
          <w:rFonts w:cs="Times New Roman"/>
          <w:b w:val="0"/>
          <w:w w:val="108"/>
          <w:sz w:val="18"/>
          <w:szCs w:val="18"/>
        </w:rPr>
        <w:t>F]FDHT radiochem</w:t>
      </w:r>
      <w:r>
        <w:rPr>
          <w:rFonts w:cs="Times New Roman"/>
          <w:b w:val="0"/>
          <w:w w:val="108"/>
          <w:sz w:val="18"/>
          <w:szCs w:val="18"/>
        </w:rPr>
        <w:t>ical synthes</w:t>
      </w:r>
      <w:r w:rsidR="00240C78">
        <w:rPr>
          <w:rFonts w:cs="Times New Roman"/>
          <w:b w:val="0"/>
          <w:w w:val="108"/>
          <w:sz w:val="18"/>
          <w:szCs w:val="18"/>
        </w:rPr>
        <w:t>e</w:t>
      </w:r>
      <w:r>
        <w:rPr>
          <w:rFonts w:cs="Times New Roman"/>
          <w:b w:val="0"/>
          <w:w w:val="108"/>
          <w:sz w:val="18"/>
          <w:szCs w:val="18"/>
        </w:rPr>
        <w:t>s take</w:t>
      </w:r>
      <w:r w:rsidR="00240C78">
        <w:rPr>
          <w:rFonts w:cs="Times New Roman"/>
          <w:b w:val="0"/>
          <w:w w:val="108"/>
          <w:sz w:val="18"/>
          <w:szCs w:val="18"/>
        </w:rPr>
        <w:t xml:space="preserve"> </w:t>
      </w:r>
      <w:r w:rsidR="00240C78" w:rsidRPr="00240C78">
        <w:rPr>
          <w:rFonts w:cs="Times New Roman"/>
          <w:b w:val="0"/>
          <w:i/>
          <w:iCs/>
          <w:w w:val="108"/>
          <w:sz w:val="18"/>
          <w:szCs w:val="18"/>
        </w:rPr>
        <w:t>ca</w:t>
      </w:r>
      <w:r w:rsidR="00240C78">
        <w:rPr>
          <w:rFonts w:cs="Times New Roman"/>
          <w:b w:val="0"/>
          <w:w w:val="108"/>
          <w:sz w:val="18"/>
          <w:szCs w:val="18"/>
        </w:rPr>
        <w:t>.</w:t>
      </w:r>
      <w:r>
        <w:rPr>
          <w:rFonts w:cs="Times New Roman"/>
          <w:b w:val="0"/>
          <w:w w:val="108"/>
          <w:sz w:val="18"/>
          <w:szCs w:val="18"/>
        </w:rPr>
        <w:t xml:space="preserve"> 100 min from a pre-functionalised precursor and give </w:t>
      </w:r>
      <w:r w:rsidR="00240C78">
        <w:rPr>
          <w:rFonts w:cs="Times New Roman"/>
          <w:b w:val="0"/>
          <w:w w:val="108"/>
          <w:sz w:val="18"/>
          <w:szCs w:val="18"/>
        </w:rPr>
        <w:t>similar</w:t>
      </w:r>
      <w:r>
        <w:rPr>
          <w:rFonts w:cs="Times New Roman"/>
          <w:b w:val="0"/>
          <w:w w:val="108"/>
          <w:sz w:val="18"/>
          <w:szCs w:val="18"/>
        </w:rPr>
        <w:t xml:space="preserve"> RCI</w:t>
      </w:r>
      <w:r w:rsidRPr="00650DE1">
        <w:rPr>
          <w:rFonts w:cs="Times New Roman"/>
          <w:b w:val="0"/>
          <w:w w:val="108"/>
          <w:sz w:val="18"/>
          <w:szCs w:val="18"/>
        </w:rPr>
        <w:t>.</w:t>
      </w:r>
      <w:r w:rsidR="002C6CB3">
        <w:rPr>
          <w:rFonts w:cs="Times New Roman"/>
          <w:b w:val="0"/>
          <w:w w:val="108"/>
          <w:sz w:val="18"/>
          <w:szCs w:val="18"/>
        </w:rPr>
        <w:fldChar w:fldCharType="begin" w:fldLock="1"/>
      </w:r>
      <w:r w:rsidR="00085620">
        <w:rPr>
          <w:rFonts w:cs="Times New Roman"/>
          <w:b w:val="0"/>
          <w:w w:val="108"/>
          <w:sz w:val="18"/>
          <w:szCs w:val="18"/>
        </w:rPr>
        <w:instrText>ADDIN CSL_CITATION {"citationItems":[{"id":"ITEM-1","itemData":{"abstract":"This trial was an initial assessment of the feasibility, in vivo targeting, and biokinetics of 16{beta}-18F-fluoro-5{alpha}-dihydrotestosterone (18F-FDHT) PET in patients with metastatic prostate cancer to assess androgen receptor expression. Methods: Seven patients with progressive clinically metastatic prostate cancer underwent 18F-FDG and 18F-FDHT PET scans in addition to conventional imaging methods. Three patients had their studies repeated 1 mo later, 2 while on testosterone therapy, and the third after treatment with 17-allylamino-17-demethoxygeldanamycin (17-AAG). High-pressure liquid radiochromatography was used to separate 18F-FDHT from radiolabeled metabolites. Lesion-by-lesion comparisons between the 18F-FDHT, 18F-FDG, and conventional imaging methods were performed. Results: Metabolism of 18F-FDHT was rapid, with 80% conversion within 10 min to radiolabeled metabolites that circulated bound to plasma proteins. Tumor uptake was rapid and tumor retention was prolonged. Fifty-nine lesions were identified by conventional imaging methods. 18F-FDG PET was positive in 57 of 59 lesions (97%), with an average lesion maximum standardized uptake value (SUVmax) = 5.22. 18F-FDHT PET was positive in 46 of 59 lesions (78%), with the average positive lesion SUVmax = 5.28. Treatment with testosterone resulted in diminished 18F-FDHT uptake at the tumor site. Conclusion: 18F-FDHT localizes to tumor sites in patients with progressive clinically metastatic prostate cancer and may be a promising agent to analyze antigen receptors and their impact on the clinical management of prostate cancer.","author":[{"dropping-particle":"","family":"Larson","given":"Steven M.","non-dropping-particle":"","parse-names":false,"suffix":""},{"dropping-particle":"","family":"Morris","given":"Michael","non-dropping-particle":"","parse-names":false,"suffix":""},{"dropping-particle":"","family":"Gunther","given":"Ilonka","non-dropping-particle":"","parse-names":false,"suffix":""},{"dropping-particle":"","family":"Beattie","given":"Brad","non-dropping-particle":"","parse-names":false,"suffix":""},{"dropping-particle":"","family":"Humm","given":"John L.","non-dropping-particle":"","parse-names":false,"suffix":""},{"dropping-particle":"","family":"Akhurst","given":"Timothy A.","non-dropping-particle":"","parse-names":false,"suffix":""},{"dropping-particle":"","family":"Finn","given":"Ronald D.","non-dropping-particle":"","parse-names":false,"suffix":""},{"dropping-particle":"","family":"Erdi","given":"Yusuf","non-dropping-particle":"","parse-names":false,"suffix":""},{"dropping-particle":"","family":"Pentlow","given":"Keith","non-dropping-particle":"","parse-names":false,"suffix":""},{"dropping-particle":"","family":"Dyke","given":"Jon","non-dropping-particle":"","parse-names":false,"suffix":""},{"dropping-particle":"","family":"Squire","given":"Olivia","non-dropping-particle":"","parse-names":false,"suffix":""},{"dropping-particle":"","family":"Bornmann","given":"William","non-dropping-particle":"","parse-names":false,"suffix":""},{"dropping-particle":"","family":"McCarthy","given":"Timothy","non-dropping-particle":"","parse-names":false,"suffix":""},{"dropping-particle":"","family":"Welch","given":"Michael","non-dropping-particle":"","parse-names":false,"suffix":""},{"dropping-particle":"","family":"Scher","given":"Howard","non-dropping-particle":"","parse-names":false,"suffix":""}],"container-title":"J. Nucl. Med.","id":"ITEM-1","issue":"3","issued":{"date-parts":[["2004","3"]]},"page":"366-373","title":"Tumor Localization of 16{beta}-18F-Fluoro-5{alpha}-Dihydrotestosterone Versus 18F-FDG in Patients with Progressive, Metastatic Prostate Cancer","type":"article-journal","volume":"45"},"uris":["http://www.mendeley.com/documents/?uuid=f9421f3a-655f-466e-b39b-dcdca1fd37aa"]},{"id":"ITEM-2","itemData":{"DOI":"https://doi.org/10.1016/j.apradiso.2015.05.010","ISSN":"0969-8043","author":[{"dropping-particle":"","family":"Lazari","given":"Mark","non-dropping-particle":"","parse-names":false,"suffix":""},{"dropping-particle":"","family":"Lyashchenko","given":"Serge K","non-dropping-particle":"","parse-names":false,"suffix":""},{"dropping-particle":"","family":"Burnazi","given":"Eva M","non-dropping-particle":"","parse-names":false,"suffix":""},{"dropping-particle":"","family":"Lewis","given":"Jason S","non-dropping-particle":"","parse-names":false,"suffix":""},{"dropping-particle":"","family":"Michael van Dam","given":"R","non-dropping-particle":"","parse-names":false,"suffix":""},{"dropping-particle":"","family":"Murphy","given":"Jennifer M","non-dropping-particle":"","parse-names":false,"suffix":""}],"container-title":"Applied Radiation and Isotopes","id":"ITEM-2","issue":"Supplement C","issued":{"date-parts":[["2015"]]},"page":"9-14","title":"Fully-automated synthesis of 16β-18F-fluoro-5α-dihydrotestosterone (FDHT) on the ELIXYS radiosynthesizer","type":"article-journal","volume":"103"},"uris":["http://www.mendeley.com/documents/?uuid=76574530-6b4e-42db-8cc6-b1d92f3c9865"]}],"mendeley":{"formattedCitation":"&lt;sup&gt;36,37&lt;/sup&gt;","plainTextFormattedCitation":"36,37","previouslyFormattedCitation":"(Larson et al. 2004; Lazari et al. 2015)"},"properties":{"noteIndex":0},"schema":"https://github.com/citation-style-language/schema/raw/master/csl-citation.json"}</w:instrText>
      </w:r>
      <w:r w:rsidR="002C6CB3">
        <w:rPr>
          <w:rFonts w:cs="Times New Roman"/>
          <w:b w:val="0"/>
          <w:w w:val="108"/>
          <w:sz w:val="18"/>
          <w:szCs w:val="18"/>
        </w:rPr>
        <w:fldChar w:fldCharType="separate"/>
      </w:r>
      <w:r w:rsidR="00085620" w:rsidRPr="00085620">
        <w:rPr>
          <w:rFonts w:cs="Times New Roman"/>
          <w:b w:val="0"/>
          <w:noProof/>
          <w:w w:val="108"/>
          <w:sz w:val="18"/>
          <w:szCs w:val="18"/>
          <w:vertAlign w:val="superscript"/>
        </w:rPr>
        <w:t>36,37</w:t>
      </w:r>
      <w:r w:rsidR="002C6CB3">
        <w:rPr>
          <w:rFonts w:cs="Times New Roman"/>
          <w:b w:val="0"/>
          <w:w w:val="108"/>
          <w:sz w:val="18"/>
          <w:szCs w:val="18"/>
        </w:rPr>
        <w:fldChar w:fldCharType="end"/>
      </w:r>
      <w:r>
        <w:rPr>
          <w:rFonts w:cs="Times New Roman"/>
          <w:b w:val="0"/>
          <w:w w:val="108"/>
          <w:sz w:val="18"/>
          <w:szCs w:val="18"/>
        </w:rPr>
        <w:t xml:space="preserve"> It is notable that the 2 most efficiently labelled substrates are the originally optim</w:t>
      </w:r>
      <w:r w:rsidR="00736F00">
        <w:rPr>
          <w:rFonts w:cs="Times New Roman"/>
          <w:b w:val="0"/>
          <w:w w:val="108"/>
          <w:sz w:val="18"/>
          <w:szCs w:val="18"/>
        </w:rPr>
        <w:t>ised cycloalkanes: norbornane (</w:t>
      </w:r>
      <w:r w:rsidR="00736F00">
        <w:rPr>
          <w:rFonts w:ascii="Arial" w:hAnsi="Arial" w:cs="Arial"/>
          <w:b w:val="0"/>
          <w:w w:val="108"/>
          <w:sz w:val="18"/>
          <w:szCs w:val="18"/>
        </w:rPr>
        <w:t>→</w:t>
      </w:r>
      <w:r>
        <w:rPr>
          <w:rFonts w:cs="Times New Roman"/>
          <w:b w:val="0"/>
          <w:w w:val="108"/>
          <w:sz w:val="18"/>
          <w:szCs w:val="18"/>
        </w:rPr>
        <w:t xml:space="preserve"> </w:t>
      </w:r>
      <w:r w:rsidRPr="002C6CB3">
        <w:rPr>
          <w:rFonts w:cs="Times New Roman"/>
          <w:w w:val="108"/>
          <w:sz w:val="18"/>
          <w:szCs w:val="18"/>
        </w:rPr>
        <w:t>[</w:t>
      </w:r>
      <w:r w:rsidRPr="002C6CB3">
        <w:rPr>
          <w:rFonts w:cs="Times New Roman"/>
          <w:w w:val="108"/>
          <w:sz w:val="18"/>
          <w:szCs w:val="18"/>
          <w:vertAlign w:val="superscript"/>
        </w:rPr>
        <w:t>18</w:t>
      </w:r>
      <w:r w:rsidRPr="002C6CB3">
        <w:rPr>
          <w:rFonts w:cs="Times New Roman"/>
          <w:w w:val="108"/>
          <w:sz w:val="18"/>
          <w:szCs w:val="18"/>
        </w:rPr>
        <w:t>F]</w:t>
      </w:r>
      <w:r>
        <w:rPr>
          <w:rFonts w:cs="Times New Roman"/>
          <w:w w:val="108"/>
          <w:sz w:val="18"/>
          <w:szCs w:val="18"/>
        </w:rPr>
        <w:t>6</w:t>
      </w:r>
      <w:r w:rsidR="00736F00">
        <w:rPr>
          <w:rFonts w:cs="Times New Roman"/>
          <w:b w:val="0"/>
          <w:w w:val="108"/>
          <w:sz w:val="18"/>
          <w:szCs w:val="18"/>
        </w:rPr>
        <w:t xml:space="preserve">, RCI 46%) and </w:t>
      </w:r>
      <w:proofErr w:type="spellStart"/>
      <w:r w:rsidR="00736F00">
        <w:rPr>
          <w:rFonts w:cs="Times New Roman"/>
          <w:b w:val="0"/>
          <w:w w:val="108"/>
          <w:sz w:val="18"/>
          <w:szCs w:val="18"/>
        </w:rPr>
        <w:t>indane</w:t>
      </w:r>
      <w:proofErr w:type="spellEnd"/>
      <w:r w:rsidR="00736F00">
        <w:rPr>
          <w:rFonts w:cs="Times New Roman"/>
          <w:b w:val="0"/>
          <w:w w:val="108"/>
          <w:sz w:val="18"/>
          <w:szCs w:val="18"/>
        </w:rPr>
        <w:t xml:space="preserve"> (</w:t>
      </w:r>
      <w:r w:rsidR="00736F00">
        <w:rPr>
          <w:rFonts w:ascii="Arial" w:hAnsi="Arial" w:cs="Arial"/>
          <w:b w:val="0"/>
          <w:w w:val="108"/>
          <w:sz w:val="18"/>
          <w:szCs w:val="18"/>
        </w:rPr>
        <w:t>→</w:t>
      </w:r>
      <w:r w:rsidRPr="00325CEB">
        <w:rPr>
          <w:rFonts w:cs="Times New Roman"/>
          <w:w w:val="108"/>
          <w:sz w:val="18"/>
          <w:szCs w:val="18"/>
        </w:rPr>
        <w:t xml:space="preserve"> </w:t>
      </w:r>
      <w:r w:rsidRPr="002C6CB3">
        <w:rPr>
          <w:rFonts w:cs="Times New Roman"/>
          <w:w w:val="108"/>
          <w:sz w:val="18"/>
          <w:szCs w:val="18"/>
        </w:rPr>
        <w:t>[</w:t>
      </w:r>
      <w:r w:rsidRPr="002C6CB3">
        <w:rPr>
          <w:rFonts w:cs="Times New Roman"/>
          <w:w w:val="108"/>
          <w:sz w:val="18"/>
          <w:szCs w:val="18"/>
          <w:vertAlign w:val="superscript"/>
        </w:rPr>
        <w:t>18</w:t>
      </w:r>
      <w:r w:rsidRPr="002C6CB3">
        <w:rPr>
          <w:rFonts w:cs="Times New Roman"/>
          <w:w w:val="108"/>
          <w:sz w:val="18"/>
          <w:szCs w:val="18"/>
        </w:rPr>
        <w:t>F]</w:t>
      </w:r>
      <w:r>
        <w:rPr>
          <w:rFonts w:cs="Times New Roman"/>
          <w:w w:val="108"/>
          <w:sz w:val="18"/>
          <w:szCs w:val="18"/>
        </w:rPr>
        <w:t>12</w:t>
      </w:r>
      <w:r w:rsidR="00E46C74">
        <w:rPr>
          <w:rFonts w:cs="Times New Roman"/>
          <w:w w:val="108"/>
          <w:sz w:val="18"/>
          <w:szCs w:val="18"/>
        </w:rPr>
        <w:t>b</w:t>
      </w:r>
      <w:r>
        <w:rPr>
          <w:rFonts w:cs="Times New Roman"/>
          <w:b w:val="0"/>
          <w:w w:val="108"/>
          <w:sz w:val="18"/>
          <w:szCs w:val="18"/>
        </w:rPr>
        <w:t xml:space="preserve">, RCI 69%) and that the latter labels exclusively in the non-benzylic position. All the labelling reactions were run at least in triplicate and the consistency between repeats </w:t>
      </w:r>
      <w:r w:rsidRPr="00583239">
        <w:rPr>
          <w:rFonts w:cs="Times New Roman"/>
          <w:b w:val="0"/>
          <w:w w:val="108"/>
          <w:sz w:val="18"/>
          <w:szCs w:val="18"/>
        </w:rPr>
        <w:t xml:space="preserve">was high, </w:t>
      </w:r>
      <w:r>
        <w:rPr>
          <w:rFonts w:cs="Times New Roman"/>
          <w:b w:val="0"/>
          <w:w w:val="108"/>
          <w:sz w:val="18"/>
          <w:szCs w:val="18"/>
        </w:rPr>
        <w:t>indicating</w:t>
      </w:r>
      <w:r w:rsidRPr="00583239">
        <w:rPr>
          <w:rFonts w:cs="Times New Roman"/>
          <w:b w:val="0"/>
          <w:w w:val="108"/>
          <w:sz w:val="18"/>
          <w:szCs w:val="18"/>
        </w:rPr>
        <w:t xml:space="preserve"> a </w:t>
      </w:r>
      <w:r>
        <w:rPr>
          <w:rFonts w:cs="Times New Roman"/>
          <w:b w:val="0"/>
          <w:w w:val="108"/>
          <w:sz w:val="18"/>
          <w:szCs w:val="18"/>
        </w:rPr>
        <w:t>high degree of reproducibility.</w:t>
      </w:r>
    </w:p>
    <w:p w14:paraId="27595E33" w14:textId="09E57003" w:rsidR="0044116F" w:rsidRDefault="0044116F" w:rsidP="0044116F">
      <w:pPr>
        <w:pStyle w:val="RSCB04SectionHeading"/>
        <w:spacing w:before="120"/>
        <w:jc w:val="both"/>
        <w:rPr>
          <w:rFonts w:cs="Times New Roman"/>
          <w:b w:val="0"/>
          <w:w w:val="108"/>
          <w:sz w:val="18"/>
          <w:szCs w:val="18"/>
        </w:rPr>
      </w:pPr>
      <w:r>
        <w:rPr>
          <w:rFonts w:cs="Times New Roman"/>
          <w:b w:val="0"/>
          <w:w w:val="108"/>
          <w:sz w:val="18"/>
          <w:szCs w:val="18"/>
        </w:rPr>
        <w:t xml:space="preserve">Although the final RCIs obtained by this </w:t>
      </w:r>
      <w:r w:rsidR="00736F00">
        <w:rPr>
          <w:rFonts w:cs="Times New Roman"/>
          <w:b w:val="0"/>
          <w:w w:val="108"/>
          <w:sz w:val="18"/>
          <w:szCs w:val="18"/>
        </w:rPr>
        <w:t>method are moderate, the</w:t>
      </w:r>
      <w:r>
        <w:rPr>
          <w:rFonts w:cs="Times New Roman"/>
          <w:b w:val="0"/>
          <w:w w:val="108"/>
          <w:sz w:val="18"/>
          <w:szCs w:val="18"/>
        </w:rPr>
        <w:t xml:space="preserve"> simplicity of the protocol, combined with the fact that no special precursor derivatives need to be prepared make this approach attractive particularly for applications where access to pre-functionalised derivatives is synthetically problematic.</w:t>
      </w:r>
      <w:r w:rsidR="00240C78">
        <w:rPr>
          <w:rFonts w:cs="Times New Roman"/>
          <w:b w:val="0"/>
          <w:w w:val="108"/>
          <w:sz w:val="18"/>
          <w:szCs w:val="18"/>
        </w:rPr>
        <w:t xml:space="preserve"> </w:t>
      </w:r>
      <w:r w:rsidR="00FC3017">
        <w:rPr>
          <w:rFonts w:cs="Times New Roman"/>
          <w:b w:val="0"/>
          <w:w w:val="108"/>
          <w:sz w:val="18"/>
          <w:szCs w:val="18"/>
        </w:rPr>
        <w:t xml:space="preserve">Automation of the protocol should also be feasible although the </w:t>
      </w:r>
      <w:r w:rsidR="00240C78">
        <w:rPr>
          <w:b w:val="0"/>
          <w:sz w:val="18"/>
          <w:szCs w:val="18"/>
        </w:rPr>
        <w:t xml:space="preserve">viscosity of the current reaction mixtures </w:t>
      </w:r>
      <w:r w:rsidR="00FC3017">
        <w:rPr>
          <w:b w:val="0"/>
          <w:sz w:val="18"/>
          <w:szCs w:val="18"/>
        </w:rPr>
        <w:t>will likely need to be reduced.</w:t>
      </w:r>
    </w:p>
    <w:p w14:paraId="0882602D" w14:textId="77777777" w:rsidR="008F0CA7" w:rsidRPr="008F0CA7" w:rsidRDefault="008F0CA7" w:rsidP="008F0CA7">
      <w:pPr>
        <w:pStyle w:val="RSCB04SectionHeading"/>
        <w:spacing w:before="120"/>
        <w:jc w:val="both"/>
        <w:rPr>
          <w:bCs/>
          <w:szCs w:val="24"/>
        </w:rPr>
      </w:pPr>
      <w:r w:rsidRPr="008F0CA7">
        <w:rPr>
          <w:bCs/>
          <w:szCs w:val="24"/>
        </w:rPr>
        <w:t>Conclusion</w:t>
      </w:r>
    </w:p>
    <w:p w14:paraId="2A7F9B01" w14:textId="72A7EB7B" w:rsidR="0044116F" w:rsidRPr="00504BEB" w:rsidRDefault="0044116F" w:rsidP="008F0CA7">
      <w:pPr>
        <w:pStyle w:val="RSCB04SectionHeading"/>
        <w:spacing w:before="120"/>
        <w:jc w:val="both"/>
        <w:rPr>
          <w:b w:val="0"/>
          <w:sz w:val="18"/>
          <w:szCs w:val="18"/>
        </w:rPr>
      </w:pPr>
      <w:r>
        <w:rPr>
          <w:b w:val="0"/>
          <w:sz w:val="18"/>
          <w:szCs w:val="18"/>
        </w:rPr>
        <w:t>In summary,</w:t>
      </w:r>
      <w:r w:rsidRPr="00504BEB">
        <w:rPr>
          <w:b w:val="0"/>
          <w:sz w:val="18"/>
          <w:szCs w:val="18"/>
        </w:rPr>
        <w:t xml:space="preserve"> </w:t>
      </w:r>
      <w:r>
        <w:rPr>
          <w:b w:val="0"/>
          <w:sz w:val="18"/>
          <w:szCs w:val="18"/>
        </w:rPr>
        <w:t xml:space="preserve">we </w:t>
      </w:r>
      <w:r w:rsidRPr="00504BEB">
        <w:rPr>
          <w:b w:val="0"/>
          <w:sz w:val="18"/>
          <w:szCs w:val="18"/>
        </w:rPr>
        <w:t xml:space="preserve">have described a method for radiolabelling </w:t>
      </w:r>
      <w:r>
        <w:rPr>
          <w:b w:val="0"/>
          <w:sz w:val="18"/>
          <w:szCs w:val="18"/>
        </w:rPr>
        <w:t xml:space="preserve">aliphatic molecules </w:t>
      </w:r>
      <w:r w:rsidRPr="00162FA0">
        <w:rPr>
          <w:b w:val="0"/>
          <w:i/>
          <w:sz w:val="18"/>
          <w:szCs w:val="18"/>
        </w:rPr>
        <w:t>via</w:t>
      </w:r>
      <w:r w:rsidRPr="00504BEB">
        <w:rPr>
          <w:b w:val="0"/>
          <w:sz w:val="18"/>
          <w:szCs w:val="18"/>
        </w:rPr>
        <w:t xml:space="preserve"> site</w:t>
      </w:r>
      <w:r>
        <w:rPr>
          <w:b w:val="0"/>
          <w:sz w:val="18"/>
          <w:szCs w:val="18"/>
        </w:rPr>
        <w:t>-</w:t>
      </w:r>
      <w:r w:rsidRPr="00504BEB">
        <w:rPr>
          <w:b w:val="0"/>
          <w:sz w:val="18"/>
          <w:szCs w:val="18"/>
        </w:rPr>
        <w:t xml:space="preserve">selective oxidative </w:t>
      </w:r>
      <w:r>
        <w:rPr>
          <w:b w:val="0"/>
          <w:sz w:val="18"/>
          <w:szCs w:val="18"/>
        </w:rPr>
        <w:t xml:space="preserve">C-H </w:t>
      </w:r>
      <w:r w:rsidRPr="00504BEB">
        <w:rPr>
          <w:b w:val="0"/>
          <w:sz w:val="18"/>
          <w:szCs w:val="18"/>
        </w:rPr>
        <w:t xml:space="preserve">fluorination </w:t>
      </w:r>
      <w:r>
        <w:rPr>
          <w:b w:val="0"/>
          <w:sz w:val="18"/>
          <w:szCs w:val="18"/>
        </w:rPr>
        <w:t>with</w:t>
      </w:r>
      <w:r w:rsidRPr="00504BEB">
        <w:rPr>
          <w:b w:val="0"/>
          <w:sz w:val="18"/>
          <w:szCs w:val="18"/>
        </w:rPr>
        <w:t xml:space="preserve"> [</w:t>
      </w:r>
      <w:r w:rsidRPr="00504BEB">
        <w:rPr>
          <w:b w:val="0"/>
          <w:sz w:val="18"/>
          <w:szCs w:val="18"/>
          <w:vertAlign w:val="superscript"/>
        </w:rPr>
        <w:t>18</w:t>
      </w:r>
      <w:proofErr w:type="gramStart"/>
      <w:r w:rsidRPr="00504BEB">
        <w:rPr>
          <w:b w:val="0"/>
          <w:sz w:val="18"/>
          <w:szCs w:val="18"/>
        </w:rPr>
        <w:t>F]fluoride</w:t>
      </w:r>
      <w:proofErr w:type="gramEnd"/>
      <w:r w:rsidRPr="00504BEB">
        <w:rPr>
          <w:b w:val="0"/>
          <w:sz w:val="18"/>
          <w:szCs w:val="18"/>
        </w:rPr>
        <w:t xml:space="preserve"> to give [</w:t>
      </w:r>
      <w:r w:rsidRPr="00504BEB">
        <w:rPr>
          <w:b w:val="0"/>
          <w:sz w:val="18"/>
          <w:szCs w:val="18"/>
          <w:vertAlign w:val="superscript"/>
        </w:rPr>
        <w:t>18</w:t>
      </w:r>
      <w:r w:rsidRPr="00504BEB">
        <w:rPr>
          <w:b w:val="0"/>
          <w:sz w:val="18"/>
          <w:szCs w:val="18"/>
        </w:rPr>
        <w:t>F]</w:t>
      </w:r>
      <w:proofErr w:type="spellStart"/>
      <w:r>
        <w:rPr>
          <w:b w:val="0"/>
          <w:sz w:val="18"/>
          <w:szCs w:val="18"/>
        </w:rPr>
        <w:t>fluorocycloalkane</w:t>
      </w:r>
      <w:proofErr w:type="spellEnd"/>
      <w:r w:rsidRPr="00504BEB">
        <w:rPr>
          <w:b w:val="0"/>
          <w:sz w:val="18"/>
          <w:szCs w:val="18"/>
        </w:rPr>
        <w:t xml:space="preserve"> compounds. </w:t>
      </w:r>
      <w:r>
        <w:rPr>
          <w:b w:val="0"/>
          <w:sz w:val="18"/>
          <w:szCs w:val="18"/>
        </w:rPr>
        <w:t>Optimisation has allowed [</w:t>
      </w:r>
      <w:r w:rsidRPr="00504BEB">
        <w:rPr>
          <w:b w:val="0"/>
          <w:sz w:val="18"/>
          <w:szCs w:val="18"/>
          <w:vertAlign w:val="superscript"/>
        </w:rPr>
        <w:t>18</w:t>
      </w:r>
      <w:proofErr w:type="gramStart"/>
      <w:r>
        <w:rPr>
          <w:b w:val="0"/>
          <w:sz w:val="18"/>
          <w:szCs w:val="18"/>
        </w:rPr>
        <w:t>F]fluorination</w:t>
      </w:r>
      <w:proofErr w:type="gramEnd"/>
      <w:r>
        <w:rPr>
          <w:b w:val="0"/>
          <w:sz w:val="18"/>
          <w:szCs w:val="18"/>
        </w:rPr>
        <w:t xml:space="preserve"> of 1</w:t>
      </w:r>
      <w:r w:rsidR="00930B8F">
        <w:rPr>
          <w:b w:val="0"/>
          <w:sz w:val="18"/>
          <w:szCs w:val="18"/>
        </w:rPr>
        <w:t>1</w:t>
      </w:r>
      <w:r>
        <w:rPr>
          <w:b w:val="0"/>
          <w:sz w:val="18"/>
          <w:szCs w:val="18"/>
        </w:rPr>
        <w:t xml:space="preserve"> cycloalkanes with low to moderate RCIs including the labelling of clinically relevant progesterone analogues. </w:t>
      </w:r>
      <w:r>
        <w:rPr>
          <w:rFonts w:cs="Times New Roman"/>
          <w:b w:val="0"/>
          <w:w w:val="108"/>
          <w:sz w:val="18"/>
          <w:szCs w:val="18"/>
        </w:rPr>
        <w:t>T</w:t>
      </w:r>
      <w:r w:rsidRPr="00583239">
        <w:rPr>
          <w:rFonts w:cs="Times New Roman"/>
          <w:b w:val="0"/>
          <w:w w:val="108"/>
          <w:sz w:val="18"/>
          <w:szCs w:val="18"/>
        </w:rPr>
        <w:t xml:space="preserve">his late-stage method </w:t>
      </w:r>
      <w:r>
        <w:rPr>
          <w:rFonts w:cs="Times New Roman"/>
          <w:b w:val="0"/>
          <w:w w:val="108"/>
          <w:sz w:val="18"/>
          <w:szCs w:val="18"/>
        </w:rPr>
        <w:t xml:space="preserve">is notable for completely circumventing the normal requirement for </w:t>
      </w:r>
      <w:r w:rsidRPr="00583239">
        <w:rPr>
          <w:rFonts w:cs="Times New Roman"/>
          <w:b w:val="0"/>
          <w:w w:val="108"/>
          <w:sz w:val="18"/>
          <w:szCs w:val="18"/>
        </w:rPr>
        <w:t>‘pre</w:t>
      </w:r>
      <w:r w:rsidR="005324F6">
        <w:rPr>
          <w:rFonts w:cs="Times New Roman"/>
          <w:b w:val="0"/>
          <w:w w:val="108"/>
          <w:sz w:val="18"/>
          <w:szCs w:val="18"/>
        </w:rPr>
        <w:t>-</w:t>
      </w:r>
      <w:r w:rsidRPr="00583239">
        <w:rPr>
          <w:rFonts w:cs="Times New Roman"/>
          <w:b w:val="0"/>
          <w:w w:val="108"/>
          <w:sz w:val="18"/>
          <w:szCs w:val="18"/>
        </w:rPr>
        <w:t xml:space="preserve">functionalisation’ </w:t>
      </w:r>
      <w:r>
        <w:rPr>
          <w:rFonts w:cs="Times New Roman"/>
          <w:b w:val="0"/>
          <w:w w:val="108"/>
          <w:sz w:val="18"/>
          <w:szCs w:val="18"/>
        </w:rPr>
        <w:t xml:space="preserve">or introduction of activating groups into the substrate; </w:t>
      </w:r>
      <w:r>
        <w:rPr>
          <w:b w:val="0"/>
          <w:sz w:val="18"/>
          <w:szCs w:val="18"/>
        </w:rPr>
        <w:t>the reactions are</w:t>
      </w:r>
      <w:r w:rsidRPr="00504BEB">
        <w:rPr>
          <w:b w:val="0"/>
          <w:sz w:val="18"/>
          <w:szCs w:val="18"/>
        </w:rPr>
        <w:t xml:space="preserve"> achieved </w:t>
      </w:r>
      <w:r>
        <w:rPr>
          <w:b w:val="0"/>
          <w:sz w:val="18"/>
          <w:szCs w:val="18"/>
        </w:rPr>
        <w:t>directly on unmodified target molecules using a simple non-technically demanding protocol. Future studies will focus on further exploring the scope and yield of the method, its application to additional clinically relevant tracers and adapting the method for</w:t>
      </w:r>
      <w:r w:rsidRPr="00504BEB">
        <w:rPr>
          <w:b w:val="0"/>
          <w:sz w:val="18"/>
          <w:szCs w:val="18"/>
        </w:rPr>
        <w:t xml:space="preserve"> automated clinical PET probe production</w:t>
      </w:r>
      <w:r>
        <w:rPr>
          <w:b w:val="0"/>
          <w:sz w:val="18"/>
          <w:szCs w:val="18"/>
        </w:rPr>
        <w:t>.</w:t>
      </w:r>
    </w:p>
    <w:p w14:paraId="10264C59" w14:textId="77777777" w:rsidR="0044116F" w:rsidRPr="00164DE5" w:rsidRDefault="0044116F" w:rsidP="008F0CA7">
      <w:pPr>
        <w:pStyle w:val="RSCF02FootnotestoTitleAuthors"/>
        <w:spacing w:before="120" w:after="80" w:line="200" w:lineRule="exact"/>
        <w:rPr>
          <w:b/>
          <w:sz w:val="24"/>
          <w:szCs w:val="24"/>
        </w:rPr>
      </w:pPr>
      <w:r w:rsidRPr="00164DE5">
        <w:rPr>
          <w:b/>
          <w:sz w:val="24"/>
          <w:szCs w:val="24"/>
        </w:rPr>
        <w:t>Acknowledgements</w:t>
      </w:r>
    </w:p>
    <w:p w14:paraId="284BB818" w14:textId="5C5067DA" w:rsidR="0044116F" w:rsidRPr="00FC7D45" w:rsidRDefault="0044116F" w:rsidP="008F0CA7">
      <w:pPr>
        <w:pStyle w:val="CommentText"/>
        <w:spacing w:before="120" w:after="80"/>
        <w:jc w:val="both"/>
        <w:rPr>
          <w:sz w:val="18"/>
          <w:szCs w:val="18"/>
        </w:rPr>
      </w:pPr>
      <w:bookmarkStart w:id="9" w:name="_Hlk48574004"/>
      <w:r w:rsidRPr="00FC7D45">
        <w:rPr>
          <w:sz w:val="18"/>
          <w:szCs w:val="18"/>
        </w:rPr>
        <w:t xml:space="preserve">The authors acknowledge MRC Advanced Course Masters MR/J015881/1 award (MRes in Bioimaging Sciences) for SC and JAR and Cancer Research UK grants </w:t>
      </w:r>
      <w:r w:rsidRPr="00FC7D45">
        <w:rPr>
          <w:color w:val="211D1E"/>
          <w:sz w:val="18"/>
          <w:szCs w:val="18"/>
        </w:rPr>
        <w:t>C2536/A10337 and C2536/A16584.</w:t>
      </w:r>
      <w:r w:rsidR="00AB3F20">
        <w:rPr>
          <w:color w:val="211D1E"/>
          <w:sz w:val="18"/>
          <w:szCs w:val="18"/>
        </w:rPr>
        <w:t xml:space="preserve"> EOA acknowledges infrastructure support from Imperial College NIHR Biomedical Research Centre, Imperial College Experimental Cancer Medicines Centre and the (Imperial) </w:t>
      </w:r>
      <w:r w:rsidR="00AB3F20" w:rsidRPr="00AB3F20">
        <w:rPr>
          <w:color w:val="211D1E"/>
          <w:sz w:val="18"/>
          <w:szCs w:val="18"/>
        </w:rPr>
        <w:t>National Cancer Imaging Translational Accelerator</w:t>
      </w:r>
      <w:r w:rsidR="00AB3F20">
        <w:rPr>
          <w:color w:val="211D1E"/>
          <w:sz w:val="18"/>
          <w:szCs w:val="18"/>
        </w:rPr>
        <w:t>.</w:t>
      </w:r>
      <w:bookmarkEnd w:id="9"/>
    </w:p>
    <w:p w14:paraId="7BE22850" w14:textId="5A06E576" w:rsidR="0044116F" w:rsidRDefault="0044116F" w:rsidP="008F0CA7">
      <w:pPr>
        <w:pStyle w:val="RSCF02FootnotestoTitleAuthors"/>
        <w:spacing w:before="120" w:after="80" w:line="200" w:lineRule="exact"/>
        <w:rPr>
          <w:b/>
          <w:sz w:val="24"/>
          <w:szCs w:val="24"/>
        </w:rPr>
      </w:pPr>
      <w:r>
        <w:rPr>
          <w:b/>
          <w:sz w:val="24"/>
          <w:szCs w:val="24"/>
        </w:rPr>
        <w:t>R</w:t>
      </w:r>
      <w:r w:rsidRPr="00F13CBD">
        <w:rPr>
          <w:b/>
          <w:sz w:val="24"/>
          <w:szCs w:val="24"/>
        </w:rPr>
        <w:t>eferences</w:t>
      </w:r>
    </w:p>
    <w:p w14:paraId="426E064F" w14:textId="629CD20C" w:rsidR="00085620" w:rsidRPr="00085620" w:rsidRDefault="0044116F" w:rsidP="008F0CA7">
      <w:pPr>
        <w:widowControl w:val="0"/>
        <w:autoSpaceDE w:val="0"/>
        <w:autoSpaceDN w:val="0"/>
        <w:adjustRightInd w:val="0"/>
        <w:spacing w:before="120" w:after="0" w:line="240" w:lineRule="auto"/>
        <w:ind w:left="640" w:hanging="640"/>
        <w:rPr>
          <w:rFonts w:ascii="Calibri" w:hAnsi="Calibri" w:cs="Calibri"/>
          <w:noProof/>
          <w:sz w:val="18"/>
          <w:szCs w:val="24"/>
        </w:rPr>
      </w:pPr>
      <w:r w:rsidRPr="00741E9B">
        <w:rPr>
          <w:sz w:val="18"/>
          <w:szCs w:val="18"/>
        </w:rPr>
        <w:fldChar w:fldCharType="begin" w:fldLock="1"/>
      </w:r>
      <w:r w:rsidRPr="00741E9B">
        <w:rPr>
          <w:sz w:val="18"/>
          <w:szCs w:val="18"/>
        </w:rPr>
        <w:instrText xml:space="preserve">ADDIN Mendeley Bibliography CSL_BIBLIOGRAPHY </w:instrText>
      </w:r>
      <w:r w:rsidRPr="00741E9B">
        <w:rPr>
          <w:sz w:val="18"/>
          <w:szCs w:val="18"/>
        </w:rPr>
        <w:fldChar w:fldCharType="separate"/>
      </w:r>
      <w:r w:rsidR="00085620" w:rsidRPr="00085620">
        <w:rPr>
          <w:rFonts w:ascii="Calibri" w:hAnsi="Calibri" w:cs="Calibri"/>
          <w:noProof/>
          <w:sz w:val="18"/>
          <w:szCs w:val="24"/>
        </w:rPr>
        <w:t xml:space="preserve">(1) </w:t>
      </w:r>
      <w:r w:rsidR="00085620" w:rsidRPr="00085620">
        <w:rPr>
          <w:rFonts w:ascii="Calibri" w:hAnsi="Calibri" w:cs="Calibri"/>
          <w:noProof/>
          <w:sz w:val="18"/>
          <w:szCs w:val="24"/>
        </w:rPr>
        <w:tab/>
        <w:t xml:space="preserve">Kubota, K. From Tumor Biology to Clinical PET: A Review of Positron Emission Tomography (PET) in Oncology. </w:t>
      </w:r>
      <w:r w:rsidR="00085620" w:rsidRPr="00085620">
        <w:rPr>
          <w:rFonts w:ascii="Calibri" w:hAnsi="Calibri" w:cs="Calibri"/>
          <w:i/>
          <w:iCs/>
          <w:noProof/>
          <w:sz w:val="18"/>
          <w:szCs w:val="24"/>
        </w:rPr>
        <w:t>Ann. Nucl. Med.</w:t>
      </w:r>
      <w:r w:rsidR="00085620" w:rsidRPr="00085620">
        <w:rPr>
          <w:rFonts w:ascii="Calibri" w:hAnsi="Calibri" w:cs="Calibri"/>
          <w:noProof/>
          <w:sz w:val="18"/>
          <w:szCs w:val="24"/>
        </w:rPr>
        <w:t xml:space="preserve"> </w:t>
      </w:r>
      <w:r w:rsidR="00085620" w:rsidRPr="00085620">
        <w:rPr>
          <w:rFonts w:ascii="Calibri" w:hAnsi="Calibri" w:cs="Calibri"/>
          <w:b/>
          <w:bCs/>
          <w:noProof/>
          <w:sz w:val="18"/>
          <w:szCs w:val="24"/>
        </w:rPr>
        <w:t>2001</w:t>
      </w:r>
      <w:r w:rsidR="00085620" w:rsidRPr="00085620">
        <w:rPr>
          <w:rFonts w:ascii="Calibri" w:hAnsi="Calibri" w:cs="Calibri"/>
          <w:noProof/>
          <w:sz w:val="18"/>
          <w:szCs w:val="24"/>
        </w:rPr>
        <w:t xml:space="preserve">, </w:t>
      </w:r>
      <w:r w:rsidR="00085620" w:rsidRPr="00085620">
        <w:rPr>
          <w:rFonts w:ascii="Calibri" w:hAnsi="Calibri" w:cs="Calibri"/>
          <w:i/>
          <w:iCs/>
          <w:noProof/>
          <w:sz w:val="18"/>
          <w:szCs w:val="24"/>
        </w:rPr>
        <w:t>15</w:t>
      </w:r>
      <w:r w:rsidR="00085620" w:rsidRPr="00085620">
        <w:rPr>
          <w:rFonts w:ascii="Calibri" w:hAnsi="Calibri" w:cs="Calibri"/>
          <w:noProof/>
          <w:sz w:val="18"/>
          <w:szCs w:val="24"/>
        </w:rPr>
        <w:t xml:space="preserve"> (6), 471–486. https://doi.org/10.1007/BF02988499.</w:t>
      </w:r>
    </w:p>
    <w:p w14:paraId="11F4CB36"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(2) </w:t>
      </w:r>
      <w:r w:rsidRPr="00085620">
        <w:rPr>
          <w:rFonts w:ascii="Calibri" w:hAnsi="Calibri" w:cs="Calibri"/>
          <w:noProof/>
          <w:sz w:val="18"/>
          <w:szCs w:val="24"/>
        </w:rPr>
        <w:tab/>
        <w:t xml:space="preserve">Hargreaves, R. J. The Role of Molecular Imaging in Drug Discovery and Development. </w:t>
      </w:r>
      <w:r w:rsidRPr="00085620">
        <w:rPr>
          <w:rFonts w:ascii="Calibri" w:hAnsi="Calibri" w:cs="Calibri"/>
          <w:i/>
          <w:iCs/>
          <w:noProof/>
          <w:sz w:val="18"/>
          <w:szCs w:val="24"/>
        </w:rPr>
        <w:t>Clin. Pharmacol. Ther.</w:t>
      </w:r>
      <w:r w:rsidRPr="00085620">
        <w:rPr>
          <w:rFonts w:ascii="Calibri" w:hAnsi="Calibri" w:cs="Calibri"/>
          <w:noProof/>
          <w:sz w:val="18"/>
          <w:szCs w:val="24"/>
        </w:rPr>
        <w:t xml:space="preserve"> </w:t>
      </w:r>
      <w:r w:rsidRPr="00085620">
        <w:rPr>
          <w:rFonts w:ascii="Calibri" w:hAnsi="Calibri" w:cs="Calibri"/>
          <w:b/>
          <w:bCs/>
          <w:noProof/>
          <w:sz w:val="18"/>
          <w:szCs w:val="24"/>
        </w:rPr>
        <w:t>2008</w:t>
      </w:r>
      <w:r w:rsidRPr="00085620">
        <w:rPr>
          <w:rFonts w:ascii="Calibri" w:hAnsi="Calibri" w:cs="Calibri"/>
          <w:noProof/>
          <w:sz w:val="18"/>
          <w:szCs w:val="24"/>
        </w:rPr>
        <w:t xml:space="preserve">, </w:t>
      </w:r>
      <w:r w:rsidRPr="00085620">
        <w:rPr>
          <w:rFonts w:ascii="Calibri" w:hAnsi="Calibri" w:cs="Calibri"/>
          <w:i/>
          <w:iCs/>
          <w:noProof/>
          <w:sz w:val="18"/>
          <w:szCs w:val="24"/>
        </w:rPr>
        <w:t>83</w:t>
      </w:r>
      <w:r w:rsidRPr="00085620">
        <w:rPr>
          <w:rFonts w:ascii="Calibri" w:hAnsi="Calibri" w:cs="Calibri"/>
          <w:noProof/>
          <w:sz w:val="18"/>
          <w:szCs w:val="24"/>
        </w:rPr>
        <w:t xml:space="preserve"> (2), 349–353. https://doi.org/10.1038/sj.clpt.6100467.</w:t>
      </w:r>
    </w:p>
    <w:p w14:paraId="7724872B"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(3) </w:t>
      </w:r>
      <w:r w:rsidRPr="00085620">
        <w:rPr>
          <w:rFonts w:ascii="Calibri" w:hAnsi="Calibri" w:cs="Calibri"/>
          <w:noProof/>
          <w:sz w:val="18"/>
          <w:szCs w:val="24"/>
        </w:rPr>
        <w:tab/>
        <w:t xml:space="preserve">Donnelly, D. J. Small Molecule PET Tracers in Drug Discovery. </w:t>
      </w:r>
      <w:r w:rsidRPr="00085620">
        <w:rPr>
          <w:rFonts w:ascii="Calibri" w:hAnsi="Calibri" w:cs="Calibri"/>
          <w:i/>
          <w:iCs/>
          <w:noProof/>
          <w:sz w:val="18"/>
          <w:szCs w:val="24"/>
        </w:rPr>
        <w:t>Semin. Nucl. Med.</w:t>
      </w:r>
      <w:r w:rsidRPr="00085620">
        <w:rPr>
          <w:rFonts w:ascii="Calibri" w:hAnsi="Calibri" w:cs="Calibri"/>
          <w:noProof/>
          <w:sz w:val="18"/>
          <w:szCs w:val="24"/>
        </w:rPr>
        <w:t xml:space="preserve"> </w:t>
      </w:r>
      <w:r w:rsidRPr="00085620">
        <w:rPr>
          <w:rFonts w:ascii="Calibri" w:hAnsi="Calibri" w:cs="Calibri"/>
          <w:b/>
          <w:bCs/>
          <w:noProof/>
          <w:sz w:val="18"/>
          <w:szCs w:val="24"/>
        </w:rPr>
        <w:t>2017</w:t>
      </w:r>
      <w:r w:rsidRPr="00085620">
        <w:rPr>
          <w:rFonts w:ascii="Calibri" w:hAnsi="Calibri" w:cs="Calibri"/>
          <w:noProof/>
          <w:sz w:val="18"/>
          <w:szCs w:val="24"/>
        </w:rPr>
        <w:t xml:space="preserve">, </w:t>
      </w:r>
      <w:r w:rsidRPr="00085620">
        <w:rPr>
          <w:rFonts w:ascii="Calibri" w:hAnsi="Calibri" w:cs="Calibri"/>
          <w:i/>
          <w:iCs/>
          <w:noProof/>
          <w:sz w:val="18"/>
          <w:szCs w:val="24"/>
        </w:rPr>
        <w:t>47</w:t>
      </w:r>
      <w:r w:rsidRPr="00085620">
        <w:rPr>
          <w:rFonts w:ascii="Calibri" w:hAnsi="Calibri" w:cs="Calibri"/>
          <w:noProof/>
          <w:sz w:val="18"/>
          <w:szCs w:val="24"/>
        </w:rPr>
        <w:t xml:space="preserve"> (5), 454–460. https://doi.org/https://doi.org/10.1053/j.semnuclmed.2017.05.006.</w:t>
      </w:r>
    </w:p>
    <w:p w14:paraId="4F62716F"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(4) </w:t>
      </w:r>
      <w:r w:rsidRPr="00085620">
        <w:rPr>
          <w:rFonts w:ascii="Calibri" w:hAnsi="Calibri" w:cs="Calibri"/>
          <w:noProof/>
          <w:sz w:val="18"/>
          <w:szCs w:val="24"/>
        </w:rPr>
        <w:tab/>
        <w:t xml:space="preserve">Kelkar, S. S.; Reineke, T. M. Theranostics: Combining Imaging and Therapy. </w:t>
      </w:r>
      <w:r w:rsidRPr="00085620">
        <w:rPr>
          <w:rFonts w:ascii="Calibri" w:hAnsi="Calibri" w:cs="Calibri"/>
          <w:i/>
          <w:iCs/>
          <w:noProof/>
          <w:sz w:val="18"/>
          <w:szCs w:val="24"/>
        </w:rPr>
        <w:t>Bioconjug. Chem.</w:t>
      </w:r>
      <w:r w:rsidRPr="00085620">
        <w:rPr>
          <w:rFonts w:ascii="Calibri" w:hAnsi="Calibri" w:cs="Calibri"/>
          <w:noProof/>
          <w:sz w:val="18"/>
          <w:szCs w:val="24"/>
        </w:rPr>
        <w:t xml:space="preserve"> </w:t>
      </w:r>
      <w:r w:rsidRPr="00085620">
        <w:rPr>
          <w:rFonts w:ascii="Calibri" w:hAnsi="Calibri" w:cs="Calibri"/>
          <w:b/>
          <w:bCs/>
          <w:noProof/>
          <w:sz w:val="18"/>
          <w:szCs w:val="24"/>
        </w:rPr>
        <w:t>2011</w:t>
      </w:r>
      <w:r w:rsidRPr="00085620">
        <w:rPr>
          <w:rFonts w:ascii="Calibri" w:hAnsi="Calibri" w:cs="Calibri"/>
          <w:noProof/>
          <w:sz w:val="18"/>
          <w:szCs w:val="24"/>
        </w:rPr>
        <w:t xml:space="preserve">, </w:t>
      </w:r>
      <w:r w:rsidRPr="00085620">
        <w:rPr>
          <w:rFonts w:ascii="Calibri" w:hAnsi="Calibri" w:cs="Calibri"/>
          <w:i/>
          <w:iCs/>
          <w:noProof/>
          <w:sz w:val="18"/>
          <w:szCs w:val="24"/>
        </w:rPr>
        <w:t>22</w:t>
      </w:r>
      <w:r w:rsidRPr="00085620">
        <w:rPr>
          <w:rFonts w:ascii="Calibri" w:hAnsi="Calibri" w:cs="Calibri"/>
          <w:noProof/>
          <w:sz w:val="18"/>
          <w:szCs w:val="24"/>
        </w:rPr>
        <w:t xml:space="preserve"> (10), 1879–1903. https://doi.org/10.1021/bc200151q.</w:t>
      </w:r>
    </w:p>
    <w:p w14:paraId="0EA6900F"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(5) </w:t>
      </w:r>
      <w:r w:rsidRPr="00085620">
        <w:rPr>
          <w:rFonts w:ascii="Calibri" w:hAnsi="Calibri" w:cs="Calibri"/>
          <w:noProof/>
          <w:sz w:val="18"/>
          <w:szCs w:val="24"/>
        </w:rPr>
        <w:tab/>
        <w:t xml:space="preserve">Ametamey, S. M.; Honer, M.; Schubiger, P. A. Molecular Imaging with PET. </w:t>
      </w:r>
      <w:r w:rsidRPr="00085620">
        <w:rPr>
          <w:rFonts w:ascii="Calibri" w:hAnsi="Calibri" w:cs="Calibri"/>
          <w:i/>
          <w:iCs/>
          <w:noProof/>
          <w:sz w:val="18"/>
          <w:szCs w:val="24"/>
        </w:rPr>
        <w:t>Chem. Rev.</w:t>
      </w:r>
      <w:r w:rsidRPr="00085620">
        <w:rPr>
          <w:rFonts w:ascii="Calibri" w:hAnsi="Calibri" w:cs="Calibri"/>
          <w:noProof/>
          <w:sz w:val="18"/>
          <w:szCs w:val="24"/>
        </w:rPr>
        <w:t xml:space="preserve"> </w:t>
      </w:r>
      <w:r w:rsidRPr="00085620">
        <w:rPr>
          <w:rFonts w:ascii="Calibri" w:hAnsi="Calibri" w:cs="Calibri"/>
          <w:b/>
          <w:bCs/>
          <w:noProof/>
          <w:sz w:val="18"/>
          <w:szCs w:val="24"/>
        </w:rPr>
        <w:t>2008</w:t>
      </w:r>
      <w:r w:rsidRPr="00085620">
        <w:rPr>
          <w:rFonts w:ascii="Calibri" w:hAnsi="Calibri" w:cs="Calibri"/>
          <w:noProof/>
          <w:sz w:val="18"/>
          <w:szCs w:val="24"/>
        </w:rPr>
        <w:t xml:space="preserve">, </w:t>
      </w:r>
      <w:r w:rsidRPr="00085620">
        <w:rPr>
          <w:rFonts w:ascii="Calibri" w:hAnsi="Calibri" w:cs="Calibri"/>
          <w:i/>
          <w:iCs/>
          <w:noProof/>
          <w:sz w:val="18"/>
          <w:szCs w:val="24"/>
        </w:rPr>
        <w:t>108</w:t>
      </w:r>
      <w:r w:rsidRPr="00085620">
        <w:rPr>
          <w:rFonts w:ascii="Calibri" w:hAnsi="Calibri" w:cs="Calibri"/>
          <w:noProof/>
          <w:sz w:val="18"/>
          <w:szCs w:val="24"/>
        </w:rPr>
        <w:t xml:space="preserve"> (5), 1501–1516. https://doi.org/10.1021/cr0782426.</w:t>
      </w:r>
    </w:p>
    <w:p w14:paraId="26F15609"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(6) </w:t>
      </w:r>
      <w:r w:rsidRPr="00085620">
        <w:rPr>
          <w:rFonts w:ascii="Calibri" w:hAnsi="Calibri" w:cs="Calibri"/>
          <w:noProof/>
          <w:sz w:val="18"/>
          <w:szCs w:val="24"/>
        </w:rPr>
        <w:tab/>
        <w:t xml:space="preserve">Preshlock, S.; Tredwell, M.; Gouverneur, V. 18F-Labeling of Arenes and Heteroarenes for Applications in Positron Emission Tomography. </w:t>
      </w:r>
      <w:r w:rsidRPr="00085620">
        <w:rPr>
          <w:rFonts w:ascii="Calibri" w:hAnsi="Calibri" w:cs="Calibri"/>
          <w:i/>
          <w:iCs/>
          <w:noProof/>
          <w:sz w:val="18"/>
          <w:szCs w:val="24"/>
        </w:rPr>
        <w:t>Chem. Rev.</w:t>
      </w:r>
      <w:r w:rsidRPr="00085620">
        <w:rPr>
          <w:rFonts w:ascii="Calibri" w:hAnsi="Calibri" w:cs="Calibri"/>
          <w:noProof/>
          <w:sz w:val="18"/>
          <w:szCs w:val="24"/>
        </w:rPr>
        <w:t xml:space="preserve"> </w:t>
      </w:r>
      <w:r w:rsidRPr="00085620">
        <w:rPr>
          <w:rFonts w:ascii="Calibri" w:hAnsi="Calibri" w:cs="Calibri"/>
          <w:b/>
          <w:bCs/>
          <w:noProof/>
          <w:sz w:val="18"/>
          <w:szCs w:val="24"/>
        </w:rPr>
        <w:t>2016</w:t>
      </w:r>
      <w:r w:rsidRPr="00085620">
        <w:rPr>
          <w:rFonts w:ascii="Calibri" w:hAnsi="Calibri" w:cs="Calibri"/>
          <w:noProof/>
          <w:sz w:val="18"/>
          <w:szCs w:val="24"/>
        </w:rPr>
        <w:t xml:space="preserve">, </w:t>
      </w:r>
      <w:r w:rsidRPr="00085620">
        <w:rPr>
          <w:rFonts w:ascii="Calibri" w:hAnsi="Calibri" w:cs="Calibri"/>
          <w:i/>
          <w:iCs/>
          <w:noProof/>
          <w:sz w:val="18"/>
          <w:szCs w:val="24"/>
        </w:rPr>
        <w:t>116</w:t>
      </w:r>
      <w:r w:rsidRPr="00085620">
        <w:rPr>
          <w:rFonts w:ascii="Calibri" w:hAnsi="Calibri" w:cs="Calibri"/>
          <w:noProof/>
          <w:sz w:val="18"/>
          <w:szCs w:val="24"/>
        </w:rPr>
        <w:t xml:space="preserve"> (2), 719–766. https://doi.org/10.1021/acs.chemrev.5b00493.</w:t>
      </w:r>
    </w:p>
    <w:p w14:paraId="137E4ECB"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(7) </w:t>
      </w:r>
      <w:r w:rsidRPr="00085620">
        <w:rPr>
          <w:rFonts w:ascii="Calibri" w:hAnsi="Calibri" w:cs="Calibri"/>
          <w:noProof/>
          <w:sz w:val="18"/>
          <w:szCs w:val="24"/>
        </w:rPr>
        <w:tab/>
        <w:t xml:space="preserve">Wang, J.; Sánchez-Roselló, M.; Aceña, J. L.; del Pozo, C.; Sorochinsky, A. E.; Fustero, S.; Soloshonok, V. A.; Liu, H. Fluorine in Pharmaceutical Industry: Fluorine-Containing Drugs Introduced to the Market in the Last Decade (2001-2011). </w:t>
      </w:r>
      <w:r w:rsidRPr="00085620">
        <w:rPr>
          <w:rFonts w:ascii="Calibri" w:hAnsi="Calibri" w:cs="Calibri"/>
          <w:i/>
          <w:iCs/>
          <w:noProof/>
          <w:sz w:val="18"/>
          <w:szCs w:val="24"/>
        </w:rPr>
        <w:t>Chem. Rev.</w:t>
      </w:r>
      <w:r w:rsidRPr="00085620">
        <w:rPr>
          <w:rFonts w:ascii="Calibri" w:hAnsi="Calibri" w:cs="Calibri"/>
          <w:noProof/>
          <w:sz w:val="18"/>
          <w:szCs w:val="24"/>
        </w:rPr>
        <w:t xml:space="preserve"> </w:t>
      </w:r>
      <w:r w:rsidRPr="00085620">
        <w:rPr>
          <w:rFonts w:ascii="Calibri" w:hAnsi="Calibri" w:cs="Calibri"/>
          <w:b/>
          <w:bCs/>
          <w:noProof/>
          <w:sz w:val="18"/>
          <w:szCs w:val="24"/>
        </w:rPr>
        <w:t>2014</w:t>
      </w:r>
      <w:r w:rsidRPr="00085620">
        <w:rPr>
          <w:rFonts w:ascii="Calibri" w:hAnsi="Calibri" w:cs="Calibri"/>
          <w:noProof/>
          <w:sz w:val="18"/>
          <w:szCs w:val="24"/>
        </w:rPr>
        <w:t xml:space="preserve">, </w:t>
      </w:r>
      <w:r w:rsidRPr="00085620">
        <w:rPr>
          <w:rFonts w:ascii="Calibri" w:hAnsi="Calibri" w:cs="Calibri"/>
          <w:i/>
          <w:iCs/>
          <w:noProof/>
          <w:sz w:val="18"/>
          <w:szCs w:val="24"/>
        </w:rPr>
        <w:t>114</w:t>
      </w:r>
      <w:r w:rsidRPr="00085620">
        <w:rPr>
          <w:rFonts w:ascii="Calibri" w:hAnsi="Calibri" w:cs="Calibri"/>
          <w:noProof/>
          <w:sz w:val="18"/>
          <w:szCs w:val="24"/>
        </w:rPr>
        <w:t xml:space="preserve"> (4), 2432–2506. https://doi.org/10.1021/cr4002879.</w:t>
      </w:r>
    </w:p>
    <w:p w14:paraId="6FA18C13"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(8) </w:t>
      </w:r>
      <w:r w:rsidRPr="00085620">
        <w:rPr>
          <w:rFonts w:ascii="Calibri" w:hAnsi="Calibri" w:cs="Calibri"/>
          <w:noProof/>
          <w:sz w:val="18"/>
          <w:szCs w:val="24"/>
        </w:rPr>
        <w:tab/>
        <w:t xml:space="preserve">Gillis, E. P.; Eastman, K. J.; Hill, M. D.; Donnelly, D. J.; Meanwell, N. A. Applications of Fluorine in Medicinal Chemistry. </w:t>
      </w:r>
      <w:r w:rsidRPr="00085620">
        <w:rPr>
          <w:rFonts w:ascii="Calibri" w:hAnsi="Calibri" w:cs="Calibri"/>
          <w:i/>
          <w:iCs/>
          <w:noProof/>
          <w:sz w:val="18"/>
          <w:szCs w:val="24"/>
        </w:rPr>
        <w:t>J. Med. Chem.</w:t>
      </w:r>
      <w:r w:rsidRPr="00085620">
        <w:rPr>
          <w:rFonts w:ascii="Calibri" w:hAnsi="Calibri" w:cs="Calibri"/>
          <w:noProof/>
          <w:sz w:val="18"/>
          <w:szCs w:val="24"/>
        </w:rPr>
        <w:t xml:space="preserve"> </w:t>
      </w:r>
      <w:r w:rsidRPr="00085620">
        <w:rPr>
          <w:rFonts w:ascii="Calibri" w:hAnsi="Calibri" w:cs="Calibri"/>
          <w:b/>
          <w:bCs/>
          <w:noProof/>
          <w:sz w:val="18"/>
          <w:szCs w:val="24"/>
        </w:rPr>
        <w:t>2015</w:t>
      </w:r>
      <w:r w:rsidRPr="00085620">
        <w:rPr>
          <w:rFonts w:ascii="Calibri" w:hAnsi="Calibri" w:cs="Calibri"/>
          <w:noProof/>
          <w:sz w:val="18"/>
          <w:szCs w:val="24"/>
        </w:rPr>
        <w:t xml:space="preserve">, </w:t>
      </w:r>
      <w:r w:rsidRPr="00085620">
        <w:rPr>
          <w:rFonts w:ascii="Calibri" w:hAnsi="Calibri" w:cs="Calibri"/>
          <w:i/>
          <w:iCs/>
          <w:noProof/>
          <w:sz w:val="18"/>
          <w:szCs w:val="24"/>
        </w:rPr>
        <w:t>58</w:t>
      </w:r>
      <w:r w:rsidRPr="00085620">
        <w:rPr>
          <w:rFonts w:ascii="Calibri" w:hAnsi="Calibri" w:cs="Calibri"/>
          <w:noProof/>
          <w:sz w:val="18"/>
          <w:szCs w:val="24"/>
        </w:rPr>
        <w:t xml:space="preserve"> (21), 8315–8359. https://doi.org/10.1021/acs.jmedchem.5b00258.</w:t>
      </w:r>
    </w:p>
    <w:p w14:paraId="238795F0"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(9) </w:t>
      </w:r>
      <w:r w:rsidRPr="00085620">
        <w:rPr>
          <w:rFonts w:ascii="Calibri" w:hAnsi="Calibri" w:cs="Calibri"/>
          <w:noProof/>
          <w:sz w:val="18"/>
          <w:szCs w:val="24"/>
        </w:rPr>
        <w:tab/>
        <w:t xml:space="preserve">d’Amico, A. Review of Clinical Practice Utility of Positron Emission Tomography with 18F-Fluorodeoxyglucose in Assessing Tumour Response to Therapy. </w:t>
      </w:r>
      <w:r w:rsidRPr="00085620">
        <w:rPr>
          <w:rFonts w:ascii="Calibri" w:hAnsi="Calibri" w:cs="Calibri"/>
          <w:i/>
          <w:iCs/>
          <w:noProof/>
          <w:sz w:val="18"/>
          <w:szCs w:val="24"/>
        </w:rPr>
        <w:t>Radiol. Med.</w:t>
      </w:r>
      <w:r w:rsidRPr="00085620">
        <w:rPr>
          <w:rFonts w:ascii="Calibri" w:hAnsi="Calibri" w:cs="Calibri"/>
          <w:noProof/>
          <w:sz w:val="18"/>
          <w:szCs w:val="24"/>
        </w:rPr>
        <w:t xml:space="preserve"> </w:t>
      </w:r>
      <w:r w:rsidRPr="00085620">
        <w:rPr>
          <w:rFonts w:ascii="Calibri" w:hAnsi="Calibri" w:cs="Calibri"/>
          <w:b/>
          <w:bCs/>
          <w:noProof/>
          <w:sz w:val="18"/>
          <w:szCs w:val="24"/>
        </w:rPr>
        <w:t>2015</w:t>
      </w:r>
      <w:r w:rsidRPr="00085620">
        <w:rPr>
          <w:rFonts w:ascii="Calibri" w:hAnsi="Calibri" w:cs="Calibri"/>
          <w:noProof/>
          <w:sz w:val="18"/>
          <w:szCs w:val="24"/>
        </w:rPr>
        <w:t xml:space="preserve">, </w:t>
      </w:r>
      <w:r w:rsidRPr="00085620">
        <w:rPr>
          <w:rFonts w:ascii="Calibri" w:hAnsi="Calibri" w:cs="Calibri"/>
          <w:i/>
          <w:iCs/>
          <w:noProof/>
          <w:sz w:val="18"/>
          <w:szCs w:val="24"/>
        </w:rPr>
        <w:t>120</w:t>
      </w:r>
      <w:r w:rsidRPr="00085620">
        <w:rPr>
          <w:rFonts w:ascii="Calibri" w:hAnsi="Calibri" w:cs="Calibri"/>
          <w:noProof/>
          <w:sz w:val="18"/>
          <w:szCs w:val="24"/>
        </w:rPr>
        <w:t xml:space="preserve"> (4), 345–351. https://doi.org/10.1007/s11547-014-0446-4.</w:t>
      </w:r>
    </w:p>
    <w:p w14:paraId="238FD45B"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(10) </w:t>
      </w:r>
      <w:r w:rsidRPr="00085620">
        <w:rPr>
          <w:rFonts w:ascii="Calibri" w:hAnsi="Calibri" w:cs="Calibri"/>
          <w:noProof/>
          <w:sz w:val="18"/>
          <w:szCs w:val="24"/>
        </w:rPr>
        <w:tab/>
        <w:t xml:space="preserve">Vingerhoets, F. J. G.; Schulzer, M.; Ruth, T. J.; Holden, J. E.; Snow, B. J. Reproducibility and Discriminating Ability of Fluorine-18-6-Fluoro-L-Dopa PET in Parkinson’s Disease. </w:t>
      </w:r>
      <w:r w:rsidRPr="00085620">
        <w:rPr>
          <w:rFonts w:ascii="Calibri" w:hAnsi="Calibri" w:cs="Calibri"/>
          <w:i/>
          <w:iCs/>
          <w:noProof/>
          <w:sz w:val="18"/>
          <w:szCs w:val="24"/>
        </w:rPr>
        <w:t>J. Nucl. Med.</w:t>
      </w:r>
      <w:r w:rsidRPr="00085620">
        <w:rPr>
          <w:rFonts w:ascii="Calibri" w:hAnsi="Calibri" w:cs="Calibri"/>
          <w:noProof/>
          <w:sz w:val="18"/>
          <w:szCs w:val="24"/>
        </w:rPr>
        <w:t xml:space="preserve"> </w:t>
      </w:r>
      <w:r w:rsidRPr="00085620">
        <w:rPr>
          <w:rFonts w:ascii="Calibri" w:hAnsi="Calibri" w:cs="Calibri"/>
          <w:b/>
          <w:bCs/>
          <w:noProof/>
          <w:sz w:val="18"/>
          <w:szCs w:val="24"/>
        </w:rPr>
        <w:t>1996</w:t>
      </w:r>
      <w:r w:rsidRPr="00085620">
        <w:rPr>
          <w:rFonts w:ascii="Calibri" w:hAnsi="Calibri" w:cs="Calibri"/>
          <w:noProof/>
          <w:sz w:val="18"/>
          <w:szCs w:val="24"/>
        </w:rPr>
        <w:t xml:space="preserve">, </w:t>
      </w:r>
      <w:r w:rsidRPr="00085620">
        <w:rPr>
          <w:rFonts w:ascii="Calibri" w:hAnsi="Calibri" w:cs="Calibri"/>
          <w:i/>
          <w:iCs/>
          <w:noProof/>
          <w:sz w:val="18"/>
          <w:szCs w:val="24"/>
        </w:rPr>
        <w:t>37</w:t>
      </w:r>
      <w:r w:rsidRPr="00085620">
        <w:rPr>
          <w:rFonts w:ascii="Calibri" w:hAnsi="Calibri" w:cs="Calibri"/>
          <w:noProof/>
          <w:sz w:val="18"/>
          <w:szCs w:val="24"/>
        </w:rPr>
        <w:t xml:space="preserve"> (3), 421–426.</w:t>
      </w:r>
    </w:p>
    <w:p w14:paraId="5FD27B6D"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(11) </w:t>
      </w:r>
      <w:r w:rsidRPr="00085620">
        <w:rPr>
          <w:rFonts w:ascii="Calibri" w:hAnsi="Calibri" w:cs="Calibri"/>
          <w:noProof/>
          <w:sz w:val="18"/>
          <w:szCs w:val="24"/>
        </w:rPr>
        <w:tab/>
        <w:t xml:space="preserve">Jacobson, O.; Kiesewetter, D. O.; Chen, X. Fluorine-18 Radiochemistry, Labeling Strategies and Synthetic Routes. </w:t>
      </w:r>
      <w:r w:rsidRPr="00085620">
        <w:rPr>
          <w:rFonts w:ascii="Calibri" w:hAnsi="Calibri" w:cs="Calibri"/>
          <w:i/>
          <w:iCs/>
          <w:noProof/>
          <w:sz w:val="18"/>
          <w:szCs w:val="24"/>
        </w:rPr>
        <w:t>Bioconjug. Chem.</w:t>
      </w:r>
      <w:r w:rsidRPr="00085620">
        <w:rPr>
          <w:rFonts w:ascii="Calibri" w:hAnsi="Calibri" w:cs="Calibri"/>
          <w:noProof/>
          <w:sz w:val="18"/>
          <w:szCs w:val="24"/>
        </w:rPr>
        <w:t xml:space="preserve"> </w:t>
      </w:r>
      <w:r w:rsidRPr="00085620">
        <w:rPr>
          <w:rFonts w:ascii="Calibri" w:hAnsi="Calibri" w:cs="Calibri"/>
          <w:b/>
          <w:bCs/>
          <w:noProof/>
          <w:sz w:val="18"/>
          <w:szCs w:val="24"/>
        </w:rPr>
        <w:t>2015</w:t>
      </w:r>
      <w:r w:rsidRPr="00085620">
        <w:rPr>
          <w:rFonts w:ascii="Calibri" w:hAnsi="Calibri" w:cs="Calibri"/>
          <w:noProof/>
          <w:sz w:val="18"/>
          <w:szCs w:val="24"/>
        </w:rPr>
        <w:t xml:space="preserve">, </w:t>
      </w:r>
      <w:r w:rsidRPr="00085620">
        <w:rPr>
          <w:rFonts w:ascii="Calibri" w:hAnsi="Calibri" w:cs="Calibri"/>
          <w:i/>
          <w:iCs/>
          <w:noProof/>
          <w:sz w:val="18"/>
          <w:szCs w:val="24"/>
        </w:rPr>
        <w:t>26</w:t>
      </w:r>
      <w:r w:rsidRPr="00085620">
        <w:rPr>
          <w:rFonts w:ascii="Calibri" w:hAnsi="Calibri" w:cs="Calibri"/>
          <w:noProof/>
          <w:sz w:val="18"/>
          <w:szCs w:val="24"/>
        </w:rPr>
        <w:t xml:space="preserve"> (1), 1–18. https://doi.org/10.1021/bc500475e.</w:t>
      </w:r>
    </w:p>
    <w:p w14:paraId="28D5F2AB"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(12) </w:t>
      </w:r>
      <w:r w:rsidRPr="00085620">
        <w:rPr>
          <w:rFonts w:ascii="Calibri" w:hAnsi="Calibri" w:cs="Calibri"/>
          <w:noProof/>
          <w:sz w:val="18"/>
          <w:szCs w:val="24"/>
        </w:rPr>
        <w:tab/>
        <w:t xml:space="preserve">Mossine, A. V; Brooks, A. F.; Ichiishi, N.; Makaravage, K. J.; Sanford, M. S.; Scott, P. J. H. Development of Customized [18F]Fluoride Elution Techniques for the Enhancement of Copper-Mediated Late-Stage Radiofluorination. </w:t>
      </w:r>
      <w:r w:rsidRPr="00085620">
        <w:rPr>
          <w:rFonts w:ascii="Calibri" w:hAnsi="Calibri" w:cs="Calibri"/>
          <w:i/>
          <w:iCs/>
          <w:noProof/>
          <w:sz w:val="18"/>
          <w:szCs w:val="24"/>
        </w:rPr>
        <w:t>Sci. Rep.</w:t>
      </w:r>
      <w:r w:rsidRPr="00085620">
        <w:rPr>
          <w:rFonts w:ascii="Calibri" w:hAnsi="Calibri" w:cs="Calibri"/>
          <w:noProof/>
          <w:sz w:val="18"/>
          <w:szCs w:val="24"/>
        </w:rPr>
        <w:t xml:space="preserve"> </w:t>
      </w:r>
      <w:r w:rsidRPr="00085620">
        <w:rPr>
          <w:rFonts w:ascii="Calibri" w:hAnsi="Calibri" w:cs="Calibri"/>
          <w:b/>
          <w:bCs/>
          <w:noProof/>
          <w:sz w:val="18"/>
          <w:szCs w:val="24"/>
        </w:rPr>
        <w:t>2017</w:t>
      </w:r>
      <w:r w:rsidRPr="00085620">
        <w:rPr>
          <w:rFonts w:ascii="Calibri" w:hAnsi="Calibri" w:cs="Calibri"/>
          <w:noProof/>
          <w:sz w:val="18"/>
          <w:szCs w:val="24"/>
        </w:rPr>
        <w:t xml:space="preserve">, </w:t>
      </w:r>
      <w:r w:rsidRPr="00085620">
        <w:rPr>
          <w:rFonts w:ascii="Calibri" w:hAnsi="Calibri" w:cs="Calibri"/>
          <w:i/>
          <w:iCs/>
          <w:noProof/>
          <w:sz w:val="18"/>
          <w:szCs w:val="24"/>
        </w:rPr>
        <w:t>7</w:t>
      </w:r>
      <w:r w:rsidRPr="00085620">
        <w:rPr>
          <w:rFonts w:ascii="Calibri" w:hAnsi="Calibri" w:cs="Calibri"/>
          <w:noProof/>
          <w:sz w:val="18"/>
          <w:szCs w:val="24"/>
        </w:rPr>
        <w:t xml:space="preserve"> (1), 233. https://doi.org/10.1038/s41598-017-00110-1.</w:t>
      </w:r>
    </w:p>
    <w:p w14:paraId="32CB5D71"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(13) </w:t>
      </w:r>
      <w:r w:rsidRPr="00085620">
        <w:rPr>
          <w:rFonts w:ascii="Calibri" w:hAnsi="Calibri" w:cs="Calibri"/>
          <w:noProof/>
          <w:sz w:val="18"/>
          <w:szCs w:val="24"/>
        </w:rPr>
        <w:tab/>
        <w:t xml:space="preserve">Brooks, A. F.; Topczewski, J. J.; Ichiishi, N.; Sanford, M. S.; Scott, P. J. H. Late-Stage [ 18 F]Fluorination: New Solutions to Old Problems. </w:t>
      </w:r>
      <w:r w:rsidRPr="00085620">
        <w:rPr>
          <w:rFonts w:ascii="Calibri" w:hAnsi="Calibri" w:cs="Calibri"/>
          <w:i/>
          <w:iCs/>
          <w:noProof/>
          <w:sz w:val="18"/>
          <w:szCs w:val="24"/>
        </w:rPr>
        <w:t>Chem. Sci.</w:t>
      </w:r>
      <w:r w:rsidRPr="00085620">
        <w:rPr>
          <w:rFonts w:ascii="Calibri" w:hAnsi="Calibri" w:cs="Calibri"/>
          <w:noProof/>
          <w:sz w:val="18"/>
          <w:szCs w:val="24"/>
        </w:rPr>
        <w:t xml:space="preserve"> </w:t>
      </w:r>
      <w:r w:rsidRPr="00085620">
        <w:rPr>
          <w:rFonts w:ascii="Calibri" w:hAnsi="Calibri" w:cs="Calibri"/>
          <w:b/>
          <w:bCs/>
          <w:noProof/>
          <w:sz w:val="18"/>
          <w:szCs w:val="24"/>
        </w:rPr>
        <w:t>2014</w:t>
      </w:r>
      <w:r w:rsidRPr="00085620">
        <w:rPr>
          <w:rFonts w:ascii="Calibri" w:hAnsi="Calibri" w:cs="Calibri"/>
          <w:noProof/>
          <w:sz w:val="18"/>
          <w:szCs w:val="24"/>
        </w:rPr>
        <w:t xml:space="preserve">, </w:t>
      </w:r>
      <w:r w:rsidRPr="00085620">
        <w:rPr>
          <w:rFonts w:ascii="Calibri" w:hAnsi="Calibri" w:cs="Calibri"/>
          <w:i/>
          <w:iCs/>
          <w:noProof/>
          <w:sz w:val="18"/>
          <w:szCs w:val="24"/>
        </w:rPr>
        <w:t>5</w:t>
      </w:r>
      <w:r w:rsidRPr="00085620">
        <w:rPr>
          <w:rFonts w:ascii="Calibri" w:hAnsi="Calibri" w:cs="Calibri"/>
          <w:noProof/>
          <w:sz w:val="18"/>
          <w:szCs w:val="24"/>
        </w:rPr>
        <w:t xml:space="preserve"> (12), 4545–4553. https://doi.org/10.1039/C4SC02099E.</w:t>
      </w:r>
    </w:p>
    <w:p w14:paraId="3ECC914A"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(14) </w:t>
      </w:r>
      <w:r w:rsidRPr="00085620">
        <w:rPr>
          <w:rFonts w:ascii="Calibri" w:hAnsi="Calibri" w:cs="Calibri"/>
          <w:noProof/>
          <w:sz w:val="18"/>
          <w:szCs w:val="24"/>
        </w:rPr>
        <w:tab/>
        <w:t xml:space="preserve">Sanford, M. S.; Scott, P. J. H. Moving Metal-Mediated 18 F-Fluorination from Concept to Clinic. </w:t>
      </w:r>
      <w:r w:rsidRPr="00085620">
        <w:rPr>
          <w:rFonts w:ascii="Calibri" w:hAnsi="Calibri" w:cs="Calibri"/>
          <w:i/>
          <w:iCs/>
          <w:noProof/>
          <w:sz w:val="18"/>
          <w:szCs w:val="24"/>
        </w:rPr>
        <w:t>ACS Cent. Sci.</w:t>
      </w:r>
      <w:r w:rsidRPr="00085620">
        <w:rPr>
          <w:rFonts w:ascii="Calibri" w:hAnsi="Calibri" w:cs="Calibri"/>
          <w:noProof/>
          <w:sz w:val="18"/>
          <w:szCs w:val="24"/>
        </w:rPr>
        <w:t xml:space="preserve"> </w:t>
      </w:r>
      <w:r w:rsidRPr="00085620">
        <w:rPr>
          <w:rFonts w:ascii="Calibri" w:hAnsi="Calibri" w:cs="Calibri"/>
          <w:b/>
          <w:bCs/>
          <w:noProof/>
          <w:sz w:val="18"/>
          <w:szCs w:val="24"/>
        </w:rPr>
        <w:t>2016</w:t>
      </w:r>
      <w:r w:rsidRPr="00085620">
        <w:rPr>
          <w:rFonts w:ascii="Calibri" w:hAnsi="Calibri" w:cs="Calibri"/>
          <w:noProof/>
          <w:sz w:val="18"/>
          <w:szCs w:val="24"/>
        </w:rPr>
        <w:t xml:space="preserve">, </w:t>
      </w:r>
      <w:r w:rsidRPr="00085620">
        <w:rPr>
          <w:rFonts w:ascii="Calibri" w:hAnsi="Calibri" w:cs="Calibri"/>
          <w:i/>
          <w:iCs/>
          <w:noProof/>
          <w:sz w:val="18"/>
          <w:szCs w:val="24"/>
        </w:rPr>
        <w:t>2</w:t>
      </w:r>
      <w:r w:rsidRPr="00085620">
        <w:rPr>
          <w:rFonts w:ascii="Calibri" w:hAnsi="Calibri" w:cs="Calibri"/>
          <w:noProof/>
          <w:sz w:val="18"/>
          <w:szCs w:val="24"/>
        </w:rPr>
        <w:t xml:space="preserve"> (3), 128–130. https://doi.org/10.1021/acscentsci.6b00061.</w:t>
      </w:r>
    </w:p>
    <w:p w14:paraId="48EEAA89"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lastRenderedPageBreak/>
        <w:t xml:space="preserve">(15) </w:t>
      </w:r>
      <w:r w:rsidRPr="00085620">
        <w:rPr>
          <w:rFonts w:ascii="Calibri" w:hAnsi="Calibri" w:cs="Calibri"/>
          <w:noProof/>
          <w:sz w:val="18"/>
          <w:szCs w:val="24"/>
        </w:rPr>
        <w:tab/>
        <w:t xml:space="preserve">Lee, E.; Kamlet, A. S.; Powers, D. C.; Neumann, C. N.; Boursalian, G. B.; Furuya, T.; Choi, D. C.; Hooker, J. M.; Ritter, T. A Fluoride-Derived Electrophilic Late-Stage Fluorination Reagent for PET Imaging. </w:t>
      </w:r>
      <w:r w:rsidRPr="00085620">
        <w:rPr>
          <w:rFonts w:ascii="Calibri" w:hAnsi="Calibri" w:cs="Calibri"/>
          <w:i/>
          <w:iCs/>
          <w:noProof/>
          <w:sz w:val="18"/>
          <w:szCs w:val="24"/>
        </w:rPr>
        <w:t>Science (80-. ).</w:t>
      </w:r>
      <w:r w:rsidRPr="00085620">
        <w:rPr>
          <w:rFonts w:ascii="Calibri" w:hAnsi="Calibri" w:cs="Calibri"/>
          <w:noProof/>
          <w:sz w:val="18"/>
          <w:szCs w:val="24"/>
        </w:rPr>
        <w:t xml:space="preserve"> </w:t>
      </w:r>
      <w:r w:rsidRPr="00085620">
        <w:rPr>
          <w:rFonts w:ascii="Calibri" w:hAnsi="Calibri" w:cs="Calibri"/>
          <w:b/>
          <w:bCs/>
          <w:noProof/>
          <w:sz w:val="18"/>
          <w:szCs w:val="24"/>
        </w:rPr>
        <w:t>2011</w:t>
      </w:r>
      <w:r w:rsidRPr="00085620">
        <w:rPr>
          <w:rFonts w:ascii="Calibri" w:hAnsi="Calibri" w:cs="Calibri"/>
          <w:noProof/>
          <w:sz w:val="18"/>
          <w:szCs w:val="24"/>
        </w:rPr>
        <w:t xml:space="preserve">, </w:t>
      </w:r>
      <w:r w:rsidRPr="00085620">
        <w:rPr>
          <w:rFonts w:ascii="Calibri" w:hAnsi="Calibri" w:cs="Calibri"/>
          <w:i/>
          <w:iCs/>
          <w:noProof/>
          <w:sz w:val="18"/>
          <w:szCs w:val="24"/>
        </w:rPr>
        <w:t>334</w:t>
      </w:r>
      <w:r w:rsidRPr="00085620">
        <w:rPr>
          <w:rFonts w:ascii="Calibri" w:hAnsi="Calibri" w:cs="Calibri"/>
          <w:noProof/>
          <w:sz w:val="18"/>
          <w:szCs w:val="24"/>
        </w:rPr>
        <w:t>, 639–642. https://doi.org/10.1126/science.1212625.</w:t>
      </w:r>
    </w:p>
    <w:p w14:paraId="07111DC5"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(16) </w:t>
      </w:r>
      <w:r w:rsidRPr="00085620">
        <w:rPr>
          <w:rFonts w:ascii="Calibri" w:hAnsi="Calibri" w:cs="Calibri"/>
          <w:noProof/>
          <w:sz w:val="18"/>
          <w:szCs w:val="24"/>
        </w:rPr>
        <w:tab/>
        <w:t xml:space="preserve">Kamlet, A. S.; Neumann, C. N.; Lee, E.; Carlin, S. M.; Moseley, C. K.; Stephenson, N.; Hooker, J. M.; Ritter, T. Application of Palladium-Mediated 18F-Fluorination to PET Radiotracer Development: Overcoming Hurdles to Translation. </w:t>
      </w:r>
      <w:r w:rsidRPr="00085620">
        <w:rPr>
          <w:rFonts w:ascii="Calibri" w:hAnsi="Calibri" w:cs="Calibri"/>
          <w:i/>
          <w:iCs/>
          <w:noProof/>
          <w:sz w:val="18"/>
          <w:szCs w:val="24"/>
        </w:rPr>
        <w:t>PLoS One</w:t>
      </w:r>
      <w:r w:rsidRPr="00085620">
        <w:rPr>
          <w:rFonts w:ascii="Calibri" w:hAnsi="Calibri" w:cs="Calibri"/>
          <w:noProof/>
          <w:sz w:val="18"/>
          <w:szCs w:val="24"/>
        </w:rPr>
        <w:t xml:space="preserve"> </w:t>
      </w:r>
      <w:r w:rsidRPr="00085620">
        <w:rPr>
          <w:rFonts w:ascii="Calibri" w:hAnsi="Calibri" w:cs="Calibri"/>
          <w:b/>
          <w:bCs/>
          <w:noProof/>
          <w:sz w:val="18"/>
          <w:szCs w:val="24"/>
        </w:rPr>
        <w:t>2013</w:t>
      </w:r>
      <w:r w:rsidRPr="00085620">
        <w:rPr>
          <w:rFonts w:ascii="Calibri" w:hAnsi="Calibri" w:cs="Calibri"/>
          <w:noProof/>
          <w:sz w:val="18"/>
          <w:szCs w:val="24"/>
        </w:rPr>
        <w:t xml:space="preserve">, </w:t>
      </w:r>
      <w:r w:rsidRPr="00085620">
        <w:rPr>
          <w:rFonts w:ascii="Calibri" w:hAnsi="Calibri" w:cs="Calibri"/>
          <w:i/>
          <w:iCs/>
          <w:noProof/>
          <w:sz w:val="18"/>
          <w:szCs w:val="24"/>
        </w:rPr>
        <w:t>8</w:t>
      </w:r>
      <w:r w:rsidRPr="00085620">
        <w:rPr>
          <w:rFonts w:ascii="Calibri" w:hAnsi="Calibri" w:cs="Calibri"/>
          <w:noProof/>
          <w:sz w:val="18"/>
          <w:szCs w:val="24"/>
        </w:rPr>
        <w:t xml:space="preserve"> (3), e59187. https://doi.org/10.1371/journal.pone.0059187.</w:t>
      </w:r>
    </w:p>
    <w:p w14:paraId="36AFB36F"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(17) </w:t>
      </w:r>
      <w:r w:rsidRPr="00085620">
        <w:rPr>
          <w:rFonts w:ascii="Calibri" w:hAnsi="Calibri" w:cs="Calibri"/>
          <w:noProof/>
          <w:sz w:val="18"/>
          <w:szCs w:val="24"/>
        </w:rPr>
        <w:tab/>
        <w:t xml:space="preserve">Lee, E.; Hooker, J. M.; Ritter, T. Nickel-Mediated Oxidative Fluorination for PET with Aqueous [18F] Fluoride. </w:t>
      </w:r>
      <w:r w:rsidRPr="00085620">
        <w:rPr>
          <w:rFonts w:ascii="Calibri" w:hAnsi="Calibri" w:cs="Calibri"/>
          <w:i/>
          <w:iCs/>
          <w:noProof/>
          <w:sz w:val="18"/>
          <w:szCs w:val="24"/>
        </w:rPr>
        <w:t>J. Am. Chem. Soc.</w:t>
      </w:r>
      <w:r w:rsidRPr="00085620">
        <w:rPr>
          <w:rFonts w:ascii="Calibri" w:hAnsi="Calibri" w:cs="Calibri"/>
          <w:noProof/>
          <w:sz w:val="18"/>
          <w:szCs w:val="24"/>
        </w:rPr>
        <w:t xml:space="preserve"> </w:t>
      </w:r>
      <w:r w:rsidRPr="00085620">
        <w:rPr>
          <w:rFonts w:ascii="Calibri" w:hAnsi="Calibri" w:cs="Calibri"/>
          <w:b/>
          <w:bCs/>
          <w:noProof/>
          <w:sz w:val="18"/>
          <w:szCs w:val="24"/>
        </w:rPr>
        <w:t>2012</w:t>
      </w:r>
      <w:r w:rsidRPr="00085620">
        <w:rPr>
          <w:rFonts w:ascii="Calibri" w:hAnsi="Calibri" w:cs="Calibri"/>
          <w:noProof/>
          <w:sz w:val="18"/>
          <w:szCs w:val="24"/>
        </w:rPr>
        <w:t xml:space="preserve">, </w:t>
      </w:r>
      <w:r w:rsidRPr="00085620">
        <w:rPr>
          <w:rFonts w:ascii="Calibri" w:hAnsi="Calibri" w:cs="Calibri"/>
          <w:i/>
          <w:iCs/>
          <w:noProof/>
          <w:sz w:val="18"/>
          <w:szCs w:val="24"/>
        </w:rPr>
        <w:t>134</w:t>
      </w:r>
      <w:r w:rsidRPr="00085620">
        <w:rPr>
          <w:rFonts w:ascii="Calibri" w:hAnsi="Calibri" w:cs="Calibri"/>
          <w:noProof/>
          <w:sz w:val="18"/>
          <w:szCs w:val="24"/>
        </w:rPr>
        <w:t xml:space="preserve"> (42), 17456–17458. https://doi.org/10.1021/ja3084797.</w:t>
      </w:r>
    </w:p>
    <w:p w14:paraId="0D836AE4"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(18) </w:t>
      </w:r>
      <w:r w:rsidRPr="00085620">
        <w:rPr>
          <w:rFonts w:ascii="Calibri" w:hAnsi="Calibri" w:cs="Calibri"/>
          <w:noProof/>
          <w:sz w:val="18"/>
          <w:szCs w:val="24"/>
        </w:rPr>
        <w:tab/>
        <w:t xml:space="preserve">Ren, H.; Wey, H.-Y.; Strebl, M.; Neelamegam, R.; Ritter, T.; Hooker, J. M. Synthesis and Imaging Validation of [18F]MDL100907 Enabled by Ni-Mediated Fluorination. </w:t>
      </w:r>
      <w:r w:rsidRPr="00085620">
        <w:rPr>
          <w:rFonts w:ascii="Calibri" w:hAnsi="Calibri" w:cs="Calibri"/>
          <w:i/>
          <w:iCs/>
          <w:noProof/>
          <w:sz w:val="18"/>
          <w:szCs w:val="24"/>
        </w:rPr>
        <w:t>ACS Chem. Neurosci.</w:t>
      </w:r>
      <w:r w:rsidRPr="00085620">
        <w:rPr>
          <w:rFonts w:ascii="Calibri" w:hAnsi="Calibri" w:cs="Calibri"/>
          <w:noProof/>
          <w:sz w:val="18"/>
          <w:szCs w:val="24"/>
        </w:rPr>
        <w:t xml:space="preserve"> </w:t>
      </w:r>
      <w:r w:rsidRPr="00085620">
        <w:rPr>
          <w:rFonts w:ascii="Calibri" w:hAnsi="Calibri" w:cs="Calibri"/>
          <w:b/>
          <w:bCs/>
          <w:noProof/>
          <w:sz w:val="18"/>
          <w:szCs w:val="24"/>
        </w:rPr>
        <w:t>2014</w:t>
      </w:r>
      <w:r w:rsidRPr="00085620">
        <w:rPr>
          <w:rFonts w:ascii="Calibri" w:hAnsi="Calibri" w:cs="Calibri"/>
          <w:noProof/>
          <w:sz w:val="18"/>
          <w:szCs w:val="24"/>
        </w:rPr>
        <w:t xml:space="preserve">, </w:t>
      </w:r>
      <w:r w:rsidRPr="00085620">
        <w:rPr>
          <w:rFonts w:ascii="Calibri" w:hAnsi="Calibri" w:cs="Calibri"/>
          <w:i/>
          <w:iCs/>
          <w:noProof/>
          <w:sz w:val="18"/>
          <w:szCs w:val="24"/>
        </w:rPr>
        <w:t>5</w:t>
      </w:r>
      <w:r w:rsidRPr="00085620">
        <w:rPr>
          <w:rFonts w:ascii="Calibri" w:hAnsi="Calibri" w:cs="Calibri"/>
          <w:noProof/>
          <w:sz w:val="18"/>
          <w:szCs w:val="24"/>
        </w:rPr>
        <w:t xml:space="preserve"> (7), 611–615. https://doi.org/10.1021/cn500078e.</w:t>
      </w:r>
    </w:p>
    <w:p w14:paraId="05A85DD6"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(19) </w:t>
      </w:r>
      <w:r w:rsidRPr="00085620">
        <w:rPr>
          <w:rFonts w:ascii="Calibri" w:hAnsi="Calibri" w:cs="Calibri"/>
          <w:noProof/>
          <w:sz w:val="18"/>
          <w:szCs w:val="24"/>
        </w:rPr>
        <w:tab/>
        <w:t xml:space="preserve">Hoover, A. J.; Lazari, M.; Ren, H.; Narayanam, M. K.; Murphy, J. M.; van Dam, R. M.; Hooker, J. M.; Ritter, T. A Transmetalation Reaction Enables the Synthesis of [18F]5-Fluorouracil from [18F]Fluoride for Human PET Imaging. </w:t>
      </w:r>
      <w:r w:rsidRPr="00085620">
        <w:rPr>
          <w:rFonts w:ascii="Calibri" w:hAnsi="Calibri" w:cs="Calibri"/>
          <w:i/>
          <w:iCs/>
          <w:noProof/>
          <w:sz w:val="18"/>
          <w:szCs w:val="24"/>
        </w:rPr>
        <w:t>Organometallics</w:t>
      </w:r>
      <w:r w:rsidRPr="00085620">
        <w:rPr>
          <w:rFonts w:ascii="Calibri" w:hAnsi="Calibri" w:cs="Calibri"/>
          <w:noProof/>
          <w:sz w:val="18"/>
          <w:szCs w:val="24"/>
        </w:rPr>
        <w:t xml:space="preserve"> </w:t>
      </w:r>
      <w:r w:rsidRPr="00085620">
        <w:rPr>
          <w:rFonts w:ascii="Calibri" w:hAnsi="Calibri" w:cs="Calibri"/>
          <w:b/>
          <w:bCs/>
          <w:noProof/>
          <w:sz w:val="18"/>
          <w:szCs w:val="24"/>
        </w:rPr>
        <w:t>2016</w:t>
      </w:r>
      <w:r w:rsidRPr="00085620">
        <w:rPr>
          <w:rFonts w:ascii="Calibri" w:hAnsi="Calibri" w:cs="Calibri"/>
          <w:noProof/>
          <w:sz w:val="18"/>
          <w:szCs w:val="24"/>
        </w:rPr>
        <w:t xml:space="preserve">, </w:t>
      </w:r>
      <w:r w:rsidRPr="00085620">
        <w:rPr>
          <w:rFonts w:ascii="Calibri" w:hAnsi="Calibri" w:cs="Calibri"/>
          <w:i/>
          <w:iCs/>
          <w:noProof/>
          <w:sz w:val="18"/>
          <w:szCs w:val="24"/>
        </w:rPr>
        <w:t>35</w:t>
      </w:r>
      <w:r w:rsidRPr="00085620">
        <w:rPr>
          <w:rFonts w:ascii="Calibri" w:hAnsi="Calibri" w:cs="Calibri"/>
          <w:noProof/>
          <w:sz w:val="18"/>
          <w:szCs w:val="24"/>
        </w:rPr>
        <w:t xml:space="preserve"> (7), 1008–1014. https://doi.org/10.1021/acs.organomet.6b00059.</w:t>
      </w:r>
    </w:p>
    <w:p w14:paraId="27248647"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(20) </w:t>
      </w:r>
      <w:r w:rsidRPr="00085620">
        <w:rPr>
          <w:rFonts w:ascii="Calibri" w:hAnsi="Calibri" w:cs="Calibri"/>
          <w:noProof/>
          <w:sz w:val="18"/>
          <w:szCs w:val="24"/>
        </w:rPr>
        <w:tab/>
        <w:t xml:space="preserve">Ichiishi, N.; Brooks, A. F.; Topczewski, J. J.; Rodnick, M. E.; Sanford, M. S.; Scott, P. J. H. Copper-Catalyzed [18F]Fluorination of (Mesityl)(Aryl)Iodonium Salts. </w:t>
      </w:r>
      <w:r w:rsidRPr="00085620">
        <w:rPr>
          <w:rFonts w:ascii="Calibri" w:hAnsi="Calibri" w:cs="Calibri"/>
          <w:i/>
          <w:iCs/>
          <w:noProof/>
          <w:sz w:val="18"/>
          <w:szCs w:val="24"/>
        </w:rPr>
        <w:t>Org. Lett.</w:t>
      </w:r>
      <w:r w:rsidRPr="00085620">
        <w:rPr>
          <w:rFonts w:ascii="Calibri" w:hAnsi="Calibri" w:cs="Calibri"/>
          <w:noProof/>
          <w:sz w:val="18"/>
          <w:szCs w:val="24"/>
        </w:rPr>
        <w:t xml:space="preserve"> </w:t>
      </w:r>
      <w:r w:rsidRPr="00085620">
        <w:rPr>
          <w:rFonts w:ascii="Calibri" w:hAnsi="Calibri" w:cs="Calibri"/>
          <w:b/>
          <w:bCs/>
          <w:noProof/>
          <w:sz w:val="18"/>
          <w:szCs w:val="24"/>
        </w:rPr>
        <w:t>2014</w:t>
      </w:r>
      <w:r w:rsidRPr="00085620">
        <w:rPr>
          <w:rFonts w:ascii="Calibri" w:hAnsi="Calibri" w:cs="Calibri"/>
          <w:noProof/>
          <w:sz w:val="18"/>
          <w:szCs w:val="24"/>
        </w:rPr>
        <w:t xml:space="preserve">, </w:t>
      </w:r>
      <w:r w:rsidRPr="00085620">
        <w:rPr>
          <w:rFonts w:ascii="Calibri" w:hAnsi="Calibri" w:cs="Calibri"/>
          <w:i/>
          <w:iCs/>
          <w:noProof/>
          <w:sz w:val="18"/>
          <w:szCs w:val="24"/>
        </w:rPr>
        <w:t>16</w:t>
      </w:r>
      <w:r w:rsidRPr="00085620">
        <w:rPr>
          <w:rFonts w:ascii="Calibri" w:hAnsi="Calibri" w:cs="Calibri"/>
          <w:noProof/>
          <w:sz w:val="18"/>
          <w:szCs w:val="24"/>
        </w:rPr>
        <w:t xml:space="preserve"> (12), 3224–3227. https://doi.org/10.1021/ol501243g.</w:t>
      </w:r>
    </w:p>
    <w:p w14:paraId="3F4019B9"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(21) </w:t>
      </w:r>
      <w:r w:rsidRPr="00085620">
        <w:rPr>
          <w:rFonts w:ascii="Calibri" w:hAnsi="Calibri" w:cs="Calibri"/>
          <w:noProof/>
          <w:sz w:val="18"/>
          <w:szCs w:val="24"/>
        </w:rPr>
        <w:tab/>
        <w:t xml:space="preserve">McCammant, M. S.; Thompson, S.; Brooks, A. F.; Krska, S. W.; Scott, P. J. H.; Sanford, M. S. Cu-Mediated C–H 18F-Fluorination of Electron-Rich (Hetero)Arenes. </w:t>
      </w:r>
      <w:r w:rsidRPr="00085620">
        <w:rPr>
          <w:rFonts w:ascii="Calibri" w:hAnsi="Calibri" w:cs="Calibri"/>
          <w:i/>
          <w:iCs/>
          <w:noProof/>
          <w:sz w:val="18"/>
          <w:szCs w:val="24"/>
        </w:rPr>
        <w:t>Org. Lett.</w:t>
      </w:r>
      <w:r w:rsidRPr="00085620">
        <w:rPr>
          <w:rFonts w:ascii="Calibri" w:hAnsi="Calibri" w:cs="Calibri"/>
          <w:noProof/>
          <w:sz w:val="18"/>
          <w:szCs w:val="24"/>
        </w:rPr>
        <w:t xml:space="preserve"> </w:t>
      </w:r>
      <w:r w:rsidRPr="00085620">
        <w:rPr>
          <w:rFonts w:ascii="Calibri" w:hAnsi="Calibri" w:cs="Calibri"/>
          <w:b/>
          <w:bCs/>
          <w:noProof/>
          <w:sz w:val="18"/>
          <w:szCs w:val="24"/>
        </w:rPr>
        <w:t>2017</w:t>
      </w:r>
      <w:r w:rsidRPr="00085620">
        <w:rPr>
          <w:rFonts w:ascii="Calibri" w:hAnsi="Calibri" w:cs="Calibri"/>
          <w:noProof/>
          <w:sz w:val="18"/>
          <w:szCs w:val="24"/>
        </w:rPr>
        <w:t xml:space="preserve">, </w:t>
      </w:r>
      <w:r w:rsidRPr="00085620">
        <w:rPr>
          <w:rFonts w:ascii="Calibri" w:hAnsi="Calibri" w:cs="Calibri"/>
          <w:i/>
          <w:iCs/>
          <w:noProof/>
          <w:sz w:val="18"/>
          <w:szCs w:val="24"/>
        </w:rPr>
        <w:t>19</w:t>
      </w:r>
      <w:r w:rsidRPr="00085620">
        <w:rPr>
          <w:rFonts w:ascii="Calibri" w:hAnsi="Calibri" w:cs="Calibri"/>
          <w:noProof/>
          <w:sz w:val="18"/>
          <w:szCs w:val="24"/>
        </w:rPr>
        <w:t xml:space="preserve"> (14), 3939–3942. https://doi.org/10.1021/acs.orglett.7b01902.</w:t>
      </w:r>
    </w:p>
    <w:p w14:paraId="1927B66F"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(22) </w:t>
      </w:r>
      <w:r w:rsidRPr="00085620">
        <w:rPr>
          <w:rFonts w:ascii="Calibri" w:hAnsi="Calibri" w:cs="Calibri"/>
          <w:noProof/>
          <w:sz w:val="18"/>
          <w:szCs w:val="24"/>
        </w:rPr>
        <w:tab/>
        <w:t xml:space="preserve">Mossine, A. V; Brooks, A. F.; Makaravage, K. J.; Miller, J. M.; Ichiishi, N.; Sanford, M. S.; Scott, P. J. H. Synthesis of [18F]Arenes via the Copper-Mediated [18F]Fluorination of Boronic Acids. </w:t>
      </w:r>
      <w:r w:rsidRPr="00085620">
        <w:rPr>
          <w:rFonts w:ascii="Calibri" w:hAnsi="Calibri" w:cs="Calibri"/>
          <w:i/>
          <w:iCs/>
          <w:noProof/>
          <w:sz w:val="18"/>
          <w:szCs w:val="24"/>
        </w:rPr>
        <w:t>Org. Lett.</w:t>
      </w:r>
      <w:r w:rsidRPr="00085620">
        <w:rPr>
          <w:rFonts w:ascii="Calibri" w:hAnsi="Calibri" w:cs="Calibri"/>
          <w:noProof/>
          <w:sz w:val="18"/>
          <w:szCs w:val="24"/>
        </w:rPr>
        <w:t xml:space="preserve"> </w:t>
      </w:r>
      <w:r w:rsidRPr="00085620">
        <w:rPr>
          <w:rFonts w:ascii="Calibri" w:hAnsi="Calibri" w:cs="Calibri"/>
          <w:b/>
          <w:bCs/>
          <w:noProof/>
          <w:sz w:val="18"/>
          <w:szCs w:val="24"/>
        </w:rPr>
        <w:t>2015</w:t>
      </w:r>
      <w:r w:rsidRPr="00085620">
        <w:rPr>
          <w:rFonts w:ascii="Calibri" w:hAnsi="Calibri" w:cs="Calibri"/>
          <w:noProof/>
          <w:sz w:val="18"/>
          <w:szCs w:val="24"/>
        </w:rPr>
        <w:t xml:space="preserve">, </w:t>
      </w:r>
      <w:r w:rsidRPr="00085620">
        <w:rPr>
          <w:rFonts w:ascii="Calibri" w:hAnsi="Calibri" w:cs="Calibri"/>
          <w:i/>
          <w:iCs/>
          <w:noProof/>
          <w:sz w:val="18"/>
          <w:szCs w:val="24"/>
        </w:rPr>
        <w:t>17</w:t>
      </w:r>
      <w:r w:rsidRPr="00085620">
        <w:rPr>
          <w:rFonts w:ascii="Calibri" w:hAnsi="Calibri" w:cs="Calibri"/>
          <w:noProof/>
          <w:sz w:val="18"/>
          <w:szCs w:val="24"/>
        </w:rPr>
        <w:t xml:space="preserve"> (23), 5780–5783. https://doi.org/10.1021/acs.orglett.5b02875.</w:t>
      </w:r>
    </w:p>
    <w:p w14:paraId="238E8D34"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(23) </w:t>
      </w:r>
      <w:r w:rsidRPr="00085620">
        <w:rPr>
          <w:rFonts w:ascii="Calibri" w:hAnsi="Calibri" w:cs="Calibri"/>
          <w:noProof/>
          <w:sz w:val="18"/>
          <w:szCs w:val="24"/>
        </w:rPr>
        <w:tab/>
        <w:t xml:space="preserve">Tredwell, M.; Preshlock, S. M.; Taylor, N. J.; Gruber, S.; Huiban, M.; Passchier, J.; Mercier, J.; Génicot, C.; Gouverneur, V. A General Copper-Mediated Nucleophilic 18 F Fluorination of Arenes. </w:t>
      </w:r>
      <w:r w:rsidRPr="00085620">
        <w:rPr>
          <w:rFonts w:ascii="Calibri" w:hAnsi="Calibri" w:cs="Calibri"/>
          <w:i/>
          <w:iCs/>
          <w:noProof/>
          <w:sz w:val="18"/>
          <w:szCs w:val="24"/>
        </w:rPr>
        <w:t>Angew. Chemie Int. Ed.</w:t>
      </w:r>
      <w:r w:rsidRPr="00085620">
        <w:rPr>
          <w:rFonts w:ascii="Calibri" w:hAnsi="Calibri" w:cs="Calibri"/>
          <w:noProof/>
          <w:sz w:val="18"/>
          <w:szCs w:val="24"/>
        </w:rPr>
        <w:t xml:space="preserve"> </w:t>
      </w:r>
      <w:r w:rsidRPr="00085620">
        <w:rPr>
          <w:rFonts w:ascii="Calibri" w:hAnsi="Calibri" w:cs="Calibri"/>
          <w:b/>
          <w:bCs/>
          <w:noProof/>
          <w:sz w:val="18"/>
          <w:szCs w:val="24"/>
        </w:rPr>
        <w:t>2014</w:t>
      </w:r>
      <w:r w:rsidRPr="00085620">
        <w:rPr>
          <w:rFonts w:ascii="Calibri" w:hAnsi="Calibri" w:cs="Calibri"/>
          <w:noProof/>
          <w:sz w:val="18"/>
          <w:szCs w:val="24"/>
        </w:rPr>
        <w:t xml:space="preserve">, </w:t>
      </w:r>
      <w:r w:rsidRPr="00085620">
        <w:rPr>
          <w:rFonts w:ascii="Calibri" w:hAnsi="Calibri" w:cs="Calibri"/>
          <w:i/>
          <w:iCs/>
          <w:noProof/>
          <w:sz w:val="18"/>
          <w:szCs w:val="24"/>
        </w:rPr>
        <w:t>53</w:t>
      </w:r>
      <w:r w:rsidRPr="00085620">
        <w:rPr>
          <w:rFonts w:ascii="Calibri" w:hAnsi="Calibri" w:cs="Calibri"/>
          <w:noProof/>
          <w:sz w:val="18"/>
          <w:szCs w:val="24"/>
        </w:rPr>
        <w:t xml:space="preserve"> (30), 7751–7755. https://doi.org/10.1002/anie.201404436.</w:t>
      </w:r>
    </w:p>
    <w:p w14:paraId="454351A9" w14:textId="4740FA54" w:rsidR="0092440B" w:rsidRPr="00085620" w:rsidRDefault="00085620" w:rsidP="0092440B">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(24) </w:t>
      </w:r>
      <w:r w:rsidRPr="00085620">
        <w:rPr>
          <w:rFonts w:ascii="Calibri" w:hAnsi="Calibri" w:cs="Calibri"/>
          <w:noProof/>
          <w:sz w:val="18"/>
          <w:szCs w:val="24"/>
        </w:rPr>
        <w:tab/>
      </w:r>
      <w:r w:rsidR="0092440B">
        <w:rPr>
          <w:rFonts w:ascii="Calibri" w:hAnsi="Calibri" w:cs="Calibri"/>
          <w:noProof/>
          <w:sz w:val="18"/>
          <w:szCs w:val="24"/>
        </w:rPr>
        <w:t xml:space="preserve">a) </w:t>
      </w:r>
      <w:r w:rsidRPr="00085620">
        <w:rPr>
          <w:rFonts w:ascii="Calibri" w:hAnsi="Calibri" w:cs="Calibri"/>
          <w:noProof/>
          <w:sz w:val="18"/>
          <w:szCs w:val="24"/>
        </w:rPr>
        <w:t xml:space="preserve">Graham, T. J. A.; Lambert, R. F.; Ploessl, K.; Kung, H. F.; Doyle, A. G. Enantioselective Radiosynthesis of Positron Emission Tomography (PET) Tracers Containing [18F]Fluorohydrins. </w:t>
      </w:r>
      <w:r w:rsidRPr="00085620">
        <w:rPr>
          <w:rFonts w:ascii="Calibri" w:hAnsi="Calibri" w:cs="Calibri"/>
          <w:i/>
          <w:iCs/>
          <w:noProof/>
          <w:sz w:val="18"/>
          <w:szCs w:val="24"/>
        </w:rPr>
        <w:t>J. Am. Chem. Soc.</w:t>
      </w:r>
      <w:r w:rsidRPr="00085620">
        <w:rPr>
          <w:rFonts w:ascii="Calibri" w:hAnsi="Calibri" w:cs="Calibri"/>
          <w:noProof/>
          <w:sz w:val="18"/>
          <w:szCs w:val="24"/>
        </w:rPr>
        <w:t xml:space="preserve"> </w:t>
      </w:r>
      <w:r w:rsidRPr="00085620">
        <w:rPr>
          <w:rFonts w:ascii="Calibri" w:hAnsi="Calibri" w:cs="Calibri"/>
          <w:b/>
          <w:bCs/>
          <w:noProof/>
          <w:sz w:val="18"/>
          <w:szCs w:val="24"/>
        </w:rPr>
        <w:t>2014</w:t>
      </w:r>
      <w:r w:rsidRPr="00085620">
        <w:rPr>
          <w:rFonts w:ascii="Calibri" w:hAnsi="Calibri" w:cs="Calibri"/>
          <w:noProof/>
          <w:sz w:val="18"/>
          <w:szCs w:val="24"/>
        </w:rPr>
        <w:t xml:space="preserve">, </w:t>
      </w:r>
      <w:r w:rsidRPr="00085620">
        <w:rPr>
          <w:rFonts w:ascii="Calibri" w:hAnsi="Calibri" w:cs="Calibri"/>
          <w:i/>
          <w:iCs/>
          <w:noProof/>
          <w:sz w:val="18"/>
          <w:szCs w:val="24"/>
        </w:rPr>
        <w:t>136</w:t>
      </w:r>
      <w:r w:rsidRPr="00085620">
        <w:rPr>
          <w:rFonts w:ascii="Calibri" w:hAnsi="Calibri" w:cs="Calibri"/>
          <w:noProof/>
          <w:sz w:val="18"/>
          <w:szCs w:val="24"/>
        </w:rPr>
        <w:t xml:space="preserve"> (14), 5291–5294. https://doi.o</w:t>
      </w:r>
      <w:r w:rsidRPr="0092440B">
        <w:rPr>
          <w:rFonts w:cstheme="minorHAnsi"/>
          <w:noProof/>
          <w:sz w:val="18"/>
          <w:szCs w:val="18"/>
        </w:rPr>
        <w:t>rg/10.1021/ja5025645.</w:t>
      </w:r>
      <w:r w:rsidR="0092440B" w:rsidRPr="0092440B">
        <w:rPr>
          <w:rFonts w:cstheme="minorHAnsi"/>
          <w:noProof/>
          <w:sz w:val="18"/>
          <w:szCs w:val="18"/>
        </w:rPr>
        <w:t xml:space="preserve"> b) Webb, </w:t>
      </w:r>
      <w:r w:rsidR="0092440B" w:rsidRPr="0092440B">
        <w:rPr>
          <w:rFonts w:cstheme="minorHAnsi"/>
          <w:sz w:val="18"/>
          <w:szCs w:val="18"/>
        </w:rPr>
        <w:t>E. W.; Park, J. B.; Cole, E. L.; Donnelly, D. J.; Bonacorsi, S.J.; Ewing, W. R.; Doyle A.G. Nucleophilic (Radio)Fluorination of Redox-Active Esters via Radical-Polar Crossover Enabled by Photoredox Catalysis</w:t>
      </w:r>
      <w:r w:rsidR="0092440B">
        <w:rPr>
          <w:rFonts w:cstheme="minorHAnsi"/>
          <w:sz w:val="18"/>
          <w:szCs w:val="18"/>
        </w:rPr>
        <w:t xml:space="preserve">. </w:t>
      </w:r>
      <w:r w:rsidR="0092440B" w:rsidRPr="00085620">
        <w:rPr>
          <w:rFonts w:ascii="Calibri" w:hAnsi="Calibri" w:cs="Calibri"/>
          <w:i/>
          <w:iCs/>
          <w:noProof/>
          <w:sz w:val="18"/>
          <w:szCs w:val="24"/>
        </w:rPr>
        <w:t>J. Am. Chem. Soc.</w:t>
      </w:r>
      <w:r w:rsidR="0092440B" w:rsidRPr="00085620">
        <w:rPr>
          <w:rFonts w:ascii="Calibri" w:hAnsi="Calibri" w:cs="Calibri"/>
          <w:noProof/>
          <w:sz w:val="18"/>
          <w:szCs w:val="24"/>
        </w:rPr>
        <w:t xml:space="preserve"> </w:t>
      </w:r>
      <w:r w:rsidR="0092440B">
        <w:rPr>
          <w:rFonts w:ascii="Calibri" w:hAnsi="Calibri" w:cs="Calibri"/>
          <w:b/>
          <w:bCs/>
          <w:noProof/>
          <w:sz w:val="18"/>
          <w:szCs w:val="24"/>
        </w:rPr>
        <w:t>2020</w:t>
      </w:r>
      <w:r w:rsidR="0092440B" w:rsidRPr="00085620">
        <w:rPr>
          <w:rFonts w:ascii="Calibri" w:hAnsi="Calibri" w:cs="Calibri"/>
          <w:noProof/>
          <w:sz w:val="18"/>
          <w:szCs w:val="24"/>
        </w:rPr>
        <w:t xml:space="preserve">, </w:t>
      </w:r>
      <w:r w:rsidR="0092440B">
        <w:rPr>
          <w:rFonts w:ascii="Calibri" w:hAnsi="Calibri" w:cs="Calibri"/>
          <w:i/>
          <w:iCs/>
          <w:noProof/>
          <w:sz w:val="18"/>
          <w:szCs w:val="24"/>
        </w:rPr>
        <w:t>142</w:t>
      </w:r>
      <w:r w:rsidR="0092440B" w:rsidRPr="00085620">
        <w:rPr>
          <w:rFonts w:ascii="Calibri" w:hAnsi="Calibri" w:cs="Calibri"/>
          <w:noProof/>
          <w:sz w:val="18"/>
          <w:szCs w:val="24"/>
        </w:rPr>
        <w:t xml:space="preserve"> (</w:t>
      </w:r>
      <w:r w:rsidR="0092440B">
        <w:rPr>
          <w:rFonts w:ascii="Calibri" w:hAnsi="Calibri" w:cs="Calibri"/>
          <w:noProof/>
          <w:sz w:val="18"/>
          <w:szCs w:val="24"/>
        </w:rPr>
        <w:t>20</w:t>
      </w:r>
      <w:r w:rsidR="0092440B" w:rsidRPr="00085620">
        <w:rPr>
          <w:rFonts w:ascii="Calibri" w:hAnsi="Calibri" w:cs="Calibri"/>
          <w:noProof/>
          <w:sz w:val="18"/>
          <w:szCs w:val="24"/>
        </w:rPr>
        <w:t xml:space="preserve">), </w:t>
      </w:r>
      <w:r w:rsidR="0092440B">
        <w:rPr>
          <w:rFonts w:ascii="Calibri" w:hAnsi="Calibri" w:cs="Calibri"/>
          <w:noProof/>
          <w:sz w:val="18"/>
          <w:szCs w:val="24"/>
        </w:rPr>
        <w:t>9493</w:t>
      </w:r>
      <w:r w:rsidR="0092440B" w:rsidRPr="00085620">
        <w:rPr>
          <w:rFonts w:ascii="Calibri" w:hAnsi="Calibri" w:cs="Calibri"/>
          <w:noProof/>
          <w:sz w:val="18"/>
          <w:szCs w:val="24"/>
        </w:rPr>
        <w:t>–</w:t>
      </w:r>
      <w:r w:rsidR="0092440B">
        <w:rPr>
          <w:rFonts w:ascii="Calibri" w:hAnsi="Calibri" w:cs="Calibri"/>
          <w:noProof/>
          <w:sz w:val="18"/>
          <w:szCs w:val="24"/>
        </w:rPr>
        <w:t>9500</w:t>
      </w:r>
      <w:r w:rsidR="0092440B" w:rsidRPr="00085620">
        <w:rPr>
          <w:rFonts w:ascii="Calibri" w:hAnsi="Calibri" w:cs="Calibri"/>
          <w:noProof/>
          <w:sz w:val="18"/>
          <w:szCs w:val="24"/>
        </w:rPr>
        <w:t>.</w:t>
      </w:r>
      <w:r w:rsidR="0092440B" w:rsidRPr="0092440B">
        <w:rPr>
          <w:rFonts w:cstheme="minorHAnsi"/>
          <w:noProof/>
          <w:sz w:val="18"/>
          <w:szCs w:val="18"/>
        </w:rPr>
        <w:t xml:space="preserve"> </w:t>
      </w:r>
      <w:r w:rsidR="0092440B" w:rsidRPr="0092440B">
        <w:rPr>
          <w:rFonts w:cstheme="minorHAnsi"/>
          <w:sz w:val="18"/>
          <w:szCs w:val="18"/>
        </w:rPr>
        <w:t>https://dx.doi.org/10.1021/jacs.0c03125</w:t>
      </w:r>
      <w:r w:rsidR="0092440B" w:rsidRPr="0092440B">
        <w:rPr>
          <w:rFonts w:cstheme="minorHAnsi"/>
          <w:noProof/>
          <w:sz w:val="18"/>
          <w:szCs w:val="18"/>
        </w:rPr>
        <w:t>.</w:t>
      </w:r>
    </w:p>
    <w:p w14:paraId="039DA0EA" w14:textId="26B98EA3" w:rsidR="0092440B" w:rsidRPr="00085620" w:rsidRDefault="00085620" w:rsidP="0092440B">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(25) </w:t>
      </w:r>
      <w:r w:rsidRPr="00085620">
        <w:rPr>
          <w:rFonts w:ascii="Calibri" w:hAnsi="Calibri" w:cs="Calibri"/>
          <w:noProof/>
          <w:sz w:val="18"/>
          <w:szCs w:val="24"/>
        </w:rPr>
        <w:tab/>
        <w:t xml:space="preserve">Buckingham, F.; Kirjavainen, A. K.; Forsback, S.; Krzyczmonik, A.; Keller, T.; Newington, I. M.; Glaser, M.; Luthra, S. K.; Solin, O.; Gouverneur, V. Organomediated Enantioselective 18 F Fluorination for PET Applications. </w:t>
      </w:r>
      <w:r w:rsidRPr="00085620">
        <w:rPr>
          <w:rFonts w:ascii="Calibri" w:hAnsi="Calibri" w:cs="Calibri"/>
          <w:i/>
          <w:iCs/>
          <w:noProof/>
          <w:sz w:val="18"/>
          <w:szCs w:val="24"/>
        </w:rPr>
        <w:t>Angew. Chemie Int. Ed.</w:t>
      </w:r>
      <w:r w:rsidRPr="00085620">
        <w:rPr>
          <w:rFonts w:ascii="Calibri" w:hAnsi="Calibri" w:cs="Calibri"/>
          <w:noProof/>
          <w:sz w:val="18"/>
          <w:szCs w:val="24"/>
        </w:rPr>
        <w:t xml:space="preserve"> </w:t>
      </w:r>
      <w:r w:rsidRPr="00085620">
        <w:rPr>
          <w:rFonts w:ascii="Calibri" w:hAnsi="Calibri" w:cs="Calibri"/>
          <w:b/>
          <w:bCs/>
          <w:noProof/>
          <w:sz w:val="18"/>
          <w:szCs w:val="24"/>
        </w:rPr>
        <w:t>2015</w:t>
      </w:r>
      <w:r w:rsidRPr="00085620">
        <w:rPr>
          <w:rFonts w:ascii="Calibri" w:hAnsi="Calibri" w:cs="Calibri"/>
          <w:noProof/>
          <w:sz w:val="18"/>
          <w:szCs w:val="24"/>
        </w:rPr>
        <w:t xml:space="preserve">, </w:t>
      </w:r>
      <w:r w:rsidRPr="00085620">
        <w:rPr>
          <w:rFonts w:ascii="Calibri" w:hAnsi="Calibri" w:cs="Calibri"/>
          <w:i/>
          <w:iCs/>
          <w:noProof/>
          <w:sz w:val="18"/>
          <w:szCs w:val="24"/>
        </w:rPr>
        <w:t>54</w:t>
      </w:r>
      <w:r w:rsidRPr="00085620">
        <w:rPr>
          <w:rFonts w:ascii="Calibri" w:hAnsi="Calibri" w:cs="Calibri"/>
          <w:noProof/>
          <w:sz w:val="18"/>
          <w:szCs w:val="24"/>
        </w:rPr>
        <w:t xml:space="preserve"> (45), 13366–13369. https://doi.org/10.1002/anie.201506035.</w:t>
      </w:r>
      <w:r w:rsidR="0092440B" w:rsidRPr="0092440B">
        <w:rPr>
          <w:rFonts w:ascii="Calibri" w:hAnsi="Calibri" w:cs="Calibri"/>
          <w:noProof/>
          <w:sz w:val="18"/>
          <w:szCs w:val="24"/>
        </w:rPr>
        <w:t xml:space="preserve"> </w:t>
      </w:r>
    </w:p>
    <w:p w14:paraId="558D2D1B" w14:textId="6D608091" w:rsidR="0092440B" w:rsidRPr="00085620" w:rsidRDefault="00085620" w:rsidP="0092440B">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(26) </w:t>
      </w:r>
      <w:r w:rsidRPr="00085620">
        <w:rPr>
          <w:rFonts w:ascii="Calibri" w:hAnsi="Calibri" w:cs="Calibri"/>
          <w:noProof/>
          <w:sz w:val="18"/>
          <w:szCs w:val="24"/>
        </w:rPr>
        <w:tab/>
        <w:t xml:space="preserve">Buckingham, F.; Gouverneur, V. Asymmetric 18F-Fluorination for Applications in Positron Emission Tomography. </w:t>
      </w:r>
      <w:r w:rsidRPr="00085620">
        <w:rPr>
          <w:rFonts w:ascii="Calibri" w:hAnsi="Calibri" w:cs="Calibri"/>
          <w:i/>
          <w:iCs/>
          <w:noProof/>
          <w:sz w:val="18"/>
          <w:szCs w:val="24"/>
        </w:rPr>
        <w:t>Chem. Sci.</w:t>
      </w:r>
      <w:r w:rsidRPr="00085620">
        <w:rPr>
          <w:rFonts w:ascii="Calibri" w:hAnsi="Calibri" w:cs="Calibri"/>
          <w:noProof/>
          <w:sz w:val="18"/>
          <w:szCs w:val="24"/>
        </w:rPr>
        <w:t xml:space="preserve"> </w:t>
      </w:r>
      <w:r w:rsidRPr="00085620">
        <w:rPr>
          <w:rFonts w:ascii="Calibri" w:hAnsi="Calibri" w:cs="Calibri"/>
          <w:b/>
          <w:bCs/>
          <w:noProof/>
          <w:sz w:val="18"/>
          <w:szCs w:val="24"/>
        </w:rPr>
        <w:t>2016</w:t>
      </w:r>
      <w:r w:rsidRPr="00085620">
        <w:rPr>
          <w:rFonts w:ascii="Calibri" w:hAnsi="Calibri" w:cs="Calibri"/>
          <w:noProof/>
          <w:sz w:val="18"/>
          <w:szCs w:val="24"/>
        </w:rPr>
        <w:t xml:space="preserve">, </w:t>
      </w:r>
      <w:r w:rsidRPr="00085620">
        <w:rPr>
          <w:rFonts w:ascii="Calibri" w:hAnsi="Calibri" w:cs="Calibri"/>
          <w:i/>
          <w:iCs/>
          <w:noProof/>
          <w:sz w:val="18"/>
          <w:szCs w:val="24"/>
        </w:rPr>
        <w:t>7</w:t>
      </w:r>
      <w:r w:rsidRPr="00085620">
        <w:rPr>
          <w:rFonts w:ascii="Calibri" w:hAnsi="Calibri" w:cs="Calibri"/>
          <w:noProof/>
          <w:sz w:val="18"/>
          <w:szCs w:val="24"/>
        </w:rPr>
        <w:t xml:space="preserve"> (3), 1645–1652. https://doi.org/10.1039/C5SC04229A.</w:t>
      </w:r>
      <w:r w:rsidR="0092440B" w:rsidRPr="0092440B">
        <w:rPr>
          <w:rFonts w:ascii="Calibri" w:hAnsi="Calibri" w:cs="Calibri"/>
          <w:noProof/>
          <w:sz w:val="18"/>
          <w:szCs w:val="24"/>
        </w:rPr>
        <w:t xml:space="preserve"> </w:t>
      </w:r>
    </w:p>
    <w:p w14:paraId="57558626" w14:textId="2A31296C" w:rsidR="00085620" w:rsidRPr="00085620" w:rsidRDefault="00085620" w:rsidP="0092440B">
      <w:pPr>
        <w:autoSpaceDE w:val="0"/>
        <w:autoSpaceDN w:val="0"/>
        <w:adjustRightInd w:val="0"/>
        <w:spacing w:after="0" w:line="240" w:lineRule="auto"/>
        <w:ind w:left="709" w:hanging="709"/>
        <w:rPr>
          <w:rFonts w:ascii="Calibri" w:hAnsi="Calibri" w:cs="Calibri"/>
          <w:noProof/>
          <w:sz w:val="18"/>
          <w:szCs w:val="24"/>
        </w:rPr>
      </w:pPr>
      <w:r w:rsidRPr="00085620">
        <w:rPr>
          <w:rFonts w:ascii="Calibri" w:hAnsi="Calibri" w:cs="Calibri"/>
          <w:noProof/>
          <w:sz w:val="18"/>
          <w:szCs w:val="24"/>
        </w:rPr>
        <w:t xml:space="preserve">(27) </w:t>
      </w:r>
      <w:r w:rsidRPr="00085620">
        <w:rPr>
          <w:rFonts w:ascii="Calibri" w:hAnsi="Calibri" w:cs="Calibri"/>
          <w:noProof/>
          <w:sz w:val="18"/>
          <w:szCs w:val="24"/>
        </w:rPr>
        <w:tab/>
        <w:t xml:space="preserve">Nodwell, M. B.; Yang, H.; Čolović, M.; Yuan, Z.; Merkens, H.; Martin, R. E.; Bénard, F.; Schaffer, P.; Britton, R. 18F-Fluorination of Unactivated C–H Bonds in Branched Aliphatic Amino Acids: Direct Synthesis of Oncological Positron Emission Tomography Imaging Agents. </w:t>
      </w:r>
      <w:r w:rsidRPr="00085620">
        <w:rPr>
          <w:rFonts w:ascii="Calibri" w:hAnsi="Calibri" w:cs="Calibri"/>
          <w:i/>
          <w:iCs/>
          <w:noProof/>
          <w:sz w:val="18"/>
          <w:szCs w:val="24"/>
        </w:rPr>
        <w:t>J. Am. Chem. Soc.</w:t>
      </w:r>
      <w:r w:rsidRPr="00085620">
        <w:rPr>
          <w:rFonts w:ascii="Calibri" w:hAnsi="Calibri" w:cs="Calibri"/>
          <w:noProof/>
          <w:sz w:val="18"/>
          <w:szCs w:val="24"/>
        </w:rPr>
        <w:t xml:space="preserve"> </w:t>
      </w:r>
      <w:r w:rsidRPr="00085620">
        <w:rPr>
          <w:rFonts w:ascii="Calibri" w:hAnsi="Calibri" w:cs="Calibri"/>
          <w:b/>
          <w:bCs/>
          <w:noProof/>
          <w:sz w:val="18"/>
          <w:szCs w:val="24"/>
        </w:rPr>
        <w:t>2017</w:t>
      </w:r>
      <w:r w:rsidRPr="00085620">
        <w:rPr>
          <w:rFonts w:ascii="Calibri" w:hAnsi="Calibri" w:cs="Calibri"/>
          <w:noProof/>
          <w:sz w:val="18"/>
          <w:szCs w:val="24"/>
        </w:rPr>
        <w:t xml:space="preserve">, </w:t>
      </w:r>
      <w:r w:rsidRPr="00085620">
        <w:rPr>
          <w:rFonts w:ascii="Calibri" w:hAnsi="Calibri" w:cs="Calibri"/>
          <w:i/>
          <w:iCs/>
          <w:noProof/>
          <w:sz w:val="18"/>
          <w:szCs w:val="24"/>
        </w:rPr>
        <w:t>139</w:t>
      </w:r>
      <w:r w:rsidRPr="00085620">
        <w:rPr>
          <w:rFonts w:ascii="Calibri" w:hAnsi="Calibri" w:cs="Calibri"/>
          <w:noProof/>
          <w:sz w:val="18"/>
          <w:szCs w:val="24"/>
        </w:rPr>
        <w:t xml:space="preserve"> (10), 3595–3598. https://doi.org/10.1021/jacs.6b11533.</w:t>
      </w:r>
    </w:p>
    <w:p w14:paraId="07084F14"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(28) </w:t>
      </w:r>
      <w:r w:rsidRPr="00085620">
        <w:rPr>
          <w:rFonts w:ascii="Calibri" w:hAnsi="Calibri" w:cs="Calibri"/>
          <w:noProof/>
          <w:sz w:val="18"/>
          <w:szCs w:val="24"/>
        </w:rPr>
        <w:tab/>
        <w:t xml:space="preserve">Huang, X.; Liu, W.; Ren, H.; Neelamegam, R.; Hooker, J. M.; Groves, J. T. Late Stage Benzylic C–H Fluorination with [ 18 F]Fluoride for PET Imaging. </w:t>
      </w:r>
      <w:r w:rsidRPr="00085620">
        <w:rPr>
          <w:rFonts w:ascii="Calibri" w:hAnsi="Calibri" w:cs="Calibri"/>
          <w:i/>
          <w:iCs/>
          <w:noProof/>
          <w:sz w:val="18"/>
          <w:szCs w:val="24"/>
        </w:rPr>
        <w:t>J. Am. Chem. Soc.</w:t>
      </w:r>
      <w:r w:rsidRPr="00085620">
        <w:rPr>
          <w:rFonts w:ascii="Calibri" w:hAnsi="Calibri" w:cs="Calibri"/>
          <w:noProof/>
          <w:sz w:val="18"/>
          <w:szCs w:val="24"/>
        </w:rPr>
        <w:t xml:space="preserve"> </w:t>
      </w:r>
      <w:r w:rsidRPr="00085620">
        <w:rPr>
          <w:rFonts w:ascii="Calibri" w:hAnsi="Calibri" w:cs="Calibri"/>
          <w:b/>
          <w:bCs/>
          <w:noProof/>
          <w:sz w:val="18"/>
          <w:szCs w:val="24"/>
        </w:rPr>
        <w:t>2014</w:t>
      </w:r>
      <w:r w:rsidRPr="00085620">
        <w:rPr>
          <w:rFonts w:ascii="Calibri" w:hAnsi="Calibri" w:cs="Calibri"/>
          <w:noProof/>
          <w:sz w:val="18"/>
          <w:szCs w:val="24"/>
        </w:rPr>
        <w:t xml:space="preserve">, </w:t>
      </w:r>
      <w:r w:rsidRPr="00085620">
        <w:rPr>
          <w:rFonts w:ascii="Calibri" w:hAnsi="Calibri" w:cs="Calibri"/>
          <w:i/>
          <w:iCs/>
          <w:noProof/>
          <w:sz w:val="18"/>
          <w:szCs w:val="24"/>
        </w:rPr>
        <w:t>136</w:t>
      </w:r>
      <w:r w:rsidRPr="00085620">
        <w:rPr>
          <w:rFonts w:ascii="Calibri" w:hAnsi="Calibri" w:cs="Calibri"/>
          <w:noProof/>
          <w:sz w:val="18"/>
          <w:szCs w:val="24"/>
        </w:rPr>
        <w:t xml:space="preserve"> (19), 6842–6845. https://doi.org/10.1021/ja5039819.</w:t>
      </w:r>
    </w:p>
    <w:p w14:paraId="64CE5BA0"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(29) </w:t>
      </w:r>
      <w:r w:rsidRPr="00085620">
        <w:rPr>
          <w:rFonts w:ascii="Calibri" w:hAnsi="Calibri" w:cs="Calibri"/>
          <w:noProof/>
          <w:sz w:val="18"/>
          <w:szCs w:val="24"/>
        </w:rPr>
        <w:tab/>
        <w:t xml:space="preserve">Liu, W.; Groves, J. T. Manganese Catalyzed C–H Halogenation. </w:t>
      </w:r>
      <w:r w:rsidRPr="00085620">
        <w:rPr>
          <w:rFonts w:ascii="Calibri" w:hAnsi="Calibri" w:cs="Calibri"/>
          <w:i/>
          <w:iCs/>
          <w:noProof/>
          <w:sz w:val="18"/>
          <w:szCs w:val="24"/>
        </w:rPr>
        <w:t>Acc. Chem. Res.</w:t>
      </w:r>
      <w:r w:rsidRPr="00085620">
        <w:rPr>
          <w:rFonts w:ascii="Calibri" w:hAnsi="Calibri" w:cs="Calibri"/>
          <w:noProof/>
          <w:sz w:val="18"/>
          <w:szCs w:val="24"/>
        </w:rPr>
        <w:t xml:space="preserve"> </w:t>
      </w:r>
      <w:r w:rsidRPr="00085620">
        <w:rPr>
          <w:rFonts w:ascii="Calibri" w:hAnsi="Calibri" w:cs="Calibri"/>
          <w:b/>
          <w:bCs/>
          <w:noProof/>
          <w:sz w:val="18"/>
          <w:szCs w:val="24"/>
        </w:rPr>
        <w:t>2015</w:t>
      </w:r>
      <w:r w:rsidRPr="00085620">
        <w:rPr>
          <w:rFonts w:ascii="Calibri" w:hAnsi="Calibri" w:cs="Calibri"/>
          <w:noProof/>
          <w:sz w:val="18"/>
          <w:szCs w:val="24"/>
        </w:rPr>
        <w:t xml:space="preserve">, </w:t>
      </w:r>
      <w:r w:rsidRPr="00085620">
        <w:rPr>
          <w:rFonts w:ascii="Calibri" w:hAnsi="Calibri" w:cs="Calibri"/>
          <w:i/>
          <w:iCs/>
          <w:noProof/>
          <w:sz w:val="18"/>
          <w:szCs w:val="24"/>
        </w:rPr>
        <w:t>48</w:t>
      </w:r>
      <w:r w:rsidRPr="00085620">
        <w:rPr>
          <w:rFonts w:ascii="Calibri" w:hAnsi="Calibri" w:cs="Calibri"/>
          <w:noProof/>
          <w:sz w:val="18"/>
          <w:szCs w:val="24"/>
        </w:rPr>
        <w:t xml:space="preserve"> (6), 1727–1735. https://doi.org/10.1021/acs.accounts.5b00062.</w:t>
      </w:r>
    </w:p>
    <w:p w14:paraId="5B9DED27"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(30) </w:t>
      </w:r>
      <w:r w:rsidRPr="00085620">
        <w:rPr>
          <w:rFonts w:ascii="Calibri" w:hAnsi="Calibri" w:cs="Calibri"/>
          <w:noProof/>
          <w:sz w:val="18"/>
          <w:szCs w:val="24"/>
        </w:rPr>
        <w:tab/>
        <w:t xml:space="preserve">Liu, W.; Huang, X.; Placzek, M. S.; Krska, S. W.; McQuade, P.; Hooker, J. M.; Groves, J. T. Site-Selective 18F Fluorination of Unactivated C-H Bonds Mediated by a Manganese Porphyrin. </w:t>
      </w:r>
      <w:r w:rsidRPr="00085620">
        <w:rPr>
          <w:rFonts w:ascii="Calibri" w:hAnsi="Calibri" w:cs="Calibri"/>
          <w:i/>
          <w:iCs/>
          <w:noProof/>
          <w:sz w:val="18"/>
          <w:szCs w:val="24"/>
        </w:rPr>
        <w:t>Chem. Sci.</w:t>
      </w:r>
      <w:r w:rsidRPr="00085620">
        <w:rPr>
          <w:rFonts w:ascii="Calibri" w:hAnsi="Calibri" w:cs="Calibri"/>
          <w:noProof/>
          <w:sz w:val="18"/>
          <w:szCs w:val="24"/>
        </w:rPr>
        <w:t xml:space="preserve"> </w:t>
      </w:r>
      <w:r w:rsidRPr="00085620">
        <w:rPr>
          <w:rFonts w:ascii="Calibri" w:hAnsi="Calibri" w:cs="Calibri"/>
          <w:b/>
          <w:bCs/>
          <w:noProof/>
          <w:sz w:val="18"/>
          <w:szCs w:val="24"/>
        </w:rPr>
        <w:t>2018</w:t>
      </w:r>
      <w:r w:rsidRPr="00085620">
        <w:rPr>
          <w:rFonts w:ascii="Calibri" w:hAnsi="Calibri" w:cs="Calibri"/>
          <w:noProof/>
          <w:sz w:val="18"/>
          <w:szCs w:val="24"/>
        </w:rPr>
        <w:t>. https://doi.org/10.1039/C7SC04545J.</w:t>
      </w:r>
    </w:p>
    <w:p w14:paraId="549FDDD0"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(31) </w:t>
      </w:r>
      <w:r w:rsidRPr="00085620">
        <w:rPr>
          <w:rFonts w:ascii="Calibri" w:hAnsi="Calibri" w:cs="Calibri"/>
          <w:noProof/>
          <w:sz w:val="18"/>
          <w:szCs w:val="24"/>
        </w:rPr>
        <w:tab/>
        <w:t xml:space="preserve">Carroll, L.; Evans, H. L.; Spivey, A. C.; Aboagye, E. O. Mn–Salen Catalysed Benzylic C–H Activation for the Synthesis of Aryl [ 18 F]CF 3 -Containing PET Probes. </w:t>
      </w:r>
      <w:r w:rsidRPr="00085620">
        <w:rPr>
          <w:rFonts w:ascii="Calibri" w:hAnsi="Calibri" w:cs="Calibri"/>
          <w:i/>
          <w:iCs/>
          <w:noProof/>
          <w:sz w:val="18"/>
          <w:szCs w:val="24"/>
        </w:rPr>
        <w:t>Chem. Commun.</w:t>
      </w:r>
      <w:r w:rsidRPr="00085620">
        <w:rPr>
          <w:rFonts w:ascii="Calibri" w:hAnsi="Calibri" w:cs="Calibri"/>
          <w:noProof/>
          <w:sz w:val="18"/>
          <w:szCs w:val="24"/>
        </w:rPr>
        <w:t xml:space="preserve"> </w:t>
      </w:r>
      <w:r w:rsidRPr="00085620">
        <w:rPr>
          <w:rFonts w:ascii="Calibri" w:hAnsi="Calibri" w:cs="Calibri"/>
          <w:b/>
          <w:bCs/>
          <w:noProof/>
          <w:sz w:val="18"/>
          <w:szCs w:val="24"/>
        </w:rPr>
        <w:t>2015</w:t>
      </w:r>
      <w:r w:rsidRPr="00085620">
        <w:rPr>
          <w:rFonts w:ascii="Calibri" w:hAnsi="Calibri" w:cs="Calibri"/>
          <w:noProof/>
          <w:sz w:val="18"/>
          <w:szCs w:val="24"/>
        </w:rPr>
        <w:t xml:space="preserve">, </w:t>
      </w:r>
      <w:r w:rsidRPr="00085620">
        <w:rPr>
          <w:rFonts w:ascii="Calibri" w:hAnsi="Calibri" w:cs="Calibri"/>
          <w:i/>
          <w:iCs/>
          <w:noProof/>
          <w:sz w:val="18"/>
          <w:szCs w:val="24"/>
        </w:rPr>
        <w:t>51</w:t>
      </w:r>
      <w:r w:rsidRPr="00085620">
        <w:rPr>
          <w:rFonts w:ascii="Calibri" w:hAnsi="Calibri" w:cs="Calibri"/>
          <w:noProof/>
          <w:sz w:val="18"/>
          <w:szCs w:val="24"/>
        </w:rPr>
        <w:t xml:space="preserve"> (40), 8439–8441. https://doi.org/10.1039/C4CC05762G.</w:t>
      </w:r>
    </w:p>
    <w:p w14:paraId="140D5CF1"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(32) </w:t>
      </w:r>
      <w:r w:rsidRPr="00085620">
        <w:rPr>
          <w:rFonts w:ascii="Calibri" w:hAnsi="Calibri" w:cs="Calibri"/>
          <w:noProof/>
          <w:sz w:val="18"/>
          <w:szCs w:val="24"/>
        </w:rPr>
        <w:tab/>
        <w:t xml:space="preserve">Bume, D. D.; Harry, S. A.; Lectka, T.; Pitts, C. R. Catalyzed and Promoted Aliphatic Fluorination. </w:t>
      </w:r>
      <w:r w:rsidRPr="00085620">
        <w:rPr>
          <w:rFonts w:ascii="Calibri" w:hAnsi="Calibri" w:cs="Calibri"/>
          <w:i/>
          <w:iCs/>
          <w:noProof/>
          <w:sz w:val="18"/>
          <w:szCs w:val="24"/>
        </w:rPr>
        <w:t>J. Org. Chem.</w:t>
      </w:r>
      <w:r w:rsidRPr="00085620">
        <w:rPr>
          <w:rFonts w:ascii="Calibri" w:hAnsi="Calibri" w:cs="Calibri"/>
          <w:noProof/>
          <w:sz w:val="18"/>
          <w:szCs w:val="24"/>
        </w:rPr>
        <w:t xml:space="preserve"> </w:t>
      </w:r>
      <w:r w:rsidRPr="00085620">
        <w:rPr>
          <w:rFonts w:ascii="Calibri" w:hAnsi="Calibri" w:cs="Calibri"/>
          <w:b/>
          <w:bCs/>
          <w:noProof/>
          <w:sz w:val="18"/>
          <w:szCs w:val="24"/>
        </w:rPr>
        <w:t>2018</w:t>
      </w:r>
      <w:r w:rsidRPr="00085620">
        <w:rPr>
          <w:rFonts w:ascii="Calibri" w:hAnsi="Calibri" w:cs="Calibri"/>
          <w:noProof/>
          <w:sz w:val="18"/>
          <w:szCs w:val="24"/>
        </w:rPr>
        <w:t xml:space="preserve">, </w:t>
      </w:r>
      <w:r w:rsidRPr="00085620">
        <w:rPr>
          <w:rFonts w:ascii="Calibri" w:hAnsi="Calibri" w:cs="Calibri"/>
          <w:i/>
          <w:iCs/>
          <w:noProof/>
          <w:sz w:val="18"/>
          <w:szCs w:val="24"/>
        </w:rPr>
        <w:t>83</w:t>
      </w:r>
      <w:r w:rsidRPr="00085620">
        <w:rPr>
          <w:rFonts w:ascii="Calibri" w:hAnsi="Calibri" w:cs="Calibri"/>
          <w:noProof/>
          <w:sz w:val="18"/>
          <w:szCs w:val="24"/>
        </w:rPr>
        <w:t xml:space="preserve"> (16), 8803–8814. https://doi.org/10.1021/acs.joc.8b00982.</w:t>
      </w:r>
    </w:p>
    <w:p w14:paraId="5FB33E00"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(33) </w:t>
      </w:r>
      <w:r w:rsidRPr="00085620">
        <w:rPr>
          <w:rFonts w:ascii="Calibri" w:hAnsi="Calibri" w:cs="Calibri"/>
          <w:noProof/>
          <w:sz w:val="18"/>
          <w:szCs w:val="24"/>
        </w:rPr>
        <w:tab/>
        <w:t xml:space="preserve">Groves, J. T.; Stern, M. K. Synthesis, Characterization, and Reactivity of Oxomanganese(IV) Porphyrin Complexes. </w:t>
      </w:r>
      <w:r w:rsidRPr="00085620">
        <w:rPr>
          <w:rFonts w:ascii="Calibri" w:hAnsi="Calibri" w:cs="Calibri"/>
          <w:i/>
          <w:iCs/>
          <w:noProof/>
          <w:sz w:val="18"/>
          <w:szCs w:val="24"/>
        </w:rPr>
        <w:t>J. Am. Chem. Soc.</w:t>
      </w:r>
      <w:r w:rsidRPr="00085620">
        <w:rPr>
          <w:rFonts w:ascii="Calibri" w:hAnsi="Calibri" w:cs="Calibri"/>
          <w:noProof/>
          <w:sz w:val="18"/>
          <w:szCs w:val="24"/>
        </w:rPr>
        <w:t xml:space="preserve"> </w:t>
      </w:r>
      <w:r w:rsidRPr="00085620">
        <w:rPr>
          <w:rFonts w:ascii="Calibri" w:hAnsi="Calibri" w:cs="Calibri"/>
          <w:b/>
          <w:bCs/>
          <w:noProof/>
          <w:sz w:val="18"/>
          <w:szCs w:val="24"/>
        </w:rPr>
        <w:t>1988</w:t>
      </w:r>
      <w:r w:rsidRPr="00085620">
        <w:rPr>
          <w:rFonts w:ascii="Calibri" w:hAnsi="Calibri" w:cs="Calibri"/>
          <w:noProof/>
          <w:sz w:val="18"/>
          <w:szCs w:val="24"/>
        </w:rPr>
        <w:t xml:space="preserve">, </w:t>
      </w:r>
      <w:r w:rsidRPr="00085620">
        <w:rPr>
          <w:rFonts w:ascii="Calibri" w:hAnsi="Calibri" w:cs="Calibri"/>
          <w:i/>
          <w:iCs/>
          <w:noProof/>
          <w:sz w:val="18"/>
          <w:szCs w:val="24"/>
        </w:rPr>
        <w:t>110</w:t>
      </w:r>
      <w:r w:rsidRPr="00085620">
        <w:rPr>
          <w:rFonts w:ascii="Calibri" w:hAnsi="Calibri" w:cs="Calibri"/>
          <w:noProof/>
          <w:sz w:val="18"/>
          <w:szCs w:val="24"/>
        </w:rPr>
        <w:t xml:space="preserve"> (26), 8628–8638. https://doi.org/10.1021/ja00234a009.</w:t>
      </w:r>
    </w:p>
    <w:p w14:paraId="7A5E6588"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(34) </w:t>
      </w:r>
      <w:r w:rsidRPr="00085620">
        <w:rPr>
          <w:rFonts w:ascii="Calibri" w:hAnsi="Calibri" w:cs="Calibri"/>
          <w:noProof/>
          <w:sz w:val="18"/>
          <w:szCs w:val="24"/>
        </w:rPr>
        <w:tab/>
        <w:t xml:space="preserve">Geraskin, I. M.; Pavlova, O.; Neu, H. M.; Yusubov, M. S.; Nemykin, V. N.; Zhdankin, V. V. Comparative Reactivity of Hypervalent Iodine Oxidants in Metalloporphyrin-Catalyzed Oxygenation of Hydrocarbons: Iodosylbenzene Sulfate and 2-Iodylbenzoic Acid Ester as Safe and Convenient Alternatives to Iodosylbenzene. </w:t>
      </w:r>
      <w:r w:rsidRPr="00085620">
        <w:rPr>
          <w:rFonts w:ascii="Calibri" w:hAnsi="Calibri" w:cs="Calibri"/>
          <w:i/>
          <w:iCs/>
          <w:noProof/>
          <w:sz w:val="18"/>
          <w:szCs w:val="24"/>
        </w:rPr>
        <w:t>Adv. Synth. Catal.</w:t>
      </w:r>
      <w:r w:rsidRPr="00085620">
        <w:rPr>
          <w:rFonts w:ascii="Calibri" w:hAnsi="Calibri" w:cs="Calibri"/>
          <w:noProof/>
          <w:sz w:val="18"/>
          <w:szCs w:val="24"/>
        </w:rPr>
        <w:t xml:space="preserve"> </w:t>
      </w:r>
      <w:r w:rsidRPr="00085620">
        <w:rPr>
          <w:rFonts w:ascii="Calibri" w:hAnsi="Calibri" w:cs="Calibri"/>
          <w:b/>
          <w:bCs/>
          <w:noProof/>
          <w:sz w:val="18"/>
          <w:szCs w:val="24"/>
        </w:rPr>
        <w:t>2009</w:t>
      </w:r>
      <w:r w:rsidRPr="00085620">
        <w:rPr>
          <w:rFonts w:ascii="Calibri" w:hAnsi="Calibri" w:cs="Calibri"/>
          <w:noProof/>
          <w:sz w:val="18"/>
          <w:szCs w:val="24"/>
        </w:rPr>
        <w:t xml:space="preserve">, </w:t>
      </w:r>
      <w:r w:rsidRPr="00085620">
        <w:rPr>
          <w:rFonts w:ascii="Calibri" w:hAnsi="Calibri" w:cs="Calibri"/>
          <w:i/>
          <w:iCs/>
          <w:noProof/>
          <w:sz w:val="18"/>
          <w:szCs w:val="24"/>
        </w:rPr>
        <w:t>351</w:t>
      </w:r>
      <w:r w:rsidRPr="00085620">
        <w:rPr>
          <w:rFonts w:ascii="Calibri" w:hAnsi="Calibri" w:cs="Calibri"/>
          <w:noProof/>
          <w:sz w:val="18"/>
          <w:szCs w:val="24"/>
        </w:rPr>
        <w:t xml:space="preserve"> (5), 733–737. https://doi.org/10.1002/adsc.200800784.</w:t>
      </w:r>
    </w:p>
    <w:p w14:paraId="126A02F4"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t xml:space="preserve">(35) </w:t>
      </w:r>
      <w:r w:rsidRPr="00085620">
        <w:rPr>
          <w:rFonts w:ascii="Calibri" w:hAnsi="Calibri" w:cs="Calibri"/>
          <w:noProof/>
          <w:sz w:val="18"/>
          <w:szCs w:val="24"/>
        </w:rPr>
        <w:tab/>
        <w:t xml:space="preserve">Nassar, E.; El-Farargy, A. F.; Abdelrazek, F. M. Synthesis of Some Novel Cyclooctane-Fused-Heterocycles with Anticipated Biological Activities. </w:t>
      </w:r>
      <w:r w:rsidRPr="00085620">
        <w:rPr>
          <w:rFonts w:ascii="Calibri" w:hAnsi="Calibri" w:cs="Calibri"/>
          <w:i/>
          <w:iCs/>
          <w:noProof/>
          <w:sz w:val="18"/>
          <w:szCs w:val="24"/>
        </w:rPr>
        <w:t>J. Heterocycl. Chem.</w:t>
      </w:r>
      <w:r w:rsidRPr="00085620">
        <w:rPr>
          <w:rFonts w:ascii="Calibri" w:hAnsi="Calibri" w:cs="Calibri"/>
          <w:noProof/>
          <w:sz w:val="18"/>
          <w:szCs w:val="24"/>
        </w:rPr>
        <w:t xml:space="preserve"> </w:t>
      </w:r>
      <w:r w:rsidRPr="00085620">
        <w:rPr>
          <w:rFonts w:ascii="Calibri" w:hAnsi="Calibri" w:cs="Calibri"/>
          <w:b/>
          <w:bCs/>
          <w:noProof/>
          <w:sz w:val="18"/>
          <w:szCs w:val="24"/>
        </w:rPr>
        <w:t>2015</w:t>
      </w:r>
      <w:r w:rsidRPr="00085620">
        <w:rPr>
          <w:rFonts w:ascii="Calibri" w:hAnsi="Calibri" w:cs="Calibri"/>
          <w:noProof/>
          <w:sz w:val="18"/>
          <w:szCs w:val="24"/>
        </w:rPr>
        <w:t xml:space="preserve">, </w:t>
      </w:r>
      <w:r w:rsidRPr="00085620">
        <w:rPr>
          <w:rFonts w:ascii="Calibri" w:hAnsi="Calibri" w:cs="Calibri"/>
          <w:i/>
          <w:iCs/>
          <w:noProof/>
          <w:sz w:val="18"/>
          <w:szCs w:val="24"/>
        </w:rPr>
        <w:t>52</w:t>
      </w:r>
      <w:r w:rsidRPr="00085620">
        <w:rPr>
          <w:rFonts w:ascii="Calibri" w:hAnsi="Calibri" w:cs="Calibri"/>
          <w:noProof/>
          <w:sz w:val="18"/>
          <w:szCs w:val="24"/>
        </w:rPr>
        <w:t xml:space="preserve"> (5), 1395–1399. https://doi.org/10.1002/jhet.2246.</w:t>
      </w:r>
    </w:p>
    <w:p w14:paraId="07FFF787" w14:textId="77777777" w:rsidR="00085620" w:rsidRPr="00085620" w:rsidRDefault="00085620" w:rsidP="00085620">
      <w:pPr>
        <w:widowControl w:val="0"/>
        <w:autoSpaceDE w:val="0"/>
        <w:autoSpaceDN w:val="0"/>
        <w:adjustRightInd w:val="0"/>
        <w:spacing w:before="40" w:after="0" w:line="240" w:lineRule="auto"/>
        <w:ind w:left="640" w:hanging="640"/>
        <w:rPr>
          <w:rFonts w:ascii="Calibri" w:hAnsi="Calibri" w:cs="Calibri"/>
          <w:noProof/>
          <w:sz w:val="18"/>
          <w:szCs w:val="24"/>
        </w:rPr>
      </w:pPr>
      <w:r w:rsidRPr="00085620">
        <w:rPr>
          <w:rFonts w:ascii="Calibri" w:hAnsi="Calibri" w:cs="Calibri"/>
          <w:noProof/>
          <w:sz w:val="18"/>
          <w:szCs w:val="24"/>
        </w:rPr>
        <w:lastRenderedPageBreak/>
        <w:t xml:space="preserve">(36) </w:t>
      </w:r>
      <w:r w:rsidRPr="00085620">
        <w:rPr>
          <w:rFonts w:ascii="Calibri" w:hAnsi="Calibri" w:cs="Calibri"/>
          <w:noProof/>
          <w:sz w:val="18"/>
          <w:szCs w:val="24"/>
        </w:rPr>
        <w:tab/>
        <w:t xml:space="preserve">Larson, S. M.; Morris, M.; Gunther, I.; Beattie, B.; Humm, J. L.; Akhurst, T. A.; Finn, R. D.; Erdi, Y.; Pentlow, K.; Dyke, J.; et al. Tumor Localization of 16{beta}-18F-Fluoro-5{alpha}-Dihydrotestosterone Versus 18F-FDG in Patients with Progressive, Metastatic Prostate Cancer. </w:t>
      </w:r>
      <w:r w:rsidRPr="00085620">
        <w:rPr>
          <w:rFonts w:ascii="Calibri" w:hAnsi="Calibri" w:cs="Calibri"/>
          <w:i/>
          <w:iCs/>
          <w:noProof/>
          <w:sz w:val="18"/>
          <w:szCs w:val="24"/>
        </w:rPr>
        <w:t>J. Nucl. Med.</w:t>
      </w:r>
      <w:r w:rsidRPr="00085620">
        <w:rPr>
          <w:rFonts w:ascii="Calibri" w:hAnsi="Calibri" w:cs="Calibri"/>
          <w:noProof/>
          <w:sz w:val="18"/>
          <w:szCs w:val="24"/>
        </w:rPr>
        <w:t xml:space="preserve"> </w:t>
      </w:r>
      <w:r w:rsidRPr="00085620">
        <w:rPr>
          <w:rFonts w:ascii="Calibri" w:hAnsi="Calibri" w:cs="Calibri"/>
          <w:b/>
          <w:bCs/>
          <w:noProof/>
          <w:sz w:val="18"/>
          <w:szCs w:val="24"/>
        </w:rPr>
        <w:t>2004</w:t>
      </w:r>
      <w:r w:rsidRPr="00085620">
        <w:rPr>
          <w:rFonts w:ascii="Calibri" w:hAnsi="Calibri" w:cs="Calibri"/>
          <w:noProof/>
          <w:sz w:val="18"/>
          <w:szCs w:val="24"/>
        </w:rPr>
        <w:t xml:space="preserve">, </w:t>
      </w:r>
      <w:r w:rsidRPr="00085620">
        <w:rPr>
          <w:rFonts w:ascii="Calibri" w:hAnsi="Calibri" w:cs="Calibri"/>
          <w:i/>
          <w:iCs/>
          <w:noProof/>
          <w:sz w:val="18"/>
          <w:szCs w:val="24"/>
        </w:rPr>
        <w:t>45</w:t>
      </w:r>
      <w:r w:rsidRPr="00085620">
        <w:rPr>
          <w:rFonts w:ascii="Calibri" w:hAnsi="Calibri" w:cs="Calibri"/>
          <w:noProof/>
          <w:sz w:val="18"/>
          <w:szCs w:val="24"/>
        </w:rPr>
        <w:t xml:space="preserve"> (3), 366–373.</w:t>
      </w:r>
    </w:p>
    <w:p w14:paraId="088DAF06" w14:textId="35331059" w:rsidR="0044116F" w:rsidRDefault="00085620" w:rsidP="00085620">
      <w:pPr>
        <w:widowControl w:val="0"/>
        <w:autoSpaceDE w:val="0"/>
        <w:autoSpaceDN w:val="0"/>
        <w:adjustRightInd w:val="0"/>
        <w:spacing w:before="40" w:after="0" w:line="240" w:lineRule="auto"/>
        <w:ind w:left="640" w:hanging="640"/>
      </w:pPr>
      <w:r w:rsidRPr="00085620">
        <w:rPr>
          <w:rFonts w:ascii="Calibri" w:hAnsi="Calibri" w:cs="Calibri"/>
          <w:noProof/>
          <w:sz w:val="18"/>
          <w:szCs w:val="24"/>
        </w:rPr>
        <w:t xml:space="preserve">(37) </w:t>
      </w:r>
      <w:r w:rsidRPr="00085620">
        <w:rPr>
          <w:rFonts w:ascii="Calibri" w:hAnsi="Calibri" w:cs="Calibri"/>
          <w:noProof/>
          <w:sz w:val="18"/>
          <w:szCs w:val="24"/>
        </w:rPr>
        <w:tab/>
        <w:t xml:space="preserve">Lazari, M.; Lyashchenko, S. K.; Burnazi, E. M.; Lewis, J. S.; Michael van Dam, R.; Murphy, J. M. Fully-Automated Synthesis of 16β-18F-Fluoro-5α-Dihydrotestosterone (FDHT) on the ELIXYS Radiosynthesizer. </w:t>
      </w:r>
      <w:r w:rsidRPr="00085620">
        <w:rPr>
          <w:rFonts w:ascii="Calibri" w:hAnsi="Calibri" w:cs="Calibri"/>
          <w:i/>
          <w:iCs/>
          <w:noProof/>
          <w:sz w:val="18"/>
          <w:szCs w:val="24"/>
        </w:rPr>
        <w:t>Appl. Radiat. Isot.</w:t>
      </w:r>
      <w:r w:rsidRPr="00085620">
        <w:rPr>
          <w:rFonts w:ascii="Calibri" w:hAnsi="Calibri" w:cs="Calibri"/>
          <w:noProof/>
          <w:sz w:val="18"/>
          <w:szCs w:val="24"/>
        </w:rPr>
        <w:t xml:space="preserve"> </w:t>
      </w:r>
      <w:r w:rsidRPr="00085620">
        <w:rPr>
          <w:rFonts w:ascii="Calibri" w:hAnsi="Calibri" w:cs="Calibri"/>
          <w:b/>
          <w:bCs/>
          <w:noProof/>
          <w:sz w:val="18"/>
          <w:szCs w:val="24"/>
        </w:rPr>
        <w:t>2015</w:t>
      </w:r>
      <w:r w:rsidRPr="00085620">
        <w:rPr>
          <w:rFonts w:ascii="Calibri" w:hAnsi="Calibri" w:cs="Calibri"/>
          <w:noProof/>
          <w:sz w:val="18"/>
          <w:szCs w:val="24"/>
        </w:rPr>
        <w:t xml:space="preserve">, </w:t>
      </w:r>
      <w:r w:rsidRPr="00085620">
        <w:rPr>
          <w:rFonts w:ascii="Calibri" w:hAnsi="Calibri" w:cs="Calibri"/>
          <w:i/>
          <w:iCs/>
          <w:noProof/>
          <w:sz w:val="18"/>
          <w:szCs w:val="24"/>
        </w:rPr>
        <w:t>103</w:t>
      </w:r>
      <w:r w:rsidRPr="00085620">
        <w:rPr>
          <w:rFonts w:ascii="Calibri" w:hAnsi="Calibri" w:cs="Calibri"/>
          <w:noProof/>
          <w:sz w:val="18"/>
          <w:szCs w:val="24"/>
        </w:rPr>
        <w:t xml:space="preserve"> (Supplement C), 9–14. https://doi.org/https://doi.org/10.1016/j.apradiso.2015.05.010.</w:t>
      </w:r>
      <w:r w:rsidR="0044116F" w:rsidRPr="00741E9B">
        <w:rPr>
          <w:sz w:val="18"/>
          <w:szCs w:val="18"/>
        </w:rPr>
        <w:fldChar w:fldCharType="end"/>
      </w:r>
    </w:p>
    <w:sectPr w:rsidR="0044116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147A8" w14:textId="77777777" w:rsidR="00297FC9" w:rsidRDefault="00297FC9" w:rsidP="001C1BF5">
      <w:pPr>
        <w:spacing w:after="0" w:line="240" w:lineRule="auto"/>
      </w:pPr>
      <w:r>
        <w:separator/>
      </w:r>
    </w:p>
  </w:endnote>
  <w:endnote w:type="continuationSeparator" w:id="0">
    <w:p w14:paraId="46C4CD61" w14:textId="77777777" w:rsidR="00297FC9" w:rsidRDefault="00297FC9" w:rsidP="001C1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214F7" w14:textId="77777777" w:rsidR="00297FC9" w:rsidRDefault="00297FC9" w:rsidP="001C1BF5">
      <w:pPr>
        <w:spacing w:after="0" w:line="240" w:lineRule="auto"/>
      </w:pPr>
      <w:r>
        <w:separator/>
      </w:r>
    </w:p>
  </w:footnote>
  <w:footnote w:type="continuationSeparator" w:id="0">
    <w:p w14:paraId="3126CBA6" w14:textId="77777777" w:rsidR="00297FC9" w:rsidRDefault="00297FC9" w:rsidP="001C1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2B0EBB"/>
    <w:multiLevelType w:val="hybridMultilevel"/>
    <w:tmpl w:val="AAD643F4"/>
    <w:lvl w:ilvl="0" w:tplc="54A6E152">
      <w:start w:val="1"/>
      <w:numFmt w:val="lowerLetter"/>
      <w:pStyle w:val="RSCF01FootnoteAuthorAddress"/>
      <w:lvlText w:val="%1."/>
      <w:lvlJc w:val="left"/>
      <w:pPr>
        <w:ind w:left="360" w:hanging="360"/>
      </w:pPr>
      <w:rPr>
        <w:rFonts w:ascii="Calibri" w:hAnsi="Calibri" w:hint="default"/>
        <w:b w:val="0"/>
        <w:i/>
        <w:vertAlign w:val="superscrip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6F"/>
    <w:rsid w:val="00021746"/>
    <w:rsid w:val="00035E11"/>
    <w:rsid w:val="00085620"/>
    <w:rsid w:val="000C3C52"/>
    <w:rsid w:val="00125871"/>
    <w:rsid w:val="00132B43"/>
    <w:rsid w:val="00181A41"/>
    <w:rsid w:val="001A77D5"/>
    <w:rsid w:val="001B1E7F"/>
    <w:rsid w:val="001C1BF5"/>
    <w:rsid w:val="00205E71"/>
    <w:rsid w:val="002233E3"/>
    <w:rsid w:val="00226175"/>
    <w:rsid w:val="00232AA8"/>
    <w:rsid w:val="00240C78"/>
    <w:rsid w:val="00243FF4"/>
    <w:rsid w:val="002708E4"/>
    <w:rsid w:val="00297FC9"/>
    <w:rsid w:val="002C6CB3"/>
    <w:rsid w:val="002D0A23"/>
    <w:rsid w:val="002D6F6D"/>
    <w:rsid w:val="00304B0A"/>
    <w:rsid w:val="00321852"/>
    <w:rsid w:val="00333CD8"/>
    <w:rsid w:val="003422B1"/>
    <w:rsid w:val="00360DDF"/>
    <w:rsid w:val="00391869"/>
    <w:rsid w:val="003A6EF3"/>
    <w:rsid w:val="003C336A"/>
    <w:rsid w:val="003C6184"/>
    <w:rsid w:val="003E0376"/>
    <w:rsid w:val="003F53B0"/>
    <w:rsid w:val="00416989"/>
    <w:rsid w:val="00421ECB"/>
    <w:rsid w:val="0044116F"/>
    <w:rsid w:val="004466B1"/>
    <w:rsid w:val="00456995"/>
    <w:rsid w:val="004A6B21"/>
    <w:rsid w:val="004C16B6"/>
    <w:rsid w:val="004C65F7"/>
    <w:rsid w:val="004D7952"/>
    <w:rsid w:val="004E3F3E"/>
    <w:rsid w:val="0050373A"/>
    <w:rsid w:val="00526A75"/>
    <w:rsid w:val="0052752E"/>
    <w:rsid w:val="005324F6"/>
    <w:rsid w:val="00537470"/>
    <w:rsid w:val="005457C9"/>
    <w:rsid w:val="0057699D"/>
    <w:rsid w:val="00597523"/>
    <w:rsid w:val="005A6E34"/>
    <w:rsid w:val="005A7EFC"/>
    <w:rsid w:val="005E7EC6"/>
    <w:rsid w:val="00661211"/>
    <w:rsid w:val="006710F3"/>
    <w:rsid w:val="006871F3"/>
    <w:rsid w:val="006A620B"/>
    <w:rsid w:val="006E5F75"/>
    <w:rsid w:val="00736F00"/>
    <w:rsid w:val="00753921"/>
    <w:rsid w:val="00781802"/>
    <w:rsid w:val="007A0455"/>
    <w:rsid w:val="008161B4"/>
    <w:rsid w:val="008215F0"/>
    <w:rsid w:val="00840D3E"/>
    <w:rsid w:val="00843676"/>
    <w:rsid w:val="008A2877"/>
    <w:rsid w:val="008B306C"/>
    <w:rsid w:val="008C4879"/>
    <w:rsid w:val="008F0CA7"/>
    <w:rsid w:val="00907CF9"/>
    <w:rsid w:val="0092440B"/>
    <w:rsid w:val="00930B8F"/>
    <w:rsid w:val="00930FC3"/>
    <w:rsid w:val="009C68C6"/>
    <w:rsid w:val="009E3367"/>
    <w:rsid w:val="00A93C5E"/>
    <w:rsid w:val="00A93D08"/>
    <w:rsid w:val="00AA0564"/>
    <w:rsid w:val="00AA154C"/>
    <w:rsid w:val="00AB3F20"/>
    <w:rsid w:val="00AB4250"/>
    <w:rsid w:val="00AD7FB1"/>
    <w:rsid w:val="00AE0B83"/>
    <w:rsid w:val="00AF4C97"/>
    <w:rsid w:val="00B80119"/>
    <w:rsid w:val="00B91AB7"/>
    <w:rsid w:val="00BA1FAD"/>
    <w:rsid w:val="00BF68E9"/>
    <w:rsid w:val="00C13595"/>
    <w:rsid w:val="00C27190"/>
    <w:rsid w:val="00C541BC"/>
    <w:rsid w:val="00C62532"/>
    <w:rsid w:val="00C931E8"/>
    <w:rsid w:val="00C9336B"/>
    <w:rsid w:val="00C943C8"/>
    <w:rsid w:val="00D0641F"/>
    <w:rsid w:val="00D07DCA"/>
    <w:rsid w:val="00D754D4"/>
    <w:rsid w:val="00D845CE"/>
    <w:rsid w:val="00D86A7B"/>
    <w:rsid w:val="00DA3C2E"/>
    <w:rsid w:val="00E052FF"/>
    <w:rsid w:val="00E17EB0"/>
    <w:rsid w:val="00E4034C"/>
    <w:rsid w:val="00E46C74"/>
    <w:rsid w:val="00EB036A"/>
    <w:rsid w:val="00EC2A73"/>
    <w:rsid w:val="00ED4E86"/>
    <w:rsid w:val="00EE7F0F"/>
    <w:rsid w:val="00F0718E"/>
    <w:rsid w:val="00F574D0"/>
    <w:rsid w:val="00F90D8F"/>
    <w:rsid w:val="00FB5C92"/>
    <w:rsid w:val="00FC3017"/>
    <w:rsid w:val="00FC6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B606B"/>
  <w15:chartTrackingRefBased/>
  <w15:docId w15:val="{4632A1C2-28C2-4838-AA18-9D8F95568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H01PaperTitle">
    <w:name w:val="RSC H01 Paper Title"/>
    <w:basedOn w:val="Normal"/>
    <w:next w:val="Normal"/>
    <w:link w:val="RSCH01PaperTitleChar"/>
    <w:qFormat/>
    <w:rsid w:val="0044116F"/>
    <w:pPr>
      <w:tabs>
        <w:tab w:val="left" w:pos="284"/>
      </w:tabs>
      <w:spacing w:before="40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44116F"/>
    <w:pPr>
      <w:spacing w:after="120" w:line="240" w:lineRule="exact"/>
    </w:pPr>
    <w:rPr>
      <w:rFonts w:cs="Times New Roman"/>
      <w:sz w:val="20"/>
    </w:rPr>
  </w:style>
  <w:style w:type="character" w:customStyle="1" w:styleId="RSCH01PaperTitleChar">
    <w:name w:val="RSC H01 Paper Title Char"/>
    <w:basedOn w:val="DefaultParagraphFont"/>
    <w:link w:val="RSCH01PaperTitle"/>
    <w:rsid w:val="0044116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44116F"/>
    <w:rPr>
      <w:rFonts w:cs="Times New Roman"/>
      <w:sz w:val="20"/>
    </w:rPr>
  </w:style>
  <w:style w:type="paragraph" w:customStyle="1" w:styleId="RSCB01COMAbstract">
    <w:name w:val="RSC B01 COM Abstract"/>
    <w:basedOn w:val="Normal"/>
    <w:link w:val="RSCB01COMAbstractChar"/>
    <w:qFormat/>
    <w:rsid w:val="0044116F"/>
    <w:pPr>
      <w:spacing w:after="200" w:line="240" w:lineRule="exact"/>
      <w:jc w:val="both"/>
    </w:pPr>
    <w:rPr>
      <w:b/>
      <w:noProof/>
      <w:sz w:val="18"/>
      <w:lang w:eastAsia="en-GB"/>
    </w:rPr>
  </w:style>
  <w:style w:type="character" w:customStyle="1" w:styleId="06CHeading">
    <w:name w:val="06 C Heading"/>
    <w:basedOn w:val="DefaultParagraphFont"/>
    <w:uiPriority w:val="1"/>
    <w:rsid w:val="0044116F"/>
    <w:rPr>
      <w:rFonts w:ascii="Times New Roman" w:hAnsi="Times New Roman" w:cs="Times New Roman"/>
      <w:b/>
      <w:smallCaps/>
      <w:w w:val="108"/>
      <w:sz w:val="18"/>
      <w:szCs w:val="18"/>
    </w:rPr>
  </w:style>
  <w:style w:type="paragraph" w:customStyle="1" w:styleId="RSCB04SectionHeading">
    <w:name w:val="RSC B04 Section Heading"/>
    <w:basedOn w:val="Normal"/>
    <w:link w:val="RSCB04SectionHeadingChar"/>
    <w:qFormat/>
    <w:rsid w:val="0044116F"/>
    <w:pPr>
      <w:spacing w:before="400" w:after="80" w:line="240" w:lineRule="auto"/>
    </w:pPr>
    <w:rPr>
      <w:b/>
      <w:sz w:val="24"/>
    </w:rPr>
  </w:style>
  <w:style w:type="character" w:customStyle="1" w:styleId="RSCB01COMAbstractChar">
    <w:name w:val="RSC B01 COM Abstract Char"/>
    <w:basedOn w:val="DefaultParagraphFont"/>
    <w:link w:val="RSCB01COMAbstract"/>
    <w:rsid w:val="0044116F"/>
    <w:rPr>
      <w:b/>
      <w:noProof/>
      <w:sz w:val="18"/>
      <w:lang w:eastAsia="en-GB"/>
    </w:rPr>
  </w:style>
  <w:style w:type="character" w:customStyle="1" w:styleId="RSCB04SectionHeadingChar">
    <w:name w:val="RSC B04 Section Heading Char"/>
    <w:basedOn w:val="DefaultParagraphFont"/>
    <w:link w:val="RSCB04SectionHeading"/>
    <w:rsid w:val="0044116F"/>
    <w:rPr>
      <w:b/>
      <w:sz w:val="24"/>
    </w:rPr>
  </w:style>
  <w:style w:type="paragraph" w:customStyle="1" w:styleId="RSCF02FootnotestoTitleAuthors">
    <w:name w:val="RSC F02 Footnotes to Title/Authors"/>
    <w:basedOn w:val="Normal"/>
    <w:link w:val="RSCF02FootnotestoTitleAuthorsChar"/>
    <w:qFormat/>
    <w:rsid w:val="0044116F"/>
    <w:pPr>
      <w:tabs>
        <w:tab w:val="left" w:pos="284"/>
      </w:tabs>
      <w:spacing w:after="0" w:line="240" w:lineRule="auto"/>
      <w:suppressOverlap/>
      <w:jc w:val="both"/>
    </w:pPr>
    <w:rPr>
      <w:rFonts w:cs="Times New Roman"/>
      <w:w w:val="105"/>
      <w:sz w:val="14"/>
      <w:szCs w:val="14"/>
    </w:rPr>
  </w:style>
  <w:style w:type="character" w:customStyle="1" w:styleId="RSCF02FootnotestoTitleAuthorsChar">
    <w:name w:val="RSC F02 Footnotes to Title/Authors Char"/>
    <w:basedOn w:val="DefaultParagraphFont"/>
    <w:link w:val="RSCF02FootnotestoTitleAuthors"/>
    <w:rsid w:val="0044116F"/>
    <w:rPr>
      <w:rFonts w:cs="Times New Roman"/>
      <w:w w:val="105"/>
      <w:sz w:val="14"/>
      <w:szCs w:val="14"/>
    </w:rPr>
  </w:style>
  <w:style w:type="paragraph" w:styleId="Caption">
    <w:name w:val="caption"/>
    <w:basedOn w:val="Normal"/>
    <w:next w:val="Normal"/>
    <w:uiPriority w:val="35"/>
    <w:unhideWhenUsed/>
    <w:rsid w:val="0044116F"/>
    <w:pPr>
      <w:spacing w:after="200" w:line="200" w:lineRule="exact"/>
    </w:pPr>
    <w:rPr>
      <w:bCs/>
      <w:sz w:val="14"/>
      <w:szCs w:val="18"/>
    </w:rPr>
  </w:style>
  <w:style w:type="paragraph" w:styleId="CommentText">
    <w:name w:val="annotation text"/>
    <w:basedOn w:val="Normal"/>
    <w:link w:val="CommentTextChar"/>
    <w:uiPriority w:val="99"/>
    <w:semiHidden/>
    <w:unhideWhenUsed/>
    <w:rsid w:val="004411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44116F"/>
    <w:rPr>
      <w:sz w:val="20"/>
      <w:szCs w:val="20"/>
    </w:rPr>
  </w:style>
  <w:style w:type="paragraph" w:customStyle="1" w:styleId="RSCF01FootnoteAuthorAddress">
    <w:name w:val="RSC F01 Footnote Author Address"/>
    <w:link w:val="RSCF01FootnoteAuthorAddressChar"/>
    <w:qFormat/>
    <w:rsid w:val="007A0455"/>
    <w:pPr>
      <w:numPr>
        <w:numId w:val="1"/>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character" w:customStyle="1" w:styleId="RSCF01FootnoteAuthorAddressChar">
    <w:name w:val="RSC F01 Footnote Author Address Char"/>
    <w:basedOn w:val="DefaultParagraphFont"/>
    <w:link w:val="RSCF01FootnoteAuthorAddress"/>
    <w:rsid w:val="007A0455"/>
    <w:rPr>
      <w:rFonts w:cs="Times New Roman"/>
      <w:i/>
      <w:w w:val="105"/>
      <w:sz w:val="14"/>
      <w:szCs w:val="14"/>
    </w:rPr>
  </w:style>
  <w:style w:type="character" w:styleId="Hyperlink">
    <w:name w:val="Hyperlink"/>
    <w:basedOn w:val="DefaultParagraphFont"/>
    <w:uiPriority w:val="99"/>
    <w:unhideWhenUsed/>
    <w:rsid w:val="007A0455"/>
    <w:rPr>
      <w:color w:val="0563C1" w:themeColor="hyperlink"/>
      <w:u w:val="single"/>
    </w:rPr>
  </w:style>
  <w:style w:type="paragraph" w:styleId="FootnoteText">
    <w:name w:val="footnote text"/>
    <w:basedOn w:val="Normal"/>
    <w:link w:val="FootnoteTextChar"/>
    <w:uiPriority w:val="99"/>
    <w:semiHidden/>
    <w:unhideWhenUsed/>
    <w:rsid w:val="001C1B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1BF5"/>
    <w:rPr>
      <w:sz w:val="20"/>
      <w:szCs w:val="20"/>
    </w:rPr>
  </w:style>
  <w:style w:type="character" w:styleId="FootnoteReference">
    <w:name w:val="footnote reference"/>
    <w:basedOn w:val="DefaultParagraphFont"/>
    <w:uiPriority w:val="99"/>
    <w:semiHidden/>
    <w:unhideWhenUsed/>
    <w:rsid w:val="001C1BF5"/>
    <w:rPr>
      <w:vertAlign w:val="superscript"/>
    </w:rPr>
  </w:style>
  <w:style w:type="character" w:styleId="CommentReference">
    <w:name w:val="annotation reference"/>
    <w:basedOn w:val="DefaultParagraphFont"/>
    <w:uiPriority w:val="99"/>
    <w:semiHidden/>
    <w:unhideWhenUsed/>
    <w:rsid w:val="00736F00"/>
    <w:rPr>
      <w:sz w:val="16"/>
      <w:szCs w:val="16"/>
    </w:rPr>
  </w:style>
  <w:style w:type="paragraph" w:styleId="CommentSubject">
    <w:name w:val="annotation subject"/>
    <w:basedOn w:val="CommentText"/>
    <w:next w:val="CommentText"/>
    <w:link w:val="CommentSubjectChar"/>
    <w:uiPriority w:val="99"/>
    <w:semiHidden/>
    <w:unhideWhenUsed/>
    <w:rsid w:val="00736F00"/>
    <w:pPr>
      <w:spacing w:after="160"/>
    </w:pPr>
    <w:rPr>
      <w:b/>
      <w:bCs/>
    </w:rPr>
  </w:style>
  <w:style w:type="character" w:customStyle="1" w:styleId="CommentSubjectChar">
    <w:name w:val="Comment Subject Char"/>
    <w:basedOn w:val="CommentTextChar"/>
    <w:link w:val="CommentSubject"/>
    <w:uiPriority w:val="99"/>
    <w:semiHidden/>
    <w:rsid w:val="00736F00"/>
    <w:rPr>
      <w:b/>
      <w:bCs/>
      <w:sz w:val="20"/>
      <w:szCs w:val="20"/>
    </w:rPr>
  </w:style>
  <w:style w:type="paragraph" w:styleId="BalloonText">
    <w:name w:val="Balloon Text"/>
    <w:basedOn w:val="Normal"/>
    <w:link w:val="BalloonTextChar"/>
    <w:uiPriority w:val="99"/>
    <w:semiHidden/>
    <w:unhideWhenUsed/>
    <w:rsid w:val="00736F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F00"/>
    <w:rPr>
      <w:rFonts w:ascii="Segoe UI" w:hAnsi="Segoe UI" w:cs="Segoe UI"/>
      <w:sz w:val="18"/>
      <w:szCs w:val="18"/>
    </w:rPr>
  </w:style>
  <w:style w:type="character" w:customStyle="1" w:styleId="UnresolvedMention1">
    <w:name w:val="Unresolved Mention1"/>
    <w:basedOn w:val="DefaultParagraphFont"/>
    <w:uiPriority w:val="99"/>
    <w:semiHidden/>
    <w:unhideWhenUsed/>
    <w:rsid w:val="0008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1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carro19@jhmi.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B75B6-F1A9-4325-A463-E4943A2DA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Pages>
  <Words>14652</Words>
  <Characters>83520</Characters>
  <Application>Microsoft Office Word</Application>
  <DocSecurity>0</DocSecurity>
  <Lines>696</Lines>
  <Paragraphs>195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97977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Spivey, Alan</dc:creator>
  <cp:keywords/>
  <dc:description/>
  <cp:lastModifiedBy>Spivey, Alan</cp:lastModifiedBy>
  <cp:revision>5</cp:revision>
  <dcterms:created xsi:type="dcterms:W3CDTF">2020-07-07T08:48:00Z</dcterms:created>
  <dcterms:modified xsi:type="dcterms:W3CDTF">2020-08-17T15:36:00Z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http://www.zotero.org/styles/journal-of-the-american-chemical-society</vt:lpwstr>
  </property>
  <property fmtid="{D5CDD505-2E9C-101B-9397-08002B2CF9AE}" pid="17" name="Mendeley Recent Style Name 7_1">
    <vt:lpwstr>Journal of the American Chemical Society</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acdf8c0c-d1bc-3617-89e6-6963b287cae9</vt:lpwstr>
  </property>
  <property fmtid="{D5CDD505-2E9C-101B-9397-08002B2CF9AE}" pid="24" name="Mendeley Citation Style_1">
    <vt:lpwstr>http://www.zotero.org/styles/journal-of-the-american-chemical-society</vt:lpwstr>
  </property>
</Properties>
</file>