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D127B" w14:textId="158B12B1" w:rsidR="00EA55CA" w:rsidRDefault="00EA2995" w:rsidP="00EA55CA">
      <w:pPr>
        <w:pStyle w:val="PlainText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Additional file 3</w:t>
      </w:r>
    </w:p>
    <w:p w14:paraId="7771EDA5" w14:textId="58F2C56F" w:rsidR="00EA55CA" w:rsidRDefault="00EA55CA" w:rsidP="00EA55CA">
      <w:pPr>
        <w:pStyle w:val="PlainText"/>
        <w:jc w:val="center"/>
      </w:pPr>
      <w:r>
        <w:tab/>
      </w:r>
    </w:p>
    <w:p w14:paraId="2347DAFA" w14:textId="0DA11366" w:rsidR="00EA55CA" w:rsidRPr="00EA55CA" w:rsidRDefault="00EA55CA" w:rsidP="00EA55CA">
      <w:pPr>
        <w:pStyle w:val="PlainText"/>
        <w:jc w:val="center"/>
        <w:rPr>
          <w:b/>
          <w:bCs/>
          <w:sz w:val="24"/>
          <w:szCs w:val="22"/>
        </w:rPr>
      </w:pPr>
      <w:r w:rsidRPr="00EA55CA">
        <w:rPr>
          <w:b/>
          <w:bCs/>
          <w:sz w:val="24"/>
          <w:szCs w:val="22"/>
        </w:rPr>
        <w:t xml:space="preserve">The citrate transporter SLC13A5 as a therapeutic target for kidney disease: evidence from Mendelian randomization to inform drug development </w:t>
      </w:r>
    </w:p>
    <w:p w14:paraId="58B7E9EE" w14:textId="77777777" w:rsidR="00EA55CA" w:rsidRDefault="00EA55CA" w:rsidP="00EA55CA">
      <w:pPr>
        <w:pStyle w:val="PlainText"/>
        <w:rPr>
          <w:b/>
          <w:bCs/>
          <w:sz w:val="28"/>
          <w:szCs w:val="24"/>
        </w:rPr>
      </w:pPr>
    </w:p>
    <w:p w14:paraId="15245F51" w14:textId="40136D95" w:rsidR="00EA55CA" w:rsidRPr="00EA55CA" w:rsidRDefault="00EA55CA" w:rsidP="00EA55CA">
      <w:pPr>
        <w:pStyle w:val="PlainText"/>
        <w:jc w:val="center"/>
        <w:rPr>
          <w:b/>
          <w:bCs/>
          <w:szCs w:val="20"/>
        </w:rPr>
      </w:pPr>
      <w:r w:rsidRPr="00EA55CA">
        <w:rPr>
          <w:b/>
          <w:bCs/>
          <w:szCs w:val="20"/>
        </w:rPr>
        <w:t>Dipender Gill</w:t>
      </w:r>
      <w:r w:rsidR="004901A1">
        <w:rPr>
          <w:b/>
          <w:bCs/>
          <w:szCs w:val="20"/>
        </w:rPr>
        <w:t>,</w:t>
      </w:r>
      <w:r w:rsidRPr="00EA55CA">
        <w:rPr>
          <w:b/>
          <w:bCs/>
          <w:szCs w:val="20"/>
        </w:rPr>
        <w:t xml:space="preserve"> Loukas Zagkos</w:t>
      </w:r>
      <w:r w:rsidR="004901A1">
        <w:rPr>
          <w:b/>
          <w:bCs/>
          <w:szCs w:val="20"/>
        </w:rPr>
        <w:t>,</w:t>
      </w:r>
      <w:r w:rsidRPr="00EA55CA">
        <w:rPr>
          <w:b/>
          <w:bCs/>
          <w:szCs w:val="20"/>
        </w:rPr>
        <w:t xml:space="preserve"> Rubinder Gill</w:t>
      </w:r>
      <w:r w:rsidR="004901A1">
        <w:rPr>
          <w:b/>
          <w:bCs/>
          <w:szCs w:val="20"/>
        </w:rPr>
        <w:t>,</w:t>
      </w:r>
      <w:r w:rsidRPr="00EA55CA">
        <w:rPr>
          <w:b/>
          <w:bCs/>
          <w:szCs w:val="20"/>
        </w:rPr>
        <w:t xml:space="preserve"> Thomas Benzing</w:t>
      </w:r>
      <w:r w:rsidR="004901A1">
        <w:rPr>
          <w:b/>
          <w:bCs/>
          <w:szCs w:val="20"/>
        </w:rPr>
        <w:t>,</w:t>
      </w:r>
      <w:r w:rsidRPr="00EA55CA">
        <w:rPr>
          <w:b/>
          <w:bCs/>
          <w:szCs w:val="20"/>
        </w:rPr>
        <w:t xml:space="preserve"> Jens Jordan</w:t>
      </w:r>
      <w:r w:rsidR="004901A1">
        <w:rPr>
          <w:b/>
          <w:bCs/>
          <w:szCs w:val="20"/>
        </w:rPr>
        <w:t>,</w:t>
      </w:r>
      <w:r w:rsidRPr="00EA55CA">
        <w:rPr>
          <w:b/>
          <w:bCs/>
          <w:szCs w:val="20"/>
        </w:rPr>
        <w:t xml:space="preserve"> Andreas L. Birkenfeld</w:t>
      </w:r>
      <w:r w:rsidR="004901A1">
        <w:rPr>
          <w:b/>
          <w:bCs/>
          <w:szCs w:val="20"/>
        </w:rPr>
        <w:t>,</w:t>
      </w:r>
      <w:r w:rsidRPr="00EA55CA">
        <w:rPr>
          <w:b/>
          <w:bCs/>
          <w:szCs w:val="20"/>
        </w:rPr>
        <w:t xml:space="preserve"> Stephen Burgess</w:t>
      </w:r>
      <w:r w:rsidR="004901A1">
        <w:rPr>
          <w:b/>
          <w:bCs/>
          <w:szCs w:val="20"/>
        </w:rPr>
        <w:t>,</w:t>
      </w:r>
      <w:r w:rsidRPr="00EA55CA">
        <w:rPr>
          <w:b/>
          <w:bCs/>
          <w:szCs w:val="20"/>
        </w:rPr>
        <w:t xml:space="preserve"> Grit Zahn</w:t>
      </w:r>
    </w:p>
    <w:p w14:paraId="0575F969" w14:textId="2F696D16" w:rsidR="00EA55CA" w:rsidRDefault="00EA55CA" w:rsidP="00EA55CA">
      <w:pPr>
        <w:tabs>
          <w:tab w:val="left" w:pos="285"/>
          <w:tab w:val="center" w:pos="4513"/>
        </w:tabs>
      </w:pPr>
      <w:r>
        <w:tab/>
      </w:r>
    </w:p>
    <w:p w14:paraId="65F0FDF3" w14:textId="77777777" w:rsidR="00EA55CA" w:rsidRPr="00EA55CA" w:rsidRDefault="00EA55CA" w:rsidP="00EA55CA">
      <w:pPr>
        <w:sectPr w:rsidR="00EA55CA" w:rsidRPr="00EA55CA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ACC00DA" w14:textId="24082516" w:rsidR="00A37ACB" w:rsidRDefault="00205D4B" w:rsidP="005E12C2">
      <w:pPr>
        <w:jc w:val="center"/>
      </w:pPr>
      <w:r>
        <w:rPr>
          <w:noProof/>
        </w:rPr>
        <w:lastRenderedPageBreak/>
        <w:drawing>
          <wp:inline distT="0" distB="0" distL="0" distR="0" wp14:anchorId="6783958E" wp14:editId="1E82106C">
            <wp:extent cx="5731510" cy="6106160"/>
            <wp:effectExtent l="0" t="0" r="2540" b="8890"/>
            <wp:docPr id="992195048" name="Picture 1" descr="A graph of a line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195048" name="Picture 1" descr="A graph of a line graph&#10;&#10;Description automatically generated with medium confidenc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0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36FC1" w14:textId="0506D578" w:rsidR="007C2A61" w:rsidRDefault="00EA2995">
      <w:r>
        <w:t>Figure S1</w:t>
      </w:r>
      <w:r w:rsidR="00AE43F6">
        <w:t xml:space="preserve">. </w:t>
      </w:r>
      <w:r w:rsidR="00382B1E">
        <w:t xml:space="preserve">A scatter plot of </w:t>
      </w:r>
      <w:r w:rsidR="00673371">
        <w:t>genetic association estimates for the SLC13A5 inhibition instrument variants with plasma citrate (x-axis) and blood urea nitrogen (BUN, y-axis).</w:t>
      </w:r>
      <w:r w:rsidR="00A73ACE">
        <w:t xml:space="preserve"> </w:t>
      </w:r>
      <w:bookmarkStart w:id="0" w:name="_Hlk151802312"/>
      <w:r w:rsidR="00A73ACE">
        <w:t xml:space="preserve">The </w:t>
      </w:r>
      <w:r w:rsidR="00A73ACE" w:rsidRPr="005979D9">
        <w:rPr>
          <w:color w:val="FF0000"/>
        </w:rPr>
        <w:t xml:space="preserve">red </w:t>
      </w:r>
      <w:r w:rsidR="00A73ACE">
        <w:t xml:space="preserve">line depicts the inverse-variance weighted Mendelian randomization analysis (estimate </w:t>
      </w:r>
      <w:r w:rsidR="00123018">
        <w:t xml:space="preserve">-0.010, standard error 0.003), the </w:t>
      </w:r>
      <w:r w:rsidR="00123018" w:rsidRPr="005979D9">
        <w:rPr>
          <w:color w:val="0070C0"/>
        </w:rPr>
        <w:t xml:space="preserve">blue </w:t>
      </w:r>
      <w:r w:rsidR="00123018">
        <w:t>line depicts the Egger analysis (estimate -0.01</w:t>
      </w:r>
      <w:r w:rsidR="00A01163">
        <w:t>0</w:t>
      </w:r>
      <w:r w:rsidR="00123018">
        <w:t xml:space="preserve">, standard error 0.005, intercept estimate </w:t>
      </w:r>
      <w:r w:rsidR="00205D4B">
        <w:t>8</w:t>
      </w:r>
      <w:r w:rsidR="003F4E6B">
        <w:t>x10</w:t>
      </w:r>
      <w:r w:rsidR="003F4E6B" w:rsidRPr="003F4E6B">
        <w:rPr>
          <w:vertAlign w:val="superscript"/>
        </w:rPr>
        <w:t>-5</w:t>
      </w:r>
      <w:r w:rsidR="00A16D38">
        <w:t>, intercept p</w:t>
      </w:r>
      <w:r w:rsidR="00FC1B3C">
        <w:t xml:space="preserve">=0.857), </w:t>
      </w:r>
      <w:r w:rsidR="00257097">
        <w:t xml:space="preserve">and </w:t>
      </w:r>
      <w:r w:rsidR="00FC1B3C">
        <w:t xml:space="preserve">the </w:t>
      </w:r>
      <w:r w:rsidR="00FC1B3C" w:rsidRPr="005979D9">
        <w:rPr>
          <w:color w:val="00B050"/>
        </w:rPr>
        <w:t xml:space="preserve">green </w:t>
      </w:r>
      <w:r w:rsidR="00FC1B3C">
        <w:t>line depicts the weighted median analysis (estimate -0.011, standard error 0.003).</w:t>
      </w:r>
      <w:bookmarkEnd w:id="0"/>
    </w:p>
    <w:p w14:paraId="3BC6831C" w14:textId="529D2DB0" w:rsidR="007C2A61" w:rsidRDefault="00C37519">
      <w:r>
        <w:rPr>
          <w:noProof/>
        </w:rPr>
        <w:lastRenderedPageBreak/>
        <w:drawing>
          <wp:inline distT="0" distB="0" distL="0" distR="0" wp14:anchorId="72EE8A4F" wp14:editId="443C1398">
            <wp:extent cx="5731510" cy="6106160"/>
            <wp:effectExtent l="0" t="0" r="2540" b="8890"/>
            <wp:docPr id="1665657436" name="Picture 1" descr="A graph with lines and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657436" name="Picture 1" descr="A graph with lines and dots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0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1EE7C" w14:textId="0E1D7E5A" w:rsidR="007D678D" w:rsidRDefault="007D678D" w:rsidP="007D678D">
      <w:r>
        <w:t xml:space="preserve">Figure </w:t>
      </w:r>
      <w:r w:rsidR="00B54E84">
        <w:t>S</w:t>
      </w:r>
      <w:r w:rsidR="00EA55CA">
        <w:t>2</w:t>
      </w:r>
      <w:r>
        <w:t>. A scatter plot of genetic association estimates for the SLC13A5 inhibition instrument variants with plasma citrate (x-axis) and chronic kidney disease (CKD) risk (y-axis).</w:t>
      </w:r>
      <w:r w:rsidR="00A01163">
        <w:t xml:space="preserve"> </w:t>
      </w:r>
      <w:r w:rsidR="005979D9">
        <w:t xml:space="preserve">The </w:t>
      </w:r>
      <w:r w:rsidR="005979D9" w:rsidRPr="005979D9">
        <w:rPr>
          <w:color w:val="FF0000"/>
        </w:rPr>
        <w:t xml:space="preserve">red </w:t>
      </w:r>
      <w:r w:rsidR="005979D9">
        <w:t>line depicts the inverse-variance weighted Mendelian randomization analysis (estimate -0.0</w:t>
      </w:r>
      <w:r w:rsidR="00D42BDB">
        <w:t>42</w:t>
      </w:r>
      <w:r w:rsidR="005979D9">
        <w:t>, standard error 0.0</w:t>
      </w:r>
      <w:r w:rsidR="00D42BDB">
        <w:t>44</w:t>
      </w:r>
      <w:r w:rsidR="005979D9">
        <w:t xml:space="preserve">), the </w:t>
      </w:r>
      <w:r w:rsidR="005979D9" w:rsidRPr="005979D9">
        <w:rPr>
          <w:color w:val="0070C0"/>
        </w:rPr>
        <w:t xml:space="preserve">blue </w:t>
      </w:r>
      <w:r w:rsidR="005979D9">
        <w:t>line depicts the Egger analysis (estimate 0.0</w:t>
      </w:r>
      <w:r w:rsidR="00A076A5">
        <w:t>02</w:t>
      </w:r>
      <w:r w:rsidR="005979D9">
        <w:t>, standard error 0.0</w:t>
      </w:r>
      <w:r w:rsidR="00A076A5">
        <w:t>9</w:t>
      </w:r>
      <w:r w:rsidR="00CF5836">
        <w:t>0</w:t>
      </w:r>
      <w:r w:rsidR="005979D9">
        <w:t xml:space="preserve">, intercept estimate </w:t>
      </w:r>
      <w:r w:rsidR="00A076A5">
        <w:t>-</w:t>
      </w:r>
      <w:r w:rsidR="005979D9">
        <w:t>0.00</w:t>
      </w:r>
      <w:r w:rsidR="00A076A5">
        <w:t>5</w:t>
      </w:r>
      <w:r w:rsidR="005979D9">
        <w:t>, intercept p=0.</w:t>
      </w:r>
      <w:r w:rsidR="00A076A5">
        <w:t>569</w:t>
      </w:r>
      <w:r w:rsidR="005979D9">
        <w:t xml:space="preserve">), and the </w:t>
      </w:r>
      <w:r w:rsidR="005979D9" w:rsidRPr="005979D9">
        <w:rPr>
          <w:color w:val="00B050"/>
        </w:rPr>
        <w:t xml:space="preserve">green </w:t>
      </w:r>
      <w:r w:rsidR="005979D9">
        <w:t>line depicts the weighted median analysis (estimate -0.0</w:t>
      </w:r>
      <w:r w:rsidR="00CF5836">
        <w:t>40</w:t>
      </w:r>
      <w:r w:rsidR="005979D9">
        <w:t>, standard error 0.0</w:t>
      </w:r>
      <w:r w:rsidR="00CF5836">
        <w:t>57</w:t>
      </w:r>
      <w:r w:rsidR="005979D9">
        <w:t>).</w:t>
      </w:r>
    </w:p>
    <w:p w14:paraId="02BF92CC" w14:textId="77777777" w:rsidR="007C2A61" w:rsidRDefault="007C2A61"/>
    <w:p w14:paraId="6B332054" w14:textId="4F3FDB62" w:rsidR="007C2A61" w:rsidRDefault="001634EE">
      <w:r>
        <w:rPr>
          <w:noProof/>
        </w:rPr>
        <w:lastRenderedPageBreak/>
        <w:drawing>
          <wp:inline distT="0" distB="0" distL="0" distR="0" wp14:anchorId="5FD01EE2" wp14:editId="32AEC891">
            <wp:extent cx="5731510" cy="6106160"/>
            <wp:effectExtent l="0" t="0" r="2540" b="8890"/>
            <wp:docPr id="205279522" name="Picture 1" descr="A graph of a line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79522" name="Picture 1" descr="A graph of a line graph&#10;&#10;Description automatically generated with medium confidenc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0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BEEBB" w14:textId="7B55E045" w:rsidR="007D678D" w:rsidRDefault="007D678D" w:rsidP="007D678D">
      <w:r>
        <w:t xml:space="preserve">Figure </w:t>
      </w:r>
      <w:r w:rsidR="0096251C">
        <w:t>S</w:t>
      </w:r>
      <w:r w:rsidR="00EA55CA">
        <w:t>3</w:t>
      </w:r>
      <w:r>
        <w:t xml:space="preserve">. A scatter plot of genetic association estimates for the SLC13A5 inhibition instrument variants with plasma citrate (x-axis) and </w:t>
      </w:r>
      <w:r w:rsidR="00EB0F3E">
        <w:t>creatine-based estimated glomerular filtrate rate</w:t>
      </w:r>
      <w:r>
        <w:t xml:space="preserve"> (</w:t>
      </w:r>
      <w:r w:rsidR="00EB0F3E">
        <w:t>eGFR</w:t>
      </w:r>
      <w:r>
        <w:t>, y-axis).</w:t>
      </w:r>
      <w:r w:rsidR="00A01163">
        <w:t xml:space="preserve"> </w:t>
      </w:r>
      <w:r w:rsidR="005979D9">
        <w:t xml:space="preserve">The </w:t>
      </w:r>
      <w:r w:rsidR="005979D9" w:rsidRPr="005979D9">
        <w:rPr>
          <w:color w:val="FF0000"/>
        </w:rPr>
        <w:t xml:space="preserve">red </w:t>
      </w:r>
      <w:r w:rsidR="005979D9">
        <w:t>line depicts the inverse-variance weighted Mendelian randomization analysis (estimate 0.00</w:t>
      </w:r>
      <w:r w:rsidR="0018364B">
        <w:t>4</w:t>
      </w:r>
      <w:r w:rsidR="005979D9">
        <w:t>, standard error 0.00</w:t>
      </w:r>
      <w:r w:rsidR="0018364B">
        <w:t>1</w:t>
      </w:r>
      <w:r w:rsidR="005979D9">
        <w:t xml:space="preserve">), the </w:t>
      </w:r>
      <w:r w:rsidR="005979D9" w:rsidRPr="005979D9">
        <w:rPr>
          <w:color w:val="0070C0"/>
        </w:rPr>
        <w:t xml:space="preserve">blue </w:t>
      </w:r>
      <w:r w:rsidR="005979D9">
        <w:t>line depicts the Egger analysis (estimate 0.00</w:t>
      </w:r>
      <w:r w:rsidR="00F94710">
        <w:t>4</w:t>
      </w:r>
      <w:r w:rsidR="005979D9">
        <w:t>, standard error 0.00</w:t>
      </w:r>
      <w:r w:rsidR="00F94710">
        <w:t>3</w:t>
      </w:r>
      <w:r w:rsidR="005979D9">
        <w:t xml:space="preserve">, intercept estimate </w:t>
      </w:r>
      <w:r w:rsidR="00F94710">
        <w:t>3x10</w:t>
      </w:r>
      <w:r w:rsidR="00F94710" w:rsidRPr="00F94710">
        <w:rPr>
          <w:vertAlign w:val="superscript"/>
        </w:rPr>
        <w:t>-5</w:t>
      </w:r>
      <w:r w:rsidR="005979D9">
        <w:t>, intercept p=0.8</w:t>
      </w:r>
      <w:r w:rsidR="00F94710">
        <w:t>84</w:t>
      </w:r>
      <w:r w:rsidR="005979D9">
        <w:t xml:space="preserve">), and the </w:t>
      </w:r>
      <w:r w:rsidR="005979D9" w:rsidRPr="005979D9">
        <w:rPr>
          <w:color w:val="00B050"/>
        </w:rPr>
        <w:t xml:space="preserve">green </w:t>
      </w:r>
      <w:r w:rsidR="005979D9">
        <w:t xml:space="preserve">line depicts the weighted median analysis (estimate </w:t>
      </w:r>
      <w:r w:rsidR="00F94710">
        <w:t>0.</w:t>
      </w:r>
      <w:r w:rsidR="005979D9">
        <w:t>00</w:t>
      </w:r>
      <w:r w:rsidR="00F94710">
        <w:t>4</w:t>
      </w:r>
      <w:r w:rsidR="005979D9">
        <w:t>, standard error 0.00</w:t>
      </w:r>
      <w:r w:rsidR="000D54AB">
        <w:t>2</w:t>
      </w:r>
      <w:r w:rsidR="005979D9">
        <w:t>).</w:t>
      </w:r>
    </w:p>
    <w:p w14:paraId="481348D2" w14:textId="77777777" w:rsidR="007C2A61" w:rsidRDefault="007C2A61"/>
    <w:p w14:paraId="17922D75" w14:textId="0E38A810" w:rsidR="007C2A61" w:rsidRDefault="00150E3A">
      <w:r>
        <w:rPr>
          <w:noProof/>
        </w:rPr>
        <w:lastRenderedPageBreak/>
        <w:drawing>
          <wp:inline distT="0" distB="0" distL="0" distR="0" wp14:anchorId="2E94331F" wp14:editId="4415ED1B">
            <wp:extent cx="5731510" cy="6106160"/>
            <wp:effectExtent l="0" t="0" r="2540" b="8890"/>
            <wp:docPr id="1182086109" name="Picture 1" descr="A graph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086109" name="Picture 1" descr="A graph of a graph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0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3B30D" w14:textId="7DBA0F3A" w:rsidR="004E373B" w:rsidRDefault="004E373B" w:rsidP="004E373B">
      <w:r>
        <w:t xml:space="preserve">Figure </w:t>
      </w:r>
      <w:r w:rsidR="00546841">
        <w:t>S</w:t>
      </w:r>
      <w:r w:rsidR="00EA55CA">
        <w:t>4</w:t>
      </w:r>
      <w:r>
        <w:t>. A scatter plot of genetic association estimates for the SLC13A5 inhibition instrument variants with plasma citrate (x-axis) and cystatin C-based estimated glomerular filtrate rate (eGFR, y-axis).</w:t>
      </w:r>
      <w:r w:rsidR="00A01163">
        <w:t xml:space="preserve"> </w:t>
      </w:r>
      <w:r w:rsidR="005979D9">
        <w:t xml:space="preserve">The </w:t>
      </w:r>
      <w:r w:rsidR="005979D9" w:rsidRPr="005979D9">
        <w:rPr>
          <w:color w:val="FF0000"/>
        </w:rPr>
        <w:t xml:space="preserve">red </w:t>
      </w:r>
      <w:r w:rsidR="005979D9">
        <w:t>line depicts the inverse-variance weighted Mendelian randomization analysis (estimate 0.0</w:t>
      </w:r>
      <w:r w:rsidR="003B02BD">
        <w:t>07</w:t>
      </w:r>
      <w:r w:rsidR="005979D9">
        <w:t>, standard error 0.00</w:t>
      </w:r>
      <w:r w:rsidR="003B02BD">
        <w:t>2</w:t>
      </w:r>
      <w:r w:rsidR="005979D9">
        <w:t xml:space="preserve">), the </w:t>
      </w:r>
      <w:r w:rsidR="005979D9" w:rsidRPr="005979D9">
        <w:rPr>
          <w:color w:val="0070C0"/>
        </w:rPr>
        <w:t xml:space="preserve">blue </w:t>
      </w:r>
      <w:r w:rsidR="005979D9">
        <w:t>line depicts the Egger analysis (estimate 0.0</w:t>
      </w:r>
      <w:r w:rsidR="005B4044">
        <w:t>07</w:t>
      </w:r>
      <w:r w:rsidR="005979D9">
        <w:t>, standard error 0.00</w:t>
      </w:r>
      <w:r w:rsidR="005B4044">
        <w:t>4</w:t>
      </w:r>
      <w:r w:rsidR="005979D9">
        <w:t xml:space="preserve">, intercept estimate </w:t>
      </w:r>
      <w:r w:rsidR="007E5919">
        <w:t>-</w:t>
      </w:r>
      <w:r w:rsidR="006468D6">
        <w:t>6</w:t>
      </w:r>
      <w:r w:rsidR="007E5919">
        <w:t>x10</w:t>
      </w:r>
      <w:r w:rsidR="007E5919" w:rsidRPr="006468D6">
        <w:rPr>
          <w:vertAlign w:val="superscript"/>
        </w:rPr>
        <w:t>-</w:t>
      </w:r>
      <w:r w:rsidR="006468D6" w:rsidRPr="006468D6">
        <w:rPr>
          <w:vertAlign w:val="superscript"/>
        </w:rPr>
        <w:t>5</w:t>
      </w:r>
      <w:r w:rsidR="005979D9">
        <w:t>, intercept p=0.8</w:t>
      </w:r>
      <w:r w:rsidR="006468D6">
        <w:t>89</w:t>
      </w:r>
      <w:r w:rsidR="005979D9">
        <w:t xml:space="preserve">), and the </w:t>
      </w:r>
      <w:r w:rsidR="005979D9" w:rsidRPr="005979D9">
        <w:rPr>
          <w:color w:val="00B050"/>
        </w:rPr>
        <w:t xml:space="preserve">green </w:t>
      </w:r>
      <w:r w:rsidR="005979D9">
        <w:t>line depicts the weighted median analysis (estimate 0.0</w:t>
      </w:r>
      <w:r w:rsidR="005B4044">
        <w:t>07</w:t>
      </w:r>
      <w:r w:rsidR="005979D9">
        <w:t>, standard error 0.003).</w:t>
      </w:r>
    </w:p>
    <w:p w14:paraId="4BD1C50B" w14:textId="77777777" w:rsidR="007C2A61" w:rsidRDefault="007C2A61"/>
    <w:p w14:paraId="75676AD2" w14:textId="13693403" w:rsidR="007C2A61" w:rsidRDefault="00942420">
      <w:r>
        <w:rPr>
          <w:noProof/>
        </w:rPr>
        <w:lastRenderedPageBreak/>
        <w:drawing>
          <wp:inline distT="0" distB="0" distL="0" distR="0" wp14:anchorId="45FD1DE6" wp14:editId="0AEA5C31">
            <wp:extent cx="5731510" cy="6106160"/>
            <wp:effectExtent l="0" t="0" r="2540" b="8890"/>
            <wp:docPr id="341714460" name="Picture 1" descr="A graph with lines and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714460" name="Picture 1" descr="A graph with lines and dots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0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BC9C9" w14:textId="695A8095" w:rsidR="007B04D4" w:rsidRDefault="00EC6D01">
      <w:pPr>
        <w:sectPr w:rsidR="007B04D4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t xml:space="preserve">Figure </w:t>
      </w:r>
      <w:r w:rsidR="00624753">
        <w:t>S</w:t>
      </w:r>
      <w:r w:rsidR="00EA55CA">
        <w:t>5</w:t>
      </w:r>
      <w:r>
        <w:t>. A scatter plot of genetic association estimates for the SLC13A5 inhibition instrument variants with plasma citrate (x-axis) and microalbuminuria risk (y-axis).</w:t>
      </w:r>
      <w:r w:rsidR="00A01163">
        <w:t xml:space="preserve"> </w:t>
      </w:r>
      <w:r w:rsidR="005979D9">
        <w:t xml:space="preserve">The </w:t>
      </w:r>
      <w:r w:rsidR="005979D9" w:rsidRPr="005979D9">
        <w:rPr>
          <w:color w:val="FF0000"/>
        </w:rPr>
        <w:t xml:space="preserve">red </w:t>
      </w:r>
      <w:r w:rsidR="005979D9">
        <w:t>line depicts the inverse-variance weighted Mendelian randomization analysis (estimate -0.01</w:t>
      </w:r>
      <w:r w:rsidR="009A3427">
        <w:t>5</w:t>
      </w:r>
      <w:r w:rsidR="005979D9">
        <w:t>, standard error 0.0</w:t>
      </w:r>
      <w:r w:rsidR="009A3427">
        <w:t>36</w:t>
      </w:r>
      <w:r w:rsidR="005979D9">
        <w:t xml:space="preserve">), the </w:t>
      </w:r>
      <w:r w:rsidR="005979D9" w:rsidRPr="005979D9">
        <w:rPr>
          <w:color w:val="0070C0"/>
        </w:rPr>
        <w:t xml:space="preserve">blue </w:t>
      </w:r>
      <w:r w:rsidR="005979D9">
        <w:t>line depicts the Egger analysis (estimate -0.0</w:t>
      </w:r>
      <w:r w:rsidR="009A3427">
        <w:t>0</w:t>
      </w:r>
      <w:r w:rsidR="005979D9">
        <w:t>1, standard error 0.00</w:t>
      </w:r>
      <w:r w:rsidR="009A3427">
        <w:t>6</w:t>
      </w:r>
      <w:r w:rsidR="005979D9">
        <w:t xml:space="preserve">, intercept estimate </w:t>
      </w:r>
      <w:r w:rsidR="009A3427">
        <w:t>-</w:t>
      </w:r>
      <w:r w:rsidR="005979D9">
        <w:t>0.00</w:t>
      </w:r>
      <w:r w:rsidR="009A3427">
        <w:t>1</w:t>
      </w:r>
      <w:r w:rsidR="005979D9">
        <w:t>, intercept p=0.87</w:t>
      </w:r>
      <w:r w:rsidR="007E6345">
        <w:t>1</w:t>
      </w:r>
      <w:r w:rsidR="005979D9">
        <w:t xml:space="preserve">), and the </w:t>
      </w:r>
      <w:r w:rsidR="005979D9" w:rsidRPr="005979D9">
        <w:rPr>
          <w:color w:val="00B050"/>
        </w:rPr>
        <w:t xml:space="preserve">green </w:t>
      </w:r>
      <w:r w:rsidR="005979D9">
        <w:t>line depicts the weighted median analysis (estimate -0.0</w:t>
      </w:r>
      <w:r w:rsidR="007E6345">
        <w:t>4</w:t>
      </w:r>
      <w:r w:rsidR="005979D9">
        <w:t>1, standard error 0.0</w:t>
      </w:r>
      <w:r w:rsidR="007E6345">
        <w:t>44</w:t>
      </w:r>
      <w:r w:rsidR="005979D9">
        <w:t>).</w:t>
      </w:r>
    </w:p>
    <w:p w14:paraId="76EA4ACA" w14:textId="37352138" w:rsidR="0036704F" w:rsidRDefault="00987A90">
      <w:r>
        <w:rPr>
          <w:noProof/>
        </w:rPr>
        <w:lastRenderedPageBreak/>
        <w:drawing>
          <wp:inline distT="0" distB="0" distL="0" distR="0" wp14:anchorId="0C48283B" wp14:editId="1EE018C3">
            <wp:extent cx="5731510" cy="6106160"/>
            <wp:effectExtent l="0" t="0" r="2540" b="8890"/>
            <wp:docPr id="1218051259" name="Picture 1" descr="A grap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051259" name="Picture 1" descr="A graph of a graph&#10;&#10;Description automatically generated with medium confidenc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0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82FA9" w14:textId="756E7129" w:rsidR="00B575F3" w:rsidRDefault="00B575F3" w:rsidP="00B575F3">
      <w:r>
        <w:t xml:space="preserve">Figure </w:t>
      </w:r>
      <w:r w:rsidR="00642C0A">
        <w:t>S</w:t>
      </w:r>
      <w:r w:rsidR="00396A42">
        <w:t>6</w:t>
      </w:r>
      <w:r>
        <w:t>. A scatter plot of genetic association estimates for the SLC13A5 inhibition instrument variants with plasma citrate (x-axis) and urine albumin-creatinine ratio (UACR, y-axis).</w:t>
      </w:r>
      <w:r w:rsidR="00A01163">
        <w:t xml:space="preserve"> </w:t>
      </w:r>
      <w:r w:rsidR="005979D9">
        <w:t xml:space="preserve">The </w:t>
      </w:r>
      <w:r w:rsidR="005979D9" w:rsidRPr="005979D9">
        <w:rPr>
          <w:color w:val="FF0000"/>
        </w:rPr>
        <w:t xml:space="preserve">red </w:t>
      </w:r>
      <w:r w:rsidR="005979D9">
        <w:t xml:space="preserve">line depicts the inverse-variance weighted Mendelian randomization analysis (estimate </w:t>
      </w:r>
      <w:r w:rsidR="00E50747">
        <w:t>0.004</w:t>
      </w:r>
      <w:r w:rsidR="005979D9">
        <w:t>, standard error 0.0</w:t>
      </w:r>
      <w:r w:rsidR="00E50747">
        <w:t>11</w:t>
      </w:r>
      <w:r w:rsidR="005979D9">
        <w:t xml:space="preserve">), the </w:t>
      </w:r>
      <w:r w:rsidR="005979D9" w:rsidRPr="005979D9">
        <w:rPr>
          <w:color w:val="0070C0"/>
        </w:rPr>
        <w:t xml:space="preserve">blue </w:t>
      </w:r>
      <w:r w:rsidR="005979D9">
        <w:t>line depicts the Egger analysis (estimate 0.01</w:t>
      </w:r>
      <w:r w:rsidR="00914749">
        <w:t>2</w:t>
      </w:r>
      <w:r w:rsidR="005979D9">
        <w:t>, standard error 0.0</w:t>
      </w:r>
      <w:r w:rsidR="00914749">
        <w:t>2</w:t>
      </w:r>
      <w:r w:rsidR="005979D9">
        <w:t xml:space="preserve">, intercept estimate </w:t>
      </w:r>
      <w:r w:rsidR="00914749">
        <w:t>-</w:t>
      </w:r>
      <w:r w:rsidR="005979D9">
        <w:t>0.00</w:t>
      </w:r>
      <w:r w:rsidR="00914749">
        <w:t>1</w:t>
      </w:r>
      <w:r w:rsidR="005979D9">
        <w:t>, intercept p=0.</w:t>
      </w:r>
      <w:r w:rsidR="00914749">
        <w:t>638</w:t>
      </w:r>
      <w:r w:rsidR="005979D9">
        <w:t xml:space="preserve">), and the </w:t>
      </w:r>
      <w:r w:rsidR="005979D9" w:rsidRPr="005979D9">
        <w:rPr>
          <w:color w:val="00B050"/>
        </w:rPr>
        <w:t xml:space="preserve">green </w:t>
      </w:r>
      <w:r w:rsidR="005979D9">
        <w:t>line depicts the weighted median analysis (estimate 0.0</w:t>
      </w:r>
      <w:r w:rsidR="00914749">
        <w:t>05</w:t>
      </w:r>
      <w:r w:rsidR="005979D9">
        <w:t>, standard error 0.0</w:t>
      </w:r>
      <w:r w:rsidR="00914749">
        <w:t>1</w:t>
      </w:r>
      <w:r w:rsidR="005979D9">
        <w:t>3).</w:t>
      </w:r>
    </w:p>
    <w:sectPr w:rsidR="00B575F3" w:rsidSect="001656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C14F5" w14:textId="77777777" w:rsidR="00453FD4" w:rsidRDefault="00453FD4" w:rsidP="00EA55CA">
      <w:pPr>
        <w:spacing w:after="0" w:line="240" w:lineRule="auto"/>
      </w:pPr>
      <w:r>
        <w:separator/>
      </w:r>
    </w:p>
  </w:endnote>
  <w:endnote w:type="continuationSeparator" w:id="0">
    <w:p w14:paraId="3E40B297" w14:textId="77777777" w:rsidR="00453FD4" w:rsidRDefault="00453FD4" w:rsidP="00EA5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119B6" w14:textId="77777777" w:rsidR="00453FD4" w:rsidRDefault="00453FD4" w:rsidP="00EA55CA">
      <w:pPr>
        <w:spacing w:after="0" w:line="240" w:lineRule="auto"/>
      </w:pPr>
      <w:r>
        <w:separator/>
      </w:r>
    </w:p>
  </w:footnote>
  <w:footnote w:type="continuationSeparator" w:id="0">
    <w:p w14:paraId="20B26899" w14:textId="77777777" w:rsidR="00453FD4" w:rsidRDefault="00453FD4" w:rsidP="00EA55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A61"/>
    <w:rsid w:val="000019F8"/>
    <w:rsid w:val="000347B3"/>
    <w:rsid w:val="0004230D"/>
    <w:rsid w:val="000B16F1"/>
    <w:rsid w:val="000D54AB"/>
    <w:rsid w:val="00123018"/>
    <w:rsid w:val="001360F8"/>
    <w:rsid w:val="00150E3A"/>
    <w:rsid w:val="00152BFF"/>
    <w:rsid w:val="00161ED9"/>
    <w:rsid w:val="001634EE"/>
    <w:rsid w:val="00165628"/>
    <w:rsid w:val="001668B7"/>
    <w:rsid w:val="0018364B"/>
    <w:rsid w:val="00186C06"/>
    <w:rsid w:val="001A29F4"/>
    <w:rsid w:val="001C4B37"/>
    <w:rsid w:val="001E1A27"/>
    <w:rsid w:val="001F4C38"/>
    <w:rsid w:val="00205D4B"/>
    <w:rsid w:val="0022794F"/>
    <w:rsid w:val="00257097"/>
    <w:rsid w:val="002D4F2B"/>
    <w:rsid w:val="00313C5E"/>
    <w:rsid w:val="00316FB9"/>
    <w:rsid w:val="00332C6C"/>
    <w:rsid w:val="003629F6"/>
    <w:rsid w:val="0036704F"/>
    <w:rsid w:val="00382B1E"/>
    <w:rsid w:val="00396A42"/>
    <w:rsid w:val="003A5F66"/>
    <w:rsid w:val="003A7CC9"/>
    <w:rsid w:val="003B02BD"/>
    <w:rsid w:val="003F3187"/>
    <w:rsid w:val="003F4E6B"/>
    <w:rsid w:val="004242FA"/>
    <w:rsid w:val="00425A9C"/>
    <w:rsid w:val="00440314"/>
    <w:rsid w:val="00453FD4"/>
    <w:rsid w:val="00470A7C"/>
    <w:rsid w:val="0047611D"/>
    <w:rsid w:val="004901A1"/>
    <w:rsid w:val="00496BD8"/>
    <w:rsid w:val="004C7E2F"/>
    <w:rsid w:val="004D7BE6"/>
    <w:rsid w:val="004E373B"/>
    <w:rsid w:val="004F11D8"/>
    <w:rsid w:val="005008DD"/>
    <w:rsid w:val="0054253D"/>
    <w:rsid w:val="00546841"/>
    <w:rsid w:val="005979D9"/>
    <w:rsid w:val="005A1E1A"/>
    <w:rsid w:val="005B4044"/>
    <w:rsid w:val="005E12C2"/>
    <w:rsid w:val="005F3BBC"/>
    <w:rsid w:val="005F43B6"/>
    <w:rsid w:val="00602938"/>
    <w:rsid w:val="00624753"/>
    <w:rsid w:val="00642C0A"/>
    <w:rsid w:val="006454B5"/>
    <w:rsid w:val="006468D6"/>
    <w:rsid w:val="00666133"/>
    <w:rsid w:val="00673371"/>
    <w:rsid w:val="00685116"/>
    <w:rsid w:val="0070161E"/>
    <w:rsid w:val="00711741"/>
    <w:rsid w:val="00735BED"/>
    <w:rsid w:val="00755841"/>
    <w:rsid w:val="007A249C"/>
    <w:rsid w:val="007B04D4"/>
    <w:rsid w:val="007C2A61"/>
    <w:rsid w:val="007C583F"/>
    <w:rsid w:val="007D678D"/>
    <w:rsid w:val="007E51F6"/>
    <w:rsid w:val="007E5919"/>
    <w:rsid w:val="007E6345"/>
    <w:rsid w:val="00814ECF"/>
    <w:rsid w:val="008611F3"/>
    <w:rsid w:val="00901563"/>
    <w:rsid w:val="00914749"/>
    <w:rsid w:val="00942420"/>
    <w:rsid w:val="0096251C"/>
    <w:rsid w:val="00964775"/>
    <w:rsid w:val="00966CB0"/>
    <w:rsid w:val="009768DD"/>
    <w:rsid w:val="00987A90"/>
    <w:rsid w:val="009A1E97"/>
    <w:rsid w:val="009A3427"/>
    <w:rsid w:val="009A517B"/>
    <w:rsid w:val="009D4B55"/>
    <w:rsid w:val="00A01163"/>
    <w:rsid w:val="00A076A5"/>
    <w:rsid w:val="00A16D38"/>
    <w:rsid w:val="00A25A0D"/>
    <w:rsid w:val="00A32D61"/>
    <w:rsid w:val="00A37ACB"/>
    <w:rsid w:val="00A73ACE"/>
    <w:rsid w:val="00AB202A"/>
    <w:rsid w:val="00AC68B5"/>
    <w:rsid w:val="00AD130D"/>
    <w:rsid w:val="00AE43F6"/>
    <w:rsid w:val="00B54E84"/>
    <w:rsid w:val="00B575F3"/>
    <w:rsid w:val="00B84245"/>
    <w:rsid w:val="00B96298"/>
    <w:rsid w:val="00BB5AEA"/>
    <w:rsid w:val="00BF1479"/>
    <w:rsid w:val="00C13CEF"/>
    <w:rsid w:val="00C37519"/>
    <w:rsid w:val="00C67244"/>
    <w:rsid w:val="00C757B8"/>
    <w:rsid w:val="00CB3FE0"/>
    <w:rsid w:val="00CF5836"/>
    <w:rsid w:val="00D37F03"/>
    <w:rsid w:val="00D42BDB"/>
    <w:rsid w:val="00D74F52"/>
    <w:rsid w:val="00D9403A"/>
    <w:rsid w:val="00DC7D12"/>
    <w:rsid w:val="00DE1781"/>
    <w:rsid w:val="00DE7A91"/>
    <w:rsid w:val="00E2719C"/>
    <w:rsid w:val="00E2761F"/>
    <w:rsid w:val="00E50747"/>
    <w:rsid w:val="00EA2995"/>
    <w:rsid w:val="00EA55CA"/>
    <w:rsid w:val="00EB0F3E"/>
    <w:rsid w:val="00EC6D01"/>
    <w:rsid w:val="00EC6FBB"/>
    <w:rsid w:val="00EF4DA0"/>
    <w:rsid w:val="00F05531"/>
    <w:rsid w:val="00F31D4B"/>
    <w:rsid w:val="00F415A8"/>
    <w:rsid w:val="00F60B43"/>
    <w:rsid w:val="00F94710"/>
    <w:rsid w:val="00F97A59"/>
    <w:rsid w:val="00FC1B3C"/>
    <w:rsid w:val="00FE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EA85F"/>
  <w15:chartTrackingRefBased/>
  <w15:docId w15:val="{CD72BC73-A467-49BF-8C77-1AA925045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70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A55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55CA"/>
  </w:style>
  <w:style w:type="paragraph" w:styleId="Footer">
    <w:name w:val="footer"/>
    <w:basedOn w:val="Normal"/>
    <w:link w:val="FooterChar"/>
    <w:uiPriority w:val="99"/>
    <w:unhideWhenUsed/>
    <w:rsid w:val="00EA55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5CA"/>
  </w:style>
  <w:style w:type="paragraph" w:styleId="PlainText">
    <w:name w:val="Plain Text"/>
    <w:basedOn w:val="Normal"/>
    <w:link w:val="PlainTextChar"/>
    <w:uiPriority w:val="99"/>
    <w:semiHidden/>
    <w:unhideWhenUsed/>
    <w:rsid w:val="00EA55CA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A55CA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525</Words>
  <Characters>2996</Characters>
  <Application>Microsoft Office Word</Application>
  <DocSecurity>0</DocSecurity>
  <Lines>24</Lines>
  <Paragraphs>7</Paragraphs>
  <ScaleCrop>false</ScaleCrop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Rubinder Gill</dc:creator>
  <cp:keywords/>
  <dc:description/>
  <cp:lastModifiedBy>Rubinder Gill</cp:lastModifiedBy>
  <cp:revision>51</cp:revision>
  <dcterms:created xsi:type="dcterms:W3CDTF">2023-10-29T10:31:00Z</dcterms:created>
  <dcterms:modified xsi:type="dcterms:W3CDTF">2023-12-09T09:13:00Z</dcterms:modified>
</cp:coreProperties>
</file>