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93567" w14:textId="77777777" w:rsidR="00AB69C1" w:rsidRPr="00913B5E" w:rsidRDefault="00913B5E">
      <w:pPr>
        <w:rPr>
          <w:rFonts w:ascii="Arial" w:hAnsi="Arial" w:cs="Arial"/>
          <w:b/>
        </w:rPr>
      </w:pPr>
      <w:bookmarkStart w:id="0" w:name="_GoBack"/>
      <w:bookmarkEnd w:id="0"/>
      <w:r w:rsidRPr="00913B5E">
        <w:rPr>
          <w:rFonts w:ascii="Arial" w:hAnsi="Arial" w:cs="Arial"/>
          <w:b/>
        </w:rPr>
        <w:t>Salt intake monitoring at a population level</w:t>
      </w:r>
    </w:p>
    <w:p w14:paraId="161296B3" w14:textId="77777777" w:rsidR="00913B5E" w:rsidRPr="00913B5E" w:rsidRDefault="00913B5E">
      <w:pPr>
        <w:rPr>
          <w:rFonts w:ascii="Arial" w:hAnsi="Arial" w:cs="Arial"/>
          <w:b/>
        </w:rPr>
      </w:pPr>
    </w:p>
    <w:p w14:paraId="622C022E" w14:textId="77777777" w:rsidR="00913B5E" w:rsidRPr="00913B5E" w:rsidRDefault="00913B5E">
      <w:pPr>
        <w:rPr>
          <w:rFonts w:ascii="Arial" w:hAnsi="Arial" w:cs="Arial"/>
          <w:b/>
        </w:rPr>
      </w:pPr>
      <w:r w:rsidRPr="00913B5E">
        <w:rPr>
          <w:rFonts w:ascii="Arial" w:hAnsi="Arial" w:cs="Arial"/>
          <w:b/>
        </w:rPr>
        <w:t xml:space="preserve">Reply to letter by A </w:t>
      </w:r>
      <w:proofErr w:type="spellStart"/>
      <w:r w:rsidRPr="00913B5E">
        <w:rPr>
          <w:rFonts w:ascii="Arial" w:hAnsi="Arial" w:cs="Arial"/>
          <w:b/>
        </w:rPr>
        <w:t>Chiolero</w:t>
      </w:r>
      <w:proofErr w:type="spellEnd"/>
    </w:p>
    <w:p w14:paraId="4D5C7E8B" w14:textId="77777777" w:rsidR="00913B5E" w:rsidRPr="00913B5E" w:rsidRDefault="00913B5E">
      <w:pPr>
        <w:rPr>
          <w:rFonts w:ascii="Arial" w:hAnsi="Arial" w:cs="Arial"/>
        </w:rPr>
      </w:pPr>
    </w:p>
    <w:p w14:paraId="706F808C" w14:textId="77777777" w:rsidR="00913B5E" w:rsidRDefault="00913B5E" w:rsidP="00913B5E">
      <w:pPr>
        <w:jc w:val="both"/>
        <w:rPr>
          <w:rFonts w:ascii="Arial" w:hAnsi="Arial" w:cs="Arial"/>
        </w:rPr>
      </w:pPr>
    </w:p>
    <w:p w14:paraId="00A363D7" w14:textId="77777777" w:rsidR="00913B5E" w:rsidRDefault="00913B5E" w:rsidP="00913B5E">
      <w:pPr>
        <w:jc w:val="both"/>
        <w:rPr>
          <w:rFonts w:ascii="Arial" w:hAnsi="Arial" w:cs="Arial"/>
        </w:rPr>
      </w:pPr>
      <w:r>
        <w:rPr>
          <w:rFonts w:ascii="Arial" w:hAnsi="Arial" w:cs="Arial"/>
        </w:rPr>
        <w:t>Dear Editor,</w:t>
      </w:r>
    </w:p>
    <w:p w14:paraId="1739CEA7" w14:textId="77777777" w:rsidR="00913B5E" w:rsidRDefault="00913B5E" w:rsidP="00913B5E">
      <w:pPr>
        <w:jc w:val="both"/>
        <w:rPr>
          <w:rFonts w:ascii="Arial" w:hAnsi="Arial" w:cs="Arial"/>
        </w:rPr>
      </w:pPr>
    </w:p>
    <w:p w14:paraId="1FB9A234" w14:textId="77777777" w:rsidR="00913B5E" w:rsidRDefault="00913B5E" w:rsidP="00913B5E">
      <w:pPr>
        <w:jc w:val="both"/>
        <w:rPr>
          <w:rFonts w:ascii="Arial" w:hAnsi="Arial" w:cs="Arial"/>
        </w:rPr>
      </w:pPr>
      <w:r>
        <w:rPr>
          <w:rFonts w:ascii="Arial" w:hAnsi="Arial" w:cs="Arial"/>
        </w:rPr>
        <w:t xml:space="preserve">We thank Dr </w:t>
      </w:r>
      <w:proofErr w:type="spellStart"/>
      <w:r>
        <w:rPr>
          <w:rFonts w:ascii="Arial" w:hAnsi="Arial" w:cs="Arial"/>
        </w:rPr>
        <w:t>Chiolero</w:t>
      </w:r>
      <w:proofErr w:type="spellEnd"/>
      <w:r>
        <w:rPr>
          <w:rFonts w:ascii="Arial" w:hAnsi="Arial" w:cs="Arial"/>
        </w:rPr>
        <w:t xml:space="preserve"> for his comments</w:t>
      </w:r>
      <w:r w:rsidR="001E14C3">
        <w:rPr>
          <w:rFonts w:ascii="Arial" w:hAnsi="Arial" w:cs="Arial"/>
        </w:rPr>
        <w:t xml:space="preserve"> [1]</w:t>
      </w:r>
      <w:r>
        <w:rPr>
          <w:rFonts w:ascii="Arial" w:hAnsi="Arial" w:cs="Arial"/>
        </w:rPr>
        <w:t xml:space="preserve"> on our statement [</w:t>
      </w:r>
      <w:r w:rsidR="001E14C3">
        <w:rPr>
          <w:rFonts w:ascii="Arial" w:hAnsi="Arial" w:cs="Arial"/>
        </w:rPr>
        <w:t>2</w:t>
      </w:r>
      <w:r>
        <w:rPr>
          <w:rFonts w:ascii="Arial" w:hAnsi="Arial" w:cs="Arial"/>
        </w:rPr>
        <w:t>]. We seem to agree that estimated sodium excretion using urine spot samples is inadequate to assess individuals’ salt consumption and the health risks associated with high salt intake</w:t>
      </w:r>
      <w:r w:rsidR="00C00D1C">
        <w:rPr>
          <w:rFonts w:ascii="Arial" w:hAnsi="Arial" w:cs="Arial"/>
        </w:rPr>
        <w:t>. This position is shared by</w:t>
      </w:r>
      <w:r w:rsidR="00077151">
        <w:rPr>
          <w:rFonts w:ascii="Arial" w:hAnsi="Arial" w:cs="Arial"/>
        </w:rPr>
        <w:t xml:space="preserve"> </w:t>
      </w:r>
      <w:r w:rsidR="00C00D1C">
        <w:rPr>
          <w:rFonts w:ascii="Arial" w:hAnsi="Arial" w:cs="Arial"/>
        </w:rPr>
        <w:t xml:space="preserve">other </w:t>
      </w:r>
      <w:r w:rsidR="00077151">
        <w:rPr>
          <w:rFonts w:ascii="Arial" w:hAnsi="Arial" w:cs="Arial"/>
        </w:rPr>
        <w:t xml:space="preserve">international </w:t>
      </w:r>
      <w:r w:rsidR="00C00D1C">
        <w:rPr>
          <w:rFonts w:ascii="Arial" w:hAnsi="Arial" w:cs="Arial"/>
        </w:rPr>
        <w:t>panels</w:t>
      </w:r>
      <w:r w:rsidR="00077151">
        <w:rPr>
          <w:rFonts w:ascii="Arial" w:hAnsi="Arial" w:cs="Arial"/>
        </w:rPr>
        <w:t xml:space="preserve"> [3</w:t>
      </w:r>
      <w:r w:rsidR="001E14C3">
        <w:rPr>
          <w:rFonts w:ascii="Arial" w:hAnsi="Arial" w:cs="Arial"/>
        </w:rPr>
        <w:t>-4</w:t>
      </w:r>
      <w:r w:rsidR="00077151">
        <w:rPr>
          <w:rFonts w:ascii="Arial" w:hAnsi="Arial" w:cs="Arial"/>
        </w:rPr>
        <w:t>]</w:t>
      </w:r>
      <w:r>
        <w:rPr>
          <w:rFonts w:ascii="Arial" w:hAnsi="Arial" w:cs="Arial"/>
        </w:rPr>
        <w:t xml:space="preserve">. </w:t>
      </w:r>
    </w:p>
    <w:p w14:paraId="2F907973" w14:textId="77777777" w:rsidR="00913B5E" w:rsidRDefault="00913B5E" w:rsidP="00913B5E">
      <w:pPr>
        <w:jc w:val="both"/>
        <w:rPr>
          <w:rFonts w:ascii="Arial" w:hAnsi="Arial" w:cs="Arial"/>
        </w:rPr>
      </w:pPr>
    </w:p>
    <w:p w14:paraId="548FF6B9" w14:textId="5D40C1A0" w:rsidR="00913B5E" w:rsidRDefault="00871CF6" w:rsidP="00913B5E">
      <w:pPr>
        <w:jc w:val="both"/>
        <w:rPr>
          <w:rFonts w:ascii="Arial" w:hAnsi="Arial" w:cs="Arial"/>
        </w:rPr>
      </w:pPr>
      <w:r>
        <w:rPr>
          <w:rFonts w:ascii="Arial" w:hAnsi="Arial" w:cs="Arial"/>
        </w:rPr>
        <w:t>T</w:t>
      </w:r>
      <w:r w:rsidR="00913B5E">
        <w:rPr>
          <w:rFonts w:ascii="Arial" w:hAnsi="Arial" w:cs="Arial"/>
        </w:rPr>
        <w:t xml:space="preserve">he stated goal n. 2 is “to estimate salt intake at the group or population level, e.g. for the monitoring of salt intake in a given population”. </w:t>
      </w:r>
      <w:r w:rsidR="00077151">
        <w:rPr>
          <w:rFonts w:ascii="Arial" w:hAnsi="Arial" w:cs="Arial"/>
        </w:rPr>
        <w:t>As we state in our piece, there are four objectives</w:t>
      </w:r>
      <w:r w:rsidR="00C00D1C">
        <w:rPr>
          <w:rFonts w:ascii="Arial" w:hAnsi="Arial" w:cs="Arial"/>
        </w:rPr>
        <w:t xml:space="preserve"> for measuring average population salt intake</w:t>
      </w:r>
      <w:r w:rsidR="00077151">
        <w:rPr>
          <w:rFonts w:ascii="Arial" w:hAnsi="Arial" w:cs="Arial"/>
        </w:rPr>
        <w:t xml:space="preserve">, one of which is to evaluate the effectiveness of intervention in populations, by assessing the average ‘change’ in population salt consumption over time. </w:t>
      </w:r>
      <w:r w:rsidR="00C00D1C">
        <w:rPr>
          <w:rFonts w:ascii="Arial" w:hAnsi="Arial" w:cs="Arial"/>
        </w:rPr>
        <w:t xml:space="preserve">Evidence from a randomized clinical trial in China confirms the inadequacy of urinary sodium assessed in spot samples to detect small but meaningful changes in average </w:t>
      </w:r>
      <w:r>
        <w:rPr>
          <w:rFonts w:ascii="Arial" w:hAnsi="Arial" w:cs="Arial"/>
        </w:rPr>
        <w:t xml:space="preserve">salt </w:t>
      </w:r>
      <w:r w:rsidR="00C00D1C">
        <w:rPr>
          <w:rFonts w:ascii="Arial" w:hAnsi="Arial" w:cs="Arial"/>
        </w:rPr>
        <w:t>consumption in a head-to-head comparison with urinary sodium</w:t>
      </w:r>
      <w:r w:rsidR="00942BD3">
        <w:rPr>
          <w:rFonts w:ascii="Arial" w:hAnsi="Arial" w:cs="Arial"/>
        </w:rPr>
        <w:t>,</w:t>
      </w:r>
      <w:r w:rsidR="00C00D1C">
        <w:rPr>
          <w:rFonts w:ascii="Arial" w:hAnsi="Arial" w:cs="Arial"/>
        </w:rPr>
        <w:t xml:space="preserve"> assessed using 24 hour collections [</w:t>
      </w:r>
      <w:r w:rsidR="001E14C3">
        <w:rPr>
          <w:rFonts w:ascii="Arial" w:hAnsi="Arial" w:cs="Arial"/>
        </w:rPr>
        <w:t>5</w:t>
      </w:r>
      <w:r w:rsidR="00C00D1C">
        <w:rPr>
          <w:rFonts w:ascii="Arial" w:hAnsi="Arial" w:cs="Arial"/>
        </w:rPr>
        <w:t>] [see Figure 2b in our statement]</w:t>
      </w:r>
      <w:r w:rsidR="0090146D">
        <w:rPr>
          <w:rFonts w:ascii="Arial" w:hAnsi="Arial" w:cs="Arial"/>
        </w:rPr>
        <w:t xml:space="preserve"> </w:t>
      </w:r>
      <w:r w:rsidR="001E14C3">
        <w:rPr>
          <w:rFonts w:ascii="Arial" w:hAnsi="Arial" w:cs="Arial"/>
        </w:rPr>
        <w:t>[2]</w:t>
      </w:r>
      <w:r w:rsidR="00C00D1C">
        <w:rPr>
          <w:rFonts w:ascii="Arial" w:hAnsi="Arial" w:cs="Arial"/>
        </w:rPr>
        <w:t xml:space="preserve">. This is a fundamental limitation </w:t>
      </w:r>
      <w:r>
        <w:rPr>
          <w:rFonts w:ascii="Arial" w:hAnsi="Arial" w:cs="Arial"/>
        </w:rPr>
        <w:t>that does not make this method fit to evaluate the effectiveness of interventions in populations.</w:t>
      </w:r>
    </w:p>
    <w:p w14:paraId="31F8F368" w14:textId="77777777" w:rsidR="00871CF6" w:rsidRDefault="00871CF6" w:rsidP="00913B5E">
      <w:pPr>
        <w:jc w:val="both"/>
        <w:rPr>
          <w:rFonts w:ascii="Arial" w:hAnsi="Arial" w:cs="Arial"/>
        </w:rPr>
      </w:pPr>
    </w:p>
    <w:p w14:paraId="369EB6FF" w14:textId="1850F9E2" w:rsidR="00E11179" w:rsidRDefault="00871CF6" w:rsidP="00913B5E">
      <w:pPr>
        <w:jc w:val="both"/>
        <w:rPr>
          <w:rFonts w:ascii="Arial" w:hAnsi="Arial" w:cs="Arial"/>
        </w:rPr>
      </w:pPr>
      <w:r>
        <w:rPr>
          <w:rFonts w:ascii="Arial" w:hAnsi="Arial" w:cs="Arial"/>
        </w:rPr>
        <w:t xml:space="preserve">Validity and representativeness are two separate concepts. Whilst the </w:t>
      </w:r>
      <w:r w:rsidR="00E11179">
        <w:rPr>
          <w:rFonts w:ascii="Arial" w:hAnsi="Arial" w:cs="Arial"/>
        </w:rPr>
        <w:t xml:space="preserve">evidence </w:t>
      </w:r>
      <w:r>
        <w:rPr>
          <w:rFonts w:ascii="Arial" w:hAnsi="Arial" w:cs="Arial"/>
        </w:rPr>
        <w:t>reassure</w:t>
      </w:r>
      <w:r w:rsidR="00E11179">
        <w:rPr>
          <w:rFonts w:ascii="Arial" w:hAnsi="Arial" w:cs="Arial"/>
        </w:rPr>
        <w:t>s</w:t>
      </w:r>
      <w:r>
        <w:rPr>
          <w:rFonts w:ascii="Arial" w:hAnsi="Arial" w:cs="Arial"/>
        </w:rPr>
        <w:t xml:space="preserve"> us that 24 hour urine collections are</w:t>
      </w:r>
      <w:r w:rsidR="00E11179">
        <w:rPr>
          <w:rFonts w:ascii="Arial" w:hAnsi="Arial" w:cs="Arial"/>
        </w:rPr>
        <w:t>,</w:t>
      </w:r>
      <w:r>
        <w:rPr>
          <w:rFonts w:ascii="Arial" w:hAnsi="Arial" w:cs="Arial"/>
        </w:rPr>
        <w:t xml:space="preserve"> as yet</w:t>
      </w:r>
      <w:r w:rsidR="00E11179">
        <w:rPr>
          <w:rFonts w:ascii="Arial" w:hAnsi="Arial" w:cs="Arial"/>
        </w:rPr>
        <w:t>,</w:t>
      </w:r>
      <w:r>
        <w:rPr>
          <w:rFonts w:ascii="Arial" w:hAnsi="Arial" w:cs="Arial"/>
        </w:rPr>
        <w:t xml:space="preserve"> the most valid method to evaluate the effectiveness of population programmes, low response and high attrition rates may limit the representativeness of the results. The risk is not avoided, though, by using spot urines, whilst the bias in the outcome is evident. </w:t>
      </w:r>
    </w:p>
    <w:p w14:paraId="01DF22CB" w14:textId="77777777" w:rsidR="00E11179" w:rsidRDefault="00E11179" w:rsidP="00913B5E">
      <w:pPr>
        <w:jc w:val="both"/>
        <w:rPr>
          <w:rFonts w:ascii="Arial" w:hAnsi="Arial" w:cs="Arial"/>
        </w:rPr>
      </w:pPr>
    </w:p>
    <w:p w14:paraId="6846642A" w14:textId="0D4C52CD" w:rsidR="00871CF6" w:rsidRDefault="00407A45" w:rsidP="00913B5E">
      <w:pPr>
        <w:jc w:val="both"/>
        <w:rPr>
          <w:rFonts w:ascii="Arial" w:hAnsi="Arial" w:cs="Arial"/>
        </w:rPr>
      </w:pPr>
      <w:r>
        <w:rPr>
          <w:rFonts w:ascii="Arial" w:hAnsi="Arial" w:cs="Arial"/>
        </w:rPr>
        <w:t>Collecting 24 hour urines is feasible and can be cheaper that spot urines, given the much smaller sample sizes needed for the scope [6</w:t>
      </w:r>
      <w:r w:rsidR="003F4F27">
        <w:rPr>
          <w:rFonts w:ascii="Arial" w:hAnsi="Arial" w:cs="Arial"/>
        </w:rPr>
        <w:t>-7</w:t>
      </w:r>
      <w:r>
        <w:rPr>
          <w:rFonts w:ascii="Arial" w:hAnsi="Arial" w:cs="Arial"/>
        </w:rPr>
        <w:t xml:space="preserve">]. </w:t>
      </w:r>
      <w:r w:rsidR="00E11179">
        <w:rPr>
          <w:rFonts w:ascii="Arial" w:hAnsi="Arial" w:cs="Arial"/>
        </w:rPr>
        <w:t>In our view, we cannot trade p</w:t>
      </w:r>
      <w:r w:rsidR="00871CF6">
        <w:rPr>
          <w:rFonts w:ascii="Arial" w:hAnsi="Arial" w:cs="Arial"/>
        </w:rPr>
        <w:t>ragmatism with validity</w:t>
      </w:r>
      <w:r w:rsidR="00E11179">
        <w:rPr>
          <w:rFonts w:ascii="Arial" w:hAnsi="Arial" w:cs="Arial"/>
        </w:rPr>
        <w:t xml:space="preserve"> at the time when global health priorities have set population salt reduction as on</w:t>
      </w:r>
      <w:r w:rsidR="00F8685D">
        <w:rPr>
          <w:rFonts w:ascii="Arial" w:hAnsi="Arial" w:cs="Arial"/>
        </w:rPr>
        <w:t>e</w:t>
      </w:r>
      <w:r w:rsidR="00E11179">
        <w:rPr>
          <w:rFonts w:ascii="Arial" w:hAnsi="Arial" w:cs="Arial"/>
        </w:rPr>
        <w:t xml:space="preserve"> of the ‘best buy</w:t>
      </w:r>
      <w:r w:rsidR="00942BD3">
        <w:rPr>
          <w:rFonts w:ascii="Arial" w:hAnsi="Arial" w:cs="Arial"/>
        </w:rPr>
        <w:t>s</w:t>
      </w:r>
      <w:r w:rsidR="00E11179">
        <w:rPr>
          <w:rFonts w:ascii="Arial" w:hAnsi="Arial" w:cs="Arial"/>
        </w:rPr>
        <w:t>’ for the reduction in th</w:t>
      </w:r>
      <w:r w:rsidR="00F8685D">
        <w:rPr>
          <w:rFonts w:ascii="Arial" w:hAnsi="Arial" w:cs="Arial"/>
        </w:rPr>
        <w:t>e</w:t>
      </w:r>
      <w:r w:rsidR="00E11179">
        <w:rPr>
          <w:rFonts w:ascii="Arial" w:hAnsi="Arial" w:cs="Arial"/>
        </w:rPr>
        <w:t xml:space="preserve"> burden of cardiovascular disease</w:t>
      </w:r>
      <w:r w:rsidR="00F8685D">
        <w:rPr>
          <w:rFonts w:ascii="Arial" w:hAnsi="Arial" w:cs="Arial"/>
        </w:rPr>
        <w:t xml:space="preserve"> [</w:t>
      </w:r>
      <w:r w:rsidR="003F4F27">
        <w:rPr>
          <w:rFonts w:ascii="Arial" w:hAnsi="Arial" w:cs="Arial"/>
        </w:rPr>
        <w:t>8</w:t>
      </w:r>
      <w:r w:rsidR="00F8685D">
        <w:rPr>
          <w:rFonts w:ascii="Arial" w:hAnsi="Arial" w:cs="Arial"/>
        </w:rPr>
        <w:t>]</w:t>
      </w:r>
      <w:r w:rsidR="00871CF6">
        <w:rPr>
          <w:rFonts w:ascii="Arial" w:hAnsi="Arial" w:cs="Arial"/>
        </w:rPr>
        <w:t>, as the consequences of not detecting small but significant reduction</w:t>
      </w:r>
      <w:r w:rsidR="00540513">
        <w:rPr>
          <w:rFonts w:ascii="Arial" w:hAnsi="Arial" w:cs="Arial"/>
        </w:rPr>
        <w:t>s</w:t>
      </w:r>
      <w:r w:rsidR="00871CF6">
        <w:rPr>
          <w:rFonts w:ascii="Arial" w:hAnsi="Arial" w:cs="Arial"/>
        </w:rPr>
        <w:t xml:space="preserve"> in average population salt consumption </w:t>
      </w:r>
      <w:r w:rsidR="00F8685D">
        <w:rPr>
          <w:rFonts w:ascii="Arial" w:hAnsi="Arial" w:cs="Arial"/>
        </w:rPr>
        <w:t xml:space="preserve">in these programmes </w:t>
      </w:r>
      <w:r w:rsidR="00871CF6">
        <w:rPr>
          <w:rFonts w:ascii="Arial" w:hAnsi="Arial" w:cs="Arial"/>
        </w:rPr>
        <w:t xml:space="preserve">may have </w:t>
      </w:r>
      <w:r w:rsidR="00F8685D">
        <w:rPr>
          <w:rFonts w:ascii="Arial" w:hAnsi="Arial" w:cs="Arial"/>
        </w:rPr>
        <w:t>the effect of erroneously deterring governments from committing to long term strategies</w:t>
      </w:r>
      <w:r w:rsidR="00540513">
        <w:rPr>
          <w:rFonts w:ascii="Arial" w:hAnsi="Arial" w:cs="Arial"/>
        </w:rPr>
        <w:t>,</w:t>
      </w:r>
      <w:r w:rsidR="00F8685D">
        <w:rPr>
          <w:rFonts w:ascii="Arial" w:hAnsi="Arial" w:cs="Arial"/>
        </w:rPr>
        <w:t xml:space="preserve"> </w:t>
      </w:r>
      <w:r w:rsidR="00540513">
        <w:rPr>
          <w:rFonts w:ascii="Arial" w:hAnsi="Arial" w:cs="Arial"/>
        </w:rPr>
        <w:t>with reduced health benefits for all.</w:t>
      </w:r>
      <w:r w:rsidR="00871CF6">
        <w:rPr>
          <w:rFonts w:ascii="Arial" w:hAnsi="Arial" w:cs="Arial"/>
        </w:rPr>
        <w:t xml:space="preserve"> </w:t>
      </w:r>
    </w:p>
    <w:p w14:paraId="6F7D95B8" w14:textId="77777777" w:rsidR="00CC4CE3" w:rsidRDefault="00CC4CE3" w:rsidP="00913B5E">
      <w:pPr>
        <w:jc w:val="both"/>
        <w:rPr>
          <w:rFonts w:ascii="Arial" w:hAnsi="Arial" w:cs="Arial"/>
        </w:rPr>
      </w:pPr>
    </w:p>
    <w:p w14:paraId="3FE5AB5B" w14:textId="77777777" w:rsidR="00CC4CE3" w:rsidRPr="00591B28" w:rsidRDefault="00591B28" w:rsidP="00913B5E">
      <w:pPr>
        <w:jc w:val="both"/>
        <w:rPr>
          <w:rFonts w:ascii="Arial" w:hAnsi="Arial" w:cs="Arial"/>
          <w:b/>
        </w:rPr>
      </w:pPr>
      <w:r w:rsidRPr="00591B28">
        <w:rPr>
          <w:rFonts w:ascii="Arial" w:hAnsi="Arial" w:cs="Arial"/>
          <w:b/>
        </w:rPr>
        <w:t>Francesco P Cappuccio</w:t>
      </w:r>
    </w:p>
    <w:p w14:paraId="68EB911B" w14:textId="77777777" w:rsidR="00591B28" w:rsidRDefault="00591B28" w:rsidP="00913B5E">
      <w:pPr>
        <w:jc w:val="both"/>
        <w:rPr>
          <w:rFonts w:ascii="Arial" w:hAnsi="Arial" w:cs="Arial"/>
        </w:rPr>
      </w:pPr>
      <w:r>
        <w:rPr>
          <w:rFonts w:ascii="Arial" w:hAnsi="Arial" w:cs="Arial"/>
        </w:rPr>
        <w:t>University of Warwick, WHO Collaborating Centre for Nutrition, Warwick Medical School, and UHCW NHS Trust, Coventry, UK</w:t>
      </w:r>
    </w:p>
    <w:p w14:paraId="302AAADA" w14:textId="77777777" w:rsidR="00591B28" w:rsidRDefault="00591B28" w:rsidP="00913B5E">
      <w:pPr>
        <w:jc w:val="both"/>
        <w:rPr>
          <w:rFonts w:ascii="Arial" w:hAnsi="Arial" w:cs="Arial"/>
        </w:rPr>
      </w:pPr>
    </w:p>
    <w:p w14:paraId="6FE93234" w14:textId="77777777" w:rsidR="00591B28" w:rsidRPr="00591B28" w:rsidRDefault="00591B28" w:rsidP="00913B5E">
      <w:pPr>
        <w:jc w:val="both"/>
        <w:rPr>
          <w:rFonts w:ascii="Arial" w:hAnsi="Arial" w:cs="Arial"/>
          <w:b/>
        </w:rPr>
      </w:pPr>
      <w:r w:rsidRPr="00591B28">
        <w:rPr>
          <w:rFonts w:ascii="Arial" w:hAnsi="Arial" w:cs="Arial"/>
          <w:b/>
        </w:rPr>
        <w:t>Peter S Sever</w:t>
      </w:r>
    </w:p>
    <w:p w14:paraId="6037D9E4" w14:textId="77777777" w:rsidR="00591B28" w:rsidRDefault="00591B28" w:rsidP="00913B5E">
      <w:pPr>
        <w:jc w:val="both"/>
        <w:rPr>
          <w:rFonts w:ascii="Arial" w:hAnsi="Arial" w:cs="Arial"/>
        </w:rPr>
      </w:pPr>
      <w:r>
        <w:rPr>
          <w:rFonts w:ascii="Arial" w:hAnsi="Arial" w:cs="Arial"/>
        </w:rPr>
        <w:t>Imperial College London, National Heart &amp; Lung Institute, London, UK</w:t>
      </w:r>
    </w:p>
    <w:p w14:paraId="59AEFA56" w14:textId="77777777" w:rsidR="00591B28" w:rsidRDefault="00591B28" w:rsidP="00913B5E">
      <w:pPr>
        <w:jc w:val="both"/>
        <w:rPr>
          <w:rFonts w:ascii="Arial" w:hAnsi="Arial" w:cs="Arial"/>
        </w:rPr>
      </w:pPr>
    </w:p>
    <w:p w14:paraId="28C68E69" w14:textId="77777777" w:rsidR="00591B28" w:rsidRPr="00591B28" w:rsidRDefault="00591B28" w:rsidP="00913B5E">
      <w:pPr>
        <w:jc w:val="both"/>
        <w:rPr>
          <w:rFonts w:ascii="Arial" w:hAnsi="Arial" w:cs="Arial"/>
          <w:b/>
        </w:rPr>
      </w:pPr>
      <w:r w:rsidRPr="00591B28">
        <w:rPr>
          <w:rFonts w:ascii="Arial" w:hAnsi="Arial" w:cs="Arial"/>
          <w:b/>
        </w:rPr>
        <w:t>On behalf of the British and Irish Hypertension Society</w:t>
      </w:r>
    </w:p>
    <w:p w14:paraId="64520B76" w14:textId="77777777" w:rsidR="00F0457A" w:rsidRDefault="00F0457A" w:rsidP="00913B5E">
      <w:pPr>
        <w:jc w:val="both"/>
        <w:rPr>
          <w:rFonts w:ascii="Arial" w:hAnsi="Arial" w:cs="Arial"/>
        </w:rPr>
      </w:pPr>
    </w:p>
    <w:p w14:paraId="3A8EAC59" w14:textId="77777777" w:rsidR="00591B28" w:rsidRDefault="00591B28" w:rsidP="00913B5E">
      <w:pPr>
        <w:jc w:val="both"/>
        <w:rPr>
          <w:rFonts w:ascii="Arial" w:hAnsi="Arial" w:cs="Arial"/>
          <w:b/>
        </w:rPr>
      </w:pPr>
    </w:p>
    <w:p w14:paraId="0E769D30" w14:textId="77777777" w:rsidR="00591B28" w:rsidRDefault="00591B28" w:rsidP="00913B5E">
      <w:pPr>
        <w:jc w:val="both"/>
        <w:rPr>
          <w:rFonts w:ascii="Arial" w:hAnsi="Arial" w:cs="Arial"/>
          <w:b/>
        </w:rPr>
      </w:pPr>
    </w:p>
    <w:p w14:paraId="62808642" w14:textId="77777777" w:rsidR="00A66573" w:rsidRDefault="00A66573" w:rsidP="00913B5E">
      <w:pPr>
        <w:jc w:val="both"/>
        <w:rPr>
          <w:rFonts w:ascii="Arial" w:hAnsi="Arial" w:cs="Arial"/>
          <w:b/>
        </w:rPr>
      </w:pPr>
    </w:p>
    <w:p w14:paraId="7778FF85" w14:textId="4411308E" w:rsidR="00F0457A" w:rsidRPr="003F4F27" w:rsidRDefault="00F0457A" w:rsidP="00913B5E">
      <w:pPr>
        <w:jc w:val="both"/>
        <w:rPr>
          <w:rFonts w:ascii="Arial" w:hAnsi="Arial" w:cs="Arial"/>
          <w:b/>
        </w:rPr>
      </w:pPr>
      <w:r w:rsidRPr="003F4F27">
        <w:rPr>
          <w:rFonts w:ascii="Arial" w:hAnsi="Arial" w:cs="Arial"/>
          <w:b/>
        </w:rPr>
        <w:lastRenderedPageBreak/>
        <w:t>References</w:t>
      </w:r>
    </w:p>
    <w:p w14:paraId="77EF7D49" w14:textId="77777777" w:rsidR="00F0457A" w:rsidRDefault="00F0457A" w:rsidP="00913B5E">
      <w:pPr>
        <w:jc w:val="both"/>
        <w:rPr>
          <w:rFonts w:ascii="Arial" w:hAnsi="Arial" w:cs="Arial"/>
        </w:rPr>
      </w:pPr>
    </w:p>
    <w:p w14:paraId="39A64FFB" w14:textId="77777777" w:rsidR="001F46DF" w:rsidRPr="001F46DF" w:rsidRDefault="00F0457A" w:rsidP="001F46DF">
      <w:pPr>
        <w:pStyle w:val="ListParagraph"/>
        <w:numPr>
          <w:ilvl w:val="0"/>
          <w:numId w:val="3"/>
        </w:numPr>
        <w:spacing w:after="120"/>
        <w:ind w:left="357" w:hanging="357"/>
        <w:jc w:val="both"/>
        <w:rPr>
          <w:rFonts w:ascii="Arial" w:hAnsi="Arial" w:cs="Arial"/>
          <w:color w:val="000000" w:themeColor="text1"/>
          <w:sz w:val="22"/>
          <w:szCs w:val="22"/>
        </w:rPr>
      </w:pPr>
      <w:proofErr w:type="spellStart"/>
      <w:r w:rsidRPr="001F46DF">
        <w:rPr>
          <w:rFonts w:ascii="Arial" w:hAnsi="Arial" w:cs="Arial"/>
          <w:color w:val="000000" w:themeColor="text1"/>
          <w:sz w:val="22"/>
          <w:szCs w:val="22"/>
        </w:rPr>
        <w:t>Chiolero</w:t>
      </w:r>
      <w:proofErr w:type="spellEnd"/>
      <w:r w:rsidRPr="001F46DF">
        <w:rPr>
          <w:rFonts w:ascii="Arial" w:hAnsi="Arial" w:cs="Arial"/>
          <w:color w:val="000000" w:themeColor="text1"/>
          <w:sz w:val="22"/>
          <w:szCs w:val="22"/>
        </w:rPr>
        <w:t xml:space="preserve"> A. Salt intake monitoring at a population level. J Hum </w:t>
      </w:r>
      <w:proofErr w:type="spellStart"/>
      <w:r w:rsidRPr="001F46DF">
        <w:rPr>
          <w:rFonts w:ascii="Arial" w:hAnsi="Arial" w:cs="Arial"/>
          <w:color w:val="000000" w:themeColor="text1"/>
          <w:sz w:val="22"/>
          <w:szCs w:val="22"/>
        </w:rPr>
        <w:t>Hypert</w:t>
      </w:r>
      <w:proofErr w:type="spellEnd"/>
      <w:r w:rsidRPr="001F46DF">
        <w:rPr>
          <w:rFonts w:ascii="Arial" w:hAnsi="Arial" w:cs="Arial"/>
          <w:color w:val="000000" w:themeColor="text1"/>
          <w:sz w:val="22"/>
          <w:szCs w:val="22"/>
        </w:rPr>
        <w:t xml:space="preserve"> 2019; </w:t>
      </w:r>
      <w:r w:rsidR="003F4F27" w:rsidRPr="001F46DF">
        <w:rPr>
          <w:rFonts w:ascii="Arial" w:hAnsi="Arial" w:cs="Arial"/>
          <w:color w:val="000000" w:themeColor="text1"/>
          <w:sz w:val="22"/>
          <w:szCs w:val="22"/>
        </w:rPr>
        <w:t>this issue</w:t>
      </w:r>
    </w:p>
    <w:p w14:paraId="3C5730C4" w14:textId="77777777" w:rsidR="0090146D" w:rsidRPr="001F46DF" w:rsidRDefault="003F4F27" w:rsidP="001F46DF">
      <w:pPr>
        <w:pStyle w:val="ListParagraph"/>
        <w:numPr>
          <w:ilvl w:val="0"/>
          <w:numId w:val="3"/>
        </w:numPr>
        <w:spacing w:after="120"/>
        <w:ind w:left="357" w:hanging="357"/>
        <w:jc w:val="both"/>
        <w:rPr>
          <w:rFonts w:ascii="Arial" w:hAnsi="Arial" w:cs="Arial"/>
          <w:color w:val="000000" w:themeColor="text1"/>
          <w:sz w:val="22"/>
          <w:szCs w:val="22"/>
        </w:rPr>
      </w:pPr>
      <w:r w:rsidRPr="001F46DF">
        <w:rPr>
          <w:rFonts w:ascii="Arial" w:hAnsi="Arial" w:cs="Arial"/>
          <w:color w:val="000000" w:themeColor="text1"/>
          <w:sz w:val="22"/>
          <w:szCs w:val="22"/>
        </w:rPr>
        <w:t xml:space="preserve">Cappuccio FP, Sever PS on behalf of the British and Irish Hypertension Society. J Hum </w:t>
      </w:r>
      <w:proofErr w:type="spellStart"/>
      <w:r w:rsidRPr="001F46DF">
        <w:rPr>
          <w:rFonts w:ascii="Arial" w:hAnsi="Arial" w:cs="Arial"/>
          <w:color w:val="000000" w:themeColor="text1"/>
          <w:sz w:val="22"/>
          <w:szCs w:val="22"/>
        </w:rPr>
        <w:t>Hypert</w:t>
      </w:r>
      <w:proofErr w:type="spellEnd"/>
      <w:r w:rsidRPr="001F46DF">
        <w:rPr>
          <w:rFonts w:ascii="Arial" w:hAnsi="Arial" w:cs="Arial"/>
          <w:color w:val="000000" w:themeColor="text1"/>
          <w:sz w:val="22"/>
          <w:szCs w:val="22"/>
        </w:rPr>
        <w:t xml:space="preserve"> 2019; 33: 345-348</w:t>
      </w:r>
    </w:p>
    <w:p w14:paraId="77F6AE36" w14:textId="77777777" w:rsidR="00A71217" w:rsidRPr="001F46DF" w:rsidRDefault="0090146D" w:rsidP="001F46DF">
      <w:pPr>
        <w:pStyle w:val="ListParagraph"/>
        <w:numPr>
          <w:ilvl w:val="0"/>
          <w:numId w:val="3"/>
        </w:numPr>
        <w:spacing w:after="120"/>
        <w:ind w:left="357" w:hanging="357"/>
        <w:jc w:val="both"/>
        <w:rPr>
          <w:rFonts w:ascii="Arial" w:hAnsi="Arial" w:cs="Arial"/>
          <w:color w:val="000000" w:themeColor="text1"/>
          <w:sz w:val="22"/>
          <w:szCs w:val="22"/>
        </w:rPr>
      </w:pPr>
      <w:r w:rsidRPr="001F46DF">
        <w:rPr>
          <w:rFonts w:ascii="Arial" w:hAnsi="Arial" w:cs="Arial"/>
          <w:color w:val="000000" w:themeColor="text1"/>
          <w:sz w:val="22"/>
          <w:szCs w:val="22"/>
        </w:rPr>
        <w:t xml:space="preserve">Cappuccio FP, Beer M, </w:t>
      </w:r>
      <w:proofErr w:type="spellStart"/>
      <w:r w:rsidRPr="001F46DF">
        <w:rPr>
          <w:rFonts w:ascii="Arial" w:hAnsi="Arial" w:cs="Arial"/>
          <w:color w:val="000000" w:themeColor="text1"/>
          <w:sz w:val="22"/>
          <w:szCs w:val="22"/>
        </w:rPr>
        <w:t>Strazzullo</w:t>
      </w:r>
      <w:proofErr w:type="spellEnd"/>
      <w:r w:rsidRPr="001F46DF">
        <w:rPr>
          <w:rFonts w:ascii="Arial" w:hAnsi="Arial" w:cs="Arial"/>
          <w:color w:val="000000" w:themeColor="text1"/>
          <w:sz w:val="22"/>
          <w:szCs w:val="22"/>
        </w:rPr>
        <w:t xml:space="preserve"> P on behalf of the European Salt Action Network. Population dietary salt reduction and the risk of cardiovascular disease. A scientific statement from the European Salt Action Network. </w:t>
      </w:r>
      <w:proofErr w:type="spellStart"/>
      <w:r w:rsidRPr="001F46DF">
        <w:rPr>
          <w:rFonts w:ascii="Arial" w:hAnsi="Arial" w:cs="Arial"/>
          <w:color w:val="000000" w:themeColor="text1"/>
          <w:sz w:val="22"/>
          <w:szCs w:val="22"/>
        </w:rPr>
        <w:t>Nutr</w:t>
      </w:r>
      <w:proofErr w:type="spellEnd"/>
      <w:r w:rsidRPr="001F46DF">
        <w:rPr>
          <w:rFonts w:ascii="Arial" w:hAnsi="Arial" w:cs="Arial"/>
          <w:color w:val="000000" w:themeColor="text1"/>
          <w:sz w:val="22"/>
          <w:szCs w:val="22"/>
        </w:rPr>
        <w:t xml:space="preserve"> </w:t>
      </w:r>
      <w:proofErr w:type="spellStart"/>
      <w:r w:rsidRPr="001F46DF">
        <w:rPr>
          <w:rFonts w:ascii="Arial" w:hAnsi="Arial" w:cs="Arial"/>
          <w:color w:val="000000" w:themeColor="text1"/>
          <w:sz w:val="22"/>
          <w:szCs w:val="22"/>
        </w:rPr>
        <w:t>Metab</w:t>
      </w:r>
      <w:proofErr w:type="spellEnd"/>
      <w:r w:rsidRPr="001F46DF">
        <w:rPr>
          <w:rFonts w:ascii="Arial" w:hAnsi="Arial" w:cs="Arial"/>
          <w:color w:val="000000" w:themeColor="text1"/>
          <w:sz w:val="22"/>
          <w:szCs w:val="22"/>
        </w:rPr>
        <w:t xml:space="preserve"> </w:t>
      </w:r>
      <w:proofErr w:type="spellStart"/>
      <w:r w:rsidRPr="001F46DF">
        <w:rPr>
          <w:rFonts w:ascii="Arial" w:hAnsi="Arial" w:cs="Arial"/>
          <w:color w:val="000000" w:themeColor="text1"/>
          <w:sz w:val="22"/>
          <w:szCs w:val="22"/>
        </w:rPr>
        <w:t>Cardiovasc</w:t>
      </w:r>
      <w:proofErr w:type="spellEnd"/>
      <w:r w:rsidRPr="001F46DF">
        <w:rPr>
          <w:rFonts w:ascii="Arial" w:hAnsi="Arial" w:cs="Arial"/>
          <w:color w:val="000000" w:themeColor="text1"/>
          <w:sz w:val="22"/>
          <w:szCs w:val="22"/>
        </w:rPr>
        <w:t xml:space="preserve"> Dis 2019; 29: 107-114.</w:t>
      </w:r>
    </w:p>
    <w:p w14:paraId="4D8633BE" w14:textId="77777777" w:rsidR="00A71217" w:rsidRPr="001F46DF" w:rsidRDefault="00D37E95" w:rsidP="001F46DF">
      <w:pPr>
        <w:pStyle w:val="ListParagraph"/>
        <w:numPr>
          <w:ilvl w:val="0"/>
          <w:numId w:val="3"/>
        </w:numPr>
        <w:spacing w:after="120"/>
        <w:ind w:left="357" w:hanging="357"/>
        <w:jc w:val="both"/>
        <w:rPr>
          <w:rFonts w:ascii="Arial" w:eastAsia="Times New Roman" w:hAnsi="Arial" w:cs="Arial"/>
          <w:color w:val="000000" w:themeColor="text1"/>
          <w:sz w:val="22"/>
          <w:szCs w:val="22"/>
        </w:rPr>
      </w:pPr>
      <w:r w:rsidRPr="001F46DF">
        <w:rPr>
          <w:rFonts w:ascii="Arial" w:eastAsia="Times New Roman" w:hAnsi="Arial" w:cs="Arial"/>
          <w:color w:val="000000" w:themeColor="text1"/>
          <w:sz w:val="22"/>
          <w:szCs w:val="22"/>
        </w:rPr>
        <w:t>Campbell NRC, He FJ, Tan M, </w:t>
      </w:r>
      <w:r w:rsidRPr="001F46DF">
        <w:rPr>
          <w:rFonts w:ascii="Arial" w:eastAsia="Times New Roman" w:hAnsi="Arial" w:cs="Arial"/>
          <w:bCs/>
          <w:color w:val="000000" w:themeColor="text1"/>
          <w:sz w:val="22"/>
          <w:szCs w:val="22"/>
        </w:rPr>
        <w:t>Cappuccio FP,</w:t>
      </w:r>
      <w:r w:rsidRPr="001F46DF">
        <w:rPr>
          <w:rFonts w:ascii="Arial" w:eastAsia="Times New Roman" w:hAnsi="Arial" w:cs="Arial"/>
          <w:color w:val="000000" w:themeColor="text1"/>
          <w:sz w:val="22"/>
          <w:szCs w:val="22"/>
        </w:rPr>
        <w:t> Neal B, Woodward M, et al. The International Consortium for Quality Research on Dietary Sodium/Salt (TRUE) position statement on the use of 24-hour, spot and short duration (less than 24-hours) timed urine collections to assess dietary sodium intake. </w:t>
      </w:r>
      <w:r w:rsidRPr="001F46DF">
        <w:rPr>
          <w:rFonts w:ascii="Arial" w:eastAsia="Times New Roman" w:hAnsi="Arial" w:cs="Arial"/>
          <w:iCs/>
          <w:color w:val="000000" w:themeColor="text1"/>
          <w:sz w:val="22"/>
          <w:szCs w:val="22"/>
        </w:rPr>
        <w:t xml:space="preserve">J </w:t>
      </w:r>
      <w:proofErr w:type="spellStart"/>
      <w:r w:rsidRPr="001F46DF">
        <w:rPr>
          <w:rFonts w:ascii="Arial" w:eastAsia="Times New Roman" w:hAnsi="Arial" w:cs="Arial"/>
          <w:iCs/>
          <w:color w:val="000000" w:themeColor="text1"/>
          <w:sz w:val="22"/>
          <w:szCs w:val="22"/>
        </w:rPr>
        <w:t>Clin</w:t>
      </w:r>
      <w:proofErr w:type="spellEnd"/>
      <w:r w:rsidRPr="001F46DF">
        <w:rPr>
          <w:rFonts w:ascii="Arial" w:eastAsia="Times New Roman" w:hAnsi="Arial" w:cs="Arial"/>
          <w:iCs/>
          <w:color w:val="000000" w:themeColor="text1"/>
          <w:sz w:val="22"/>
          <w:szCs w:val="22"/>
        </w:rPr>
        <w:t xml:space="preserve"> </w:t>
      </w:r>
      <w:proofErr w:type="spellStart"/>
      <w:r w:rsidRPr="001F46DF">
        <w:rPr>
          <w:rFonts w:ascii="Arial" w:eastAsia="Times New Roman" w:hAnsi="Arial" w:cs="Arial"/>
          <w:iCs/>
          <w:color w:val="000000" w:themeColor="text1"/>
          <w:sz w:val="22"/>
          <w:szCs w:val="22"/>
        </w:rPr>
        <w:t>Hypertens</w:t>
      </w:r>
      <w:proofErr w:type="spellEnd"/>
      <w:r w:rsidRPr="001F46DF">
        <w:rPr>
          <w:rFonts w:ascii="Arial" w:eastAsia="Times New Roman" w:hAnsi="Arial" w:cs="Arial"/>
          <w:color w:val="000000" w:themeColor="text1"/>
          <w:sz w:val="22"/>
          <w:szCs w:val="22"/>
        </w:rPr>
        <w:t xml:space="preserve"> 2019; </w:t>
      </w:r>
      <w:r w:rsidR="00A71217" w:rsidRPr="001F46DF">
        <w:rPr>
          <w:rFonts w:ascii="Arial" w:eastAsia="Times New Roman" w:hAnsi="Arial" w:cs="Arial"/>
          <w:color w:val="000000" w:themeColor="text1"/>
          <w:sz w:val="22"/>
          <w:szCs w:val="22"/>
        </w:rPr>
        <w:t xml:space="preserve">on-line April 4; </w:t>
      </w:r>
      <w:proofErr w:type="spellStart"/>
      <w:r w:rsidRPr="001F46DF">
        <w:rPr>
          <w:rFonts w:ascii="Arial" w:eastAsia="Times New Roman" w:hAnsi="Arial" w:cs="Arial"/>
          <w:color w:val="000000" w:themeColor="text1"/>
          <w:sz w:val="22"/>
          <w:szCs w:val="22"/>
        </w:rPr>
        <w:t>doi</w:t>
      </w:r>
      <w:proofErr w:type="spellEnd"/>
      <w:r w:rsidRPr="001F46DF">
        <w:rPr>
          <w:rFonts w:ascii="Arial" w:eastAsia="Times New Roman" w:hAnsi="Arial" w:cs="Arial"/>
          <w:color w:val="000000" w:themeColor="text1"/>
          <w:sz w:val="22"/>
          <w:szCs w:val="22"/>
        </w:rPr>
        <w:t>: 10.1111/jch.13551.</w:t>
      </w:r>
    </w:p>
    <w:p w14:paraId="307BF00B" w14:textId="77777777" w:rsidR="00D37E95" w:rsidRPr="001F46DF" w:rsidRDefault="00FF7D17" w:rsidP="001F46DF">
      <w:pPr>
        <w:pStyle w:val="ListParagraph"/>
        <w:numPr>
          <w:ilvl w:val="0"/>
          <w:numId w:val="3"/>
        </w:numPr>
        <w:spacing w:after="120"/>
        <w:ind w:left="357" w:hanging="357"/>
        <w:jc w:val="both"/>
        <w:rPr>
          <w:rFonts w:ascii="Arial" w:hAnsi="Arial" w:cs="Arial"/>
          <w:color w:val="000000" w:themeColor="text1"/>
          <w:sz w:val="22"/>
          <w:szCs w:val="22"/>
        </w:rPr>
      </w:pPr>
      <w:r w:rsidRPr="001F46DF">
        <w:rPr>
          <w:rFonts w:ascii="Arial" w:hAnsi="Arial" w:cs="Arial"/>
          <w:color w:val="000000" w:themeColor="text1"/>
          <w:sz w:val="22"/>
          <w:szCs w:val="22"/>
        </w:rPr>
        <w:t xml:space="preserve">Huang L, Woodward M, </w:t>
      </w:r>
      <w:proofErr w:type="spellStart"/>
      <w:r w:rsidRPr="001F46DF">
        <w:rPr>
          <w:rFonts w:ascii="Arial" w:hAnsi="Arial" w:cs="Arial"/>
          <w:color w:val="000000" w:themeColor="text1"/>
          <w:sz w:val="22"/>
          <w:szCs w:val="22"/>
        </w:rPr>
        <w:t>Stepien</w:t>
      </w:r>
      <w:proofErr w:type="spellEnd"/>
      <w:r w:rsidRPr="001F46DF">
        <w:rPr>
          <w:rFonts w:ascii="Arial" w:hAnsi="Arial" w:cs="Arial"/>
          <w:color w:val="000000" w:themeColor="text1"/>
          <w:sz w:val="22"/>
          <w:szCs w:val="22"/>
        </w:rPr>
        <w:t xml:space="preserve"> S, Tian M, </w:t>
      </w:r>
      <w:proofErr w:type="spellStart"/>
      <w:r w:rsidRPr="001F46DF">
        <w:rPr>
          <w:rFonts w:ascii="Arial" w:hAnsi="Arial" w:cs="Arial"/>
          <w:color w:val="000000" w:themeColor="text1"/>
          <w:sz w:val="22"/>
          <w:szCs w:val="22"/>
        </w:rPr>
        <w:t>Yiu</w:t>
      </w:r>
      <w:proofErr w:type="spellEnd"/>
      <w:r w:rsidRPr="001F46DF">
        <w:rPr>
          <w:rFonts w:ascii="Arial" w:hAnsi="Arial" w:cs="Arial"/>
          <w:color w:val="000000" w:themeColor="text1"/>
          <w:sz w:val="22"/>
          <w:szCs w:val="22"/>
        </w:rPr>
        <w:t xml:space="preserve"> X, </w:t>
      </w:r>
      <w:proofErr w:type="spellStart"/>
      <w:r w:rsidRPr="001F46DF">
        <w:rPr>
          <w:rFonts w:ascii="Arial" w:hAnsi="Arial" w:cs="Arial"/>
          <w:color w:val="000000" w:themeColor="text1"/>
          <w:sz w:val="22"/>
          <w:szCs w:val="22"/>
        </w:rPr>
        <w:t>Hao</w:t>
      </w:r>
      <w:proofErr w:type="spellEnd"/>
      <w:r w:rsidRPr="001F46DF">
        <w:rPr>
          <w:rFonts w:ascii="Arial" w:hAnsi="Arial" w:cs="Arial"/>
          <w:color w:val="000000" w:themeColor="text1"/>
          <w:sz w:val="22"/>
          <w:szCs w:val="22"/>
        </w:rPr>
        <w:t xml:space="preserve"> Z, et al. Spot urine samples compared to 24-h urine samples for estimating changes in urinary sodium and potassium excretion in the China Salt Substitute and Stroke Study. </w:t>
      </w:r>
      <w:proofErr w:type="spellStart"/>
      <w:r w:rsidRPr="001F46DF">
        <w:rPr>
          <w:rFonts w:ascii="Arial" w:hAnsi="Arial" w:cs="Arial"/>
          <w:color w:val="000000" w:themeColor="text1"/>
          <w:sz w:val="22"/>
          <w:szCs w:val="22"/>
        </w:rPr>
        <w:t>Int</w:t>
      </w:r>
      <w:proofErr w:type="spellEnd"/>
      <w:r w:rsidRPr="001F46DF">
        <w:rPr>
          <w:rFonts w:ascii="Arial" w:hAnsi="Arial" w:cs="Arial"/>
          <w:color w:val="000000" w:themeColor="text1"/>
          <w:sz w:val="22"/>
          <w:szCs w:val="22"/>
        </w:rPr>
        <w:t xml:space="preserve"> J </w:t>
      </w:r>
      <w:proofErr w:type="spellStart"/>
      <w:r w:rsidRPr="001F46DF">
        <w:rPr>
          <w:rFonts w:ascii="Arial" w:hAnsi="Arial" w:cs="Arial"/>
          <w:color w:val="000000" w:themeColor="text1"/>
          <w:sz w:val="22"/>
          <w:szCs w:val="22"/>
        </w:rPr>
        <w:t>Epidemiol</w:t>
      </w:r>
      <w:proofErr w:type="spellEnd"/>
      <w:r w:rsidRPr="001F46DF">
        <w:rPr>
          <w:rFonts w:ascii="Arial" w:hAnsi="Arial" w:cs="Arial"/>
          <w:color w:val="000000" w:themeColor="text1"/>
          <w:sz w:val="22"/>
          <w:szCs w:val="22"/>
        </w:rPr>
        <w:t xml:space="preserve"> 2018; 47: 1811-1820.</w:t>
      </w:r>
    </w:p>
    <w:p w14:paraId="1DB49EAE" w14:textId="77777777" w:rsidR="00D93EDC" w:rsidRPr="001F46DF" w:rsidRDefault="00D93EDC" w:rsidP="001F46DF">
      <w:pPr>
        <w:pStyle w:val="ListParagraph"/>
        <w:numPr>
          <w:ilvl w:val="0"/>
          <w:numId w:val="3"/>
        </w:numPr>
        <w:spacing w:after="120"/>
        <w:ind w:left="357" w:hanging="357"/>
        <w:jc w:val="both"/>
        <w:rPr>
          <w:rFonts w:ascii="Arial" w:eastAsia="Times New Roman" w:hAnsi="Arial" w:cs="Arial"/>
          <w:color w:val="000000" w:themeColor="text1"/>
          <w:sz w:val="22"/>
          <w:szCs w:val="22"/>
        </w:rPr>
      </w:pPr>
      <w:r w:rsidRPr="001F46DF">
        <w:rPr>
          <w:rFonts w:ascii="Arial" w:eastAsia="Times New Roman" w:hAnsi="Arial" w:cs="Arial"/>
          <w:color w:val="000000" w:themeColor="text1"/>
          <w:sz w:val="22"/>
          <w:szCs w:val="22"/>
          <w:shd w:val="clear" w:color="auto" w:fill="FFFFFF"/>
        </w:rPr>
        <w:t>World Health Organization. </w:t>
      </w:r>
      <w:r w:rsidRPr="001F46DF">
        <w:rPr>
          <w:rFonts w:ascii="Arial" w:eastAsia="Times New Roman" w:hAnsi="Arial" w:cs="Arial"/>
          <w:iCs/>
          <w:color w:val="000000" w:themeColor="text1"/>
          <w:sz w:val="22"/>
          <w:szCs w:val="22"/>
        </w:rPr>
        <w:t>How to obtain measures of population-level sodium intake in 24-hour urine samples</w:t>
      </w:r>
      <w:r w:rsidRPr="001F46DF">
        <w:rPr>
          <w:rFonts w:ascii="Arial" w:eastAsia="Times New Roman" w:hAnsi="Arial" w:cs="Arial"/>
          <w:color w:val="000000" w:themeColor="text1"/>
          <w:sz w:val="22"/>
          <w:szCs w:val="22"/>
          <w:shd w:val="clear" w:color="auto" w:fill="FFFFFF"/>
        </w:rPr>
        <w:t>. World Health Organization / Regional Office of the Eastern Mediterranean, WHO-EM/NUT/279/E, 2018; pp. 1- 51</w:t>
      </w:r>
    </w:p>
    <w:p w14:paraId="35383408" w14:textId="77777777" w:rsidR="00D93EDC" w:rsidRPr="001F46DF" w:rsidRDefault="00D93EDC" w:rsidP="001F46DF">
      <w:pPr>
        <w:pStyle w:val="ListParagraph"/>
        <w:numPr>
          <w:ilvl w:val="0"/>
          <w:numId w:val="3"/>
        </w:numPr>
        <w:ind w:left="357" w:hanging="357"/>
        <w:jc w:val="both"/>
        <w:rPr>
          <w:rFonts w:ascii="Arial" w:eastAsia="Times New Roman" w:hAnsi="Arial" w:cs="Arial"/>
          <w:color w:val="000000" w:themeColor="text1"/>
          <w:sz w:val="22"/>
          <w:szCs w:val="22"/>
        </w:rPr>
      </w:pPr>
      <w:r w:rsidRPr="001F46DF">
        <w:rPr>
          <w:rFonts w:ascii="Arial" w:eastAsia="Times New Roman" w:hAnsi="Arial" w:cs="Arial"/>
          <w:bCs/>
          <w:color w:val="000000" w:themeColor="text1"/>
          <w:sz w:val="22"/>
          <w:szCs w:val="22"/>
        </w:rPr>
        <w:t xml:space="preserve">World Health Organization. </w:t>
      </w:r>
      <w:r w:rsidRPr="001F46DF">
        <w:rPr>
          <w:rFonts w:ascii="Arial" w:eastAsia="Times New Roman" w:hAnsi="Arial" w:cs="Arial"/>
          <w:iCs/>
          <w:color w:val="000000" w:themeColor="text1"/>
          <w:sz w:val="22"/>
          <w:szCs w:val="22"/>
        </w:rPr>
        <w:t>Dietary intake salt survey in the Republic of Moldova 2016</w:t>
      </w:r>
      <w:r w:rsidRPr="001F46DF">
        <w:rPr>
          <w:rFonts w:ascii="Arial" w:eastAsia="Times New Roman" w:hAnsi="Arial" w:cs="Arial"/>
          <w:color w:val="000000" w:themeColor="text1"/>
          <w:sz w:val="22"/>
          <w:szCs w:val="22"/>
        </w:rPr>
        <w:t>. World Health Organization, Regional Office for Europe, 2018; pp. 1-108</w:t>
      </w:r>
    </w:p>
    <w:p w14:paraId="4830E0EF" w14:textId="77777777" w:rsidR="00951A2B" w:rsidRPr="001F46DF" w:rsidRDefault="00951A2B" w:rsidP="001F46DF">
      <w:pPr>
        <w:pStyle w:val="NormalWeb"/>
        <w:numPr>
          <w:ilvl w:val="0"/>
          <w:numId w:val="3"/>
        </w:numPr>
        <w:spacing w:before="0" w:beforeAutospacing="0" w:after="0" w:afterAutospacing="0"/>
        <w:ind w:left="357" w:hanging="357"/>
        <w:jc w:val="both"/>
        <w:rPr>
          <w:rFonts w:ascii="Arial" w:hAnsi="Arial" w:cs="Arial"/>
          <w:sz w:val="22"/>
          <w:szCs w:val="22"/>
        </w:rPr>
      </w:pPr>
      <w:r w:rsidRPr="001F46DF">
        <w:rPr>
          <w:rFonts w:ascii="Arial" w:hAnsi="Arial" w:cs="Arial"/>
          <w:color w:val="000000" w:themeColor="text1"/>
          <w:sz w:val="22"/>
          <w:szCs w:val="22"/>
        </w:rPr>
        <w:t xml:space="preserve">World Health Organization. </w:t>
      </w:r>
      <w:r w:rsidRPr="001F46DF">
        <w:rPr>
          <w:rFonts w:ascii="Arial" w:hAnsi="Arial" w:cs="Arial"/>
          <w:sz w:val="22"/>
          <w:szCs w:val="22"/>
        </w:rPr>
        <w:t>Global action plan for the prevention and control of noncommunicable diseases 2013-2020.  World Health Organization, Geneva; 2013; pp. 1-</w:t>
      </w:r>
      <w:r w:rsidR="00954BBD" w:rsidRPr="001F46DF">
        <w:rPr>
          <w:rFonts w:ascii="Arial" w:hAnsi="Arial" w:cs="Arial"/>
          <w:sz w:val="22"/>
          <w:szCs w:val="22"/>
        </w:rPr>
        <w:t xml:space="preserve">102 </w:t>
      </w:r>
      <w:r w:rsidRPr="001F46DF">
        <w:rPr>
          <w:rFonts w:ascii="Arial" w:hAnsi="Arial" w:cs="Arial"/>
          <w:sz w:val="22"/>
          <w:szCs w:val="22"/>
        </w:rPr>
        <w:t>(ISBN 978 92 4 150623 6)</w:t>
      </w:r>
    </w:p>
    <w:p w14:paraId="16321C59" w14:textId="51980AA8" w:rsidR="00951A2B" w:rsidRPr="00B90650" w:rsidRDefault="00B90650" w:rsidP="00951A2B">
      <w:pPr>
        <w:pStyle w:val="NormalWeb"/>
        <w:jc w:val="both"/>
        <w:rPr>
          <w:rFonts w:ascii="Arial" w:hAnsi="Arial" w:cs="Arial"/>
          <w:b/>
        </w:rPr>
      </w:pPr>
      <w:r w:rsidRPr="00B90650">
        <w:rPr>
          <w:rFonts w:ascii="Arial" w:hAnsi="Arial" w:cs="Arial"/>
          <w:b/>
        </w:rPr>
        <w:t>Conflict of interest</w:t>
      </w:r>
    </w:p>
    <w:p w14:paraId="0650C257" w14:textId="29DBBC54" w:rsidR="00B90650" w:rsidRPr="00951A2B" w:rsidRDefault="00B90650" w:rsidP="00951A2B">
      <w:pPr>
        <w:pStyle w:val="NormalWeb"/>
        <w:jc w:val="both"/>
        <w:rPr>
          <w:rFonts w:ascii="Arial" w:hAnsi="Arial" w:cs="Arial"/>
        </w:rPr>
      </w:pPr>
      <w:r>
        <w:rPr>
          <w:rFonts w:ascii="Arial" w:hAnsi="Arial" w:cs="Arial"/>
        </w:rPr>
        <w:t>FPC is a technical advisor to the World Health Organization, President and Trustee of the British and Irish Hypertension Society. PSS declares that he has no conflict of interest.</w:t>
      </w:r>
    </w:p>
    <w:p w14:paraId="1B764EE9" w14:textId="77777777" w:rsidR="00D93EDC" w:rsidRPr="00D93EDC" w:rsidRDefault="00D93EDC" w:rsidP="00D93EDC">
      <w:pPr>
        <w:jc w:val="both"/>
        <w:rPr>
          <w:rFonts w:ascii="Arial" w:hAnsi="Arial" w:cs="Arial"/>
          <w:color w:val="000000" w:themeColor="text1"/>
        </w:rPr>
      </w:pPr>
    </w:p>
    <w:sectPr w:rsidR="00D93EDC" w:rsidRPr="00D93EDC" w:rsidSect="00D03F9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45CDE"/>
    <w:multiLevelType w:val="multilevel"/>
    <w:tmpl w:val="D690D8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12C87"/>
    <w:multiLevelType w:val="hybridMultilevel"/>
    <w:tmpl w:val="E8B04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120D1F"/>
    <w:multiLevelType w:val="multilevel"/>
    <w:tmpl w:val="4246D3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B5E"/>
    <w:rsid w:val="0001110B"/>
    <w:rsid w:val="00077151"/>
    <w:rsid w:val="001E14C3"/>
    <w:rsid w:val="001F46DF"/>
    <w:rsid w:val="003F4F27"/>
    <w:rsid w:val="00407A45"/>
    <w:rsid w:val="00540513"/>
    <w:rsid w:val="00591B28"/>
    <w:rsid w:val="00871CF6"/>
    <w:rsid w:val="0090146D"/>
    <w:rsid w:val="00913B5E"/>
    <w:rsid w:val="00942BD3"/>
    <w:rsid w:val="00951A2B"/>
    <w:rsid w:val="00954BBD"/>
    <w:rsid w:val="00A66573"/>
    <w:rsid w:val="00A71217"/>
    <w:rsid w:val="00B86CBF"/>
    <w:rsid w:val="00B90650"/>
    <w:rsid w:val="00BF4A46"/>
    <w:rsid w:val="00C00D1C"/>
    <w:rsid w:val="00CC4CE3"/>
    <w:rsid w:val="00D03F9A"/>
    <w:rsid w:val="00D37E95"/>
    <w:rsid w:val="00D93EDC"/>
    <w:rsid w:val="00E11179"/>
    <w:rsid w:val="00F0457A"/>
    <w:rsid w:val="00F8685D"/>
    <w:rsid w:val="00FF7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430C6"/>
  <w14:defaultImageDpi w14:val="32767"/>
  <w15:chartTrackingRefBased/>
  <w15:docId w15:val="{28648E7C-7C6E-6E4F-83C0-3FF9BC9B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37E95"/>
  </w:style>
  <w:style w:type="character" w:styleId="Strong">
    <w:name w:val="Strong"/>
    <w:basedOn w:val="DefaultParagraphFont"/>
    <w:uiPriority w:val="22"/>
    <w:qFormat/>
    <w:rsid w:val="00D37E95"/>
    <w:rPr>
      <w:b/>
      <w:bCs/>
    </w:rPr>
  </w:style>
  <w:style w:type="character" w:styleId="Emphasis">
    <w:name w:val="Emphasis"/>
    <w:basedOn w:val="DefaultParagraphFont"/>
    <w:uiPriority w:val="20"/>
    <w:qFormat/>
    <w:rsid w:val="00D37E95"/>
    <w:rPr>
      <w:i/>
      <w:iCs/>
    </w:rPr>
  </w:style>
  <w:style w:type="character" w:styleId="Hyperlink">
    <w:name w:val="Hyperlink"/>
    <w:basedOn w:val="DefaultParagraphFont"/>
    <w:uiPriority w:val="99"/>
    <w:semiHidden/>
    <w:unhideWhenUsed/>
    <w:rsid w:val="00D37E95"/>
    <w:rPr>
      <w:color w:val="0000FF"/>
      <w:u w:val="single"/>
    </w:rPr>
  </w:style>
  <w:style w:type="paragraph" w:styleId="NormalWeb">
    <w:name w:val="Normal (Web)"/>
    <w:basedOn w:val="Normal"/>
    <w:uiPriority w:val="99"/>
    <w:semiHidden/>
    <w:unhideWhenUsed/>
    <w:rsid w:val="00951A2B"/>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F46DF"/>
    <w:pPr>
      <w:ind w:left="720"/>
      <w:contextualSpacing/>
    </w:pPr>
  </w:style>
  <w:style w:type="paragraph" w:styleId="BalloonText">
    <w:name w:val="Balloon Text"/>
    <w:basedOn w:val="Normal"/>
    <w:link w:val="BalloonTextChar"/>
    <w:uiPriority w:val="99"/>
    <w:semiHidden/>
    <w:unhideWhenUsed/>
    <w:rsid w:val="00A6657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6657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901812">
      <w:bodyDiv w:val="1"/>
      <w:marLeft w:val="0"/>
      <w:marRight w:val="0"/>
      <w:marTop w:val="0"/>
      <w:marBottom w:val="0"/>
      <w:divBdr>
        <w:top w:val="none" w:sz="0" w:space="0" w:color="auto"/>
        <w:left w:val="none" w:sz="0" w:space="0" w:color="auto"/>
        <w:bottom w:val="none" w:sz="0" w:space="0" w:color="auto"/>
        <w:right w:val="none" w:sz="0" w:space="0" w:color="auto"/>
      </w:divBdr>
      <w:divsChild>
        <w:div w:id="1833595052">
          <w:marLeft w:val="0"/>
          <w:marRight w:val="0"/>
          <w:marTop w:val="0"/>
          <w:marBottom w:val="0"/>
          <w:divBdr>
            <w:top w:val="none" w:sz="0" w:space="0" w:color="auto"/>
            <w:left w:val="none" w:sz="0" w:space="0" w:color="auto"/>
            <w:bottom w:val="none" w:sz="0" w:space="0" w:color="auto"/>
            <w:right w:val="none" w:sz="0" w:space="0" w:color="auto"/>
          </w:divBdr>
          <w:divsChild>
            <w:div w:id="1241063602">
              <w:marLeft w:val="0"/>
              <w:marRight w:val="0"/>
              <w:marTop w:val="0"/>
              <w:marBottom w:val="0"/>
              <w:divBdr>
                <w:top w:val="none" w:sz="0" w:space="0" w:color="auto"/>
                <w:left w:val="none" w:sz="0" w:space="0" w:color="auto"/>
                <w:bottom w:val="none" w:sz="0" w:space="0" w:color="auto"/>
                <w:right w:val="none" w:sz="0" w:space="0" w:color="auto"/>
              </w:divBdr>
              <w:divsChild>
                <w:div w:id="103804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020170">
      <w:bodyDiv w:val="1"/>
      <w:marLeft w:val="0"/>
      <w:marRight w:val="0"/>
      <w:marTop w:val="0"/>
      <w:marBottom w:val="0"/>
      <w:divBdr>
        <w:top w:val="none" w:sz="0" w:space="0" w:color="auto"/>
        <w:left w:val="none" w:sz="0" w:space="0" w:color="auto"/>
        <w:bottom w:val="none" w:sz="0" w:space="0" w:color="auto"/>
        <w:right w:val="none" w:sz="0" w:space="0" w:color="auto"/>
      </w:divBdr>
    </w:div>
    <w:div w:id="383455287">
      <w:bodyDiv w:val="1"/>
      <w:marLeft w:val="0"/>
      <w:marRight w:val="0"/>
      <w:marTop w:val="0"/>
      <w:marBottom w:val="0"/>
      <w:divBdr>
        <w:top w:val="none" w:sz="0" w:space="0" w:color="auto"/>
        <w:left w:val="none" w:sz="0" w:space="0" w:color="auto"/>
        <w:bottom w:val="none" w:sz="0" w:space="0" w:color="auto"/>
        <w:right w:val="none" w:sz="0" w:space="0" w:color="auto"/>
      </w:divBdr>
    </w:div>
    <w:div w:id="1142232052">
      <w:bodyDiv w:val="1"/>
      <w:marLeft w:val="0"/>
      <w:marRight w:val="0"/>
      <w:marTop w:val="0"/>
      <w:marBottom w:val="0"/>
      <w:divBdr>
        <w:top w:val="none" w:sz="0" w:space="0" w:color="auto"/>
        <w:left w:val="none" w:sz="0" w:space="0" w:color="auto"/>
        <w:bottom w:val="none" w:sz="0" w:space="0" w:color="auto"/>
        <w:right w:val="none" w:sz="0" w:space="0" w:color="auto"/>
      </w:divBdr>
    </w:div>
    <w:div w:id="1630362016">
      <w:bodyDiv w:val="1"/>
      <w:marLeft w:val="0"/>
      <w:marRight w:val="0"/>
      <w:marTop w:val="0"/>
      <w:marBottom w:val="0"/>
      <w:divBdr>
        <w:top w:val="none" w:sz="0" w:space="0" w:color="auto"/>
        <w:left w:val="none" w:sz="0" w:space="0" w:color="auto"/>
        <w:bottom w:val="none" w:sz="0" w:space="0" w:color="auto"/>
        <w:right w:val="none" w:sz="0" w:space="0" w:color="auto"/>
      </w:divBdr>
      <w:divsChild>
        <w:div w:id="161622655">
          <w:marLeft w:val="0"/>
          <w:marRight w:val="0"/>
          <w:marTop w:val="0"/>
          <w:marBottom w:val="0"/>
          <w:divBdr>
            <w:top w:val="none" w:sz="0" w:space="0" w:color="auto"/>
            <w:left w:val="none" w:sz="0" w:space="0" w:color="auto"/>
            <w:bottom w:val="none" w:sz="0" w:space="0" w:color="auto"/>
            <w:right w:val="none" w:sz="0" w:space="0" w:color="auto"/>
          </w:divBdr>
          <w:divsChild>
            <w:div w:id="1448622868">
              <w:marLeft w:val="0"/>
              <w:marRight w:val="0"/>
              <w:marTop w:val="0"/>
              <w:marBottom w:val="0"/>
              <w:divBdr>
                <w:top w:val="none" w:sz="0" w:space="0" w:color="auto"/>
                <w:left w:val="none" w:sz="0" w:space="0" w:color="auto"/>
                <w:bottom w:val="none" w:sz="0" w:space="0" w:color="auto"/>
                <w:right w:val="none" w:sz="0" w:space="0" w:color="auto"/>
              </w:divBdr>
              <w:divsChild>
                <w:div w:id="104506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3761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Cappuccio, Francesco</dc:creator>
  <cp:keywords/>
  <dc:description/>
  <cp:lastModifiedBy>Green, Yvonne M</cp:lastModifiedBy>
  <cp:revision>2</cp:revision>
  <cp:lastPrinted>2019-11-19T11:45:00Z</cp:lastPrinted>
  <dcterms:created xsi:type="dcterms:W3CDTF">2019-11-19T11:46:00Z</dcterms:created>
  <dcterms:modified xsi:type="dcterms:W3CDTF">2019-11-19T11:46:00Z</dcterms:modified>
</cp:coreProperties>
</file>