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2832BD" w14:textId="2954B4B8" w:rsidR="00C8280F" w:rsidRPr="00911F80" w:rsidRDefault="002A54E1" w:rsidP="002618AE">
      <w:pPr>
        <w:spacing w:after="240"/>
        <w:jc w:val="both"/>
        <w:rPr>
          <w:rFonts w:ascii="Times New Roman" w:eastAsia="Times New Roman" w:hAnsi="Times New Roman" w:cs="Times New Roman"/>
          <w:b/>
          <w:sz w:val="28"/>
          <w:szCs w:val="28"/>
        </w:rPr>
      </w:pPr>
      <w:r w:rsidRPr="00911F80">
        <w:rPr>
          <w:rFonts w:ascii="Times New Roman" w:eastAsia="Times New Roman" w:hAnsi="Times New Roman" w:cs="Times New Roman"/>
          <w:b/>
          <w:sz w:val="28"/>
          <w:szCs w:val="28"/>
        </w:rPr>
        <w:t>Hydrogel substrate stress-relaxation regulates the spreading and proliferation of mouse myoblasts</w:t>
      </w:r>
    </w:p>
    <w:p w14:paraId="7D2F342E" w14:textId="4BB17613" w:rsidR="00C8280F" w:rsidRPr="00911F80" w:rsidRDefault="002A54E1" w:rsidP="002618AE">
      <w:pPr>
        <w:spacing w:after="240"/>
        <w:jc w:val="both"/>
        <w:rPr>
          <w:rFonts w:ascii="Times New Roman" w:eastAsia="Times New Roman" w:hAnsi="Times New Roman" w:cs="Times New Roman"/>
          <w:sz w:val="24"/>
          <w:szCs w:val="24"/>
          <w:vertAlign w:val="superscript"/>
        </w:rPr>
      </w:pPr>
      <w:r w:rsidRPr="00911F80">
        <w:rPr>
          <w:rFonts w:ascii="Times New Roman" w:eastAsia="Times New Roman" w:hAnsi="Times New Roman" w:cs="Times New Roman"/>
          <w:sz w:val="24"/>
          <w:szCs w:val="24"/>
        </w:rPr>
        <w:t>Aline Bauer</w:t>
      </w:r>
      <w:r w:rsidRPr="00911F80">
        <w:rPr>
          <w:rFonts w:ascii="Times New Roman" w:eastAsia="Times New Roman" w:hAnsi="Times New Roman" w:cs="Times New Roman"/>
          <w:sz w:val="24"/>
          <w:szCs w:val="24"/>
          <w:vertAlign w:val="superscript"/>
        </w:rPr>
        <w:t>a,b</w:t>
      </w:r>
      <w:r w:rsidRPr="00911F80">
        <w:rPr>
          <w:rFonts w:ascii="Times New Roman" w:eastAsia="Times New Roman" w:hAnsi="Times New Roman" w:cs="Times New Roman"/>
          <w:sz w:val="24"/>
          <w:szCs w:val="24"/>
        </w:rPr>
        <w:t>, Luo Gu</w:t>
      </w:r>
      <w:r w:rsidRPr="00911F80">
        <w:rPr>
          <w:rFonts w:ascii="Times New Roman" w:eastAsia="Times New Roman" w:hAnsi="Times New Roman" w:cs="Times New Roman"/>
          <w:sz w:val="24"/>
          <w:szCs w:val="24"/>
          <w:vertAlign w:val="superscript"/>
        </w:rPr>
        <w:t>a,</w:t>
      </w:r>
      <w:r w:rsidR="000A014F" w:rsidRPr="00911F80">
        <w:rPr>
          <w:rFonts w:ascii="Times New Roman" w:eastAsia="Times New Roman" w:hAnsi="Times New Roman" w:cs="Times New Roman"/>
          <w:sz w:val="24"/>
          <w:szCs w:val="24"/>
          <w:vertAlign w:val="superscript"/>
        </w:rPr>
        <w:t>c</w:t>
      </w:r>
      <w:r w:rsidRPr="00911F80">
        <w:rPr>
          <w:rFonts w:ascii="Times New Roman" w:eastAsia="Times New Roman" w:hAnsi="Times New Roman" w:cs="Times New Roman"/>
          <w:sz w:val="24"/>
          <w:szCs w:val="24"/>
        </w:rPr>
        <w:t>, Brian Kwee</w:t>
      </w:r>
      <w:r w:rsidRPr="00911F80">
        <w:rPr>
          <w:rFonts w:ascii="Times New Roman" w:eastAsia="Times New Roman" w:hAnsi="Times New Roman" w:cs="Times New Roman"/>
          <w:sz w:val="24"/>
          <w:szCs w:val="24"/>
          <w:vertAlign w:val="superscript"/>
        </w:rPr>
        <w:t>a,</w:t>
      </w:r>
      <w:r w:rsidR="000A014F" w:rsidRPr="00911F80">
        <w:rPr>
          <w:rFonts w:ascii="Times New Roman" w:eastAsia="Times New Roman" w:hAnsi="Times New Roman" w:cs="Times New Roman"/>
          <w:sz w:val="24"/>
          <w:szCs w:val="24"/>
          <w:vertAlign w:val="superscript"/>
        </w:rPr>
        <w:t>c</w:t>
      </w:r>
      <w:r w:rsidRPr="00911F80">
        <w:rPr>
          <w:rFonts w:ascii="Times New Roman" w:eastAsia="Times New Roman" w:hAnsi="Times New Roman" w:cs="Times New Roman"/>
          <w:sz w:val="24"/>
          <w:szCs w:val="24"/>
        </w:rPr>
        <w:t>, Aileen Li</w:t>
      </w:r>
      <w:r w:rsidRPr="00911F80">
        <w:rPr>
          <w:rFonts w:ascii="Times New Roman" w:eastAsia="Times New Roman" w:hAnsi="Times New Roman" w:cs="Times New Roman"/>
          <w:sz w:val="24"/>
          <w:szCs w:val="24"/>
          <w:vertAlign w:val="superscript"/>
        </w:rPr>
        <w:t>a,</w:t>
      </w:r>
      <w:r w:rsidR="000A014F" w:rsidRPr="00911F80">
        <w:rPr>
          <w:rFonts w:ascii="Times New Roman" w:eastAsia="Times New Roman" w:hAnsi="Times New Roman" w:cs="Times New Roman"/>
          <w:sz w:val="24"/>
          <w:szCs w:val="24"/>
          <w:vertAlign w:val="superscript"/>
        </w:rPr>
        <w:t>c</w:t>
      </w:r>
      <w:r w:rsidRPr="00911F80">
        <w:rPr>
          <w:rFonts w:ascii="Times New Roman" w:eastAsia="Times New Roman" w:hAnsi="Times New Roman" w:cs="Times New Roman"/>
          <w:sz w:val="24"/>
          <w:szCs w:val="24"/>
        </w:rPr>
        <w:t>, Maxence Dellacherie</w:t>
      </w:r>
      <w:r w:rsidRPr="00911F80">
        <w:rPr>
          <w:rFonts w:ascii="Times New Roman" w:eastAsia="Times New Roman" w:hAnsi="Times New Roman" w:cs="Times New Roman"/>
          <w:sz w:val="24"/>
          <w:szCs w:val="24"/>
          <w:vertAlign w:val="superscript"/>
        </w:rPr>
        <w:t>a,</w:t>
      </w:r>
      <w:r w:rsidR="000A014F" w:rsidRPr="00911F80">
        <w:rPr>
          <w:rFonts w:ascii="Times New Roman" w:eastAsia="Times New Roman" w:hAnsi="Times New Roman" w:cs="Times New Roman"/>
          <w:sz w:val="24"/>
          <w:szCs w:val="24"/>
          <w:vertAlign w:val="superscript"/>
        </w:rPr>
        <w:t>c</w:t>
      </w:r>
      <w:r w:rsidRPr="00911F80">
        <w:rPr>
          <w:rFonts w:ascii="Times New Roman" w:eastAsia="Times New Roman" w:hAnsi="Times New Roman" w:cs="Times New Roman"/>
          <w:sz w:val="24"/>
          <w:szCs w:val="24"/>
        </w:rPr>
        <w:t xml:space="preserve">, Adam </w:t>
      </w:r>
      <w:r w:rsidR="001576BA" w:rsidRPr="00911F80">
        <w:rPr>
          <w:rFonts w:ascii="Times New Roman" w:eastAsia="Times New Roman" w:hAnsi="Times New Roman" w:cs="Times New Roman"/>
          <w:sz w:val="24"/>
          <w:szCs w:val="24"/>
        </w:rPr>
        <w:t xml:space="preserve">D. </w:t>
      </w:r>
      <w:r w:rsidRPr="00911F80">
        <w:rPr>
          <w:rFonts w:ascii="Times New Roman" w:eastAsia="Times New Roman" w:hAnsi="Times New Roman" w:cs="Times New Roman"/>
          <w:sz w:val="24"/>
          <w:szCs w:val="24"/>
        </w:rPr>
        <w:t>Celiz</w:t>
      </w:r>
      <w:r w:rsidRPr="00911F80">
        <w:rPr>
          <w:rFonts w:ascii="Arial Unicode MS" w:eastAsia="Arial Unicode MS" w:hAnsi="Arial Unicode MS" w:cs="Arial Unicode MS"/>
          <w:sz w:val="24"/>
          <w:szCs w:val="24"/>
          <w:vertAlign w:val="superscript"/>
        </w:rPr>
        <w:t>a,</w:t>
      </w:r>
      <w:r w:rsidR="000A014F" w:rsidRPr="00911F80">
        <w:rPr>
          <w:rFonts w:ascii="Arial Unicode MS" w:eastAsia="Arial Unicode MS" w:hAnsi="Arial Unicode MS" w:cs="Arial Unicode MS"/>
          <w:sz w:val="24"/>
          <w:szCs w:val="24"/>
          <w:vertAlign w:val="superscript"/>
        </w:rPr>
        <w:t>d,e</w:t>
      </w:r>
      <w:r w:rsidRPr="00911F80">
        <w:rPr>
          <w:rFonts w:ascii="Times New Roman" w:eastAsia="Times New Roman" w:hAnsi="Times New Roman" w:cs="Times New Roman"/>
          <w:sz w:val="24"/>
          <w:szCs w:val="24"/>
        </w:rPr>
        <w:t>, David J. Mooney</w:t>
      </w:r>
      <w:r w:rsidR="000A014F" w:rsidRPr="00911F80">
        <w:rPr>
          <w:rFonts w:ascii="Times New Roman" w:eastAsia="Times New Roman" w:hAnsi="Times New Roman" w:cs="Times New Roman"/>
          <w:sz w:val="24"/>
          <w:szCs w:val="24"/>
          <w:vertAlign w:val="superscript"/>
        </w:rPr>
        <w:t>a,c</w:t>
      </w:r>
      <w:r w:rsidRPr="00911F80">
        <w:rPr>
          <w:rFonts w:ascii="Times New Roman" w:eastAsia="Times New Roman" w:hAnsi="Times New Roman" w:cs="Times New Roman"/>
          <w:sz w:val="24"/>
          <w:szCs w:val="24"/>
          <w:vertAlign w:val="superscript"/>
        </w:rPr>
        <w:t>*</w:t>
      </w:r>
    </w:p>
    <w:p w14:paraId="16F1B968" w14:textId="77777777"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32"/>
          <w:szCs w:val="40"/>
          <w:vertAlign w:val="superscript"/>
        </w:rPr>
        <w:t>a</w:t>
      </w:r>
      <w:r w:rsidRPr="00911F80">
        <w:rPr>
          <w:rFonts w:ascii="Times New Roman" w:eastAsia="Times New Roman" w:hAnsi="Times New Roman" w:cs="Times New Roman"/>
          <w:sz w:val="40"/>
          <w:szCs w:val="40"/>
          <w:vertAlign w:val="superscript"/>
        </w:rPr>
        <w:t xml:space="preserve"> </w:t>
      </w:r>
      <w:r w:rsidRPr="00911F80">
        <w:rPr>
          <w:rFonts w:ascii="Times New Roman" w:eastAsia="Times New Roman" w:hAnsi="Times New Roman" w:cs="Times New Roman"/>
          <w:sz w:val="24"/>
          <w:szCs w:val="24"/>
        </w:rPr>
        <w:t>Wyss Institute for Biologically Inspired Engineering, Harvard University, Cambridge, MA 02138, USA</w:t>
      </w:r>
    </w:p>
    <w:p w14:paraId="52628573" w14:textId="77777777" w:rsidR="00C8280F" w:rsidRPr="00911F80" w:rsidRDefault="002A54E1" w:rsidP="001576BA">
      <w:pPr>
        <w:jc w:val="both"/>
        <w:rPr>
          <w:rFonts w:ascii="Times New Roman" w:eastAsia="Times New Roman" w:hAnsi="Times New Roman" w:cs="Times New Roman"/>
          <w:sz w:val="24"/>
          <w:szCs w:val="24"/>
          <w:lang w:val="fr-CH"/>
        </w:rPr>
      </w:pPr>
      <w:r w:rsidRPr="00911F80">
        <w:rPr>
          <w:rFonts w:ascii="Times New Roman" w:eastAsia="Times New Roman" w:hAnsi="Times New Roman" w:cs="Times New Roman"/>
          <w:sz w:val="32"/>
          <w:szCs w:val="40"/>
          <w:vertAlign w:val="superscript"/>
          <w:lang w:val="fr-CH"/>
        </w:rPr>
        <w:t>b</w:t>
      </w:r>
      <w:r w:rsidRPr="00911F80">
        <w:rPr>
          <w:rFonts w:ascii="Times New Roman" w:eastAsia="Times New Roman" w:hAnsi="Times New Roman" w:cs="Times New Roman"/>
          <w:sz w:val="40"/>
          <w:szCs w:val="40"/>
          <w:vertAlign w:val="superscript"/>
          <w:lang w:val="fr-CH"/>
        </w:rPr>
        <w:t xml:space="preserve"> </w:t>
      </w:r>
      <w:r w:rsidRPr="00911F80">
        <w:rPr>
          <w:rFonts w:ascii="Times New Roman" w:eastAsia="Times New Roman" w:hAnsi="Times New Roman" w:cs="Times New Roman"/>
          <w:sz w:val="24"/>
          <w:szCs w:val="24"/>
          <w:lang w:val="fr-CH"/>
        </w:rPr>
        <w:t>Department of Bioengineering, École Polytechnique Fédérale de Lausanne, Route Cantonale, Lausanne 1015, Switzerland</w:t>
      </w:r>
    </w:p>
    <w:p w14:paraId="017B0052" w14:textId="00443087" w:rsidR="00B31C19" w:rsidRPr="00911F80" w:rsidRDefault="00B31C19"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32"/>
          <w:szCs w:val="32"/>
          <w:vertAlign w:val="superscript"/>
        </w:rPr>
        <w:t xml:space="preserve">c </w:t>
      </w:r>
      <w:r w:rsidRPr="00911F80">
        <w:rPr>
          <w:rFonts w:ascii="Times New Roman" w:eastAsia="Times New Roman" w:hAnsi="Times New Roman" w:cs="Times New Roman"/>
          <w:sz w:val="24"/>
          <w:szCs w:val="24"/>
        </w:rPr>
        <w:t>School of Engineering and Applied Sciences, Harvard University, Cambridge, MA 02138, USA</w:t>
      </w:r>
    </w:p>
    <w:p w14:paraId="49C1565B" w14:textId="71C17F4D" w:rsidR="00C8280F" w:rsidRPr="00911F80" w:rsidRDefault="00B31C19"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32"/>
          <w:szCs w:val="32"/>
          <w:vertAlign w:val="superscript"/>
        </w:rPr>
        <w:t>d</w:t>
      </w:r>
      <w:r w:rsidR="002A54E1" w:rsidRPr="00911F80">
        <w:rPr>
          <w:rFonts w:ascii="Times New Roman" w:eastAsia="Times New Roman" w:hAnsi="Times New Roman" w:cs="Times New Roman"/>
          <w:sz w:val="40"/>
          <w:szCs w:val="40"/>
          <w:vertAlign w:val="superscript"/>
        </w:rPr>
        <w:t xml:space="preserve"> </w:t>
      </w:r>
      <w:r w:rsidR="002A54E1" w:rsidRPr="00911F80">
        <w:rPr>
          <w:rFonts w:ascii="Times New Roman" w:eastAsia="Times New Roman" w:hAnsi="Times New Roman" w:cs="Times New Roman"/>
          <w:sz w:val="24"/>
          <w:szCs w:val="24"/>
        </w:rPr>
        <w:t>Advanced Materials and Healthcare Technologies, School of Pharmacy, University of Nottingham, Nottingham, NG7 2RD, UK</w:t>
      </w:r>
    </w:p>
    <w:p w14:paraId="16190B86" w14:textId="0E236270" w:rsidR="00C8280F" w:rsidRPr="00911F80" w:rsidRDefault="00B31C19" w:rsidP="002618AE">
      <w:pPr>
        <w:spacing w:after="360"/>
        <w:jc w:val="both"/>
        <w:rPr>
          <w:rFonts w:ascii="Times New Roman" w:eastAsia="Times New Roman" w:hAnsi="Times New Roman" w:cs="Times New Roman"/>
          <w:sz w:val="24"/>
          <w:szCs w:val="24"/>
        </w:rPr>
      </w:pPr>
      <w:r w:rsidRPr="00911F80">
        <w:rPr>
          <w:rFonts w:ascii="Times New Roman" w:eastAsia="Arial Unicode MS" w:hAnsi="Times New Roman" w:cs="Times New Roman"/>
          <w:sz w:val="32"/>
          <w:szCs w:val="32"/>
          <w:vertAlign w:val="superscript"/>
        </w:rPr>
        <w:t>e</w:t>
      </w:r>
      <w:r w:rsidRPr="00911F80">
        <w:rPr>
          <w:rFonts w:ascii="Times New Roman" w:eastAsia="Arial Unicode MS" w:hAnsi="Times New Roman" w:cs="Times New Roman"/>
          <w:sz w:val="40"/>
          <w:szCs w:val="24"/>
          <w:vertAlign w:val="superscript"/>
        </w:rPr>
        <w:t xml:space="preserve"> </w:t>
      </w:r>
      <w:r w:rsidRPr="00911F80">
        <w:rPr>
          <w:rFonts w:ascii="Times New Roman" w:eastAsia="Times New Roman" w:hAnsi="Times New Roman" w:cs="Times New Roman"/>
          <w:sz w:val="24"/>
          <w:szCs w:val="24"/>
        </w:rPr>
        <w:t>P</w:t>
      </w:r>
      <w:r w:rsidR="002A54E1" w:rsidRPr="00911F80">
        <w:rPr>
          <w:rFonts w:ascii="Times New Roman" w:eastAsia="Times New Roman" w:hAnsi="Times New Roman" w:cs="Times New Roman"/>
          <w:sz w:val="24"/>
          <w:szCs w:val="24"/>
        </w:rPr>
        <w:t>resent address: School of Bioengineering, Imperial College London, London SW6 7PB, UK</w:t>
      </w:r>
    </w:p>
    <w:p w14:paraId="59DBBF70" w14:textId="77777777"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*Corresponding author at:</w:t>
      </w:r>
    </w:p>
    <w:p w14:paraId="5E4C0886" w14:textId="77777777" w:rsidR="00C8280F" w:rsidRPr="00911F80" w:rsidRDefault="002A54E1" w:rsidP="002618AE">
      <w:pPr>
        <w:spacing w:after="36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School of Engineering and Applied Sciences, Harvard University, Cambridge, MA 02138, USA, email address: mooneyd@seas.harvard.edu (David Mooney), Phone: (617) 384-9624, Fax: (617) 495-9837</w:t>
      </w:r>
    </w:p>
    <w:p w14:paraId="25EFD88B" w14:textId="77777777" w:rsidR="00C8280F" w:rsidRPr="00911F80" w:rsidRDefault="002A54E1" w:rsidP="001576BA">
      <w:pPr>
        <w:spacing w:line="256" w:lineRule="auto"/>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aline.bauer@hispeed.ch</w:t>
      </w:r>
    </w:p>
    <w:p w14:paraId="7D531A7E" w14:textId="77777777" w:rsidR="00C8280F" w:rsidRPr="00911F80" w:rsidRDefault="002A54E1" w:rsidP="001576BA">
      <w:pPr>
        <w:spacing w:line="256" w:lineRule="auto"/>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luogu@seas.harvard.edu</w:t>
      </w:r>
    </w:p>
    <w:p w14:paraId="782C5758" w14:textId="77777777" w:rsidR="00C8280F" w:rsidRPr="00911F80" w:rsidRDefault="002A54E1" w:rsidP="001576BA">
      <w:pPr>
        <w:spacing w:line="256" w:lineRule="auto"/>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bkwee@seas.harvard.edu</w:t>
      </w:r>
    </w:p>
    <w:p w14:paraId="581FC9AC" w14:textId="77777777" w:rsidR="00C8280F" w:rsidRPr="00911F80" w:rsidRDefault="002A54E1" w:rsidP="001576BA">
      <w:pPr>
        <w:spacing w:line="256" w:lineRule="auto"/>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wli@fas.harvard.edu</w:t>
      </w:r>
    </w:p>
    <w:p w14:paraId="5688AB51" w14:textId="77777777" w:rsidR="00C8280F" w:rsidRPr="00911F80" w:rsidRDefault="002A54E1" w:rsidP="001576BA">
      <w:pPr>
        <w:spacing w:line="256" w:lineRule="auto"/>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mdellacherie@g.harvard.edu</w:t>
      </w:r>
    </w:p>
    <w:p w14:paraId="5421287A" w14:textId="77777777" w:rsidR="00C8280F" w:rsidRPr="00911F80" w:rsidRDefault="002A54E1" w:rsidP="001576BA">
      <w:pPr>
        <w:spacing w:line="256" w:lineRule="auto"/>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a.celiz@imperial.ac.uk</w:t>
      </w:r>
    </w:p>
    <w:p w14:paraId="66C0B0AA" w14:textId="26152A6F" w:rsidR="00C8280F" w:rsidRPr="00911F80" w:rsidRDefault="002A54E1" w:rsidP="002618AE">
      <w:pPr>
        <w:spacing w:line="256" w:lineRule="auto"/>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mooneyd@seas.harvard.edu</w:t>
      </w:r>
      <w:bookmarkStart w:id="0" w:name="_GoBack"/>
      <w:bookmarkEnd w:id="0"/>
      <w:r w:rsidR="002618AE" w:rsidRPr="00911F80">
        <w:rPr>
          <w:rFonts w:ascii="Times New Roman" w:eastAsia="Times New Roman" w:hAnsi="Times New Roman" w:cs="Times New Roman"/>
          <w:sz w:val="24"/>
          <w:szCs w:val="24"/>
        </w:rPr>
        <w:br w:type="page"/>
      </w:r>
    </w:p>
    <w:p w14:paraId="6E8AF9FA" w14:textId="77777777" w:rsidR="00C8280F" w:rsidRPr="00911F80" w:rsidRDefault="002A54E1" w:rsidP="002618AE">
      <w:pPr>
        <w:pStyle w:val="TitleParagraphArticle"/>
      </w:pPr>
      <w:r w:rsidRPr="00911F80">
        <w:lastRenderedPageBreak/>
        <w:t>Abstract</w:t>
      </w:r>
    </w:p>
    <w:p w14:paraId="64A4DF6F" w14:textId="77777777"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Mechanical properties of the extracellular microenvironment are known to alter cellular behavior, such as spreading, proliferation or differentiation. Previous studies have primarily focused on studying the effect of matrix stiffness on cells using hydrogel substrates that exhibit purely elastic behavior. However, these studies have neglected a key property exhibited by the extracellular matrix (ECM) and various tissues; viscoelasticity and subsequent stress-relaxation. As muscle exhibits viscoelasticity, stress-relaxation could regulate myoblast behavior such as spreading and proliferation, but this has not been previously studied. In order to test the impact of stress relaxation on myoblasts, we created a set of two-dimensional RGD-modified alginate hydrogel substrates with varying initial elastic moduli and rates of relaxation. The spreading of myoblasts cultured on soft stress-relaxing substrates was found to be greater than cells on purely elastic substrates of the same initial elastic modulus. Additionally, the proliferation of myoblasts was greater on hydrogels that exhibited stress-relaxation, as compared to cells on elastic hydrogels of the same modulus. These findings highlight stress-relaxation as an important mechanical property in the design of a biomaterial system for the culture of myoblasts.</w:t>
      </w:r>
    </w:p>
    <w:p w14:paraId="241C89A8" w14:textId="77777777" w:rsidR="00C8280F" w:rsidRPr="00911F80" w:rsidRDefault="002A54E1" w:rsidP="002618AE">
      <w:pPr>
        <w:pStyle w:val="TitleParagraphArticle"/>
      </w:pPr>
      <w:r w:rsidRPr="00911F80">
        <w:t>Keywords</w:t>
      </w:r>
    </w:p>
    <w:p w14:paraId="75D9ADD2" w14:textId="77777777"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Viscoelasticity; Stress-relaxation; Myoblast; Hydrogel; Alginate</w:t>
      </w:r>
    </w:p>
    <w:p w14:paraId="3AEE4F8B" w14:textId="77777777" w:rsidR="00C8280F" w:rsidRPr="00911F80" w:rsidRDefault="002A54E1" w:rsidP="002618AE">
      <w:pPr>
        <w:pStyle w:val="TitleParagraphArticle"/>
      </w:pPr>
      <w:r w:rsidRPr="00911F80">
        <w:t>1. Introduction</w:t>
      </w:r>
    </w:p>
    <w:p w14:paraId="636E63E1" w14:textId="57E3E27E"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Hydrogel-based biomaterials hold enormous potential for regenerative medicine and ti</w:t>
      </w:r>
      <w:r w:rsidR="00240A23" w:rsidRPr="00911F80">
        <w:rPr>
          <w:rFonts w:ascii="Times New Roman" w:eastAsia="Times New Roman" w:hAnsi="Times New Roman" w:cs="Times New Roman"/>
          <w:sz w:val="24"/>
          <w:szCs w:val="24"/>
        </w:rPr>
        <w:t>ssue engineering applications</w:t>
      </w:r>
      <w:r w:rsidR="00240A23" w:rsidRPr="00911F80">
        <w:rPr>
          <w:rFonts w:ascii="Times New Roman" w:eastAsia="Times New Roman" w:hAnsi="Times New Roman" w:cs="Times New Roman"/>
          <w:sz w:val="24"/>
          <w:szCs w:val="24"/>
        </w:rPr>
        <w:fldChar w:fldCharType="begin" w:fldLock="1"/>
      </w:r>
      <w:r w:rsidR="00240A23" w:rsidRPr="00911F80">
        <w:rPr>
          <w:rFonts w:ascii="Times New Roman" w:eastAsia="Times New Roman" w:hAnsi="Times New Roman" w:cs="Times New Roman"/>
          <w:sz w:val="24"/>
          <w:szCs w:val="24"/>
        </w:rPr>
        <w:instrText>ADDIN CSL_CITATION { "citationItems" : [ { "id" : "ITEM-1", "itemData" : { "author" : [ { "dropping-particle" : "", "family" : "Lee", "given" : "Kuen Yong", "non-dropping-particle" : "", "parse-names" : false, "suffix" : "" }, { "dropping-particle" : "", "family" : "Mooney", "given" : "David J", "non-dropping-particle" : "", "parse-names" : false, "suffix" : "" } ], "container-title" : "Chemical Reviews", "id" : "ITEM-1", "issue" : "7", "issued" : { "date-parts" : [ [ "2001" ] ] }, "page" : "1869-1879", "title" : "Hydrogels for Tissue Engineering", "type" : "article-journal", "volume" : "101" }, "uris" : [ "http://www.mendeley.com/documents/?uuid=a587a909-1fe9-4731-8bfe-bff0bb3bfd45" ] } ], "mendeley" : { "formattedCitation" : "[1]", "plainTextFormattedCitation" : "[1]", "previouslyFormattedCitation" : "[1]" }, "properties" : { "noteIndex" : 0 }, "schema" : "https://github.com/citation-style-language/schema/raw/master/csl-citation.json" }</w:instrText>
      </w:r>
      <w:r w:rsidR="00240A23" w:rsidRPr="00911F80">
        <w:rPr>
          <w:rFonts w:ascii="Times New Roman" w:eastAsia="Times New Roman" w:hAnsi="Times New Roman" w:cs="Times New Roman"/>
          <w:sz w:val="24"/>
          <w:szCs w:val="24"/>
        </w:rPr>
        <w:fldChar w:fldCharType="separate"/>
      </w:r>
      <w:r w:rsidR="00240A23" w:rsidRPr="00911F80">
        <w:rPr>
          <w:rFonts w:ascii="Times New Roman" w:eastAsia="Times New Roman" w:hAnsi="Times New Roman" w:cs="Times New Roman"/>
          <w:noProof/>
          <w:sz w:val="24"/>
          <w:szCs w:val="24"/>
        </w:rPr>
        <w:t>[1]</w:t>
      </w:r>
      <w:r w:rsidR="00240A23"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They can serve as synthetic instructive extracellular matrix (ECM) microenvironments, providing mechanical support as well as physical and</w:t>
      </w:r>
      <w:r w:rsidR="00240A23" w:rsidRPr="00911F80">
        <w:rPr>
          <w:rFonts w:ascii="Times New Roman" w:eastAsia="Times New Roman" w:hAnsi="Times New Roman" w:cs="Times New Roman"/>
          <w:sz w:val="24"/>
          <w:szCs w:val="24"/>
        </w:rPr>
        <w:t xml:space="preserve"> biochemical signals to cells</w:t>
      </w:r>
      <w:r w:rsidR="00240A23" w:rsidRPr="00911F80">
        <w:rPr>
          <w:rFonts w:ascii="Times New Roman" w:eastAsia="Times New Roman" w:hAnsi="Times New Roman" w:cs="Times New Roman"/>
          <w:sz w:val="24"/>
          <w:szCs w:val="24"/>
        </w:rPr>
        <w:fldChar w:fldCharType="begin" w:fldLock="1"/>
      </w:r>
      <w:r w:rsidR="00240A23" w:rsidRPr="00911F80">
        <w:rPr>
          <w:rFonts w:ascii="Times New Roman" w:eastAsia="Times New Roman" w:hAnsi="Times New Roman" w:cs="Times New Roman"/>
          <w:sz w:val="24"/>
          <w:szCs w:val="24"/>
        </w:rPr>
        <w:instrText>ADDIN CSL_CITATION { "citationItems" : [ { "id" : "ITEM-1", "itemData" : { "DOI" : "10.1038/nbt1055", "author" : [ { "dropping-particle" : "", "family" : "Lutolf", "given" : "M P", "non-dropping-particle" : "", "parse-names" : false, "suffix" : "" }, { "dropping-particle" : "", "family" : "Hubbell", "given" : "J A", "non-dropping-particle" : "", "parse-names" : false, "suffix" : "" } ], "container-title" : "Nature Biotechnology", "id" : "ITEM-1", "issue" : "1", "issued" : { "date-parts" : [ [ "2005" ] ] }, "page" : "47-55", "title" : "Synthetic biomaterials as instructive extracellular microenvironments for morphogenesis in tissue engineering", "type" : "article-journal", "volume" : "23" }, "uris" : [ "http://www.mendeley.com/documents/?uuid=29e47ff0-dda4-449a-80a9-bd8d63abe90b" ] }, { "id" : "ITEM-2", "itemData" : { "DOI" : "10.1038/nmat3937", "ISBN" : "1476-1122", "ISSN" : "1476-1122", "PMID" : "24845994", "abstract" : "The stem cell/material interface is a complex, dynamic microenvironment in which the cell and the material cooperatively dictate one another's fate: the cell by remodelling its surroundings, and the material through its inherent properties (such as adhesivity, stiffness, nanostructure or degradability). Stem cells in contact with materials are able to sense their properties, integrate cues via signal propagation and ultimately translate parallel signalling information into cell fate decisions. However, discovering the mechanisms by which stem cells respond to inherent material characteristics is challenging because of the highly complex, multicomponent signalling milieu present in the stem cell environment. In this Review, we discuss recent evidence that shows that inherent material properties may be engineered to dictate stem cell fate decisions, and overview a subset of the operative signal transduction mechanisms that have begun to emerge. Further developments in stem cell engineering and mechanotransduction are poised to have substantial implications for stem cell biology and regenerative medicine.", "author" : [ { "dropping-particle" : "", "family" : "Murphy", "given" : "William L.", "non-dropping-particle" : "", "parse-names" : false, "suffix" : "" }, { "dropping-particle" : "", "family" : "McDevitt", "given" : "Todd C.", "non-dropping-particle" : "", "parse-names" : false, "suffix" : "" }, { "dropping-particle" : "", "family" : "Engler", "given" : "Adam J.", "non-dropping-particle" : "", "parse-names" : false, "suffix" : "" } ], "container-title" : "Nature Materials", "id" : "ITEM-2", "issue" : "6", "issued" : { "date-parts" : [ [ "2014" ] ] }, "page" : "547-557", "title" : "Materials as stem cell regulators", "type" : "article-journal", "volume" : "13" }, "uris" : [ "http://www.mendeley.com/documents/?uuid=6a725d67-9ff0-4738-99c5-b6febe562cf6" ] } ], "mendeley" : { "formattedCitation" : "[2], [3]", "plainTextFormattedCitation" : "[2], [3]", "previouslyFormattedCitation" : "[2], [3]" }, "properties" : { "noteIndex" : 0 }, "schema" : "https://github.com/citation-style-language/schema/raw/master/csl-citation.json" }</w:instrText>
      </w:r>
      <w:r w:rsidR="00240A23" w:rsidRPr="00911F80">
        <w:rPr>
          <w:rFonts w:ascii="Times New Roman" w:eastAsia="Times New Roman" w:hAnsi="Times New Roman" w:cs="Times New Roman"/>
          <w:sz w:val="24"/>
          <w:szCs w:val="24"/>
        </w:rPr>
        <w:fldChar w:fldCharType="separate"/>
      </w:r>
      <w:r w:rsidR="00240A23" w:rsidRPr="00911F80">
        <w:rPr>
          <w:rFonts w:ascii="Times New Roman" w:eastAsia="Times New Roman" w:hAnsi="Times New Roman" w:cs="Times New Roman"/>
          <w:noProof/>
          <w:sz w:val="24"/>
          <w:szCs w:val="24"/>
        </w:rPr>
        <w:t>[2], [3]</w:t>
      </w:r>
      <w:r w:rsidR="00240A23"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The ECM is a complex environment and hydrogel-based biomaterials have been used to recapture some elements of the ECM niche</w:t>
      </w:r>
      <w:r w:rsidR="00240A23" w:rsidRPr="00911F80">
        <w:rPr>
          <w:rFonts w:ascii="Times New Roman" w:eastAsia="Times New Roman" w:hAnsi="Times New Roman" w:cs="Times New Roman"/>
          <w:sz w:val="24"/>
          <w:szCs w:val="24"/>
        </w:rPr>
        <w:fldChar w:fldCharType="begin" w:fldLock="1"/>
      </w:r>
      <w:r w:rsidR="00240A23" w:rsidRPr="00911F80">
        <w:rPr>
          <w:rFonts w:ascii="Times New Roman" w:eastAsia="Times New Roman" w:hAnsi="Times New Roman" w:cs="Times New Roman"/>
          <w:sz w:val="24"/>
          <w:szCs w:val="24"/>
        </w:rPr>
        <w:instrText>ADDIN CSL_CITATION { "citationItems" : [ { "id" : "ITEM-1", "itemData" : { "DOI" : "10.1016/S0142-9612(03)00340-5", "ISBN" : "0142-9612", "ISSN" : "01429612", "PMID" : "12922147", "abstract" : "Polymer scaffolds have many different functions in the field of tissue engineering. They are applied as space filling agents, as delivery vehicles for bioactive molecules, and as three-dimensional structures that organize cells and present stimuli to direct the formation of a desired tissue. Much of the success of scaffolds in these roles hinges on finding an appropriate material to address the critical physical, mass transport, and biological design variables inherent to each application. Hydrogels are an appealing scaffold material because they are structurally similar to the extracellular matrix of many tissues, can often be processed under relatively mild conditions, and may be delivered in a minimally invasive manner. Consequently, hydrogels have been utilized as scaffold materials for drug and growth factor delivery, engineering tissue replacements, and a variety of other applications. ?? 2003 Elsevier Ltd. All rights reserved.", "author" : [ { "dropping-particle" : "", "family" : "Drury", "given" : "Jeanie L.", "non-dropping-particle" : "", "parse-names" : false, "suffix" : "" }, { "dropping-particle" : "", "family" : "Mooney", "given" : "David J.", "non-dropping-particle" : "", "parse-names" : false, "suffix" : "" } ], "container-title" : "Biomaterials", "id" : "ITEM-1", "issue" : "24", "issued" : { "date-parts" : [ [ "2003" ] ] }, "page" : "4337-4351", "title" : "Hydrogels for tissue engineering: Scaffold design variables and applications", "type" : "article-journal", "volume" : "24" }, "uris" : [ "http://www.mendeley.com/documents/?uuid=7d0c1a0b-df95-41f1-ba6b-5aa9919532c7" ] } ], "mendeley" : { "formattedCitation" : "[4]", "plainTextFormattedCitation" : "[4]", "previouslyFormattedCitation" : "[4]" }, "properties" : { "noteIndex" : 0 }, "schema" : "https://github.com/citation-style-language/schema/raw/master/csl-citation.json" }</w:instrText>
      </w:r>
      <w:r w:rsidR="00240A23" w:rsidRPr="00911F80">
        <w:rPr>
          <w:rFonts w:ascii="Times New Roman" w:eastAsia="Times New Roman" w:hAnsi="Times New Roman" w:cs="Times New Roman"/>
          <w:sz w:val="24"/>
          <w:szCs w:val="24"/>
        </w:rPr>
        <w:fldChar w:fldCharType="separate"/>
      </w:r>
      <w:r w:rsidR="00240A23" w:rsidRPr="00911F80">
        <w:rPr>
          <w:rFonts w:ascii="Times New Roman" w:eastAsia="Times New Roman" w:hAnsi="Times New Roman" w:cs="Times New Roman"/>
          <w:noProof/>
          <w:sz w:val="24"/>
          <w:szCs w:val="24"/>
        </w:rPr>
        <w:t>[4]</w:t>
      </w:r>
      <w:r w:rsidR="00240A23"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For example, hydrogels incorporating various soluble and bound biochemical signaling factors</w:t>
      </w:r>
      <w:r w:rsidR="00240A23" w:rsidRPr="00911F80">
        <w:rPr>
          <w:rFonts w:ascii="Times New Roman" w:eastAsia="Times New Roman" w:hAnsi="Times New Roman" w:cs="Times New Roman"/>
          <w:sz w:val="24"/>
          <w:szCs w:val="24"/>
        </w:rPr>
        <w:fldChar w:fldCharType="begin" w:fldLock="1"/>
      </w:r>
      <w:r w:rsidR="00240A23" w:rsidRPr="00911F80">
        <w:rPr>
          <w:rFonts w:ascii="Times New Roman" w:eastAsia="Times New Roman" w:hAnsi="Times New Roman" w:cs="Times New Roman"/>
          <w:sz w:val="24"/>
          <w:szCs w:val="24"/>
        </w:rPr>
        <w:instrText>ADDIN CSL_CITATION { "citationItems" : [ { "id" : "ITEM-1", "itemData" : { "DOI" : "10.1002/jbm.1287", "ISBN" : "0021-9304", "ISSN" : "00219304", "PMID" : "11857427", "abstract" : "Alginates are being increasingly used for cell encapsulation and tissue engineering applications; however, these materials cannot specifically interact with mammalian cells. We have covalently modified alginates of varying monomeric ratio with RGD-containing cell adhesion ligands using carbodiimide chemistry to initiate cell adhesion to these polymers. We hypothesized that we could control the function of cells adherent to RGD-modified alginate hydrogels by varying alginate polymer type and cell adhesion ligand density, and we have addressed this possibility by studying the proliferation and differentiation of C2C12 skeletal myoblasts adherent to these materials. RGD density on alginates of varying monomeric ratio could be controlled over several orders of magnitude, creating a range of surface densities from 1-100 fmol/cm(2). Myoblast adhesion to these materials was specific to the RGD ligand, because adhesion could be competed away with soluble RGD in a dose-dependent manner. Myoblast proliferation and differentiation could be regulated by varying the alginate monomeric ratio and the density of RGD ligands at the substrate surface, and specific combinations of alginate type and RGD density were required to obtain efficient myoblast differentiation on these materials.", "author" : [ { "dropping-particle" : "", "family" : "Rowley", "given" : "Jon A", "non-dropping-particle" : "", "parse-names" : false, "suffix" : "" }, { "dropping-particle" : "", "family" : "Mooney", "given" : "David J", "non-dropping-particle" : "", "parse-names" : false, "suffix" : "" } ], "container-title" : "Journal of Biomedical Materials Research", "id" : "ITEM-1", "issue" : "2", "issued" : { "date-parts" : [ [ "2002" ] ] }, "page" : "217-223", "title" : "Alginate type and RGD density control myoblast phenotype", "type" : "article-journal", "volume" : "60" }, "uris" : [ "http://www.mendeley.com/documents/?uuid=c3e69c4d-48e1-4c37-a8aa-ebe21de01d67" ] } ], "mendeley" : { "formattedCitation" : "[5]", "plainTextFormattedCitation" : "[5]", "previouslyFormattedCitation" : "[5]" }, "properties" : { "noteIndex" : 0 }, "schema" : "https://github.com/citation-style-language/schema/raw/master/csl-citation.json" }</w:instrText>
      </w:r>
      <w:r w:rsidR="00240A23" w:rsidRPr="00911F80">
        <w:rPr>
          <w:rFonts w:ascii="Times New Roman" w:eastAsia="Times New Roman" w:hAnsi="Times New Roman" w:cs="Times New Roman"/>
          <w:sz w:val="24"/>
          <w:szCs w:val="24"/>
        </w:rPr>
        <w:fldChar w:fldCharType="separate"/>
      </w:r>
      <w:r w:rsidR="00240A23" w:rsidRPr="00911F80">
        <w:rPr>
          <w:rFonts w:ascii="Times New Roman" w:eastAsia="Times New Roman" w:hAnsi="Times New Roman" w:cs="Times New Roman"/>
          <w:noProof/>
          <w:sz w:val="24"/>
          <w:szCs w:val="24"/>
        </w:rPr>
        <w:t>[5]</w:t>
      </w:r>
      <w:r w:rsidR="00240A23"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and structural and mec</w:t>
      </w:r>
      <w:r w:rsidR="00240A23" w:rsidRPr="00911F80">
        <w:rPr>
          <w:rFonts w:ascii="Times New Roman" w:eastAsia="Times New Roman" w:hAnsi="Times New Roman" w:cs="Times New Roman"/>
          <w:sz w:val="24"/>
          <w:szCs w:val="24"/>
        </w:rPr>
        <w:t>hanical cues such as porosity</w:t>
      </w:r>
      <w:r w:rsidR="00240A23" w:rsidRPr="00911F80">
        <w:rPr>
          <w:rFonts w:ascii="Times New Roman" w:eastAsia="Times New Roman" w:hAnsi="Times New Roman" w:cs="Times New Roman"/>
          <w:sz w:val="24"/>
          <w:szCs w:val="24"/>
        </w:rPr>
        <w:fldChar w:fldCharType="begin" w:fldLock="1"/>
      </w:r>
      <w:r w:rsidR="00240A23" w:rsidRPr="00911F80">
        <w:rPr>
          <w:rFonts w:ascii="Times New Roman" w:eastAsia="Times New Roman" w:hAnsi="Times New Roman" w:cs="Times New Roman"/>
          <w:sz w:val="24"/>
          <w:szCs w:val="24"/>
        </w:rPr>
        <w:instrText>ADDIN CSL_CITATION { "citationItems" : [ { "id" : "ITEM-1", "itemData" : { "ISBN" : "8015815967", "ISSN" : "1878-5832", "PMID" : "21959306", "author" : [ { "dropping-particle" : "", "family" : "Dadsetan", "given" : "Mahrokh", "non-dropping-particle" : "", "parse-names" : false, "suffix" : "" }, { "dropping-particle" : "", "family" : "Hefferan", "given" : "Theresa E", "non-dropping-particle" : "", "parse-names" : false, "suffix" : "" }, { "dropping-particle" : "", "family" : "Szatkowski", "given" : "Jan P", "non-dropping-particle" : "", "parse-names" : false, "suffix" : "" }, { "dropping-particle" : "", "family" : "Mishra", "given" : "Prasanna K", "non-dropping-particle" : "", "parse-names" : false, "suffix" : "" }, { "dropping-particle" : "", "family" : "Macura", "given" : "Slobodan I", "non-dropping-particle" : "", "parse-names" : false, "suffix" : "" }, { "dropping-particle" : "", "family" : "Lu", "given" : "Lichun", "non-dropping-particle" : "", "parse-names" : false, "suffix" : "" }, { "dropping-particle" : "", "family" : "Yaszemski", "given" : "Michael J", "non-dropping-particle" : "", "parse-names" : false, "suffix" : "" } ], "container-title" : "Biomaterials", "id" : "ITEM-1", "issue" : "14", "issued" : { "date-parts" : [ [ "2008" ] ] }, "page" : "2193-2202", "title" : "Effect of Hydrogel Porosity on Marrow Stromal Cell Phenotypic Expression", "type" : "article-journal", "volume" : "29" }, "uris" : [ "http://www.mendeley.com/documents/?uuid=cbda5ba4-dacd-4756-bc18-0bb94d35f8db" ] } ], "mendeley" : { "formattedCitation" : "[6]", "plainTextFormattedCitation" : "[6]", "previouslyFormattedCitation" : "[6]" }, "properties" : { "noteIndex" : 0 }, "schema" : "https://github.com/citation-style-language/schema/raw/master/csl-citation.json" }</w:instrText>
      </w:r>
      <w:r w:rsidR="00240A23" w:rsidRPr="00911F80">
        <w:rPr>
          <w:rFonts w:ascii="Times New Roman" w:eastAsia="Times New Roman" w:hAnsi="Times New Roman" w:cs="Times New Roman"/>
          <w:sz w:val="24"/>
          <w:szCs w:val="24"/>
        </w:rPr>
        <w:fldChar w:fldCharType="separate"/>
      </w:r>
      <w:r w:rsidR="00240A23" w:rsidRPr="00911F80">
        <w:rPr>
          <w:rFonts w:ascii="Times New Roman" w:eastAsia="Times New Roman" w:hAnsi="Times New Roman" w:cs="Times New Roman"/>
          <w:noProof/>
          <w:sz w:val="24"/>
          <w:szCs w:val="24"/>
        </w:rPr>
        <w:t>[6]</w:t>
      </w:r>
      <w:r w:rsidR="00240A23" w:rsidRPr="00911F80">
        <w:rPr>
          <w:rFonts w:ascii="Times New Roman" w:eastAsia="Times New Roman" w:hAnsi="Times New Roman" w:cs="Times New Roman"/>
          <w:sz w:val="24"/>
          <w:szCs w:val="24"/>
        </w:rPr>
        <w:fldChar w:fldCharType="end"/>
      </w:r>
      <w:r w:rsidR="00240A23" w:rsidRPr="00911F80">
        <w:rPr>
          <w:rFonts w:ascii="Times New Roman" w:eastAsia="Times New Roman" w:hAnsi="Times New Roman" w:cs="Times New Roman"/>
          <w:sz w:val="24"/>
          <w:szCs w:val="24"/>
        </w:rPr>
        <w:t xml:space="preserve">, </w:t>
      </w:r>
      <w:r w:rsidR="00240A23"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"10.1016/j.biomaterials.2011.08.054.The", "author" : [ { "dropping-particle" : "", "family" : "Kumar", "given" : "Girish", "non-dropping-particle" : "", "parse-names" : false, "suffix" : "" }, { "dropping-particle" : "", "family" : "Tison", "given" : "Christopher K", "non-dropping-particle" : "", "parse-names" : false, "suffix" : "" }, { "dropping-particle" : "", "family" : "Chatterjee", "given" : "Kaushik", "non-dropping-particle" : "", "parse-names" : false, "suffix" : "" }, { "dropping-particle" : "", "family" : "Pine", "given" : "P Scott", "non-dropping-particle" : "", "parse-names" : false, "suffix" : "" }, { "dropping-particle" : "", "family" : "Mcdaniel", "given" : "Jennifer H", "non-dropping-particle" : "", "parse-names" : false, "suffix" : "" }, { "dropping-particle" : "", "family" : "Salit", "given" : "Marc L", "non-dropping-particle" : "", "parse-names" : false, "suffix" : "" }, { "dropping-particle" : "", "family" : "Young", "given" : "Marian F", "non-dropping-particle" : "", "parse-names" : false, "suffix" : "" }, { "dropping-particle" : "", "family" : "Simon Jr", "given" : "Carl G", "non-dropping-particle" : "", "parse-names" : false, "suffix" : "" } ], "container-title" : "Biomaterials", "id" : "ITEM-1", "issue" : "35", "issued" : { "date-parts" : [ [ "2011" ] ] }, "page" : "9188-9196", "title" : "The Determination of Stem Cell Fate by 3D Scaffold Structures through the Control of Cell Shape", "type" : "article-journal", "volume" : "32" }, "uris" : [ "http://www.mendeley.com/documents/?uuid=3fb720ac-6bdd-4cca-8914-f2a1d679c98b" ] } ], "mendeley" : { "formattedCitation" : "[7]", "plainTextFormattedCitation" : "[7]", "previouslyFormattedCitation" : "[7]" }, "properties" : { "noteIndex" : 0 }, "schema" : "https://github.com/citation-style-language/schema/raw/master/csl-citation.json" }</w:instrText>
      </w:r>
      <w:r w:rsidR="00240A23" w:rsidRPr="00911F80">
        <w:rPr>
          <w:rFonts w:ascii="Times New Roman" w:eastAsia="Times New Roman" w:hAnsi="Times New Roman" w:cs="Times New Roman"/>
          <w:sz w:val="24"/>
          <w:szCs w:val="24"/>
        </w:rPr>
        <w:fldChar w:fldCharType="separate"/>
      </w:r>
      <w:r w:rsidR="00240A23" w:rsidRPr="00911F80">
        <w:rPr>
          <w:rFonts w:ascii="Times New Roman" w:eastAsia="Times New Roman" w:hAnsi="Times New Roman" w:cs="Times New Roman"/>
          <w:noProof/>
          <w:sz w:val="24"/>
          <w:szCs w:val="24"/>
        </w:rPr>
        <w:t>[7]</w:t>
      </w:r>
      <w:r w:rsidR="00240A23" w:rsidRPr="00911F80">
        <w:rPr>
          <w:rFonts w:ascii="Times New Roman" w:eastAsia="Times New Roman" w:hAnsi="Times New Roman" w:cs="Times New Roman"/>
          <w:sz w:val="24"/>
          <w:szCs w:val="24"/>
        </w:rPr>
        <w:fldChar w:fldCharType="end"/>
      </w:r>
      <w:r w:rsidR="00240A23" w:rsidRPr="00911F80">
        <w:rPr>
          <w:rFonts w:ascii="Times New Roman" w:eastAsia="Times New Roman" w:hAnsi="Times New Roman" w:cs="Times New Roman"/>
          <w:sz w:val="24"/>
          <w:szCs w:val="24"/>
        </w:rPr>
        <w:t xml:space="preserve"> or stiffness</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"10.1002/cm.20041", "ISBN" : "0886-1544 (Print)\\r0886-1544 (Linking)", "ISSN" : "08861544", "PMID" : "15573414", "abstract" : "The morphology and cytoskeletal structure of fibroblasts, endothelial cells, and neutrophils are documented for cells cultured on surfaces with stiffness ranging from 2 to 55,000 Pa that have been laminated with fibronectin or collagen as adhesive ligand. When grown in sparse culture with no cell-cell contacts, fibroblasts and endothelial cells show an abrupt change in spread area that occurs at a stiffness range around 3,000 Pa. No actin stress fibers are seen in fibroblasts on soft surfaces, and the appearance of stress fibers is abrupt and complete at a stiffness range coincident with that at which they spread. Upregulation of alpha5 integrin also occurs in the same stiffness range, but exogenous expression of alpha5 integrin is not sufficient to cause cell spreading on soft surfaces. Neutrophils, in contrast, show no dependence of either resting shape or ability to spread after activation when cultured on surfaces as soft as 2 Pa compared to glass. The shape and cytoskeletal differences evident in single cells on soft compared to hard substrates are eliminated when fibroblasts or endothelial cells make cell-cell contact. These results support the hypothesis that mechanical factors impact different cell types in fundamentally different ways, and can trigger specific changes similar to those stimulated by soluble ligands.", "author" : [ { "dropping-particle" : "", "family" : "Yeung", "given" : "Tony", "non-dropping-particle" : "", "parse-names" : false, "suffix" : "" }, { "dropping-particle" : "", "family" : "Georges", "given" : "Penelope C.", "non-dropping-particle" : "", "parse-names" : false, "suffix" : "" }, { "dropping-particle" : "", "family" : "Flanagan", "given" : "Lisa A.", "non-dropping-particle" : "", "parse-names" : false, "suffix" : "" }, { "dropping-particle" : "", "family" : "Marg", "given" : "Beatrice", "non-dropping-particle" : "", "parse-names" : false, "suffix" : "" }, { "dropping-particle" : "", "family" : "Ortiz", "given" : "Miguelina", "non-dropping-particle" : "", "parse-names" : false, "suffix" : "" }, { "dropping-particle" : "", "family" : "Funaki", "given" : "Makoto", "non-dropping-particle" : "", "parse-names" : false, "suffix" : "" }, { "dropping-particle" : "", "family" : "Zahir", "given" : "Nastaran", "non-dropping-particle" : "", "parse-names" : false, "suffix" : "" }, { "dropping-particle" : "", "family" : "Ming", "given" : "Wenyu", "non-dropping-particle" : "", "parse-names" : false, "suffix" : "" }, { "dropping-particle" : "", "family" : "Weaver", "given" : "Valerie", "non-dropping-particle" : "", "parse-names" : false, "suffix" : "" }, { "dropping-particle" : "", "family" : "Janmey", "given" : "Paul A.", "non-dropping-particle" : "", "parse-names" : false, "suffix" : "" } ], "container-title" : "Cell Motility and the Cytoskeleton", "id" : "ITEM-1", "issue" : "1", "issued" : { "date-parts" : [ [ "2005" ] ] }, "page" : "24-34", "title" : "Effects of substrate stiffness on cell morphology, cytoskeletal structure, and adhesion", "type" : "article-journal", "volume" : "60" }, "uris" : [ "http://www.mendeley.com/documents/?uuid=49e2273c-86ef-42c5-b579-34ba02848c86" ] } ], "mendeley" : { "formattedCitation" : "[8]", "plainTextFormattedCitation" : "[8]", "previouslyFormattedCitation" : "[8]"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[8]</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xml:space="preserve"> have been fabricated and shown to influence cell behavior. However, viscoelasticity has often been neglected and is rarely used as a design parameter, even though it is an important mechanical property displayed by natural ECM-derived materials</w:t>
      </w:r>
      <w:r w:rsidR="00DD73C5" w:rsidRPr="00911F80">
        <w:rPr>
          <w:rFonts w:ascii="Times New Roman" w:eastAsia="Times New Roman" w:hAnsi="Times New Roman" w:cs="Times New Roman"/>
          <w:sz w:val="24"/>
          <w:szCs w:val="24"/>
        </w:rPr>
        <w:t xml:space="preserve"> such as type I collagen gels</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"author" : [ { "dropping-particle" : "", "family" : "Knapp", "given" : "David M.", "non-dropping-particle" : "", "parse-names" : false, "suffix" : "" }, { "dropping-particle" : "", "family" : "Barocas", "given" : "Victor H.", "non-dropping-particle" : "", "parse-names" : false, "suffix" : "" }, { "dropping-particle" : "", "family" : "Moon", "given" : "Alice G.", "non-dropping-particle" : "", "parse-names" : false, "suffix" : "" }, { "dropping-particle" : "", "family" : "Yoo", "given" : "Kyeongah", "non-dropping-particle" : "", "parse-names" : false, "suffix" : "" }, { "dropping-particle" : "", "family" : "Petzold", "given" : "Linda R.", "non-dropping-particle" : "", "parse-names" : false, "suffix" : "" }, { "dropping-particle" : "", "family" : "Tranquillo", "given" : "Robert T.", "non-dropping-particle" : "", "parse-names" : false, "suffix" : "" } ], "container-title" : "Journal of Rheology", "id" : "ITEM-1", "issue" : "5", "issued" : { "date-parts" : [ [ "1997" ] ] }, "page" : "971", "title" : "Rheology of reconstituted type I collagen gel in confined compression", "type" : "article-journal", "volume" : "41" }, "uris" : [ "http://www.mendeley.com/documents/?uuid=5bfde332-36df-4e62-8f41-ffb5da5e6ca4" ] } ], "mendeley" : { "formattedCitation" : "[9]", "plainTextFormattedCitation" : "[9]", "previouslyFormattedCitation" : "[9]"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[9]</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xml:space="preserve"> </w:t>
      </w:r>
      <w:r w:rsidR="00DD73C5" w:rsidRPr="00911F80">
        <w:rPr>
          <w:rFonts w:ascii="Times New Roman" w:eastAsia="Times New Roman" w:hAnsi="Times New Roman" w:cs="Times New Roman"/>
          <w:sz w:val="24"/>
          <w:szCs w:val="24"/>
        </w:rPr>
        <w:t>and tissues including muscle</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"10.1088/0031-9155/53/15/004.Quantitative", "author" : [ { "dropping-particle" : "", "family" : "Hoyt", "given" : "Kenneth", "non-dropping-particle" : "", "parse-names" : false, "suffix" : "" }, { "dropping-particle" : "", "family" : "Kneezel", "given" : "Timothy", "non-dropping-particle" : "", "parse-names" : false, "suffix" : "" }, { "dropping-particle" : "", "family" : "Castaneda", "given" : "Benjamin", "non-dropping-particle" : "", "parse-names" : false, "suffix" : "" }, { "dropping-particle" : "", "family" : "Parker", "given" : "Kevin J", "non-dropping-particle" : "", "parse-names" : false, "suffix" : "" } ], "container-title" : "Phys Med Biol.", "id" : "ITEM-1", "issue" : "15", "issued" : { "date-parts" : [ [ "2008" ] ] }, "page" : "4063-4080", "title" : "Quantitative sonoelastography for the in vivo assessment of skeletal muscle viscoelasticity", "type" : "article-journal", "volume" : "53" }, "uris" : [ "http://www.mendeley.com/documents/?uuid=bc3efa82-6719-4ac6-a6dc-9b41f5b69ae2" ] } ], "mendeley" : { "formattedCitation" : "[10]", "plainTextFormattedCitation" : "[10]", "previouslyFormattedCitation" : "[10]"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[10]</w:t>
      </w:r>
      <w:r w:rsidR="00DD73C5" w:rsidRPr="00911F80">
        <w:rPr>
          <w:rFonts w:ascii="Times New Roman" w:eastAsia="Times New Roman" w:hAnsi="Times New Roman" w:cs="Times New Roman"/>
          <w:sz w:val="24"/>
          <w:szCs w:val="24"/>
        </w:rPr>
        <w:fldChar w:fldCharType="end"/>
      </w:r>
      <w:r w:rsidR="00DD73C5" w:rsidRPr="00911F80">
        <w:rPr>
          <w:rFonts w:ascii="Times New Roman" w:eastAsia="Times New Roman" w:hAnsi="Times New Roman" w:cs="Times New Roman"/>
          <w:sz w:val="24"/>
          <w:szCs w:val="24"/>
        </w:rPr>
        <w:t>, brain</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"10.1039/B610522J", "author" : [ { "dropping-particle" : "", "family" : "Levental", "given" : "Ilya", "non-dropping-particle" : "", "parse-names" : false, "suffix" : "" }, { "dropping-particle" : "", "family" : "Georges", "given" : "Penelope C.", "non-dropping-particle" : "", "parse-names" : false, "suffix" : "" }, { "dropping-particle" : "", "family" : "Janmey", "given" : "Paul A.", "non-dropping-particle" : "", "parse-names" : false, "suffix" : "" } ], "container-title" : "Soft Matter", "id" : "ITEM-1", "issue" : "3", "issued" : { "date-parts" : [ [ "2007" ] ] }, "page" : "299-306", "title" : "Soft biological materials and their impact on cell function", "type" : "article-journal", "volume" : "3" }, "uris" : [ "http://www.mendeley.com/documents/?uuid=2c30b279-464b-4770-97cb-4e72e85cf77d" ] } ], "mendeley" : { "formattedCitation" : "[11]", "plainTextFormattedCitation" : "[11]", "previouslyFormattedCitation" : "[11]"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[11]</w:t>
      </w:r>
      <w:r w:rsidR="00DD73C5" w:rsidRPr="00911F80">
        <w:rPr>
          <w:rFonts w:ascii="Times New Roman" w:eastAsia="Times New Roman" w:hAnsi="Times New Roman" w:cs="Times New Roman"/>
          <w:sz w:val="24"/>
          <w:szCs w:val="24"/>
        </w:rPr>
        <w:fldChar w:fldCharType="end"/>
      </w:r>
      <w:r w:rsidR="00DD73C5" w:rsidRPr="00911F80">
        <w:rPr>
          <w:rFonts w:ascii="Times New Roman" w:eastAsia="Times New Roman" w:hAnsi="Times New Roman" w:cs="Times New Roman"/>
          <w:sz w:val="24"/>
          <w:szCs w:val="24"/>
        </w:rPr>
        <w:t xml:space="preserve"> and adipose</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"10.3233/BIR-2008-0517", "author" : [ { "dropping-particle" : "", "family" : "Geerligs", "given" : "Marion", "non-dropping-particle" : "", "parse-names" : false, "suffix" : "" }, { "dropping-particle" : "", "family" : "Peters", "given" : "Gerrit W M", "non-dropping-particle" : "", "parse-names" : false, "suffix" : "" }, { "dropping-particle" : "", "family" : "Ackermans", "given" : "Paul A J", "non-dropping-particle" : "", "parse-names" : false, "suffix" : "" }, { "dropping-particle" : "", "family" : "Oomens", "given" : "Cees W J", "non-dropping-particle" : "", "parse-names" : false, "suffix" : "" }, { "dropping-particle" : "", "family" : "Baaijens", "given" : "Frank P T", "non-dropping-particle" : "", "parse-names" : false, "suffix" : "" } ], "container-title" : "Biorheology", "id" : "ITEM-1", "issue" : "6", "issued" : { "date-parts" : [ [ "2008" ] ] }, "page" : "677-688", "title" : "Linear viscoelastic behavior of subcutaneous adipose tissue", "type" : "article-journal", "volume" : "45" }, "uris" : [ "http://www.mendeley.com/documents/?uuid=942002ad-6a8b-4676-a0d4-4fdb47f8d3e8" ] } ], "mendeley" : { "formattedCitation" : "[12]", "plainTextFormattedCitation" : "[12]", "previouslyFormattedCitation" : "[12]"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[12]</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w:t>
      </w:r>
    </w:p>
    <w:p w14:paraId="1CFAAD85" w14:textId="5D8B5318"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The mechanical properties of biomaterials are clearly an important design parameter from the perspective of regulating the behavior of adhesive cells. Indeed, there is a reciprocal mechanical interacti</w:t>
      </w:r>
      <w:r w:rsidR="00DD73C5" w:rsidRPr="00911F80">
        <w:rPr>
          <w:rFonts w:ascii="Times New Roman" w:eastAsia="Times New Roman" w:hAnsi="Times New Roman" w:cs="Times New Roman"/>
          <w:sz w:val="24"/>
          <w:szCs w:val="24"/>
        </w:rPr>
        <w:t>on between cells and the ECM</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"author" : [ { "dropping-particle" : "", "family" : "Ahearne", "given" : "Mark", "non-dropping-particle" : "", "parse-names" : false, "suffix" : "" } ], "container-title" : "Interface Focus", "id" : "ITEM-1", "issue" : "2", "issued" : { "date-parts" : [ [ "2014" ] ] }, "page" : "1-12", "title" : "Introduction to cell \u2013 hydrogel mechanosensing", "type" : "article-journal", "volume" : "4" }, "uris" : [ "http://www.mendeley.com/documents/?uuid=261b69c5-110a-4df1-ae73-8337ba818829" ] }, { "id" : "ITEM-2", "itemData" : { "DOI" : "10.1038/nrm3112", "ISBN" : "1471-0080 (Electronic)\\r1471-0072 (Linking)", "ISSN" : "1471-0080", "PMID" : "21508987", "abstract" : "All cells exist within the context of a three-dimensional microenvironment in which they are exposed to mechanical and physical cues. These cues can be disrupted through perturbations to mechanotransduction, from the nanoscale-level to the tissue-level, which compromises tensional homeostasis to promote pathologies such as cardiovascular disease and cancer. The mechanisms of such perturbations suggest that a complex interplay exists between the extracellular microenvironment and cellular function. Furthermore, sustained disruptions in tensional homeostasis can be caused by alterations in the extracellular matrix, allowing it to serve as a mechanically based memory-storage device that can perpetuate a disease or restore normal tissue behaviour.", "author" : [ { "dropping-particle" : "", "family" : "DuFort", "given" : "Christopher C", "non-dropping-particle" : "", "parse-names" : false, "suffix" : "" }, { "dropping-particle" : "", "family" : "Paszek", "given" : "Matthew J", "non-dropping-particle" : "", "parse-names" : false, "suffix" : "" }, { "dropping-particle" : "", "family" : "Weaver", "given" : "Valerie M", "non-dropping-particle" : "", "parse-names" : false, "suffix" : "" } ], "container-title" : "Nature reviews. Molecular cell biology", "id" : "ITEM-2", "issue" : "5", "issued" : { "date-parts" : [ [ "2011" ] ] }, "page" : "308-319", "publisher" : "Nature Publishing Group", "title" : "Balancing forces: architectural control of mechanotransduction", "type" : "article-journal", "volume" : "12" }, "uris" : [ "http://www.mendeley.com/documents/?uuid=4b8d7633-44c6-4bd2-aa00-e99deea3625c" ] } ], "mendeley" : { "formattedCitation" : "[13], [14]", "plainTextFormattedCitation" : "[13], [14]", "previouslyFormattedCitation" : "[13], [14]"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[13], [14]</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as cells can remodel their surrounding ECM while the mechanical, structural and chemical composition of the surrounding ECM can regulate intracellular processes and cell behavior including spreading, proli</w:t>
      </w:r>
      <w:r w:rsidR="00DD73C5" w:rsidRPr="00911F80">
        <w:rPr>
          <w:rFonts w:ascii="Times New Roman" w:eastAsia="Times New Roman" w:hAnsi="Times New Roman" w:cs="Times New Roman"/>
          <w:sz w:val="24"/>
          <w:szCs w:val="24"/>
        </w:rPr>
        <w:t>feration and differentiation</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"10.1038/nmat4051", "ISBN" : "1476-1122", "ISSN" : "1476-1122", "PMID" : "25108614", "abstract" : "Stem cells regulate their fate by binding to, and contracting against, the extracellular matrix. Recently, it has been proposed that in addition to matrix stiffness and ligand type, the degree of coupling of fibrous protein to the surface of the underlying substrate, that is, tethering and matrix porosity, also regulates stem cell differentiation. By modulating substrate porosity without altering stiffness in polyacrylamide gels, we show that varying substrate porosity did not significantly change protein tethering, substrate deformations, or the osteogenic and adipogenic differentiation of human adipose-derived stromal cells and marrow-derived mesenchymal stromal cells. Varying protein\u2013substrate linker density up to 50-fold changed tethering, but did not affect osteogenesis, adipogenesis, surface\u2013protein unfolding or underlying substrate deformations. Differentiation was also unaffected by the absence of protein tethering. Our findings imply that the stiffness of planar matrices regulates stem cell differentiation independently of protein tethering and porosity.", "author" : [ { "dropping-particle" : "", "family" : "Wen", "given" : "Jessica H", "non-dropping-particle" : "", "parse-names" : false, "suffix" : "" }, { "dropping-particle" : "", "family" : "Vincent", "given" : "Ludovic G", "non-dropping-particle" : "", "parse-names" : false, "suffix" : "" }, { "dropping-particle" : "", "family" : "Fuhrmann", "given" : "Alexander", "non-dropping-particle" : "", "parse-names" : false, "suffix" : "" }, { "dropping-particle" : "", "family" : "Choi", "given" : "Yu Suk", "non-dropping-particle" : "", "parse-names" : false, "suffix" : "" }, { "dropping-particle" : "", "family" : "Hribar", "given" : "Kolin C.", "non-dropping-particle" : "", "parse-names" : false, "suffix" : "" }, { "dropping-particle" : "", "family" : "Taylor-Weiner", "given" : "Hermes", "non-dropping-particle" : "", "parse-names" : false, "suffix" : "" }, { "dropping-particle" : "", "family" : "Chen", "given" : "Shaochen", "non-dropping-particle" : "", "parse-names" : false, "suffix" : "" }, { "dropping-particle" : "", "family" : "Engler", "given" : "Adam J", "non-dropping-particle" : "", "parse-names" : false, "suffix" : "" } ], "container-title" : "Nature Materials", "id" : "ITEM-1", "issue" : "10", "issued" : { "date-parts" : [ [ "2014" ] ] }, "page" : "979-987", "title" : "Interplay of matrix stiffness and protein tethering in stem cell differentiation", "type" : "article-journal", "volume" : "13" }, "uris" : [ "http://www.mendeley.com/documents/?uuid=d433a01b-b045-4193-ae9f-3ac796a91129" ] }, { "id" : "ITEM-2", "itemData" : { "DOI" : "10.1016/j.biomaterials.2009.09.002", "ISBN" : "1878-5905 (Electronic)\\n0142-9612 (Linking)", "ISSN" : "01429612", "PMID" : "19775749", "abstract" : "Adult stem cells reside in unique niches that provide vital cues for their survival, self-renewal and differentiation. In order to better understand the contribution of substrate stiffness to neural stem/progenitor cell (NSPC) differentiation and proliferation, a photopolymerizable methacrylamide chitosan (MAC) biomaterial was developed. Photopolymerizable MAC is particularly compelling for the study of the central nervous system stem cell niche because Young's elastic modulus (EY) can be tuned from less than 1 kPa to greater than 30 kPa. Additionally, the numerous free amine functional groups enable inclusion of biochemical signaling molecules that, together with the mechanical environment, influence cell behavior. Herein, NSPCs proliferated on MAC substrates with Young's elastic moduli below 10 kPa and exhibited maximal proliferation on 3.5 kPa surfaces. Neuronal differentiation was favored on the softest surfaces with EY &lt; 1 kPa as confirmed by both immunohistochemistry and qRT-PCR. Oligodendrocyte differentiation was favored on stiffer scaffolds (&gt;7 kPa); however, myelin oligodendrocyte glycoprotein (MOG) gene expression suggested that oligodendrocyte maturation and myelination was best on &lt;1 kPa scaffolds where more mature neurons were present. Astrocyte differentiation was only observed on &lt;1 and 3.5 kPa surfaces and represented less than 2% of the total cell population. This work demonstrates the importance of substrate stiffness to the proliferation and differentiation of adult NSPCs and highlights the importance of mechanical properties to the success of scaffolds designed to engineer central nervous system tissue. ?? 2009 Elsevier Ltd. All rights reserved.", "author" : [ { "dropping-particle" : "", "family" : "Leipzig", "given" : "Nic D.", "non-dropping-particle" : "", "parse-names" : false, "suffix" : "" }, { "dropping-particle" : "", "family" : "Shoichet", "given" : "Molly S.", "non-dropping-particle" : "", "parse-names" : false, "suffix" : "" } ], "container-title" : "Biomaterials", "id" : "ITEM-2", "issue" : "36", "issued" : { "date-parts" : [ [ "2009" ] ] }, "page" : "6867-6878", "publisher" : "Elsevier Ltd", "title" : "The effect of substrate stiffness on adult neural stem cell behavior", "type" : "article-journal", "volume" : "30" }, "uris" : [ "http://www.mendeley.com/documents/?uuid=67d1b2dc-d334-4fb3-af3a-47f2ed948dfb" ] } ], "mendeley" : { "formattedCitation" : "[15], [16]", "plainTextFormattedCitation" : "[15], [16]", "previouslyFormattedCitation" : "[15], [16]"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[15], [16]</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xml:space="preserve">. Importantly, matrix stiffness has been highlighted as an important mechanical parameter.  For example, it influences the ability of stem cells to differentiate towards specific lineages.  Mesenchymal stem cells (MSC) were shown to differentiate towards a neurogenic lineage when cultured on soft 0.1-1 kPa substrates, towards a myogenic lineage when cultured on 8-17 kPa substrates and towards an osteogenic lineage when cultured on </w:t>
      </w:r>
      <w:r w:rsidR="00DD73C5" w:rsidRPr="00911F80">
        <w:rPr>
          <w:rFonts w:ascii="Times New Roman" w:eastAsia="Times New Roman" w:hAnsi="Times New Roman" w:cs="Times New Roman"/>
          <w:sz w:val="24"/>
          <w:szCs w:val="24"/>
        </w:rPr>
        <w:t>stiffer 25-40 kPa substrates</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"10.1016/j.cell.2006.06.044", "ISBN" : "0092-8674 (Print)\\n0092-8674 (Linking)", "ISSN" : "00928674", "PMID" : "16923388", "abstract" : "Microenvironments appear important in stem cell lineage specification but can be difficult to adequately characterize or control with soft tissues. Naive mesenchymal stem cells (MSCs) are shown here to specify lineage and commit??to phenotypes with extreme sensitivity to tissue-level elasticity. Soft matrices that mimic brain are neurogenic, stiffer matrices that mimic muscle are myogenic, and comparatively rigid matrices that mimic collagenous bone prove osteogenic. During the initial week in culture, reprogramming of these lineages is possible with addition of soluble induction factors, but after several weeks in culture, the cells commit to the lineage specified by matrix elasticity, consistent with the elasticity-insensitive commitment of differentiated cell types. Inhibition of nonmuscle myosin II blocks all elasticity-directed lineage specification-without strongly perturbing many other aspects of cell function and shape. The results have significant implications for understanding physical effects of the in vivo microenvironment and also for therapeutic uses of stem cells. ?? 2006 Elsevier Inc. All rights reserved.", "author" : [ { "dropping-particle" : "", "family" : "Engler", "given" : "Adam J.", "non-dropping-particle" : "", "parse-names" : false, "suffix" : "" }, { "dropping-particle" : "", "family" : "Sen", "given" : "Shamik", "non-dropping-particle" : "", "parse-names" : false, "suffix" : "" }, { "dropping-particle" : "", "family" : "Sweeney", "given" : "H. Lee", "non-dropping-particle" : "", "parse-names" : false, "suffix" : "" }, { "dropping-particle" : "", "family" : "Discher", "given" : "Dennis E.", "non-dropping-particle" : "", "parse-names" : false, "suffix" : "" } ], "container-title" : "Cell", "id" : "ITEM-1", "issue" : "4", "issued" : { "date-parts" : [ [ "2006" ] ] }, "page" : "677-689", "title" : "Matrix elasticity directs stem cell lineage specification", "type" : "article-journal", "volume" : "126" }, "uris" : [ "http://www.mendeley.com/documents/?uuid=a26ce2e7-ded1-49dd-8997-61663d557501" ] } ], "mendeley" : { "formattedCitation" : "[17]", "plainTextFormattedCitation" : "[17]", "previouslyFormattedCitation" : "[17]"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[17]</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w:t>
      </w:r>
    </w:p>
    <w:p w14:paraId="57DF87AE" w14:textId="28E560D6" w:rsidR="00C8280F" w:rsidRPr="00911F80" w:rsidRDefault="002A54E1" w:rsidP="00911F80">
      <w:pPr>
        <w:rPr>
          <w:shd w:val="clear" w:color="auto" w:fill="EA9999"/>
        </w:rPr>
      </w:pPr>
      <w:r w:rsidRPr="00911F80">
        <w:lastRenderedPageBreak/>
        <w:t>Many studies have focused on the effect of matrix stiffness using hydrogels that are almost purely elastic, such as polyacrylamide hydrogels, consequently neglecting the viscoelastic behavior of the ECM and various tissues. Viscoelastic gels or tissues under constant strain will exhibit partial stress-relaxation, or a decrease in the stress required to maintain th</w:t>
      </w:r>
      <w:r w:rsidR="00DD73C5" w:rsidRPr="00911F80">
        <w:t>e strain over time</w:t>
      </w:r>
      <w:r w:rsidR="00DD73C5" w:rsidRPr="00911F80">
        <w:fldChar w:fldCharType="begin" w:fldLock="1"/>
      </w:r>
      <w:r w:rsidR="00DD73C5" w:rsidRPr="00911F80">
        <w:instrText>ADDIN CSL_CITATION { "citationItems" : [ { "id" : "ITEM-1", "itemData" : { "DOI" : "10.1063/1.3343265", "author" : [ { "dropping-particle" : "", "family" : "Zhao", "given" : "Xuanhe", "non-dropping-particle" : "", "parse-names" : false, "suffix" : "" }, { "dropping-particle" : "", "family" : "Huebsch", "given" : "Nathaniel", "non-dropping-particle" : "", "parse-names" : false, "suffix" : "" }, { "dropping-particle" : "", "family" : "Mooney", "given" : "David J", "non-dropping-particle" : "", "parse-names" : false, "suffix" : "" }, { "dropping-particle" : "", "family" : "Suo", "given" : "Zhigang", "non-dropping-particle" : "", "parse-names" : false, "suffix" : "" } ], "container-title" : "Journal of Applied Physics", "id" : "ITEM-1", "issue" : "6", "issued" : { "date-parts" : [ [ "2010" ] ] }, "page" : "1-5", "title" : "Stress-relaxation behavior in gels with ionic and covalent crosslinks", "type" : "article-journal", "volume" : "107" }, "uris" : [ "http://www.mendeley.com/documents/?uuid=4c2f9d05-885b-4b17-87e4-b21d9e88d9c9" ] } ], "mendeley" : { "formattedCitation" : "[18]", "plainTextFormattedCitation" : "[18]", "previouslyFormattedCitation" : "[18]" }, "properties" : { "noteIndex" : 0 }, "schema" : "https://github.com/citation-style-language/schema/raw/master/csl-citation.json" }</w:instrText>
      </w:r>
      <w:r w:rsidR="00DD73C5" w:rsidRPr="00911F80">
        <w:fldChar w:fldCharType="separate"/>
      </w:r>
      <w:r w:rsidR="00DD73C5" w:rsidRPr="00911F80">
        <w:t>[18]</w:t>
      </w:r>
      <w:r w:rsidR="00DD73C5" w:rsidRPr="00911F80">
        <w:fldChar w:fldCharType="end"/>
      </w:r>
      <w:r w:rsidRPr="00911F80">
        <w:t xml:space="preserve">. Recent studies using viscoelastic hydrogels as </w:t>
      </w:r>
      <w:r w:rsidR="00B265A2" w:rsidRPr="00911F80">
        <w:t xml:space="preserve">cell culture </w:t>
      </w:r>
      <w:r w:rsidRPr="00911F80">
        <w:t>substrates have reported an influence of visco</w:t>
      </w:r>
      <w:r w:rsidR="00DD73C5" w:rsidRPr="00911F80">
        <w:t>elasticity on cell spreading</w:t>
      </w:r>
      <w:r w:rsidR="00DD73C5" w:rsidRPr="00911F80">
        <w:fldChar w:fldCharType="begin" w:fldLock="1"/>
      </w:r>
      <w:r w:rsidR="00DD73C5" w:rsidRPr="00911F80">
        <w:instrText>ADDIN CSL_CITATION { "citationItems" : [ { "id" : "ITEM-1", "itemData" : { "DOI" : "10.1038/ncomms7365", "ISSN" : "2041-1723", "author" : [ { "dropping-particle" : "", "family" : "Chaudhuri", "given" : "Ovijit", "non-dropping-particle" : "", "parse-names" : false, "suffix" : "" }, { "dropping-particle" : "", "family" : "Gu", "given" : "Luo", "non-dropping-particle" : "", "parse-names" : false, "suffix" : "" }, { "dropping-particle" : "", "family" : "Darnell", "given" : "Max", "non-dropping-particle" : "", "parse-names" : false, "suffix" : "" }, { "dropping-particle" : "", "family" : "Klumpers", "given" : "Darinka", "non-dropping-particle" : "", "parse-names" : false, "suffix" : "" }, { "dropping-particle" : "", "family" : "Bencherif", "given" : "Sidi A.", "non-dropping-particle" : "", "parse-names" : false, "suffix" : "" }, { "dropping-particle" : "", "family" : "Weaver", "given" : "James C.", "non-dropping-particle" : "", "parse-names" : false, "suffix" : "" }, { "dropping-particle" : "", "family" : "Huebsch", "given" : "Nathaniel", "non-dropping-particle" : "", "parse-names" : false, "suffix" : "" }, { "dropping-particle" : "", "family" : "Mooney", "given" : "David J.", "non-dropping-particle" : "", "parse-names" : false, "suffix" : "" } ], "container-title" : "Nature Communications", "id" : "ITEM-1", "issued" : { "date-parts" : [ [ "2015" ] ] }, "page" : "6364", "publisher" : "Nature Publishing Group", "title" : "Substrate stress relaxation regulates cell spreading", "type" : "article-journal", "volume" : "6" }, "uris" : [ "http://www.mendeley.com/documents/?uuid=82552e09-6a98-4156-8dab-12ad709c0de1" ] }, { "id" : "ITEM-2", "itemData" : { "DOI" : "10.1016/j.biomaterials.2011.04.003", "ISSN" : "0142-9612", "author" : [ { "dropping-particle" : "", "family" : "Cameron", "given" : "Andrew R", "non-dropping-particle" : "", "parse-names" : false, "suffix" : "" }, { "dropping-particle" : "", "family" : "Frith", "given" : "Jessica E", "non-dropping-particle" : "", "parse-names" : false, "suffix" : "" }, { "dropping-particle" : "", "family" : "Cooper-white", "given" : "Justin J", "non-dropping-particle" : "", "parse-names" : false, "suffix" : "" } ], "container-title" : "Biomaterials", "id" : "ITEM-2", "issue" : "26", "issued" : { "date-parts" : [ [ "2011" ] ] }, "page" : "5979-5993", "publisher" : "Elsevier Ltd", "title" : "The influence of substrate creep on mesenchymal stem cell behaviour and phenotype", "type" : "article-journal", "volume" : "32" }, "uris" : [ "http://www.mendeley.com/documents/?uuid=8e220efa-8d4b-46bc-91d9-2cbb6bc800ab" ] } ], "mendeley" : { "formattedCitation" : "[19], [20]", "manualFormatting" : "[19],[20]", "plainTextFormattedCitation" : "[19], [20]", "previouslyFormattedCitation" : "[19], [20]" }, "properties" : { "noteIndex" : 0 }, "schema" : "https://github.com/citation-style-language/schema/raw/master/csl-citation.json" }</w:instrText>
      </w:r>
      <w:r w:rsidR="00DD73C5" w:rsidRPr="00911F80">
        <w:fldChar w:fldCharType="separate"/>
      </w:r>
      <w:r w:rsidR="00DD73C5" w:rsidRPr="00911F80">
        <w:t>[19],[20]</w:t>
      </w:r>
      <w:r w:rsidR="00DD73C5" w:rsidRPr="00911F80">
        <w:fldChar w:fldCharType="end"/>
      </w:r>
      <w:r w:rsidR="00DD73C5" w:rsidRPr="00911F80">
        <w:t>, proliferation</w:t>
      </w:r>
      <w:r w:rsidR="00DD73C5" w:rsidRPr="00911F80">
        <w:fldChar w:fldCharType="begin" w:fldLock="1"/>
      </w:r>
      <w:r w:rsidR="00DD73C5" w:rsidRPr="00911F80">
        <w:instrText>ADDIN CSL_CITATION { "citationItems" : [ { "id" : "ITEM-1", "itemData" : { "DOI" : "10.1038/ncomms7365", "ISSN" : "2041-1723", "author" : [ { "dropping-particle" : "", "family" : "Chaudhuri", "given" : "Ovijit", "non-dropping-particle" : "", "parse-names" : false, "suffix" : "" }, { "dropping-particle" : "", "family" : "Gu", "given" : "Luo", "non-dropping-particle" : "", "parse-names" : false, "suffix" : "" }, { "dropping-particle" : "", "family" : "Darnell", "given" : "Max", "non-dropping-particle" : "", "parse-names" : false, "suffix" : "" }, { "dropping-particle" : "", "family" : "Klumpers", "given" : "Darinka", "non-dropping-particle" : "", "parse-names" : false, "suffix" : "" }, { "dropping-particle" : "", "family" : "Bencherif", "given" : "Sidi A.", "non-dropping-particle" : "", "parse-names" : false, "suffix" : "" }, { "dropping-particle" : "", "family" : "Weaver", "given" : "James C.", "non-dropping-particle" : "", "parse-names" : false, "suffix" : "" }, { "dropping-particle" : "", "family" : "Huebsch", "given" : "Nathaniel", "non-dropping-particle" : "", "parse-names" : false, "suffix" : "" }, { "dropping-particle" : "", "family" : "Mooney", "given" : "David J.", "non-dropping-particle" : "", "parse-names" : false, "suffix" : "" } ], "container-title" : "Nature Communications", "id" : "ITEM-1", "issued" : { "date-parts" : [ [ "2015" ] ] }, "page" : "6364", "publisher" : "Nature Publishing Group", "title" : "Substrate stress relaxation regulates cell spreading", "type" : "article-journal", "volume" : "6" }, "uris" : [ "http://www.mendeley.com/documents/?uuid=82552e09-6a98-4156-8dab-12ad709c0de1" ] }, { "id" : "ITEM-2", "itemData" : { "DOI" : "10.1038/NMAT4489", "author" : [ { "dropping-particle" : "", "family" : "Chaudhuri", "given" : "Ovijit", "non-dropping-particle" : "", "parse-names" : false, "suffix" : "" }, { "dropping-particle" : "", "family" : "Gu", "given" : "Luo", "non-dropping-particle" : "", "parse-names" : false, "suffix" : "" }, { "dropping-particle" : "", "family" : "Klumpers", "given" : "Darinka", "non-dropping-particle" : "", "parse-names" : false, "suffix" : "" }, { "dropping-particle" : "", "family" : "Darnell", "given" : "Max", "non-dropping-particle" : "", "parse-names" : false, "suffix" : "" }, { "dropping-particle" : "", "family" : "Bencherif", "given" : "Sidi A", "non-dropping-particle" : "", "parse-names" : false, "suffix" : "" }, { "dropping-particle" : "", "family" : "Weaver", "given" : "James C", "non-dropping-particle" : "", "parse-names" : false, "suffix" : "" }, { "dropping-particle" : "", "family" : "Huebsch", "given" : "Nathaniel", "non-dropping-particle" : "", "parse-names" : false, "suffix" : "" }, { "dropping-particle" : "", "family" : "Lee", "given" : "Hong-pyo", "non-dropping-particle" : "", "parse-names" : false, "suffix" : "" }, { "dropping-particle" : "", "family" : "Lippens", "given" : "Evi", "non-dropping-particle" : "", "parse-names" : false, "suffix" : "" }, { "dropping-particle" : "", "family" : "Duda", "given" : "Georg N", "non-dropping-particle" : "", "parse-names" : false, "suffix" : "" }, { "dropping-particle" : "", "family" : "Mooney", "given" : "David J", "non-dropping-particle" : "", "parse-names" : false, "suffix" : "" } ], "container-title" : "Nature Materials", "id" : "ITEM-2", "issue" : "3", "issued" : { "date-parts" : [ [ "2015" ] ] }, "page" : "1-25", "title" : "Hydrogels with tunable stress relaxation regulate stem cell fate and activity", "type" : "article-journal", "volume" : "14" }, "uris" : [ "http://www.mendeley.com/documents/?uuid=457bcb2f-f052-4a24-924a-c853321f7c0e" ] } ], "mendeley" : { "formattedCitation" : "[19], [21]", "manualFormatting" : "[19],[21]", "plainTextFormattedCitation" : "[19], [21]", "previouslyFormattedCitation" : "[19], [21]" }, "properties" : { "noteIndex" : 0 }, "schema" : "https://github.com/citation-style-language/schema/raw/master/csl-citation.json" }</w:instrText>
      </w:r>
      <w:r w:rsidR="00DD73C5" w:rsidRPr="00911F80">
        <w:fldChar w:fldCharType="separate"/>
      </w:r>
      <w:r w:rsidR="00DD73C5" w:rsidRPr="00911F80">
        <w:t>[19],[21]</w:t>
      </w:r>
      <w:r w:rsidR="00DD73C5" w:rsidRPr="00911F80">
        <w:fldChar w:fldCharType="end"/>
      </w:r>
      <w:r w:rsidR="00DD73C5" w:rsidRPr="00911F80">
        <w:t xml:space="preserve"> and differentiation</w:t>
      </w:r>
      <w:r w:rsidR="00DD73C5" w:rsidRPr="00911F80">
        <w:fldChar w:fldCharType="begin" w:fldLock="1"/>
      </w:r>
      <w:r w:rsidR="00DD73C5" w:rsidRPr="00911F80">
        <w:instrText>ADDIN CSL_CITATION { "citationItems" : [ { "id" : "ITEM-1", "itemData" : { "DOI" : "10.1038/NMAT4489", "author" : [ { "dropping-particle" : "", "family" : "Chaudhuri", "given" : "Ovijit", "non-dropping-particle" : "", "parse-names" : false, "suffix" : "" }, { "dropping-particle" : "", "family" : "Gu", "given" : "Luo", "non-dropping-particle" : "", "parse-names" : false, "suffix" : "" }, { "dropping-particle" : "", "family" : "Klumpers", "given" : "Darinka", "non-dropping-particle" : "", "parse-names" : false, "suffix" : "" }, { "dropping-particle" : "", "family" : "Darnell", "given" : "Max", "non-dropping-particle" : "", "parse-names" : false, "suffix" : "" }, { "dropping-particle" : "", "family" : "Bencherif", "given" : "Sidi A", "non-dropping-particle" : "", "parse-names" : false, "suffix" : "" }, { "dropping-particle" : "", "family" : "Weaver", "given" : "James C", "non-dropping-particle" : "", "parse-names" : false, "suffix" : "" }, { "dropping-particle" : "", "family" : "Huebsch", "given" : "Nathaniel", "non-dropping-particle" : "", "parse-names" : false, "suffix" : "" }, { "dropping-particle" : "", "family" : "Lee", "given" : "Hong-pyo", "non-dropping-particle" : "", "parse-names" : false, "suffix" : "" }, { "dropping-particle" : "", "family" : "Lippens", "given" : "Evi", "non-dropping-particle" : "", "parse-names" : false, "suffix" : "" }, { "dropping-particle" : "", "family" : "Duda", "given" : "Georg N", "non-dropping-particle" : "", "parse-names" : false, "suffix" : "" }, { "dropping-particle" : "", "family" : "Mooney", "given" : "David J", "non-dropping-particle" : "", "parse-names" : false, "suffix" : "" } ], "container-title" : "Nature Materials", "id" : "ITEM-1", "issue" : "3", "issued" : { "date-parts" : [ [ "2015" ] ] }, "page" : "1-25", "title" : "Hydrogels with tunable stress relaxation regulate stem cell fate and activity", "type" : "article-journal", "volume" : "14" }, "uris" : [ "http://www.mendeley.com/documents/?uuid=457bcb2f-f052-4a24-924a-c853321f7c0e" ] }, { "id" : "ITEM-2", "itemData" : { "DOI" : "10.1016/j.biomaterials.2013.11.023", "ISSN" : "0142-9612", "author" : [ { "dropping-particle" : "", "family" : "Cameron", "given" : "Andrew R", "non-dropping-particle" : "", "parse-names" : false, "suffix" : "" }, { "dropping-particle" : "", "family" : "Frith", "given" : "Jessica E", "non-dropping-particle" : "", "parse-names" : false, "suffix" : "" }, { "dropping-particle" : "", "family" : "Gomez", "given" : "Guillermo A", "non-dropping-particle" : "", "parse-names" : false, "suffix" : "" }, { "dropping-particle" : "", "family" : "Yap", "given" : "Alpha S", "non-dropping-particle" : "", "parse-names" : false, "suffix" : "" }, { "dropping-particle" : "", "family" : "Cooper-White", "given" : "Justin J", "non-dropping-particle" : "", "parse-names" : false, "suffix" : "" } ], "container-title" : "Biomaterials", "id" : "ITEM-2", "issued" : { "date-parts" : [ [ "2014" ] ] }, "page" : "1857-1868", "publisher" : "Elsevier Ltd", "title" : "The effect of time-dependent deformation of viscoelastic hydrogels on myogenic induction and Rac1 activity in mesenchymal stem cells", "type" : "article-journal", "volume" : "35" }, "uris" : [ "http://www.mendeley.com/documents/?uuid=c79ba001-d657-4df4-946b-99fa3a27fc1e" ] } ], "mendeley" : { "formattedCitation" : "[21], [22]", "plainTextFormattedCitation" : "[21], [22]", "previouslyFormattedCitation" : "[21], [22]" }, "properties" : { "noteIndex" : 0 }, "schema" : "https://github.com/citation-style-language/schema/raw/master/csl-citation.json" }</w:instrText>
      </w:r>
      <w:r w:rsidR="00DD73C5" w:rsidRPr="00911F80">
        <w:fldChar w:fldCharType="separate"/>
      </w:r>
      <w:r w:rsidR="00DD73C5" w:rsidRPr="00911F80">
        <w:t>[21], [22]</w:t>
      </w:r>
      <w:r w:rsidR="00DD73C5" w:rsidRPr="00911F80">
        <w:fldChar w:fldCharType="end"/>
      </w:r>
      <w:r w:rsidRPr="00911F80">
        <w:t>. More specifically, the effect of stress-relaxation was investigated with mesenchym</w:t>
      </w:r>
      <w:r w:rsidR="00DD73C5" w:rsidRPr="00911F80">
        <w:t>al stem cells cultured on 2D</w:t>
      </w:r>
      <w:r w:rsidR="00DD73C5" w:rsidRPr="00911F80">
        <w:fldChar w:fldCharType="begin" w:fldLock="1"/>
      </w:r>
      <w:r w:rsidR="00DD73C5" w:rsidRPr="00911F80">
        <w:instrText>ADDIN CSL_CITATION { "citationItems" : [ { "id" : "ITEM-1", "itemData" : { "DOI" : "10.1016/j.biomaterials.2011.04.003", "ISSN" : "0142-9612", "author" : [ { "dropping-particle" : "", "family" : "Cameron", "given" : "Andrew R", "non-dropping-particle" : "", "parse-names" : false, "suffix" : "" }, { "dropping-particle" : "", "family" : "Frith", "given" : "Jessica E", "non-dropping-particle" : "", "parse-names" : false, "suffix" : "" }, { "dropping-particle" : "", "family" : "Cooper-white", "given" : "Justin J", "non-dropping-particle" : "", "parse-names" : false, "suffix" : "" } ], "container-title" : "Biomaterials", "id" : "ITEM-1", "issue" : "26", "issued" : { "date-parts" : [ [ "2011" ] ] }, "page" : "5979-5993", "publisher" : "Elsevier Ltd", "title" : "The influence of substrate creep on mesenchymal stem cell behaviour and phenotype", "type" : "article-journal", "volume" : "32" }, "uris" : [ "http://www.mendeley.com/documents/?uuid=8e220efa-8d4b-46bc-91d9-2cbb6bc800ab" ] } ], "mendeley" : { "formattedCitation" : "[20]", "plainTextFormattedCitation" : "[20]", "previouslyFormattedCitation" : "[20]" }, "properties" : { "noteIndex" : 0 }, "schema" : "https://github.com/citation-style-language/schema/raw/master/csl-citation.json" }</w:instrText>
      </w:r>
      <w:r w:rsidR="00DD73C5" w:rsidRPr="00911F80">
        <w:fldChar w:fldCharType="separate"/>
      </w:r>
      <w:r w:rsidR="00DD73C5" w:rsidRPr="00911F80">
        <w:t>[20]</w:t>
      </w:r>
      <w:r w:rsidR="00DD73C5" w:rsidRPr="00911F80">
        <w:fldChar w:fldCharType="end"/>
      </w:r>
      <w:r w:rsidR="00DD73C5" w:rsidRPr="00911F80">
        <w:t xml:space="preserve"> or in 3D</w:t>
      </w:r>
      <w:r w:rsidR="00DD73C5" w:rsidRPr="00911F80">
        <w:fldChar w:fldCharType="begin" w:fldLock="1"/>
      </w:r>
      <w:r w:rsidR="00DD73C5" w:rsidRPr="00911F80">
        <w:instrText>ADDIN CSL_CITATION { "citationItems" : [ { "id" : "ITEM-1", "itemData" : { "DOI" : "10.1038/NMAT4489", "author" : [ { "dropping-particle" : "", "family" : "Chaudhuri", "given" : "Ovijit", "non-dropping-particle" : "", "parse-names" : false, "suffix" : "" }, { "dropping-particle" : "", "family" : "Gu", "given" : "Luo", "non-dropping-particle" : "", "parse-names" : false, "suffix" : "" }, { "dropping-particle" : "", "family" : "Klumpers", "given" : "Darinka", "non-dropping-particle" : "", "parse-names" : false, "suffix" : "" }, { "dropping-particle" : "", "family" : "Darnell", "given" : "Max", "non-dropping-particle" : "", "parse-names" : false, "suffix" : "" }, { "dropping-particle" : "", "family" : "Bencherif", "given" : "Sidi A", "non-dropping-particle" : "", "parse-names" : false, "suffix" : "" }, { "dropping-particle" : "", "family" : "Weaver", "given" : "James C", "non-dropping-particle" : "", "parse-names" : false, "suffix" : "" }, { "dropping-particle" : "", "family" : "Huebsch", "given" : "Nathaniel", "non-dropping-particle" : "", "parse-names" : false, "suffix" : "" }, { "dropping-particle" : "", "family" : "Lee", "given" : "Hong-pyo", "non-dropping-particle" : "", "parse-names" : false, "suffix" : "" }, { "dropping-particle" : "", "family" : "Lippens", "given" : "Evi", "non-dropping-particle" : "", "parse-names" : false, "suffix" : "" }, { "dropping-particle" : "", "family" : "Duda", "given" : "Georg N", "non-dropping-particle" : "", "parse-names" : false, "suffix" : "" }, { "dropping-particle" : "", "family" : "Mooney", "given" : "David J", "non-dropping-particle" : "", "parse-names" : false, "suffix" : "" } ], "container-title" : "Nature Materials", "id" : "ITEM-1", "issue" : "3", "issued" : { "date-parts" : [ [ "2015" ] ] }, "page" : "1-25", "title" : "Hydrogels with tunable stress relaxation regulate stem cell fate and activity", "type" : "article-journal", "volume" : "14" }, "uris" : [ "http://www.mendeley.com/documents/?uuid=457bcb2f-f052-4a24-924a-c853321f7c0e" ] } ], "mendeley" : { "formattedCitation" : "[21]", "plainTextFormattedCitation" : "[21]", "previouslyFormattedCitation" : "[21]" }, "properties" : { "noteIndex" : 0 }, "schema" : "https://github.com/citation-style-language/schema/raw/master/csl-citation.json" }</w:instrText>
      </w:r>
      <w:r w:rsidR="00DD73C5" w:rsidRPr="00911F80">
        <w:fldChar w:fldCharType="separate"/>
      </w:r>
      <w:r w:rsidR="00DD73C5" w:rsidRPr="00911F80">
        <w:t>[21]</w:t>
      </w:r>
      <w:r w:rsidR="00DD73C5" w:rsidRPr="00911F80">
        <w:fldChar w:fldCharType="end"/>
      </w:r>
      <w:r w:rsidRPr="00911F80">
        <w:t xml:space="preserve"> hydrogels, as well as with fibroblasts and human osteosarcoma cells (U2</w:t>
      </w:r>
      <w:r w:rsidR="00DD73C5" w:rsidRPr="00911F80">
        <w:t>OS) cultured on 2D hydrogels</w:t>
      </w:r>
      <w:r w:rsidR="00DD73C5" w:rsidRPr="00911F80">
        <w:fldChar w:fldCharType="begin" w:fldLock="1"/>
      </w:r>
      <w:r w:rsidR="00DD73C5" w:rsidRPr="00911F80">
        <w:instrText>ADDIN CSL_CITATION { "citationItems" : [ { "id" : "ITEM-1", "itemData" : { "DOI" : "10.1038/ncomms7365", "ISSN" : "2041-1723", "author" : [ { "dropping-particle" : "", "family" : "Chaudhuri", "given" : "Ovijit", "non-dropping-particle" : "", "parse-names" : false, "suffix" : "" }, { "dropping-particle" : "", "family" : "Gu", "given" : "Luo", "non-dropping-particle" : "", "parse-names" : false, "suffix" : "" }, { "dropping-particle" : "", "family" : "Darnell", "given" : "Max", "non-dropping-particle" : "", "parse-names" : false, "suffix" : "" }, { "dropping-particle" : "", "family" : "Klumpers", "given" : "Darinka", "non-dropping-particle" : "", "parse-names" : false, "suffix" : "" }, { "dropping-particle" : "", "family" : "Bencherif", "given" : "Sidi A.", "non-dropping-particle" : "", "parse-names" : false, "suffix" : "" }, { "dropping-particle" : "", "family" : "Weaver", "given" : "James C.", "non-dropping-particle" : "", "parse-names" : false, "suffix" : "" }, { "dropping-particle" : "", "family" : "Huebsch", "given" : "Nathaniel", "non-dropping-particle" : "", "parse-names" : false, "suffix" : "" }, { "dropping-particle" : "", "family" : "Mooney", "given" : "David J.", "non-dropping-particle" : "", "parse-names" : false, "suffix" : "" } ], "container-title" : "Nature Communications", "id" : "ITEM-1", "issued" : { "date-parts" : [ [ "2015" ] ] }, "page" : "6364", "publisher" : "Nature Publishing Group", "title" : "Substrate stress relaxation regulates cell spreading", "type" : "article-journal", "volume" : "6" }, "uris" : [ "http://www.mendeley.com/documents/?uuid=82552e09-6a98-4156-8dab-12ad709c0de1" ] } ], "mendeley" : { "formattedCitation" : "[19]", "plainTextFormattedCitation" : "[19]", "previouslyFormattedCitation" : "[19]" }, "properties" : { "noteIndex" : 0 }, "schema" : "https://github.com/citation-style-language/schema/raw/master/csl-citation.json" }</w:instrText>
      </w:r>
      <w:r w:rsidR="00DD73C5" w:rsidRPr="00911F80">
        <w:fldChar w:fldCharType="separate"/>
      </w:r>
      <w:r w:rsidR="00DD73C5" w:rsidRPr="00911F80">
        <w:t>[19]</w:t>
      </w:r>
      <w:r w:rsidR="00DD73C5" w:rsidRPr="00911F80">
        <w:fldChar w:fldCharType="end"/>
      </w:r>
      <w:r w:rsidRPr="00911F80">
        <w:rPr>
          <w:shd w:val="clear" w:color="auto" w:fill="EA9999"/>
        </w:rPr>
        <w:t>.</w:t>
      </w:r>
    </w:p>
    <w:p w14:paraId="34C67022" w14:textId="7A55E55A" w:rsidR="00C8280F" w:rsidRPr="00911F80" w:rsidRDefault="002A54E1" w:rsidP="002618AE">
      <w:pPr>
        <w:spacing w:line="256" w:lineRule="auto"/>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Muscle, as many other tissues within the body, is viscoelastic in nature. This could be an important mechanical component for regulating the behavior of the cells that r</w:t>
      </w:r>
      <w:r w:rsidR="00544F68" w:rsidRPr="00911F80">
        <w:rPr>
          <w:rFonts w:ascii="Times New Roman" w:eastAsia="Times New Roman" w:hAnsi="Times New Roman" w:cs="Times New Roman"/>
          <w:sz w:val="24"/>
          <w:szCs w:val="24"/>
        </w:rPr>
        <w:t>eside in this tissue; myoblasts. (3.2)</w:t>
      </w:r>
      <w:r w:rsidRPr="00911F80">
        <w:rPr>
          <w:rFonts w:ascii="Times New Roman" w:eastAsia="Times New Roman" w:hAnsi="Times New Roman" w:cs="Times New Roman"/>
          <w:sz w:val="24"/>
          <w:szCs w:val="24"/>
        </w:rPr>
        <w:t xml:space="preserve"> Nevertheless, the effect of stress-relaxing substrates on the behavior of myoblasts is currently unknown. In the past, changes in substrate rigidity have been shown </w:t>
      </w:r>
      <w:r w:rsidR="00DD73C5" w:rsidRPr="00911F80">
        <w:rPr>
          <w:rFonts w:ascii="Times New Roman" w:eastAsia="Times New Roman" w:hAnsi="Times New Roman" w:cs="Times New Roman"/>
          <w:sz w:val="24"/>
          <w:szCs w:val="24"/>
        </w:rPr>
        <w:t>to affect myoblast spreading</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"10.1083/jcb.200405004", "ISBN" : "0021-9525 (Print)\\r0021-9525 (Linking)", "ISSN" : "00219525", "PMID" : "15364962", "abstract" : "Contractile myocytes provide a test of the hypothesis that cells sense their mechanical as well as molecular microenvironment, altering expression, organization, and/or morphology accordingly. Here, myoblasts were cultured on collagen strips attached to glass or polymer gels of varied elasticity. Subsequent fusion into myotubes occurs independent of substrate flexibility. However, myosin/actin striations emerge later only on gels with stiffness typical of normal muscle (passive Young's modulus, E approximately 12 kPa). On glass and much softer or stiffer gels, including gels emulating stiff dystrophic muscle, cells do not striate. In addition, myotubes grown on top of a compliant bottom layer of glass-attached myotubes (but not softer fibroblasts) will striate, whereas the bottom cells will only assemble stress fibers and vinculin-rich adhesions. Unlike sarcomere formation, adhesion strength increases monotonically versus substrate stiffness with strongest adhesion on glass. These findings have major implications for in vivo introduction of stem cells into diseased or damaged striated muscle of altered mechanical composition.", "author" : [ { "dropping-particle" : "", "family" : "Engler", "given" : "Adam J.", "non-dropping-particle" : "", "parse-names" : false, "suffix" : "" }, { "dropping-particle" : "", "family" : "Griffin", "given" : "Maureen A.", "non-dropping-particle" : "", "parse-names" : false, "suffix" : "" }, { "dropping-particle" : "", "family" : "Sen", "given" : "Shamik", "non-dropping-particle" : "", "parse-names" : false, "suffix" : "" }, { "dropping-particle" : "", "family" : "B\u00f6nnemann", "given" : "Carsten G.", "non-dropping-particle" : "", "parse-names" : false, "suffix" : "" }, { "dropping-particle" : "", "family" : "Sweeney", "given" : "H. Lee", "non-dropping-particle" : "", "parse-names" : false, "suffix" : "" }, { "dropping-particle" : "", "family" : "Discher", "given" : "Dennis E.", "non-dropping-particle" : "", "parse-names" : false, "suffix" : "" } ], "container-title" : "Journal of Cell Biology", "id" : "ITEM-1", "issue" : "6", "issued" : { "date-parts" : [ [ "2004" ] ] }, "page" : "877-887", "title" : "Myotubes differentiate optimally on substrates with tissue-like stiffness: Pathological implications for soft or stiff microenvironments", "type" : "article-journal", "volume" : "166" }, "uris" : [ "http://www.mendeley.com/documents/?uuid=ac4f5e4b-a393-4f88-9140-b4ca1cda0f31" ] } ], "mendeley" : { "formattedCitation" : "[23]", "plainTextFormattedCitation" : "[23]", "previouslyFormattedCitation" : "[23]"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[23]</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prolifera</w:t>
      </w:r>
      <w:r w:rsidR="00DD73C5" w:rsidRPr="00911F80">
        <w:rPr>
          <w:rFonts w:ascii="Times New Roman" w:eastAsia="Times New Roman" w:hAnsi="Times New Roman" w:cs="Times New Roman"/>
          <w:sz w:val="24"/>
          <w:szCs w:val="24"/>
        </w:rPr>
        <w:t>tion</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"10.1089/ten.2006.0356", "ISBN" : "1076-3279 (Print)\\r1076-3279 (Linking)", "ISSN" : "1076-3279", "PMID" : "17561804", "abstract" : "Mechanical stiffness and degradability are important material parameters in tissue engineering. The aim of this study was to address the hypothesis that these variables regulate the function of myoblasts cultured in 2-D and 3-D microenvironments. Development of cell-interactive alginate gels with tunable degradation rates and mechanical stiffness was established by a combination of partial oxidation and bimodal molecular weight distribution. Higher gel mechanical properties (13 to 45 kPa) increased myoblast adhesion, proliferation, and differentiation in a 2-D cell culture model. Primary mouse myoblasts were more highly responsive to this cue than the C2C12 myoblast cell line. Myoblasts were then encapsulated in gels varying in degradation rate to simultaneously investigate the effect of degradation and subsequent reduction of mechanical properties on cells in a 3-D environment. C2C12 cells in more rapidly degrading gels exhibited lower proliferation, as they exited the cell cycle to differentiate, compared to those in nondegradable gels. In contrast, mouse primary myoblasts illustrated significantly higher proliferation in degradable gels than in nondegradable gels, and exhibited minimal differentiation in either type of gel. Altogether, these studies suggest that a critical balance between material degradation rate and mechanical properties may be required to regulate formation of engineered skeletal muscle tissue, and that results obtained with the C2C12 cell line may not be predictive of the response of primary myoblasts to environmental cues. The principles delineated in these studies may be useful to tailor smart biomaterials that can be applied to many other polymeric systems and tissue types.", "author" : [ { "dropping-particle" : "", "family" : "Boontheekul", "given" : "Tanyarut", "non-dropping-particle" : "", "parse-names" : false, "suffix" : "" }, { "dropping-particle" : "", "family" : "Hill", "given" : "Elliott E", "non-dropping-particle" : "", "parse-names" : false, "suffix" : "" }, { "dropping-particle" : "", "family" : "Kong", "given" : "Hyun-Joon", "non-dropping-particle" : "", "parse-names" : false, "suffix" : "" }, { "dropping-particle" : "", "family" : "Mooney", "given" : "David J", "non-dropping-particle" : "", "parse-names" : false, "suffix" : "" } ], "container-title" : "Tissue engineering", "id" : "ITEM-1", "issue" : "7", "issued" : { "date-parts" : [ [ "2007" ] ] }, "page" : "1431-1442", "title" : "Regulating myoblast phenotype through controlled gel stiffness and degradation.", "type" : "article-journal", "volume" : "13" }, "uris" : [ "http://www.mendeley.com/documents/?uuid=dc9570f6-4380-43ac-b0ab-8223f5934520" ] } ], "mendeley" : { "formattedCitation" : "[24]", "plainTextFormattedCitation" : "[24]", "previouslyFormattedCitation" : "[24]"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[24]</w:t>
      </w:r>
      <w:r w:rsidR="00DD73C5" w:rsidRPr="00911F80">
        <w:rPr>
          <w:rFonts w:ascii="Times New Roman" w:eastAsia="Times New Roman" w:hAnsi="Times New Roman" w:cs="Times New Roman"/>
          <w:sz w:val="24"/>
          <w:szCs w:val="24"/>
        </w:rPr>
        <w:fldChar w:fldCharType="end"/>
      </w:r>
      <w:r w:rsidR="00DD73C5" w:rsidRPr="00911F80">
        <w:rPr>
          <w:rFonts w:ascii="Times New Roman" w:eastAsia="Times New Roman" w:hAnsi="Times New Roman" w:cs="Times New Roman"/>
          <w:sz w:val="24"/>
          <w:szCs w:val="24"/>
        </w:rPr>
        <w:t xml:space="preserve"> and differentiation</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"10.1083/jcb.200405004", "ISBN" : "0021-9525 (Print)\\r0021-9525 (Linking)", "ISSN" : "00219525", "PMID" : "15364962", "abstract" : "Contractile myocytes provide a test of the hypothesis that cells sense their mechanical as well as molecular microenvironment, altering expression, organization, and/or morphology accordingly. Here, myoblasts were cultured on collagen strips attached to glass or polymer gels of varied elasticity. Subsequent fusion into myotubes occurs independent of substrate flexibility. However, myosin/actin striations emerge later only on gels with stiffness typical of normal muscle (passive Young's modulus, E approximately 12 kPa). On glass and much softer or stiffer gels, including gels emulating stiff dystrophic muscle, cells do not striate. In addition, myotubes grown on top of a compliant bottom layer of glass-attached myotubes (but not softer fibroblasts) will striate, whereas the bottom cells will only assemble stress fibers and vinculin-rich adhesions. Unlike sarcomere formation, adhesion strength increases monotonically versus substrate stiffness with strongest adhesion on glass. These findings have major implications for in vivo introduction of stem cells into diseased or damaged striated muscle of altered mechanical composition.", "author" : [ { "dropping-particle" : "", "family" : "Engler", "given" : "Adam J.", "non-dropping-particle" : "", "parse-names" : false, "suffix" : "" }, { "dropping-particle" : "", "family" : "Griffin", "given" : "Maureen A.", "non-dropping-particle" : "", "parse-names" : false, "suffix" : "" }, { "dropping-particle" : "", "family" : "Sen", "given" : "Shamik", "non-dropping-particle" : "", "parse-names" : false, "suffix" : "" }, { "dropping-particle" : "", "family" : "B\u00f6nnemann", "given" : "Carsten G.", "non-dropping-particle" : "", "parse-names" : false, "suffix" : "" }, { "dropping-particle" : "", "family" : "Sweeney", "given" : "H. Lee", "non-dropping-particle" : "", "parse-names" : false, "suffix" : "" }, { "dropping-particle" : "", "family" : "Discher", "given" : "Dennis E.", "non-dropping-particle" : "", "parse-names" : false, "suffix" : "" } ], "container-title" : "Journal of Cell Biology", "id" : "ITEM-1", "issue" : "6", "issued" : { "date-parts" : [ [ "2004" ] ] }, "page" : "877-887", "title" : "Myotubes differentiate optimally on substrates with tissue-like stiffness: Pathological implications for soft or stiff microenvironments", "type" : "article-journal", "volume" : "166" }, "uris" : [ "http://www.mendeley.com/documents/?uuid=ac4f5e4b-a393-4f88-9140-b4ca1cda0f31" ] } ], "mendeley" : { "formattedCitation" : "[23]", "plainTextFormattedCitation" : "[23]", "previouslyFormattedCitation" : "[23]"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[23]</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xml:space="preserve"> as well as skeletal m</w:t>
      </w:r>
      <w:r w:rsidR="00DD73C5" w:rsidRPr="00911F80">
        <w:rPr>
          <w:rFonts w:ascii="Times New Roman" w:eastAsia="Times New Roman" w:hAnsi="Times New Roman" w:cs="Times New Roman"/>
          <w:sz w:val="24"/>
          <w:szCs w:val="24"/>
        </w:rPr>
        <w:t>uscle stem cell self-renewal</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"10.1126/science.1191035", "ISBN" : "1095-9203 (Electronic)\\n0036-8075 (Linking)", "ISSN" : "1095-9203", "PMID" : "20647425", "author" : [ { "dropping-particle" : "", "family" : "Gilbert", "given" : "P M", "non-dropping-particle" : "", "parse-names" : false, "suffix" : "" }, { "dropping-particle" : "", "family" : "Havenstrite", "given" : "K L", "non-dropping-particle" : "", "parse-names" : false, "suffix" : "" }, { "dropping-particle" : "", "family" : "Magnusson", "given" : "K E G", "non-dropping-particle" : "", "parse-names" : false, "suffix" : "" }, { "dropping-particle" : "", "family" : "Sacco", "given" : "A", "non-dropping-particle" : "", "parse-names" : false, "suffix" : "" }, { "dropping-particle" : "", "family" : "Leonardi", "given" : "N A", "non-dropping-particle" : "", "parse-names" : false, "suffix" : "" }, { "dropping-particle" : "", "family" : "Kraft", "given" : "P", "non-dropping-particle" : "", "parse-names" : false, "suffix" : "" }, { "dropping-particle" : "", "family" : "Nguyen", "given" : "N K", "non-dropping-particle" : "", "parse-names" : false, "suffix" : "" }, { "dropping-particle" : "", "family" : "Thrun", "given" : "S", "non-dropping-particle" : "", "parse-names" : false, "suffix" : "" }, { "dropping-particle" : "", "family" : "Lutolf", "given" : "M P", "non-dropping-particle" : "", "parse-names" : false, "suffix" : "" }, { "dropping-particle" : "", "family" : "Blau", "given" : "H M", "non-dropping-particle" : "", "parse-names" : false, "suffix" : "" } ], "container-title" : "Science", "id" : "ITEM-1", "issued" : { "date-parts" : [ [ "2010" ] ] }, "page" : "1078-1081", "title" : "Substrate elasticity regulates skeletal muscle stem cell self-renewal in culture", "type" : "article-journal", "volume" : "329" }, "uris" : [ "http://www.mendeley.com/documents/?uuid=625518c4-427b-4d42-8c47-c987852a355c" ] } ], "mendeley" : { "formattedCitation" : "[25]", "plainTextFormattedCitation" : "[25]", "previouslyFormattedCitation" : "[25]"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[25]</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xml:space="preserve">. This study addresses the hypothesis that substrate stress-relaxation can regulate myoblast cell spreading and proliferation </w:t>
      </w:r>
      <w:r w:rsidRPr="00911F80">
        <w:rPr>
          <w:rFonts w:ascii="Times New Roman" w:eastAsia="Times New Roman" w:hAnsi="Times New Roman" w:cs="Times New Roman"/>
          <w:i/>
          <w:sz w:val="24"/>
          <w:szCs w:val="24"/>
        </w:rPr>
        <w:t>in vitro</w:t>
      </w:r>
      <w:r w:rsidRPr="00911F80">
        <w:rPr>
          <w:rFonts w:ascii="Times New Roman" w:eastAsia="Times New Roman" w:hAnsi="Times New Roman" w:cs="Times New Roman"/>
          <w:sz w:val="24"/>
          <w:szCs w:val="24"/>
        </w:rPr>
        <w:t>. To test this hypothesis, we designed two sets of hydrogel substrates; elastic and stress-relaxing alginate hydrogels. Myoblast cells (myoblast cell line C2C12 and primary myoblasts) were cultured on these 2D alginate substrates. The aim of the study was to investigate the effect of the material on two different cell types</w:t>
      </w:r>
      <w:r w:rsidR="0044739E" w:rsidRPr="00911F80">
        <w:rPr>
          <w:rFonts w:ascii="Times New Roman" w:eastAsia="Times New Roman" w:hAnsi="Times New Roman" w:cs="Times New Roman"/>
          <w:sz w:val="24"/>
          <w:szCs w:val="24"/>
        </w:rPr>
        <w:t xml:space="preserve">, </w:t>
      </w:r>
      <w:r w:rsidR="00CD3AAE" w:rsidRPr="00911F80">
        <w:rPr>
          <w:rFonts w:ascii="Times New Roman" w:eastAsia="Times New Roman" w:hAnsi="Times New Roman" w:cs="Times New Roman"/>
          <w:sz w:val="24"/>
          <w:szCs w:val="24"/>
        </w:rPr>
        <w:t xml:space="preserve">the </w:t>
      </w:r>
      <w:r w:rsidRPr="00911F80">
        <w:rPr>
          <w:rFonts w:ascii="Times New Roman" w:eastAsia="Times New Roman" w:hAnsi="Times New Roman" w:cs="Times New Roman"/>
          <w:sz w:val="24"/>
          <w:szCs w:val="24"/>
        </w:rPr>
        <w:t>myoblast cell line C2C12 and primary myoblasts</w:t>
      </w:r>
      <w:r w:rsidR="00CD3AAE" w:rsidRPr="00911F80">
        <w:rPr>
          <w:rFonts w:ascii="Times New Roman" w:eastAsia="Times New Roman" w:hAnsi="Times New Roman" w:cs="Times New Roman"/>
          <w:sz w:val="24"/>
          <w:szCs w:val="24"/>
        </w:rPr>
        <w:t>, independently</w:t>
      </w:r>
      <w:r w:rsidRPr="00911F80">
        <w:rPr>
          <w:rFonts w:ascii="Times New Roman" w:eastAsia="Times New Roman" w:hAnsi="Times New Roman" w:cs="Times New Roman"/>
          <w:sz w:val="24"/>
          <w:szCs w:val="24"/>
        </w:rPr>
        <w:t xml:space="preserve">. Alginate is a polysaccharide derived from algae composed of linearly assembled (1-4)-linked β-mannuronic acid (M) and α-guluronic acid (G). As alginate does not contain any integrin-binding sites for cells, cell adhesion was promoted through covalent coupling of an arginine (R), glycine (G), and aspartic acid (D) (RGD)-containing peptide to alginate </w:t>
      </w:r>
      <w:r w:rsidR="00DD73C5" w:rsidRPr="00911F80">
        <w:rPr>
          <w:rFonts w:ascii="Times New Roman" w:eastAsia="Times New Roman" w:hAnsi="Times New Roman" w:cs="Times New Roman"/>
          <w:sz w:val="24"/>
          <w:szCs w:val="24"/>
        </w:rPr>
        <w:t>using carbodiimide chemistry</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"10.1016/S0142-9612(98)00107-0", "ISBN" : "0142-9612", "ISSN" : "01429612", "PMID" : "9916770", "abstract" : "Alginate hydrogels are used extensively in cell encapsulation, cell transplantation, and tissue engineering applications. Alginates possess many favorable properties required in biomaterials, but are unable to specifically interact with mammalian cells. We have therefore covalently modified alginate polysaccharides with RGD-containing cell adhesion ligands utilizing aqueous carbodiimide chemistry. The chemistry has been optimized and quantified with reaction efficiencies reaching 80% or greater. The concentration of peptide available for reaction was then varied to create hydrogels with a range of ligand densities. Mouse skeletal myoblasts were cultured on alginate hydrogel surfaces coupled with GRGDY peptides to illustrate achievement of cellular interaction with the otherwise non-adhesive hydrogel substrate. Myoblasts adhere to GRGDY-modified alginate surfaces, proliferate, fuse into multi-nucleated myofibrils, and express heavy-chain myosin which is a differentiation marker for skeletal muscle. Myoblast adhesion and spreading on these GRGDY-modified hydrogels was inhibited with soluble ligand added to the seeding medium, illustrating the specificity of adhesion to these materials. Alginate may prove to be an ideal material with which to confer specific cellular interactive properties, potentially allowing for the control of long-term gene expression of cells within these matrices.", "author" : [ { "dropping-particle" : "", "family" : "Rowley", "given" : "Jon A", "non-dropping-particle" : "", "parse-names" : false, "suffix" : "" }, { "dropping-particle" : "", "family" : "Madlambayan", "given" : "Gerard", "non-dropping-particle" : "", "parse-names" : false, "suffix" : "" }, { "dropping-particle" : "", "family" : "Mooney", "given" : "David J", "non-dropping-particle" : "", "parse-names" : false, "suffix" : "" } ], "container-title" : "Biomaterials", "id" : "ITEM-1", "issue" : "1", "issued" : { "date-parts" : [ [ "1999" ] ] }, "page" : "45-53", "title" : "Alginate hydrogels as synthetic extracellular matrix materials", "type" : "article-journal", "volume" : "20" }, "uris" : [ "http://www.mendeley.com/documents/?uuid=f4c83f5c-b768-4400-b44b-0624bb9f6756" ] } ], "mendeley" : { "formattedCitation" : "[26]", "plainTextFormattedCitation" : "[26]", "previouslyFormattedCitation" : "[26]"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[26]</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Purely elastic and viscoelastic alginate hydrogels were synthesized by changing the nature of the alginate crosslinking using covalent crosslinking and ionic crosslinking respecti</w:t>
      </w:r>
      <w:r w:rsidR="00DD73C5" w:rsidRPr="00911F80">
        <w:rPr>
          <w:rFonts w:ascii="Times New Roman" w:eastAsia="Times New Roman" w:hAnsi="Times New Roman" w:cs="Times New Roman"/>
          <w:sz w:val="24"/>
          <w:szCs w:val="24"/>
        </w:rPr>
        <w:t>vely, as previously reported</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"10.1063/1.3343265", "author" : [ { "dropping-particle" : "", "family" : "Zhao", "given" : "Xuanhe", "non-dropping-particle" : "", "parse-names" : false, "suffix" : "" }, { "dropping-particle" : "", "family" : "Huebsch", "given" : "Nathaniel", "non-dropping-particle" : "", "parse-names" : false, "suffix" : "" }, { "dropping-particle" : "", "family" : "Mooney", "given" : "David J", "non-dropping-particle" : "", "parse-names" : false, "suffix" : "" }, { "dropping-particle" : "", "family" : "Suo", "given" : "Zhigang", "non-dropping-particle" : "", "parse-names" : false, "suffix" : "" } ], "container-title" : "Journal of Applied Physics", "id" : "ITEM-1", "issue" : "6", "issued" : { "date-parts" : [ [ "2010" ] ] }, "page" : "1-5", "title" : "Stress-relaxation behavior in gels with ionic and covalent crosslinks", "type" : "article-journal", "volume" : "107" }, "uris" : [ "http://www.mendeley.com/documents/?uuid=4c2f9d05-885b-4b17-87e4-b21d9e88d9c9" ] } ], "mendeley" : { "formattedCitation" : "[18]", "plainTextFormattedCitation" : "[18]", "previouslyFormattedCitation" : "[18]"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[18]</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w:t>
      </w:r>
      <w:r w:rsidR="002618AE" w:rsidRPr="00911F80">
        <w:rPr>
          <w:rFonts w:ascii="Times New Roman" w:eastAsia="Times New Roman" w:hAnsi="Times New Roman" w:cs="Times New Roman"/>
          <w:sz w:val="24"/>
          <w:szCs w:val="24"/>
        </w:rPr>
        <w:t xml:space="preserve"> </w:t>
      </w:r>
      <w:r w:rsidR="002618AE" w:rsidRPr="00911F80">
        <w:rPr>
          <w:rFonts w:ascii="Times New Roman" w:eastAsia="Times New Roman" w:hAnsi="Times New Roman" w:cs="Times New Roman"/>
          <w:sz w:val="24"/>
          <w:szCs w:val="24"/>
        </w:rPr>
        <w:br w:type="page"/>
      </w:r>
    </w:p>
    <w:p w14:paraId="7DB7FA73" w14:textId="77777777" w:rsidR="00C8280F" w:rsidRPr="00911F80" w:rsidRDefault="002A54E1" w:rsidP="002618AE">
      <w:pPr>
        <w:pStyle w:val="TitleParagraphArticle"/>
      </w:pPr>
      <w:r w:rsidRPr="00911F80">
        <w:lastRenderedPageBreak/>
        <w:t>2. Materials and Methods</w:t>
      </w:r>
    </w:p>
    <w:p w14:paraId="16101C72" w14:textId="77777777" w:rsidR="00C8280F" w:rsidRPr="00911F80" w:rsidRDefault="002A54E1" w:rsidP="002618AE">
      <w:pPr>
        <w:pStyle w:val="Title2ParagraphArticle"/>
      </w:pPr>
      <w:r w:rsidRPr="00911F80">
        <w:t>2.1. Preparation and functionalization of alginate</w:t>
      </w:r>
    </w:p>
    <w:p w14:paraId="031FEEE6" w14:textId="7CD74D69"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Ultrapure sodium alginate (MVG, FMC Biopolymer) with high guluronic acid content was used as the high molecular weight alginate. Low molecular weight alginates were produced by irradiating high molecular weight alginate with a 3 or 5 Mrad cobalt source. The alginates were prep</w:t>
      </w:r>
      <w:r w:rsidR="00DD73C5" w:rsidRPr="00911F80">
        <w:rPr>
          <w:rFonts w:ascii="Times New Roman" w:eastAsia="Times New Roman" w:hAnsi="Times New Roman" w:cs="Times New Roman"/>
          <w:sz w:val="24"/>
          <w:szCs w:val="24"/>
        </w:rPr>
        <w:t>ared as previously described</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"10.1016/S0142-9612(98)00107-0", "ISBN" : "0142-9612", "ISSN" : "01429612", "PMID" : "9916770", "abstract" : "Alginate hydrogels are used extensively in cell encapsulation, cell transplantation, and tissue engineering applications. Alginates possess many favorable properties required in biomaterials, but are unable to specifically interact with mammalian cells. We have therefore covalently modified alginate polysaccharides with RGD-containing cell adhesion ligands utilizing aqueous carbodiimide chemistry. The chemistry has been optimized and quantified with reaction efficiencies reaching 80% or greater. The concentration of peptide available for reaction was then varied to create hydrogels with a range of ligand densities. Mouse skeletal myoblasts were cultured on alginate hydrogel surfaces coupled with GRGDY peptides to illustrate achievement of cellular interaction with the otherwise non-adhesive hydrogel substrate. Myoblasts adhere to GRGDY-modified alginate surfaces, proliferate, fuse into multi-nucleated myofibrils, and express heavy-chain myosin which is a differentiation marker for skeletal muscle. Myoblast adhesion and spreading on these GRGDY-modified hydrogels was inhibited with soluble ligand added to the seeding medium, illustrating the specificity of adhesion to these materials. Alginate may prove to be an ideal material with which to confer specific cellular interactive properties, potentially allowing for the control of long-term gene expression of cells within these matrices.", "author" : [ { "dropping-particle" : "", "family" : "Rowley", "given" : "Jon A", "non-dropping-particle" : "", "parse-names" : false, "suffix" : "" }, { "dropping-particle" : "", "family" : "Madlambayan", "given" : "Gerard", "non-dropping-particle" : "", "parse-names" : false, "suffix" : "" }, { "dropping-particle" : "", "family" : "Mooney", "given" : "David J", "non-dropping-particle" : "", "parse-names" : false, "suffix" : "" } ], "container-title" : "Biomaterials", "id" : "ITEM-1", "issue" : "1", "issued" : { "date-parts" : [ [ "1999" ] ] }, "page" : "45-53", "title" : "Alginate hydrogels as synthetic extracellular matrix materials", "type" : "article-journal", "volume" : "20" }, "uris" : [ "http://www.mendeley.com/documents/?uuid=f4c83f5c-b768-4400-b44b-0624bb9f6756" ] } ], "mendeley" : { "formattedCitation" : "[26]", "plainTextFormattedCitation" : "[26]", "previouslyFormattedCitation" : "[26]"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[26]</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RGD alginate was made by coupling the oligopeptide GGGGRGDSP (Peptides International) to alginate using carbodiimide chemistry. The peptide concentration was such that 20 RGD peptides were coupled to 1 alginate chain on average (degree of substitution, DS = 20), corresponding to 1500 µM in a 2 % wt/vol alginate gel. The reaction was perfo</w:t>
      </w:r>
      <w:r w:rsidR="00DD73C5" w:rsidRPr="00911F80">
        <w:rPr>
          <w:rFonts w:ascii="Times New Roman" w:eastAsia="Times New Roman" w:hAnsi="Times New Roman" w:cs="Times New Roman"/>
          <w:sz w:val="24"/>
          <w:szCs w:val="24"/>
        </w:rPr>
        <w:t>rmed as previously described</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"10.1038/ncomms7365", "ISSN" : "2041-1723", "author" : [ { "dropping-particle" : "", "family" : "Chaudhuri", "given" : "Ovijit", "non-dropping-particle" : "", "parse-names" : false, "suffix" : "" }, { "dropping-particle" : "", "family" : "Gu", "given" : "Luo", "non-dropping-particle" : "", "parse-names" : false, "suffix" : "" }, { "dropping-particle" : "", "family" : "Darnell", "given" : "Max", "non-dropping-particle" : "", "parse-names" : false, "suffix" : "" }, { "dropping-particle" : "", "family" : "Klumpers", "given" : "Darinka", "non-dropping-particle" : "", "parse-names" : false, "suffix" : "" }, { "dropping-particle" : "", "family" : "Bencherif", "given" : "Sidi A.", "non-dropping-particle" : "", "parse-names" : false, "suffix" : "" }, { "dropping-particle" : "", "family" : "Weaver", "given" : "James C.", "non-dropping-particle" : "", "parse-names" : false, "suffix" : "" }, { "dropping-particle" : "", "family" : "Huebsch", "given" : "Nathaniel", "non-dropping-particle" : "", "parse-names" : false, "suffix" : "" }, { "dropping-particle" : "", "family" : "Mooney", "given" : "David J.", "non-dropping-particle" : "", "parse-names" : false, "suffix" : "" } ], "container-title" : "Nature Communications", "id" : "ITEM-1", "issued" : { "date-parts" : [ [ "2015" ] ] }, "page" : "6364", "publisher" : "Nature Publishing Group", "title" : "Substrate stress relaxation regulates cell spreading", "type" : "article-journal", "volume" : "6" }, "uris" : [ "http://www.mendeley.com/documents/?uuid=82552e09-6a98-4156-8dab-12ad709c0de1" ] } ], "mendeley" : { "formattedCitation" : "[19]", "plainTextFormattedCitation" : "[19]", "previouslyFormattedCitation" : "[19]"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[19]</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Briefly, 2 g of alginate was reconstituted overnight at 1 % wt/vol in MES buffer (0.1 M MES, 0.3 M NaCl, pH 6.5), then 548 mg of sulfo-NHS (Alfa Aesar), 968 mg of EDC (TCI chemicals) and 224 mg of GGGGRGDSP peptide were slowly added and the reaction was allowed to proceed for 20 h before being quenched with 130 mg of hydroxylamine hydrochloride (Sigma). The alginate was then dialyzed and purified using tangential flow ultrafiltration (TFF, molecular weight cut off of 3,500 Da), sterile filtered, lyophilized and stored at -20 °C. Finally, the modified alginates were reconstituted in serum-free DMEM for ionic crosslinking or MES buffer for covalent crosslinking to obtain 2.5 % wt/vol solutions prior to gelation and were stored at 4 °C. The same RGD-modified alginate batches were used for all cell experiments.</w:t>
      </w:r>
    </w:p>
    <w:p w14:paraId="7B1CAAD8" w14:textId="77777777" w:rsidR="00C8280F" w:rsidRPr="00911F80" w:rsidRDefault="002A54E1" w:rsidP="002618AE">
      <w:pPr>
        <w:pStyle w:val="Title2ParagraphArticle"/>
      </w:pPr>
      <w:r w:rsidRPr="00911F80">
        <w:t>2.2. Alginate molecular weight characterization</w:t>
      </w:r>
    </w:p>
    <w:p w14:paraId="15D310A4" w14:textId="77777777"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Molecular weights of alginates were analyzed by gel permeation chromatography (GPC) in water (0.1 M NaNO</w:t>
      </w:r>
      <w:r w:rsidRPr="00911F80">
        <w:rPr>
          <w:rFonts w:ascii="Times New Roman" w:eastAsia="Times New Roman" w:hAnsi="Times New Roman" w:cs="Times New Roman"/>
          <w:sz w:val="24"/>
          <w:szCs w:val="24"/>
          <w:vertAlign w:val="subscript"/>
        </w:rPr>
        <w:t>3</w:t>
      </w:r>
      <w:r w:rsidRPr="00911F80">
        <w:rPr>
          <w:rFonts w:ascii="Times New Roman" w:eastAsia="Times New Roman" w:hAnsi="Times New Roman" w:cs="Times New Roman"/>
          <w:sz w:val="24"/>
          <w:szCs w:val="24"/>
        </w:rPr>
        <w:t>) using a 1260 Infinity Multi-Detector GPC/SEC System (Agilent Technologies) with two TSK-gel columns (G5000PWxl/G6000PWxl), connected in series equipped with a triple detector system including a refractive index (RI) detector, a multi-angle light scattering detector and a viscometer calibrated in relation to pullulan standards (Agilent). Samples were dissolved in 0.1 M NaNO</w:t>
      </w:r>
      <w:r w:rsidRPr="00911F80">
        <w:rPr>
          <w:rFonts w:ascii="Times New Roman" w:eastAsia="Times New Roman" w:hAnsi="Times New Roman" w:cs="Times New Roman"/>
          <w:sz w:val="24"/>
          <w:szCs w:val="24"/>
          <w:vertAlign w:val="subscript"/>
        </w:rPr>
        <w:t>3</w:t>
      </w:r>
      <w:r w:rsidRPr="00911F80">
        <w:rPr>
          <w:rFonts w:ascii="Times New Roman" w:eastAsia="Times New Roman" w:hAnsi="Times New Roman" w:cs="Times New Roman"/>
          <w:sz w:val="24"/>
          <w:szCs w:val="24"/>
        </w:rPr>
        <w:t xml:space="preserve"> buffer solution at a concentration of 2 mg/ml, filtered through a 0.2 µm filter before injection (100 µl) using a 0.35 mL/min flow rate.</w:t>
      </w:r>
    </w:p>
    <w:p w14:paraId="5D322AD5" w14:textId="77777777" w:rsidR="00C8280F" w:rsidRPr="00911F80" w:rsidRDefault="002A54E1" w:rsidP="002618AE">
      <w:pPr>
        <w:pStyle w:val="Title2ParagraphArticle"/>
      </w:pPr>
      <w:r w:rsidRPr="00911F80">
        <w:t>2.4. Alginate hydrogel preparation</w:t>
      </w:r>
    </w:p>
    <w:p w14:paraId="68A2239D" w14:textId="4E7D42F4"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RGD alginate hydrogels (1 mm thick, 15 mm diameter) were prepared as previously described</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"10.1038/ncomms7365", "ISSN" : "2041-1723", "author" : [ { "dropping-particle" : "", "family" : "Chaudhuri", "given" : "Ovijit", "non-dropping-particle" : "", "parse-names" : false, "suffix" : "" }, { "dropping-particle" : "", "family" : "Gu", "given" : "Luo", "non-dropping-particle" : "", "parse-names" : false, "suffix" : "" }, { "dropping-particle" : "", "family" : "Darnell", "given" : "Max", "non-dropping-particle" : "", "parse-names" : false, "suffix" : "" }, { "dropping-particle" : "", "family" : "Klumpers", "given" : "Darinka", "non-dropping-particle" : "", "parse-names" : false, "suffix" : "" }, { "dropping-particle" : "", "family" : "Bencherif", "given" : "Sidi A.", "non-dropping-particle" : "", "parse-names" : false, "suffix" : "" }, { "dropping-particle" : "", "family" : "Weaver", "given" : "James C.", "non-dropping-particle" : "", "parse-names" : false, "suffix" : "" }, { "dropping-particle" : "", "family" : "Huebsch", "given" : "Nathaniel", "non-dropping-particle" : "", "parse-names" : false, "suffix" : "" }, { "dropping-particle" : "", "family" : "Mooney", "given" : "David J.", "non-dropping-particle" : "", "parse-names" : false, "suffix" : "" } ], "container-title" : "Nature Communications", "id" : "ITEM-1", "issued" : { "date-parts" : [ [ "2015" ] ] }, "page" : "6364", "publisher" : "Nature Publishing Group", "title" : "Substrate stress relaxation regulates cell spreading", "type" : "article-journal", "volume" : "6" }, "uris" : [ "http://www.mendeley.com/documents/?uuid=82552e09-6a98-4156-8dab-12ad709c0de1" ] } ], "mendeley" : { "formattedCitation" : "[19]", "plainTextFormattedCitation" : "[19]", "previouslyFormattedCitation" : "[19]"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[19]</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For ionically crosslinked gels, 1.12 ml RGD DS 20 alginate (2.5 % w/v) in serum-free DMEM was rapidly mixed with 0.28 ml DMEM containing the appropriate amount of calcium sulfate (concentrations are detailed in the supplementary Table 1)</w:t>
      </w:r>
      <w:r w:rsidRPr="00911F80">
        <w:rPr>
          <w:rFonts w:ascii="Times New Roman" w:eastAsia="Times New Roman" w:hAnsi="Times New Roman" w:cs="Times New Roman"/>
          <w:i/>
          <w:sz w:val="24"/>
          <w:szCs w:val="24"/>
        </w:rPr>
        <w:t xml:space="preserve">. </w:t>
      </w:r>
      <w:r w:rsidRPr="00911F80">
        <w:rPr>
          <w:rFonts w:ascii="Times New Roman" w:eastAsia="Times New Roman" w:hAnsi="Times New Roman" w:cs="Times New Roman"/>
          <w:sz w:val="24"/>
          <w:szCs w:val="24"/>
        </w:rPr>
        <w:t>The resulting solution was rapidly deposited between two glass plates (1 mm spacing) and allowed to gel for 45 min. After gelation, 15 mm disks were punched out and equilibrated overnight in serum-free media supplemented with 1 % penicillin/streptomycin (P/S). For covalently crosslinked gels, 1.12 ml RGD DS 20 alginate (2.5 % w/v) in MES buffer was first mixed with 140 µl of MES buffer containing the appropriate amount of 1-hydroxybenzotriazole (HOBT) and adipic acid dihydrazide (AAD) (concentrations are detailed in the supplementary Table 1). The resulting solution was mixed with 140 µl of MES buffer containing EDC (100 mg/ml). The mixed solution was rapidly deposited between two glass plates (1 mm spacing) and allowed to gel for 3 h. After gelation and punching out of 15 mm disks, the gels were washed in serum-free media supplemented with P/S four times over two days to remove excess reagents and by-products. All hydrogel formulations can be found in supplementary Table 1.</w:t>
      </w:r>
    </w:p>
    <w:p w14:paraId="2F3D3001" w14:textId="77777777" w:rsidR="00C8280F" w:rsidRPr="00911F80" w:rsidRDefault="002A54E1" w:rsidP="002618AE">
      <w:pPr>
        <w:pStyle w:val="Title2ParagraphArticle"/>
      </w:pPr>
      <w:r w:rsidRPr="00911F80">
        <w:lastRenderedPageBreak/>
        <w:t>2.3. Mechanical characterization of alginate hydrogels and rat muscle</w:t>
      </w:r>
    </w:p>
    <w:p w14:paraId="59675467" w14:textId="09921DD0"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The stiffness and stress-relaxation properties of alginate gels were assessed from compression tests using an Instron 3342 single-column mechanical tester</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"10.1063/1.3343265", "author" : [ { "dropping-particle" : "", "family" : "Zhao", "given" : "Xuanhe", "non-dropping-particle" : "", "parse-names" : false, "suffix" : "" }, { "dropping-particle" : "", "family" : "Huebsch", "given" : "Nathaniel", "non-dropping-particle" : "", "parse-names" : false, "suffix" : "" }, { "dropping-particle" : "", "family" : "Mooney", "given" : "David J", "non-dropping-particle" : "", "parse-names" : false, "suffix" : "" }, { "dropping-particle" : "", "family" : "Suo", "given" : "Zhigang", "non-dropping-particle" : "", "parse-names" : false, "suffix" : "" } ], "container-title" : "Journal of Applied Physics", "id" : "ITEM-1", "issue" : "6", "issued" : { "date-parts" : [ [ "2010" ] ] }, "page" : "1-5", "title" : "Stress-relaxation behavior in gels with ionic and covalent crosslinks", "type" : "article-journal", "volume" : "107" }, "uris" : [ "http://www.mendeley.com/documents/?uuid=4c2f9d05-885b-4b17-87e4-b21d9e88d9c9" ] } ], "mendeley" : { "formattedCitation" : "[18]", "plainTextFormattedCitation" : "[18]", "previouslyFormattedCitation" : "[18]"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[18]</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The gels used for mechanical testing were 2 mm thick, 15 mm diameter and were equilibrated in DMEM for 24 h before measurements. For the stiffness measurements, the gels were compressed to 15% strain with a deformation rate of 1 mm/min. The Young’s modulus (corresponding to the elastic modulus) was then calculated as the slope of the linear stress strain curve between 5-10 % strain. For the stress-relaxation measurements, the gels were compressed to 15 % strain with a deformation rate of 1 mm/min, consequently the strain was held constant and then stress was recorded as a function of time. The stress-relaxation rate was calculated as the half stress-relaxation time. Stress relaxation measurements of biological tissues were performed using the same procedure. Sprague Dawley Rats (male, 7 weeks of age, Charles River Lab) were euthanized in compliance with National Institutes of Health and institutional guidelines. Rat hindlimb muscles were collected after euthanization and tested immediately with the Instro</w:t>
      </w:r>
      <w:r w:rsidR="00AF0FF0" w:rsidRPr="00911F80">
        <w:rPr>
          <w:rFonts w:ascii="Times New Roman" w:eastAsia="Times New Roman" w:hAnsi="Times New Roman" w:cs="Times New Roman"/>
          <w:sz w:val="24"/>
          <w:szCs w:val="24"/>
        </w:rPr>
        <w:t>n 3342 single column apparatus.</w:t>
      </w:r>
    </w:p>
    <w:p w14:paraId="4E9681F0" w14:textId="345946A5" w:rsidR="00C8280F" w:rsidRPr="00911F80" w:rsidRDefault="002A54E1" w:rsidP="001576BA">
      <w:pPr>
        <w:jc w:val="both"/>
        <w:rPr>
          <w:rFonts w:ascii="Times New Roman" w:eastAsia="Times New Roman" w:hAnsi="Times New Roman" w:cs="Times New Roman"/>
          <w:sz w:val="24"/>
          <w:szCs w:val="24"/>
        </w:rPr>
      </w:pPr>
      <w:commentRangeStart w:id="1"/>
      <w:commentRangeStart w:id="2"/>
      <w:r w:rsidRPr="00911F80">
        <w:rPr>
          <w:rFonts w:ascii="Times New Roman" w:eastAsia="Times New Roman" w:hAnsi="Times New Roman" w:cs="Times New Roman"/>
          <w:sz w:val="24"/>
          <w:szCs w:val="24"/>
        </w:rPr>
        <w:t xml:space="preserve">Stress relaxation tests on biological tissues are typically conducted between 10-30% strains. With relation to the relevance for interactions with cells, various different strains have been reported. In cell mechanotransduction studies, strains of a few percent to 30% have been observed </w:t>
      </w:r>
      <w:r w:rsidR="00AF0FF0" w:rsidRPr="00911F80">
        <w:rPr>
          <w:rFonts w:ascii="Times New Roman" w:eastAsia="Times New Roman" w:hAnsi="Times New Roman" w:cs="Times New Roman"/>
          <w:sz w:val="24"/>
          <w:szCs w:val="24"/>
        </w:rPr>
        <w:fldChar w:fldCharType="begin" w:fldLock="1"/>
      </w:r>
      <w:r w:rsidR="00AF0FF0" w:rsidRPr="00911F80">
        <w:rPr>
          <w:rFonts w:ascii="Times New Roman" w:eastAsia="Times New Roman" w:hAnsi="Times New Roman" w:cs="Times New Roman"/>
          <w:sz w:val="24"/>
          <w:szCs w:val="24"/>
        </w:rPr>
        <w:instrText>ADDIN CSL_CITATION { "citationItems" : [ { "id" : "ITEM-1", "itemData" : { "DOI" : "10.1126/science.1116995", "author" : [ { "dropping-particle" : "", "family" : "Discher", "given" : "Dennis E", "non-dropping-particle" : "", "parse-names" : false, "suffix" : "" }, { "dropping-particle" : "", "family" : "Janmey", "given" : "Paul", "non-dropping-particle" : "", "parse-names" : false, "suffix" : "" }, { "dropping-particle" : "", "family" : "Wang", "given" : "Yu-li", "non-dropping-particle" : "", "parse-names" : false, "suffix" : "" } ], "container-title" : "Science", "id" : "ITEM-1", "issue" : "2005", "issued" : { "date-parts" : [ [ "2013" ] ] }, "page" : "1139", "title" : "Tissue Cells Feel and Respond to the Stiffness of Their Substrate", "type" : "article-journal", "volume" : "1139-1143" }, "uris" : [ "http://www.mendeley.com/documents/?uuid=37186e5f-378e-4955-9502-675c682c04b5" ] }, { "id" : "ITEM-2", "itemData" : { "DOI" : "10.1038/nmeth.1531.Measurement", "author" : [ { "dropping-particle" : "", "family" : "Legant", "given" : "Wesley R", "non-dropping-particle" : "", "parse-names" : false, "suffix" : "" }, { "dropping-particle" : "", "family" : "Miller", "given" : "Jordan S", "non-dropping-particle" : "", "parse-names" : false, "suffix" : "" }, { "dropping-particle" : "", "family" : "Blakely", "given" : "Brandon L", "non-dropping-particle" : "", "parse-names" : false, "suffix" : "" }, { "dropping-particle" : "", "family" : "Cohen", "given" : "Daniel M", "non-dropping-particle" : "", "parse-names" : false, "suffix" : "" }, { "dropping-particle" : "", "family" : "Guy", "given" : "M", "non-dropping-particle" : "", "parse-names" : false, "suffix" : "" }, { "dropping-particle" : "", "family" : "Chen", "given" : "Christopher S", "non-dropping-particle" : "", "parse-names" : false, "suffix" : "" } ], "container-title" : "Nature Methods", "id" : "ITEM-2", "issue" : "12", "issued" : { "date-parts" : [ [ "2011" ] ] }, "page" : "969-971", "title" : "Measurement of mechanical tractions exerted by cells within three-dimensional matrices", "type" : "article-journal", "volume" : "7" }, "uris" : [ "http://www.mendeley.com/documents/?uuid=1c964e30-0dcb-4347-8e05-566154b2e63d" ] } ], "mendeley" : { "formattedCitation" : "[27], [28]", "plainTextFormattedCitation" : "[27], [28]" }, "properties" : { "noteIndex" : 0 }, "schema" : "https://github.com/citation-style-language/schema/raw/master/csl-citation.json" }</w:instrText>
      </w:r>
      <w:r w:rsidR="00AF0FF0" w:rsidRPr="00911F80">
        <w:rPr>
          <w:rFonts w:ascii="Times New Roman" w:eastAsia="Times New Roman" w:hAnsi="Times New Roman" w:cs="Times New Roman"/>
          <w:sz w:val="24"/>
          <w:szCs w:val="24"/>
        </w:rPr>
        <w:fldChar w:fldCharType="separate"/>
      </w:r>
      <w:r w:rsidR="00AF0FF0" w:rsidRPr="00911F80">
        <w:rPr>
          <w:rFonts w:ascii="Times New Roman" w:eastAsia="Times New Roman" w:hAnsi="Times New Roman" w:cs="Times New Roman"/>
          <w:noProof/>
          <w:sz w:val="24"/>
          <w:szCs w:val="24"/>
        </w:rPr>
        <w:t>[27], [28]</w:t>
      </w:r>
      <w:r w:rsidR="00AF0FF0" w:rsidRPr="00911F80">
        <w:rPr>
          <w:rFonts w:ascii="Times New Roman" w:eastAsia="Times New Roman" w:hAnsi="Times New Roman" w:cs="Times New Roman"/>
          <w:sz w:val="24"/>
          <w:szCs w:val="24"/>
        </w:rPr>
        <w:fldChar w:fldCharType="end"/>
      </w:r>
      <w:r w:rsidR="00AF0FF0" w:rsidRPr="00911F80">
        <w:rPr>
          <w:rFonts w:ascii="Times New Roman" w:eastAsia="Times New Roman" w:hAnsi="Times New Roman" w:cs="Times New Roman"/>
          <w:sz w:val="24"/>
          <w:szCs w:val="24"/>
        </w:rPr>
        <w:t>.</w:t>
      </w:r>
      <w:r w:rsidRPr="00911F80">
        <w:rPr>
          <w:rFonts w:ascii="Times New Roman" w:eastAsia="Times New Roman" w:hAnsi="Times New Roman" w:cs="Times New Roman"/>
          <w:sz w:val="24"/>
          <w:szCs w:val="24"/>
        </w:rPr>
        <w:t xml:space="preserve"> The 15 % strain used here is within the strain range generated by cells and has been used in previous mechanotransduction studies</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"10.1038/ncomms7365", "ISSN" : "2041-1723", "author" : [ { "dropping-particle" : "", "family" : "Chaudhuri", "given" : "Ovijit", "non-dropping-particle" : "", "parse-names" : false, "suffix" : "" }, { "dropping-particle" : "", "family" : "Gu", "given" : "Luo", "non-dropping-particle" : "", "parse-names" : false, "suffix" : "" }, { "dropping-particle" : "", "family" : "Darnell", "given" : "Max", "non-dropping-particle" : "", "parse-names" : false, "suffix" : "" }, { "dropping-particle" : "", "family" : "Klumpers", "given" : "Darinka", "non-dropping-particle" : "", "parse-names" : false, "suffix" : "" }, { "dropping-particle" : "", "family" : "Bencherif", "given" : "Sidi A.", "non-dropping-particle" : "", "parse-names" : false, "suffix" : "" }, { "dropping-particle" : "", "family" : "Weaver", "given" : "James C.", "non-dropping-particle" : "", "parse-names" : false, "suffix" : "" }, { "dropping-particle" : "", "family" : "Huebsch", "given" : "Nathaniel", "non-dropping-particle" : "", "parse-names" : false, "suffix" : "" }, { "dropping-particle" : "", "family" : "Mooney", "given" : "David J.", "non-dropping-particle" : "", "parse-names" : false, "suffix" : "" } ], "container-title" : "Nature Communications", "id" : "ITEM-1", "issued" : { "date-parts" : [ [ "2015" ] ] }, "page" : "6364", "publisher" : "Nature Publishing Group", "title" : "Substrate stress relaxation regulates cell spreading", "type" : "article-journal", "volume" : "6" }, "uris" : [ "http://www.mendeley.com/documents/?uuid=82552e09-6a98-4156-8dab-12ad709c0de1" ] } ], "mendeley" : { "formattedCitation" : "[19]", "plainTextFormattedCitation" : "[19]", "previouslyFormattedCitation" : "[19]"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[19]</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w:t>
      </w:r>
      <w:r w:rsidR="00AF0FF0" w:rsidRPr="00911F80">
        <w:rPr>
          <w:rFonts w:ascii="Times New Roman" w:eastAsia="Times New Roman" w:hAnsi="Times New Roman" w:cs="Times New Roman"/>
          <w:sz w:val="24"/>
          <w:szCs w:val="24"/>
        </w:rPr>
        <w:t xml:space="preserve"> </w:t>
      </w:r>
      <w:r w:rsidRPr="00911F80">
        <w:rPr>
          <w:rFonts w:ascii="Times New Roman" w:eastAsia="Times New Roman" w:hAnsi="Times New Roman" w:cs="Times New Roman"/>
          <w:sz w:val="24"/>
          <w:szCs w:val="24"/>
        </w:rPr>
        <w:t xml:space="preserve">A compression rate of 1 mm/min was used here </w:t>
      </w:r>
      <w:r w:rsidR="00AF0FF0" w:rsidRPr="00911F80">
        <w:rPr>
          <w:rFonts w:ascii="Times New Roman" w:eastAsia="Times New Roman" w:hAnsi="Times New Roman" w:cs="Times New Roman"/>
          <w:sz w:val="24"/>
          <w:szCs w:val="24"/>
        </w:rPr>
        <w:t>so that</w:t>
      </w:r>
      <w:r w:rsidRPr="00911F80">
        <w:rPr>
          <w:rFonts w:ascii="Times New Roman" w:eastAsia="Times New Roman" w:hAnsi="Times New Roman" w:cs="Times New Roman"/>
          <w:sz w:val="24"/>
          <w:szCs w:val="24"/>
        </w:rPr>
        <w:t xml:space="preserve"> a 15% strain </w:t>
      </w:r>
      <w:r w:rsidR="00AF0FF0" w:rsidRPr="00911F80">
        <w:rPr>
          <w:rFonts w:ascii="Times New Roman" w:eastAsia="Times New Roman" w:hAnsi="Times New Roman" w:cs="Times New Roman"/>
          <w:sz w:val="24"/>
          <w:szCs w:val="24"/>
        </w:rPr>
        <w:t xml:space="preserve">could be applied </w:t>
      </w:r>
      <w:r w:rsidRPr="00911F80">
        <w:rPr>
          <w:rFonts w:ascii="Times New Roman" w:eastAsia="Times New Roman" w:hAnsi="Times New Roman" w:cs="Times New Roman"/>
          <w:sz w:val="24"/>
          <w:szCs w:val="24"/>
        </w:rPr>
        <w:t xml:space="preserve">on the soft, thin hydrogel samples quickly but without generating excessive strain or large noise at the beginning of the test due to the inertia from the heavy arm and load cell of </w:t>
      </w:r>
      <w:r w:rsidR="00AF0FF0" w:rsidRPr="00911F80">
        <w:rPr>
          <w:rFonts w:ascii="Times New Roman" w:eastAsia="Times New Roman" w:hAnsi="Times New Roman" w:cs="Times New Roman"/>
          <w:sz w:val="24"/>
          <w:szCs w:val="24"/>
        </w:rPr>
        <w:t>the</w:t>
      </w:r>
      <w:r w:rsidRPr="00911F80">
        <w:rPr>
          <w:rFonts w:ascii="Times New Roman" w:eastAsia="Times New Roman" w:hAnsi="Times New Roman" w:cs="Times New Roman"/>
          <w:sz w:val="24"/>
          <w:szCs w:val="24"/>
        </w:rPr>
        <w:t xml:space="preserve"> I</w:t>
      </w:r>
      <w:r w:rsidR="00AF0FF0" w:rsidRPr="00911F80">
        <w:rPr>
          <w:rFonts w:ascii="Times New Roman" w:eastAsia="Times New Roman" w:hAnsi="Times New Roman" w:cs="Times New Roman"/>
          <w:sz w:val="24"/>
          <w:szCs w:val="24"/>
        </w:rPr>
        <w:t>nstron mechanical tester. (2.1)</w:t>
      </w:r>
      <w:commentRangeEnd w:id="1"/>
      <w:r w:rsidR="00AF0FF0" w:rsidRPr="00911F80">
        <w:rPr>
          <w:rStyle w:val="CommentReference"/>
        </w:rPr>
        <w:commentReference w:id="1"/>
      </w:r>
      <w:commentRangeEnd w:id="2"/>
      <w:r w:rsidR="00CD3AAE" w:rsidRPr="00911F80">
        <w:rPr>
          <w:rStyle w:val="CommentReference"/>
        </w:rPr>
        <w:commentReference w:id="2"/>
      </w:r>
    </w:p>
    <w:p w14:paraId="7F03C254" w14:textId="77777777" w:rsidR="00C8280F" w:rsidRPr="00911F80" w:rsidRDefault="002A54E1" w:rsidP="002618AE">
      <w:pPr>
        <w:pStyle w:val="Title2ParagraphArticle"/>
      </w:pPr>
      <w:r w:rsidRPr="00911F80">
        <w:t>2.5. Cell isolation and culture</w:t>
      </w:r>
    </w:p>
    <w:p w14:paraId="4E43112B" w14:textId="77777777"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C2C12 mouse myoblasts (cell line obtained from ATCC) were cultured in high glucose DMEM (Invitrogen) supplemented with 10 % fetal bovine serum (FBS, Gibco) and 1 % P/S. The cells were cultured in T75 flasks in a humidified incubator (37 °C and 5% CO2) and were passaged so that confluency of the culture was kept below 60 %. Cells used in experiments were always between passages 4 to 6.</w:t>
      </w:r>
    </w:p>
    <w:p w14:paraId="7DF673D0" w14:textId="77777777"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Satellite cells (SCs) were derived from 2-week to 12-week old C57BL/6J mice hindlimb skeletal musculature. Four days before the isolation, the muscle was injured with 50 µl of 1.2 % BaCl</w:t>
      </w:r>
      <w:r w:rsidRPr="00911F80">
        <w:rPr>
          <w:rFonts w:ascii="Times New Roman" w:eastAsia="Times New Roman" w:hAnsi="Times New Roman" w:cs="Times New Roman"/>
          <w:sz w:val="24"/>
          <w:szCs w:val="24"/>
          <w:vertAlign w:val="subscript"/>
        </w:rPr>
        <w:t>2</w:t>
      </w:r>
      <w:r w:rsidRPr="00911F80">
        <w:rPr>
          <w:rFonts w:ascii="Times New Roman" w:eastAsia="Times New Roman" w:hAnsi="Times New Roman" w:cs="Times New Roman"/>
          <w:sz w:val="24"/>
          <w:szCs w:val="24"/>
        </w:rPr>
        <w:t xml:space="preserve"> (Sigma) in deionized water (10 µl into each of the following muscles: middle of tibialis anterior, front and back of quadriceps, front and back of hamstring). Mice were euthanized in compliance with National Institutes of Health and institutional guidelines. Under sterile conditions, the tibialis anterior, and gastrocnemius muscles were surgically removed, minced and incubated in a collagenase type II solution (Gibco, 250 U/ml in DMEM with 1 % P/S) for 90 min at 37 °C. The muscle fibers when then triturated with a 5 ml pipet, 10 ml pipet and finally 18G needle. After centrifugation at 300 x g, the muscle fibers were incubated in a collagenase-dispase solution (250 U/ml-10 U/ml in F10 media) for 60 min at 37 °C in a slow rocking water bath and vortexed for 1 min at maximum speed to release the SCs from the myofibers. The solution was filtered through a 40 µm filter, followed by a 20 µm filter and the cells were collected by centrifugation at 500 x g. The SC isolation kit (Miltenyi Biotec) was used to deplete non-target cells with magnetic-activated cell sorting (MACS) according to the </w:t>
      </w:r>
      <w:r w:rsidRPr="00911F80">
        <w:rPr>
          <w:rFonts w:ascii="Times New Roman" w:eastAsia="Times New Roman" w:hAnsi="Times New Roman" w:cs="Times New Roman"/>
          <w:sz w:val="24"/>
          <w:szCs w:val="24"/>
        </w:rPr>
        <w:lastRenderedPageBreak/>
        <w:t>manufacturer’s instructions. SCs were cultured in F10 media (Invitrogen), supplemented with 20 % FBS, 1 % P/S and 5 ng/ml murine basic FGF (Peprotech) in a humidified 5 % CO</w:t>
      </w:r>
      <w:r w:rsidRPr="00911F80">
        <w:rPr>
          <w:rFonts w:ascii="Times New Roman" w:eastAsia="Times New Roman" w:hAnsi="Times New Roman" w:cs="Times New Roman"/>
          <w:sz w:val="24"/>
          <w:szCs w:val="24"/>
          <w:vertAlign w:val="subscript"/>
        </w:rPr>
        <w:t>2</w:t>
      </w:r>
      <w:r w:rsidRPr="00911F80">
        <w:rPr>
          <w:rFonts w:ascii="Times New Roman" w:eastAsia="Times New Roman" w:hAnsi="Times New Roman" w:cs="Times New Roman"/>
          <w:sz w:val="24"/>
          <w:szCs w:val="24"/>
        </w:rPr>
        <w:t xml:space="preserve"> incubator at 37 °C.</w:t>
      </w:r>
    </w:p>
    <w:p w14:paraId="2C449A4D" w14:textId="77777777" w:rsidR="00C8280F" w:rsidRPr="00911F80" w:rsidRDefault="002A54E1" w:rsidP="002618AE">
      <w:pPr>
        <w:pStyle w:val="Title2ParagraphArticle"/>
      </w:pPr>
      <w:r w:rsidRPr="00911F80">
        <w:t>2.6. Cell characterization methods</w:t>
      </w:r>
    </w:p>
    <w:p w14:paraId="5EE05968" w14:textId="77777777" w:rsidR="00C8280F" w:rsidRPr="00911F80" w:rsidRDefault="002A54E1" w:rsidP="002618AE">
      <w:pPr>
        <w:pStyle w:val="Title2ParagraphArticle"/>
      </w:pPr>
      <w:r w:rsidRPr="00911F80">
        <w:t>2.6.1. Determination of C2C12 spreading and morphology</w:t>
      </w:r>
    </w:p>
    <w:p w14:paraId="5FD2D806" w14:textId="54DD9C8E"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The gels were held at the bottom of a 12 well-plate by a custom plastic insert to avoid floating of the gel when submerged with media. C2C12 cells were plated at a density of 10,000 cells/cm</w:t>
      </w:r>
      <w:r w:rsidRPr="00911F80">
        <w:rPr>
          <w:rFonts w:ascii="Times New Roman" w:eastAsia="Times New Roman" w:hAnsi="Times New Roman" w:cs="Times New Roman"/>
          <w:sz w:val="24"/>
          <w:szCs w:val="24"/>
          <w:vertAlign w:val="superscript"/>
        </w:rPr>
        <w:t>2</w:t>
      </w:r>
      <w:r w:rsidRPr="00911F80">
        <w:rPr>
          <w:rFonts w:ascii="Times New Roman" w:eastAsia="Times New Roman" w:hAnsi="Times New Roman" w:cs="Times New Roman"/>
          <w:sz w:val="24"/>
          <w:szCs w:val="24"/>
        </w:rPr>
        <w:t xml:space="preserve"> and were cultured for 22 h</w:t>
      </w:r>
      <w:r w:rsidR="00A44FCF" w:rsidRPr="00911F80">
        <w:rPr>
          <w:rFonts w:ascii="Times New Roman" w:eastAsia="Times New Roman" w:hAnsi="Times New Roman" w:cs="Times New Roman"/>
          <w:sz w:val="24"/>
          <w:szCs w:val="24"/>
        </w:rPr>
        <w:t xml:space="preserve"> to allow adherence and spreading of the cells as well as analysis of single cells</w:t>
      </w:r>
      <w:r w:rsidRPr="00911F80">
        <w:rPr>
          <w:rFonts w:ascii="Times New Roman" w:eastAsia="Times New Roman" w:hAnsi="Times New Roman" w:cs="Times New Roman"/>
          <w:sz w:val="24"/>
          <w:szCs w:val="24"/>
        </w:rPr>
        <w:t>.</w:t>
      </w:r>
      <w:r w:rsidR="00A44FCF" w:rsidRPr="00911F80">
        <w:rPr>
          <w:rFonts w:ascii="Times New Roman" w:eastAsia="Times New Roman" w:hAnsi="Times New Roman" w:cs="Times New Roman"/>
          <w:sz w:val="24"/>
          <w:szCs w:val="24"/>
        </w:rPr>
        <w:t xml:space="preserve"> (1.7)</w:t>
      </w:r>
      <w:r w:rsidRPr="00911F80">
        <w:rPr>
          <w:rFonts w:ascii="Times New Roman" w:eastAsia="Times New Roman" w:hAnsi="Times New Roman" w:cs="Times New Roman"/>
          <w:sz w:val="24"/>
          <w:szCs w:val="24"/>
        </w:rPr>
        <w:t xml:space="preserve"> Media was removed from each well and cells were fixed with 4 % paraformaldehyde (PFA) in Dulbecco’s phosphate buffered saline (DPBS) for 15 min at RT. Gels were washed two times in DPBS, cells permeabilized with 0.3 % Triton-X in DPBS for 15 min at RT and washed two more times in DPBS. Gels were transferred into custom made PDMS wells that allowed for the use of less reagents and direct imaging of the gels. The cells were incubated with Alexa Fluor (AF) 488 phalloidin (1:80 dilution, Invitrogen) to stain actin and Diamidopyridine (DAPI, 1:1000 dilution, Invitrogen) for 30 min. Gels were washed three times in DPBS before imaging. For measurements of the cell-spreading area, images of phalloidin and DAPI stained cells were taken with 10 x objective on a laser scanning confocal microscope (LSM 710 Zeiss). Only single cells were considered in the analysis and their projected area was determined using ImageJ64. Circularity and Aspect Ratio were quantified using ImageJ64 and the shape factor plug-in. (3.1) DPBS with calcium and magnesium (Lonza) was used throughout the experiments.</w:t>
      </w:r>
    </w:p>
    <w:p w14:paraId="6492AC5F" w14:textId="2B87FB06" w:rsidR="002F3A5C" w:rsidRPr="00911F80" w:rsidRDefault="002F3A5C" w:rsidP="002F3A5C">
      <w:pPr>
        <w:jc w:val="both"/>
        <w:rPr>
          <w:i/>
        </w:rPr>
      </w:pPr>
      <w:r w:rsidRPr="00911F80">
        <w:rPr>
          <w:i/>
        </w:rPr>
        <w:t>For the C2C12 spreading experiment: we cultured cells for 22 hours to enable the cells to adhere and spread on the hydrogels. Prolonged culture was not explored as we wanted to capture single-cell division before the entire population of cells had divided. (1.7)</w:t>
      </w:r>
    </w:p>
    <w:p w14:paraId="36B657F0" w14:textId="77777777" w:rsidR="00C8280F" w:rsidRPr="00911F80" w:rsidRDefault="002A54E1" w:rsidP="002618AE">
      <w:pPr>
        <w:pStyle w:val="Title2ParagraphArticle"/>
      </w:pPr>
      <w:r w:rsidRPr="00911F80">
        <w:t>2.6.2. Determination of C2C12 proliferation</w:t>
      </w:r>
    </w:p>
    <w:p w14:paraId="0C587266" w14:textId="77777777"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Click-IT plus EdU AF 555 kit (Invitrogen) was used to quantify cells actively synthesizing DNA. The gels were held at the bottom of a 12 well-plate by a custom plastic insert to avoid floating of the gel when submerged with media. C2C12 cells were plated at a density of 10,000 cells/cm</w:t>
      </w:r>
      <w:r w:rsidRPr="00911F80">
        <w:rPr>
          <w:rFonts w:ascii="Times New Roman" w:eastAsia="Times New Roman" w:hAnsi="Times New Roman" w:cs="Times New Roman"/>
          <w:sz w:val="24"/>
          <w:szCs w:val="24"/>
          <w:vertAlign w:val="superscript"/>
        </w:rPr>
        <w:t>2</w:t>
      </w:r>
      <w:r w:rsidRPr="00911F80">
        <w:rPr>
          <w:rFonts w:ascii="Times New Roman" w:eastAsia="Times New Roman" w:hAnsi="Times New Roman" w:cs="Times New Roman"/>
          <w:sz w:val="24"/>
          <w:szCs w:val="24"/>
        </w:rPr>
        <w:t xml:space="preserve"> and were allowed to adhere for 8 h whereupon half of the media was replaced with media containing the thymidine analog EdU (final concentration 10 µM). After another 8h, cells were fixed with 4 % PFA in DPBS for 15 min at RT. Cells were washed twice for 2 min with 3 % bovine serum albumin (BSA) in DPBS and permeabilized with 0.3 % Triton X-100 in DPBS for 15 min at RT. Gels were transferred into custom made PDMS wells that allowed for the use of less reagents and direct imaging of the gels. Click-iT EdU reaction cocktail was prepared as described by the manufacturer and 280 µl per well was added for 30 min at RT protected from light. Cells were then washed once with 3 % BSA in DPBS and were incubated with Hoechst 33342 diluted 1:2000 in DPBS for 20 min at RT protected from light. Cells were finally washed twice with DPBS and imaged using Zeiss Axio Zoom V16 (ZoomV16) and Zen software. Images were processed and cell nuclei were counted with ImageJ64 software using a custom made script. The percentage of cells synthesizing DNA was computed as the ratio of cells positively stained with AF 555 divided by the total number of cells given by Hoechst counter-staining. DPBS with calcium and magnesium (Lonza) was used throughout the experiments.</w:t>
      </w:r>
    </w:p>
    <w:p w14:paraId="06785094" w14:textId="5FF7FDCF" w:rsidR="002F3A5C" w:rsidRPr="00911F80" w:rsidRDefault="00A44FCF" w:rsidP="002F3A5C">
      <w:pPr>
        <w:jc w:val="both"/>
        <w:rPr>
          <w:rFonts w:ascii="Times New Roman" w:eastAsia="Times New Roman" w:hAnsi="Times New Roman" w:cs="Times New Roman"/>
          <w:sz w:val="24"/>
          <w:szCs w:val="24"/>
        </w:rPr>
      </w:pPr>
      <w:commentRangeStart w:id="3"/>
      <w:commentRangeStart w:id="4"/>
      <w:r w:rsidRPr="00911F80">
        <w:rPr>
          <w:rFonts w:ascii="Times New Roman" w:eastAsia="Times New Roman" w:hAnsi="Times New Roman" w:cs="Times New Roman"/>
          <w:sz w:val="24"/>
          <w:szCs w:val="24"/>
        </w:rPr>
        <w:lastRenderedPageBreak/>
        <w:t xml:space="preserve">C2C12 </w:t>
      </w:r>
      <w:r w:rsidR="002F3A5C" w:rsidRPr="00911F80">
        <w:rPr>
          <w:rFonts w:ascii="Times New Roman" w:eastAsia="Times New Roman" w:hAnsi="Times New Roman" w:cs="Times New Roman"/>
          <w:sz w:val="24"/>
          <w:szCs w:val="24"/>
        </w:rPr>
        <w:t xml:space="preserve">cells were </w:t>
      </w:r>
      <w:r w:rsidRPr="00911F80">
        <w:rPr>
          <w:rFonts w:ascii="Times New Roman" w:eastAsia="Times New Roman" w:hAnsi="Times New Roman" w:cs="Times New Roman"/>
          <w:sz w:val="24"/>
          <w:szCs w:val="24"/>
        </w:rPr>
        <w:t>allowed to adhere for 8 hours, after that</w:t>
      </w:r>
      <w:r w:rsidR="002F3A5C" w:rsidRPr="00911F80">
        <w:rPr>
          <w:rFonts w:ascii="Times New Roman" w:eastAsia="Times New Roman" w:hAnsi="Times New Roman" w:cs="Times New Roman"/>
          <w:sz w:val="24"/>
          <w:szCs w:val="24"/>
        </w:rPr>
        <w:t xml:space="preserve"> EdU </w:t>
      </w:r>
      <w:r w:rsidRPr="00911F80">
        <w:rPr>
          <w:rFonts w:ascii="Times New Roman" w:eastAsia="Times New Roman" w:hAnsi="Times New Roman" w:cs="Times New Roman"/>
          <w:sz w:val="24"/>
          <w:szCs w:val="24"/>
        </w:rPr>
        <w:t xml:space="preserve">was added </w:t>
      </w:r>
      <w:r w:rsidR="002F3A5C" w:rsidRPr="00911F80">
        <w:rPr>
          <w:rFonts w:ascii="Times New Roman" w:eastAsia="Times New Roman" w:hAnsi="Times New Roman" w:cs="Times New Roman"/>
          <w:sz w:val="24"/>
          <w:szCs w:val="24"/>
        </w:rPr>
        <w:t>for the next 8 hours of culture to capture cell proliferation. The EdU incubation time was optimized so as to have an optimal rati</w:t>
      </w:r>
      <w:r w:rsidRPr="00911F80">
        <w:rPr>
          <w:rFonts w:ascii="Times New Roman" w:eastAsia="Times New Roman" w:hAnsi="Times New Roman" w:cs="Times New Roman"/>
          <w:sz w:val="24"/>
          <w:szCs w:val="24"/>
        </w:rPr>
        <w:t>o of divided/non-divided cells. (1.7)</w:t>
      </w:r>
      <w:commentRangeEnd w:id="3"/>
      <w:r w:rsidR="00AF0FF0" w:rsidRPr="00911F80">
        <w:rPr>
          <w:rStyle w:val="CommentReference"/>
        </w:rPr>
        <w:commentReference w:id="3"/>
      </w:r>
      <w:commentRangeEnd w:id="4"/>
      <w:r w:rsidR="00CD3AAE" w:rsidRPr="00911F80">
        <w:rPr>
          <w:rStyle w:val="CommentReference"/>
        </w:rPr>
        <w:commentReference w:id="4"/>
      </w:r>
    </w:p>
    <w:p w14:paraId="38296F39" w14:textId="77777777" w:rsidR="00C8280F" w:rsidRPr="00911F80" w:rsidRDefault="002A54E1" w:rsidP="002618AE">
      <w:pPr>
        <w:pStyle w:val="Title2ParagraphArticle"/>
      </w:pPr>
      <w:r w:rsidRPr="00911F80">
        <w:t>2.6.3. Primary myoblast characterization by fluorescence-activated cell sorting (FACS)</w:t>
      </w:r>
    </w:p>
    <w:p w14:paraId="289CB214" w14:textId="77777777"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After isolation, SCs were expanded for 6 days on collagen-coated dishes (Corning). Media was removed and dishes were rinsed with PBS and incubated for 10 min at 37 °C. Subsequently, the dish was firmly knocked against a hard surface in order to release the cells. The PBS was collected and trypsin was added for 2 min in order to release the remaining cells. All staining was performed on ice and in flow cytometry staining buffer consisting of PBS supplemented with 5 % FBS and 5 % BSA. Briefly, cells were blocked with Fc block (5 µg/ml, BD Biosciences) and stained with a PE-conjugated Syndecan-4 antibody (1 µg/ml, BD Biosciences) and an unconjugated M-cadherin primary antibody (1 µg/ml, R&amp;D systems) followed by an AF 594 secondary antibody (1 µg/ml, Invitrogen). A dead cell dye (7-AAD, BD biosciences) was used to discriminate between live and dead cells. Flow cytometry data was collected on a LSRII flow cytometer (BD Biosciences, Franklin Lakes, NJ) and analyzed using FlowJo software.</w:t>
      </w:r>
    </w:p>
    <w:p w14:paraId="1E6870F9" w14:textId="77777777" w:rsidR="00C8280F" w:rsidRPr="00911F80" w:rsidRDefault="002A54E1" w:rsidP="002618AE">
      <w:pPr>
        <w:pStyle w:val="Title2ParagraphArticle"/>
      </w:pPr>
      <w:r w:rsidRPr="00911F80">
        <w:t>2.6.4. Determination of primary myoblasts proliferation</w:t>
      </w:r>
    </w:p>
    <w:p w14:paraId="27C2D3C7" w14:textId="77777777"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The gels were prepared on sterile 15 mm coverslips (1 mm total thickness) and put in a 24 well-plate so that the gels covered the majority of the surface of the well. After SC isolation, cells were expanded for 6 days on collagen-coated dishes (Corning) before being collected. The cells were then incubated for 15 min at 37 °C in 1 µM carboxyfluorescein succinimidyl ester (CFSE</w:t>
      </w:r>
      <w:r w:rsidRPr="00911F80">
        <w:rPr>
          <w:sz w:val="18"/>
          <w:szCs w:val="18"/>
        </w:rPr>
        <w:t xml:space="preserve"> </w:t>
      </w:r>
      <w:r w:rsidRPr="00911F80">
        <w:rPr>
          <w:rFonts w:ascii="Times New Roman" w:eastAsia="Times New Roman" w:hAnsi="Times New Roman" w:cs="Times New Roman"/>
          <w:sz w:val="24"/>
          <w:szCs w:val="24"/>
        </w:rPr>
        <w:t>- Invitrogen) in PBS and washed with fresh media before incubating for another 30 min at 37 °C to ensure complete modification. The cells were then seeded on the gels at a density of 20,000 cells/cm</w:t>
      </w:r>
      <w:r w:rsidRPr="00911F80">
        <w:rPr>
          <w:rFonts w:ascii="Times New Roman" w:eastAsia="Times New Roman" w:hAnsi="Times New Roman" w:cs="Times New Roman"/>
          <w:sz w:val="24"/>
          <w:szCs w:val="24"/>
          <w:vertAlign w:val="superscript"/>
        </w:rPr>
        <w:t>2</w:t>
      </w:r>
      <w:r w:rsidRPr="00911F80">
        <w:rPr>
          <w:rFonts w:ascii="Times New Roman" w:eastAsia="Times New Roman" w:hAnsi="Times New Roman" w:cs="Times New Roman"/>
          <w:sz w:val="24"/>
          <w:szCs w:val="24"/>
        </w:rPr>
        <w:t xml:space="preserve"> and incubated at 37°C for 3 days. The gels were removed from the wells and digested separately; covalently crosslinked alginate gels were digested with alginate lyase (10 U/ml) and ionically crosslinked alginate gels were digested with 50 mM EDTA in DPBS. After centrifugation at 500 x g, the pellets were incubated with trypsin for 2 min to ensure complete detachment of the cells and the final cell solution was filtered through a 40 µm filter. For the staining, cells were blocked with Fc block and a dead cell dye (7-AAD) was used to discriminate between live and dead cells. Flow cytometry data was collected on a LSRII flow cytometer (BD Biosciences, Franklin Lakes, NJ) and analyzed using FlowJo software.</w:t>
      </w:r>
    </w:p>
    <w:p w14:paraId="645FE91F" w14:textId="47D0CE2F" w:rsidR="002F3A5C" w:rsidRPr="00911F80" w:rsidRDefault="002F3A5C" w:rsidP="002F3A5C">
      <w:pPr>
        <w:jc w:val="both"/>
        <w:rPr>
          <w:rFonts w:ascii="Times New Roman" w:eastAsia="Times New Roman" w:hAnsi="Times New Roman" w:cs="Times New Roman"/>
          <w:sz w:val="24"/>
          <w:szCs w:val="24"/>
        </w:rPr>
      </w:pPr>
      <w:commentRangeStart w:id="5"/>
      <w:r w:rsidRPr="00911F80">
        <w:rPr>
          <w:rFonts w:ascii="Times New Roman" w:eastAsia="Times New Roman" w:hAnsi="Times New Roman" w:cs="Times New Roman"/>
          <w:sz w:val="24"/>
          <w:szCs w:val="24"/>
        </w:rPr>
        <w:t>CFSE dye was incorporated pri</w:t>
      </w:r>
      <w:r w:rsidR="00A44FCF" w:rsidRPr="00911F80">
        <w:rPr>
          <w:rFonts w:ascii="Times New Roman" w:eastAsia="Times New Roman" w:hAnsi="Times New Roman" w:cs="Times New Roman"/>
          <w:sz w:val="24"/>
          <w:szCs w:val="24"/>
        </w:rPr>
        <w:t>or to cell culture on the gels and</w:t>
      </w:r>
      <w:r w:rsidRPr="00911F80">
        <w:rPr>
          <w:rFonts w:ascii="Times New Roman" w:eastAsia="Times New Roman" w:hAnsi="Times New Roman" w:cs="Times New Roman"/>
          <w:sz w:val="24"/>
          <w:szCs w:val="24"/>
        </w:rPr>
        <w:t xml:space="preserve"> enables </w:t>
      </w:r>
      <w:r w:rsidR="00A44FCF" w:rsidRPr="00911F80">
        <w:rPr>
          <w:rFonts w:ascii="Times New Roman" w:eastAsia="Times New Roman" w:hAnsi="Times New Roman" w:cs="Times New Roman"/>
          <w:sz w:val="24"/>
          <w:szCs w:val="24"/>
        </w:rPr>
        <w:t xml:space="preserve">monitoring of </w:t>
      </w:r>
      <w:r w:rsidRPr="00911F80">
        <w:rPr>
          <w:rFonts w:ascii="Times New Roman" w:eastAsia="Times New Roman" w:hAnsi="Times New Roman" w:cs="Times New Roman"/>
          <w:sz w:val="24"/>
          <w:szCs w:val="24"/>
        </w:rPr>
        <w:t xml:space="preserve">the </w:t>
      </w:r>
      <w:r w:rsidR="00A44FCF" w:rsidRPr="00911F80">
        <w:rPr>
          <w:rFonts w:ascii="Times New Roman" w:eastAsia="Times New Roman" w:hAnsi="Times New Roman" w:cs="Times New Roman"/>
          <w:sz w:val="24"/>
          <w:szCs w:val="24"/>
        </w:rPr>
        <w:t xml:space="preserve">cell </w:t>
      </w:r>
      <w:r w:rsidRPr="00911F80">
        <w:rPr>
          <w:rFonts w:ascii="Times New Roman" w:eastAsia="Times New Roman" w:hAnsi="Times New Roman" w:cs="Times New Roman"/>
          <w:sz w:val="24"/>
          <w:szCs w:val="24"/>
        </w:rPr>
        <w:t xml:space="preserve">division cycles over time. </w:t>
      </w:r>
      <w:r w:rsidR="00A44FCF" w:rsidRPr="00911F80">
        <w:rPr>
          <w:rFonts w:ascii="Times New Roman" w:eastAsia="Times New Roman" w:hAnsi="Times New Roman" w:cs="Times New Roman"/>
          <w:sz w:val="24"/>
          <w:szCs w:val="24"/>
        </w:rPr>
        <w:t>Three days of culture with CFSE were chosen based on a previous publication</w:t>
      </w:r>
      <w:r w:rsidR="00A44FCF" w:rsidRPr="00911F80">
        <w:rPr>
          <w:rFonts w:ascii="Times New Roman" w:eastAsia="Times New Roman" w:hAnsi="Times New Roman" w:cs="Times New Roman"/>
          <w:sz w:val="24"/>
          <w:szCs w:val="24"/>
        </w:rPr>
        <w:fldChar w:fldCharType="begin" w:fldLock="1"/>
      </w:r>
      <w:r w:rsidR="00AF0FF0" w:rsidRPr="00911F80">
        <w:rPr>
          <w:rFonts w:ascii="Times New Roman" w:eastAsia="Times New Roman" w:hAnsi="Times New Roman" w:cs="Times New Roman"/>
          <w:sz w:val="24"/>
          <w:szCs w:val="24"/>
        </w:rPr>
        <w:instrText>ADDIN CSL_CITATION { "citationItems" : [ { "id" : "ITEM-1", "itemData" : { "DOI" : "10.1016/j.ydbio.2008.10.036", "ISSN" : "0012-1606", "author" : [ { "dropping-particle" : "", "family" : "Kafadar", "given" : "Kimberly A", "non-dropping-particle" : "", "parse-names" : false, "suffix" : "" }, { "dropping-particle" : "", "family" : "Yi", "given" : "Lin", "non-dropping-particle" : "", "parse-names" : false, "suffix" : "" }, { "dropping-particle" : "", "family" : "Ahmad", "given" : "Yusra", "non-dropping-particle" : "", "parse-names" : false, "suffix" : "" }, { "dropping-particle" : "", "family" : "So", "given" : "Leslie", "non-dropping-particle" : "", "parse-names" : false, "suffix" : "" }, { "dropping-particle" : "", "family" : "Rossi", "given" : "Fabio", "non-dropping-particle" : "", "parse-names" : false, "suffix" : "" }, { "dropping-particle" : "", "family" : "Pavlath", "given" : "Grace K", "non-dropping-particle" : "", "parse-names" : false, "suffix" : "" } ], "container-title" : "Developmental Biology", "id" : "ITEM-1", "issue" : "1", "issued" : { "date-parts" : [ [ "2009" ] ] }, "page" : "47-59", "publisher" : "Elsevier Inc.", "title" : "Sca-1 expression is required for efficient remodeling of the extracellular matrix during skeletal muscle regeneration", "type" : "article-journal", "volume" : "326" }, "uris" : [ "http://www.mendeley.com/documents/?uuid=aeda9130-a657-46ce-80ba-bb636e19e053" ] } ], "mendeley" : { "formattedCitation" : "[29]", "plainTextFormattedCitation" : "[29]", "previouslyFormattedCitation" : "[27]" }, "properties" : { "noteIndex" : 0 }, "schema" : "https://github.com/citation-style-language/schema/raw/master/csl-citation.json" }</w:instrText>
      </w:r>
      <w:r w:rsidR="00A44FCF" w:rsidRPr="00911F80">
        <w:rPr>
          <w:rFonts w:ascii="Times New Roman" w:eastAsia="Times New Roman" w:hAnsi="Times New Roman" w:cs="Times New Roman"/>
          <w:sz w:val="24"/>
          <w:szCs w:val="24"/>
        </w:rPr>
        <w:fldChar w:fldCharType="separate"/>
      </w:r>
      <w:r w:rsidR="00AF0FF0" w:rsidRPr="00911F80">
        <w:rPr>
          <w:rFonts w:ascii="Times New Roman" w:eastAsia="Times New Roman" w:hAnsi="Times New Roman" w:cs="Times New Roman"/>
          <w:noProof/>
          <w:sz w:val="24"/>
          <w:szCs w:val="24"/>
        </w:rPr>
        <w:t>[29]</w:t>
      </w:r>
      <w:r w:rsidR="00A44FCF" w:rsidRPr="00911F80">
        <w:rPr>
          <w:rFonts w:ascii="Times New Roman" w:eastAsia="Times New Roman" w:hAnsi="Times New Roman" w:cs="Times New Roman"/>
          <w:sz w:val="24"/>
          <w:szCs w:val="24"/>
        </w:rPr>
        <w:fldChar w:fldCharType="end"/>
      </w:r>
      <w:r w:rsidR="00A44FCF" w:rsidRPr="00911F80">
        <w:rPr>
          <w:rFonts w:ascii="Times New Roman" w:eastAsia="Times New Roman" w:hAnsi="Times New Roman" w:cs="Times New Roman"/>
          <w:sz w:val="24"/>
          <w:szCs w:val="24"/>
        </w:rPr>
        <w:t xml:space="preserve"> and the slow division cycle of these cells.</w:t>
      </w:r>
      <w:commentRangeEnd w:id="5"/>
      <w:r w:rsidR="00AF0FF0" w:rsidRPr="00911F80">
        <w:rPr>
          <w:rStyle w:val="CommentReference"/>
        </w:rPr>
        <w:commentReference w:id="5"/>
      </w:r>
      <w:r w:rsidR="00E44AE4" w:rsidRPr="00911F80">
        <w:rPr>
          <w:rFonts w:ascii="Times New Roman" w:eastAsia="Times New Roman" w:hAnsi="Times New Roman" w:cs="Times New Roman"/>
          <w:sz w:val="24"/>
          <w:szCs w:val="24"/>
        </w:rPr>
        <w:t xml:space="preserve"> (1.7)</w:t>
      </w:r>
    </w:p>
    <w:p w14:paraId="78435288" w14:textId="77777777" w:rsidR="00C8280F" w:rsidRPr="00911F80" w:rsidRDefault="002A54E1" w:rsidP="002618AE">
      <w:pPr>
        <w:pStyle w:val="Title2ParagraphArticle"/>
      </w:pPr>
      <w:r w:rsidRPr="00911F80">
        <w:t>2.7. Statistical analysis</w:t>
      </w:r>
    </w:p>
    <w:p w14:paraId="48D34412" w14:textId="5230B29E" w:rsidR="002618AE" w:rsidRPr="00911F80" w:rsidRDefault="002A54E1" w:rsidP="002F1D2E">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Statistical analysis was performed using two-tailed unpaired Student t-test (Graphpad - Prism). A value of p &lt; 0.05 was considered to be statistically significant. (* p &lt; 0.05, ** p &lt; 0.01, *** p &lt; 0.001) Quantitative data are expressed as the mean ± standard deviation (SD) of minimum three replicates.</w:t>
      </w:r>
      <w:r w:rsidR="002618AE" w:rsidRPr="00911F80">
        <w:rPr>
          <w:rFonts w:ascii="Times New Roman" w:eastAsia="Times New Roman" w:hAnsi="Times New Roman" w:cs="Times New Roman"/>
          <w:sz w:val="24"/>
          <w:szCs w:val="24"/>
        </w:rPr>
        <w:br w:type="page"/>
      </w:r>
    </w:p>
    <w:p w14:paraId="3283F449" w14:textId="77777777" w:rsidR="00C8280F" w:rsidRPr="00911F80" w:rsidRDefault="002A54E1" w:rsidP="002618AE">
      <w:pPr>
        <w:pStyle w:val="TitleParagraphArticle"/>
      </w:pPr>
      <w:r w:rsidRPr="00911F80">
        <w:lastRenderedPageBreak/>
        <w:t>3. Results</w:t>
      </w:r>
    </w:p>
    <w:p w14:paraId="0B3F6CA4" w14:textId="4038A46C"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 xml:space="preserve">The viscoelastic behavior of muscle tissue was first characterized with a stress-relaxation test of a rat hindlimb muscle at 15 % strain (Fig. 1A). The muscle was found to be rapidly stress-relaxing under the applied constant strain. As the muscle displays viscoelastic behavior, the aim of this study was to test how substrate stress-relaxation could regulate muscle cell (myoblast) spreading and proliferation </w:t>
      </w:r>
      <w:r w:rsidRPr="00911F80">
        <w:rPr>
          <w:rFonts w:ascii="Times New Roman" w:eastAsia="Times New Roman" w:hAnsi="Times New Roman" w:cs="Times New Roman"/>
          <w:i/>
          <w:sz w:val="24"/>
          <w:szCs w:val="24"/>
        </w:rPr>
        <w:t>in vitro</w:t>
      </w:r>
      <w:r w:rsidRPr="00911F80">
        <w:rPr>
          <w:rFonts w:ascii="Times New Roman" w:eastAsia="Times New Roman" w:hAnsi="Times New Roman" w:cs="Times New Roman"/>
          <w:sz w:val="24"/>
          <w:szCs w:val="24"/>
        </w:rPr>
        <w:t xml:space="preserve"> (Fig. 1B). </w:t>
      </w:r>
      <w:r w:rsidR="00CD3AAE" w:rsidRPr="00911F80">
        <w:rPr>
          <w:rFonts w:ascii="Times New Roman" w:eastAsia="Times New Roman" w:hAnsi="Times New Roman" w:cs="Times New Roman"/>
          <w:sz w:val="24"/>
          <w:szCs w:val="24"/>
        </w:rPr>
        <w:t>To this end</w:t>
      </w:r>
      <w:r w:rsidRPr="00911F80">
        <w:rPr>
          <w:rFonts w:ascii="Times New Roman" w:eastAsia="Times New Roman" w:hAnsi="Times New Roman" w:cs="Times New Roman"/>
          <w:sz w:val="24"/>
          <w:szCs w:val="24"/>
        </w:rPr>
        <w:t xml:space="preserve">, mouse myoblasts were cultured on alginate hydrogel substrates of various stiffness that were elastic or stress-relaxing. Both the myoblast cell line C2C12 and freshly isolated, primary myoblasts were used in these studies, </w:t>
      </w:r>
      <w:r w:rsidR="00CD3AAE" w:rsidRPr="00911F80">
        <w:rPr>
          <w:rFonts w:ascii="Times New Roman" w:eastAsia="Times New Roman" w:hAnsi="Times New Roman" w:cs="Times New Roman"/>
          <w:sz w:val="24"/>
          <w:szCs w:val="24"/>
        </w:rPr>
        <w:t>as</w:t>
      </w:r>
      <w:r w:rsidRPr="00911F80">
        <w:rPr>
          <w:rFonts w:ascii="Times New Roman" w:eastAsia="Times New Roman" w:hAnsi="Times New Roman" w:cs="Times New Roman"/>
          <w:sz w:val="24"/>
          <w:szCs w:val="24"/>
        </w:rPr>
        <w:t xml:space="preserve"> C2C12 cells c</w:t>
      </w:r>
      <w:r w:rsidR="00CD3AAE" w:rsidRPr="00911F80">
        <w:rPr>
          <w:rFonts w:ascii="Times New Roman" w:eastAsia="Times New Roman" w:hAnsi="Times New Roman" w:cs="Times New Roman"/>
          <w:sz w:val="24"/>
          <w:szCs w:val="24"/>
        </w:rPr>
        <w:t>an</w:t>
      </w:r>
      <w:r w:rsidRPr="00911F80">
        <w:rPr>
          <w:rFonts w:ascii="Times New Roman" w:eastAsia="Times New Roman" w:hAnsi="Times New Roman" w:cs="Times New Roman"/>
          <w:sz w:val="24"/>
          <w:szCs w:val="24"/>
        </w:rPr>
        <w:t xml:space="preserve"> lose sensitivity to environmental cues. (1.1)</w:t>
      </w:r>
    </w:p>
    <w:p w14:paraId="396C9BA0" w14:textId="77777777" w:rsidR="00C8280F" w:rsidRPr="00911F80" w:rsidRDefault="002A54E1" w:rsidP="002618AE">
      <w:pPr>
        <w:pStyle w:val="Title2ParagraphArticle"/>
      </w:pPr>
      <w:r w:rsidRPr="00911F80">
        <w:t>3.1 Fabrication and mechanical characterization of stress-relaxing and non-stress-relaxing RGD-modified alginate hydrogels</w:t>
      </w:r>
    </w:p>
    <w:p w14:paraId="169B0EBC" w14:textId="505C9E22"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We used three alginate polymers of different molecular weights to fabricate hydrogels. Ionically crosslinking alginate with the divalent cation Ca</w:t>
      </w:r>
      <w:r w:rsidRPr="00911F80">
        <w:rPr>
          <w:rFonts w:ascii="Times New Roman" w:eastAsia="Times New Roman" w:hAnsi="Times New Roman" w:cs="Times New Roman"/>
          <w:sz w:val="24"/>
          <w:szCs w:val="24"/>
          <w:vertAlign w:val="superscript"/>
        </w:rPr>
        <w:t>2+</w:t>
      </w:r>
      <w:r w:rsidRPr="00911F80">
        <w:rPr>
          <w:rFonts w:ascii="Times New Roman" w:eastAsia="Times New Roman" w:hAnsi="Times New Roman" w:cs="Times New Roman"/>
          <w:sz w:val="24"/>
          <w:szCs w:val="24"/>
        </w:rPr>
        <w:t xml:space="preserve"> resulted in hydrogels exhibiting stress-relaxation, consistent with previous fi</w:t>
      </w:r>
      <w:r w:rsidR="00DD73C5" w:rsidRPr="00911F80">
        <w:rPr>
          <w:rFonts w:ascii="Times New Roman" w:eastAsia="Times New Roman" w:hAnsi="Times New Roman" w:cs="Times New Roman"/>
          <w:sz w:val="24"/>
          <w:szCs w:val="24"/>
        </w:rPr>
        <w:t>ndings</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"10.1063/1.3343265", "author" : [ { "dropping-particle" : "", "family" : "Zhao", "given" : "Xuanhe", "non-dropping-particle" : "", "parse-names" : false, "suffix" : "" }, { "dropping-particle" : "", "family" : "Huebsch", "given" : "Nathaniel", "non-dropping-particle" : "", "parse-names" : false, "suffix" : "" }, { "dropping-particle" : "", "family" : "Mooney", "given" : "David J", "non-dropping-particle" : "", "parse-names" : false, "suffix" : "" }, { "dropping-particle" : "", "family" : "Suo", "given" : "Zhigang", "non-dropping-particle" : "", "parse-names" : false, "suffix" : "" } ], "container-title" : "Journal of Applied Physics", "id" : "ITEM-1", "issue" : "6", "issued" : { "date-parts" : [ [ "2010" ] ] }, "page" : "1-5", "title" : "Stress-relaxation behavior in gels with ionic and covalent crosslinks", "type" : "article-journal", "volume" : "107" }, "uris" : [ "http://www.mendeley.com/documents/?uuid=4c2f9d05-885b-4b17-87e4-b21d9e88d9c9" ] } ], "mendeley" : { "formattedCitation" : "[18]", "plainTextFormattedCitation" : "[18]", "previouslyFormattedCitation" : "[18]"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[18]</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xml:space="preserve">, whereas covalently crosslinking alginate with carbodiimide chemistry led to hydrogels exhibiting little stress-relaxation as assessed from compression tests at 15 % strain (Fig. 2A, 2B). A range of elastic and viscoelastic hydrogel substrates were fabricated that exhibited similar initial elastic moduli of 2.8 kPa (low crosslinking), 12.2 kPa (mid-low), 18.5 kPa (mid-high) and 49.5 kPa (high). No statistically significant differences between the initial elastic moduli of paired covalently and ionically crosslinked hydrogel substrates were observed (Fig. 2C). The specific stress-relaxation half-times varied from 79 to 519 seconds among gels of different </w:t>
      </w:r>
      <w:commentRangeStart w:id="6"/>
      <w:r w:rsidRPr="00911F80">
        <w:rPr>
          <w:rFonts w:ascii="Times New Roman" w:eastAsia="Times New Roman" w:hAnsi="Times New Roman" w:cs="Times New Roman"/>
          <w:sz w:val="24"/>
          <w:szCs w:val="24"/>
        </w:rPr>
        <w:t>stiffness</w:t>
      </w:r>
      <w:commentRangeEnd w:id="6"/>
      <w:r w:rsidR="00CD3AAE" w:rsidRPr="00911F80">
        <w:rPr>
          <w:rStyle w:val="CommentReference"/>
        </w:rPr>
        <w:commentReference w:id="6"/>
      </w:r>
      <w:r w:rsidRPr="00911F80">
        <w:rPr>
          <w:rFonts w:ascii="Times New Roman" w:eastAsia="Times New Roman" w:hAnsi="Times New Roman" w:cs="Times New Roman"/>
          <w:sz w:val="24"/>
          <w:szCs w:val="24"/>
        </w:rPr>
        <w:t xml:space="preserve"> (Supp. Table 1). </w:t>
      </w:r>
      <w:r w:rsidR="00680E34" w:rsidRPr="00911F80">
        <w:rPr>
          <w:rFonts w:ascii="Times New Roman" w:eastAsia="Times New Roman" w:hAnsi="Times New Roman" w:cs="Times New Roman"/>
          <w:sz w:val="24"/>
          <w:szCs w:val="24"/>
        </w:rPr>
        <w:t xml:space="preserve">To minimize the variance in stress-relaxation half-times of the gels, alginates of different molecular weights were chosen </w:t>
      </w:r>
      <w:r w:rsidR="00CD3AAE" w:rsidRPr="00911F80">
        <w:rPr>
          <w:rFonts w:ascii="Times New Roman" w:eastAsia="Times New Roman" w:hAnsi="Times New Roman" w:cs="Times New Roman"/>
          <w:sz w:val="24"/>
          <w:szCs w:val="24"/>
        </w:rPr>
        <w:t xml:space="preserve">e.g. </w:t>
      </w:r>
      <w:r w:rsidRPr="00911F80">
        <w:rPr>
          <w:rFonts w:ascii="Times New Roman" w:eastAsia="Times New Roman" w:hAnsi="Times New Roman" w:cs="Times New Roman"/>
          <w:sz w:val="24"/>
          <w:szCs w:val="24"/>
        </w:rPr>
        <w:t xml:space="preserve">higher molecular weight alginate </w:t>
      </w:r>
      <w:r w:rsidR="00CD3AAE" w:rsidRPr="00911F80">
        <w:rPr>
          <w:rFonts w:ascii="Times New Roman" w:eastAsia="Times New Roman" w:hAnsi="Times New Roman" w:cs="Times New Roman"/>
          <w:sz w:val="24"/>
          <w:szCs w:val="24"/>
        </w:rPr>
        <w:t>reduces</w:t>
      </w:r>
      <w:r w:rsidRPr="00911F80">
        <w:rPr>
          <w:rFonts w:ascii="Times New Roman" w:eastAsia="Times New Roman" w:hAnsi="Times New Roman" w:cs="Times New Roman"/>
          <w:sz w:val="24"/>
          <w:szCs w:val="24"/>
        </w:rPr>
        <w:t xml:space="preserve"> the stress-relaxation half time.</w:t>
      </w:r>
      <w:r w:rsidR="00680E34" w:rsidRPr="00911F80">
        <w:rPr>
          <w:rFonts w:ascii="Times New Roman" w:eastAsia="Times New Roman" w:hAnsi="Times New Roman" w:cs="Times New Roman"/>
          <w:sz w:val="24"/>
          <w:szCs w:val="24"/>
        </w:rPr>
        <w:t xml:space="preserve"> </w:t>
      </w:r>
      <w:commentRangeStart w:id="7"/>
      <w:r w:rsidR="00680E34" w:rsidRPr="00911F80">
        <w:rPr>
          <w:rFonts w:ascii="Times New Roman" w:eastAsia="Times New Roman" w:hAnsi="Times New Roman" w:cs="Times New Roman"/>
          <w:sz w:val="24"/>
          <w:szCs w:val="24"/>
        </w:rPr>
        <w:t>For example, to synthesize a slower stress-relaxing 50 kPa hydrogel that would match rates of other conditions a high MW alginate is required, however, the viscosity of the resulting solution is too high to mix it homogeneously with the calcium solution.</w:t>
      </w:r>
      <w:commentRangeEnd w:id="7"/>
      <w:r w:rsidR="00CD3AAE" w:rsidRPr="00911F80">
        <w:rPr>
          <w:rStyle w:val="CommentReference"/>
        </w:rPr>
        <w:commentReference w:id="7"/>
      </w:r>
      <w:r w:rsidR="00680E34" w:rsidRPr="00911F80">
        <w:rPr>
          <w:rFonts w:ascii="Times New Roman" w:eastAsia="Times New Roman" w:hAnsi="Times New Roman" w:cs="Times New Roman"/>
          <w:sz w:val="24"/>
          <w:szCs w:val="24"/>
        </w:rPr>
        <w:t xml:space="preserve"> </w:t>
      </w:r>
      <w:r w:rsidRPr="00911F80">
        <w:rPr>
          <w:rFonts w:ascii="Times New Roman" w:eastAsia="Times New Roman" w:hAnsi="Times New Roman" w:cs="Times New Roman"/>
          <w:sz w:val="24"/>
          <w:szCs w:val="24"/>
        </w:rPr>
        <w:t>(1.1) All hydrogel formulations can be found in Supplementary Table 1.</w:t>
      </w:r>
    </w:p>
    <w:p w14:paraId="55911252" w14:textId="77777777" w:rsidR="00C8280F" w:rsidRPr="00911F80" w:rsidRDefault="002A54E1" w:rsidP="002618AE">
      <w:pPr>
        <w:pStyle w:val="Title2ParagraphArticle"/>
      </w:pPr>
      <w:r w:rsidRPr="00911F80">
        <w:t>3.2 Effect of stress-relaxation on the spreading and proliferation of C2C12 myoblasts</w:t>
      </w:r>
    </w:p>
    <w:p w14:paraId="3978AD54" w14:textId="77777777"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The effect of substrate stress-relaxation on the spreading of mouse myoblasts (C2C12 cells) was assessed by measuring the area of individual myoblasts cultured for 22 hours on RGD-alginate hydrogel substrates of varying initial elastic moduli, with and without stress-relaxation and stained with phalloidin to visualize actin.</w:t>
      </w:r>
    </w:p>
    <w:p w14:paraId="659E4BAD" w14:textId="77777777"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Representative images of actin staining show single cells cultured on each substrate condition (Fig. 3 A). An unpaired two-tailed Student t-test was used to compare the difference in the mean cell spreading on elastic and stress-relaxing gels of same modulus and to determine the significance. (1.2) The cell-spreading area significantly increased at higher stiffness as the initial elastic modulus was increased from 2.8 kPa to 49.5 kPa on elastic gels (Fig. 3 B). On stress-relaxing gels however, the cell-spreading area significantly increased from 2.8 to 12.2 kPa, but did not further increase as the modulus was increased. Additionally, the spreading of myoblasts was found to be significantly enhanced on stress-relaxing gels with initial elastic modulus of 2 and 12 kPa, compared to the corresponding elastic gels, but was significantly lower on 49.5 kPa stress-relaxing gels compared to the corresponding elastic gels.</w:t>
      </w:r>
    </w:p>
    <w:p w14:paraId="04CA15BA" w14:textId="79895770"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lastRenderedPageBreak/>
        <w:t xml:space="preserve">Furthermore, specific cell shape morphology descriptors, including circularity (Fig. 3 C) and aspect ratio (Fig. 3 D) were quantified and </w:t>
      </w:r>
      <w:r w:rsidR="00CD3AAE" w:rsidRPr="00911F80">
        <w:rPr>
          <w:rFonts w:ascii="Times New Roman" w:eastAsia="Times New Roman" w:hAnsi="Times New Roman" w:cs="Times New Roman"/>
          <w:sz w:val="24"/>
          <w:szCs w:val="24"/>
        </w:rPr>
        <w:t>statistical significance was</w:t>
      </w:r>
      <w:r w:rsidRPr="00911F80">
        <w:rPr>
          <w:rFonts w:ascii="Times New Roman" w:eastAsia="Times New Roman" w:hAnsi="Times New Roman" w:cs="Times New Roman"/>
          <w:sz w:val="24"/>
          <w:szCs w:val="24"/>
        </w:rPr>
        <w:t xml:space="preserve"> assessed using an unpaired two-tailed Student t-test. Myoblasts cultured on 2.8 and 12.2 kPa hydrogels were significantly more elongated and had higher aspect ratio on stress-relaxing gels relative to elastic gels. Significant higher aspect ratio was observed on stiff (49.5 kPa) stress-relaxing hydrogels, but no significant difference in circularity was </w:t>
      </w:r>
      <w:r w:rsidR="00CD3AAE" w:rsidRPr="00911F80">
        <w:rPr>
          <w:rFonts w:ascii="Times New Roman" w:eastAsia="Times New Roman" w:hAnsi="Times New Roman" w:cs="Times New Roman"/>
          <w:sz w:val="24"/>
          <w:szCs w:val="24"/>
        </w:rPr>
        <w:t xml:space="preserve">observed </w:t>
      </w:r>
      <w:r w:rsidRPr="00911F80">
        <w:rPr>
          <w:rFonts w:ascii="Times New Roman" w:eastAsia="Times New Roman" w:hAnsi="Times New Roman" w:cs="Times New Roman"/>
          <w:sz w:val="24"/>
          <w:szCs w:val="24"/>
        </w:rPr>
        <w:t>on the stiffer hydrogels. (3.1)</w:t>
      </w:r>
    </w:p>
    <w:p w14:paraId="57B026EF" w14:textId="15EFBF15"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Next, we assessed the proliferation of the myoblasts (C2C12). Myoblasts were cultured on different substrate conditions for 16 hours and incubated with the thymidine analog EdU for the last 8 hours to capture dividing cells. We quantified the proliferation as the percentage of cells positive for EdU compared to the total number of cells (Fig. 3 E). Increasing proliferation was observed for myoblasts on elastic and stress-relaxing substrates with increasing initial elastic moduli (Fig. 3 F). Moreover, myoblast proliferation was higher on stress-relaxing substrates compared to elastic substrates for all initial elastic moduli tested.</w:t>
      </w:r>
      <w:r w:rsidR="00B217CE" w:rsidRPr="00911F80">
        <w:rPr>
          <w:rFonts w:ascii="Times New Roman" w:eastAsia="Times New Roman" w:hAnsi="Times New Roman" w:cs="Times New Roman"/>
          <w:sz w:val="24"/>
          <w:szCs w:val="24"/>
        </w:rPr>
        <w:t xml:space="preserve"> Additionally, proliferation of C2C12 was assessed on 12.2 kPa gels of different stress-relaxing rates (slow: 1827 seconds, mid: 1250 sec, fast: 224 seconds) in supplementary figure 3. No difference in proliferation was observed for C2C12 cultured on stress-relaxing hydrogels of various stress-relaxing rates.</w:t>
      </w:r>
      <w:r w:rsidR="00994E3D" w:rsidRPr="00911F80">
        <w:rPr>
          <w:rFonts w:ascii="Times New Roman" w:eastAsia="Times New Roman" w:hAnsi="Times New Roman" w:cs="Times New Roman"/>
          <w:sz w:val="24"/>
          <w:szCs w:val="24"/>
        </w:rPr>
        <w:t xml:space="preserve"> Furthermore, </w:t>
      </w:r>
      <w:r w:rsidR="0022199B" w:rsidRPr="00911F80">
        <w:rPr>
          <w:rFonts w:ascii="Times New Roman" w:eastAsia="Times New Roman" w:hAnsi="Times New Roman" w:cs="Times New Roman"/>
          <w:sz w:val="24"/>
          <w:szCs w:val="24"/>
        </w:rPr>
        <w:t>to determine if the phenomena of</w:t>
      </w:r>
      <w:r w:rsidR="001A388C" w:rsidRPr="00911F80">
        <w:rPr>
          <w:rFonts w:ascii="Times New Roman" w:eastAsia="Times New Roman" w:hAnsi="Times New Roman" w:cs="Times New Roman"/>
          <w:sz w:val="24"/>
          <w:szCs w:val="24"/>
        </w:rPr>
        <w:t xml:space="preserve"> </w:t>
      </w:r>
      <w:r w:rsidR="00994E3D" w:rsidRPr="00911F80">
        <w:rPr>
          <w:rFonts w:ascii="Times New Roman" w:eastAsia="Times New Roman" w:hAnsi="Times New Roman" w:cs="Times New Roman"/>
          <w:sz w:val="24"/>
          <w:szCs w:val="24"/>
        </w:rPr>
        <w:t xml:space="preserve">C2C12 spreading and </w:t>
      </w:r>
      <w:r w:rsidR="0022199B" w:rsidRPr="00911F80">
        <w:rPr>
          <w:rFonts w:ascii="Times New Roman" w:eastAsia="Times New Roman" w:hAnsi="Times New Roman" w:cs="Times New Roman"/>
          <w:sz w:val="24"/>
          <w:szCs w:val="24"/>
        </w:rPr>
        <w:t>proliferation were related we compared these datasets and found there to be</w:t>
      </w:r>
      <w:r w:rsidR="006D398E" w:rsidRPr="00911F80">
        <w:rPr>
          <w:rFonts w:ascii="Times New Roman" w:eastAsia="Times New Roman" w:hAnsi="Times New Roman" w:cs="Times New Roman"/>
          <w:sz w:val="24"/>
          <w:szCs w:val="24"/>
        </w:rPr>
        <w:t xml:space="preserve"> no</w:t>
      </w:r>
      <w:r w:rsidR="0022199B" w:rsidRPr="00911F80">
        <w:rPr>
          <w:rFonts w:ascii="Times New Roman" w:eastAsia="Times New Roman" w:hAnsi="Times New Roman" w:cs="Times New Roman"/>
          <w:sz w:val="24"/>
          <w:szCs w:val="24"/>
        </w:rPr>
        <w:t xml:space="preserve"> correlation across the gels that were studied (Supplementary figure 4 (2.5))</w:t>
      </w:r>
    </w:p>
    <w:p w14:paraId="1BD278AA" w14:textId="77777777" w:rsidR="00C8280F" w:rsidRPr="00911F80" w:rsidRDefault="002A54E1" w:rsidP="002618AE">
      <w:pPr>
        <w:pStyle w:val="Title2ParagraphArticle"/>
      </w:pPr>
      <w:r w:rsidRPr="00911F80">
        <w:t>3.3 Effect of stress-relaxation on the proliferation of primary myoblast cells</w:t>
      </w:r>
    </w:p>
    <w:p w14:paraId="19FAB9DC" w14:textId="4C45A9A3" w:rsidR="00866964" w:rsidRPr="00911F80" w:rsidRDefault="002A54E1" w:rsidP="009C61F6">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 xml:space="preserve">The effect of stress-relaxation on the proliferation of primary mouse myoblasts was next analyzed. To determine myogenic purity, cells were analyzed for the expression of two cell-surface antigens, M-Cadherin and Syndecan-4, using fluorescent-activated cell sorting (FACS). </w:t>
      </w:r>
      <w:r w:rsidR="005D3900" w:rsidRPr="00911F80">
        <w:rPr>
          <w:rFonts w:ascii="Times New Roman" w:eastAsia="Times New Roman" w:hAnsi="Times New Roman" w:cs="Times New Roman"/>
          <w:sz w:val="24"/>
          <w:szCs w:val="24"/>
        </w:rPr>
        <w:t>M-Cadherin</w:t>
      </w:r>
      <w:r w:rsidR="005D3900" w:rsidRPr="00911F80">
        <w:rPr>
          <w:rFonts w:ascii="Times New Roman" w:eastAsia="Times New Roman" w:hAnsi="Times New Roman" w:cs="Times New Roman"/>
          <w:sz w:val="24"/>
          <w:szCs w:val="24"/>
        </w:rPr>
        <w:fldChar w:fldCharType="begin" w:fldLock="1"/>
      </w:r>
      <w:r w:rsidR="00AF0FF0" w:rsidRPr="00911F80">
        <w:rPr>
          <w:rFonts w:ascii="Times New Roman" w:eastAsia="Times New Roman" w:hAnsi="Times New Roman" w:cs="Times New Roman"/>
          <w:sz w:val="24"/>
          <w:szCs w:val="24"/>
        </w:rPr>
        <w:instrText>ADDIN CSL_CITATION { "citationItems" : [ { "id" : "ITEM-1", "itemData" : { "author" : [ { "dropping-particle" : "", "family" : "Corbett", "given" : "A H", "non-dropping-particle" : "", "parse-names" : false, "suffix" : "" }, { "dropping-particle" : "", "family" : "Silver", "given" : "P A", "non-dropping-particle" : "", "parse-names" : false, "suffix" : "" }, { "dropping-particle" : "", "family" : "Mol", "given" : "Microbiol", "non-dropping-particle" : "", "parse-names" : false, "suffix" : "" }, { "dropping-particle" : "", "family" : "Rev", "given" : "Biol", "non-dropping-particle" : "", "parse-names" : false, "suffix" : "" }, { "dropping-particle" : "", "family" : "Gorlich", "given" : "D", "non-dropping-particle" : "", "parse-names" : false, "suffix" : "" }, { "dropping-particle" : "", "family" : "Kutay", "given" : "U", "non-dropping-particle" : "", "parse-names" : false, "suffix" : "" }, { "dropping-particle" : "", "family" : "Rev", "given" : "Annu", "non-dropping-particle" : "", "parse-names" : false, "suffix" : "" }, { "dropping-particle" : "", "family" : "Dev", "given" : "Cell", "non-dropping-particle" : "", "parse-names" : false, "suffix" : "" }, { "dropping-particle" : "", "family" : "Conboy", "given" : "Irina M", "non-dropping-particle" : "", "parse-names" : false, "suffix" : "" }, { "dropping-particle" : "", "family" : "Conboy", "given" : "Michael J", "non-dropping-particle" : "", "parse-names" : false, "suffix" : "" }, { "dropping-particle" : "", "family" : "Smythe", "given" : "Gayle M", "non-dropping-particle" : "", "parse-names" : false, "suffix" : "" }, { "dropping-particle" : "", "family" : "Rando", "given" : "Thomas A", "non-dropping-particle" : "", "parse-names" : false, "suffix" : "" } ], "container-title" : "Science", "id" : "ITEM-1", "issue" : "11", "issued" : { "date-parts" : [ [ "2003" ] ] }, "page" : "1575-1577", "title" : "Notch-Mediated Restoration of Regenerative Potential to Aged Muscle", "type" : "article-journal", "volume" : "302" }, "uris" : [ "http://www.mendeley.com/documents/?uuid=4da41323-f9a4-4f4c-9542-66cbecdc7e3e" ] } ], "mendeley" : { "formattedCitation" : "[30]", "plainTextFormattedCitation" : "[30]", "previouslyFormattedCitation" : "[28]" }, "properties" : { "noteIndex" : 0 }, "schema" : "https://github.com/citation-style-language/schema/raw/master/csl-citation.json" }</w:instrText>
      </w:r>
      <w:r w:rsidR="005D3900" w:rsidRPr="00911F80">
        <w:rPr>
          <w:rFonts w:ascii="Times New Roman" w:eastAsia="Times New Roman" w:hAnsi="Times New Roman" w:cs="Times New Roman"/>
          <w:sz w:val="24"/>
          <w:szCs w:val="24"/>
        </w:rPr>
        <w:fldChar w:fldCharType="separate"/>
      </w:r>
      <w:r w:rsidR="00AF0FF0" w:rsidRPr="00911F80">
        <w:rPr>
          <w:rFonts w:ascii="Times New Roman" w:eastAsia="Times New Roman" w:hAnsi="Times New Roman" w:cs="Times New Roman"/>
          <w:noProof/>
          <w:sz w:val="24"/>
          <w:szCs w:val="24"/>
        </w:rPr>
        <w:t>[30]</w:t>
      </w:r>
      <w:r w:rsidR="005D3900" w:rsidRPr="00911F80">
        <w:rPr>
          <w:rFonts w:ascii="Times New Roman" w:eastAsia="Times New Roman" w:hAnsi="Times New Roman" w:cs="Times New Roman"/>
          <w:sz w:val="24"/>
          <w:szCs w:val="24"/>
        </w:rPr>
        <w:fldChar w:fldCharType="end"/>
      </w:r>
      <w:r w:rsidR="005D3900" w:rsidRPr="00911F80">
        <w:rPr>
          <w:rFonts w:ascii="Times New Roman" w:eastAsia="Times New Roman" w:hAnsi="Times New Roman" w:cs="Times New Roman"/>
          <w:sz w:val="24"/>
          <w:szCs w:val="24"/>
        </w:rPr>
        <w:t xml:space="preserve"> and Syndecan-4</w:t>
      </w:r>
      <w:r w:rsidR="005D3900" w:rsidRPr="00911F80">
        <w:rPr>
          <w:rFonts w:ascii="Times New Roman" w:eastAsia="Times New Roman" w:hAnsi="Times New Roman" w:cs="Times New Roman"/>
          <w:sz w:val="24"/>
          <w:szCs w:val="24"/>
        </w:rPr>
        <w:fldChar w:fldCharType="begin" w:fldLock="1"/>
      </w:r>
      <w:r w:rsidR="00AF0FF0" w:rsidRPr="00911F80">
        <w:rPr>
          <w:rFonts w:ascii="Times New Roman" w:eastAsia="Times New Roman" w:hAnsi="Times New Roman" w:cs="Times New Roman"/>
          <w:sz w:val="24"/>
          <w:szCs w:val="24"/>
        </w:rPr>
        <w:instrText>ADDIN CSL_CITATION { "citationItems" : [ { "id" : "ITEM-1", "itemData" : { "DOI" : "10.1016/j.stem.2009.01.016", "ISSN" : "1934-5909", "author" : [ { "dropping-particle" : "", "family" : "Tanaka", "given" : "Kathleen Kelly", "non-dropping-particle" : "", "parse-names" : false, "suffix" : "" }, { "dropping-particle" : "", "family" : "Hall", "given" : "John K", "non-dropping-particle" : "", "parse-names" : false, "suffix" : "" }, { "dropping-particle" : "", "family" : "Troy", "given" : "Andrew A", "non-dropping-particle" : "", "parse-names" : false, "suffix" : "" }, { "dropping-particle" : "", "family" : "Cornelison", "given" : "D D W", "non-dropping-particle" : "", "parse-names" : false, "suffix" : "" }, { "dropping-particle" : "", "family" : "Majka", "given" : "Susan M", "non-dropping-particle" : "", "parse-names" : false, "suffix" : "" }, { "dropping-particle" : "", "family" : "Olwin", "given" : "Bradley B", "non-dropping-particle" : "", "parse-names" : false, "suffix" : "" } ], "container-title" : "Cell Stem Cell", "id" : "ITEM-1", "issue" : "3", "issued" : { "date-parts" : [ [ "2009" ] ] }, "page" : "217-225", "publisher" : "Elsevier Ltd", "title" : "Syndecan-4-Expressing Muscle Progenitor Cells in the SP Engraft as Satellite Cells during Muscle Regeneration", "type" : "article-journal", "volume" : "4" }, "uris" : [ "http://www.mendeley.com/documents/?uuid=b942a23a-576e-4ffa-889c-4111a21d444e" ] } ], "mendeley" : { "formattedCitation" : "[31]", "plainTextFormattedCitation" : "[31]", "previouslyFormattedCitation" : "[29]" }, "properties" : { "noteIndex" : 0 }, "schema" : "https://github.com/citation-style-language/schema/raw/master/csl-citation.json" }</w:instrText>
      </w:r>
      <w:r w:rsidR="005D3900" w:rsidRPr="00911F80">
        <w:rPr>
          <w:rFonts w:ascii="Times New Roman" w:eastAsia="Times New Roman" w:hAnsi="Times New Roman" w:cs="Times New Roman"/>
          <w:sz w:val="24"/>
          <w:szCs w:val="24"/>
        </w:rPr>
        <w:fldChar w:fldCharType="separate"/>
      </w:r>
      <w:r w:rsidR="00AF0FF0" w:rsidRPr="00911F80">
        <w:rPr>
          <w:rFonts w:ascii="Times New Roman" w:eastAsia="Times New Roman" w:hAnsi="Times New Roman" w:cs="Times New Roman"/>
          <w:noProof/>
          <w:sz w:val="24"/>
          <w:szCs w:val="24"/>
        </w:rPr>
        <w:t>[31]</w:t>
      </w:r>
      <w:r w:rsidR="005D3900"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xml:space="preserve"> are muscle satellite cell markers commonly used for the isolation and identification of satellite cells. (2.6) The isolated cell population exhibited high myogenic content, as more than 90% of cells were positive for M-Cadherin while approximately 65 % of the cells were positive for both M-Cadherin and Syndecan-4 (Fig. 4 A-B). The primary gating strategy is shown in supplementary Figure 1. The isolated population was then cultured on collagen-coated dishes for 6 days. Subsequently, proliferation on 12.2 kPa hydrogel substrates, with and without stress-relaxation was assayed using the Cell Trace CFSE dye, a membrane dye that is diluted upon cell division. We observed a left shift of the curve representing the CFSE dye for primary myoblasts cultured on stress-relaxing gels (Fig. 5 C), and quantification of the mean CFSE intensity confirmed that primary myoblasts cultured on stress-relaxing hydrogels retained on average significantly lower levels of Cell Trace CFSE, indicating a higher proliferation rate, compared to primary myoblasts cultured on elastic hydrogels (Fig. 5 D).</w:t>
      </w:r>
      <w:r w:rsidR="005D3900" w:rsidRPr="00911F80">
        <w:rPr>
          <w:rFonts w:ascii="Times New Roman" w:eastAsia="Times New Roman" w:hAnsi="Times New Roman" w:cs="Times New Roman"/>
          <w:sz w:val="24"/>
          <w:szCs w:val="24"/>
        </w:rPr>
        <w:t xml:space="preserve"> Proliferation of primary myoblasts on elastic and stress-relaxing gels of 2 and 50</w:t>
      </w:r>
      <w:r w:rsidR="00866964" w:rsidRPr="00911F80">
        <w:rPr>
          <w:rFonts w:ascii="Times New Roman" w:eastAsia="Times New Roman" w:hAnsi="Times New Roman" w:cs="Times New Roman"/>
          <w:sz w:val="24"/>
          <w:szCs w:val="24"/>
        </w:rPr>
        <w:t xml:space="preserve"> </w:t>
      </w:r>
      <w:r w:rsidR="005D3900" w:rsidRPr="00911F80">
        <w:rPr>
          <w:rFonts w:ascii="Times New Roman" w:eastAsia="Times New Roman" w:hAnsi="Times New Roman" w:cs="Times New Roman"/>
          <w:sz w:val="24"/>
          <w:szCs w:val="24"/>
        </w:rPr>
        <w:t>kPa as well as on slow-stress-relaxing 12 kPa gel is shown in supplementary figure 2. Higher proliferation rate was observed for primary myoblasts cultured on soft (2.8 kPa) stress-relaxing gels compared to elastic gels, whereas no statistical difference was observed for primary cells cultured on stiff (49.5 kPa) stress-relaxing and elastic gels. Proliferation was not statistically different for primary cells cultured on stress-relaxing gels of different stress-relaxation rates (slow: 1827 seconds, fast: 224 seconds).</w:t>
      </w:r>
      <w:r w:rsidR="00866964" w:rsidRPr="00911F80">
        <w:rPr>
          <w:rFonts w:ascii="Times New Roman" w:eastAsia="Times New Roman" w:hAnsi="Times New Roman" w:cs="Times New Roman"/>
          <w:sz w:val="24"/>
          <w:szCs w:val="24"/>
        </w:rPr>
        <w:t xml:space="preserve"> (1.3)</w:t>
      </w:r>
    </w:p>
    <w:p w14:paraId="53892CF8" w14:textId="1EEE5ABF" w:rsidR="002618AE" w:rsidRPr="00911F80" w:rsidRDefault="00CD3AAE" w:rsidP="002618AE">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lastRenderedPageBreak/>
        <w:t>C</w:t>
      </w:r>
      <w:commentRangeStart w:id="8"/>
      <w:commentRangeStart w:id="9"/>
      <w:r w:rsidR="009C61F6" w:rsidRPr="00911F80">
        <w:rPr>
          <w:rFonts w:ascii="Times New Roman" w:eastAsia="Times New Roman" w:hAnsi="Times New Roman" w:cs="Times New Roman"/>
          <w:sz w:val="24"/>
          <w:szCs w:val="24"/>
        </w:rPr>
        <w:t xml:space="preserve">ell-spreading was not </w:t>
      </w:r>
      <w:r w:rsidR="006C20CB" w:rsidRPr="00911F80">
        <w:rPr>
          <w:rFonts w:ascii="Times New Roman" w:eastAsia="Times New Roman" w:hAnsi="Times New Roman" w:cs="Times New Roman"/>
          <w:sz w:val="24"/>
          <w:szCs w:val="24"/>
        </w:rPr>
        <w:t xml:space="preserve">quantified with </w:t>
      </w:r>
      <w:r w:rsidR="005D3900" w:rsidRPr="00911F80">
        <w:rPr>
          <w:rFonts w:ascii="Times New Roman" w:eastAsia="Times New Roman" w:hAnsi="Times New Roman" w:cs="Times New Roman"/>
          <w:sz w:val="24"/>
          <w:szCs w:val="24"/>
        </w:rPr>
        <w:t>primary myoblasts</w:t>
      </w:r>
      <w:r w:rsidR="006C20CB" w:rsidRPr="00911F80">
        <w:rPr>
          <w:rFonts w:ascii="Times New Roman" w:eastAsia="Times New Roman" w:hAnsi="Times New Roman" w:cs="Times New Roman"/>
          <w:sz w:val="24"/>
          <w:szCs w:val="24"/>
        </w:rPr>
        <w:t xml:space="preserve"> as these cells</w:t>
      </w:r>
      <w:r w:rsidR="005D3900" w:rsidRPr="00911F80">
        <w:rPr>
          <w:rFonts w:ascii="Times New Roman" w:eastAsia="Times New Roman" w:hAnsi="Times New Roman" w:cs="Times New Roman"/>
          <w:sz w:val="24"/>
          <w:szCs w:val="24"/>
        </w:rPr>
        <w:t xml:space="preserve"> are characteristically rounded in nature and exhibit limited spreading in their undifferentiated state (see Figure 4A). Also, i</w:t>
      </w:r>
      <w:r w:rsidR="009C61F6" w:rsidRPr="00911F80">
        <w:rPr>
          <w:rFonts w:ascii="Times New Roman" w:eastAsia="Times New Roman" w:hAnsi="Times New Roman" w:cs="Times New Roman"/>
          <w:sz w:val="24"/>
          <w:szCs w:val="24"/>
        </w:rPr>
        <w:t>t is well known that satellite cells have different adherence profile</w:t>
      </w:r>
      <w:r w:rsidR="009C61F6" w:rsidRPr="00911F80">
        <w:rPr>
          <w:rFonts w:ascii="Times New Roman" w:eastAsia="Times New Roman" w:hAnsi="Times New Roman" w:cs="Times New Roman"/>
          <w:color w:val="auto"/>
          <w:sz w:val="24"/>
          <w:szCs w:val="24"/>
        </w:rPr>
        <w:t>s</w:t>
      </w:r>
      <w:r w:rsidR="00DD73C5" w:rsidRPr="00911F80">
        <w:rPr>
          <w:rFonts w:ascii="Times New Roman" w:eastAsia="Times New Roman" w:hAnsi="Times New Roman" w:cs="Times New Roman"/>
          <w:color w:val="auto"/>
          <w:sz w:val="24"/>
          <w:szCs w:val="24"/>
        </w:rPr>
        <w:fldChar w:fldCharType="begin" w:fldLock="1"/>
      </w:r>
      <w:r w:rsidR="00AF0FF0" w:rsidRPr="00911F80">
        <w:rPr>
          <w:rFonts w:ascii="Times New Roman" w:eastAsia="Times New Roman" w:hAnsi="Times New Roman" w:cs="Times New Roman"/>
          <w:color w:val="auto"/>
          <w:sz w:val="24"/>
          <w:szCs w:val="24"/>
        </w:rPr>
        <w:instrText>ADDIN CSL_CITATION { "citationItems" : [ { "id" : "ITEM-1", "itemData" : { "DOI" : "10.1038/nprot.2008.142", "author" : [ { "dropping-particle" : "", "family" : "Gharaibeh", "given" : "Burhan", "non-dropping-particle" : "", "parse-names" : false, "suffix" : "" }, { "dropping-particle" : "", "family" : "Lu", "given" : "Aiping", "non-dropping-particle" : "", "parse-names" : false, "suffix" : "" }, { "dropping-particle" : "", "family" : "Tebbets", "given" : "Jessica", "non-dropping-particle" : "", "parse-names" : false, "suffix" : "" }, { "dropping-particle" : "", "family" : "Zheng", "given" : "Bo", "non-dropping-particle" : "", "parse-names" : false, "suffix" : "" }, { "dropping-particle" : "", "family" : "Feduska", "given" : "Joe", "non-dropping-particle" : "", "parse-names" : false, "suffix" : "" }, { "dropping-particle" : "", "family" : "Crisan", "given" : "Mihaela", "non-dropping-particle" : "", "parse-names" : false, "suffix" : "" }, { "dropping-particle" : "", "family" : "Pe", "given" : "Bruno", "non-dropping-particle" : "", "parse-names" : false, "suffix" : "" }, { "dropping-particle" : "", "family" : "Cummins", "given" : "James", "non-dropping-particle" : "", "parse-names" : false, "suffix" : "" }, { "dropping-particle" : "", "family" : "Huard", "given" : "Johnny", "non-dropping-particle" : "", "parse-names" : false, "suffix" : "" } ], "container-title" : "Nature protocols", "id" : "ITEM-1", "issue" : "9", "issued" : { "date-parts" : [ [ "2008" ] ] }, "page" : "1501-1509", "title" : "Isolation of a slowly adhering cell fraction containing stem cells from murine skeletal muscle by the preplate technique", "type" : "article-journal", "volume" : "3" }, "uris" : [ "http://www.mendeley.com/documents/?uuid=5a624713-f610-4527-9f40-ccb35eccda7e" ] } ], "mendeley" : { "formattedCitation" : "[32]", "plainTextFormattedCitation" : "[32]", "previouslyFormattedCitation" : "[30]" }, "properties" : { "noteIndex" : 0 }, "schema" : "https://github.com/citation-style-language/schema/raw/master/csl-citation.json" }</w:instrText>
      </w:r>
      <w:r w:rsidR="00DD73C5" w:rsidRPr="00911F80">
        <w:rPr>
          <w:rFonts w:ascii="Times New Roman" w:eastAsia="Times New Roman" w:hAnsi="Times New Roman" w:cs="Times New Roman"/>
          <w:color w:val="auto"/>
          <w:sz w:val="24"/>
          <w:szCs w:val="24"/>
        </w:rPr>
        <w:fldChar w:fldCharType="separate"/>
      </w:r>
      <w:r w:rsidR="00AF0FF0" w:rsidRPr="00911F80">
        <w:rPr>
          <w:rFonts w:ascii="Times New Roman" w:eastAsia="Times New Roman" w:hAnsi="Times New Roman" w:cs="Times New Roman"/>
          <w:noProof/>
          <w:color w:val="auto"/>
          <w:sz w:val="24"/>
          <w:szCs w:val="24"/>
        </w:rPr>
        <w:t>[32]</w:t>
      </w:r>
      <w:r w:rsidR="00DD73C5" w:rsidRPr="00911F80">
        <w:rPr>
          <w:rFonts w:ascii="Times New Roman" w:eastAsia="Times New Roman" w:hAnsi="Times New Roman" w:cs="Times New Roman"/>
          <w:color w:val="auto"/>
          <w:sz w:val="24"/>
          <w:szCs w:val="24"/>
        </w:rPr>
        <w:fldChar w:fldCharType="end"/>
      </w:r>
      <w:r w:rsidR="009C61F6" w:rsidRPr="00911F80">
        <w:rPr>
          <w:rFonts w:ascii="Times New Roman" w:eastAsia="Times New Roman" w:hAnsi="Times New Roman" w:cs="Times New Roman"/>
          <w:sz w:val="24"/>
          <w:szCs w:val="24"/>
        </w:rPr>
        <w:t xml:space="preserve"> to cell culture materials (</w:t>
      </w:r>
      <w:r w:rsidR="005D3900" w:rsidRPr="00911F80">
        <w:rPr>
          <w:rFonts w:ascii="Times New Roman" w:eastAsia="Times New Roman" w:hAnsi="Times New Roman" w:cs="Times New Roman"/>
          <w:sz w:val="24"/>
          <w:szCs w:val="24"/>
        </w:rPr>
        <w:t>as well tissue culture plastic). (1.3)</w:t>
      </w:r>
      <w:commentRangeEnd w:id="8"/>
      <w:r w:rsidR="00113FD0" w:rsidRPr="00911F80">
        <w:rPr>
          <w:rStyle w:val="CommentReference"/>
        </w:rPr>
        <w:commentReference w:id="8"/>
      </w:r>
      <w:commentRangeEnd w:id="9"/>
      <w:r w:rsidR="006C20CB" w:rsidRPr="00911F80">
        <w:rPr>
          <w:rStyle w:val="CommentReference"/>
        </w:rPr>
        <w:commentReference w:id="9"/>
      </w:r>
      <w:r w:rsidR="002618AE" w:rsidRPr="00911F80">
        <w:rPr>
          <w:rFonts w:ascii="Times New Roman" w:eastAsia="Times New Roman" w:hAnsi="Times New Roman" w:cs="Times New Roman"/>
          <w:sz w:val="24"/>
          <w:szCs w:val="24"/>
        </w:rPr>
        <w:br w:type="page"/>
      </w:r>
    </w:p>
    <w:p w14:paraId="4BA4EC47" w14:textId="77777777" w:rsidR="00C8280F" w:rsidRPr="00911F80" w:rsidRDefault="002A54E1" w:rsidP="002618AE">
      <w:pPr>
        <w:pStyle w:val="TitleParagraphArticle"/>
      </w:pPr>
      <w:r w:rsidRPr="00911F80">
        <w:lastRenderedPageBreak/>
        <w:t>4. Discussion</w:t>
      </w:r>
    </w:p>
    <w:p w14:paraId="1109410E" w14:textId="035DBF2D"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This study employed alginate hydrogel substrates to examine whether stress-relaxation regulated the spreading and proliferation of myoblasts. Alginate hydrogels can display stress-relaxing or purely elastic behavior dependi</w:t>
      </w:r>
      <w:r w:rsidR="00DD73C5" w:rsidRPr="00911F80">
        <w:rPr>
          <w:rFonts w:ascii="Times New Roman" w:eastAsia="Times New Roman" w:hAnsi="Times New Roman" w:cs="Times New Roman"/>
          <w:sz w:val="24"/>
          <w:szCs w:val="24"/>
        </w:rPr>
        <w:t>ng on the crosslinking type</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"10.1063/1.3343265", "author" : [ { "dropping-particle" : "", "family" : "Zhao", "given" : "Xuanhe", "non-dropping-particle" : "", "parse-names" : false, "suffix" : "" }, { "dropping-particle" : "", "family" : "Huebsch", "given" : "Nathaniel", "non-dropping-particle" : "", "parse-names" : false, "suffix" : "" }, { "dropping-particle" : "", "family" : "Mooney", "given" : "David J", "non-dropping-particle" : "", "parse-names" : false, "suffix" : "" }, { "dropping-particle" : "", "family" : "Suo", "given" : "Zhigang", "non-dropping-particle" : "", "parse-names" : false, "suffix" : "" } ], "container-title" : "Journal of Applied Physics", "id" : "ITEM-1", "issue" : "6", "issued" : { "date-parts" : [ [ "2010" ] ] }, "page" : "1-5", "title" : "Stress-relaxation behavior in gels with ionic and covalent crosslinks", "type" : "article-journal", "volume" : "107" }, "uris" : [ "http://www.mendeley.com/documents/?uuid=4c2f9d05-885b-4b17-87e4-b21d9e88d9c9" ] } ], "mendeley" : { "formattedCitation" : "[18]", "plainTextFormattedCitation" : "[18]", "previouslyFormattedCitation" : "[18]"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[18]</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Ionically crosslinked gels displayed rapid relaxation, as expected, while covalently crosslinked alginate hydrogels displayed low levels of stress-relaxation at long time scales. Previous studies demonstrated the latter was due to water migration out of alginate gels during bulk compression (poroelasticity), not visco</w:t>
      </w:r>
      <w:r w:rsidR="00DD73C5" w:rsidRPr="00911F80">
        <w:rPr>
          <w:rFonts w:ascii="Times New Roman" w:eastAsia="Times New Roman" w:hAnsi="Times New Roman" w:cs="Times New Roman"/>
          <w:sz w:val="24"/>
          <w:szCs w:val="24"/>
        </w:rPr>
        <w:t xml:space="preserve">elasticity of the hydrogels </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"10.1063/1.3343265", "author" : [ { "dropping-particle" : "", "family" : "Zhao", "given" : "Xuanhe", "non-dropping-particle" : "", "parse-names" : false, "suffix" : "" }, { "dropping-particle" : "", "family" : "Huebsch", "given" : "Nathaniel", "non-dropping-particle" : "", "parse-names" : false, "suffix" : "" }, { "dropping-particle" : "", "family" : "Mooney", "given" : "David J", "non-dropping-particle" : "", "parse-names" : false, "suffix" : "" }, { "dropping-particle" : "", "family" : "Suo", "given" : "Zhigang", "non-dropping-particle" : "", "parse-names" : false, "suffix" : "" } ], "container-title" : "Journal of Applied Physics", "id" : "ITEM-1", "issue" : "6", "issued" : { "date-parts" : [ [ "2010" ] ] }, "page" : "1-5", "title" : "Stress-relaxation behavior in gels with ionic and covalent crosslinks", "type" : "article-journal", "volume" : "107" }, "uris" : [ "http://www.mendeley.com/documents/?uuid=4c2f9d05-885b-4b17-87e4-b21d9e88d9c9" ] } ], "mendeley" : { "formattedCitation" : "[18]", "plainTextFormattedCitation" : "[18]", "previouslyFormattedCitation" : "[18]"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[18]</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xml:space="preserve">. In this study, the general stress-relaxation behavior of the muscle was mimicked with the viscoelastic hydrogels. The stress-relaxation half-times were not exactly matched among gels of different stiffness but </w:t>
      </w:r>
      <w:r w:rsidR="00880BCC" w:rsidRPr="00911F80">
        <w:rPr>
          <w:rFonts w:ascii="Times New Roman" w:eastAsia="Times New Roman" w:hAnsi="Times New Roman" w:cs="Times New Roman"/>
          <w:sz w:val="24"/>
          <w:szCs w:val="24"/>
        </w:rPr>
        <w:t>variance in half-times</w:t>
      </w:r>
      <w:r w:rsidRPr="00911F80">
        <w:rPr>
          <w:rFonts w:ascii="Times New Roman" w:eastAsia="Times New Roman" w:hAnsi="Times New Roman" w:cs="Times New Roman"/>
          <w:sz w:val="24"/>
          <w:szCs w:val="24"/>
        </w:rPr>
        <w:t xml:space="preserve"> were minimized by using alginates of different molecular weights. This variance in stress-relaxation half-times does not interfere with the scope of this study that investigates the general effect of stress-relaxation on myoblast proliferation and spreading. Further studies could modify this system to match stress-relaxation half-times among varying stiffness and evaluate the impact on these cell types. (1.1) By adjusting the crosslinker concentrations for both types of hydrogels, we achieved substrate stiffness mimicking tha</w:t>
      </w:r>
      <w:r w:rsidR="00DD73C5" w:rsidRPr="00911F80">
        <w:rPr>
          <w:rFonts w:ascii="Times New Roman" w:eastAsia="Times New Roman" w:hAnsi="Times New Roman" w:cs="Times New Roman"/>
          <w:sz w:val="24"/>
          <w:szCs w:val="24"/>
        </w:rPr>
        <w:t>t of healthy skeletal muscle</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"10.1126/science.1191035", "ISBN" : "1095-9203 (Electronic)\\n0036-8075 (Linking)", "ISSN" : "1095-9203", "PMID" : "20647425", "author" : [ { "dropping-particle" : "", "family" : "Gilbert", "given" : "P M", "non-dropping-particle" : "", "parse-names" : false, "suffix" : "" }, { "dropping-particle" : "", "family" : "Havenstrite", "given" : "K L", "non-dropping-particle" : "", "parse-names" : false, "suffix" : "" }, { "dropping-particle" : "", "family" : "Magnusson", "given" : "K E G", "non-dropping-particle" : "", "parse-names" : false, "suffix" : "" }, { "dropping-particle" : "", "family" : "Sacco", "given" : "A", "non-dropping-particle" : "", "parse-names" : false, "suffix" : "" }, { "dropping-particle" : "", "family" : "Leonardi", "given" : "N A", "non-dropping-particle" : "", "parse-names" : false, "suffix" : "" }, { "dropping-particle" : "", "family" : "Kraft", "given" : "P", "non-dropping-particle" : "", "parse-names" : false, "suffix" : "" }, { "dropping-particle" : "", "family" : "Nguyen", "given" : "N K", "non-dropping-particle" : "", "parse-names" : false, "suffix" : "" }, { "dropping-particle" : "", "family" : "Thrun", "given" : "S", "non-dropping-particle" : "", "parse-names" : false, "suffix" : "" }, { "dropping-particle" : "", "family" : "Lutolf", "given" : "M P", "non-dropping-particle" : "", "parse-names" : false, "suffix" : "" }, { "dropping-particle" : "", "family" : "Blau", "given" : "H M", "non-dropping-particle" : "", "parse-names" : false, "suffix" : "" } ], "container-title" : "Science", "id" : "ITEM-1", "issued" : { "date-parts" : [ [ "2010" ] ] }, "page" : "1078-1081", "title" : "Substrate elasticity regulates skeletal muscle stem cell self-renewal in culture", "type" : "article-journal", "volume" : "329" }, "uris" : [ "http://www.mendeley.com/documents/?uuid=625518c4-427b-4d42-8c47-c987852a355c" ] } ], "mendeley" : { "formattedCitation" : "[25]", "plainTextFormattedCitation" : "[25]", "previouslyFormattedCitation" : "[25]"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[25]</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xml:space="preserve"> (</w:t>
      </w:r>
      <w:r w:rsidRPr="00911F80">
        <w:t>~</w:t>
      </w:r>
      <w:r w:rsidRPr="00911F80">
        <w:rPr>
          <w:rFonts w:ascii="Times New Roman" w:eastAsia="Times New Roman" w:hAnsi="Times New Roman" w:cs="Times New Roman"/>
          <w:sz w:val="24"/>
          <w:szCs w:val="24"/>
        </w:rPr>
        <w:t>12 k</w:t>
      </w:r>
      <w:r w:rsidR="00DD73C5" w:rsidRPr="00911F80">
        <w:rPr>
          <w:rFonts w:ascii="Times New Roman" w:eastAsia="Times New Roman" w:hAnsi="Times New Roman" w:cs="Times New Roman"/>
          <w:sz w:val="24"/>
          <w:szCs w:val="24"/>
        </w:rPr>
        <w:t>Pa), diseased or aged muscle</w:t>
      </w:r>
      <w:r w:rsidR="00DD73C5" w:rsidRPr="00911F80">
        <w:rPr>
          <w:rFonts w:ascii="Times New Roman" w:eastAsia="Times New Roman" w:hAnsi="Times New Roman" w:cs="Times New Roman"/>
          <w:sz w:val="24"/>
          <w:szCs w:val="24"/>
        </w:rPr>
        <w:fldChar w:fldCharType="begin" w:fldLock="1"/>
      </w:r>
      <w:r w:rsidR="00AF0FF0" w:rsidRPr="00911F80">
        <w:rPr>
          <w:rFonts w:ascii="Times New Roman" w:eastAsia="Times New Roman" w:hAnsi="Times New Roman" w:cs="Times New Roman"/>
          <w:sz w:val="24"/>
          <w:szCs w:val="24"/>
        </w:rPr>
        <w:instrText>ADDIN CSL_CITATION { "citationItems" : [ { "id" : "ITEM-1", "itemData" : { "DOI" : "http://dx.doi.org/10.1016/j.diff.2009.08.004", "ISBN" : "0301-4681", "ISSN" : "1432-0436", "PMID" : "19751902", "abstract" : "Satellite cells are skeletal muscle stem cells with a principal role in postnatal skeletal muscle regeneration. Satellite cells, like many tissue-specific adult stem cells, reside in a quiescent state in an instructive, anatomically defined niche. The satellite cell niche constitutes a distinct membrane-enclosed compartment within the muscle fiber, containing a diversity of biochemical and biophysical signals that influence satellite cell function. A major limitation to the study and clinical utility of satellite cells is that upon removal from the muscle fiber and plating in traditional plastic tissue culture platforms, their muscle stem cell properties are rapidly lost. Clearly, the maintenance of stem cell function is critically dependent on in vivo niche signals, highlighting the need to create novel in vitro microenvironments that allow for the maintenance and propagation of satellite cells while retaining their potential to function as muscle stem cells. Here, we discuss how emerging biomaterials technologies offer great promise for engineering in vitro microenvironments to meet these challenges. In engineered biomaterials, signaling molecules can be presented in a manner that more closely mimics cell\u2013cell and cell\u2013matrix interactions, and matrices can be fabricated with diverse rigidities that approximate in vivo tissues. The development of in vitro microenvironments in which niche features can be systematically modulated will be instrumental not only to future insights into muscle stem cell biology and therapeutic approaches to muscle diseases and muscle wasting with aging, but also will provide a paradigm for the analysis of numerous adult tissue-specific stem cells.", "author" : [ { "dropping-particle" : "", "family" : "Cosgrove", "given" : "Benjamin D", "non-dropping-particle" : "", "parse-names" : false, "suffix" : "" }, { "dropping-particle" : "", "family" : "Sacco", "given" : "Alessandra", "non-dropping-particle" : "", "parse-names" : false, "suffix" : "" }, { "dropping-particle" : "", "family" : "Gilbert", "given" : "Penney M", "non-dropping-particle" : "", "parse-names" : false, "suffix" : "" }, { "dropping-particle" : "", "family" : "Blau", "given" : "Helen M", "non-dropping-particle" : "", "parse-names" : false, "suffix" : "" } ], "container-title" : "Differentiation", "id" : "ITEM-1", "issue" : "2", "issued" : { "date-parts" : [ [ "2009" ] ] }, "page" : "185-194", "publisher" : "Elsevier", "title" : "A home away from home: challenges and opportunities in engineering in vitro muscle satellite cell niches", "type" : "article-journal", "volume" : "78" }, "uris" : [ "http://www.mendeley.com/documents/?uuid=2097f404-170b-4ce4-8c24-45c1ea55e004" ] } ], "mendeley" : { "formattedCitation" : "[33]", "plainTextFormattedCitation" : "[33]", "previouslyFormattedCitation" : "[31]"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AF0FF0" w:rsidRPr="00911F80">
        <w:rPr>
          <w:rFonts w:ascii="Times New Roman" w:eastAsia="Times New Roman" w:hAnsi="Times New Roman" w:cs="Times New Roman"/>
          <w:noProof/>
          <w:sz w:val="24"/>
          <w:szCs w:val="24"/>
        </w:rPr>
        <w:t>[33]</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xml:space="preserve"> that present stiffer modulus (</w:t>
      </w:r>
      <w:r w:rsidRPr="00911F80">
        <w:t>&gt;</w:t>
      </w:r>
      <w:r w:rsidRPr="00911F80">
        <w:rPr>
          <w:rFonts w:ascii="Times New Roman" w:eastAsia="Times New Roman" w:hAnsi="Times New Roman" w:cs="Times New Roman"/>
          <w:sz w:val="24"/>
          <w:szCs w:val="24"/>
        </w:rPr>
        <w:t>18 kPa) as well as a lower limit (</w:t>
      </w:r>
      <w:r w:rsidRPr="00911F80">
        <w:t>~</w:t>
      </w:r>
      <w:r w:rsidRPr="00911F80">
        <w:rPr>
          <w:rFonts w:ascii="Times New Roman" w:eastAsia="Times New Roman" w:hAnsi="Times New Roman" w:cs="Times New Roman"/>
          <w:sz w:val="24"/>
          <w:szCs w:val="24"/>
        </w:rPr>
        <w:t>3 kPa) and an upper limit (</w:t>
      </w:r>
      <w:r w:rsidRPr="00911F80">
        <w:t>~</w:t>
      </w:r>
      <w:r w:rsidRPr="00911F80">
        <w:rPr>
          <w:rFonts w:ascii="Times New Roman" w:eastAsia="Times New Roman" w:hAnsi="Times New Roman" w:cs="Times New Roman"/>
          <w:sz w:val="24"/>
          <w:szCs w:val="24"/>
        </w:rPr>
        <w:t>50 kPa).</w:t>
      </w:r>
    </w:p>
    <w:p w14:paraId="2B1160B9" w14:textId="748E44C1"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We found that the spreading and proliferation of C2C12 cells increased with increasing stiffness on elastic and viscoelastic substrates. The impact on spreading is consistent with a previous study on myoblasts cultured on collagen-coated polyacrylamide gels[23]. These results are also generally consistent with past studies suggesting that stiffer gels lead to a higher ability of the cells to generate traction forces and to enter the cell cycle, resulting in increased</w:t>
      </w:r>
      <w:r w:rsidR="00DD73C5" w:rsidRPr="00911F80">
        <w:rPr>
          <w:rFonts w:ascii="Times New Roman" w:eastAsia="Times New Roman" w:hAnsi="Times New Roman" w:cs="Times New Roman"/>
          <w:sz w:val="24"/>
          <w:szCs w:val="24"/>
        </w:rPr>
        <w:t xml:space="preserve"> spreading and proliferation</w:t>
      </w:r>
      <w:r w:rsidR="00DD73C5" w:rsidRPr="00911F80">
        <w:rPr>
          <w:rFonts w:ascii="Times New Roman" w:eastAsia="Times New Roman" w:hAnsi="Times New Roman" w:cs="Times New Roman"/>
          <w:sz w:val="24"/>
          <w:szCs w:val="24"/>
        </w:rPr>
        <w:fldChar w:fldCharType="begin" w:fldLock="1"/>
      </w:r>
      <w:r w:rsidR="00AF0FF0" w:rsidRPr="00911F80">
        <w:rPr>
          <w:rFonts w:ascii="Times New Roman" w:eastAsia="Times New Roman" w:hAnsi="Times New Roman" w:cs="Times New Roman"/>
          <w:sz w:val="24"/>
          <w:szCs w:val="24"/>
        </w:rPr>
        <w:instrText>ADDIN CSL_CITATION { "citationItems" : [ { "id" : "ITEM-1", "itemData" : { "DOI" : "10.1073/pnas.0405873102", "ISBN" : "0027-8424 (Print)\\n0027-8424 (Linking)", "ISSN" : "0027-8424", "PMID" : "15767572", "abstract" : "The mechanical properties of cell adhesion substrates regulate cell phenotype, but the mechanism of this relation is currently unclear. It may involve the magnitude of traction force applied by the cell, and/or the ability of the cells to rearrange the cell adhesion molecules presented from the material. In this study, we describe a FRET technique that can be used to evaluate the mechanics of cell\u2013material interactions at the molecular level and simultaneously quantify the cell-based nanoscale rearrangement of the material itself. We found that these events depended on the mechanical rigidity of the adhesion substrate. Furthermore, both the proliferation and differentiation of preosteoblasts (MC3T3-E1) correlated to the magnitude of force that cells generate to cluster the cell adhesion ligands, but not the extent of ligand clustering. Together, these data demonstrate the utility of FRET in analyzing cell\u2013material interactions, and suggest that regulation of phenotype with substrate stiffness is related to alterations in cellular traction forces.", "author" : [ { "dropping-particle" : "", "family" : "Kong", "given" : "Hyun Joon", "non-dropping-particle" : "", "parse-names" : false, "suffix" : "" }, { "dropping-particle" : "", "family" : "Polte", "given" : "Thomas R", "non-dropping-particle" : "", "parse-names" : false, "suffix" : "" }, { "dropping-particle" : "", "family" : "Alsberg", "given" : "Eben", "non-dropping-particle" : "", "parse-names" : false, "suffix" : "" }, { "dropping-particle" : "", "family" : "Mooney", "given" : "David J", "non-dropping-particle" : "", "parse-names" : false, "suffix" : "" } ], "container-title" : "Proceedings of the National Academy of Sciences", "id" : "ITEM-1", "issue" : "12", "issued" : { "date-parts" : [ [ "2005" ] ] }, "page" : "4300-4305", "title" : "FRET measurements of cell-traction forces and nano-scale clustering of adhesion ligands varied by substrate stiffness", "type" : "article-journal", "volume" : "102" }, "uris" : [ "http://www.mendeley.com/documents/?uuid=abea8f13-5409-4417-a359-795cada53acd" ] } ], "mendeley" : { "formattedCitation" : "[34]", "plainTextFormattedCitation" : "[34]", "previouslyFormattedCitation" : "[32]"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AF0FF0" w:rsidRPr="00911F80">
        <w:rPr>
          <w:rFonts w:ascii="Times New Roman" w:eastAsia="Times New Roman" w:hAnsi="Times New Roman" w:cs="Times New Roman"/>
          <w:noProof/>
          <w:sz w:val="24"/>
          <w:szCs w:val="24"/>
        </w:rPr>
        <w:t>[34]</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vertAlign w:val="superscript"/>
        </w:rPr>
        <w:t>,</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"10.1002/cm.20041", "ISBN" : "0886-1544 (Print)\\r0886-1544 (Linking)", "ISSN" : "08861544", "PMID" : "15573414", "abstract" : "The morphology and cytoskeletal structure of fibroblasts, endothelial cells, and neutrophils are documented for cells cultured on surfaces with stiffness ranging from 2 to 55,000 Pa that have been laminated with fibronectin or collagen as adhesive ligand. When grown in sparse culture with no cell-cell contacts, fibroblasts and endothelial cells show an abrupt change in spread area that occurs at a stiffness range around 3,000 Pa. No actin stress fibers are seen in fibroblasts on soft surfaces, and the appearance of stress fibers is abrupt and complete at a stiffness range coincident with that at which they spread. Upregulation of alpha5 integrin also occurs in the same stiffness range, but exogenous expression of alpha5 integrin is not sufficient to cause cell spreading on soft surfaces. Neutrophils, in contrast, show no dependence of either resting shape or ability to spread after activation when cultured on surfaces as soft as 2 Pa compared to glass. The shape and cytoskeletal differences evident in single cells on soft compared to hard substrates are eliminated when fibroblasts or endothelial cells make cell-cell contact. These results support the hypothesis that mechanical factors impact different cell types in fundamentally different ways, and can trigger specific changes similar to those stimulated by soluble ligands.", "author" : [ { "dropping-particle" : "", "family" : "Yeung", "given" : "Tony", "non-dropping-particle" : "", "parse-names" : false, "suffix" : "" }, { "dropping-particle" : "", "family" : "Georges", "given" : "Penelope C.", "non-dropping-particle" : "", "parse-names" : false, "suffix" : "" }, { "dropping-particle" : "", "family" : "Flanagan", "given" : "Lisa A.", "non-dropping-particle" : "", "parse-names" : false, "suffix" : "" }, { "dropping-particle" : "", "family" : "Marg", "given" : "Beatrice", "non-dropping-particle" : "", "parse-names" : false, "suffix" : "" }, { "dropping-particle" : "", "family" : "Ortiz", "given" : "Miguelina", "non-dropping-particle" : "", "parse-names" : false, "suffix" : "" }, { "dropping-particle" : "", "family" : "Funaki", "given" : "Makoto", "non-dropping-particle" : "", "parse-names" : false, "suffix" : "" }, { "dropping-particle" : "", "family" : "Zahir", "given" : "Nastaran", "non-dropping-particle" : "", "parse-names" : false, "suffix" : "" }, { "dropping-particle" : "", "family" : "Ming", "given" : "Wenyu", "non-dropping-particle" : "", "parse-names" : false, "suffix" : "" }, { "dropping-particle" : "", "family" : "Weaver", "given" : "Valerie", "non-dropping-particle" : "", "parse-names" : false, "suffix" : "" }, { "dropping-particle" : "", "family" : "Janmey", "given" : "Paul A.", "non-dropping-particle" : "", "parse-names" : false, "suffix" : "" } ], "container-title" : "Cell Motility and the Cytoskeleton", "id" : "ITEM-1", "issue" : "1", "issued" : { "date-parts" : [ [ "2005" ] ] }, "page" : "24-34", "title" : "Effects of substrate stiffness on cell morphology, cytoskeletal structure, and adhesion", "type" : "article-journal", "volume" : "60" }, "uris" : [ "http://www.mendeley.com/documents/?uuid=49e2273c-86ef-42c5-b579-34ba02848c86" ] } ], "mendeley" : { "formattedCitation" : "[8]", "plainTextFormattedCitation" : "[8]", "previouslyFormattedCitation" : "[8]"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[8]</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Moreover, myoblasts were generally more elongated when cultured on stress-relaxing substrates compared to elastic substrates. (3.1)</w:t>
      </w:r>
    </w:p>
    <w:p w14:paraId="656BEF85" w14:textId="447B5E4B" w:rsidR="009C61F6"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 xml:space="preserve">Interestingly, stress-relaxation impacted the morphology, spreading </w:t>
      </w:r>
      <w:r w:rsidR="009C61F6" w:rsidRPr="00911F80">
        <w:rPr>
          <w:rFonts w:ascii="Times New Roman" w:eastAsia="Times New Roman" w:hAnsi="Times New Roman" w:cs="Times New Roman"/>
          <w:sz w:val="24"/>
          <w:szCs w:val="24"/>
        </w:rPr>
        <w:t>and proliferation of myoblasts.</w:t>
      </w:r>
      <w:r w:rsidRPr="00911F80">
        <w:rPr>
          <w:rFonts w:ascii="Times New Roman" w:eastAsia="Times New Roman" w:hAnsi="Times New Roman" w:cs="Times New Roman"/>
          <w:sz w:val="24"/>
          <w:szCs w:val="24"/>
        </w:rPr>
        <w:t xml:space="preserve"> Furthermore, myoblast spreading area was greater on stress-relaxing substrates relative to elastic substrates on gels with lower moduli. Proliferation of myoblasts and primary myoblasts cultured on stress-relaxing substrates of varying stiffness was greater than on elastic substrates.  Typically, cell spreading and proliferation are thought to be greatly reduced on softer hydrogels compared to stiffer gels. However, in this study, cell spreading and proliferation on softer stress-relaxing substrates was similar to stiffer elastic substrate. These findings are consistent with a previous study suggesting that rapid stress-relaxation could compensate for m</w:t>
      </w:r>
      <w:r w:rsidR="00DD73C5" w:rsidRPr="00911F80">
        <w:rPr>
          <w:rFonts w:ascii="Times New Roman" w:eastAsia="Times New Roman" w:hAnsi="Times New Roman" w:cs="Times New Roman"/>
          <w:sz w:val="24"/>
          <w:szCs w:val="24"/>
        </w:rPr>
        <w:t>atrices with lower stiffness</w:t>
      </w:r>
      <w:r w:rsidR="00DD73C5" w:rsidRPr="00911F80">
        <w:rPr>
          <w:rFonts w:ascii="Times New Roman" w:eastAsia="Times New Roman" w:hAnsi="Times New Roman" w:cs="Times New Roman"/>
          <w:sz w:val="24"/>
          <w:szCs w:val="24"/>
        </w:rPr>
        <w:fldChar w:fldCharType="begin" w:fldLock="1"/>
      </w:r>
      <w:r w:rsidR="00DD73C5" w:rsidRPr="00911F80">
        <w:rPr>
          <w:rFonts w:ascii="Times New Roman" w:eastAsia="Times New Roman" w:hAnsi="Times New Roman" w:cs="Times New Roman"/>
          <w:sz w:val="24"/>
          <w:szCs w:val="24"/>
        </w:rPr>
        <w:instrText>ADDIN CSL_CITATION { "citationItems" : [ { "id" : "ITEM-1", "itemData" : { "DOI" : "10.1038/ncomms7365", "ISSN" : "2041-1723", "author" : [ { "dropping-particle" : "", "family" : "Chaudhuri", "given" : "Ovijit", "non-dropping-particle" : "", "parse-names" : false, "suffix" : "" }, { "dropping-particle" : "", "family" : "Gu", "given" : "Luo", "non-dropping-particle" : "", "parse-names" : false, "suffix" : "" }, { "dropping-particle" : "", "family" : "Darnell", "given" : "Max", "non-dropping-particle" : "", "parse-names" : false, "suffix" : "" }, { "dropping-particle" : "", "family" : "Klumpers", "given" : "Darinka", "non-dropping-particle" : "", "parse-names" : false, "suffix" : "" }, { "dropping-particle" : "", "family" : "Bencherif", "given" : "Sidi A.", "non-dropping-particle" : "", "parse-names" : false, "suffix" : "" }, { "dropping-particle" : "", "family" : "Weaver", "given" : "James C.", "non-dropping-particle" : "", "parse-names" : false, "suffix" : "" }, { "dropping-particle" : "", "family" : "Huebsch", "given" : "Nathaniel", "non-dropping-particle" : "", "parse-names" : false, "suffix" : "" }, { "dropping-particle" : "", "family" : "Mooney", "given" : "David J.", "non-dropping-particle" : "", "parse-names" : false, "suffix" : "" } ], "container-title" : "Nature Communications", "id" : "ITEM-1", "issued" : { "date-parts" : [ [ "2015" ] ] }, "page" : "6364", "publisher" : "Nature Publishing Group", "title" : "Substrate stress relaxation regulates cell spreading", "type" : "article-journal", "volume" : "6" }, "uris" : [ "http://www.mendeley.com/documents/?uuid=82552e09-6a98-4156-8dab-12ad709c0de1" ] } ], "mendeley" : { "formattedCitation" : "[19]", "plainTextFormattedCitation" : "[19]", "previouslyFormattedCitation" : "[19]"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DD73C5" w:rsidRPr="00911F80">
        <w:rPr>
          <w:rFonts w:ascii="Times New Roman" w:eastAsia="Times New Roman" w:hAnsi="Times New Roman" w:cs="Times New Roman"/>
          <w:noProof/>
          <w:sz w:val="24"/>
          <w:szCs w:val="24"/>
        </w:rPr>
        <w:t>[19]</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This study suggested β1 integrin, actin polymerization and actomyosin-based contractility as a mechanistic basis for this event. Additionally, increased translocation of the YAP transcriptional regulator, a mechanosens</w:t>
      </w:r>
      <w:r w:rsidR="00DD73C5" w:rsidRPr="00911F80">
        <w:rPr>
          <w:rFonts w:ascii="Times New Roman" w:eastAsia="Times New Roman" w:hAnsi="Times New Roman" w:cs="Times New Roman"/>
          <w:sz w:val="24"/>
          <w:szCs w:val="24"/>
        </w:rPr>
        <w:t>or for cells on 2D substrates</w:t>
      </w:r>
      <w:r w:rsidR="00DD73C5" w:rsidRPr="00911F80">
        <w:rPr>
          <w:rFonts w:ascii="Times New Roman" w:eastAsia="Times New Roman" w:hAnsi="Times New Roman" w:cs="Times New Roman"/>
          <w:sz w:val="24"/>
          <w:szCs w:val="24"/>
        </w:rPr>
        <w:fldChar w:fldCharType="begin" w:fldLock="1"/>
      </w:r>
      <w:r w:rsidR="00AF0FF0" w:rsidRPr="00911F80">
        <w:rPr>
          <w:rFonts w:ascii="Times New Roman" w:eastAsia="Times New Roman" w:hAnsi="Times New Roman" w:cs="Times New Roman"/>
          <w:sz w:val="24"/>
          <w:szCs w:val="24"/>
        </w:rPr>
        <w:instrText>ADDIN CSL_CITATION { "citationItems" : [ { "id" : "ITEM-1", "itemData" : { "DOI" : "10.1038/nature10137", "ISSN" : "0028-0836", "author" : [ { "dropping-particle" : "", "family" : "Dupont", "given" : "Sirio", "non-dropping-particle" : "", "parse-names" : false, "suffix" : "" }, { "dropping-particle" : "", "family" : "Morsut", "given" : "Leonardo", "non-dropping-particle" : "", "parse-names" : false, "suffix" : "" }, { "dropping-particle" : "", "family" : "Aragona", "given" : "Mariaceleste", "non-dropping-particle" : "", "parse-names" : false, "suffix" : "" }, { "dropping-particle" : "", "family" : "Enzo", "given" : "Elena", "non-dropping-particle" : "", "parse-names" : false, "suffix" : "" }, { "dropping-particle" : "", "family" : "Giulitti", "given" : "Stefano", "non-dropping-particle" : "", "parse-names" : false, "suffix" : "" }, { "dropping-particle" : "", "family" : "Cordenonsi", "given" : "Michelangelo", "non-dropping-particle" : "", "parse-names" : false, "suffix" : "" }, { "dropping-particle" : "", "family" : "Zanconato", "given" : "Francesca", "non-dropping-particle" : "", "parse-names" : false, "suffix" : "" }, { "dropping-particle" : "Le", "family" : "Digabel", "given" : "Jimmy", "non-dropping-particle" : "", "parse-names" : false, "suffix" : "" }, { "dropping-particle" : "", "family" : "Forcato", "given" : "Mattia", "non-dropping-particle" : "", "parse-names" : false, "suffix" : "" }, { "dropping-particle" : "", "family" : "Bicciato", "given" : "Silvio", "non-dropping-particle" : "", "parse-names" : false, "suffix" : "" }, { "dropping-particle" : "", "family" : "Elvassore", "given" : "Nicola", "non-dropping-particle" : "", "parse-names" : false, "suffix" : "" }, { "dropping-particle" : "", "family" : "Piccolo", "given" : "Stefano", "non-dropping-particle" : "", "parse-names" : false, "suffix" : "" } ], "container-title" : "Nature", "id" : "ITEM-1", "issued" : { "date-parts" : [ [ "2011" ] ] }, "page" : "179-183", "publisher" : "Nature Publishing Group", "title" : "Role of YAP / TAZ in mechanotransduction", "type" : "article-journal", "volume" : "474" }, "uris" : [ "http://www.mendeley.com/documents/?uuid=f90f05a8-b21e-4b1a-8d2c-36f64bd199f9" ] } ], "mendeley" : { "formattedCitation" : "[35]", "plainTextFormattedCitation" : "[35]", "previouslyFormattedCitation" : "[33]"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AF0FF0" w:rsidRPr="00911F80">
        <w:rPr>
          <w:rFonts w:ascii="Times New Roman" w:eastAsia="Times New Roman" w:hAnsi="Times New Roman" w:cs="Times New Roman"/>
          <w:noProof/>
          <w:sz w:val="24"/>
          <w:szCs w:val="24"/>
        </w:rPr>
        <w:t>[35]</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xml:space="preserve"> was reported with stress-relaxing substrates. These findings suggest that the effect of stress-relaxation might be moderated in part through some similar, not necessarily overlapping, pathways as stiffness. However, further experiments are required to investigate this. Add smthg about LINC components</w:t>
      </w:r>
    </w:p>
    <w:p w14:paraId="7F9B22D4" w14:textId="54B9692F" w:rsidR="00E009C4" w:rsidRPr="00911F80" w:rsidRDefault="00E009C4"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Add smthg about sr-rates -&gt; not a significant difference</w:t>
      </w:r>
    </w:p>
    <w:p w14:paraId="3F6AEFD7" w14:textId="7053D78A"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 xml:space="preserve">The myogenic purity of the freshly isolated primary cells was confirmed by analyzing two well-known myogenic markers (M-Cadherin and Syndecan-4) with FACS (Fig. 5) and was </w:t>
      </w:r>
      <w:r w:rsidRPr="00911F80">
        <w:rPr>
          <w:rFonts w:ascii="Times New Roman" w:eastAsia="Times New Roman" w:hAnsi="Times New Roman" w:cs="Times New Roman"/>
          <w:sz w:val="24"/>
          <w:szCs w:val="24"/>
        </w:rPr>
        <w:lastRenderedPageBreak/>
        <w:t>c</w:t>
      </w:r>
      <w:r w:rsidR="00DD73C5" w:rsidRPr="00911F80">
        <w:rPr>
          <w:rFonts w:ascii="Times New Roman" w:eastAsia="Times New Roman" w:hAnsi="Times New Roman" w:cs="Times New Roman"/>
          <w:sz w:val="24"/>
          <w:szCs w:val="24"/>
        </w:rPr>
        <w:t>onsistent with previous work</w:t>
      </w:r>
      <w:r w:rsidR="00DD73C5" w:rsidRPr="00911F80">
        <w:rPr>
          <w:rFonts w:ascii="Times New Roman" w:eastAsia="Times New Roman" w:hAnsi="Times New Roman" w:cs="Times New Roman"/>
          <w:sz w:val="24"/>
          <w:szCs w:val="24"/>
        </w:rPr>
        <w:fldChar w:fldCharType="begin" w:fldLock="1"/>
      </w:r>
      <w:r w:rsidR="00AF0FF0" w:rsidRPr="00911F80">
        <w:rPr>
          <w:rFonts w:ascii="Times New Roman" w:eastAsia="Times New Roman" w:hAnsi="Times New Roman" w:cs="Times New Roman"/>
          <w:sz w:val="24"/>
          <w:szCs w:val="24"/>
        </w:rPr>
        <w:instrText>ADDIN CSL_CITATION { "citationItems" : [ { "id" : "ITEM-1", "itemData" : { "author" : [ { "dropping-particle" : "", "family" : "Cezar", "given" : "Christine A.", "non-dropping-particle" : "", "parse-names" : false, "suffix" : "" } ], "id" : "ITEM-1", "issued" : { "date-parts" : [ [ "2015" ] ] }, "publisher" : "Doctoral Dissertation, Harvard University", "title" : "Magnetically responsive biomaterials for enhanced skeletal muscle regeneration", "type" : "thesis" }, "uris" : [ "http://www.mendeley.com/documents/?uuid=a2447836-9ac0-4a19-9a11-fd4393dbf194" ] } ], "mendeley" : { "formattedCitation" : "[36]", "plainTextFormattedCitation" : "[36]", "previouslyFormattedCitation" : "[34]"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AF0FF0" w:rsidRPr="00911F80">
        <w:rPr>
          <w:rFonts w:ascii="Times New Roman" w:eastAsia="Times New Roman" w:hAnsi="Times New Roman" w:cs="Times New Roman"/>
          <w:noProof/>
          <w:sz w:val="24"/>
          <w:szCs w:val="24"/>
        </w:rPr>
        <w:t>[36]</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 xml:space="preserve">. Two different methods were used to analyze the proliferation of myoblasts and primary myoblasts. </w:t>
      </w:r>
      <w:commentRangeStart w:id="10"/>
      <w:r w:rsidRPr="00911F80">
        <w:rPr>
          <w:rFonts w:ascii="Times New Roman" w:eastAsia="Times New Roman" w:hAnsi="Times New Roman" w:cs="Times New Roman"/>
          <w:sz w:val="24"/>
          <w:szCs w:val="24"/>
        </w:rPr>
        <w:t xml:space="preserve">Due to the </w:t>
      </w:r>
      <w:r w:rsidR="00880BCC" w:rsidRPr="00911F80">
        <w:rPr>
          <w:rFonts w:ascii="Times New Roman" w:eastAsia="Times New Roman" w:hAnsi="Times New Roman" w:cs="Times New Roman"/>
          <w:sz w:val="24"/>
          <w:szCs w:val="24"/>
        </w:rPr>
        <w:t xml:space="preserve">weak </w:t>
      </w:r>
      <w:r w:rsidRPr="00911F80">
        <w:rPr>
          <w:rFonts w:ascii="Times New Roman" w:eastAsia="Times New Roman" w:hAnsi="Times New Roman" w:cs="Times New Roman"/>
          <w:sz w:val="24"/>
          <w:szCs w:val="24"/>
        </w:rPr>
        <w:t xml:space="preserve">adherence of primary </w:t>
      </w:r>
      <w:r w:rsidR="00880BCC" w:rsidRPr="00911F80">
        <w:rPr>
          <w:rFonts w:ascii="Times New Roman" w:eastAsia="Times New Roman" w:hAnsi="Times New Roman" w:cs="Times New Roman"/>
          <w:sz w:val="24"/>
          <w:szCs w:val="24"/>
        </w:rPr>
        <w:t>myoblasts on culture substrates</w:t>
      </w:r>
      <w:r w:rsidRPr="00911F80">
        <w:rPr>
          <w:rFonts w:ascii="Times New Roman" w:eastAsia="Times New Roman" w:hAnsi="Times New Roman" w:cs="Times New Roman"/>
          <w:sz w:val="24"/>
          <w:szCs w:val="24"/>
        </w:rPr>
        <w:t>, the thymidine analog EdU was not used with th</w:t>
      </w:r>
      <w:r w:rsidR="00880BCC" w:rsidRPr="00911F80">
        <w:rPr>
          <w:rFonts w:ascii="Times New Roman" w:eastAsia="Times New Roman" w:hAnsi="Times New Roman" w:cs="Times New Roman"/>
          <w:sz w:val="24"/>
          <w:szCs w:val="24"/>
        </w:rPr>
        <w:t>ese</w:t>
      </w:r>
      <w:r w:rsidRPr="00911F80">
        <w:rPr>
          <w:rFonts w:ascii="Times New Roman" w:eastAsia="Times New Roman" w:hAnsi="Times New Roman" w:cs="Times New Roman"/>
          <w:sz w:val="24"/>
          <w:szCs w:val="24"/>
        </w:rPr>
        <w:t xml:space="preserve"> cells since the process of fixing and staining </w:t>
      </w:r>
      <w:r w:rsidR="00880BCC" w:rsidRPr="00911F80">
        <w:rPr>
          <w:rFonts w:ascii="Times New Roman" w:eastAsia="Times New Roman" w:hAnsi="Times New Roman" w:cs="Times New Roman"/>
          <w:sz w:val="24"/>
          <w:szCs w:val="24"/>
        </w:rPr>
        <w:t>could remove the cells</w:t>
      </w:r>
      <w:r w:rsidRPr="00911F80">
        <w:rPr>
          <w:rFonts w:ascii="Times New Roman" w:eastAsia="Times New Roman" w:hAnsi="Times New Roman" w:cs="Times New Roman"/>
          <w:sz w:val="24"/>
          <w:szCs w:val="24"/>
        </w:rPr>
        <w:t xml:space="preserve">. </w:t>
      </w:r>
      <w:r w:rsidR="00880BCC" w:rsidRPr="00911F80">
        <w:rPr>
          <w:rFonts w:ascii="Times New Roman" w:eastAsia="Times New Roman" w:hAnsi="Times New Roman" w:cs="Times New Roman"/>
          <w:sz w:val="24"/>
          <w:szCs w:val="24"/>
        </w:rPr>
        <w:t>Therefore, a</w:t>
      </w:r>
      <w:r w:rsidRPr="00911F80">
        <w:rPr>
          <w:rFonts w:ascii="Times New Roman" w:eastAsia="Times New Roman" w:hAnsi="Times New Roman" w:cs="Times New Roman"/>
          <w:sz w:val="24"/>
          <w:szCs w:val="24"/>
        </w:rPr>
        <w:t xml:space="preserve"> membrane dye (CFSE) enabling FACS analysis that incorporates into living cells and dilutes upon every division was preferred here. </w:t>
      </w:r>
      <w:commentRangeEnd w:id="10"/>
      <w:r w:rsidR="00E009C4" w:rsidRPr="00911F80">
        <w:rPr>
          <w:rStyle w:val="CommentReference"/>
        </w:rPr>
        <w:commentReference w:id="10"/>
      </w:r>
      <w:r w:rsidRPr="00911F80">
        <w:rPr>
          <w:rFonts w:ascii="Times New Roman" w:eastAsia="Times New Roman" w:hAnsi="Times New Roman" w:cs="Times New Roman"/>
          <w:sz w:val="24"/>
          <w:szCs w:val="24"/>
        </w:rPr>
        <w:t xml:space="preserve"> While we expanded the primary myoblasts for 6 days on collagen coated tissue-culture plastic dishes prior to plating them on the hydrogel substrates, one may observe a more dramatic effect by plating them on the hydrogel substrates di</w:t>
      </w:r>
      <w:r w:rsidR="00DD73C5" w:rsidRPr="00911F80">
        <w:rPr>
          <w:rFonts w:ascii="Times New Roman" w:eastAsia="Times New Roman" w:hAnsi="Times New Roman" w:cs="Times New Roman"/>
          <w:sz w:val="24"/>
          <w:szCs w:val="24"/>
        </w:rPr>
        <w:t>rectly after their isolation</w:t>
      </w:r>
      <w:r w:rsidR="00DD73C5" w:rsidRPr="00911F80">
        <w:rPr>
          <w:rFonts w:ascii="Times New Roman" w:eastAsia="Times New Roman" w:hAnsi="Times New Roman" w:cs="Times New Roman"/>
          <w:sz w:val="24"/>
          <w:szCs w:val="24"/>
        </w:rPr>
        <w:fldChar w:fldCharType="begin" w:fldLock="1"/>
      </w:r>
      <w:r w:rsidR="00AF0FF0" w:rsidRPr="00911F80">
        <w:rPr>
          <w:rFonts w:ascii="Times New Roman" w:eastAsia="Times New Roman" w:hAnsi="Times New Roman" w:cs="Times New Roman"/>
          <w:sz w:val="24"/>
          <w:szCs w:val="24"/>
        </w:rPr>
        <w:instrText>ADDIN CSL_CITATION { "citationItems" : [ { "id" : "ITEM-1", "itemData" : { "DOI" : "10.1038/NMAT3889", "author" : [ { "dropping-particle" : "", "family" : "Yang", "given" : "Chun", "non-dropping-particle" : "", "parse-names" : false, "suffix" : "" }, { "dropping-particle" : "", "family" : "Tibbitt", "given" : "Mark W", "non-dropping-particle" : "", "parse-names" : false, "suffix" : "" }, { "dropping-particle" : "", "family" : "Basta", "given" : "Lena", "non-dropping-particle" : "", "parse-names" : false, "suffix" : "" }, { "dropping-particle" : "", "family" : "Anseth", "given" : "Kristi S", "non-dropping-particle" : "", "parse-names" : false, "suffix" : "" } ], "container-title" : "Nature Materials", "id" : "ITEM-1", "issue" : "6", "issued" : { "date-parts" : [ [ "2014" ] ] }, "page" : "645-652", "title" : "Mechanical memory and dosing influence stem cell fate", "type" : "article-journal", "volume" : "13" }, "uris" : [ "http://www.mendeley.com/documents/?uuid=74d8fd45-467e-4039-b13e-7c30f1f890ea" ] } ], "mendeley" : { "formattedCitation" : "[37]", "plainTextFormattedCitation" : "[37]", "previouslyFormattedCitation" : "[35]" }, "properties" : { "noteIndex" : 0 }, "schema" : "https://github.com/citation-style-language/schema/raw/master/csl-citation.json" }</w:instrText>
      </w:r>
      <w:r w:rsidR="00DD73C5" w:rsidRPr="00911F80">
        <w:rPr>
          <w:rFonts w:ascii="Times New Roman" w:eastAsia="Times New Roman" w:hAnsi="Times New Roman" w:cs="Times New Roman"/>
          <w:sz w:val="24"/>
          <w:szCs w:val="24"/>
        </w:rPr>
        <w:fldChar w:fldCharType="separate"/>
      </w:r>
      <w:r w:rsidR="00AF0FF0" w:rsidRPr="00911F80">
        <w:rPr>
          <w:rFonts w:ascii="Times New Roman" w:eastAsia="Times New Roman" w:hAnsi="Times New Roman" w:cs="Times New Roman"/>
          <w:noProof/>
          <w:sz w:val="24"/>
          <w:szCs w:val="24"/>
        </w:rPr>
        <w:t>[37]</w:t>
      </w:r>
      <w:r w:rsidR="00DD73C5" w:rsidRPr="00911F80">
        <w:rPr>
          <w:rFonts w:ascii="Times New Roman" w:eastAsia="Times New Roman" w:hAnsi="Times New Roman" w:cs="Times New Roman"/>
          <w:sz w:val="24"/>
          <w:szCs w:val="24"/>
        </w:rPr>
        <w:fldChar w:fldCharType="end"/>
      </w:r>
      <w:r w:rsidRPr="00911F80">
        <w:rPr>
          <w:rFonts w:ascii="Times New Roman" w:eastAsia="Times New Roman" w:hAnsi="Times New Roman" w:cs="Times New Roman"/>
          <w:sz w:val="24"/>
          <w:szCs w:val="24"/>
        </w:rPr>
        <w:t>.</w:t>
      </w:r>
    </w:p>
    <w:p w14:paraId="3FB6E43E" w14:textId="5409D97C" w:rsidR="00866964"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In summary, this study demonstrates that morphology, spreading area and proliferation of myoblasts is impacted by both the stiffness and stress relaxation behavior of the substrates to which they adhere. These findings highlight the potential importance of substrate stress-relaxation in designing materials for regenerative medicine and tissue engineering applications.</w:t>
      </w:r>
    </w:p>
    <w:p w14:paraId="36E127B8" w14:textId="77777777" w:rsidR="00C8280F" w:rsidRPr="00911F80" w:rsidRDefault="002A54E1" w:rsidP="002618AE">
      <w:pPr>
        <w:pStyle w:val="TitleParagraphArticle"/>
      </w:pPr>
      <w:r w:rsidRPr="00911F80">
        <w:t>Acknowledgments</w:t>
      </w:r>
    </w:p>
    <w:p w14:paraId="76BD985B" w14:textId="77777777" w:rsidR="00C8280F" w:rsidRPr="00911F80" w:rsidRDefault="002A54E1" w:rsidP="001576BA">
      <w:pPr>
        <w:spacing w:after="240" w:line="283" w:lineRule="auto"/>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This work was supported by the NIH (R01 DE013349) and the European Commission (A.D.C.) under FP7 IOF project Stem Cell Hydrogels (agreement no. 629320). The authors want to thank Michael Lewandowski for helping with GPC characterization, Christine Cezar teaching us satellite cell isolation as well as Tom Ferrante for his help with the confocal microscopy.</w:t>
      </w:r>
    </w:p>
    <w:p w14:paraId="628AC515" w14:textId="77777777" w:rsidR="00C8280F" w:rsidRPr="00911F80" w:rsidRDefault="002A54E1" w:rsidP="002618AE">
      <w:pPr>
        <w:pStyle w:val="TitleParagraphArticle"/>
      </w:pPr>
      <w:r w:rsidRPr="00911F80">
        <w:t>References</w:t>
      </w:r>
    </w:p>
    <w:p w14:paraId="20E46632" w14:textId="738EC532" w:rsidR="00AF0FF0" w:rsidRPr="00911F80" w:rsidRDefault="00240A23"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eastAsia="Times New Roman" w:hAnsi="Times New Roman" w:cs="Times New Roman"/>
          <w:sz w:val="24"/>
          <w:szCs w:val="24"/>
        </w:rPr>
        <w:fldChar w:fldCharType="begin" w:fldLock="1"/>
      </w:r>
      <w:r w:rsidRPr="00911F80">
        <w:rPr>
          <w:rFonts w:ascii="Times New Roman" w:eastAsia="Times New Roman" w:hAnsi="Times New Roman" w:cs="Times New Roman"/>
          <w:sz w:val="24"/>
          <w:szCs w:val="24"/>
        </w:rPr>
        <w:instrText xml:space="preserve">ADDIN Mendeley Bibliography CSL_BIBLIOGRAPHY </w:instrText>
      </w:r>
      <w:r w:rsidRPr="00911F80">
        <w:rPr>
          <w:rFonts w:ascii="Times New Roman" w:eastAsia="Times New Roman" w:hAnsi="Times New Roman" w:cs="Times New Roman"/>
          <w:sz w:val="24"/>
          <w:szCs w:val="24"/>
        </w:rPr>
        <w:fldChar w:fldCharType="separate"/>
      </w:r>
      <w:r w:rsidR="00AF0FF0" w:rsidRPr="00911F80">
        <w:rPr>
          <w:rFonts w:ascii="Times New Roman" w:hAnsi="Times New Roman" w:cs="Times New Roman"/>
          <w:noProof/>
          <w:sz w:val="24"/>
          <w:szCs w:val="24"/>
        </w:rPr>
        <w:t>[1]</w:t>
      </w:r>
      <w:r w:rsidR="00AF0FF0" w:rsidRPr="00911F80">
        <w:rPr>
          <w:rFonts w:ascii="Times New Roman" w:hAnsi="Times New Roman" w:cs="Times New Roman"/>
          <w:noProof/>
          <w:sz w:val="24"/>
          <w:szCs w:val="24"/>
        </w:rPr>
        <w:tab/>
        <w:t xml:space="preserve">K. Y. Lee and D. J. Mooney, “Hydrogels for Tissue Engineering,” </w:t>
      </w:r>
      <w:r w:rsidR="00AF0FF0" w:rsidRPr="00911F80">
        <w:rPr>
          <w:rFonts w:ascii="Times New Roman" w:hAnsi="Times New Roman" w:cs="Times New Roman"/>
          <w:i/>
          <w:iCs/>
          <w:noProof/>
          <w:sz w:val="24"/>
          <w:szCs w:val="24"/>
        </w:rPr>
        <w:t>Chem. Rev.</w:t>
      </w:r>
      <w:r w:rsidR="00AF0FF0" w:rsidRPr="00911F80">
        <w:rPr>
          <w:rFonts w:ascii="Times New Roman" w:hAnsi="Times New Roman" w:cs="Times New Roman"/>
          <w:noProof/>
          <w:sz w:val="24"/>
          <w:szCs w:val="24"/>
        </w:rPr>
        <w:t>, vol. 101, no. 7, pp. 1869–1879, 2001.</w:t>
      </w:r>
    </w:p>
    <w:p w14:paraId="7531481B"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[2]</w:t>
      </w:r>
      <w:r w:rsidRPr="00911F80">
        <w:rPr>
          <w:rFonts w:ascii="Times New Roman" w:hAnsi="Times New Roman" w:cs="Times New Roman"/>
          <w:noProof/>
          <w:sz w:val="24"/>
          <w:szCs w:val="24"/>
        </w:rPr>
        <w:tab/>
        <w:t xml:space="preserve">M. P. Lutolf and J. A. Hubbell, “Synthetic biomaterials as instructive extracellular microenvironments for morphogenesis in tissue engineering,” </w:t>
      </w:r>
      <w:r w:rsidRPr="00911F80">
        <w:rPr>
          <w:rFonts w:ascii="Times New Roman" w:hAnsi="Times New Roman" w:cs="Times New Roman"/>
          <w:i/>
          <w:iCs/>
          <w:noProof/>
          <w:sz w:val="24"/>
          <w:szCs w:val="24"/>
        </w:rPr>
        <w:t>Nat. Biotechnol.</w:t>
      </w:r>
      <w:r w:rsidRPr="00911F80">
        <w:rPr>
          <w:rFonts w:ascii="Times New Roman" w:hAnsi="Times New Roman" w:cs="Times New Roman"/>
          <w:noProof/>
          <w:sz w:val="24"/>
          <w:szCs w:val="24"/>
        </w:rPr>
        <w:t>, vol. 23, no. 1, pp. 47–55, 2005.</w:t>
      </w:r>
    </w:p>
    <w:p w14:paraId="7EA819A2"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[3]</w:t>
      </w:r>
      <w:r w:rsidRPr="00911F80">
        <w:rPr>
          <w:rFonts w:ascii="Times New Roman" w:hAnsi="Times New Roman" w:cs="Times New Roman"/>
          <w:noProof/>
          <w:sz w:val="24"/>
          <w:szCs w:val="24"/>
        </w:rPr>
        <w:tab/>
        <w:t xml:space="preserve">W. L. Murphy, T. C. McDevitt, and A. J. Engler, “Materials as stem cell regulators,” </w:t>
      </w:r>
      <w:r w:rsidRPr="00911F80">
        <w:rPr>
          <w:rFonts w:ascii="Times New Roman" w:hAnsi="Times New Roman" w:cs="Times New Roman"/>
          <w:i/>
          <w:iCs/>
          <w:noProof/>
          <w:sz w:val="24"/>
          <w:szCs w:val="24"/>
        </w:rPr>
        <w:t>Nat. Mater.</w:t>
      </w:r>
      <w:r w:rsidRPr="00911F80">
        <w:rPr>
          <w:rFonts w:ascii="Times New Roman" w:hAnsi="Times New Roman" w:cs="Times New Roman"/>
          <w:noProof/>
          <w:sz w:val="24"/>
          <w:szCs w:val="24"/>
        </w:rPr>
        <w:t>, vol. 13, no. 6, pp. 547–557, 2014.</w:t>
      </w:r>
    </w:p>
    <w:p w14:paraId="11EC565D"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[4]</w:t>
      </w:r>
      <w:r w:rsidRPr="00911F80">
        <w:rPr>
          <w:rFonts w:ascii="Times New Roman" w:hAnsi="Times New Roman" w:cs="Times New Roman"/>
          <w:noProof/>
          <w:sz w:val="24"/>
          <w:szCs w:val="24"/>
        </w:rPr>
        <w:tab/>
        <w:t xml:space="preserve">J. L. Drury and D. J. Mooney, “Hydrogels for tissue engineering: Scaffold design variables and applications,” </w:t>
      </w:r>
      <w:r w:rsidRPr="00911F80">
        <w:rPr>
          <w:rFonts w:ascii="Times New Roman" w:hAnsi="Times New Roman" w:cs="Times New Roman"/>
          <w:i/>
          <w:iCs/>
          <w:noProof/>
          <w:sz w:val="24"/>
          <w:szCs w:val="24"/>
        </w:rPr>
        <w:t>Biomaterials</w:t>
      </w:r>
      <w:r w:rsidRPr="00911F80">
        <w:rPr>
          <w:rFonts w:ascii="Times New Roman" w:hAnsi="Times New Roman" w:cs="Times New Roman"/>
          <w:noProof/>
          <w:sz w:val="24"/>
          <w:szCs w:val="24"/>
        </w:rPr>
        <w:t>, vol. 24, no. 24, pp. 4337–4351, 2003.</w:t>
      </w:r>
    </w:p>
    <w:p w14:paraId="32B9E0AA"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[5]</w:t>
      </w:r>
      <w:r w:rsidRPr="00911F80">
        <w:rPr>
          <w:rFonts w:ascii="Times New Roman" w:hAnsi="Times New Roman" w:cs="Times New Roman"/>
          <w:noProof/>
          <w:sz w:val="24"/>
          <w:szCs w:val="24"/>
        </w:rPr>
        <w:tab/>
        <w:t xml:space="preserve">J. A. Rowley and D. J. Mooney, “Alginate type and RGD density control myoblast phenotype,” </w:t>
      </w:r>
      <w:r w:rsidRPr="00911F80">
        <w:rPr>
          <w:rFonts w:ascii="Times New Roman" w:hAnsi="Times New Roman" w:cs="Times New Roman"/>
          <w:i/>
          <w:iCs/>
          <w:noProof/>
          <w:sz w:val="24"/>
          <w:szCs w:val="24"/>
        </w:rPr>
        <w:t>J. Biomed. Mater. Res.</w:t>
      </w:r>
      <w:r w:rsidRPr="00911F80">
        <w:rPr>
          <w:rFonts w:ascii="Times New Roman" w:hAnsi="Times New Roman" w:cs="Times New Roman"/>
          <w:noProof/>
          <w:sz w:val="24"/>
          <w:szCs w:val="24"/>
        </w:rPr>
        <w:t>, vol. 60, no. 2, pp. 217–223, 2002.</w:t>
      </w:r>
    </w:p>
    <w:p w14:paraId="1FEC9A0C"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[6]</w:t>
      </w:r>
      <w:r w:rsidRPr="00911F80">
        <w:rPr>
          <w:rFonts w:ascii="Times New Roman" w:hAnsi="Times New Roman" w:cs="Times New Roman"/>
          <w:noProof/>
          <w:sz w:val="24"/>
          <w:szCs w:val="24"/>
        </w:rPr>
        <w:tab/>
        <w:t xml:space="preserve">M. Dadsetan, T. E. Hefferan, J. P. Szatkowski, P. K. Mishra, S. I. Macura, L. Lu, and M. J. Yaszemski, “Effect of Hydrogel Porosity on Marrow Stromal Cell Phenotypic Expression,” </w:t>
      </w:r>
      <w:r w:rsidRPr="00911F80">
        <w:rPr>
          <w:rFonts w:ascii="Times New Roman" w:hAnsi="Times New Roman" w:cs="Times New Roman"/>
          <w:i/>
          <w:iCs/>
          <w:noProof/>
          <w:sz w:val="24"/>
          <w:szCs w:val="24"/>
        </w:rPr>
        <w:t>Biomaterials</w:t>
      </w:r>
      <w:r w:rsidRPr="00911F80">
        <w:rPr>
          <w:rFonts w:ascii="Times New Roman" w:hAnsi="Times New Roman" w:cs="Times New Roman"/>
          <w:noProof/>
          <w:sz w:val="24"/>
          <w:szCs w:val="24"/>
        </w:rPr>
        <w:t>, vol. 29, no. 14, pp. 2193–2202, 2008.</w:t>
      </w:r>
    </w:p>
    <w:p w14:paraId="52DE925A"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[7]</w:t>
      </w:r>
      <w:r w:rsidRPr="00911F80">
        <w:rPr>
          <w:rFonts w:ascii="Times New Roman" w:hAnsi="Times New Roman" w:cs="Times New Roman"/>
          <w:noProof/>
          <w:sz w:val="24"/>
          <w:szCs w:val="24"/>
        </w:rPr>
        <w:tab/>
        <w:t xml:space="preserve">G. Kumar, C. K. Tison, K. Chatterjee, P. S. Pine, J. H. Mcdaniel, M. L. Salit, M. F. Young, and C. G. Simon Jr, “The Determination of Stem Cell Fate by 3D Scaffold Structures through the Control of Cell Shape,” </w:t>
      </w:r>
      <w:r w:rsidRPr="00911F80">
        <w:rPr>
          <w:rFonts w:ascii="Times New Roman" w:hAnsi="Times New Roman" w:cs="Times New Roman"/>
          <w:i/>
          <w:iCs/>
          <w:noProof/>
          <w:sz w:val="24"/>
          <w:szCs w:val="24"/>
        </w:rPr>
        <w:t>Biomaterials</w:t>
      </w:r>
      <w:r w:rsidRPr="00911F80">
        <w:rPr>
          <w:rFonts w:ascii="Times New Roman" w:hAnsi="Times New Roman" w:cs="Times New Roman"/>
          <w:noProof/>
          <w:sz w:val="24"/>
          <w:szCs w:val="24"/>
        </w:rPr>
        <w:t>, vol. 32, no. 35, pp. 9188–9196, 2011.</w:t>
      </w:r>
    </w:p>
    <w:p w14:paraId="3FA17849"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[8]</w:t>
      </w:r>
      <w:r w:rsidRPr="00911F80">
        <w:rPr>
          <w:rFonts w:ascii="Times New Roman" w:hAnsi="Times New Roman" w:cs="Times New Roman"/>
          <w:noProof/>
          <w:sz w:val="24"/>
          <w:szCs w:val="24"/>
        </w:rPr>
        <w:tab/>
        <w:t xml:space="preserve">T. Yeung, P. C. Georges, L. A. Flanagan, B. Marg, M. Ortiz, M. Funaki, N. Zahir, W. Ming, V. Weaver, and P. A. Janmey, “Effects of substrate stiffness on cell morphology, cytoskeletal structure, and adhesion,” </w:t>
      </w:r>
      <w:r w:rsidRPr="00911F80">
        <w:rPr>
          <w:rFonts w:ascii="Times New Roman" w:hAnsi="Times New Roman" w:cs="Times New Roman"/>
          <w:i/>
          <w:iCs/>
          <w:noProof/>
          <w:sz w:val="24"/>
          <w:szCs w:val="24"/>
        </w:rPr>
        <w:t>Cell Motil. Cytoskeleton</w:t>
      </w:r>
      <w:r w:rsidRPr="00911F80">
        <w:rPr>
          <w:rFonts w:ascii="Times New Roman" w:hAnsi="Times New Roman" w:cs="Times New Roman"/>
          <w:noProof/>
          <w:sz w:val="24"/>
          <w:szCs w:val="24"/>
        </w:rPr>
        <w:t>, vol. 60, no. 1, pp. 24–34, 2005.</w:t>
      </w:r>
    </w:p>
    <w:p w14:paraId="30907072"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[9]</w:t>
      </w:r>
      <w:r w:rsidRPr="00911F80">
        <w:rPr>
          <w:rFonts w:ascii="Times New Roman" w:hAnsi="Times New Roman" w:cs="Times New Roman"/>
          <w:noProof/>
          <w:sz w:val="24"/>
          <w:szCs w:val="24"/>
        </w:rPr>
        <w:tab/>
        <w:t xml:space="preserve">D. M. Knapp, V. H. Barocas, A. G. Moon, K. Yoo, L. R. Petzold, and R. T. Tranquillo, “Rheology of reconstituted type I collagen gel in confined compression,” </w:t>
      </w:r>
      <w:r w:rsidRPr="00911F80">
        <w:rPr>
          <w:rFonts w:ascii="Times New Roman" w:hAnsi="Times New Roman" w:cs="Times New Roman"/>
          <w:i/>
          <w:iCs/>
          <w:noProof/>
          <w:sz w:val="24"/>
          <w:szCs w:val="24"/>
        </w:rPr>
        <w:t>J. Rheol. (N. Y. N. Y).</w:t>
      </w:r>
      <w:r w:rsidRPr="00911F80">
        <w:rPr>
          <w:rFonts w:ascii="Times New Roman" w:hAnsi="Times New Roman" w:cs="Times New Roman"/>
          <w:noProof/>
          <w:sz w:val="24"/>
          <w:szCs w:val="24"/>
        </w:rPr>
        <w:t>, vol. 41, no. 5, p. 971, 1997.</w:t>
      </w:r>
    </w:p>
    <w:p w14:paraId="30369CC8"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[10]</w:t>
      </w:r>
      <w:r w:rsidRPr="00911F80">
        <w:rPr>
          <w:rFonts w:ascii="Times New Roman" w:hAnsi="Times New Roman" w:cs="Times New Roman"/>
          <w:noProof/>
          <w:sz w:val="24"/>
          <w:szCs w:val="24"/>
        </w:rPr>
        <w:tab/>
        <w:t xml:space="preserve">K. Hoyt, T. Kneezel, B. Castaneda, and K. J. Parker, “Quantitative sonoelastography for the in vivo assessment of skeletal muscle viscoelasticity,” </w:t>
      </w:r>
      <w:r w:rsidRPr="00911F80">
        <w:rPr>
          <w:rFonts w:ascii="Times New Roman" w:hAnsi="Times New Roman" w:cs="Times New Roman"/>
          <w:i/>
          <w:iCs/>
          <w:noProof/>
          <w:sz w:val="24"/>
          <w:szCs w:val="24"/>
        </w:rPr>
        <w:t>Phys Med Biol.</w:t>
      </w:r>
      <w:r w:rsidRPr="00911F80">
        <w:rPr>
          <w:rFonts w:ascii="Times New Roman" w:hAnsi="Times New Roman" w:cs="Times New Roman"/>
          <w:noProof/>
          <w:sz w:val="24"/>
          <w:szCs w:val="24"/>
        </w:rPr>
        <w:t>, vol. 53, no. 15, pp. 4063–4080, 2008.</w:t>
      </w:r>
    </w:p>
    <w:p w14:paraId="3A29768E"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lastRenderedPageBreak/>
        <w:t>[11]</w:t>
      </w:r>
      <w:r w:rsidRPr="00911F80">
        <w:rPr>
          <w:rFonts w:ascii="Times New Roman" w:hAnsi="Times New Roman" w:cs="Times New Roman"/>
          <w:noProof/>
          <w:sz w:val="24"/>
          <w:szCs w:val="24"/>
        </w:rPr>
        <w:tab/>
        <w:t xml:space="preserve">I. Levental, P. C. Georges, and P. A. Janmey, “Soft biological materials and their impact on cell function,” </w:t>
      </w:r>
      <w:r w:rsidRPr="00911F80">
        <w:rPr>
          <w:rFonts w:ascii="Times New Roman" w:hAnsi="Times New Roman" w:cs="Times New Roman"/>
          <w:i/>
          <w:iCs/>
          <w:noProof/>
          <w:sz w:val="24"/>
          <w:szCs w:val="24"/>
        </w:rPr>
        <w:t>Soft Matter</w:t>
      </w:r>
      <w:r w:rsidRPr="00911F80">
        <w:rPr>
          <w:rFonts w:ascii="Times New Roman" w:hAnsi="Times New Roman" w:cs="Times New Roman"/>
          <w:noProof/>
          <w:sz w:val="24"/>
          <w:szCs w:val="24"/>
        </w:rPr>
        <w:t>, vol. 3, no. 3, pp. 299–306, 2007.</w:t>
      </w:r>
    </w:p>
    <w:p w14:paraId="63B5ED84"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[12]</w:t>
      </w:r>
      <w:r w:rsidRPr="00911F80">
        <w:rPr>
          <w:rFonts w:ascii="Times New Roman" w:hAnsi="Times New Roman" w:cs="Times New Roman"/>
          <w:noProof/>
          <w:sz w:val="24"/>
          <w:szCs w:val="24"/>
        </w:rPr>
        <w:tab/>
        <w:t xml:space="preserve">M. Geerligs, G. W. M. Peters, P. A. J. Ackermans, C. W. J. Oomens, and F. P. T. Baaijens, “Linear viscoelastic behavior of subcutaneous adipose tissue,” </w:t>
      </w:r>
      <w:r w:rsidRPr="00911F80">
        <w:rPr>
          <w:rFonts w:ascii="Times New Roman" w:hAnsi="Times New Roman" w:cs="Times New Roman"/>
          <w:i/>
          <w:iCs/>
          <w:noProof/>
          <w:sz w:val="24"/>
          <w:szCs w:val="24"/>
        </w:rPr>
        <w:t>Biorheology</w:t>
      </w:r>
      <w:r w:rsidRPr="00911F80">
        <w:rPr>
          <w:rFonts w:ascii="Times New Roman" w:hAnsi="Times New Roman" w:cs="Times New Roman"/>
          <w:noProof/>
          <w:sz w:val="24"/>
          <w:szCs w:val="24"/>
        </w:rPr>
        <w:t>, vol. 45, no. 6, pp. 677–688, 2008.</w:t>
      </w:r>
    </w:p>
    <w:p w14:paraId="5565C92D"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[13]</w:t>
      </w:r>
      <w:r w:rsidRPr="00911F80">
        <w:rPr>
          <w:rFonts w:ascii="Times New Roman" w:hAnsi="Times New Roman" w:cs="Times New Roman"/>
          <w:noProof/>
          <w:sz w:val="24"/>
          <w:szCs w:val="24"/>
        </w:rPr>
        <w:tab/>
        <w:t xml:space="preserve">M. Ahearne, “Introduction to cell – hydrogel mechanosensing,” </w:t>
      </w:r>
      <w:r w:rsidRPr="00911F80">
        <w:rPr>
          <w:rFonts w:ascii="Times New Roman" w:hAnsi="Times New Roman" w:cs="Times New Roman"/>
          <w:i/>
          <w:iCs/>
          <w:noProof/>
          <w:sz w:val="24"/>
          <w:szCs w:val="24"/>
        </w:rPr>
        <w:t>Interface Focus</w:t>
      </w:r>
      <w:r w:rsidRPr="00911F80">
        <w:rPr>
          <w:rFonts w:ascii="Times New Roman" w:hAnsi="Times New Roman" w:cs="Times New Roman"/>
          <w:noProof/>
          <w:sz w:val="24"/>
          <w:szCs w:val="24"/>
        </w:rPr>
        <w:t>, vol. 4, no. 2, pp. 1–12, 2014.</w:t>
      </w:r>
    </w:p>
    <w:p w14:paraId="3CE3B696"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[14]</w:t>
      </w:r>
      <w:r w:rsidRPr="00911F80">
        <w:rPr>
          <w:rFonts w:ascii="Times New Roman" w:hAnsi="Times New Roman" w:cs="Times New Roman"/>
          <w:noProof/>
          <w:sz w:val="24"/>
          <w:szCs w:val="24"/>
        </w:rPr>
        <w:tab/>
        <w:t xml:space="preserve">C. C. DuFort, M. J. Paszek, and V. M. Weaver, “Balancing forces: architectural control of mechanotransduction,” </w:t>
      </w:r>
      <w:r w:rsidRPr="00911F80">
        <w:rPr>
          <w:rFonts w:ascii="Times New Roman" w:hAnsi="Times New Roman" w:cs="Times New Roman"/>
          <w:i/>
          <w:iCs/>
          <w:noProof/>
          <w:sz w:val="24"/>
          <w:szCs w:val="24"/>
        </w:rPr>
        <w:t>Nat. Rev. Mol. Cell Biol.</w:t>
      </w:r>
      <w:r w:rsidRPr="00911F80">
        <w:rPr>
          <w:rFonts w:ascii="Times New Roman" w:hAnsi="Times New Roman" w:cs="Times New Roman"/>
          <w:noProof/>
          <w:sz w:val="24"/>
          <w:szCs w:val="24"/>
        </w:rPr>
        <w:t>, vol. 12, no. 5, pp. 308–319, 2011.</w:t>
      </w:r>
    </w:p>
    <w:p w14:paraId="06E08046"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[15]</w:t>
      </w:r>
      <w:r w:rsidRPr="00911F80">
        <w:rPr>
          <w:rFonts w:ascii="Times New Roman" w:hAnsi="Times New Roman" w:cs="Times New Roman"/>
          <w:noProof/>
          <w:sz w:val="24"/>
          <w:szCs w:val="24"/>
        </w:rPr>
        <w:tab/>
        <w:t xml:space="preserve">J. H. Wen, L. G. Vincent, A. Fuhrmann, Y. S. Choi, K. C. Hribar, H. Taylor-Weiner, S. Chen, and A. J. Engler, “Interplay of matrix stiffness and protein tethering in stem cell differentiation,” </w:t>
      </w:r>
      <w:r w:rsidRPr="00911F80">
        <w:rPr>
          <w:rFonts w:ascii="Times New Roman" w:hAnsi="Times New Roman" w:cs="Times New Roman"/>
          <w:i/>
          <w:iCs/>
          <w:noProof/>
          <w:sz w:val="24"/>
          <w:szCs w:val="24"/>
        </w:rPr>
        <w:t>Nat. Mater.</w:t>
      </w:r>
      <w:r w:rsidRPr="00911F80">
        <w:rPr>
          <w:rFonts w:ascii="Times New Roman" w:hAnsi="Times New Roman" w:cs="Times New Roman"/>
          <w:noProof/>
          <w:sz w:val="24"/>
          <w:szCs w:val="24"/>
        </w:rPr>
        <w:t>, vol. 13, no. 10, pp. 979–987, 2014.</w:t>
      </w:r>
    </w:p>
    <w:p w14:paraId="6DA5A07E"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[16]</w:t>
      </w:r>
      <w:r w:rsidRPr="00911F80">
        <w:rPr>
          <w:rFonts w:ascii="Times New Roman" w:hAnsi="Times New Roman" w:cs="Times New Roman"/>
          <w:noProof/>
          <w:sz w:val="24"/>
          <w:szCs w:val="24"/>
        </w:rPr>
        <w:tab/>
        <w:t xml:space="preserve">N. D. Leipzig and M. S. Shoichet, “The effect of substrate stiffness on adult neural stem cell behavior,” </w:t>
      </w:r>
      <w:r w:rsidRPr="00911F80">
        <w:rPr>
          <w:rFonts w:ascii="Times New Roman" w:hAnsi="Times New Roman" w:cs="Times New Roman"/>
          <w:i/>
          <w:iCs/>
          <w:noProof/>
          <w:sz w:val="24"/>
          <w:szCs w:val="24"/>
        </w:rPr>
        <w:t>Biomaterials</w:t>
      </w:r>
      <w:r w:rsidRPr="00911F80">
        <w:rPr>
          <w:rFonts w:ascii="Times New Roman" w:hAnsi="Times New Roman" w:cs="Times New Roman"/>
          <w:noProof/>
          <w:sz w:val="24"/>
          <w:szCs w:val="24"/>
        </w:rPr>
        <w:t>, vol. 30, no. 36, pp. 6867–6878, 2009.</w:t>
      </w:r>
    </w:p>
    <w:p w14:paraId="060B0248"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[17]</w:t>
      </w:r>
      <w:r w:rsidRPr="00911F80">
        <w:rPr>
          <w:rFonts w:ascii="Times New Roman" w:hAnsi="Times New Roman" w:cs="Times New Roman"/>
          <w:noProof/>
          <w:sz w:val="24"/>
          <w:szCs w:val="24"/>
        </w:rPr>
        <w:tab/>
        <w:t xml:space="preserve">A. J. Engler, S. Sen, H. L. Sweeney, and D. E. Discher, “Matrix elasticity directs stem cell lineage specification,” </w:t>
      </w:r>
      <w:r w:rsidRPr="00911F80">
        <w:rPr>
          <w:rFonts w:ascii="Times New Roman" w:hAnsi="Times New Roman" w:cs="Times New Roman"/>
          <w:i/>
          <w:iCs/>
          <w:noProof/>
          <w:sz w:val="24"/>
          <w:szCs w:val="24"/>
        </w:rPr>
        <w:t>Cell</w:t>
      </w:r>
      <w:r w:rsidRPr="00911F80">
        <w:rPr>
          <w:rFonts w:ascii="Times New Roman" w:hAnsi="Times New Roman" w:cs="Times New Roman"/>
          <w:noProof/>
          <w:sz w:val="24"/>
          <w:szCs w:val="24"/>
        </w:rPr>
        <w:t>, vol. 126, no. 4, pp. 677–689, 2006.</w:t>
      </w:r>
    </w:p>
    <w:p w14:paraId="6F63250C"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[18]</w:t>
      </w:r>
      <w:r w:rsidRPr="00911F80">
        <w:rPr>
          <w:rFonts w:ascii="Times New Roman" w:hAnsi="Times New Roman" w:cs="Times New Roman"/>
          <w:noProof/>
          <w:sz w:val="24"/>
          <w:szCs w:val="24"/>
        </w:rPr>
        <w:tab/>
        <w:t xml:space="preserve">X. Zhao, N. Huebsch, D. J. Mooney, and Z. Suo, “Stress-relaxation behavior in gels with ionic and covalent crosslinks,” </w:t>
      </w:r>
      <w:r w:rsidRPr="00911F80">
        <w:rPr>
          <w:rFonts w:ascii="Times New Roman" w:hAnsi="Times New Roman" w:cs="Times New Roman"/>
          <w:i/>
          <w:iCs/>
          <w:noProof/>
          <w:sz w:val="24"/>
          <w:szCs w:val="24"/>
        </w:rPr>
        <w:t>J. Appl. Phys.</w:t>
      </w:r>
      <w:r w:rsidRPr="00911F80">
        <w:rPr>
          <w:rFonts w:ascii="Times New Roman" w:hAnsi="Times New Roman" w:cs="Times New Roman"/>
          <w:noProof/>
          <w:sz w:val="24"/>
          <w:szCs w:val="24"/>
        </w:rPr>
        <w:t>, vol. 107, no. 6, pp. 1–5, 2010.</w:t>
      </w:r>
    </w:p>
    <w:p w14:paraId="49913399"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[19]</w:t>
      </w:r>
      <w:r w:rsidRPr="00911F80">
        <w:rPr>
          <w:rFonts w:ascii="Times New Roman" w:hAnsi="Times New Roman" w:cs="Times New Roman"/>
          <w:noProof/>
          <w:sz w:val="24"/>
          <w:szCs w:val="24"/>
        </w:rPr>
        <w:tab/>
        <w:t xml:space="preserve">O. Chaudhuri, L. Gu, M. Darnell, D. Klumpers, S. A. Bencherif, J. C. Weaver, N. Huebsch, and D. J. Mooney, “Substrate stress relaxation regulates cell spreading,” </w:t>
      </w:r>
      <w:r w:rsidRPr="00911F80">
        <w:rPr>
          <w:rFonts w:ascii="Times New Roman" w:hAnsi="Times New Roman" w:cs="Times New Roman"/>
          <w:i/>
          <w:iCs/>
          <w:noProof/>
          <w:sz w:val="24"/>
          <w:szCs w:val="24"/>
        </w:rPr>
        <w:t>Nat. Commun.</w:t>
      </w:r>
      <w:r w:rsidRPr="00911F80">
        <w:rPr>
          <w:rFonts w:ascii="Times New Roman" w:hAnsi="Times New Roman" w:cs="Times New Roman"/>
          <w:noProof/>
          <w:sz w:val="24"/>
          <w:szCs w:val="24"/>
        </w:rPr>
        <w:t>, vol. 6, p. 6364, 2015.</w:t>
      </w:r>
    </w:p>
    <w:p w14:paraId="62754055"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[20]</w:t>
      </w:r>
      <w:r w:rsidRPr="00911F80">
        <w:rPr>
          <w:rFonts w:ascii="Times New Roman" w:hAnsi="Times New Roman" w:cs="Times New Roman"/>
          <w:noProof/>
          <w:sz w:val="24"/>
          <w:szCs w:val="24"/>
        </w:rPr>
        <w:tab/>
        <w:t xml:space="preserve">A. R. Cameron, J. E. Frith, and J. J. Cooper-white, “The influence of substrate creep on mesenchymal stem cell behaviour and phenotype,” </w:t>
      </w:r>
      <w:r w:rsidRPr="00911F80">
        <w:rPr>
          <w:rFonts w:ascii="Times New Roman" w:hAnsi="Times New Roman" w:cs="Times New Roman"/>
          <w:i/>
          <w:iCs/>
          <w:noProof/>
          <w:sz w:val="24"/>
          <w:szCs w:val="24"/>
        </w:rPr>
        <w:t>Biomaterials</w:t>
      </w:r>
      <w:r w:rsidRPr="00911F80">
        <w:rPr>
          <w:rFonts w:ascii="Times New Roman" w:hAnsi="Times New Roman" w:cs="Times New Roman"/>
          <w:noProof/>
          <w:sz w:val="24"/>
          <w:szCs w:val="24"/>
        </w:rPr>
        <w:t>, vol. 32, no. 26, pp. 5979–5993, 2011.</w:t>
      </w:r>
    </w:p>
    <w:p w14:paraId="4731EF38"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[21]</w:t>
      </w:r>
      <w:r w:rsidRPr="00911F80">
        <w:rPr>
          <w:rFonts w:ascii="Times New Roman" w:hAnsi="Times New Roman" w:cs="Times New Roman"/>
          <w:noProof/>
          <w:sz w:val="24"/>
          <w:szCs w:val="24"/>
        </w:rPr>
        <w:tab/>
        <w:t xml:space="preserve">O. Chaudhuri, L. Gu, D. Klumpers, M. Darnell, S. A. Bencherif, J. C. Weaver, N. Huebsch, H. Lee, E. Lippens, G. N. Duda, and D. J. Mooney, “Hydrogels with tunable stress relaxation regulate stem cell fate and activity,” </w:t>
      </w:r>
      <w:r w:rsidRPr="00911F80">
        <w:rPr>
          <w:rFonts w:ascii="Times New Roman" w:hAnsi="Times New Roman" w:cs="Times New Roman"/>
          <w:i/>
          <w:iCs/>
          <w:noProof/>
          <w:sz w:val="24"/>
          <w:szCs w:val="24"/>
        </w:rPr>
        <w:t>Nat. Mater.</w:t>
      </w:r>
      <w:r w:rsidRPr="00911F80">
        <w:rPr>
          <w:rFonts w:ascii="Times New Roman" w:hAnsi="Times New Roman" w:cs="Times New Roman"/>
          <w:noProof/>
          <w:sz w:val="24"/>
          <w:szCs w:val="24"/>
        </w:rPr>
        <w:t>, vol. 14, no. 3, pp. 1–25, 2015.</w:t>
      </w:r>
    </w:p>
    <w:p w14:paraId="61B31839"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[22]</w:t>
      </w:r>
      <w:r w:rsidRPr="00911F80">
        <w:rPr>
          <w:rFonts w:ascii="Times New Roman" w:hAnsi="Times New Roman" w:cs="Times New Roman"/>
          <w:noProof/>
          <w:sz w:val="24"/>
          <w:szCs w:val="24"/>
        </w:rPr>
        <w:tab/>
        <w:t xml:space="preserve">A. R. Cameron, J. E. Frith, G. A. Gomez, A. S. Yap, and J. J. Cooper-White, “The effect of time-dependent deformation of viscoelastic hydrogels on myogenic induction and Rac1 activity in mesenchymal stem cells,” </w:t>
      </w:r>
      <w:r w:rsidRPr="00911F80">
        <w:rPr>
          <w:rFonts w:ascii="Times New Roman" w:hAnsi="Times New Roman" w:cs="Times New Roman"/>
          <w:i/>
          <w:iCs/>
          <w:noProof/>
          <w:sz w:val="24"/>
          <w:szCs w:val="24"/>
        </w:rPr>
        <w:t>Biomaterials</w:t>
      </w:r>
      <w:r w:rsidRPr="00911F80">
        <w:rPr>
          <w:rFonts w:ascii="Times New Roman" w:hAnsi="Times New Roman" w:cs="Times New Roman"/>
          <w:noProof/>
          <w:sz w:val="24"/>
          <w:szCs w:val="24"/>
        </w:rPr>
        <w:t>, vol. 35, pp. 1857–1868, 2014.</w:t>
      </w:r>
    </w:p>
    <w:p w14:paraId="2EB53D97"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[23]</w:t>
      </w:r>
      <w:r w:rsidRPr="00911F80">
        <w:rPr>
          <w:rFonts w:ascii="Times New Roman" w:hAnsi="Times New Roman" w:cs="Times New Roman"/>
          <w:noProof/>
          <w:sz w:val="24"/>
          <w:szCs w:val="24"/>
        </w:rPr>
        <w:tab/>
        <w:t xml:space="preserve">A. J. Engler, M. A. Griffin, S. Sen, C. G. Bönnemann, H. L. Sweeney, and D. E. Discher, “Myotubes differentiate optimally on substrates with tissue-like stiffness: Pathological implications for soft or stiff microenvironments,” </w:t>
      </w:r>
      <w:r w:rsidRPr="00911F80">
        <w:rPr>
          <w:rFonts w:ascii="Times New Roman" w:hAnsi="Times New Roman" w:cs="Times New Roman"/>
          <w:i/>
          <w:iCs/>
          <w:noProof/>
          <w:sz w:val="24"/>
          <w:szCs w:val="24"/>
        </w:rPr>
        <w:t>J. Cell Biol.</w:t>
      </w:r>
      <w:r w:rsidRPr="00911F80">
        <w:rPr>
          <w:rFonts w:ascii="Times New Roman" w:hAnsi="Times New Roman" w:cs="Times New Roman"/>
          <w:noProof/>
          <w:sz w:val="24"/>
          <w:szCs w:val="24"/>
        </w:rPr>
        <w:t>, vol. 166, no. 6, pp. 877–887, 2004.</w:t>
      </w:r>
    </w:p>
    <w:p w14:paraId="7A089F7F"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[24]</w:t>
      </w:r>
      <w:r w:rsidRPr="00911F80">
        <w:rPr>
          <w:rFonts w:ascii="Times New Roman" w:hAnsi="Times New Roman" w:cs="Times New Roman"/>
          <w:noProof/>
          <w:sz w:val="24"/>
          <w:szCs w:val="24"/>
        </w:rPr>
        <w:tab/>
        <w:t xml:space="preserve">T. Boontheekul, E. E. Hill, H.-J. Kong, and D. J. Mooney, “Regulating myoblast phenotype through controlled gel stiffness and degradation.,” </w:t>
      </w:r>
      <w:r w:rsidRPr="00911F80">
        <w:rPr>
          <w:rFonts w:ascii="Times New Roman" w:hAnsi="Times New Roman" w:cs="Times New Roman"/>
          <w:i/>
          <w:iCs/>
          <w:noProof/>
          <w:sz w:val="24"/>
          <w:szCs w:val="24"/>
        </w:rPr>
        <w:t>Tissue Eng.</w:t>
      </w:r>
      <w:r w:rsidRPr="00911F80">
        <w:rPr>
          <w:rFonts w:ascii="Times New Roman" w:hAnsi="Times New Roman" w:cs="Times New Roman"/>
          <w:noProof/>
          <w:sz w:val="24"/>
          <w:szCs w:val="24"/>
        </w:rPr>
        <w:t>, vol. 13, no. 7, pp. 1431–1442, 2007.</w:t>
      </w:r>
    </w:p>
    <w:p w14:paraId="37DBBC94"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[25]</w:t>
      </w:r>
      <w:r w:rsidRPr="00911F80">
        <w:rPr>
          <w:rFonts w:ascii="Times New Roman" w:hAnsi="Times New Roman" w:cs="Times New Roman"/>
          <w:noProof/>
          <w:sz w:val="24"/>
          <w:szCs w:val="24"/>
        </w:rPr>
        <w:tab/>
        <w:t xml:space="preserve">P. M. Gilbert, K. L. Havenstrite, K. E. G. Magnusson, A. Sacco, N. A. Leonardi, P. Kraft, N. K. Nguyen, S. Thrun, M. P. Lutolf, and H. M. Blau, “Substrate elasticity regulates skeletal muscle stem cell self-renewal in culture,” </w:t>
      </w:r>
      <w:r w:rsidRPr="00911F80">
        <w:rPr>
          <w:rFonts w:ascii="Times New Roman" w:hAnsi="Times New Roman" w:cs="Times New Roman"/>
          <w:i/>
          <w:iCs/>
          <w:noProof/>
          <w:sz w:val="24"/>
          <w:szCs w:val="24"/>
        </w:rPr>
        <w:t>Science (80-. ).</w:t>
      </w:r>
      <w:r w:rsidRPr="00911F80">
        <w:rPr>
          <w:rFonts w:ascii="Times New Roman" w:hAnsi="Times New Roman" w:cs="Times New Roman"/>
          <w:noProof/>
          <w:sz w:val="24"/>
          <w:szCs w:val="24"/>
        </w:rPr>
        <w:t>, vol. 329, pp. 1078–1081, 2010.</w:t>
      </w:r>
    </w:p>
    <w:p w14:paraId="03DE53E9"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[26]</w:t>
      </w:r>
      <w:r w:rsidRPr="00911F80">
        <w:rPr>
          <w:rFonts w:ascii="Times New Roman" w:hAnsi="Times New Roman" w:cs="Times New Roman"/>
          <w:noProof/>
          <w:sz w:val="24"/>
          <w:szCs w:val="24"/>
        </w:rPr>
        <w:tab/>
        <w:t xml:space="preserve">J. A. Rowley, G. Madlambayan, and D. J. Mooney, “Alginate hydrogels as synthetic extracellular matrix materials,” </w:t>
      </w:r>
      <w:r w:rsidRPr="00911F80">
        <w:rPr>
          <w:rFonts w:ascii="Times New Roman" w:hAnsi="Times New Roman" w:cs="Times New Roman"/>
          <w:i/>
          <w:iCs/>
          <w:noProof/>
          <w:sz w:val="24"/>
          <w:szCs w:val="24"/>
        </w:rPr>
        <w:t>Biomaterials</w:t>
      </w:r>
      <w:r w:rsidRPr="00911F80">
        <w:rPr>
          <w:rFonts w:ascii="Times New Roman" w:hAnsi="Times New Roman" w:cs="Times New Roman"/>
          <w:noProof/>
          <w:sz w:val="24"/>
          <w:szCs w:val="24"/>
        </w:rPr>
        <w:t>, vol. 20, no. 1, pp. 45–53, 1999.</w:t>
      </w:r>
    </w:p>
    <w:p w14:paraId="0345B278"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[27]</w:t>
      </w:r>
      <w:r w:rsidRPr="00911F80">
        <w:rPr>
          <w:rFonts w:ascii="Times New Roman" w:hAnsi="Times New Roman" w:cs="Times New Roman"/>
          <w:noProof/>
          <w:sz w:val="24"/>
          <w:szCs w:val="24"/>
        </w:rPr>
        <w:tab/>
        <w:t xml:space="preserve">D. E. Discher, P. Janmey, and Y. Wang, “Tissue Cells Feel and Respond to the Stiffness of Their Substrate,” </w:t>
      </w:r>
      <w:r w:rsidRPr="00911F80">
        <w:rPr>
          <w:rFonts w:ascii="Times New Roman" w:hAnsi="Times New Roman" w:cs="Times New Roman"/>
          <w:i/>
          <w:iCs/>
          <w:noProof/>
          <w:sz w:val="24"/>
          <w:szCs w:val="24"/>
        </w:rPr>
        <w:t>Science (80-. ).</w:t>
      </w:r>
      <w:r w:rsidRPr="00911F80">
        <w:rPr>
          <w:rFonts w:ascii="Times New Roman" w:hAnsi="Times New Roman" w:cs="Times New Roman"/>
          <w:noProof/>
          <w:sz w:val="24"/>
          <w:szCs w:val="24"/>
        </w:rPr>
        <w:t>, vol. 1139–1143, no. 2005, p. 1139, 2013.</w:t>
      </w:r>
    </w:p>
    <w:p w14:paraId="23DC4823"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[28]</w:t>
      </w:r>
      <w:r w:rsidRPr="00911F80">
        <w:rPr>
          <w:rFonts w:ascii="Times New Roman" w:hAnsi="Times New Roman" w:cs="Times New Roman"/>
          <w:noProof/>
          <w:sz w:val="24"/>
          <w:szCs w:val="24"/>
        </w:rPr>
        <w:tab/>
        <w:t xml:space="preserve">W. R. Legant, J. S. Miller, B. L. Blakely, D. M. Cohen, M. Guy, and C. S. Chen, </w:t>
      </w:r>
      <w:r w:rsidRPr="00911F80">
        <w:rPr>
          <w:rFonts w:ascii="Times New Roman" w:hAnsi="Times New Roman" w:cs="Times New Roman"/>
          <w:noProof/>
          <w:sz w:val="24"/>
          <w:szCs w:val="24"/>
        </w:rPr>
        <w:lastRenderedPageBreak/>
        <w:t xml:space="preserve">“Measurement of mechanical tractions exerted by cells within three-dimensional matrices,” </w:t>
      </w:r>
      <w:r w:rsidRPr="00911F80">
        <w:rPr>
          <w:rFonts w:ascii="Times New Roman" w:hAnsi="Times New Roman" w:cs="Times New Roman"/>
          <w:i/>
          <w:iCs/>
          <w:noProof/>
          <w:sz w:val="24"/>
          <w:szCs w:val="24"/>
        </w:rPr>
        <w:t>Nat. Methods</w:t>
      </w:r>
      <w:r w:rsidRPr="00911F80">
        <w:rPr>
          <w:rFonts w:ascii="Times New Roman" w:hAnsi="Times New Roman" w:cs="Times New Roman"/>
          <w:noProof/>
          <w:sz w:val="24"/>
          <w:szCs w:val="24"/>
        </w:rPr>
        <w:t>, vol. 7, no. 12, pp. 969–971, 2011.</w:t>
      </w:r>
    </w:p>
    <w:p w14:paraId="54C83671"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[29]</w:t>
      </w:r>
      <w:r w:rsidRPr="00911F80">
        <w:rPr>
          <w:rFonts w:ascii="Times New Roman" w:hAnsi="Times New Roman" w:cs="Times New Roman"/>
          <w:noProof/>
          <w:sz w:val="24"/>
          <w:szCs w:val="24"/>
        </w:rPr>
        <w:tab/>
        <w:t xml:space="preserve">K. A. Kafadar, L. Yi, Y. Ahmad, L. So, F. Rossi, and G. K. Pavlath, “Sca-1 expression is required for efficient remodeling of the extracellular matrix during skeletal muscle regeneration,” </w:t>
      </w:r>
      <w:r w:rsidRPr="00911F80">
        <w:rPr>
          <w:rFonts w:ascii="Times New Roman" w:hAnsi="Times New Roman" w:cs="Times New Roman"/>
          <w:i/>
          <w:iCs/>
          <w:noProof/>
          <w:sz w:val="24"/>
          <w:szCs w:val="24"/>
        </w:rPr>
        <w:t>Dev. Biol.</w:t>
      </w:r>
      <w:r w:rsidRPr="00911F80">
        <w:rPr>
          <w:rFonts w:ascii="Times New Roman" w:hAnsi="Times New Roman" w:cs="Times New Roman"/>
          <w:noProof/>
          <w:sz w:val="24"/>
          <w:szCs w:val="24"/>
        </w:rPr>
        <w:t>, vol. 326, no. 1, pp. 47–59, 2009.</w:t>
      </w:r>
    </w:p>
    <w:p w14:paraId="1FDD61B9"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[30]</w:t>
      </w:r>
      <w:r w:rsidRPr="00911F80">
        <w:rPr>
          <w:rFonts w:ascii="Times New Roman" w:hAnsi="Times New Roman" w:cs="Times New Roman"/>
          <w:noProof/>
          <w:sz w:val="24"/>
          <w:szCs w:val="24"/>
        </w:rPr>
        <w:tab/>
        <w:t xml:space="preserve">A. H. Corbett, P. A. Silver, M. Mol, B. Rev, D. Gorlich, U. Kutay, A. Rev, C. Dev, I. M. Conboy, M. J. Conboy, G. M. Smythe, and T. A. Rando, “Notch-Mediated Restoration of Regenerative Potential to Aged Muscle,” </w:t>
      </w:r>
      <w:r w:rsidRPr="00911F80">
        <w:rPr>
          <w:rFonts w:ascii="Times New Roman" w:hAnsi="Times New Roman" w:cs="Times New Roman"/>
          <w:i/>
          <w:iCs/>
          <w:noProof/>
          <w:sz w:val="24"/>
          <w:szCs w:val="24"/>
        </w:rPr>
        <w:t>Science (80-. ).</w:t>
      </w:r>
      <w:r w:rsidRPr="00911F80">
        <w:rPr>
          <w:rFonts w:ascii="Times New Roman" w:hAnsi="Times New Roman" w:cs="Times New Roman"/>
          <w:noProof/>
          <w:sz w:val="24"/>
          <w:szCs w:val="24"/>
        </w:rPr>
        <w:t>, vol. 302, no. 11, pp. 1575–1577, 2003.</w:t>
      </w:r>
    </w:p>
    <w:p w14:paraId="0AFAB36D"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[31]</w:t>
      </w:r>
      <w:r w:rsidRPr="00911F80">
        <w:rPr>
          <w:rFonts w:ascii="Times New Roman" w:hAnsi="Times New Roman" w:cs="Times New Roman"/>
          <w:noProof/>
          <w:sz w:val="24"/>
          <w:szCs w:val="24"/>
        </w:rPr>
        <w:tab/>
        <w:t xml:space="preserve">K. K. Tanaka, J. K. Hall, A. A. Troy, D. D. W. Cornelison, S. M. Majka, and B. B. Olwin, “Syndecan-4-Expressing Muscle Progenitor Cells in the SP Engraft as Satellite Cells during Muscle Regeneration,” </w:t>
      </w:r>
      <w:r w:rsidRPr="00911F80">
        <w:rPr>
          <w:rFonts w:ascii="Times New Roman" w:hAnsi="Times New Roman" w:cs="Times New Roman"/>
          <w:i/>
          <w:iCs/>
          <w:noProof/>
          <w:sz w:val="24"/>
          <w:szCs w:val="24"/>
        </w:rPr>
        <w:t>Cell Stem Cell</w:t>
      </w:r>
      <w:r w:rsidRPr="00911F80">
        <w:rPr>
          <w:rFonts w:ascii="Times New Roman" w:hAnsi="Times New Roman" w:cs="Times New Roman"/>
          <w:noProof/>
          <w:sz w:val="24"/>
          <w:szCs w:val="24"/>
        </w:rPr>
        <w:t>, vol. 4, no. 3, pp. 217–225, 2009.</w:t>
      </w:r>
    </w:p>
    <w:p w14:paraId="4EC21F6F"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[32]</w:t>
      </w:r>
      <w:r w:rsidRPr="00911F80">
        <w:rPr>
          <w:rFonts w:ascii="Times New Roman" w:hAnsi="Times New Roman" w:cs="Times New Roman"/>
          <w:noProof/>
          <w:sz w:val="24"/>
          <w:szCs w:val="24"/>
        </w:rPr>
        <w:tab/>
        <w:t xml:space="preserve">B. Gharaibeh, A. Lu, J. Tebbets, B. Zheng, J. Feduska, M. Crisan, B. Pe, J. Cummins, and J. Huard, “Isolation of a slowly adhering cell fraction containing stem cells from murine skeletal muscle by the preplate technique,” </w:t>
      </w:r>
      <w:r w:rsidRPr="00911F80">
        <w:rPr>
          <w:rFonts w:ascii="Times New Roman" w:hAnsi="Times New Roman" w:cs="Times New Roman"/>
          <w:i/>
          <w:iCs/>
          <w:noProof/>
          <w:sz w:val="24"/>
          <w:szCs w:val="24"/>
        </w:rPr>
        <w:t>Nat. Protoc.</w:t>
      </w:r>
      <w:r w:rsidRPr="00911F80">
        <w:rPr>
          <w:rFonts w:ascii="Times New Roman" w:hAnsi="Times New Roman" w:cs="Times New Roman"/>
          <w:noProof/>
          <w:sz w:val="24"/>
          <w:szCs w:val="24"/>
        </w:rPr>
        <w:t>, vol. 3, no. 9, pp. 1501–1509, 2008.</w:t>
      </w:r>
    </w:p>
    <w:p w14:paraId="083CC011"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[33]</w:t>
      </w:r>
      <w:r w:rsidRPr="00911F80">
        <w:rPr>
          <w:rFonts w:ascii="Times New Roman" w:hAnsi="Times New Roman" w:cs="Times New Roman"/>
          <w:noProof/>
          <w:sz w:val="24"/>
          <w:szCs w:val="24"/>
        </w:rPr>
        <w:tab/>
        <w:t xml:space="preserve">B. D. Cosgrove, A. Sacco, P. M. Gilbert, and H. M. Blau, “A home away from home: challenges and opportunities in engineering in vitro muscle satellite cell niches,” </w:t>
      </w:r>
      <w:r w:rsidRPr="00911F80">
        <w:rPr>
          <w:rFonts w:ascii="Times New Roman" w:hAnsi="Times New Roman" w:cs="Times New Roman"/>
          <w:i/>
          <w:iCs/>
          <w:noProof/>
          <w:sz w:val="24"/>
          <w:szCs w:val="24"/>
        </w:rPr>
        <w:t>Differentiation</w:t>
      </w:r>
      <w:r w:rsidRPr="00911F80">
        <w:rPr>
          <w:rFonts w:ascii="Times New Roman" w:hAnsi="Times New Roman" w:cs="Times New Roman"/>
          <w:noProof/>
          <w:sz w:val="24"/>
          <w:szCs w:val="24"/>
        </w:rPr>
        <w:t>, vol. 78, no. 2, pp. 185–194, 2009.</w:t>
      </w:r>
    </w:p>
    <w:p w14:paraId="1DA0FE61"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[34]</w:t>
      </w:r>
      <w:r w:rsidRPr="00911F80">
        <w:rPr>
          <w:rFonts w:ascii="Times New Roman" w:hAnsi="Times New Roman" w:cs="Times New Roman"/>
          <w:noProof/>
          <w:sz w:val="24"/>
          <w:szCs w:val="24"/>
        </w:rPr>
        <w:tab/>
        <w:t xml:space="preserve">H. J. Kong, T. R. Polte, E. Alsberg, and D. J. Mooney, “FRET measurements of cell-traction forces and nano-scale clustering of adhesion ligands varied by substrate stiffness,” </w:t>
      </w:r>
      <w:r w:rsidRPr="00911F80">
        <w:rPr>
          <w:rFonts w:ascii="Times New Roman" w:hAnsi="Times New Roman" w:cs="Times New Roman"/>
          <w:i/>
          <w:iCs/>
          <w:noProof/>
          <w:sz w:val="24"/>
          <w:szCs w:val="24"/>
        </w:rPr>
        <w:t>Proc. Natl. Acad. Sci.</w:t>
      </w:r>
      <w:r w:rsidRPr="00911F80">
        <w:rPr>
          <w:rFonts w:ascii="Times New Roman" w:hAnsi="Times New Roman" w:cs="Times New Roman"/>
          <w:noProof/>
          <w:sz w:val="24"/>
          <w:szCs w:val="24"/>
        </w:rPr>
        <w:t>, vol. 102, no. 12, pp. 4300–4305, 2005.</w:t>
      </w:r>
    </w:p>
    <w:p w14:paraId="444B9D8A"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[35]</w:t>
      </w:r>
      <w:r w:rsidRPr="00911F80">
        <w:rPr>
          <w:rFonts w:ascii="Times New Roman" w:hAnsi="Times New Roman" w:cs="Times New Roman"/>
          <w:noProof/>
          <w:sz w:val="24"/>
          <w:szCs w:val="24"/>
        </w:rPr>
        <w:tab/>
        <w:t xml:space="preserve">S. Dupont, L. Morsut, M. Aragona, E. Enzo, S. Giulitti, M. Cordenonsi, F. Zanconato, J. Le Digabel, M. Forcato, S. Bicciato, N. Elvassore, and S. Piccolo, “Role of YAP / TAZ in mechanotransduction,” </w:t>
      </w:r>
      <w:r w:rsidRPr="00911F80">
        <w:rPr>
          <w:rFonts w:ascii="Times New Roman" w:hAnsi="Times New Roman" w:cs="Times New Roman"/>
          <w:i/>
          <w:iCs/>
          <w:noProof/>
          <w:sz w:val="24"/>
          <w:szCs w:val="24"/>
        </w:rPr>
        <w:t>Nature</w:t>
      </w:r>
      <w:r w:rsidRPr="00911F80">
        <w:rPr>
          <w:rFonts w:ascii="Times New Roman" w:hAnsi="Times New Roman" w:cs="Times New Roman"/>
          <w:noProof/>
          <w:sz w:val="24"/>
          <w:szCs w:val="24"/>
        </w:rPr>
        <w:t>, vol. 474, pp. 179–183, 2011.</w:t>
      </w:r>
    </w:p>
    <w:p w14:paraId="23E789DB"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szCs w:val="24"/>
        </w:rPr>
      </w:pPr>
      <w:r w:rsidRPr="00911F80">
        <w:rPr>
          <w:rFonts w:ascii="Times New Roman" w:hAnsi="Times New Roman" w:cs="Times New Roman"/>
          <w:noProof/>
          <w:sz w:val="24"/>
          <w:szCs w:val="24"/>
        </w:rPr>
        <w:t>[36]</w:t>
      </w:r>
      <w:r w:rsidRPr="00911F80">
        <w:rPr>
          <w:rFonts w:ascii="Times New Roman" w:hAnsi="Times New Roman" w:cs="Times New Roman"/>
          <w:noProof/>
          <w:sz w:val="24"/>
          <w:szCs w:val="24"/>
        </w:rPr>
        <w:tab/>
        <w:t>C. A. Cezar, “Magnetically responsive biomaterials for enhanced skeletal muscle regeneration,” Doctoral Dissertation, Harvard University, 2015.</w:t>
      </w:r>
    </w:p>
    <w:p w14:paraId="04A05E6B" w14:textId="77777777" w:rsidR="00AF0FF0" w:rsidRPr="00911F80" w:rsidRDefault="00AF0FF0" w:rsidP="00AF0FF0">
      <w:pPr>
        <w:widowControl w:val="0"/>
        <w:autoSpaceDE w:val="0"/>
        <w:autoSpaceDN w:val="0"/>
        <w:adjustRightInd w:val="0"/>
        <w:spacing w:line="240" w:lineRule="auto"/>
        <w:ind w:left="640" w:hanging="640"/>
        <w:rPr>
          <w:rFonts w:ascii="Times New Roman" w:hAnsi="Times New Roman" w:cs="Times New Roman"/>
          <w:noProof/>
          <w:sz w:val="24"/>
        </w:rPr>
      </w:pPr>
      <w:r w:rsidRPr="00911F80">
        <w:rPr>
          <w:rFonts w:ascii="Times New Roman" w:hAnsi="Times New Roman" w:cs="Times New Roman"/>
          <w:noProof/>
          <w:sz w:val="24"/>
          <w:szCs w:val="24"/>
        </w:rPr>
        <w:t>[37]</w:t>
      </w:r>
      <w:r w:rsidRPr="00911F80">
        <w:rPr>
          <w:rFonts w:ascii="Times New Roman" w:hAnsi="Times New Roman" w:cs="Times New Roman"/>
          <w:noProof/>
          <w:sz w:val="24"/>
          <w:szCs w:val="24"/>
        </w:rPr>
        <w:tab/>
        <w:t xml:space="preserve">C. Yang, M. W. Tibbitt, L. Basta, and K. S. Anseth, “Mechanical memory and dosing influence stem cell fate,” </w:t>
      </w:r>
      <w:r w:rsidRPr="00911F80">
        <w:rPr>
          <w:rFonts w:ascii="Times New Roman" w:hAnsi="Times New Roman" w:cs="Times New Roman"/>
          <w:i/>
          <w:iCs/>
          <w:noProof/>
          <w:sz w:val="24"/>
          <w:szCs w:val="24"/>
        </w:rPr>
        <w:t>Nat. Mater.</w:t>
      </w:r>
      <w:r w:rsidRPr="00911F80">
        <w:rPr>
          <w:rFonts w:ascii="Times New Roman" w:hAnsi="Times New Roman" w:cs="Times New Roman"/>
          <w:noProof/>
          <w:sz w:val="24"/>
          <w:szCs w:val="24"/>
        </w:rPr>
        <w:t>, vol. 13, no. 6, pp. 645–652, 2014.</w:t>
      </w:r>
    </w:p>
    <w:p w14:paraId="569ED31C" w14:textId="37348320" w:rsidR="002618AE" w:rsidRPr="00911F80" w:rsidRDefault="00240A23" w:rsidP="002F1D2E">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fldChar w:fldCharType="end"/>
      </w:r>
      <w:r w:rsidR="002618AE" w:rsidRPr="00911F80">
        <w:br w:type="page"/>
      </w:r>
    </w:p>
    <w:p w14:paraId="594EA1B8" w14:textId="67D44D1A" w:rsidR="00C8280F" w:rsidRPr="00911F80" w:rsidRDefault="002A54E1" w:rsidP="002618AE">
      <w:pPr>
        <w:pStyle w:val="TitleParagraphArticle"/>
      </w:pPr>
      <w:r w:rsidRPr="00911F80">
        <w:lastRenderedPageBreak/>
        <w:t>Figure caption</w:t>
      </w:r>
    </w:p>
    <w:p w14:paraId="389EFCA4" w14:textId="77777777" w:rsidR="00C8280F" w:rsidRPr="00911F80" w:rsidRDefault="002A54E1" w:rsidP="001576BA">
      <w:pPr>
        <w:jc w:val="both"/>
        <w:rPr>
          <w:rFonts w:ascii="Times New Roman" w:eastAsia="Times New Roman" w:hAnsi="Times New Roman" w:cs="Times New Roman"/>
          <w:sz w:val="24"/>
          <w:szCs w:val="24"/>
        </w:rPr>
      </w:pPr>
      <w:r w:rsidRPr="00911F80">
        <w:rPr>
          <w:rStyle w:val="Title2ParagraphArticleCar"/>
          <w:rFonts w:eastAsia="Arial"/>
        </w:rPr>
        <w:t>Figure 1</w:t>
      </w:r>
      <w:r w:rsidRPr="00911F80">
        <w:rPr>
          <w:rFonts w:ascii="Times New Roman" w:eastAsia="Times New Roman" w:hAnsi="Times New Roman" w:cs="Times New Roman"/>
          <w:b/>
          <w:i/>
          <w:sz w:val="24"/>
          <w:szCs w:val="24"/>
        </w:rPr>
        <w:t xml:space="preserve"> </w:t>
      </w:r>
      <w:r w:rsidRPr="00911F80">
        <w:rPr>
          <w:rFonts w:ascii="Times New Roman" w:eastAsia="Times New Roman" w:hAnsi="Times New Roman" w:cs="Times New Roman"/>
          <w:sz w:val="24"/>
          <w:szCs w:val="24"/>
        </w:rPr>
        <w:t>– Summary of the experimental approach and muscle stress-relaxation.</w:t>
      </w:r>
    </w:p>
    <w:p w14:paraId="464EEF87" w14:textId="77777777"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A) C2C12 cells and primary myoblasts were cultured on elastic and stress-relaxing alginate hydrogels and their spreading and proliferation were assessed. B) Explanted muscle from a rat hindlimb was subjected to a constant 15 % strain compression, and the stress required to maintain the strain was monitored.</w:t>
      </w:r>
    </w:p>
    <w:p w14:paraId="5D47E09D" w14:textId="77777777" w:rsidR="00C8280F" w:rsidRPr="00911F80" w:rsidRDefault="002A54E1" w:rsidP="001576BA">
      <w:pPr>
        <w:jc w:val="both"/>
        <w:rPr>
          <w:rFonts w:ascii="Times New Roman" w:eastAsia="Times New Roman" w:hAnsi="Times New Roman" w:cs="Times New Roman"/>
          <w:sz w:val="24"/>
          <w:szCs w:val="24"/>
        </w:rPr>
      </w:pPr>
      <w:r w:rsidRPr="00911F80">
        <w:rPr>
          <w:rStyle w:val="Title2ParagraphArticleCar"/>
          <w:rFonts w:eastAsia="Arial"/>
        </w:rPr>
        <w:t>Figure 2</w:t>
      </w:r>
      <w:r w:rsidRPr="00911F80">
        <w:rPr>
          <w:rFonts w:ascii="Times New Roman" w:eastAsia="Times New Roman" w:hAnsi="Times New Roman" w:cs="Times New Roman"/>
          <w:b/>
          <w:i/>
          <w:sz w:val="24"/>
          <w:szCs w:val="24"/>
        </w:rPr>
        <w:t xml:space="preserve"> –</w:t>
      </w:r>
      <w:r w:rsidRPr="00911F80">
        <w:rPr>
          <w:rFonts w:ascii="Times New Roman" w:eastAsia="Times New Roman" w:hAnsi="Times New Roman" w:cs="Times New Roman"/>
          <w:sz w:val="24"/>
          <w:szCs w:val="24"/>
        </w:rPr>
        <w:t xml:space="preserve"> Alginate hydrogels used for culture studies.</w:t>
      </w:r>
    </w:p>
    <w:p w14:paraId="2980C752" w14:textId="77777777"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A) Chemical structure of the ionically crosslinked and covalently crosslinked alginate gels.  Calcium was utilized for ionic crosslinking, while adipic acid dihydrazide (AAD) was utilized to form covalent linkages. B) Stress-relaxation behavior of ionically and covalently crosslinked alginate hydrogels subjected to constant 15 % strain compression. C) Initial elastic modulus of elastic (covalent) and stress-relaxing (ionic) hydrogels.  Gels were crosslinked to different levels to allow the initial moduli to be matched. Moduli were measured from compression tests.</w:t>
      </w:r>
    </w:p>
    <w:p w14:paraId="4C6B57ED" w14:textId="77777777" w:rsidR="00C8280F" w:rsidRPr="00911F80" w:rsidRDefault="002A54E1" w:rsidP="001576BA">
      <w:pPr>
        <w:jc w:val="both"/>
        <w:rPr>
          <w:rFonts w:ascii="Times New Roman" w:eastAsia="Times New Roman" w:hAnsi="Times New Roman" w:cs="Times New Roman"/>
          <w:sz w:val="24"/>
          <w:szCs w:val="24"/>
        </w:rPr>
      </w:pPr>
      <w:r w:rsidRPr="00911F80">
        <w:rPr>
          <w:rStyle w:val="Title2ParagraphArticleCar"/>
          <w:rFonts w:eastAsia="Arial"/>
        </w:rPr>
        <w:t>Figure 3</w:t>
      </w:r>
      <w:r w:rsidRPr="00911F80">
        <w:rPr>
          <w:rFonts w:ascii="Times New Roman" w:eastAsia="Times New Roman" w:hAnsi="Times New Roman" w:cs="Times New Roman"/>
          <w:b/>
          <w:i/>
          <w:sz w:val="24"/>
          <w:szCs w:val="24"/>
        </w:rPr>
        <w:t xml:space="preserve"> –</w:t>
      </w:r>
      <w:r w:rsidRPr="00911F80">
        <w:rPr>
          <w:rFonts w:ascii="Times New Roman" w:eastAsia="Times New Roman" w:hAnsi="Times New Roman" w:cs="Times New Roman"/>
          <w:sz w:val="24"/>
          <w:szCs w:val="24"/>
        </w:rPr>
        <w:t xml:space="preserve"> Spreading and proliferation of C2C12 cells on elastic and stress-relaxing hydrogels of various initial elastic moduli.</w:t>
      </w:r>
    </w:p>
    <w:p w14:paraId="5D55C746" w14:textId="72126BFE" w:rsidR="00C077D6" w:rsidRPr="00911F80" w:rsidRDefault="00C077D6" w:rsidP="00C077D6">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 xml:space="preserve">A) </w:t>
      </w:r>
      <w:r w:rsidR="002A54E1" w:rsidRPr="00911F80">
        <w:rPr>
          <w:rFonts w:ascii="Times New Roman" w:eastAsia="Times New Roman" w:hAnsi="Times New Roman" w:cs="Times New Roman"/>
          <w:sz w:val="24"/>
          <w:szCs w:val="24"/>
        </w:rPr>
        <w:t>Representative images of C2C12 cells cultured for 22 h on elastic and stress-relaxing hydrogels with initial moduli of 2.8, 12.2, 49.5 kPa. Actin is represented in green and the nucleus is represented in blue. Scale bar: 20 µm. B) Quantification of the spreading area of single C2C12 cells cultured on the different hydrogel conditions. C) Cell circularity was quantified. A value of 1 indicates a perfect circle and as the value approaches 0, the shape is increasingly elongated. D) The Aspect Ratio (ratio between the major and minor axis) was quantified. B,C,D) The area and the shape factors were quantified using ImageJ and the shape factor plug-in. For each condition, the values of cell area, circularity or aspect ratio were pooled from four gels, resulting in n = 434-737 cells analyzed per condition. E) Representative images of C2C12 cells stained for EdU, as a metric of cell proliferation. EdU positive nuclei are represented in red and non-EdU nuclei are represented in blue. Scale bar: 200 µm F) Quantification of the proliferation of C2C12 cells cultured on the different hydrogel conditions, as indicated by the percentage of EdU positive cells versus the total number of cells. Values represent the mean and the standard deviation (SD) of minimum three replicates.</w:t>
      </w:r>
      <w:r w:rsidR="002A54E1" w:rsidRPr="00911F80">
        <w:rPr>
          <w:rFonts w:ascii="Times New Roman" w:eastAsia="Times New Roman" w:hAnsi="Times New Roman" w:cs="Times New Roman"/>
          <w:sz w:val="24"/>
          <w:szCs w:val="24"/>
        </w:rPr>
        <w:br/>
        <w:t xml:space="preserve">All data were compared using a two-tailed unpaired Student’s t-test (* p &lt; 0.05, ** p &lt; 0.01, *** p &lt; </w:t>
      </w:r>
      <w:r w:rsidRPr="00911F80">
        <w:rPr>
          <w:rFonts w:ascii="Times New Roman" w:eastAsia="Times New Roman" w:hAnsi="Times New Roman" w:cs="Times New Roman"/>
          <w:sz w:val="24"/>
          <w:szCs w:val="24"/>
        </w:rPr>
        <w:t>0.001). a.u. : arbitrary units.</w:t>
      </w:r>
    </w:p>
    <w:p w14:paraId="50A2F16A" w14:textId="3ECABB5F" w:rsidR="00C8280F" w:rsidRPr="00911F80" w:rsidRDefault="002A54E1" w:rsidP="00C077D6">
      <w:r w:rsidRPr="00911F80">
        <w:rPr>
          <w:rStyle w:val="Title2ParagraphArticleCar"/>
          <w:rFonts w:eastAsia="Arial"/>
        </w:rPr>
        <w:t>Figure 4</w:t>
      </w:r>
      <w:r w:rsidRPr="00911F80">
        <w:rPr>
          <w:b/>
          <w:i/>
        </w:rPr>
        <w:t xml:space="preserve"> –</w:t>
      </w:r>
      <w:r w:rsidRPr="00911F80">
        <w:t xml:space="preserve"> Proliferation of primary myoblasts on elastic and stress-relaxing hydrogels of 12.2 kPa stiffness.</w:t>
      </w:r>
    </w:p>
    <w:p w14:paraId="16143F4F" w14:textId="77777777"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A) Representative phase contrast image of primary myoblasts cultured on collagen-coated TCP at day 6. Scale bar; 1000 µm. B) Representative FACS plot demonstrating M-Cadherin and Syndecan-4 staining of primary myoblasts, and table with the percentage of cells staining positive for each marker. C-D) Representative CFSE staining profiles (C) and quantification of mean CFSE intensity (D) of primary myoblasts on elastic or stress-relaxing substrates, both with initial elastic modulus of 12.2 kPa. (E) Quantification of mean CFSE intensity of M-Cadherin positive primary myoblasts on elastic or stress-relaxing substrates of 12.2 kPa D-E) Values represent the mean and the standard deviation (SD) of minimum three replicates. Data were compared using a two-tailed unpaired Student’s t-test (** p &lt; 0.01, ** p &lt; 0.001).</w:t>
      </w:r>
    </w:p>
    <w:p w14:paraId="21CD7E56" w14:textId="77777777" w:rsidR="00C8280F" w:rsidRPr="00911F80" w:rsidRDefault="002A54E1" w:rsidP="002618AE">
      <w:pPr>
        <w:pStyle w:val="TitleParagraphArticle"/>
      </w:pPr>
      <w:r w:rsidRPr="00911F80">
        <w:t>Appendix A. Supplementary data</w:t>
      </w:r>
    </w:p>
    <w:p w14:paraId="63746B67" w14:textId="77777777" w:rsidR="00C8280F" w:rsidRPr="00911F80" w:rsidRDefault="002A54E1" w:rsidP="001576BA">
      <w:pPr>
        <w:jc w:val="both"/>
        <w:rPr>
          <w:rFonts w:ascii="Times New Roman" w:eastAsia="Times New Roman" w:hAnsi="Times New Roman" w:cs="Times New Roman"/>
          <w:sz w:val="24"/>
          <w:szCs w:val="24"/>
        </w:rPr>
      </w:pPr>
      <w:r w:rsidRPr="00911F80">
        <w:rPr>
          <w:rStyle w:val="Title2ParagraphArticleCar"/>
          <w:rFonts w:eastAsia="Arial"/>
        </w:rPr>
        <w:lastRenderedPageBreak/>
        <w:t xml:space="preserve">Supplementary Figure 1 </w:t>
      </w:r>
      <w:r w:rsidRPr="00911F80">
        <w:rPr>
          <w:rFonts w:ascii="Times New Roman" w:eastAsia="Times New Roman" w:hAnsi="Times New Roman" w:cs="Times New Roman"/>
          <w:b/>
          <w:i/>
          <w:sz w:val="24"/>
          <w:szCs w:val="24"/>
        </w:rPr>
        <w:t xml:space="preserve">– </w:t>
      </w:r>
      <w:r w:rsidRPr="00911F80">
        <w:rPr>
          <w:rFonts w:ascii="Times New Roman" w:eastAsia="Times New Roman" w:hAnsi="Times New Roman" w:cs="Times New Roman"/>
          <w:sz w:val="24"/>
          <w:szCs w:val="24"/>
        </w:rPr>
        <w:t>FACS primary gating strategy for the characterization of the myogenic purity of primary myoblast cultures.</w:t>
      </w:r>
    </w:p>
    <w:p w14:paraId="0449372C" w14:textId="77777777" w:rsidR="00C8280F" w:rsidRPr="00911F80" w:rsidRDefault="002A54E1" w:rsidP="001576BA">
      <w:pPr>
        <w:jc w:val="both"/>
        <w:rPr>
          <w:rFonts w:ascii="Times New Roman" w:eastAsia="Times New Roman" w:hAnsi="Times New Roman" w:cs="Times New Roman"/>
          <w:b/>
          <w:sz w:val="24"/>
          <w:szCs w:val="24"/>
        </w:rPr>
      </w:pPr>
      <w:r w:rsidRPr="00911F80">
        <w:rPr>
          <w:rFonts w:ascii="Times New Roman" w:eastAsia="Times New Roman" w:hAnsi="Times New Roman" w:cs="Times New Roman"/>
          <w:sz w:val="24"/>
          <w:szCs w:val="24"/>
        </w:rPr>
        <w:t>A) Primary FACS data showing gating strategy for the characterization of staining for M-Cadherin and Syndecan-4 individually. B) FACS plot showing results of co-staining for M-Cadherin and Syndecan-4</w:t>
      </w:r>
      <w:r w:rsidRPr="00911F80">
        <w:rPr>
          <w:rFonts w:ascii="Times New Roman" w:eastAsia="Times New Roman" w:hAnsi="Times New Roman" w:cs="Times New Roman"/>
          <w:b/>
          <w:sz w:val="24"/>
          <w:szCs w:val="24"/>
        </w:rPr>
        <w:t>.</w:t>
      </w:r>
    </w:p>
    <w:p w14:paraId="07D643EB" w14:textId="77777777" w:rsidR="00C8280F" w:rsidRPr="00911F80" w:rsidRDefault="002A54E1" w:rsidP="001576BA">
      <w:pPr>
        <w:jc w:val="both"/>
        <w:rPr>
          <w:rFonts w:ascii="Times New Roman" w:eastAsia="Times New Roman" w:hAnsi="Times New Roman" w:cs="Times New Roman"/>
          <w:sz w:val="24"/>
          <w:szCs w:val="24"/>
        </w:rPr>
      </w:pPr>
      <w:r w:rsidRPr="00911F80">
        <w:rPr>
          <w:rStyle w:val="Title2ParagraphArticleCar"/>
          <w:rFonts w:eastAsia="Arial"/>
        </w:rPr>
        <w:t>Supplementary Figure 2</w:t>
      </w:r>
      <w:r w:rsidRPr="00911F80">
        <w:rPr>
          <w:rFonts w:ascii="Times New Roman" w:eastAsia="Times New Roman" w:hAnsi="Times New Roman" w:cs="Times New Roman"/>
          <w:b/>
          <w:i/>
          <w:sz w:val="24"/>
          <w:szCs w:val="24"/>
        </w:rPr>
        <w:t xml:space="preserve"> </w:t>
      </w:r>
      <w:r w:rsidRPr="00911F80">
        <w:rPr>
          <w:rFonts w:ascii="Times New Roman" w:eastAsia="Times New Roman" w:hAnsi="Times New Roman" w:cs="Times New Roman"/>
          <w:sz w:val="24"/>
          <w:szCs w:val="24"/>
        </w:rPr>
        <w:t>– Proliferation of primary myoblasts on elastic and fast or slow stress-relaxing hydrogels of 2.8, 12.2 and 49.5 kPa.</w:t>
      </w:r>
    </w:p>
    <w:p w14:paraId="5B320234" w14:textId="77777777" w:rsidR="00866964"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Quantification of mean CFSE intensity of primary myoblasts on elastic, fast stress-relaxing (224 sec) and slow stress-relaxing (1827 sec) substrates of 2.8, 12.2 and 49.5 kPa. Values represent the mean and the standard deviation (SD) of minimum three replicates. Data were compared using a two-tailed unpaired Student’s t-test (ns</w:t>
      </w:r>
      <w:r w:rsidR="00866964" w:rsidRPr="00911F80">
        <w:rPr>
          <w:rFonts w:ascii="Times New Roman" w:eastAsia="Times New Roman" w:hAnsi="Times New Roman" w:cs="Times New Roman"/>
          <w:sz w:val="24"/>
          <w:szCs w:val="24"/>
        </w:rPr>
        <w:t>:</w:t>
      </w:r>
      <w:r w:rsidRPr="00911F80">
        <w:rPr>
          <w:rFonts w:ascii="Times New Roman" w:eastAsia="Times New Roman" w:hAnsi="Times New Roman" w:cs="Times New Roman"/>
          <w:sz w:val="24"/>
          <w:szCs w:val="24"/>
        </w:rPr>
        <w:t xml:space="preserve"> non-s</w:t>
      </w:r>
      <w:r w:rsidR="00866964" w:rsidRPr="00911F80">
        <w:rPr>
          <w:rFonts w:ascii="Times New Roman" w:eastAsia="Times New Roman" w:hAnsi="Times New Roman" w:cs="Times New Roman"/>
          <w:sz w:val="24"/>
          <w:szCs w:val="24"/>
        </w:rPr>
        <w:t>i</w:t>
      </w:r>
      <w:r w:rsidRPr="00911F80">
        <w:rPr>
          <w:rFonts w:ascii="Times New Roman" w:eastAsia="Times New Roman" w:hAnsi="Times New Roman" w:cs="Times New Roman"/>
          <w:sz w:val="24"/>
          <w:szCs w:val="24"/>
        </w:rPr>
        <w:t>gnificant, * p &lt; 0.5, ** p &lt; 0.01, ** p &lt; 0.001)</w:t>
      </w:r>
    </w:p>
    <w:p w14:paraId="41F832F0" w14:textId="2A119F45" w:rsidR="00C8280F" w:rsidRPr="00911F80" w:rsidRDefault="00866964"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Note: The CFSE intensity varies dependent on the particular experiment, explaining the different CFSE intensities observed in supplementary figure 2 and figure 4 D and E.</w:t>
      </w:r>
    </w:p>
    <w:p w14:paraId="6A64A5E4" w14:textId="6C4B820F" w:rsidR="00C077D6" w:rsidRPr="00911F80" w:rsidRDefault="00C077D6" w:rsidP="00C077D6">
      <w:pPr>
        <w:jc w:val="both"/>
        <w:rPr>
          <w:rFonts w:ascii="Times New Roman" w:eastAsia="Times New Roman" w:hAnsi="Times New Roman" w:cs="Times New Roman"/>
          <w:sz w:val="24"/>
          <w:szCs w:val="24"/>
        </w:rPr>
      </w:pPr>
      <w:commentRangeStart w:id="11"/>
      <w:commentRangeStart w:id="12"/>
      <w:r w:rsidRPr="00911F80">
        <w:rPr>
          <w:rStyle w:val="Title2ParagraphArticleCar"/>
          <w:rFonts w:eastAsia="Arial"/>
        </w:rPr>
        <w:t>Supplementary Figure 3</w:t>
      </w:r>
      <w:commentRangeEnd w:id="11"/>
      <w:r w:rsidRPr="00911F80">
        <w:rPr>
          <w:rStyle w:val="CommentReference"/>
        </w:rPr>
        <w:commentReference w:id="11"/>
      </w:r>
      <w:commentRangeEnd w:id="12"/>
      <w:r w:rsidR="00905A61" w:rsidRPr="00911F80">
        <w:rPr>
          <w:rStyle w:val="CommentReference"/>
        </w:rPr>
        <w:commentReference w:id="12"/>
      </w:r>
      <w:r w:rsidRPr="00911F80">
        <w:rPr>
          <w:rFonts w:ascii="Times New Roman" w:eastAsia="Times New Roman" w:hAnsi="Times New Roman" w:cs="Times New Roman"/>
          <w:b/>
          <w:i/>
          <w:sz w:val="24"/>
          <w:szCs w:val="24"/>
        </w:rPr>
        <w:t xml:space="preserve"> </w:t>
      </w:r>
      <w:r w:rsidRPr="00911F80">
        <w:rPr>
          <w:rFonts w:ascii="Times New Roman" w:eastAsia="Times New Roman" w:hAnsi="Times New Roman" w:cs="Times New Roman"/>
          <w:sz w:val="24"/>
          <w:szCs w:val="24"/>
        </w:rPr>
        <w:t>– Proliferation of C2C12 cells on 12.2 kPa elastic and stress-relaxing hydrogels with various stress-relaxing rates</w:t>
      </w:r>
    </w:p>
    <w:p w14:paraId="5F45B919" w14:textId="0DA941AD" w:rsidR="00C077D6" w:rsidRPr="00911F80" w:rsidRDefault="00C077D6" w:rsidP="00C077D6">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Relative proliferation of C2C12 cells on 12.2 kPa elastic, fast- (224 sec), mid-</w:t>
      </w:r>
      <w:r w:rsidR="00B217CE" w:rsidRPr="00911F80">
        <w:rPr>
          <w:rFonts w:ascii="Times New Roman" w:eastAsia="Times New Roman" w:hAnsi="Times New Roman" w:cs="Times New Roman"/>
          <w:sz w:val="24"/>
          <w:szCs w:val="24"/>
        </w:rPr>
        <w:t xml:space="preserve"> (1250 sec)</w:t>
      </w:r>
      <w:r w:rsidRPr="00911F80">
        <w:rPr>
          <w:rFonts w:ascii="Times New Roman" w:eastAsia="Times New Roman" w:hAnsi="Times New Roman" w:cs="Times New Roman"/>
          <w:sz w:val="24"/>
          <w:szCs w:val="24"/>
        </w:rPr>
        <w:t xml:space="preserve"> and slow- (1827 sec) stress-relaxing hydrogels. Values represent the mean and the standard deviation (SD) of minimum n = 4-8 replicates. Data was compared using a one-way ANOVA with Bonferroni Multiple Comparison Test.  (n.s. non-significant, *** p &lt; 0.001)</w:t>
      </w:r>
    </w:p>
    <w:p w14:paraId="2ECED200" w14:textId="27FFBD6F" w:rsidR="00E200C2" w:rsidRPr="00911F80" w:rsidRDefault="00E200C2" w:rsidP="00C077D6">
      <w:pPr>
        <w:jc w:val="both"/>
        <w:rPr>
          <w:rStyle w:val="Title2ParagraphArticleCar"/>
          <w:rFonts w:eastAsia="Arial"/>
        </w:rPr>
      </w:pPr>
      <w:commentRangeStart w:id="13"/>
      <w:r w:rsidRPr="00911F80">
        <w:rPr>
          <w:rStyle w:val="Title2ParagraphArticleCar"/>
          <w:rFonts w:eastAsia="Arial"/>
        </w:rPr>
        <w:t xml:space="preserve">Supplementary Figure 4 – </w:t>
      </w:r>
      <w:r w:rsidR="001B2FDC" w:rsidRPr="00911F80">
        <w:rPr>
          <w:rStyle w:val="Title2ParagraphArticleCar"/>
          <w:rFonts w:eastAsia="Arial"/>
          <w:b w:val="0"/>
        </w:rPr>
        <w:t>Co</w:t>
      </w:r>
      <w:r w:rsidR="00014F80" w:rsidRPr="00911F80">
        <w:rPr>
          <w:rStyle w:val="Title2ParagraphArticleCar"/>
          <w:rFonts w:eastAsia="Arial"/>
          <w:b w:val="0"/>
        </w:rPr>
        <w:t>maparison between</w:t>
      </w:r>
      <w:r w:rsidRPr="00911F80">
        <w:rPr>
          <w:rStyle w:val="Title2ParagraphArticleCar"/>
          <w:rFonts w:eastAsia="Arial"/>
          <w:b w:val="0"/>
        </w:rPr>
        <w:t xml:space="preserve"> </w:t>
      </w:r>
      <w:r w:rsidR="00014F80" w:rsidRPr="00911F80">
        <w:rPr>
          <w:rStyle w:val="Title2ParagraphArticleCar"/>
          <w:rFonts w:eastAsia="Arial"/>
          <w:b w:val="0"/>
        </w:rPr>
        <w:t xml:space="preserve">C2C12 </w:t>
      </w:r>
      <w:r w:rsidRPr="00911F80">
        <w:rPr>
          <w:rStyle w:val="Title2ParagraphArticleCar"/>
          <w:rFonts w:eastAsia="Arial"/>
          <w:b w:val="0"/>
        </w:rPr>
        <w:t>proliferation and</w:t>
      </w:r>
      <w:r w:rsidR="00014F80" w:rsidRPr="00911F80">
        <w:rPr>
          <w:rStyle w:val="Title2ParagraphArticleCar"/>
          <w:rFonts w:eastAsia="Arial"/>
          <w:b w:val="0"/>
        </w:rPr>
        <w:t xml:space="preserve"> C2C12</w:t>
      </w:r>
      <w:r w:rsidRPr="00911F80">
        <w:rPr>
          <w:rStyle w:val="Title2ParagraphArticleCar"/>
          <w:rFonts w:eastAsia="Arial"/>
          <w:b w:val="0"/>
        </w:rPr>
        <w:t xml:space="preserve"> spreading area</w:t>
      </w:r>
      <w:r w:rsidR="00014F80" w:rsidRPr="00911F80">
        <w:rPr>
          <w:rStyle w:val="Title2ParagraphArticleCar"/>
          <w:rFonts w:eastAsia="Arial"/>
          <w:b w:val="0"/>
        </w:rPr>
        <w:t>.</w:t>
      </w:r>
    </w:p>
    <w:p w14:paraId="3CA394EB" w14:textId="540CADA7" w:rsidR="00E200C2" w:rsidRPr="00911F80" w:rsidRDefault="00E200C2" w:rsidP="00C077D6">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The C2C12 proliferation and spreading data for each hydrogel condition (elastic and stress-relaxing, 2.2,12.8, 49.5 kPa) were plotted, a linear regression was applied and the R sq</w:t>
      </w:r>
      <w:r w:rsidR="00014F80" w:rsidRPr="00911F80">
        <w:rPr>
          <w:rFonts w:ascii="Times New Roman" w:eastAsia="Times New Roman" w:hAnsi="Times New Roman" w:cs="Times New Roman"/>
          <w:sz w:val="24"/>
          <w:szCs w:val="24"/>
        </w:rPr>
        <w:t>uared coefficient was determine</w:t>
      </w:r>
      <w:r w:rsidRPr="00911F80">
        <w:rPr>
          <w:rFonts w:ascii="Times New Roman" w:eastAsia="Times New Roman" w:hAnsi="Times New Roman" w:cs="Times New Roman"/>
          <w:sz w:val="24"/>
          <w:szCs w:val="24"/>
        </w:rPr>
        <w:t xml:space="preserve">d. </w:t>
      </w:r>
      <w:commentRangeEnd w:id="13"/>
      <w:r w:rsidR="00E009C4" w:rsidRPr="00911F80">
        <w:rPr>
          <w:rStyle w:val="CommentReference"/>
        </w:rPr>
        <w:commentReference w:id="13"/>
      </w:r>
    </w:p>
    <w:p w14:paraId="69C6ED3D" w14:textId="77777777" w:rsidR="00C8280F" w:rsidRPr="00911F80" w:rsidRDefault="002A54E1" w:rsidP="001576BA">
      <w:pPr>
        <w:jc w:val="both"/>
        <w:rPr>
          <w:rFonts w:ascii="Times New Roman" w:eastAsia="Times New Roman" w:hAnsi="Times New Roman" w:cs="Times New Roman"/>
          <w:sz w:val="24"/>
          <w:szCs w:val="24"/>
        </w:rPr>
      </w:pPr>
      <w:r w:rsidRPr="00911F80">
        <w:rPr>
          <w:rStyle w:val="Title2ParagraphArticleCar"/>
          <w:rFonts w:eastAsia="Arial"/>
        </w:rPr>
        <w:t>Supplementary Table 1</w:t>
      </w:r>
      <w:r w:rsidRPr="00911F80">
        <w:rPr>
          <w:rFonts w:ascii="Times New Roman" w:eastAsia="Times New Roman" w:hAnsi="Times New Roman" w:cs="Times New Roman"/>
          <w:b/>
          <w:i/>
          <w:sz w:val="24"/>
          <w:szCs w:val="24"/>
        </w:rPr>
        <w:t xml:space="preserve"> –</w:t>
      </w:r>
      <w:r w:rsidRPr="00911F80">
        <w:rPr>
          <w:rFonts w:ascii="Times New Roman" w:eastAsia="Times New Roman" w:hAnsi="Times New Roman" w:cs="Times New Roman"/>
          <w:sz w:val="24"/>
          <w:szCs w:val="24"/>
        </w:rPr>
        <w:t>Specific composition and mechanical properties for each gel condition utilized in these studies.</w:t>
      </w:r>
    </w:p>
    <w:p w14:paraId="0F882504" w14:textId="24E79486" w:rsidR="00C8280F" w:rsidRPr="00911F80" w:rsidRDefault="002A54E1" w:rsidP="001576BA">
      <w:pPr>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The molecular weights and concentration of the alginate polymer (</w:t>
      </w:r>
      <w:r w:rsidRPr="00911F80">
        <w:t>M</w:t>
      </w:r>
      <w:r w:rsidRPr="00911F80">
        <w:rPr>
          <w:vertAlign w:val="subscript"/>
        </w:rPr>
        <w:t xml:space="preserve">W </w:t>
      </w:r>
      <w:r w:rsidRPr="00911F80">
        <w:rPr>
          <w:rFonts w:ascii="Times New Roman" w:eastAsia="Times New Roman" w:hAnsi="Times New Roman" w:cs="Times New Roman"/>
          <w:sz w:val="24"/>
          <w:szCs w:val="24"/>
        </w:rPr>
        <w:t xml:space="preserve">, obtained by GPC) used for each gel condition are specified, as well as the crosslinking type and concentration. Values for initial moduli and stress relaxation halftime represent mean and standard deviation (SD). * </w:t>
      </w:r>
      <w:r w:rsidR="00B217CE" w:rsidRPr="00911F80">
        <w:rPr>
          <w:rFonts w:ascii="Times New Roman" w:eastAsia="Times New Roman" w:hAnsi="Times New Roman" w:cs="Times New Roman"/>
          <w:sz w:val="24"/>
          <w:szCs w:val="24"/>
        </w:rPr>
        <w:t>These slower</w:t>
      </w:r>
      <w:r w:rsidRPr="00911F80">
        <w:rPr>
          <w:rFonts w:ascii="Times New Roman" w:eastAsia="Times New Roman" w:hAnsi="Times New Roman" w:cs="Times New Roman"/>
          <w:sz w:val="24"/>
          <w:szCs w:val="24"/>
        </w:rPr>
        <w:t xml:space="preserve"> stress-relaxing condition</w:t>
      </w:r>
      <w:r w:rsidR="00B217CE" w:rsidRPr="00911F80">
        <w:rPr>
          <w:rFonts w:ascii="Times New Roman" w:eastAsia="Times New Roman" w:hAnsi="Times New Roman" w:cs="Times New Roman"/>
          <w:sz w:val="24"/>
          <w:szCs w:val="24"/>
        </w:rPr>
        <w:t>s are</w:t>
      </w:r>
      <w:r w:rsidRPr="00911F80">
        <w:rPr>
          <w:rFonts w:ascii="Times New Roman" w:eastAsia="Times New Roman" w:hAnsi="Times New Roman" w:cs="Times New Roman"/>
          <w:sz w:val="24"/>
          <w:szCs w:val="24"/>
        </w:rPr>
        <w:t xml:space="preserve"> </w:t>
      </w:r>
      <w:r w:rsidR="00866964" w:rsidRPr="00911F80">
        <w:rPr>
          <w:rFonts w:ascii="Times New Roman" w:eastAsia="Times New Roman" w:hAnsi="Times New Roman" w:cs="Times New Roman"/>
          <w:sz w:val="24"/>
          <w:szCs w:val="24"/>
        </w:rPr>
        <w:t>showed</w:t>
      </w:r>
      <w:r w:rsidRPr="00911F80">
        <w:rPr>
          <w:rFonts w:ascii="Times New Roman" w:eastAsia="Times New Roman" w:hAnsi="Times New Roman" w:cs="Times New Roman"/>
          <w:sz w:val="24"/>
          <w:szCs w:val="24"/>
        </w:rPr>
        <w:t xml:space="preserve"> in the supplementary figure 2</w:t>
      </w:r>
      <w:r w:rsidR="00B217CE" w:rsidRPr="00911F80">
        <w:rPr>
          <w:rFonts w:ascii="Times New Roman" w:eastAsia="Times New Roman" w:hAnsi="Times New Roman" w:cs="Times New Roman"/>
          <w:sz w:val="24"/>
          <w:szCs w:val="24"/>
        </w:rPr>
        <w:t xml:space="preserve"> and 3</w:t>
      </w:r>
      <w:r w:rsidRPr="00911F80">
        <w:rPr>
          <w:rFonts w:ascii="Times New Roman" w:eastAsia="Times New Roman" w:hAnsi="Times New Roman" w:cs="Times New Roman"/>
          <w:sz w:val="24"/>
          <w:szCs w:val="24"/>
        </w:rPr>
        <w:t>.</w:t>
      </w:r>
    </w:p>
    <w:tbl>
      <w:tblPr>
        <w:tblStyle w:val="2"/>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083"/>
        <w:gridCol w:w="1002"/>
        <w:gridCol w:w="979"/>
        <w:gridCol w:w="1025"/>
        <w:gridCol w:w="1130"/>
        <w:gridCol w:w="1211"/>
        <w:gridCol w:w="1211"/>
        <w:gridCol w:w="1384"/>
      </w:tblGrid>
      <w:tr w:rsidR="00C8280F" w:rsidRPr="00911F80" w14:paraId="50E5179E" w14:textId="77777777">
        <w:trPr>
          <w:trHeight w:val="500"/>
        </w:trPr>
        <w:tc>
          <w:tcPr>
            <w:tcW w:w="2085" w:type="dxa"/>
            <w:gridSpan w:val="2"/>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tcPr>
          <w:p w14:paraId="7500B47C" w14:textId="77777777" w:rsidR="00C8280F" w:rsidRPr="00911F80" w:rsidRDefault="002A54E1" w:rsidP="001576BA">
            <w:pPr>
              <w:jc w:val="both"/>
            </w:pPr>
            <w:r w:rsidRPr="00911F80">
              <w:t>Condition</w:t>
            </w:r>
          </w:p>
        </w:tc>
        <w:tc>
          <w:tcPr>
            <w:tcW w:w="979" w:type="dxa"/>
            <w:tcBorders>
              <w:bottom w:val="single" w:sz="8" w:space="0" w:color="000000"/>
            </w:tcBorders>
            <w:tcMar>
              <w:top w:w="100" w:type="dxa"/>
              <w:left w:w="60" w:type="dxa"/>
              <w:bottom w:w="100" w:type="dxa"/>
              <w:right w:w="60" w:type="dxa"/>
            </w:tcMar>
          </w:tcPr>
          <w:p w14:paraId="3718F56E" w14:textId="77777777" w:rsidR="00C8280F" w:rsidRPr="00911F80" w:rsidRDefault="002A54E1" w:rsidP="001576BA">
            <w:pPr>
              <w:jc w:val="both"/>
            </w:pPr>
            <w:r w:rsidRPr="00911F80">
              <w:t xml:space="preserve"> </w:t>
            </w:r>
          </w:p>
        </w:tc>
        <w:tc>
          <w:tcPr>
            <w:tcW w:w="1025" w:type="dxa"/>
            <w:tcBorders>
              <w:bottom w:val="single" w:sz="8" w:space="0" w:color="000000"/>
            </w:tcBorders>
            <w:tcMar>
              <w:top w:w="100" w:type="dxa"/>
              <w:left w:w="60" w:type="dxa"/>
              <w:bottom w:w="100" w:type="dxa"/>
              <w:right w:w="60" w:type="dxa"/>
            </w:tcMar>
          </w:tcPr>
          <w:p w14:paraId="538C4484" w14:textId="77777777" w:rsidR="00C8280F" w:rsidRPr="00911F80" w:rsidRDefault="002A54E1" w:rsidP="001576BA">
            <w:pPr>
              <w:jc w:val="both"/>
            </w:pPr>
            <w:r w:rsidRPr="00911F80">
              <w:t xml:space="preserve"> </w:t>
            </w:r>
          </w:p>
        </w:tc>
        <w:tc>
          <w:tcPr>
            <w:tcW w:w="1129" w:type="dxa"/>
            <w:tcBorders>
              <w:bottom w:val="single" w:sz="8" w:space="0" w:color="000000"/>
            </w:tcBorders>
            <w:tcMar>
              <w:top w:w="100" w:type="dxa"/>
              <w:left w:w="60" w:type="dxa"/>
              <w:bottom w:w="100" w:type="dxa"/>
              <w:right w:w="60" w:type="dxa"/>
            </w:tcMar>
          </w:tcPr>
          <w:p w14:paraId="472D67B3" w14:textId="77777777" w:rsidR="00C8280F" w:rsidRPr="00911F80" w:rsidRDefault="002A54E1" w:rsidP="001576BA">
            <w:pPr>
              <w:jc w:val="both"/>
            </w:pPr>
            <w:r w:rsidRPr="00911F80">
              <w:t xml:space="preserve"> </w:t>
            </w:r>
          </w:p>
        </w:tc>
        <w:tc>
          <w:tcPr>
            <w:tcW w:w="1210" w:type="dxa"/>
            <w:tcBorders>
              <w:bottom w:val="single" w:sz="8" w:space="0" w:color="000000"/>
            </w:tcBorders>
            <w:tcMar>
              <w:top w:w="100" w:type="dxa"/>
              <w:left w:w="60" w:type="dxa"/>
              <w:bottom w:w="100" w:type="dxa"/>
              <w:right w:w="60" w:type="dxa"/>
            </w:tcMar>
          </w:tcPr>
          <w:p w14:paraId="33F01F83" w14:textId="77777777" w:rsidR="00C8280F" w:rsidRPr="00911F80" w:rsidRDefault="002A54E1" w:rsidP="001576BA">
            <w:pPr>
              <w:jc w:val="both"/>
            </w:pPr>
            <w:r w:rsidRPr="00911F80">
              <w:t xml:space="preserve"> </w:t>
            </w:r>
          </w:p>
        </w:tc>
        <w:tc>
          <w:tcPr>
            <w:tcW w:w="1210" w:type="dxa"/>
            <w:tcBorders>
              <w:bottom w:val="single" w:sz="8" w:space="0" w:color="000000"/>
            </w:tcBorders>
            <w:tcMar>
              <w:top w:w="100" w:type="dxa"/>
              <w:left w:w="60" w:type="dxa"/>
              <w:bottom w:w="100" w:type="dxa"/>
              <w:right w:w="60" w:type="dxa"/>
            </w:tcMar>
          </w:tcPr>
          <w:p w14:paraId="1DF5A422" w14:textId="77777777" w:rsidR="00C8280F" w:rsidRPr="00911F80" w:rsidRDefault="002A54E1" w:rsidP="001576BA">
            <w:pPr>
              <w:jc w:val="both"/>
            </w:pPr>
            <w:r w:rsidRPr="00911F80">
              <w:t xml:space="preserve"> </w:t>
            </w:r>
          </w:p>
        </w:tc>
        <w:tc>
          <w:tcPr>
            <w:tcW w:w="1383" w:type="dxa"/>
            <w:tcBorders>
              <w:bottom w:val="single" w:sz="8" w:space="0" w:color="000000"/>
            </w:tcBorders>
            <w:tcMar>
              <w:top w:w="100" w:type="dxa"/>
              <w:left w:w="60" w:type="dxa"/>
              <w:bottom w:w="100" w:type="dxa"/>
              <w:right w:w="60" w:type="dxa"/>
            </w:tcMar>
          </w:tcPr>
          <w:p w14:paraId="73A66106" w14:textId="77777777" w:rsidR="00C8280F" w:rsidRPr="00911F80" w:rsidRDefault="002A54E1" w:rsidP="001576BA">
            <w:pPr>
              <w:jc w:val="both"/>
            </w:pPr>
            <w:r w:rsidRPr="00911F80">
              <w:t xml:space="preserve"> </w:t>
            </w:r>
          </w:p>
        </w:tc>
      </w:tr>
      <w:tr w:rsidR="00C8280F" w:rsidRPr="00911F80" w14:paraId="44CFB0CB" w14:textId="77777777">
        <w:trPr>
          <w:trHeight w:val="1420"/>
        </w:trPr>
        <w:tc>
          <w:tcPr>
            <w:tcW w:w="1083" w:type="dxa"/>
            <w:tcBorders>
              <w:left w:val="single" w:sz="8" w:space="0" w:color="000000"/>
              <w:bottom w:val="single" w:sz="8" w:space="0" w:color="000000"/>
              <w:right w:val="single" w:sz="8" w:space="0" w:color="000000"/>
            </w:tcBorders>
            <w:tcMar>
              <w:top w:w="100" w:type="dxa"/>
              <w:left w:w="60" w:type="dxa"/>
              <w:bottom w:w="100" w:type="dxa"/>
              <w:right w:w="60" w:type="dxa"/>
            </w:tcMar>
          </w:tcPr>
          <w:p w14:paraId="7FC7ECB9" w14:textId="77777777" w:rsidR="00C8280F" w:rsidRPr="00911F80" w:rsidRDefault="002A54E1" w:rsidP="001576BA">
            <w:pPr>
              <w:jc w:val="both"/>
            </w:pPr>
            <w:r w:rsidRPr="00911F80">
              <w:t>Stiffness</w:t>
            </w:r>
          </w:p>
        </w:tc>
        <w:tc>
          <w:tcPr>
            <w:tcW w:w="1002" w:type="dxa"/>
            <w:tcBorders>
              <w:bottom w:val="single" w:sz="8" w:space="0" w:color="000000"/>
              <w:right w:val="single" w:sz="8" w:space="0" w:color="000000"/>
            </w:tcBorders>
            <w:tcMar>
              <w:top w:w="100" w:type="dxa"/>
              <w:left w:w="60" w:type="dxa"/>
              <w:bottom w:w="100" w:type="dxa"/>
              <w:right w:w="60" w:type="dxa"/>
            </w:tcMar>
          </w:tcPr>
          <w:p w14:paraId="33D17DBA" w14:textId="77777777" w:rsidR="00C8280F" w:rsidRPr="00911F80" w:rsidRDefault="002A54E1" w:rsidP="001576BA">
            <w:pPr>
              <w:jc w:val="both"/>
              <w:rPr>
                <w:vertAlign w:val="subscript"/>
              </w:rPr>
            </w:pPr>
            <w:r w:rsidRPr="00911F80">
              <w:t>Alginate M</w:t>
            </w:r>
            <w:r w:rsidRPr="00911F80">
              <w:rPr>
                <w:vertAlign w:val="subscript"/>
              </w:rPr>
              <w:t>W</w:t>
            </w:r>
          </w:p>
        </w:tc>
        <w:tc>
          <w:tcPr>
            <w:tcW w:w="979" w:type="dxa"/>
            <w:tcBorders>
              <w:bottom w:val="single" w:sz="8" w:space="0" w:color="000000"/>
              <w:right w:val="single" w:sz="8" w:space="0" w:color="000000"/>
            </w:tcBorders>
            <w:tcMar>
              <w:top w:w="100" w:type="dxa"/>
              <w:left w:w="60" w:type="dxa"/>
              <w:bottom w:w="100" w:type="dxa"/>
              <w:right w:w="60" w:type="dxa"/>
            </w:tcMar>
          </w:tcPr>
          <w:p w14:paraId="06D1209D" w14:textId="77777777" w:rsidR="00C8280F" w:rsidRPr="00911F80" w:rsidRDefault="002A54E1" w:rsidP="001576BA">
            <w:pPr>
              <w:jc w:val="both"/>
            </w:pPr>
            <w:r w:rsidRPr="00911F80">
              <w:t>Alginate M</w:t>
            </w:r>
            <w:r w:rsidRPr="00911F80">
              <w:rPr>
                <w:vertAlign w:val="subscript"/>
              </w:rPr>
              <w:t>W</w:t>
            </w:r>
            <w:r w:rsidRPr="00911F80">
              <w:t xml:space="preserve"> (kDa)</w:t>
            </w:r>
          </w:p>
        </w:tc>
        <w:tc>
          <w:tcPr>
            <w:tcW w:w="1025" w:type="dxa"/>
            <w:tcBorders>
              <w:bottom w:val="single" w:sz="8" w:space="0" w:color="000000"/>
              <w:right w:val="single" w:sz="8" w:space="0" w:color="000000"/>
            </w:tcBorders>
            <w:tcMar>
              <w:top w:w="100" w:type="dxa"/>
              <w:left w:w="60" w:type="dxa"/>
              <w:bottom w:w="100" w:type="dxa"/>
              <w:right w:w="60" w:type="dxa"/>
            </w:tcMar>
          </w:tcPr>
          <w:p w14:paraId="1FDCEAEC" w14:textId="77777777" w:rsidR="00C8280F" w:rsidRPr="00911F80" w:rsidRDefault="002A54E1" w:rsidP="001576BA">
            <w:pPr>
              <w:jc w:val="both"/>
            </w:pPr>
            <w:r w:rsidRPr="00911F80">
              <w:t>Final alginate % wt/vol</w:t>
            </w:r>
          </w:p>
        </w:tc>
        <w:tc>
          <w:tcPr>
            <w:tcW w:w="1129" w:type="dxa"/>
            <w:tcBorders>
              <w:bottom w:val="single" w:sz="8" w:space="0" w:color="000000"/>
              <w:right w:val="single" w:sz="8" w:space="0" w:color="000000"/>
            </w:tcBorders>
            <w:tcMar>
              <w:top w:w="100" w:type="dxa"/>
              <w:left w:w="60" w:type="dxa"/>
              <w:bottom w:w="100" w:type="dxa"/>
              <w:right w:w="60" w:type="dxa"/>
            </w:tcMar>
          </w:tcPr>
          <w:p w14:paraId="792D28F0" w14:textId="77777777" w:rsidR="00C8280F" w:rsidRPr="00911F80" w:rsidRDefault="002A54E1" w:rsidP="001576BA">
            <w:pPr>
              <w:jc w:val="both"/>
            </w:pPr>
            <w:r w:rsidRPr="00911F80">
              <w:t>AAD crosslinker conc. (mM)</w:t>
            </w:r>
          </w:p>
        </w:tc>
        <w:tc>
          <w:tcPr>
            <w:tcW w:w="1210" w:type="dxa"/>
            <w:tcBorders>
              <w:bottom w:val="single" w:sz="8" w:space="0" w:color="000000"/>
              <w:right w:val="single" w:sz="8" w:space="0" w:color="000000"/>
            </w:tcBorders>
            <w:tcMar>
              <w:top w:w="100" w:type="dxa"/>
              <w:left w:w="60" w:type="dxa"/>
              <w:bottom w:w="100" w:type="dxa"/>
              <w:right w:w="60" w:type="dxa"/>
            </w:tcMar>
          </w:tcPr>
          <w:p w14:paraId="54886AC9" w14:textId="77777777" w:rsidR="00C8280F" w:rsidRPr="00911F80" w:rsidRDefault="002A54E1" w:rsidP="001576BA">
            <w:pPr>
              <w:jc w:val="both"/>
            </w:pPr>
            <w:r w:rsidRPr="00911F80">
              <w:t>Ca</w:t>
            </w:r>
            <w:r w:rsidRPr="00911F80">
              <w:rPr>
                <w:vertAlign w:val="superscript"/>
              </w:rPr>
              <w:t>2+</w:t>
            </w:r>
            <w:r w:rsidRPr="00911F80">
              <w:t xml:space="preserve"> crosslinker conc. (mM)</w:t>
            </w:r>
          </w:p>
        </w:tc>
        <w:tc>
          <w:tcPr>
            <w:tcW w:w="1210" w:type="dxa"/>
            <w:tcBorders>
              <w:bottom w:val="single" w:sz="8" w:space="0" w:color="000000"/>
              <w:right w:val="single" w:sz="8" w:space="0" w:color="000000"/>
            </w:tcBorders>
            <w:tcMar>
              <w:top w:w="100" w:type="dxa"/>
              <w:left w:w="60" w:type="dxa"/>
              <w:bottom w:w="100" w:type="dxa"/>
              <w:right w:w="60" w:type="dxa"/>
            </w:tcMar>
          </w:tcPr>
          <w:p w14:paraId="10757491" w14:textId="77777777" w:rsidR="00C8280F" w:rsidRPr="00911F80" w:rsidRDefault="002A54E1" w:rsidP="001576BA">
            <w:pPr>
              <w:jc w:val="both"/>
            </w:pPr>
            <w:r w:rsidRPr="00911F80">
              <w:t>Initial elastic modulus (kPa, mean +/- SD)</w:t>
            </w:r>
          </w:p>
        </w:tc>
        <w:tc>
          <w:tcPr>
            <w:tcW w:w="1383" w:type="dxa"/>
            <w:tcBorders>
              <w:bottom w:val="single" w:sz="8" w:space="0" w:color="000000"/>
              <w:right w:val="single" w:sz="8" w:space="0" w:color="000000"/>
            </w:tcBorders>
            <w:tcMar>
              <w:top w:w="100" w:type="dxa"/>
              <w:left w:w="60" w:type="dxa"/>
              <w:bottom w:w="100" w:type="dxa"/>
              <w:right w:w="60" w:type="dxa"/>
            </w:tcMar>
          </w:tcPr>
          <w:p w14:paraId="0505A676" w14:textId="77777777" w:rsidR="00C8280F" w:rsidRPr="00911F80" w:rsidRDefault="002A54E1" w:rsidP="001576BA">
            <w:pPr>
              <w:jc w:val="both"/>
            </w:pPr>
            <w:r w:rsidRPr="00911F80">
              <w:t>Stress relaxation halftime t</w:t>
            </w:r>
            <w:r w:rsidRPr="00911F80">
              <w:rPr>
                <w:vertAlign w:val="subscript"/>
              </w:rPr>
              <w:t xml:space="preserve">1/2 </w:t>
            </w:r>
            <w:r w:rsidRPr="00911F80">
              <w:t>(sec, mean +/- SD)</w:t>
            </w:r>
          </w:p>
        </w:tc>
      </w:tr>
      <w:tr w:rsidR="00C8280F" w:rsidRPr="00911F80" w14:paraId="5713A3A2" w14:textId="77777777">
        <w:trPr>
          <w:trHeight w:val="500"/>
        </w:trPr>
        <w:tc>
          <w:tcPr>
            <w:tcW w:w="1083" w:type="dxa"/>
            <w:tcBorders>
              <w:left w:val="single" w:sz="8" w:space="0" w:color="000000"/>
              <w:bottom w:val="single" w:sz="8" w:space="0" w:color="000000"/>
              <w:right w:val="single" w:sz="8" w:space="0" w:color="000000"/>
            </w:tcBorders>
            <w:shd w:val="clear" w:color="auto" w:fill="F2F2F2"/>
            <w:tcMar>
              <w:top w:w="100" w:type="dxa"/>
              <w:left w:w="60" w:type="dxa"/>
              <w:bottom w:w="100" w:type="dxa"/>
              <w:right w:w="60" w:type="dxa"/>
            </w:tcMar>
          </w:tcPr>
          <w:p w14:paraId="6EBE30DD" w14:textId="77777777" w:rsidR="00C8280F" w:rsidRPr="00911F80" w:rsidRDefault="002A54E1" w:rsidP="001576BA">
            <w:pPr>
              <w:jc w:val="both"/>
            </w:pPr>
            <w:r w:rsidRPr="00911F80">
              <w:t>Low</w:t>
            </w:r>
          </w:p>
        </w:tc>
        <w:tc>
          <w:tcPr>
            <w:tcW w:w="1002" w:type="dxa"/>
            <w:tcBorders>
              <w:bottom w:val="single" w:sz="8" w:space="0" w:color="000000"/>
              <w:right w:val="single" w:sz="8" w:space="0" w:color="000000"/>
            </w:tcBorders>
            <w:shd w:val="clear" w:color="auto" w:fill="F2F2F2"/>
            <w:tcMar>
              <w:top w:w="100" w:type="dxa"/>
              <w:left w:w="60" w:type="dxa"/>
              <w:bottom w:w="100" w:type="dxa"/>
              <w:right w:w="60" w:type="dxa"/>
            </w:tcMar>
          </w:tcPr>
          <w:p w14:paraId="11657551" w14:textId="77777777" w:rsidR="00C8280F" w:rsidRPr="00911F80" w:rsidRDefault="002A54E1" w:rsidP="001576BA">
            <w:pPr>
              <w:jc w:val="both"/>
            </w:pPr>
            <w:r w:rsidRPr="00911F80">
              <w:t>Low</w:t>
            </w:r>
          </w:p>
        </w:tc>
        <w:tc>
          <w:tcPr>
            <w:tcW w:w="979" w:type="dxa"/>
            <w:tcBorders>
              <w:bottom w:val="single" w:sz="8" w:space="0" w:color="000000"/>
              <w:right w:val="single" w:sz="8" w:space="0" w:color="000000"/>
            </w:tcBorders>
            <w:shd w:val="clear" w:color="auto" w:fill="F2F2F2"/>
            <w:tcMar>
              <w:top w:w="100" w:type="dxa"/>
              <w:left w:w="60" w:type="dxa"/>
              <w:bottom w:w="100" w:type="dxa"/>
              <w:right w:w="60" w:type="dxa"/>
            </w:tcMar>
          </w:tcPr>
          <w:p w14:paraId="7C524E9B" w14:textId="77777777" w:rsidR="00C8280F" w:rsidRPr="00911F80" w:rsidRDefault="002A54E1" w:rsidP="001576BA">
            <w:pPr>
              <w:jc w:val="both"/>
            </w:pPr>
            <w:r w:rsidRPr="00911F80">
              <w:t>51</w:t>
            </w:r>
          </w:p>
        </w:tc>
        <w:tc>
          <w:tcPr>
            <w:tcW w:w="1025" w:type="dxa"/>
            <w:tcBorders>
              <w:bottom w:val="single" w:sz="8" w:space="0" w:color="000000"/>
              <w:right w:val="single" w:sz="8" w:space="0" w:color="000000"/>
            </w:tcBorders>
            <w:shd w:val="clear" w:color="auto" w:fill="F2F2F2"/>
            <w:tcMar>
              <w:top w:w="100" w:type="dxa"/>
              <w:left w:w="60" w:type="dxa"/>
              <w:bottom w:w="100" w:type="dxa"/>
              <w:right w:w="60" w:type="dxa"/>
            </w:tcMar>
          </w:tcPr>
          <w:p w14:paraId="7C9E9A9F" w14:textId="77777777" w:rsidR="00C8280F" w:rsidRPr="00911F80" w:rsidRDefault="002A54E1" w:rsidP="001576BA">
            <w:pPr>
              <w:jc w:val="both"/>
            </w:pPr>
            <w:r w:rsidRPr="00911F80">
              <w:t>2</w:t>
            </w:r>
          </w:p>
        </w:tc>
        <w:tc>
          <w:tcPr>
            <w:tcW w:w="1129" w:type="dxa"/>
            <w:tcBorders>
              <w:bottom w:val="single" w:sz="8" w:space="0" w:color="000000"/>
              <w:right w:val="single" w:sz="8" w:space="0" w:color="000000"/>
            </w:tcBorders>
            <w:shd w:val="clear" w:color="auto" w:fill="F2F2F2"/>
            <w:tcMar>
              <w:top w:w="100" w:type="dxa"/>
              <w:left w:w="60" w:type="dxa"/>
              <w:bottom w:w="100" w:type="dxa"/>
              <w:right w:w="60" w:type="dxa"/>
            </w:tcMar>
          </w:tcPr>
          <w:p w14:paraId="6B9ED1F3" w14:textId="77777777" w:rsidR="00C8280F" w:rsidRPr="00911F80" w:rsidRDefault="002A54E1" w:rsidP="001576BA">
            <w:pPr>
              <w:jc w:val="both"/>
            </w:pPr>
            <w:r w:rsidRPr="00911F80">
              <w:t>-</w:t>
            </w:r>
          </w:p>
        </w:tc>
        <w:tc>
          <w:tcPr>
            <w:tcW w:w="1210" w:type="dxa"/>
            <w:tcBorders>
              <w:bottom w:val="single" w:sz="8" w:space="0" w:color="000000"/>
              <w:right w:val="single" w:sz="8" w:space="0" w:color="000000"/>
            </w:tcBorders>
            <w:shd w:val="clear" w:color="auto" w:fill="F2F2F2"/>
            <w:tcMar>
              <w:top w:w="100" w:type="dxa"/>
              <w:left w:w="60" w:type="dxa"/>
              <w:bottom w:w="100" w:type="dxa"/>
              <w:right w:w="60" w:type="dxa"/>
            </w:tcMar>
          </w:tcPr>
          <w:p w14:paraId="46E951C9" w14:textId="77777777" w:rsidR="00C8280F" w:rsidRPr="00911F80" w:rsidRDefault="002A54E1" w:rsidP="001576BA">
            <w:pPr>
              <w:jc w:val="both"/>
            </w:pPr>
            <w:r w:rsidRPr="00911F80">
              <w:t>17</w:t>
            </w:r>
          </w:p>
        </w:tc>
        <w:tc>
          <w:tcPr>
            <w:tcW w:w="1210" w:type="dxa"/>
            <w:tcBorders>
              <w:bottom w:val="single" w:sz="8" w:space="0" w:color="000000"/>
              <w:right w:val="single" w:sz="8" w:space="0" w:color="000000"/>
            </w:tcBorders>
            <w:shd w:val="clear" w:color="auto" w:fill="F2F2F2"/>
            <w:tcMar>
              <w:top w:w="100" w:type="dxa"/>
              <w:left w:w="60" w:type="dxa"/>
              <w:bottom w:w="100" w:type="dxa"/>
              <w:right w:w="60" w:type="dxa"/>
            </w:tcMar>
          </w:tcPr>
          <w:p w14:paraId="7FF36541" w14:textId="77777777" w:rsidR="00C8280F" w:rsidRPr="00911F80" w:rsidRDefault="002A54E1" w:rsidP="001576BA">
            <w:pPr>
              <w:jc w:val="both"/>
            </w:pPr>
            <w:r w:rsidRPr="00911F80">
              <w:t>3.0 +/- 1.0</w:t>
            </w:r>
          </w:p>
        </w:tc>
        <w:tc>
          <w:tcPr>
            <w:tcW w:w="1383" w:type="dxa"/>
            <w:tcBorders>
              <w:bottom w:val="single" w:sz="8" w:space="0" w:color="000000"/>
              <w:right w:val="single" w:sz="8" w:space="0" w:color="000000"/>
            </w:tcBorders>
            <w:shd w:val="clear" w:color="auto" w:fill="F2F2F2"/>
            <w:tcMar>
              <w:top w:w="100" w:type="dxa"/>
              <w:left w:w="60" w:type="dxa"/>
              <w:bottom w:w="100" w:type="dxa"/>
              <w:right w:w="60" w:type="dxa"/>
            </w:tcMar>
          </w:tcPr>
          <w:p w14:paraId="37807BA1" w14:textId="77777777" w:rsidR="00C8280F" w:rsidRPr="00911F80" w:rsidRDefault="002A54E1" w:rsidP="001576BA">
            <w:pPr>
              <w:jc w:val="both"/>
            </w:pPr>
            <w:r w:rsidRPr="00911F80">
              <w:t>519 +/- 100</w:t>
            </w:r>
          </w:p>
        </w:tc>
      </w:tr>
      <w:tr w:rsidR="00C8280F" w:rsidRPr="00911F80" w14:paraId="3A3E05EE" w14:textId="77777777">
        <w:trPr>
          <w:trHeight w:val="500"/>
        </w:trPr>
        <w:tc>
          <w:tcPr>
            <w:tcW w:w="1083" w:type="dxa"/>
            <w:tcBorders>
              <w:left w:val="single" w:sz="8" w:space="0" w:color="000000"/>
              <w:bottom w:val="single" w:sz="8" w:space="0" w:color="000000"/>
              <w:right w:val="single" w:sz="8" w:space="0" w:color="000000"/>
            </w:tcBorders>
            <w:shd w:val="clear" w:color="auto" w:fill="F2F2F2"/>
            <w:tcMar>
              <w:top w:w="100" w:type="dxa"/>
              <w:left w:w="60" w:type="dxa"/>
              <w:bottom w:w="100" w:type="dxa"/>
              <w:right w:w="60" w:type="dxa"/>
            </w:tcMar>
          </w:tcPr>
          <w:p w14:paraId="27795705" w14:textId="77777777" w:rsidR="00C8280F" w:rsidRPr="00911F80" w:rsidRDefault="002A54E1" w:rsidP="001576BA">
            <w:pPr>
              <w:jc w:val="both"/>
            </w:pPr>
            <w:r w:rsidRPr="00911F80">
              <w:lastRenderedPageBreak/>
              <w:t>Low</w:t>
            </w:r>
          </w:p>
        </w:tc>
        <w:tc>
          <w:tcPr>
            <w:tcW w:w="1002" w:type="dxa"/>
            <w:tcBorders>
              <w:bottom w:val="single" w:sz="8" w:space="0" w:color="000000"/>
              <w:right w:val="single" w:sz="8" w:space="0" w:color="000000"/>
            </w:tcBorders>
            <w:shd w:val="clear" w:color="auto" w:fill="F2F2F2"/>
            <w:tcMar>
              <w:top w:w="100" w:type="dxa"/>
              <w:left w:w="60" w:type="dxa"/>
              <w:bottom w:w="100" w:type="dxa"/>
              <w:right w:w="60" w:type="dxa"/>
            </w:tcMar>
          </w:tcPr>
          <w:p w14:paraId="750C1422" w14:textId="77777777" w:rsidR="00C8280F" w:rsidRPr="00911F80" w:rsidRDefault="002A54E1" w:rsidP="001576BA">
            <w:pPr>
              <w:jc w:val="both"/>
            </w:pPr>
            <w:r w:rsidRPr="00911F80">
              <w:t>High</w:t>
            </w:r>
          </w:p>
        </w:tc>
        <w:tc>
          <w:tcPr>
            <w:tcW w:w="979" w:type="dxa"/>
            <w:tcBorders>
              <w:bottom w:val="single" w:sz="8" w:space="0" w:color="000000"/>
              <w:right w:val="single" w:sz="8" w:space="0" w:color="000000"/>
            </w:tcBorders>
            <w:shd w:val="clear" w:color="auto" w:fill="F2F2F2"/>
            <w:tcMar>
              <w:top w:w="100" w:type="dxa"/>
              <w:left w:w="60" w:type="dxa"/>
              <w:bottom w:w="100" w:type="dxa"/>
              <w:right w:w="60" w:type="dxa"/>
            </w:tcMar>
          </w:tcPr>
          <w:p w14:paraId="6B6D5AD4" w14:textId="77777777" w:rsidR="00C8280F" w:rsidRPr="00911F80" w:rsidRDefault="002A54E1" w:rsidP="001576BA">
            <w:pPr>
              <w:jc w:val="both"/>
            </w:pPr>
            <w:r w:rsidRPr="00911F80">
              <w:t>227</w:t>
            </w:r>
          </w:p>
        </w:tc>
        <w:tc>
          <w:tcPr>
            <w:tcW w:w="1025" w:type="dxa"/>
            <w:tcBorders>
              <w:bottom w:val="single" w:sz="8" w:space="0" w:color="000000"/>
              <w:right w:val="single" w:sz="8" w:space="0" w:color="000000"/>
            </w:tcBorders>
            <w:shd w:val="clear" w:color="auto" w:fill="F2F2F2"/>
            <w:tcMar>
              <w:top w:w="100" w:type="dxa"/>
              <w:left w:w="60" w:type="dxa"/>
              <w:bottom w:w="100" w:type="dxa"/>
              <w:right w:w="60" w:type="dxa"/>
            </w:tcMar>
          </w:tcPr>
          <w:p w14:paraId="5D42683B" w14:textId="77777777" w:rsidR="00C8280F" w:rsidRPr="00911F80" w:rsidRDefault="002A54E1" w:rsidP="001576BA">
            <w:pPr>
              <w:jc w:val="both"/>
            </w:pPr>
            <w:r w:rsidRPr="00911F80">
              <w:t>2</w:t>
            </w:r>
          </w:p>
        </w:tc>
        <w:tc>
          <w:tcPr>
            <w:tcW w:w="1129" w:type="dxa"/>
            <w:tcBorders>
              <w:bottom w:val="single" w:sz="8" w:space="0" w:color="000000"/>
              <w:right w:val="single" w:sz="8" w:space="0" w:color="000000"/>
            </w:tcBorders>
            <w:shd w:val="clear" w:color="auto" w:fill="F2F2F2"/>
            <w:tcMar>
              <w:top w:w="100" w:type="dxa"/>
              <w:left w:w="60" w:type="dxa"/>
              <w:bottom w:w="100" w:type="dxa"/>
              <w:right w:w="60" w:type="dxa"/>
            </w:tcMar>
          </w:tcPr>
          <w:p w14:paraId="57A58AF4" w14:textId="77777777" w:rsidR="00C8280F" w:rsidRPr="00911F80" w:rsidRDefault="002A54E1" w:rsidP="001576BA">
            <w:pPr>
              <w:jc w:val="both"/>
            </w:pPr>
            <w:r w:rsidRPr="00911F80">
              <w:t>0.4</w:t>
            </w:r>
          </w:p>
        </w:tc>
        <w:tc>
          <w:tcPr>
            <w:tcW w:w="1210" w:type="dxa"/>
            <w:tcBorders>
              <w:bottom w:val="single" w:sz="8" w:space="0" w:color="000000"/>
              <w:right w:val="single" w:sz="8" w:space="0" w:color="000000"/>
            </w:tcBorders>
            <w:shd w:val="clear" w:color="auto" w:fill="F2F2F2"/>
            <w:tcMar>
              <w:top w:w="100" w:type="dxa"/>
              <w:left w:w="60" w:type="dxa"/>
              <w:bottom w:w="100" w:type="dxa"/>
              <w:right w:w="60" w:type="dxa"/>
            </w:tcMar>
          </w:tcPr>
          <w:p w14:paraId="04D0A596" w14:textId="77777777" w:rsidR="00C8280F" w:rsidRPr="00911F80" w:rsidRDefault="002A54E1" w:rsidP="001576BA">
            <w:pPr>
              <w:jc w:val="both"/>
            </w:pPr>
            <w:r w:rsidRPr="00911F80">
              <w:t>-</w:t>
            </w:r>
          </w:p>
        </w:tc>
        <w:tc>
          <w:tcPr>
            <w:tcW w:w="1210" w:type="dxa"/>
            <w:tcBorders>
              <w:bottom w:val="single" w:sz="8" w:space="0" w:color="000000"/>
              <w:right w:val="single" w:sz="8" w:space="0" w:color="000000"/>
            </w:tcBorders>
            <w:shd w:val="clear" w:color="auto" w:fill="F2F2F2"/>
            <w:tcMar>
              <w:top w:w="100" w:type="dxa"/>
              <w:left w:w="60" w:type="dxa"/>
              <w:bottom w:w="100" w:type="dxa"/>
              <w:right w:w="60" w:type="dxa"/>
            </w:tcMar>
          </w:tcPr>
          <w:p w14:paraId="536D1108" w14:textId="77777777" w:rsidR="00C8280F" w:rsidRPr="00911F80" w:rsidRDefault="002A54E1" w:rsidP="001576BA">
            <w:pPr>
              <w:jc w:val="both"/>
            </w:pPr>
            <w:r w:rsidRPr="00911F80">
              <w:t>2.5 +/- 0.3</w:t>
            </w:r>
          </w:p>
        </w:tc>
        <w:tc>
          <w:tcPr>
            <w:tcW w:w="1383" w:type="dxa"/>
            <w:tcBorders>
              <w:bottom w:val="single" w:sz="8" w:space="0" w:color="000000"/>
              <w:right w:val="single" w:sz="8" w:space="0" w:color="000000"/>
            </w:tcBorders>
            <w:shd w:val="clear" w:color="auto" w:fill="F2F2F2"/>
            <w:tcMar>
              <w:top w:w="100" w:type="dxa"/>
              <w:left w:w="60" w:type="dxa"/>
              <w:bottom w:w="100" w:type="dxa"/>
              <w:right w:w="60" w:type="dxa"/>
            </w:tcMar>
          </w:tcPr>
          <w:p w14:paraId="1A3339D3" w14:textId="77777777" w:rsidR="00C8280F" w:rsidRPr="00911F80" w:rsidRDefault="002A54E1" w:rsidP="001576BA">
            <w:pPr>
              <w:jc w:val="both"/>
            </w:pPr>
            <w:r w:rsidRPr="00911F80">
              <w:t>-</w:t>
            </w:r>
          </w:p>
        </w:tc>
      </w:tr>
      <w:tr w:rsidR="00C8280F" w:rsidRPr="00911F80" w14:paraId="66D32436" w14:textId="77777777">
        <w:trPr>
          <w:trHeight w:val="500"/>
        </w:trPr>
        <w:tc>
          <w:tcPr>
            <w:tcW w:w="1083" w:type="dxa"/>
            <w:tcBorders>
              <w:left w:val="single" w:sz="8" w:space="0" w:color="000000"/>
              <w:bottom w:val="single" w:sz="8" w:space="0" w:color="000000"/>
              <w:right w:val="single" w:sz="8" w:space="0" w:color="000000"/>
            </w:tcBorders>
            <w:tcMar>
              <w:top w:w="100" w:type="dxa"/>
              <w:left w:w="60" w:type="dxa"/>
              <w:bottom w:w="100" w:type="dxa"/>
              <w:right w:w="60" w:type="dxa"/>
            </w:tcMar>
          </w:tcPr>
          <w:p w14:paraId="787650BA" w14:textId="77777777" w:rsidR="00C8280F" w:rsidRPr="00911F80" w:rsidRDefault="002A54E1" w:rsidP="001576BA">
            <w:pPr>
              <w:jc w:val="both"/>
            </w:pPr>
            <w:r w:rsidRPr="00911F80">
              <w:t>Mid-low</w:t>
            </w:r>
          </w:p>
        </w:tc>
        <w:tc>
          <w:tcPr>
            <w:tcW w:w="1002" w:type="dxa"/>
            <w:tcBorders>
              <w:bottom w:val="single" w:sz="8" w:space="0" w:color="000000"/>
              <w:right w:val="single" w:sz="8" w:space="0" w:color="000000"/>
            </w:tcBorders>
            <w:tcMar>
              <w:top w:w="100" w:type="dxa"/>
              <w:left w:w="60" w:type="dxa"/>
              <w:bottom w:w="100" w:type="dxa"/>
              <w:right w:w="60" w:type="dxa"/>
            </w:tcMar>
          </w:tcPr>
          <w:p w14:paraId="6E03E488" w14:textId="77777777" w:rsidR="00C8280F" w:rsidRPr="00911F80" w:rsidRDefault="002A54E1" w:rsidP="001576BA">
            <w:pPr>
              <w:jc w:val="both"/>
            </w:pPr>
            <w:r w:rsidRPr="00911F80">
              <w:t>Mid</w:t>
            </w:r>
          </w:p>
        </w:tc>
        <w:tc>
          <w:tcPr>
            <w:tcW w:w="979" w:type="dxa"/>
            <w:tcBorders>
              <w:bottom w:val="single" w:sz="8" w:space="0" w:color="000000"/>
              <w:right w:val="single" w:sz="8" w:space="0" w:color="000000"/>
            </w:tcBorders>
            <w:tcMar>
              <w:top w:w="100" w:type="dxa"/>
              <w:left w:w="60" w:type="dxa"/>
              <w:bottom w:w="100" w:type="dxa"/>
              <w:right w:w="60" w:type="dxa"/>
            </w:tcMar>
          </w:tcPr>
          <w:p w14:paraId="26632414" w14:textId="77777777" w:rsidR="00C8280F" w:rsidRPr="00911F80" w:rsidRDefault="002A54E1" w:rsidP="001576BA">
            <w:pPr>
              <w:jc w:val="both"/>
            </w:pPr>
            <w:r w:rsidRPr="00911F80">
              <w:t>76</w:t>
            </w:r>
          </w:p>
        </w:tc>
        <w:tc>
          <w:tcPr>
            <w:tcW w:w="1025" w:type="dxa"/>
            <w:tcBorders>
              <w:bottom w:val="single" w:sz="8" w:space="0" w:color="000000"/>
              <w:right w:val="single" w:sz="8" w:space="0" w:color="000000"/>
            </w:tcBorders>
            <w:tcMar>
              <w:top w:w="100" w:type="dxa"/>
              <w:left w:w="60" w:type="dxa"/>
              <w:bottom w:w="100" w:type="dxa"/>
              <w:right w:w="60" w:type="dxa"/>
            </w:tcMar>
          </w:tcPr>
          <w:p w14:paraId="446BD1AE" w14:textId="77777777" w:rsidR="00C8280F" w:rsidRPr="00911F80" w:rsidRDefault="002A54E1" w:rsidP="001576BA">
            <w:pPr>
              <w:jc w:val="both"/>
            </w:pPr>
            <w:r w:rsidRPr="00911F80">
              <w:t>2</w:t>
            </w:r>
          </w:p>
        </w:tc>
        <w:tc>
          <w:tcPr>
            <w:tcW w:w="1129" w:type="dxa"/>
            <w:tcBorders>
              <w:bottom w:val="single" w:sz="8" w:space="0" w:color="000000"/>
              <w:right w:val="single" w:sz="8" w:space="0" w:color="000000"/>
            </w:tcBorders>
            <w:tcMar>
              <w:top w:w="100" w:type="dxa"/>
              <w:left w:w="60" w:type="dxa"/>
              <w:bottom w:w="100" w:type="dxa"/>
              <w:right w:w="60" w:type="dxa"/>
            </w:tcMar>
          </w:tcPr>
          <w:p w14:paraId="7757E5D0" w14:textId="77777777" w:rsidR="00C8280F" w:rsidRPr="00911F80" w:rsidRDefault="002A54E1" w:rsidP="001576BA">
            <w:pPr>
              <w:jc w:val="both"/>
            </w:pPr>
            <w:r w:rsidRPr="00911F80">
              <w:t>-</w:t>
            </w:r>
          </w:p>
        </w:tc>
        <w:tc>
          <w:tcPr>
            <w:tcW w:w="1210" w:type="dxa"/>
            <w:tcBorders>
              <w:bottom w:val="single" w:sz="8" w:space="0" w:color="000000"/>
              <w:right w:val="single" w:sz="8" w:space="0" w:color="000000"/>
            </w:tcBorders>
            <w:tcMar>
              <w:top w:w="100" w:type="dxa"/>
              <w:left w:w="60" w:type="dxa"/>
              <w:bottom w:w="100" w:type="dxa"/>
              <w:right w:w="60" w:type="dxa"/>
            </w:tcMar>
          </w:tcPr>
          <w:p w14:paraId="02184218" w14:textId="77777777" w:rsidR="00C8280F" w:rsidRPr="00911F80" w:rsidRDefault="002A54E1" w:rsidP="001576BA">
            <w:pPr>
              <w:jc w:val="both"/>
            </w:pPr>
            <w:r w:rsidRPr="00911F80">
              <w:t>24</w:t>
            </w:r>
          </w:p>
        </w:tc>
        <w:tc>
          <w:tcPr>
            <w:tcW w:w="1210" w:type="dxa"/>
            <w:tcBorders>
              <w:bottom w:val="single" w:sz="8" w:space="0" w:color="000000"/>
              <w:right w:val="single" w:sz="8" w:space="0" w:color="000000"/>
            </w:tcBorders>
            <w:tcMar>
              <w:top w:w="100" w:type="dxa"/>
              <w:left w:w="60" w:type="dxa"/>
              <w:bottom w:w="100" w:type="dxa"/>
              <w:right w:w="60" w:type="dxa"/>
            </w:tcMar>
          </w:tcPr>
          <w:p w14:paraId="77AC4AFD" w14:textId="77777777" w:rsidR="00C8280F" w:rsidRPr="00911F80" w:rsidRDefault="002A54E1" w:rsidP="001576BA">
            <w:pPr>
              <w:jc w:val="both"/>
            </w:pPr>
            <w:r w:rsidRPr="00911F80">
              <w:t>12.9 +/- 1.4</w:t>
            </w:r>
          </w:p>
        </w:tc>
        <w:tc>
          <w:tcPr>
            <w:tcW w:w="1383" w:type="dxa"/>
            <w:tcBorders>
              <w:bottom w:val="single" w:sz="8" w:space="0" w:color="000000"/>
              <w:right w:val="single" w:sz="8" w:space="0" w:color="000000"/>
            </w:tcBorders>
            <w:tcMar>
              <w:top w:w="100" w:type="dxa"/>
              <w:left w:w="60" w:type="dxa"/>
              <w:bottom w:w="100" w:type="dxa"/>
              <w:right w:w="60" w:type="dxa"/>
            </w:tcMar>
          </w:tcPr>
          <w:p w14:paraId="27C5B590" w14:textId="77777777" w:rsidR="00C8280F" w:rsidRPr="00911F80" w:rsidRDefault="002A54E1" w:rsidP="001576BA">
            <w:pPr>
              <w:jc w:val="both"/>
            </w:pPr>
            <w:r w:rsidRPr="00911F80">
              <w:t>224 +/- 27</w:t>
            </w:r>
          </w:p>
        </w:tc>
      </w:tr>
      <w:tr w:rsidR="00B217CE" w:rsidRPr="00911F80" w14:paraId="522B3EBC" w14:textId="77777777">
        <w:trPr>
          <w:trHeight w:val="500"/>
        </w:trPr>
        <w:tc>
          <w:tcPr>
            <w:tcW w:w="1083" w:type="dxa"/>
            <w:tcBorders>
              <w:left w:val="single" w:sz="8" w:space="0" w:color="000000"/>
              <w:bottom w:val="single" w:sz="8" w:space="0" w:color="000000"/>
              <w:right w:val="single" w:sz="8" w:space="0" w:color="000000"/>
            </w:tcBorders>
            <w:tcMar>
              <w:top w:w="100" w:type="dxa"/>
              <w:left w:w="60" w:type="dxa"/>
              <w:bottom w:w="100" w:type="dxa"/>
              <w:right w:w="60" w:type="dxa"/>
            </w:tcMar>
          </w:tcPr>
          <w:p w14:paraId="56A393B3" w14:textId="693789A4" w:rsidR="00B217CE" w:rsidRPr="00911F80" w:rsidRDefault="00B217CE" w:rsidP="001576BA">
            <w:pPr>
              <w:jc w:val="both"/>
            </w:pPr>
            <w:r w:rsidRPr="00911F80">
              <w:t>Mid-low*</w:t>
            </w:r>
          </w:p>
        </w:tc>
        <w:tc>
          <w:tcPr>
            <w:tcW w:w="1002" w:type="dxa"/>
            <w:tcBorders>
              <w:bottom w:val="single" w:sz="8" w:space="0" w:color="000000"/>
              <w:right w:val="single" w:sz="8" w:space="0" w:color="000000"/>
            </w:tcBorders>
            <w:tcMar>
              <w:top w:w="100" w:type="dxa"/>
              <w:left w:w="60" w:type="dxa"/>
              <w:bottom w:w="100" w:type="dxa"/>
              <w:right w:w="60" w:type="dxa"/>
            </w:tcMar>
          </w:tcPr>
          <w:p w14:paraId="5C6623F9" w14:textId="44FF42E5" w:rsidR="00B217CE" w:rsidRPr="00911F80" w:rsidRDefault="00B217CE" w:rsidP="001576BA">
            <w:pPr>
              <w:jc w:val="both"/>
            </w:pPr>
            <w:r w:rsidRPr="00911F80">
              <w:t>Mid</w:t>
            </w:r>
          </w:p>
        </w:tc>
        <w:tc>
          <w:tcPr>
            <w:tcW w:w="979" w:type="dxa"/>
            <w:tcBorders>
              <w:bottom w:val="single" w:sz="8" w:space="0" w:color="000000"/>
              <w:right w:val="single" w:sz="8" w:space="0" w:color="000000"/>
            </w:tcBorders>
            <w:tcMar>
              <w:top w:w="100" w:type="dxa"/>
              <w:left w:w="60" w:type="dxa"/>
              <w:bottom w:w="100" w:type="dxa"/>
              <w:right w:w="60" w:type="dxa"/>
            </w:tcMar>
          </w:tcPr>
          <w:p w14:paraId="557F0184" w14:textId="0815F10E" w:rsidR="00B217CE" w:rsidRPr="00911F80" w:rsidRDefault="00B217CE" w:rsidP="001576BA">
            <w:pPr>
              <w:jc w:val="both"/>
            </w:pPr>
            <w:r w:rsidRPr="00911F80">
              <w:t>120</w:t>
            </w:r>
          </w:p>
        </w:tc>
        <w:tc>
          <w:tcPr>
            <w:tcW w:w="1025" w:type="dxa"/>
            <w:tcBorders>
              <w:bottom w:val="single" w:sz="8" w:space="0" w:color="000000"/>
              <w:right w:val="single" w:sz="8" w:space="0" w:color="000000"/>
            </w:tcBorders>
            <w:tcMar>
              <w:top w:w="100" w:type="dxa"/>
              <w:left w:w="60" w:type="dxa"/>
              <w:bottom w:w="100" w:type="dxa"/>
              <w:right w:w="60" w:type="dxa"/>
            </w:tcMar>
          </w:tcPr>
          <w:p w14:paraId="0469FAAD" w14:textId="5BC57DE9" w:rsidR="00B217CE" w:rsidRPr="00911F80" w:rsidRDefault="00B217CE" w:rsidP="001576BA">
            <w:pPr>
              <w:jc w:val="both"/>
            </w:pPr>
            <w:r w:rsidRPr="00911F80">
              <w:t>2</w:t>
            </w:r>
          </w:p>
        </w:tc>
        <w:tc>
          <w:tcPr>
            <w:tcW w:w="1129" w:type="dxa"/>
            <w:tcBorders>
              <w:bottom w:val="single" w:sz="8" w:space="0" w:color="000000"/>
              <w:right w:val="single" w:sz="8" w:space="0" w:color="000000"/>
            </w:tcBorders>
            <w:tcMar>
              <w:top w:w="100" w:type="dxa"/>
              <w:left w:w="60" w:type="dxa"/>
              <w:bottom w:w="100" w:type="dxa"/>
              <w:right w:w="60" w:type="dxa"/>
            </w:tcMar>
          </w:tcPr>
          <w:p w14:paraId="70C26A87" w14:textId="427C3A26" w:rsidR="00B217CE" w:rsidRPr="00911F80" w:rsidRDefault="00B217CE" w:rsidP="001576BA">
            <w:pPr>
              <w:jc w:val="both"/>
            </w:pPr>
            <w:r w:rsidRPr="00911F80">
              <w:t>-</w:t>
            </w:r>
          </w:p>
        </w:tc>
        <w:tc>
          <w:tcPr>
            <w:tcW w:w="1210" w:type="dxa"/>
            <w:tcBorders>
              <w:bottom w:val="single" w:sz="8" w:space="0" w:color="000000"/>
              <w:right w:val="single" w:sz="8" w:space="0" w:color="000000"/>
            </w:tcBorders>
            <w:tcMar>
              <w:top w:w="100" w:type="dxa"/>
              <w:left w:w="60" w:type="dxa"/>
              <w:bottom w:w="100" w:type="dxa"/>
              <w:right w:w="60" w:type="dxa"/>
            </w:tcMar>
          </w:tcPr>
          <w:p w14:paraId="6D7DB946" w14:textId="743FA91B" w:rsidR="00B217CE" w:rsidRPr="00911F80" w:rsidRDefault="00B217CE" w:rsidP="001576BA">
            <w:pPr>
              <w:jc w:val="both"/>
            </w:pPr>
            <w:r w:rsidRPr="00911F80">
              <w:t>13</w:t>
            </w:r>
          </w:p>
        </w:tc>
        <w:tc>
          <w:tcPr>
            <w:tcW w:w="1210" w:type="dxa"/>
            <w:tcBorders>
              <w:bottom w:val="single" w:sz="8" w:space="0" w:color="000000"/>
              <w:right w:val="single" w:sz="8" w:space="0" w:color="000000"/>
            </w:tcBorders>
            <w:tcMar>
              <w:top w:w="100" w:type="dxa"/>
              <w:left w:w="60" w:type="dxa"/>
              <w:bottom w:w="100" w:type="dxa"/>
              <w:right w:w="60" w:type="dxa"/>
            </w:tcMar>
          </w:tcPr>
          <w:p w14:paraId="0B399291" w14:textId="15D9C0BB" w:rsidR="00B217CE" w:rsidRPr="00911F80" w:rsidRDefault="00B217CE" w:rsidP="001576BA">
            <w:pPr>
              <w:jc w:val="both"/>
            </w:pPr>
            <w:r w:rsidRPr="00911F80">
              <w:t>11.7 +/-1.6</w:t>
            </w:r>
          </w:p>
        </w:tc>
        <w:tc>
          <w:tcPr>
            <w:tcW w:w="1383" w:type="dxa"/>
            <w:tcBorders>
              <w:bottom w:val="single" w:sz="8" w:space="0" w:color="000000"/>
              <w:right w:val="single" w:sz="8" w:space="0" w:color="000000"/>
            </w:tcBorders>
            <w:tcMar>
              <w:top w:w="100" w:type="dxa"/>
              <w:left w:w="60" w:type="dxa"/>
              <w:bottom w:w="100" w:type="dxa"/>
              <w:right w:w="60" w:type="dxa"/>
            </w:tcMar>
          </w:tcPr>
          <w:p w14:paraId="3AB879F3" w14:textId="096BDAFE" w:rsidR="00B217CE" w:rsidRPr="00911F80" w:rsidRDefault="00B217CE" w:rsidP="001576BA">
            <w:pPr>
              <w:jc w:val="both"/>
            </w:pPr>
            <w:r w:rsidRPr="00911F80">
              <w:t>1250 +/-240</w:t>
            </w:r>
          </w:p>
        </w:tc>
      </w:tr>
      <w:tr w:rsidR="00C8280F" w:rsidRPr="00911F80" w14:paraId="66CDE562" w14:textId="77777777">
        <w:trPr>
          <w:trHeight w:val="500"/>
        </w:trPr>
        <w:tc>
          <w:tcPr>
            <w:tcW w:w="1083" w:type="dxa"/>
            <w:tcBorders>
              <w:left w:val="single" w:sz="8" w:space="0" w:color="000000"/>
              <w:bottom w:val="single" w:sz="8" w:space="0" w:color="000000"/>
              <w:right w:val="single" w:sz="8" w:space="0" w:color="000000"/>
            </w:tcBorders>
            <w:tcMar>
              <w:top w:w="100" w:type="dxa"/>
              <w:left w:w="60" w:type="dxa"/>
              <w:bottom w:w="100" w:type="dxa"/>
              <w:right w:w="60" w:type="dxa"/>
            </w:tcMar>
          </w:tcPr>
          <w:p w14:paraId="4D210FB9" w14:textId="77777777" w:rsidR="00C8280F" w:rsidRPr="00911F80" w:rsidRDefault="002A54E1" w:rsidP="001576BA">
            <w:pPr>
              <w:jc w:val="both"/>
            </w:pPr>
            <w:r w:rsidRPr="00911F80">
              <w:t>Mid-low*</w:t>
            </w:r>
          </w:p>
        </w:tc>
        <w:tc>
          <w:tcPr>
            <w:tcW w:w="1002" w:type="dxa"/>
            <w:tcBorders>
              <w:bottom w:val="single" w:sz="8" w:space="0" w:color="000000"/>
              <w:right w:val="single" w:sz="8" w:space="0" w:color="000000"/>
            </w:tcBorders>
            <w:tcMar>
              <w:top w:w="100" w:type="dxa"/>
              <w:left w:w="60" w:type="dxa"/>
              <w:bottom w:w="100" w:type="dxa"/>
              <w:right w:w="60" w:type="dxa"/>
            </w:tcMar>
          </w:tcPr>
          <w:p w14:paraId="0864F976" w14:textId="77777777" w:rsidR="00C8280F" w:rsidRPr="00911F80" w:rsidRDefault="002A54E1" w:rsidP="001576BA">
            <w:pPr>
              <w:jc w:val="both"/>
            </w:pPr>
            <w:r w:rsidRPr="00911F80">
              <w:t>High</w:t>
            </w:r>
          </w:p>
        </w:tc>
        <w:tc>
          <w:tcPr>
            <w:tcW w:w="979" w:type="dxa"/>
            <w:tcBorders>
              <w:bottom w:val="single" w:sz="8" w:space="0" w:color="000000"/>
              <w:right w:val="single" w:sz="8" w:space="0" w:color="000000"/>
            </w:tcBorders>
            <w:tcMar>
              <w:top w:w="100" w:type="dxa"/>
              <w:left w:w="60" w:type="dxa"/>
              <w:bottom w:w="100" w:type="dxa"/>
              <w:right w:w="60" w:type="dxa"/>
            </w:tcMar>
          </w:tcPr>
          <w:p w14:paraId="24C2E1C3" w14:textId="77777777" w:rsidR="00C8280F" w:rsidRPr="00911F80" w:rsidRDefault="002A54E1" w:rsidP="001576BA">
            <w:pPr>
              <w:jc w:val="both"/>
            </w:pPr>
            <w:r w:rsidRPr="00911F80">
              <w:t>227</w:t>
            </w:r>
          </w:p>
        </w:tc>
        <w:tc>
          <w:tcPr>
            <w:tcW w:w="1025" w:type="dxa"/>
            <w:tcBorders>
              <w:bottom w:val="single" w:sz="8" w:space="0" w:color="000000"/>
              <w:right w:val="single" w:sz="8" w:space="0" w:color="000000"/>
            </w:tcBorders>
            <w:tcMar>
              <w:top w:w="100" w:type="dxa"/>
              <w:left w:w="60" w:type="dxa"/>
              <w:bottom w:w="100" w:type="dxa"/>
              <w:right w:w="60" w:type="dxa"/>
            </w:tcMar>
          </w:tcPr>
          <w:p w14:paraId="635BAAAA" w14:textId="77777777" w:rsidR="00C8280F" w:rsidRPr="00911F80" w:rsidRDefault="002A54E1" w:rsidP="001576BA">
            <w:pPr>
              <w:jc w:val="both"/>
            </w:pPr>
            <w:r w:rsidRPr="00911F80">
              <w:t>2</w:t>
            </w:r>
          </w:p>
        </w:tc>
        <w:tc>
          <w:tcPr>
            <w:tcW w:w="1129" w:type="dxa"/>
            <w:tcBorders>
              <w:bottom w:val="single" w:sz="8" w:space="0" w:color="000000"/>
              <w:right w:val="single" w:sz="8" w:space="0" w:color="000000"/>
            </w:tcBorders>
            <w:tcMar>
              <w:top w:w="100" w:type="dxa"/>
              <w:left w:w="60" w:type="dxa"/>
              <w:bottom w:w="100" w:type="dxa"/>
              <w:right w:w="60" w:type="dxa"/>
            </w:tcMar>
          </w:tcPr>
          <w:p w14:paraId="4EAF17C5" w14:textId="77777777" w:rsidR="00C8280F" w:rsidRPr="00911F80" w:rsidRDefault="002A54E1" w:rsidP="001576BA">
            <w:pPr>
              <w:jc w:val="both"/>
            </w:pPr>
            <w:r w:rsidRPr="00911F80">
              <w:t>-</w:t>
            </w:r>
          </w:p>
        </w:tc>
        <w:tc>
          <w:tcPr>
            <w:tcW w:w="1210" w:type="dxa"/>
            <w:tcBorders>
              <w:bottom w:val="single" w:sz="8" w:space="0" w:color="000000"/>
              <w:right w:val="single" w:sz="8" w:space="0" w:color="000000"/>
            </w:tcBorders>
            <w:tcMar>
              <w:top w:w="100" w:type="dxa"/>
              <w:left w:w="60" w:type="dxa"/>
              <w:bottom w:w="100" w:type="dxa"/>
              <w:right w:w="60" w:type="dxa"/>
            </w:tcMar>
          </w:tcPr>
          <w:p w14:paraId="2E2FBC81" w14:textId="77777777" w:rsidR="00C8280F" w:rsidRPr="00911F80" w:rsidRDefault="002A54E1" w:rsidP="001576BA">
            <w:pPr>
              <w:jc w:val="both"/>
            </w:pPr>
            <w:r w:rsidRPr="00911F80">
              <w:t>12</w:t>
            </w:r>
          </w:p>
        </w:tc>
        <w:tc>
          <w:tcPr>
            <w:tcW w:w="1210" w:type="dxa"/>
            <w:tcBorders>
              <w:bottom w:val="single" w:sz="8" w:space="0" w:color="000000"/>
              <w:right w:val="single" w:sz="8" w:space="0" w:color="000000"/>
            </w:tcBorders>
            <w:tcMar>
              <w:top w:w="100" w:type="dxa"/>
              <w:left w:w="60" w:type="dxa"/>
              <w:bottom w:w="100" w:type="dxa"/>
              <w:right w:w="60" w:type="dxa"/>
            </w:tcMar>
          </w:tcPr>
          <w:p w14:paraId="785F75D4" w14:textId="77777777" w:rsidR="00C8280F" w:rsidRPr="00911F80" w:rsidRDefault="002A54E1" w:rsidP="001576BA">
            <w:pPr>
              <w:jc w:val="both"/>
            </w:pPr>
            <w:r w:rsidRPr="00911F80">
              <w:t>11.6 +/- 0.4</w:t>
            </w:r>
          </w:p>
        </w:tc>
        <w:tc>
          <w:tcPr>
            <w:tcW w:w="1383" w:type="dxa"/>
            <w:tcBorders>
              <w:bottom w:val="single" w:sz="8" w:space="0" w:color="000000"/>
              <w:right w:val="single" w:sz="8" w:space="0" w:color="000000"/>
            </w:tcBorders>
            <w:tcMar>
              <w:top w:w="100" w:type="dxa"/>
              <w:left w:w="60" w:type="dxa"/>
              <w:bottom w:w="100" w:type="dxa"/>
              <w:right w:w="60" w:type="dxa"/>
            </w:tcMar>
          </w:tcPr>
          <w:p w14:paraId="01384579" w14:textId="77777777" w:rsidR="00C8280F" w:rsidRPr="00911F80" w:rsidRDefault="002A54E1" w:rsidP="001576BA">
            <w:pPr>
              <w:jc w:val="both"/>
            </w:pPr>
            <w:r w:rsidRPr="00911F80">
              <w:t>1827 +/- 140</w:t>
            </w:r>
          </w:p>
        </w:tc>
      </w:tr>
      <w:tr w:rsidR="00C8280F" w:rsidRPr="00911F80" w14:paraId="78D7EB9A" w14:textId="77777777">
        <w:trPr>
          <w:trHeight w:val="500"/>
        </w:trPr>
        <w:tc>
          <w:tcPr>
            <w:tcW w:w="1083" w:type="dxa"/>
            <w:tcBorders>
              <w:left w:val="single" w:sz="8" w:space="0" w:color="000000"/>
              <w:bottom w:val="single" w:sz="8" w:space="0" w:color="000000"/>
              <w:right w:val="single" w:sz="8" w:space="0" w:color="000000"/>
            </w:tcBorders>
            <w:tcMar>
              <w:top w:w="100" w:type="dxa"/>
              <w:left w:w="60" w:type="dxa"/>
              <w:bottom w:w="100" w:type="dxa"/>
              <w:right w:w="60" w:type="dxa"/>
            </w:tcMar>
          </w:tcPr>
          <w:p w14:paraId="03E5C3D0" w14:textId="77777777" w:rsidR="00C8280F" w:rsidRPr="00911F80" w:rsidRDefault="002A54E1" w:rsidP="001576BA">
            <w:pPr>
              <w:jc w:val="both"/>
            </w:pPr>
            <w:r w:rsidRPr="00911F80">
              <w:t>Mid-low</w:t>
            </w:r>
          </w:p>
        </w:tc>
        <w:tc>
          <w:tcPr>
            <w:tcW w:w="1002" w:type="dxa"/>
            <w:tcBorders>
              <w:bottom w:val="single" w:sz="8" w:space="0" w:color="000000"/>
              <w:right w:val="single" w:sz="8" w:space="0" w:color="000000"/>
            </w:tcBorders>
            <w:tcMar>
              <w:top w:w="100" w:type="dxa"/>
              <w:left w:w="60" w:type="dxa"/>
              <w:bottom w:w="100" w:type="dxa"/>
              <w:right w:w="60" w:type="dxa"/>
            </w:tcMar>
          </w:tcPr>
          <w:p w14:paraId="2095AE06" w14:textId="77777777" w:rsidR="00C8280F" w:rsidRPr="00911F80" w:rsidRDefault="002A54E1" w:rsidP="001576BA">
            <w:pPr>
              <w:jc w:val="both"/>
            </w:pPr>
            <w:r w:rsidRPr="00911F80">
              <w:t>High</w:t>
            </w:r>
          </w:p>
        </w:tc>
        <w:tc>
          <w:tcPr>
            <w:tcW w:w="979" w:type="dxa"/>
            <w:tcBorders>
              <w:bottom w:val="single" w:sz="8" w:space="0" w:color="000000"/>
              <w:right w:val="single" w:sz="8" w:space="0" w:color="000000"/>
            </w:tcBorders>
            <w:tcMar>
              <w:top w:w="100" w:type="dxa"/>
              <w:left w:w="60" w:type="dxa"/>
              <w:bottom w:w="100" w:type="dxa"/>
              <w:right w:w="60" w:type="dxa"/>
            </w:tcMar>
          </w:tcPr>
          <w:p w14:paraId="2941DD25" w14:textId="77777777" w:rsidR="00C8280F" w:rsidRPr="00911F80" w:rsidRDefault="002A54E1" w:rsidP="001576BA">
            <w:pPr>
              <w:jc w:val="both"/>
            </w:pPr>
            <w:r w:rsidRPr="00911F80">
              <w:t>227</w:t>
            </w:r>
          </w:p>
        </w:tc>
        <w:tc>
          <w:tcPr>
            <w:tcW w:w="1025" w:type="dxa"/>
            <w:tcBorders>
              <w:bottom w:val="single" w:sz="8" w:space="0" w:color="000000"/>
              <w:right w:val="single" w:sz="8" w:space="0" w:color="000000"/>
            </w:tcBorders>
            <w:tcMar>
              <w:top w:w="100" w:type="dxa"/>
              <w:left w:w="60" w:type="dxa"/>
              <w:bottom w:w="100" w:type="dxa"/>
              <w:right w:w="60" w:type="dxa"/>
            </w:tcMar>
          </w:tcPr>
          <w:p w14:paraId="5ECD9A6C" w14:textId="77777777" w:rsidR="00C8280F" w:rsidRPr="00911F80" w:rsidRDefault="002A54E1" w:rsidP="001576BA">
            <w:pPr>
              <w:jc w:val="both"/>
            </w:pPr>
            <w:r w:rsidRPr="00911F80">
              <w:t>2</w:t>
            </w:r>
          </w:p>
        </w:tc>
        <w:tc>
          <w:tcPr>
            <w:tcW w:w="1129" w:type="dxa"/>
            <w:tcBorders>
              <w:bottom w:val="single" w:sz="8" w:space="0" w:color="000000"/>
              <w:right w:val="single" w:sz="8" w:space="0" w:color="000000"/>
            </w:tcBorders>
            <w:tcMar>
              <w:top w:w="100" w:type="dxa"/>
              <w:left w:w="60" w:type="dxa"/>
              <w:bottom w:w="100" w:type="dxa"/>
              <w:right w:w="60" w:type="dxa"/>
            </w:tcMar>
          </w:tcPr>
          <w:p w14:paraId="10AA141A" w14:textId="77777777" w:rsidR="00C8280F" w:rsidRPr="00911F80" w:rsidRDefault="002A54E1" w:rsidP="001576BA">
            <w:pPr>
              <w:jc w:val="both"/>
            </w:pPr>
            <w:r w:rsidRPr="00911F80">
              <w:t>1.5</w:t>
            </w:r>
          </w:p>
        </w:tc>
        <w:tc>
          <w:tcPr>
            <w:tcW w:w="1210" w:type="dxa"/>
            <w:tcBorders>
              <w:bottom w:val="single" w:sz="8" w:space="0" w:color="000000"/>
              <w:right w:val="single" w:sz="8" w:space="0" w:color="000000"/>
            </w:tcBorders>
            <w:tcMar>
              <w:top w:w="100" w:type="dxa"/>
              <w:left w:w="60" w:type="dxa"/>
              <w:bottom w:w="100" w:type="dxa"/>
              <w:right w:w="60" w:type="dxa"/>
            </w:tcMar>
          </w:tcPr>
          <w:p w14:paraId="67D1EE61" w14:textId="77777777" w:rsidR="00C8280F" w:rsidRPr="00911F80" w:rsidRDefault="002A54E1" w:rsidP="001576BA">
            <w:pPr>
              <w:jc w:val="both"/>
            </w:pPr>
            <w:r w:rsidRPr="00911F80">
              <w:t>-</w:t>
            </w:r>
          </w:p>
        </w:tc>
        <w:tc>
          <w:tcPr>
            <w:tcW w:w="1210" w:type="dxa"/>
            <w:tcBorders>
              <w:bottom w:val="single" w:sz="8" w:space="0" w:color="000000"/>
              <w:right w:val="single" w:sz="8" w:space="0" w:color="000000"/>
            </w:tcBorders>
            <w:tcMar>
              <w:top w:w="100" w:type="dxa"/>
              <w:left w:w="60" w:type="dxa"/>
              <w:bottom w:w="100" w:type="dxa"/>
              <w:right w:w="60" w:type="dxa"/>
            </w:tcMar>
          </w:tcPr>
          <w:p w14:paraId="7BB2DD45" w14:textId="77777777" w:rsidR="00C8280F" w:rsidRPr="00911F80" w:rsidRDefault="002A54E1" w:rsidP="001576BA">
            <w:pPr>
              <w:jc w:val="both"/>
            </w:pPr>
            <w:r w:rsidRPr="00911F80">
              <w:t>11.6 +/- 0.8</w:t>
            </w:r>
          </w:p>
        </w:tc>
        <w:tc>
          <w:tcPr>
            <w:tcW w:w="1383" w:type="dxa"/>
            <w:tcBorders>
              <w:bottom w:val="single" w:sz="8" w:space="0" w:color="000000"/>
              <w:right w:val="single" w:sz="8" w:space="0" w:color="000000"/>
            </w:tcBorders>
            <w:tcMar>
              <w:top w:w="100" w:type="dxa"/>
              <w:left w:w="60" w:type="dxa"/>
              <w:bottom w:w="100" w:type="dxa"/>
              <w:right w:w="60" w:type="dxa"/>
            </w:tcMar>
          </w:tcPr>
          <w:p w14:paraId="17DF9EB3" w14:textId="77777777" w:rsidR="00C8280F" w:rsidRPr="00911F80" w:rsidRDefault="002A54E1" w:rsidP="001576BA">
            <w:pPr>
              <w:jc w:val="both"/>
            </w:pPr>
            <w:r w:rsidRPr="00911F80">
              <w:t>-</w:t>
            </w:r>
          </w:p>
        </w:tc>
      </w:tr>
      <w:tr w:rsidR="00C8280F" w:rsidRPr="00911F80" w14:paraId="0E291B83" w14:textId="77777777">
        <w:trPr>
          <w:trHeight w:val="500"/>
        </w:trPr>
        <w:tc>
          <w:tcPr>
            <w:tcW w:w="1083" w:type="dxa"/>
            <w:tcBorders>
              <w:left w:val="single" w:sz="8" w:space="0" w:color="000000"/>
              <w:bottom w:val="single" w:sz="8" w:space="0" w:color="000000"/>
              <w:right w:val="single" w:sz="8" w:space="0" w:color="000000"/>
            </w:tcBorders>
            <w:shd w:val="clear" w:color="auto" w:fill="F2F2F2"/>
            <w:tcMar>
              <w:top w:w="100" w:type="dxa"/>
              <w:left w:w="60" w:type="dxa"/>
              <w:bottom w:w="100" w:type="dxa"/>
              <w:right w:w="60" w:type="dxa"/>
            </w:tcMar>
          </w:tcPr>
          <w:p w14:paraId="0E766417" w14:textId="77777777" w:rsidR="00C8280F" w:rsidRPr="00911F80" w:rsidRDefault="002A54E1" w:rsidP="001576BA">
            <w:pPr>
              <w:jc w:val="both"/>
            </w:pPr>
            <w:r w:rsidRPr="00911F80">
              <w:t>Mid-high</w:t>
            </w:r>
          </w:p>
        </w:tc>
        <w:tc>
          <w:tcPr>
            <w:tcW w:w="1002" w:type="dxa"/>
            <w:tcBorders>
              <w:bottom w:val="single" w:sz="8" w:space="0" w:color="000000"/>
              <w:right w:val="single" w:sz="8" w:space="0" w:color="000000"/>
            </w:tcBorders>
            <w:shd w:val="clear" w:color="auto" w:fill="F2F2F2"/>
            <w:tcMar>
              <w:top w:w="100" w:type="dxa"/>
              <w:left w:w="60" w:type="dxa"/>
              <w:bottom w:w="100" w:type="dxa"/>
              <w:right w:w="60" w:type="dxa"/>
            </w:tcMar>
          </w:tcPr>
          <w:p w14:paraId="6EEA849E" w14:textId="77777777" w:rsidR="00C8280F" w:rsidRPr="00911F80" w:rsidRDefault="002A54E1" w:rsidP="001576BA">
            <w:pPr>
              <w:jc w:val="both"/>
            </w:pPr>
            <w:r w:rsidRPr="00911F80">
              <w:t>Low</w:t>
            </w:r>
          </w:p>
        </w:tc>
        <w:tc>
          <w:tcPr>
            <w:tcW w:w="979" w:type="dxa"/>
            <w:tcBorders>
              <w:bottom w:val="single" w:sz="8" w:space="0" w:color="000000"/>
              <w:right w:val="single" w:sz="8" w:space="0" w:color="000000"/>
            </w:tcBorders>
            <w:shd w:val="clear" w:color="auto" w:fill="F2F2F2"/>
            <w:tcMar>
              <w:top w:w="100" w:type="dxa"/>
              <w:left w:w="60" w:type="dxa"/>
              <w:bottom w:w="100" w:type="dxa"/>
              <w:right w:w="60" w:type="dxa"/>
            </w:tcMar>
          </w:tcPr>
          <w:p w14:paraId="35EE9F6E" w14:textId="77777777" w:rsidR="00C8280F" w:rsidRPr="00911F80" w:rsidRDefault="002A54E1" w:rsidP="001576BA">
            <w:pPr>
              <w:jc w:val="both"/>
            </w:pPr>
            <w:r w:rsidRPr="00911F80">
              <w:t>51</w:t>
            </w:r>
          </w:p>
        </w:tc>
        <w:tc>
          <w:tcPr>
            <w:tcW w:w="1025" w:type="dxa"/>
            <w:tcBorders>
              <w:bottom w:val="single" w:sz="8" w:space="0" w:color="000000"/>
              <w:right w:val="single" w:sz="8" w:space="0" w:color="000000"/>
            </w:tcBorders>
            <w:shd w:val="clear" w:color="auto" w:fill="F2F2F2"/>
            <w:tcMar>
              <w:top w:w="100" w:type="dxa"/>
              <w:left w:w="60" w:type="dxa"/>
              <w:bottom w:w="100" w:type="dxa"/>
              <w:right w:w="60" w:type="dxa"/>
            </w:tcMar>
          </w:tcPr>
          <w:p w14:paraId="1E670685" w14:textId="77777777" w:rsidR="00C8280F" w:rsidRPr="00911F80" w:rsidRDefault="002A54E1" w:rsidP="001576BA">
            <w:pPr>
              <w:jc w:val="both"/>
            </w:pPr>
            <w:r w:rsidRPr="00911F80">
              <w:t>2</w:t>
            </w:r>
          </w:p>
        </w:tc>
        <w:tc>
          <w:tcPr>
            <w:tcW w:w="1129" w:type="dxa"/>
            <w:tcBorders>
              <w:bottom w:val="single" w:sz="8" w:space="0" w:color="000000"/>
              <w:right w:val="single" w:sz="8" w:space="0" w:color="000000"/>
            </w:tcBorders>
            <w:shd w:val="clear" w:color="auto" w:fill="F2F2F2"/>
            <w:tcMar>
              <w:top w:w="100" w:type="dxa"/>
              <w:left w:w="60" w:type="dxa"/>
              <w:bottom w:w="100" w:type="dxa"/>
              <w:right w:w="60" w:type="dxa"/>
            </w:tcMar>
          </w:tcPr>
          <w:p w14:paraId="7171E1B3" w14:textId="77777777" w:rsidR="00C8280F" w:rsidRPr="00911F80" w:rsidRDefault="002A54E1" w:rsidP="001576BA">
            <w:pPr>
              <w:jc w:val="both"/>
            </w:pPr>
            <w:r w:rsidRPr="00911F80">
              <w:t>-</w:t>
            </w:r>
          </w:p>
        </w:tc>
        <w:tc>
          <w:tcPr>
            <w:tcW w:w="1210" w:type="dxa"/>
            <w:tcBorders>
              <w:bottom w:val="single" w:sz="8" w:space="0" w:color="000000"/>
              <w:right w:val="single" w:sz="8" w:space="0" w:color="000000"/>
            </w:tcBorders>
            <w:shd w:val="clear" w:color="auto" w:fill="F2F2F2"/>
            <w:tcMar>
              <w:top w:w="100" w:type="dxa"/>
              <w:left w:w="60" w:type="dxa"/>
              <w:bottom w:w="100" w:type="dxa"/>
              <w:right w:w="60" w:type="dxa"/>
            </w:tcMar>
          </w:tcPr>
          <w:p w14:paraId="38EC7183" w14:textId="77777777" w:rsidR="00C8280F" w:rsidRPr="00911F80" w:rsidRDefault="002A54E1" w:rsidP="001576BA">
            <w:pPr>
              <w:jc w:val="both"/>
            </w:pPr>
            <w:r w:rsidRPr="00911F80">
              <w:t>38</w:t>
            </w:r>
          </w:p>
        </w:tc>
        <w:tc>
          <w:tcPr>
            <w:tcW w:w="1210" w:type="dxa"/>
            <w:tcBorders>
              <w:bottom w:val="single" w:sz="8" w:space="0" w:color="000000"/>
              <w:right w:val="single" w:sz="8" w:space="0" w:color="000000"/>
            </w:tcBorders>
            <w:shd w:val="clear" w:color="auto" w:fill="F2F2F2"/>
            <w:tcMar>
              <w:top w:w="100" w:type="dxa"/>
              <w:left w:w="60" w:type="dxa"/>
              <w:bottom w:w="100" w:type="dxa"/>
              <w:right w:w="60" w:type="dxa"/>
            </w:tcMar>
          </w:tcPr>
          <w:p w14:paraId="61CB6E34" w14:textId="77777777" w:rsidR="00C8280F" w:rsidRPr="00911F80" w:rsidRDefault="002A54E1" w:rsidP="001576BA">
            <w:pPr>
              <w:jc w:val="both"/>
            </w:pPr>
            <w:r w:rsidRPr="00911F80">
              <w:t>19.2 +/- 3.4</w:t>
            </w:r>
          </w:p>
        </w:tc>
        <w:tc>
          <w:tcPr>
            <w:tcW w:w="1383" w:type="dxa"/>
            <w:tcBorders>
              <w:bottom w:val="single" w:sz="8" w:space="0" w:color="000000"/>
              <w:right w:val="single" w:sz="8" w:space="0" w:color="000000"/>
            </w:tcBorders>
            <w:shd w:val="clear" w:color="auto" w:fill="F2F2F2"/>
            <w:tcMar>
              <w:top w:w="100" w:type="dxa"/>
              <w:left w:w="60" w:type="dxa"/>
              <w:bottom w:w="100" w:type="dxa"/>
              <w:right w:w="60" w:type="dxa"/>
            </w:tcMar>
          </w:tcPr>
          <w:p w14:paraId="544FA2E5" w14:textId="77777777" w:rsidR="00C8280F" w:rsidRPr="00911F80" w:rsidRDefault="002A54E1" w:rsidP="001576BA">
            <w:pPr>
              <w:jc w:val="both"/>
            </w:pPr>
            <w:r w:rsidRPr="00911F80">
              <w:t>79 +/- 17</w:t>
            </w:r>
          </w:p>
        </w:tc>
      </w:tr>
      <w:tr w:rsidR="00C8280F" w:rsidRPr="00911F80" w14:paraId="3E0E2848" w14:textId="77777777">
        <w:trPr>
          <w:trHeight w:val="500"/>
        </w:trPr>
        <w:tc>
          <w:tcPr>
            <w:tcW w:w="1083" w:type="dxa"/>
            <w:tcBorders>
              <w:left w:val="single" w:sz="8" w:space="0" w:color="000000"/>
              <w:bottom w:val="single" w:sz="8" w:space="0" w:color="000000"/>
              <w:right w:val="single" w:sz="8" w:space="0" w:color="000000"/>
            </w:tcBorders>
            <w:shd w:val="clear" w:color="auto" w:fill="F2F2F2"/>
            <w:tcMar>
              <w:top w:w="100" w:type="dxa"/>
              <w:left w:w="60" w:type="dxa"/>
              <w:bottom w:w="100" w:type="dxa"/>
              <w:right w:w="60" w:type="dxa"/>
            </w:tcMar>
          </w:tcPr>
          <w:p w14:paraId="5A112EC7" w14:textId="77777777" w:rsidR="00C8280F" w:rsidRPr="00911F80" w:rsidRDefault="002A54E1" w:rsidP="001576BA">
            <w:pPr>
              <w:jc w:val="both"/>
            </w:pPr>
            <w:r w:rsidRPr="00911F80">
              <w:t>Mid-high</w:t>
            </w:r>
          </w:p>
        </w:tc>
        <w:tc>
          <w:tcPr>
            <w:tcW w:w="1002" w:type="dxa"/>
            <w:tcBorders>
              <w:bottom w:val="single" w:sz="8" w:space="0" w:color="000000"/>
              <w:right w:val="single" w:sz="8" w:space="0" w:color="000000"/>
            </w:tcBorders>
            <w:shd w:val="clear" w:color="auto" w:fill="F2F2F2"/>
            <w:tcMar>
              <w:top w:w="100" w:type="dxa"/>
              <w:left w:w="60" w:type="dxa"/>
              <w:bottom w:w="100" w:type="dxa"/>
              <w:right w:w="60" w:type="dxa"/>
            </w:tcMar>
          </w:tcPr>
          <w:p w14:paraId="603C7F5A" w14:textId="77777777" w:rsidR="00C8280F" w:rsidRPr="00911F80" w:rsidRDefault="002A54E1" w:rsidP="001576BA">
            <w:pPr>
              <w:jc w:val="both"/>
            </w:pPr>
            <w:r w:rsidRPr="00911F80">
              <w:t>High</w:t>
            </w:r>
          </w:p>
        </w:tc>
        <w:tc>
          <w:tcPr>
            <w:tcW w:w="979" w:type="dxa"/>
            <w:tcBorders>
              <w:bottom w:val="single" w:sz="8" w:space="0" w:color="000000"/>
              <w:right w:val="single" w:sz="8" w:space="0" w:color="000000"/>
            </w:tcBorders>
            <w:shd w:val="clear" w:color="auto" w:fill="F2F2F2"/>
            <w:tcMar>
              <w:top w:w="100" w:type="dxa"/>
              <w:left w:w="60" w:type="dxa"/>
              <w:bottom w:w="100" w:type="dxa"/>
              <w:right w:w="60" w:type="dxa"/>
            </w:tcMar>
          </w:tcPr>
          <w:p w14:paraId="0BEE9197" w14:textId="77777777" w:rsidR="00C8280F" w:rsidRPr="00911F80" w:rsidRDefault="002A54E1" w:rsidP="001576BA">
            <w:pPr>
              <w:jc w:val="both"/>
            </w:pPr>
            <w:r w:rsidRPr="00911F80">
              <w:t>227</w:t>
            </w:r>
          </w:p>
        </w:tc>
        <w:tc>
          <w:tcPr>
            <w:tcW w:w="1025" w:type="dxa"/>
            <w:tcBorders>
              <w:bottom w:val="single" w:sz="8" w:space="0" w:color="000000"/>
              <w:right w:val="single" w:sz="8" w:space="0" w:color="000000"/>
            </w:tcBorders>
            <w:shd w:val="clear" w:color="auto" w:fill="F2F2F2"/>
            <w:tcMar>
              <w:top w:w="100" w:type="dxa"/>
              <w:left w:w="60" w:type="dxa"/>
              <w:bottom w:w="100" w:type="dxa"/>
              <w:right w:w="60" w:type="dxa"/>
            </w:tcMar>
          </w:tcPr>
          <w:p w14:paraId="5A5404ED" w14:textId="77777777" w:rsidR="00C8280F" w:rsidRPr="00911F80" w:rsidRDefault="002A54E1" w:rsidP="001576BA">
            <w:pPr>
              <w:jc w:val="both"/>
            </w:pPr>
            <w:r w:rsidRPr="00911F80">
              <w:t>2</w:t>
            </w:r>
          </w:p>
        </w:tc>
        <w:tc>
          <w:tcPr>
            <w:tcW w:w="1129" w:type="dxa"/>
            <w:tcBorders>
              <w:bottom w:val="single" w:sz="8" w:space="0" w:color="000000"/>
              <w:right w:val="single" w:sz="8" w:space="0" w:color="000000"/>
            </w:tcBorders>
            <w:shd w:val="clear" w:color="auto" w:fill="F2F2F2"/>
            <w:tcMar>
              <w:top w:w="100" w:type="dxa"/>
              <w:left w:w="60" w:type="dxa"/>
              <w:bottom w:w="100" w:type="dxa"/>
              <w:right w:w="60" w:type="dxa"/>
            </w:tcMar>
          </w:tcPr>
          <w:p w14:paraId="644DE557" w14:textId="77777777" w:rsidR="00C8280F" w:rsidRPr="00911F80" w:rsidRDefault="002A54E1" w:rsidP="001576BA">
            <w:pPr>
              <w:jc w:val="both"/>
            </w:pPr>
            <w:r w:rsidRPr="00911F80">
              <w:t>3.1</w:t>
            </w:r>
          </w:p>
        </w:tc>
        <w:tc>
          <w:tcPr>
            <w:tcW w:w="1210" w:type="dxa"/>
            <w:tcBorders>
              <w:bottom w:val="single" w:sz="8" w:space="0" w:color="000000"/>
              <w:right w:val="single" w:sz="8" w:space="0" w:color="000000"/>
            </w:tcBorders>
            <w:shd w:val="clear" w:color="auto" w:fill="F2F2F2"/>
            <w:tcMar>
              <w:top w:w="100" w:type="dxa"/>
              <w:left w:w="60" w:type="dxa"/>
              <w:bottom w:w="100" w:type="dxa"/>
              <w:right w:w="60" w:type="dxa"/>
            </w:tcMar>
          </w:tcPr>
          <w:p w14:paraId="1B64345E" w14:textId="77777777" w:rsidR="00C8280F" w:rsidRPr="00911F80" w:rsidRDefault="002A54E1" w:rsidP="001576BA">
            <w:pPr>
              <w:jc w:val="both"/>
            </w:pPr>
            <w:r w:rsidRPr="00911F80">
              <w:t>-</w:t>
            </w:r>
          </w:p>
        </w:tc>
        <w:tc>
          <w:tcPr>
            <w:tcW w:w="1210" w:type="dxa"/>
            <w:tcBorders>
              <w:bottom w:val="single" w:sz="8" w:space="0" w:color="000000"/>
              <w:right w:val="single" w:sz="8" w:space="0" w:color="000000"/>
            </w:tcBorders>
            <w:shd w:val="clear" w:color="auto" w:fill="F2F2F2"/>
            <w:tcMar>
              <w:top w:w="100" w:type="dxa"/>
              <w:left w:w="60" w:type="dxa"/>
              <w:bottom w:w="100" w:type="dxa"/>
              <w:right w:w="60" w:type="dxa"/>
            </w:tcMar>
          </w:tcPr>
          <w:p w14:paraId="6E39B3FE" w14:textId="77777777" w:rsidR="00C8280F" w:rsidRPr="00911F80" w:rsidRDefault="002A54E1" w:rsidP="001576BA">
            <w:pPr>
              <w:jc w:val="both"/>
            </w:pPr>
            <w:r w:rsidRPr="00911F80">
              <w:t>17.7 +/- 0.2</w:t>
            </w:r>
          </w:p>
        </w:tc>
        <w:tc>
          <w:tcPr>
            <w:tcW w:w="1383" w:type="dxa"/>
            <w:tcBorders>
              <w:bottom w:val="single" w:sz="8" w:space="0" w:color="000000"/>
              <w:right w:val="single" w:sz="8" w:space="0" w:color="000000"/>
            </w:tcBorders>
            <w:shd w:val="clear" w:color="auto" w:fill="F2F2F2"/>
            <w:tcMar>
              <w:top w:w="100" w:type="dxa"/>
              <w:left w:w="60" w:type="dxa"/>
              <w:bottom w:w="100" w:type="dxa"/>
              <w:right w:w="60" w:type="dxa"/>
            </w:tcMar>
          </w:tcPr>
          <w:p w14:paraId="36BAF9CE" w14:textId="77777777" w:rsidR="00C8280F" w:rsidRPr="00911F80" w:rsidRDefault="002A54E1" w:rsidP="001576BA">
            <w:pPr>
              <w:jc w:val="both"/>
            </w:pPr>
            <w:r w:rsidRPr="00911F80">
              <w:t>-</w:t>
            </w:r>
          </w:p>
        </w:tc>
      </w:tr>
      <w:tr w:rsidR="00C8280F" w:rsidRPr="00911F80" w14:paraId="1427AF4A" w14:textId="77777777">
        <w:trPr>
          <w:trHeight w:val="500"/>
        </w:trPr>
        <w:tc>
          <w:tcPr>
            <w:tcW w:w="1083" w:type="dxa"/>
            <w:tcBorders>
              <w:left w:val="single" w:sz="8" w:space="0" w:color="000000"/>
              <w:bottom w:val="single" w:sz="8" w:space="0" w:color="000000"/>
              <w:right w:val="single" w:sz="8" w:space="0" w:color="000000"/>
            </w:tcBorders>
            <w:tcMar>
              <w:top w:w="100" w:type="dxa"/>
              <w:left w:w="60" w:type="dxa"/>
              <w:bottom w:w="100" w:type="dxa"/>
              <w:right w:w="60" w:type="dxa"/>
            </w:tcMar>
          </w:tcPr>
          <w:p w14:paraId="402C20D5" w14:textId="77777777" w:rsidR="00C8280F" w:rsidRPr="00911F80" w:rsidRDefault="002A54E1" w:rsidP="001576BA">
            <w:pPr>
              <w:jc w:val="both"/>
            </w:pPr>
            <w:r w:rsidRPr="00911F80">
              <w:t>High</w:t>
            </w:r>
          </w:p>
        </w:tc>
        <w:tc>
          <w:tcPr>
            <w:tcW w:w="1002" w:type="dxa"/>
            <w:tcBorders>
              <w:bottom w:val="single" w:sz="8" w:space="0" w:color="000000"/>
              <w:right w:val="single" w:sz="8" w:space="0" w:color="000000"/>
            </w:tcBorders>
            <w:tcMar>
              <w:top w:w="100" w:type="dxa"/>
              <w:left w:w="60" w:type="dxa"/>
              <w:bottom w:w="100" w:type="dxa"/>
              <w:right w:w="60" w:type="dxa"/>
            </w:tcMar>
          </w:tcPr>
          <w:p w14:paraId="77F45A93" w14:textId="77777777" w:rsidR="00C8280F" w:rsidRPr="00911F80" w:rsidRDefault="002A54E1" w:rsidP="001576BA">
            <w:pPr>
              <w:jc w:val="both"/>
            </w:pPr>
            <w:r w:rsidRPr="00911F80">
              <w:t>Mid</w:t>
            </w:r>
          </w:p>
        </w:tc>
        <w:tc>
          <w:tcPr>
            <w:tcW w:w="979" w:type="dxa"/>
            <w:tcBorders>
              <w:bottom w:val="single" w:sz="8" w:space="0" w:color="000000"/>
              <w:right w:val="single" w:sz="8" w:space="0" w:color="000000"/>
            </w:tcBorders>
            <w:tcMar>
              <w:top w:w="100" w:type="dxa"/>
              <w:left w:w="60" w:type="dxa"/>
              <w:bottom w:w="100" w:type="dxa"/>
              <w:right w:w="60" w:type="dxa"/>
            </w:tcMar>
          </w:tcPr>
          <w:p w14:paraId="7443B961" w14:textId="77777777" w:rsidR="00C8280F" w:rsidRPr="00911F80" w:rsidRDefault="002A54E1" w:rsidP="001576BA">
            <w:pPr>
              <w:jc w:val="both"/>
            </w:pPr>
            <w:r w:rsidRPr="00911F80">
              <w:t>76</w:t>
            </w:r>
          </w:p>
        </w:tc>
        <w:tc>
          <w:tcPr>
            <w:tcW w:w="1025" w:type="dxa"/>
            <w:tcBorders>
              <w:bottom w:val="single" w:sz="8" w:space="0" w:color="000000"/>
              <w:right w:val="single" w:sz="8" w:space="0" w:color="000000"/>
            </w:tcBorders>
            <w:tcMar>
              <w:top w:w="100" w:type="dxa"/>
              <w:left w:w="60" w:type="dxa"/>
              <w:bottom w:w="100" w:type="dxa"/>
              <w:right w:w="60" w:type="dxa"/>
            </w:tcMar>
          </w:tcPr>
          <w:p w14:paraId="652BA15E" w14:textId="77777777" w:rsidR="00C8280F" w:rsidRPr="00911F80" w:rsidRDefault="002A54E1" w:rsidP="001576BA">
            <w:pPr>
              <w:jc w:val="both"/>
            </w:pPr>
            <w:r w:rsidRPr="00911F80">
              <w:t>2</w:t>
            </w:r>
          </w:p>
        </w:tc>
        <w:tc>
          <w:tcPr>
            <w:tcW w:w="1129" w:type="dxa"/>
            <w:tcBorders>
              <w:bottom w:val="single" w:sz="8" w:space="0" w:color="000000"/>
              <w:right w:val="single" w:sz="8" w:space="0" w:color="000000"/>
            </w:tcBorders>
            <w:tcMar>
              <w:top w:w="100" w:type="dxa"/>
              <w:left w:w="60" w:type="dxa"/>
              <w:bottom w:w="100" w:type="dxa"/>
              <w:right w:w="60" w:type="dxa"/>
            </w:tcMar>
          </w:tcPr>
          <w:p w14:paraId="55DA78FA" w14:textId="77777777" w:rsidR="00C8280F" w:rsidRPr="00911F80" w:rsidRDefault="002A54E1" w:rsidP="001576BA">
            <w:pPr>
              <w:jc w:val="both"/>
            </w:pPr>
            <w:r w:rsidRPr="00911F80">
              <w:t>-</w:t>
            </w:r>
          </w:p>
        </w:tc>
        <w:tc>
          <w:tcPr>
            <w:tcW w:w="1210" w:type="dxa"/>
            <w:tcBorders>
              <w:bottom w:val="single" w:sz="8" w:space="0" w:color="000000"/>
              <w:right w:val="single" w:sz="8" w:space="0" w:color="000000"/>
            </w:tcBorders>
            <w:tcMar>
              <w:top w:w="100" w:type="dxa"/>
              <w:left w:w="60" w:type="dxa"/>
              <w:bottom w:w="100" w:type="dxa"/>
              <w:right w:w="60" w:type="dxa"/>
            </w:tcMar>
          </w:tcPr>
          <w:p w14:paraId="395FE2E4" w14:textId="77777777" w:rsidR="00C8280F" w:rsidRPr="00911F80" w:rsidRDefault="002A54E1" w:rsidP="001576BA">
            <w:pPr>
              <w:jc w:val="both"/>
            </w:pPr>
            <w:r w:rsidRPr="00911F80">
              <w:t>43</w:t>
            </w:r>
          </w:p>
        </w:tc>
        <w:tc>
          <w:tcPr>
            <w:tcW w:w="1210" w:type="dxa"/>
            <w:tcBorders>
              <w:bottom w:val="single" w:sz="8" w:space="0" w:color="000000"/>
              <w:right w:val="single" w:sz="8" w:space="0" w:color="000000"/>
            </w:tcBorders>
            <w:tcMar>
              <w:top w:w="100" w:type="dxa"/>
              <w:left w:w="60" w:type="dxa"/>
              <w:bottom w:w="100" w:type="dxa"/>
              <w:right w:w="60" w:type="dxa"/>
            </w:tcMar>
          </w:tcPr>
          <w:p w14:paraId="2E901707" w14:textId="77777777" w:rsidR="00C8280F" w:rsidRPr="00911F80" w:rsidRDefault="002A54E1" w:rsidP="001576BA">
            <w:pPr>
              <w:jc w:val="both"/>
            </w:pPr>
            <w:r w:rsidRPr="00911F80">
              <w:t>49.4 +/- 6.8</w:t>
            </w:r>
          </w:p>
        </w:tc>
        <w:tc>
          <w:tcPr>
            <w:tcW w:w="1383" w:type="dxa"/>
            <w:tcBorders>
              <w:bottom w:val="single" w:sz="8" w:space="0" w:color="000000"/>
              <w:right w:val="single" w:sz="8" w:space="0" w:color="000000"/>
            </w:tcBorders>
            <w:tcMar>
              <w:top w:w="100" w:type="dxa"/>
              <w:left w:w="60" w:type="dxa"/>
              <w:bottom w:w="100" w:type="dxa"/>
              <w:right w:w="60" w:type="dxa"/>
            </w:tcMar>
          </w:tcPr>
          <w:p w14:paraId="68D024FB" w14:textId="77777777" w:rsidR="00C8280F" w:rsidRPr="00911F80" w:rsidRDefault="002A54E1" w:rsidP="001576BA">
            <w:pPr>
              <w:jc w:val="both"/>
            </w:pPr>
            <w:r w:rsidRPr="00911F80">
              <w:t>81.0 +/- 18.2</w:t>
            </w:r>
          </w:p>
        </w:tc>
      </w:tr>
      <w:tr w:rsidR="00C8280F" w:rsidRPr="00911F80" w14:paraId="542B46DF" w14:textId="77777777">
        <w:trPr>
          <w:trHeight w:val="500"/>
        </w:trPr>
        <w:tc>
          <w:tcPr>
            <w:tcW w:w="1083" w:type="dxa"/>
            <w:tcBorders>
              <w:left w:val="single" w:sz="8" w:space="0" w:color="000000"/>
              <w:bottom w:val="single" w:sz="8" w:space="0" w:color="000000"/>
              <w:right w:val="single" w:sz="8" w:space="0" w:color="000000"/>
            </w:tcBorders>
            <w:tcMar>
              <w:top w:w="100" w:type="dxa"/>
              <w:left w:w="60" w:type="dxa"/>
              <w:bottom w:w="100" w:type="dxa"/>
              <w:right w:w="60" w:type="dxa"/>
            </w:tcMar>
          </w:tcPr>
          <w:p w14:paraId="517C7842" w14:textId="77777777" w:rsidR="00C8280F" w:rsidRPr="00911F80" w:rsidRDefault="002A54E1" w:rsidP="001576BA">
            <w:pPr>
              <w:jc w:val="both"/>
            </w:pPr>
            <w:r w:rsidRPr="00911F80">
              <w:t>High</w:t>
            </w:r>
          </w:p>
        </w:tc>
        <w:tc>
          <w:tcPr>
            <w:tcW w:w="1002" w:type="dxa"/>
            <w:tcBorders>
              <w:bottom w:val="single" w:sz="8" w:space="0" w:color="000000"/>
              <w:right w:val="single" w:sz="8" w:space="0" w:color="000000"/>
            </w:tcBorders>
            <w:tcMar>
              <w:top w:w="100" w:type="dxa"/>
              <w:left w:w="60" w:type="dxa"/>
              <w:bottom w:w="100" w:type="dxa"/>
              <w:right w:w="60" w:type="dxa"/>
            </w:tcMar>
          </w:tcPr>
          <w:p w14:paraId="2F1E55AB" w14:textId="77777777" w:rsidR="00C8280F" w:rsidRPr="00911F80" w:rsidRDefault="002A54E1" w:rsidP="001576BA">
            <w:pPr>
              <w:jc w:val="both"/>
            </w:pPr>
            <w:r w:rsidRPr="00911F80">
              <w:t>Mid</w:t>
            </w:r>
          </w:p>
        </w:tc>
        <w:tc>
          <w:tcPr>
            <w:tcW w:w="979" w:type="dxa"/>
            <w:tcBorders>
              <w:bottom w:val="single" w:sz="8" w:space="0" w:color="000000"/>
              <w:right w:val="single" w:sz="8" w:space="0" w:color="000000"/>
            </w:tcBorders>
            <w:tcMar>
              <w:top w:w="100" w:type="dxa"/>
              <w:left w:w="60" w:type="dxa"/>
              <w:bottom w:w="100" w:type="dxa"/>
              <w:right w:w="60" w:type="dxa"/>
            </w:tcMar>
          </w:tcPr>
          <w:p w14:paraId="39C944DB" w14:textId="77777777" w:rsidR="00C8280F" w:rsidRPr="00911F80" w:rsidRDefault="002A54E1" w:rsidP="001576BA">
            <w:pPr>
              <w:jc w:val="both"/>
            </w:pPr>
            <w:r w:rsidRPr="00911F80">
              <w:t>76</w:t>
            </w:r>
          </w:p>
        </w:tc>
        <w:tc>
          <w:tcPr>
            <w:tcW w:w="1025" w:type="dxa"/>
            <w:tcBorders>
              <w:bottom w:val="single" w:sz="8" w:space="0" w:color="000000"/>
              <w:right w:val="single" w:sz="8" w:space="0" w:color="000000"/>
            </w:tcBorders>
            <w:tcMar>
              <w:top w:w="100" w:type="dxa"/>
              <w:left w:w="60" w:type="dxa"/>
              <w:bottom w:w="100" w:type="dxa"/>
              <w:right w:w="60" w:type="dxa"/>
            </w:tcMar>
          </w:tcPr>
          <w:p w14:paraId="79636730" w14:textId="77777777" w:rsidR="00C8280F" w:rsidRPr="00911F80" w:rsidRDefault="002A54E1" w:rsidP="001576BA">
            <w:pPr>
              <w:jc w:val="both"/>
            </w:pPr>
            <w:r w:rsidRPr="00911F80">
              <w:t>2.8</w:t>
            </w:r>
          </w:p>
        </w:tc>
        <w:tc>
          <w:tcPr>
            <w:tcW w:w="1129" w:type="dxa"/>
            <w:tcBorders>
              <w:bottom w:val="single" w:sz="8" w:space="0" w:color="000000"/>
              <w:right w:val="single" w:sz="8" w:space="0" w:color="000000"/>
            </w:tcBorders>
            <w:tcMar>
              <w:top w:w="100" w:type="dxa"/>
              <w:left w:w="60" w:type="dxa"/>
              <w:bottom w:w="100" w:type="dxa"/>
              <w:right w:w="60" w:type="dxa"/>
            </w:tcMar>
          </w:tcPr>
          <w:p w14:paraId="757A9046" w14:textId="77777777" w:rsidR="00C8280F" w:rsidRPr="00911F80" w:rsidRDefault="002A54E1" w:rsidP="001576BA">
            <w:pPr>
              <w:jc w:val="both"/>
            </w:pPr>
            <w:r w:rsidRPr="00911F80">
              <w:t>5.7</w:t>
            </w:r>
          </w:p>
        </w:tc>
        <w:tc>
          <w:tcPr>
            <w:tcW w:w="1210" w:type="dxa"/>
            <w:tcBorders>
              <w:bottom w:val="single" w:sz="8" w:space="0" w:color="000000"/>
              <w:right w:val="single" w:sz="8" w:space="0" w:color="000000"/>
            </w:tcBorders>
            <w:tcMar>
              <w:top w:w="100" w:type="dxa"/>
              <w:left w:w="60" w:type="dxa"/>
              <w:bottom w:w="100" w:type="dxa"/>
              <w:right w:w="60" w:type="dxa"/>
            </w:tcMar>
          </w:tcPr>
          <w:p w14:paraId="79FDC6BC" w14:textId="77777777" w:rsidR="00C8280F" w:rsidRPr="00911F80" w:rsidRDefault="002A54E1" w:rsidP="001576BA">
            <w:pPr>
              <w:jc w:val="both"/>
            </w:pPr>
            <w:r w:rsidRPr="00911F80">
              <w:t>-</w:t>
            </w:r>
          </w:p>
        </w:tc>
        <w:tc>
          <w:tcPr>
            <w:tcW w:w="1210" w:type="dxa"/>
            <w:tcBorders>
              <w:bottom w:val="single" w:sz="8" w:space="0" w:color="000000"/>
              <w:right w:val="single" w:sz="8" w:space="0" w:color="000000"/>
            </w:tcBorders>
            <w:tcMar>
              <w:top w:w="100" w:type="dxa"/>
              <w:left w:w="60" w:type="dxa"/>
              <w:bottom w:w="100" w:type="dxa"/>
              <w:right w:w="60" w:type="dxa"/>
            </w:tcMar>
          </w:tcPr>
          <w:p w14:paraId="17BE1D80" w14:textId="77777777" w:rsidR="00C8280F" w:rsidRPr="00911F80" w:rsidRDefault="002A54E1" w:rsidP="001576BA">
            <w:pPr>
              <w:jc w:val="both"/>
            </w:pPr>
            <w:r w:rsidRPr="00911F80">
              <w:t>42.3 +/- 3.6</w:t>
            </w:r>
          </w:p>
        </w:tc>
        <w:tc>
          <w:tcPr>
            <w:tcW w:w="1383" w:type="dxa"/>
            <w:tcBorders>
              <w:bottom w:val="single" w:sz="8" w:space="0" w:color="000000"/>
              <w:right w:val="single" w:sz="8" w:space="0" w:color="000000"/>
            </w:tcBorders>
            <w:tcMar>
              <w:top w:w="100" w:type="dxa"/>
              <w:left w:w="60" w:type="dxa"/>
              <w:bottom w:w="100" w:type="dxa"/>
              <w:right w:w="60" w:type="dxa"/>
            </w:tcMar>
          </w:tcPr>
          <w:p w14:paraId="737E6D12" w14:textId="77777777" w:rsidR="00C8280F" w:rsidRPr="00911F80" w:rsidRDefault="002A54E1" w:rsidP="001576BA">
            <w:pPr>
              <w:jc w:val="both"/>
            </w:pPr>
            <w:r w:rsidRPr="00911F80">
              <w:t>-</w:t>
            </w:r>
          </w:p>
        </w:tc>
      </w:tr>
    </w:tbl>
    <w:p w14:paraId="1B4AB241" w14:textId="77777777" w:rsidR="00C8280F" w:rsidRPr="00911F80" w:rsidRDefault="002A54E1" w:rsidP="001576BA">
      <w:pPr>
        <w:spacing w:before="240"/>
        <w:jc w:val="both"/>
        <w:rPr>
          <w:rFonts w:ascii="Times New Roman" w:eastAsia="Times New Roman" w:hAnsi="Times New Roman" w:cs="Times New Roman"/>
          <w:sz w:val="24"/>
          <w:szCs w:val="24"/>
        </w:rPr>
      </w:pPr>
      <w:r w:rsidRPr="00911F80">
        <w:rPr>
          <w:rStyle w:val="Title2ParagraphArticleCar"/>
          <w:rFonts w:eastAsia="Arial"/>
        </w:rPr>
        <w:t>Supplementary Table 2</w:t>
      </w:r>
      <w:r w:rsidRPr="00911F80">
        <w:rPr>
          <w:rFonts w:ascii="Times New Roman" w:eastAsia="Times New Roman" w:hAnsi="Times New Roman" w:cs="Times New Roman"/>
          <w:b/>
          <w:i/>
          <w:sz w:val="24"/>
          <w:szCs w:val="24"/>
        </w:rPr>
        <w:t xml:space="preserve"> –</w:t>
      </w:r>
      <w:r w:rsidRPr="00911F80">
        <w:rPr>
          <w:rFonts w:ascii="Times New Roman" w:eastAsia="Times New Roman" w:hAnsi="Times New Roman" w:cs="Times New Roman"/>
          <w:sz w:val="24"/>
          <w:szCs w:val="24"/>
        </w:rPr>
        <w:t>Values of means, standard deviations, and number of cells analyzed for each characteristic studied (Area, Circularity, Aspect Ratio). For each condition, single cells from four gels were pooled and the mean and the standard deviation calculated from there.</w:t>
      </w:r>
    </w:p>
    <w:tbl>
      <w:tblPr>
        <w:tblStyle w:val="1"/>
        <w:tblW w:w="9025" w:type="dxa"/>
        <w:tblBorders>
          <w:top w:val="nil"/>
          <w:left w:val="nil"/>
          <w:bottom w:val="nil"/>
          <w:right w:val="nil"/>
          <w:insideH w:val="nil"/>
          <w:insideV w:val="nil"/>
        </w:tblBorders>
        <w:tblLayout w:type="fixed"/>
        <w:tblLook w:val="0600" w:firstRow="0" w:lastRow="0" w:firstColumn="0" w:lastColumn="0" w:noHBand="1" w:noVBand="1"/>
      </w:tblPr>
      <w:tblGrid>
        <w:gridCol w:w="2058"/>
        <w:gridCol w:w="992"/>
        <w:gridCol w:w="1331"/>
        <w:gridCol w:w="991"/>
        <w:gridCol w:w="1331"/>
        <w:gridCol w:w="991"/>
        <w:gridCol w:w="1331"/>
      </w:tblGrid>
      <w:tr w:rsidR="00C8280F" w:rsidRPr="00911F80" w14:paraId="43734671" w14:textId="77777777">
        <w:trPr>
          <w:trHeight w:val="1320"/>
        </w:trPr>
        <w:tc>
          <w:tcPr>
            <w:tcW w:w="2056"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tcPr>
          <w:p w14:paraId="1BA527E8" w14:textId="77777777" w:rsidR="00C8280F" w:rsidRPr="00911F80" w:rsidRDefault="00C8280F" w:rsidP="001576BA">
            <w:pPr>
              <w:widowControl w:val="0"/>
              <w:jc w:val="both"/>
              <w:rPr>
                <w:rFonts w:ascii="Times New Roman" w:eastAsia="Times New Roman" w:hAnsi="Times New Roman" w:cs="Times New Roman"/>
                <w:sz w:val="24"/>
                <w:szCs w:val="24"/>
              </w:rPr>
            </w:pPr>
          </w:p>
        </w:tc>
        <w:tc>
          <w:tcPr>
            <w:tcW w:w="991" w:type="dxa"/>
            <w:tcBorders>
              <w:top w:val="single" w:sz="8" w:space="0" w:color="000000"/>
              <w:bottom w:val="single" w:sz="8" w:space="0" w:color="000000"/>
              <w:right w:val="single" w:sz="8" w:space="0" w:color="000000"/>
            </w:tcBorders>
            <w:tcMar>
              <w:top w:w="100" w:type="dxa"/>
              <w:left w:w="60" w:type="dxa"/>
              <w:bottom w:w="100" w:type="dxa"/>
              <w:right w:w="60" w:type="dxa"/>
            </w:tcMar>
          </w:tcPr>
          <w:p w14:paraId="29F89CEA"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Covalent</w:t>
            </w:r>
          </w:p>
          <w:p w14:paraId="41A8883C"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2.8 kPa</w:t>
            </w:r>
          </w:p>
        </w:tc>
        <w:tc>
          <w:tcPr>
            <w:tcW w:w="1331" w:type="dxa"/>
            <w:tcBorders>
              <w:top w:val="single" w:sz="8" w:space="0" w:color="000000"/>
              <w:bottom w:val="single" w:sz="8" w:space="0" w:color="000000"/>
              <w:right w:val="single" w:sz="8" w:space="0" w:color="000000"/>
            </w:tcBorders>
            <w:tcMar>
              <w:top w:w="100" w:type="dxa"/>
              <w:left w:w="60" w:type="dxa"/>
              <w:bottom w:w="100" w:type="dxa"/>
              <w:right w:w="60" w:type="dxa"/>
            </w:tcMar>
          </w:tcPr>
          <w:p w14:paraId="797F4DB8"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Stress-relaxing</w:t>
            </w:r>
          </w:p>
          <w:p w14:paraId="23D58993"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2.8 kPa</w:t>
            </w:r>
          </w:p>
        </w:tc>
        <w:tc>
          <w:tcPr>
            <w:tcW w:w="991" w:type="dxa"/>
            <w:tcBorders>
              <w:top w:val="single" w:sz="8" w:space="0" w:color="000000"/>
              <w:bottom w:val="single" w:sz="8" w:space="0" w:color="000000"/>
              <w:right w:val="single" w:sz="8" w:space="0" w:color="000000"/>
            </w:tcBorders>
            <w:tcMar>
              <w:top w:w="100" w:type="dxa"/>
              <w:left w:w="60" w:type="dxa"/>
              <w:bottom w:w="100" w:type="dxa"/>
              <w:right w:w="60" w:type="dxa"/>
            </w:tcMar>
          </w:tcPr>
          <w:p w14:paraId="520B9E73"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Covalent</w:t>
            </w:r>
          </w:p>
          <w:p w14:paraId="22CA77A6"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12.2 kPa</w:t>
            </w:r>
          </w:p>
        </w:tc>
        <w:tc>
          <w:tcPr>
            <w:tcW w:w="1331" w:type="dxa"/>
            <w:tcBorders>
              <w:top w:val="single" w:sz="8" w:space="0" w:color="000000"/>
              <w:bottom w:val="single" w:sz="8" w:space="0" w:color="000000"/>
              <w:right w:val="single" w:sz="8" w:space="0" w:color="000000"/>
            </w:tcBorders>
            <w:tcMar>
              <w:top w:w="100" w:type="dxa"/>
              <w:left w:w="60" w:type="dxa"/>
              <w:bottom w:w="100" w:type="dxa"/>
              <w:right w:w="60" w:type="dxa"/>
            </w:tcMar>
          </w:tcPr>
          <w:p w14:paraId="4C5CD4ED"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Stress-relaxing</w:t>
            </w:r>
          </w:p>
          <w:p w14:paraId="206155BA"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12.2 kPa</w:t>
            </w:r>
          </w:p>
        </w:tc>
        <w:tc>
          <w:tcPr>
            <w:tcW w:w="991" w:type="dxa"/>
            <w:tcBorders>
              <w:top w:val="single" w:sz="8" w:space="0" w:color="000000"/>
              <w:bottom w:val="single" w:sz="8" w:space="0" w:color="000000"/>
              <w:right w:val="single" w:sz="8" w:space="0" w:color="000000"/>
            </w:tcBorders>
            <w:tcMar>
              <w:top w:w="100" w:type="dxa"/>
              <w:left w:w="60" w:type="dxa"/>
              <w:bottom w:w="100" w:type="dxa"/>
              <w:right w:w="60" w:type="dxa"/>
            </w:tcMar>
          </w:tcPr>
          <w:p w14:paraId="51227AF0"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Covalent</w:t>
            </w:r>
          </w:p>
          <w:p w14:paraId="32D33622"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49.5 kPa</w:t>
            </w:r>
          </w:p>
        </w:tc>
        <w:tc>
          <w:tcPr>
            <w:tcW w:w="1331" w:type="dxa"/>
            <w:tcBorders>
              <w:top w:val="single" w:sz="8" w:space="0" w:color="000000"/>
              <w:bottom w:val="single" w:sz="8" w:space="0" w:color="000000"/>
              <w:right w:val="single" w:sz="8" w:space="0" w:color="000000"/>
            </w:tcBorders>
            <w:tcMar>
              <w:top w:w="100" w:type="dxa"/>
              <w:left w:w="60" w:type="dxa"/>
              <w:bottom w:w="100" w:type="dxa"/>
              <w:right w:w="60" w:type="dxa"/>
            </w:tcMar>
          </w:tcPr>
          <w:p w14:paraId="6BD0943C"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Stress-relaxing</w:t>
            </w:r>
          </w:p>
          <w:p w14:paraId="3BD3B27D"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49.5 kPa</w:t>
            </w:r>
          </w:p>
        </w:tc>
      </w:tr>
      <w:tr w:rsidR="00C8280F" w:rsidRPr="00911F80" w14:paraId="76F9B843" w14:textId="77777777">
        <w:trPr>
          <w:trHeight w:val="540"/>
        </w:trPr>
        <w:tc>
          <w:tcPr>
            <w:tcW w:w="2056" w:type="dxa"/>
            <w:tcBorders>
              <w:left w:val="single" w:sz="8" w:space="0" w:color="000000"/>
              <w:bottom w:val="single" w:sz="8" w:space="0" w:color="000000"/>
              <w:right w:val="single" w:sz="8" w:space="0" w:color="000000"/>
            </w:tcBorders>
            <w:shd w:val="clear" w:color="auto" w:fill="FFFFFF"/>
            <w:tcMar>
              <w:top w:w="100" w:type="dxa"/>
              <w:left w:w="60" w:type="dxa"/>
              <w:bottom w:w="100" w:type="dxa"/>
              <w:right w:w="60" w:type="dxa"/>
            </w:tcMar>
          </w:tcPr>
          <w:p w14:paraId="38623F82"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Number of cells analyzed</w:t>
            </w:r>
          </w:p>
        </w:tc>
        <w:tc>
          <w:tcPr>
            <w:tcW w:w="991" w:type="dxa"/>
            <w:tcBorders>
              <w:bottom w:val="single" w:sz="8" w:space="0" w:color="000000"/>
              <w:right w:val="single" w:sz="8" w:space="0" w:color="000000"/>
            </w:tcBorders>
            <w:shd w:val="clear" w:color="auto" w:fill="FFFFFF"/>
            <w:tcMar>
              <w:top w:w="100" w:type="dxa"/>
              <w:left w:w="60" w:type="dxa"/>
              <w:bottom w:w="100" w:type="dxa"/>
              <w:right w:w="60" w:type="dxa"/>
            </w:tcMar>
          </w:tcPr>
          <w:p w14:paraId="2C2B2BA1"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434</w:t>
            </w:r>
          </w:p>
        </w:tc>
        <w:tc>
          <w:tcPr>
            <w:tcW w:w="1331" w:type="dxa"/>
            <w:tcBorders>
              <w:bottom w:val="single" w:sz="8" w:space="0" w:color="000000"/>
              <w:right w:val="single" w:sz="8" w:space="0" w:color="000000"/>
            </w:tcBorders>
            <w:shd w:val="clear" w:color="auto" w:fill="FFFFFF"/>
            <w:tcMar>
              <w:top w:w="100" w:type="dxa"/>
              <w:left w:w="60" w:type="dxa"/>
              <w:bottom w:w="100" w:type="dxa"/>
              <w:right w:w="60" w:type="dxa"/>
            </w:tcMar>
          </w:tcPr>
          <w:p w14:paraId="0F358B52"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575</w:t>
            </w:r>
          </w:p>
        </w:tc>
        <w:tc>
          <w:tcPr>
            <w:tcW w:w="991" w:type="dxa"/>
            <w:tcBorders>
              <w:bottom w:val="single" w:sz="8" w:space="0" w:color="000000"/>
              <w:right w:val="single" w:sz="8" w:space="0" w:color="000000"/>
            </w:tcBorders>
            <w:shd w:val="clear" w:color="auto" w:fill="FFFFFF"/>
            <w:tcMar>
              <w:top w:w="100" w:type="dxa"/>
              <w:left w:w="60" w:type="dxa"/>
              <w:bottom w:w="100" w:type="dxa"/>
              <w:right w:w="60" w:type="dxa"/>
            </w:tcMar>
          </w:tcPr>
          <w:p w14:paraId="142E7560"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647</w:t>
            </w:r>
          </w:p>
        </w:tc>
        <w:tc>
          <w:tcPr>
            <w:tcW w:w="1331" w:type="dxa"/>
            <w:tcBorders>
              <w:bottom w:val="single" w:sz="8" w:space="0" w:color="000000"/>
              <w:right w:val="single" w:sz="8" w:space="0" w:color="000000"/>
            </w:tcBorders>
            <w:shd w:val="clear" w:color="auto" w:fill="FFFFFF"/>
            <w:tcMar>
              <w:top w:w="100" w:type="dxa"/>
              <w:left w:w="60" w:type="dxa"/>
              <w:bottom w:w="100" w:type="dxa"/>
              <w:right w:w="60" w:type="dxa"/>
            </w:tcMar>
          </w:tcPr>
          <w:p w14:paraId="55599A46"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735</w:t>
            </w:r>
          </w:p>
        </w:tc>
        <w:tc>
          <w:tcPr>
            <w:tcW w:w="991" w:type="dxa"/>
            <w:tcBorders>
              <w:bottom w:val="single" w:sz="8" w:space="0" w:color="000000"/>
              <w:right w:val="single" w:sz="8" w:space="0" w:color="000000"/>
            </w:tcBorders>
            <w:shd w:val="clear" w:color="auto" w:fill="FFFFFF"/>
            <w:tcMar>
              <w:top w:w="100" w:type="dxa"/>
              <w:left w:w="60" w:type="dxa"/>
              <w:bottom w:w="100" w:type="dxa"/>
              <w:right w:w="60" w:type="dxa"/>
            </w:tcMar>
          </w:tcPr>
          <w:p w14:paraId="69804452"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692</w:t>
            </w:r>
          </w:p>
        </w:tc>
        <w:tc>
          <w:tcPr>
            <w:tcW w:w="1331" w:type="dxa"/>
            <w:tcBorders>
              <w:bottom w:val="single" w:sz="8" w:space="0" w:color="000000"/>
              <w:right w:val="single" w:sz="8" w:space="0" w:color="000000"/>
            </w:tcBorders>
            <w:shd w:val="clear" w:color="auto" w:fill="FFFFFF"/>
            <w:tcMar>
              <w:top w:w="100" w:type="dxa"/>
              <w:left w:w="60" w:type="dxa"/>
              <w:bottom w:w="100" w:type="dxa"/>
              <w:right w:w="60" w:type="dxa"/>
            </w:tcMar>
          </w:tcPr>
          <w:p w14:paraId="78C9F645"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713</w:t>
            </w:r>
          </w:p>
        </w:tc>
      </w:tr>
      <w:tr w:rsidR="00C8280F" w:rsidRPr="00911F80" w14:paraId="507EB433" w14:textId="77777777">
        <w:trPr>
          <w:trHeight w:val="540"/>
        </w:trPr>
        <w:tc>
          <w:tcPr>
            <w:tcW w:w="2056" w:type="dxa"/>
            <w:tcBorders>
              <w:left w:val="single" w:sz="8" w:space="0" w:color="000000"/>
              <w:bottom w:val="single" w:sz="8" w:space="0" w:color="000000"/>
              <w:right w:val="single" w:sz="8" w:space="0" w:color="000000"/>
            </w:tcBorders>
            <w:shd w:val="clear" w:color="auto" w:fill="F2F2F2"/>
            <w:tcMar>
              <w:top w:w="100" w:type="dxa"/>
              <w:left w:w="60" w:type="dxa"/>
              <w:bottom w:w="100" w:type="dxa"/>
              <w:right w:w="60" w:type="dxa"/>
            </w:tcMar>
          </w:tcPr>
          <w:p w14:paraId="651EE4A3"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Mean Area (µm</w:t>
            </w:r>
            <w:r w:rsidRPr="00911F80">
              <w:rPr>
                <w:rFonts w:ascii="Times New Roman" w:eastAsia="Times New Roman" w:hAnsi="Times New Roman" w:cs="Times New Roman"/>
                <w:sz w:val="24"/>
                <w:szCs w:val="24"/>
                <w:vertAlign w:val="superscript"/>
              </w:rPr>
              <w:t>2</w:t>
            </w:r>
            <w:r w:rsidRPr="00911F80">
              <w:rPr>
                <w:rFonts w:ascii="Times New Roman" w:eastAsia="Times New Roman" w:hAnsi="Times New Roman" w:cs="Times New Roman"/>
                <w:sz w:val="24"/>
                <w:szCs w:val="24"/>
              </w:rPr>
              <w:t>)</w:t>
            </w:r>
          </w:p>
        </w:tc>
        <w:tc>
          <w:tcPr>
            <w:tcW w:w="991" w:type="dxa"/>
            <w:tcBorders>
              <w:bottom w:val="single" w:sz="8" w:space="0" w:color="000000"/>
              <w:right w:val="single" w:sz="8" w:space="0" w:color="000000"/>
            </w:tcBorders>
            <w:shd w:val="clear" w:color="auto" w:fill="F2F2F2"/>
            <w:tcMar>
              <w:top w:w="100" w:type="dxa"/>
              <w:left w:w="60" w:type="dxa"/>
              <w:bottom w:w="100" w:type="dxa"/>
              <w:right w:w="60" w:type="dxa"/>
            </w:tcMar>
          </w:tcPr>
          <w:p w14:paraId="6D363C9F"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545</w:t>
            </w:r>
          </w:p>
        </w:tc>
        <w:tc>
          <w:tcPr>
            <w:tcW w:w="1331" w:type="dxa"/>
            <w:tcBorders>
              <w:bottom w:val="single" w:sz="8" w:space="0" w:color="000000"/>
              <w:right w:val="single" w:sz="8" w:space="0" w:color="000000"/>
            </w:tcBorders>
            <w:shd w:val="clear" w:color="auto" w:fill="F2F2F2"/>
            <w:tcMar>
              <w:top w:w="100" w:type="dxa"/>
              <w:left w:w="60" w:type="dxa"/>
              <w:bottom w:w="100" w:type="dxa"/>
              <w:right w:w="60" w:type="dxa"/>
            </w:tcMar>
          </w:tcPr>
          <w:p w14:paraId="54C07FD2"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681</w:t>
            </w:r>
          </w:p>
        </w:tc>
        <w:tc>
          <w:tcPr>
            <w:tcW w:w="991" w:type="dxa"/>
            <w:tcBorders>
              <w:bottom w:val="single" w:sz="8" w:space="0" w:color="000000"/>
              <w:right w:val="single" w:sz="8" w:space="0" w:color="000000"/>
            </w:tcBorders>
            <w:shd w:val="clear" w:color="auto" w:fill="F2F2F2"/>
            <w:tcMar>
              <w:top w:w="100" w:type="dxa"/>
              <w:left w:w="60" w:type="dxa"/>
              <w:bottom w:w="100" w:type="dxa"/>
              <w:right w:w="60" w:type="dxa"/>
            </w:tcMar>
          </w:tcPr>
          <w:p w14:paraId="77F47008"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651</w:t>
            </w:r>
          </w:p>
        </w:tc>
        <w:tc>
          <w:tcPr>
            <w:tcW w:w="1331" w:type="dxa"/>
            <w:tcBorders>
              <w:bottom w:val="single" w:sz="8" w:space="0" w:color="000000"/>
              <w:right w:val="single" w:sz="8" w:space="0" w:color="000000"/>
            </w:tcBorders>
            <w:shd w:val="clear" w:color="auto" w:fill="F2F2F2"/>
            <w:tcMar>
              <w:top w:w="100" w:type="dxa"/>
              <w:left w:w="60" w:type="dxa"/>
              <w:bottom w:w="100" w:type="dxa"/>
              <w:right w:w="60" w:type="dxa"/>
            </w:tcMar>
          </w:tcPr>
          <w:p w14:paraId="777ACD74"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718</w:t>
            </w:r>
          </w:p>
        </w:tc>
        <w:tc>
          <w:tcPr>
            <w:tcW w:w="991" w:type="dxa"/>
            <w:tcBorders>
              <w:bottom w:val="single" w:sz="8" w:space="0" w:color="000000"/>
              <w:right w:val="single" w:sz="8" w:space="0" w:color="000000"/>
            </w:tcBorders>
            <w:shd w:val="clear" w:color="auto" w:fill="F2F2F2"/>
            <w:tcMar>
              <w:top w:w="100" w:type="dxa"/>
              <w:left w:w="60" w:type="dxa"/>
              <w:bottom w:w="100" w:type="dxa"/>
              <w:right w:w="60" w:type="dxa"/>
            </w:tcMar>
          </w:tcPr>
          <w:p w14:paraId="3D28C05F"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850</w:t>
            </w:r>
          </w:p>
        </w:tc>
        <w:tc>
          <w:tcPr>
            <w:tcW w:w="1331" w:type="dxa"/>
            <w:tcBorders>
              <w:bottom w:val="single" w:sz="8" w:space="0" w:color="000000"/>
              <w:right w:val="single" w:sz="8" w:space="0" w:color="000000"/>
            </w:tcBorders>
            <w:shd w:val="clear" w:color="auto" w:fill="F2F2F2"/>
            <w:tcMar>
              <w:top w:w="100" w:type="dxa"/>
              <w:left w:w="60" w:type="dxa"/>
              <w:bottom w:w="100" w:type="dxa"/>
              <w:right w:w="60" w:type="dxa"/>
            </w:tcMar>
          </w:tcPr>
          <w:p w14:paraId="5F68BF45"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713</w:t>
            </w:r>
          </w:p>
        </w:tc>
      </w:tr>
      <w:tr w:rsidR="00C8280F" w:rsidRPr="00911F80" w14:paraId="62806C31" w14:textId="77777777">
        <w:trPr>
          <w:trHeight w:val="780"/>
        </w:trPr>
        <w:tc>
          <w:tcPr>
            <w:tcW w:w="2056" w:type="dxa"/>
            <w:tcBorders>
              <w:left w:val="single" w:sz="8" w:space="0" w:color="000000"/>
              <w:bottom w:val="single" w:sz="8" w:space="0" w:color="000000"/>
              <w:right w:val="single" w:sz="8" w:space="0" w:color="000000"/>
            </w:tcBorders>
            <w:shd w:val="clear" w:color="auto" w:fill="FFFFFF"/>
            <w:tcMar>
              <w:top w:w="100" w:type="dxa"/>
              <w:left w:w="60" w:type="dxa"/>
              <w:bottom w:w="100" w:type="dxa"/>
              <w:right w:w="60" w:type="dxa"/>
            </w:tcMar>
          </w:tcPr>
          <w:p w14:paraId="27D3E537"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SD Area (µm</w:t>
            </w:r>
            <w:r w:rsidRPr="00911F80">
              <w:rPr>
                <w:rFonts w:ascii="Times New Roman" w:eastAsia="Times New Roman" w:hAnsi="Times New Roman" w:cs="Times New Roman"/>
                <w:sz w:val="24"/>
                <w:szCs w:val="24"/>
                <w:vertAlign w:val="superscript"/>
              </w:rPr>
              <w:t>2</w:t>
            </w:r>
            <w:r w:rsidRPr="00911F80">
              <w:rPr>
                <w:rFonts w:ascii="Times New Roman" w:eastAsia="Times New Roman" w:hAnsi="Times New Roman" w:cs="Times New Roman"/>
                <w:sz w:val="24"/>
                <w:szCs w:val="24"/>
              </w:rPr>
              <w:t>)</w:t>
            </w:r>
          </w:p>
        </w:tc>
        <w:tc>
          <w:tcPr>
            <w:tcW w:w="991" w:type="dxa"/>
            <w:tcBorders>
              <w:bottom w:val="single" w:sz="8" w:space="0" w:color="000000"/>
              <w:right w:val="single" w:sz="8" w:space="0" w:color="000000"/>
            </w:tcBorders>
            <w:shd w:val="clear" w:color="auto" w:fill="FFFFFF"/>
            <w:tcMar>
              <w:top w:w="100" w:type="dxa"/>
              <w:left w:w="60" w:type="dxa"/>
              <w:bottom w:w="100" w:type="dxa"/>
              <w:right w:w="60" w:type="dxa"/>
            </w:tcMar>
          </w:tcPr>
          <w:p w14:paraId="070D3CE9"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217</w:t>
            </w:r>
          </w:p>
        </w:tc>
        <w:tc>
          <w:tcPr>
            <w:tcW w:w="1331" w:type="dxa"/>
            <w:tcBorders>
              <w:bottom w:val="single" w:sz="8" w:space="0" w:color="000000"/>
              <w:right w:val="single" w:sz="8" w:space="0" w:color="000000"/>
            </w:tcBorders>
            <w:shd w:val="clear" w:color="auto" w:fill="FFFFFF"/>
            <w:tcMar>
              <w:top w:w="100" w:type="dxa"/>
              <w:left w:w="60" w:type="dxa"/>
              <w:bottom w:w="100" w:type="dxa"/>
              <w:right w:w="60" w:type="dxa"/>
            </w:tcMar>
          </w:tcPr>
          <w:p w14:paraId="21E66687"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239</w:t>
            </w:r>
          </w:p>
        </w:tc>
        <w:tc>
          <w:tcPr>
            <w:tcW w:w="991" w:type="dxa"/>
            <w:tcBorders>
              <w:bottom w:val="single" w:sz="8" w:space="0" w:color="000000"/>
              <w:right w:val="single" w:sz="8" w:space="0" w:color="000000"/>
            </w:tcBorders>
            <w:shd w:val="clear" w:color="auto" w:fill="FFFFFF"/>
            <w:tcMar>
              <w:top w:w="100" w:type="dxa"/>
              <w:left w:w="60" w:type="dxa"/>
              <w:bottom w:w="100" w:type="dxa"/>
              <w:right w:w="60" w:type="dxa"/>
            </w:tcMar>
          </w:tcPr>
          <w:p w14:paraId="1EF7FF25"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233</w:t>
            </w:r>
          </w:p>
        </w:tc>
        <w:tc>
          <w:tcPr>
            <w:tcW w:w="1331" w:type="dxa"/>
            <w:tcBorders>
              <w:bottom w:val="single" w:sz="8" w:space="0" w:color="000000"/>
              <w:right w:val="single" w:sz="8" w:space="0" w:color="000000"/>
            </w:tcBorders>
            <w:shd w:val="clear" w:color="auto" w:fill="FFFFFF"/>
            <w:tcMar>
              <w:top w:w="100" w:type="dxa"/>
              <w:left w:w="60" w:type="dxa"/>
              <w:bottom w:w="100" w:type="dxa"/>
              <w:right w:w="60" w:type="dxa"/>
            </w:tcMar>
          </w:tcPr>
          <w:p w14:paraId="2B03E777"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246</w:t>
            </w:r>
          </w:p>
        </w:tc>
        <w:tc>
          <w:tcPr>
            <w:tcW w:w="991" w:type="dxa"/>
            <w:tcBorders>
              <w:bottom w:val="single" w:sz="8" w:space="0" w:color="000000"/>
              <w:right w:val="single" w:sz="8" w:space="0" w:color="000000"/>
            </w:tcBorders>
            <w:shd w:val="clear" w:color="auto" w:fill="FFFFFF"/>
            <w:tcMar>
              <w:top w:w="100" w:type="dxa"/>
              <w:left w:w="60" w:type="dxa"/>
              <w:bottom w:w="100" w:type="dxa"/>
              <w:right w:w="60" w:type="dxa"/>
            </w:tcMar>
          </w:tcPr>
          <w:p w14:paraId="4FD37C79"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377</w:t>
            </w:r>
          </w:p>
        </w:tc>
        <w:tc>
          <w:tcPr>
            <w:tcW w:w="1331" w:type="dxa"/>
            <w:tcBorders>
              <w:bottom w:val="single" w:sz="8" w:space="0" w:color="000000"/>
              <w:right w:val="single" w:sz="8" w:space="0" w:color="000000"/>
            </w:tcBorders>
            <w:shd w:val="clear" w:color="auto" w:fill="FFFFFF"/>
            <w:tcMar>
              <w:top w:w="100" w:type="dxa"/>
              <w:left w:w="60" w:type="dxa"/>
              <w:bottom w:w="100" w:type="dxa"/>
              <w:right w:w="60" w:type="dxa"/>
            </w:tcMar>
          </w:tcPr>
          <w:p w14:paraId="7F5B094B"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290</w:t>
            </w:r>
          </w:p>
        </w:tc>
      </w:tr>
      <w:tr w:rsidR="00C8280F" w:rsidRPr="00911F80" w14:paraId="790E1C73" w14:textId="77777777">
        <w:trPr>
          <w:trHeight w:val="780"/>
        </w:trPr>
        <w:tc>
          <w:tcPr>
            <w:tcW w:w="2056" w:type="dxa"/>
            <w:tcBorders>
              <w:left w:val="single" w:sz="8" w:space="0" w:color="000000"/>
              <w:bottom w:val="single" w:sz="8" w:space="0" w:color="000000"/>
              <w:right w:val="single" w:sz="8" w:space="0" w:color="000000"/>
            </w:tcBorders>
            <w:shd w:val="clear" w:color="auto" w:fill="F2F2F2"/>
            <w:tcMar>
              <w:top w:w="100" w:type="dxa"/>
              <w:left w:w="60" w:type="dxa"/>
              <w:bottom w:w="100" w:type="dxa"/>
              <w:right w:w="60" w:type="dxa"/>
            </w:tcMar>
          </w:tcPr>
          <w:p w14:paraId="73C38E02"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Mean Circularity (a.u.)</w:t>
            </w:r>
          </w:p>
        </w:tc>
        <w:tc>
          <w:tcPr>
            <w:tcW w:w="991" w:type="dxa"/>
            <w:tcBorders>
              <w:bottom w:val="single" w:sz="8" w:space="0" w:color="000000"/>
              <w:right w:val="single" w:sz="8" w:space="0" w:color="000000"/>
            </w:tcBorders>
            <w:shd w:val="clear" w:color="auto" w:fill="F2F2F2"/>
            <w:tcMar>
              <w:top w:w="100" w:type="dxa"/>
              <w:left w:w="60" w:type="dxa"/>
              <w:bottom w:w="100" w:type="dxa"/>
              <w:right w:w="60" w:type="dxa"/>
            </w:tcMar>
          </w:tcPr>
          <w:p w14:paraId="302BC662"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0.58</w:t>
            </w:r>
          </w:p>
        </w:tc>
        <w:tc>
          <w:tcPr>
            <w:tcW w:w="1331" w:type="dxa"/>
            <w:tcBorders>
              <w:bottom w:val="single" w:sz="8" w:space="0" w:color="000000"/>
              <w:right w:val="single" w:sz="8" w:space="0" w:color="000000"/>
            </w:tcBorders>
            <w:shd w:val="clear" w:color="auto" w:fill="F2F2F2"/>
            <w:tcMar>
              <w:top w:w="100" w:type="dxa"/>
              <w:left w:w="60" w:type="dxa"/>
              <w:bottom w:w="100" w:type="dxa"/>
              <w:right w:w="60" w:type="dxa"/>
            </w:tcMar>
          </w:tcPr>
          <w:p w14:paraId="1A66678F"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0.49</w:t>
            </w:r>
          </w:p>
        </w:tc>
        <w:tc>
          <w:tcPr>
            <w:tcW w:w="991" w:type="dxa"/>
            <w:tcBorders>
              <w:bottom w:val="single" w:sz="8" w:space="0" w:color="000000"/>
              <w:right w:val="single" w:sz="8" w:space="0" w:color="000000"/>
            </w:tcBorders>
            <w:shd w:val="clear" w:color="auto" w:fill="F2F2F2"/>
            <w:tcMar>
              <w:top w:w="100" w:type="dxa"/>
              <w:left w:w="60" w:type="dxa"/>
              <w:bottom w:w="100" w:type="dxa"/>
              <w:right w:w="60" w:type="dxa"/>
            </w:tcMar>
          </w:tcPr>
          <w:p w14:paraId="659F9723"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0.50</w:t>
            </w:r>
          </w:p>
        </w:tc>
        <w:tc>
          <w:tcPr>
            <w:tcW w:w="1331" w:type="dxa"/>
            <w:tcBorders>
              <w:bottom w:val="single" w:sz="8" w:space="0" w:color="000000"/>
              <w:right w:val="single" w:sz="8" w:space="0" w:color="000000"/>
            </w:tcBorders>
            <w:shd w:val="clear" w:color="auto" w:fill="F2F2F2"/>
            <w:tcMar>
              <w:top w:w="100" w:type="dxa"/>
              <w:left w:w="60" w:type="dxa"/>
              <w:bottom w:w="100" w:type="dxa"/>
              <w:right w:w="60" w:type="dxa"/>
            </w:tcMar>
          </w:tcPr>
          <w:p w14:paraId="367610C7"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0.44</w:t>
            </w:r>
          </w:p>
        </w:tc>
        <w:tc>
          <w:tcPr>
            <w:tcW w:w="991" w:type="dxa"/>
            <w:tcBorders>
              <w:bottom w:val="single" w:sz="8" w:space="0" w:color="000000"/>
              <w:right w:val="single" w:sz="8" w:space="0" w:color="000000"/>
            </w:tcBorders>
            <w:shd w:val="clear" w:color="auto" w:fill="F2F2F2"/>
            <w:tcMar>
              <w:top w:w="100" w:type="dxa"/>
              <w:left w:w="60" w:type="dxa"/>
              <w:bottom w:w="100" w:type="dxa"/>
              <w:right w:w="60" w:type="dxa"/>
            </w:tcMar>
          </w:tcPr>
          <w:p w14:paraId="6A6E6DD2"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0.46</w:t>
            </w:r>
          </w:p>
        </w:tc>
        <w:tc>
          <w:tcPr>
            <w:tcW w:w="1331" w:type="dxa"/>
            <w:tcBorders>
              <w:bottom w:val="single" w:sz="8" w:space="0" w:color="000000"/>
              <w:right w:val="single" w:sz="8" w:space="0" w:color="000000"/>
            </w:tcBorders>
            <w:shd w:val="clear" w:color="auto" w:fill="F2F2F2"/>
            <w:tcMar>
              <w:top w:w="100" w:type="dxa"/>
              <w:left w:w="60" w:type="dxa"/>
              <w:bottom w:w="100" w:type="dxa"/>
              <w:right w:w="60" w:type="dxa"/>
            </w:tcMar>
          </w:tcPr>
          <w:p w14:paraId="2977EEBA"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0.44</w:t>
            </w:r>
          </w:p>
        </w:tc>
      </w:tr>
      <w:tr w:rsidR="00C8280F" w:rsidRPr="00911F80" w14:paraId="21BDD2C4" w14:textId="77777777">
        <w:trPr>
          <w:trHeight w:val="780"/>
        </w:trPr>
        <w:tc>
          <w:tcPr>
            <w:tcW w:w="2056" w:type="dxa"/>
            <w:tcBorders>
              <w:left w:val="single" w:sz="8" w:space="0" w:color="000000"/>
              <w:bottom w:val="single" w:sz="8" w:space="0" w:color="000000"/>
              <w:right w:val="single" w:sz="8" w:space="0" w:color="000000"/>
            </w:tcBorders>
            <w:shd w:val="clear" w:color="auto" w:fill="FFFFFF"/>
            <w:tcMar>
              <w:top w:w="100" w:type="dxa"/>
              <w:left w:w="60" w:type="dxa"/>
              <w:bottom w:w="100" w:type="dxa"/>
              <w:right w:w="60" w:type="dxa"/>
            </w:tcMar>
          </w:tcPr>
          <w:p w14:paraId="2D66618A"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SD Circularity (a.u.)</w:t>
            </w:r>
          </w:p>
        </w:tc>
        <w:tc>
          <w:tcPr>
            <w:tcW w:w="991" w:type="dxa"/>
            <w:tcBorders>
              <w:bottom w:val="single" w:sz="8" w:space="0" w:color="000000"/>
              <w:right w:val="single" w:sz="8" w:space="0" w:color="000000"/>
            </w:tcBorders>
            <w:shd w:val="clear" w:color="auto" w:fill="FFFFFF"/>
            <w:tcMar>
              <w:top w:w="100" w:type="dxa"/>
              <w:left w:w="60" w:type="dxa"/>
              <w:bottom w:w="100" w:type="dxa"/>
              <w:right w:w="60" w:type="dxa"/>
            </w:tcMar>
          </w:tcPr>
          <w:p w14:paraId="4BB8A50D"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0.21</w:t>
            </w:r>
          </w:p>
        </w:tc>
        <w:tc>
          <w:tcPr>
            <w:tcW w:w="1331" w:type="dxa"/>
            <w:tcBorders>
              <w:bottom w:val="single" w:sz="8" w:space="0" w:color="000000"/>
              <w:right w:val="single" w:sz="8" w:space="0" w:color="000000"/>
            </w:tcBorders>
            <w:shd w:val="clear" w:color="auto" w:fill="FFFFFF"/>
            <w:tcMar>
              <w:top w:w="100" w:type="dxa"/>
              <w:left w:w="60" w:type="dxa"/>
              <w:bottom w:w="100" w:type="dxa"/>
              <w:right w:w="60" w:type="dxa"/>
            </w:tcMar>
          </w:tcPr>
          <w:p w14:paraId="05A0CD3A"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0.20</w:t>
            </w:r>
          </w:p>
        </w:tc>
        <w:tc>
          <w:tcPr>
            <w:tcW w:w="991" w:type="dxa"/>
            <w:tcBorders>
              <w:bottom w:val="single" w:sz="8" w:space="0" w:color="000000"/>
              <w:right w:val="single" w:sz="8" w:space="0" w:color="000000"/>
            </w:tcBorders>
            <w:shd w:val="clear" w:color="auto" w:fill="FFFFFF"/>
            <w:tcMar>
              <w:top w:w="100" w:type="dxa"/>
              <w:left w:w="60" w:type="dxa"/>
              <w:bottom w:w="100" w:type="dxa"/>
              <w:right w:w="60" w:type="dxa"/>
            </w:tcMar>
          </w:tcPr>
          <w:p w14:paraId="04EDD3F6"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0.19</w:t>
            </w:r>
          </w:p>
        </w:tc>
        <w:tc>
          <w:tcPr>
            <w:tcW w:w="1331" w:type="dxa"/>
            <w:tcBorders>
              <w:bottom w:val="single" w:sz="8" w:space="0" w:color="000000"/>
              <w:right w:val="single" w:sz="8" w:space="0" w:color="000000"/>
            </w:tcBorders>
            <w:shd w:val="clear" w:color="auto" w:fill="FFFFFF"/>
            <w:tcMar>
              <w:top w:w="100" w:type="dxa"/>
              <w:left w:w="60" w:type="dxa"/>
              <w:bottom w:w="100" w:type="dxa"/>
              <w:right w:w="60" w:type="dxa"/>
            </w:tcMar>
          </w:tcPr>
          <w:p w14:paraId="32E92616"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0.19</w:t>
            </w:r>
          </w:p>
        </w:tc>
        <w:tc>
          <w:tcPr>
            <w:tcW w:w="991" w:type="dxa"/>
            <w:tcBorders>
              <w:bottom w:val="single" w:sz="8" w:space="0" w:color="000000"/>
              <w:right w:val="single" w:sz="8" w:space="0" w:color="000000"/>
            </w:tcBorders>
            <w:shd w:val="clear" w:color="auto" w:fill="FFFFFF"/>
            <w:tcMar>
              <w:top w:w="100" w:type="dxa"/>
              <w:left w:w="60" w:type="dxa"/>
              <w:bottom w:w="100" w:type="dxa"/>
              <w:right w:w="60" w:type="dxa"/>
            </w:tcMar>
          </w:tcPr>
          <w:p w14:paraId="3566E9CB"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0.17</w:t>
            </w:r>
          </w:p>
        </w:tc>
        <w:tc>
          <w:tcPr>
            <w:tcW w:w="1331" w:type="dxa"/>
            <w:tcBorders>
              <w:bottom w:val="single" w:sz="8" w:space="0" w:color="000000"/>
              <w:right w:val="single" w:sz="8" w:space="0" w:color="000000"/>
            </w:tcBorders>
            <w:shd w:val="clear" w:color="auto" w:fill="FFFFFF"/>
            <w:tcMar>
              <w:top w:w="100" w:type="dxa"/>
              <w:left w:w="60" w:type="dxa"/>
              <w:bottom w:w="100" w:type="dxa"/>
              <w:right w:w="60" w:type="dxa"/>
            </w:tcMar>
          </w:tcPr>
          <w:p w14:paraId="4823D561"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0.20</w:t>
            </w:r>
          </w:p>
        </w:tc>
      </w:tr>
      <w:tr w:rsidR="00C8280F" w:rsidRPr="00911F80" w14:paraId="01E7E562" w14:textId="77777777">
        <w:trPr>
          <w:trHeight w:val="780"/>
        </w:trPr>
        <w:tc>
          <w:tcPr>
            <w:tcW w:w="2056" w:type="dxa"/>
            <w:tcBorders>
              <w:left w:val="single" w:sz="8" w:space="0" w:color="000000"/>
              <w:bottom w:val="single" w:sz="8" w:space="0" w:color="000000"/>
              <w:right w:val="single" w:sz="8" w:space="0" w:color="000000"/>
            </w:tcBorders>
            <w:shd w:val="clear" w:color="auto" w:fill="F2F2F2"/>
            <w:tcMar>
              <w:top w:w="100" w:type="dxa"/>
              <w:left w:w="60" w:type="dxa"/>
              <w:bottom w:w="100" w:type="dxa"/>
              <w:right w:w="60" w:type="dxa"/>
            </w:tcMar>
          </w:tcPr>
          <w:p w14:paraId="0A4B6B98"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lastRenderedPageBreak/>
              <w:t>Mean Aspect Ratio (a.u.)</w:t>
            </w:r>
          </w:p>
        </w:tc>
        <w:tc>
          <w:tcPr>
            <w:tcW w:w="991" w:type="dxa"/>
            <w:tcBorders>
              <w:bottom w:val="single" w:sz="8" w:space="0" w:color="000000"/>
              <w:right w:val="single" w:sz="8" w:space="0" w:color="000000"/>
            </w:tcBorders>
            <w:shd w:val="clear" w:color="auto" w:fill="F2F2F2"/>
            <w:tcMar>
              <w:top w:w="100" w:type="dxa"/>
              <w:left w:w="60" w:type="dxa"/>
              <w:bottom w:w="100" w:type="dxa"/>
              <w:right w:w="60" w:type="dxa"/>
            </w:tcMar>
          </w:tcPr>
          <w:p w14:paraId="0A6B5727"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2.52</w:t>
            </w:r>
          </w:p>
        </w:tc>
        <w:tc>
          <w:tcPr>
            <w:tcW w:w="1331" w:type="dxa"/>
            <w:tcBorders>
              <w:bottom w:val="single" w:sz="8" w:space="0" w:color="000000"/>
              <w:right w:val="single" w:sz="8" w:space="0" w:color="000000"/>
            </w:tcBorders>
            <w:shd w:val="clear" w:color="auto" w:fill="F2F2F2"/>
            <w:tcMar>
              <w:top w:w="100" w:type="dxa"/>
              <w:left w:w="60" w:type="dxa"/>
              <w:bottom w:w="100" w:type="dxa"/>
              <w:right w:w="60" w:type="dxa"/>
            </w:tcMar>
          </w:tcPr>
          <w:p w14:paraId="52FB17BB"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2.88</w:t>
            </w:r>
          </w:p>
        </w:tc>
        <w:tc>
          <w:tcPr>
            <w:tcW w:w="991" w:type="dxa"/>
            <w:tcBorders>
              <w:bottom w:val="single" w:sz="8" w:space="0" w:color="000000"/>
              <w:right w:val="single" w:sz="8" w:space="0" w:color="000000"/>
            </w:tcBorders>
            <w:shd w:val="clear" w:color="auto" w:fill="F2F2F2"/>
            <w:tcMar>
              <w:top w:w="100" w:type="dxa"/>
              <w:left w:w="60" w:type="dxa"/>
              <w:bottom w:w="100" w:type="dxa"/>
              <w:right w:w="60" w:type="dxa"/>
            </w:tcMar>
          </w:tcPr>
          <w:p w14:paraId="05CA535A"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2.69</w:t>
            </w:r>
          </w:p>
        </w:tc>
        <w:tc>
          <w:tcPr>
            <w:tcW w:w="1331" w:type="dxa"/>
            <w:tcBorders>
              <w:bottom w:val="single" w:sz="8" w:space="0" w:color="000000"/>
              <w:right w:val="single" w:sz="8" w:space="0" w:color="000000"/>
            </w:tcBorders>
            <w:shd w:val="clear" w:color="auto" w:fill="F2F2F2"/>
            <w:tcMar>
              <w:top w:w="100" w:type="dxa"/>
              <w:left w:w="60" w:type="dxa"/>
              <w:bottom w:w="100" w:type="dxa"/>
              <w:right w:w="60" w:type="dxa"/>
            </w:tcMar>
          </w:tcPr>
          <w:p w14:paraId="3DEC652F"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3.11</w:t>
            </w:r>
          </w:p>
        </w:tc>
        <w:tc>
          <w:tcPr>
            <w:tcW w:w="991" w:type="dxa"/>
            <w:tcBorders>
              <w:bottom w:val="single" w:sz="8" w:space="0" w:color="000000"/>
              <w:right w:val="single" w:sz="8" w:space="0" w:color="000000"/>
            </w:tcBorders>
            <w:shd w:val="clear" w:color="auto" w:fill="F2F2F2"/>
            <w:tcMar>
              <w:top w:w="100" w:type="dxa"/>
              <w:left w:w="60" w:type="dxa"/>
              <w:bottom w:w="100" w:type="dxa"/>
              <w:right w:w="60" w:type="dxa"/>
            </w:tcMar>
          </w:tcPr>
          <w:p w14:paraId="30F28C79"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2.43</w:t>
            </w:r>
          </w:p>
        </w:tc>
        <w:tc>
          <w:tcPr>
            <w:tcW w:w="1331" w:type="dxa"/>
            <w:tcBorders>
              <w:bottom w:val="single" w:sz="8" w:space="0" w:color="000000"/>
              <w:right w:val="single" w:sz="8" w:space="0" w:color="000000"/>
            </w:tcBorders>
            <w:shd w:val="clear" w:color="auto" w:fill="F2F2F2"/>
            <w:tcMar>
              <w:top w:w="100" w:type="dxa"/>
              <w:left w:w="60" w:type="dxa"/>
              <w:bottom w:w="100" w:type="dxa"/>
              <w:right w:w="60" w:type="dxa"/>
            </w:tcMar>
          </w:tcPr>
          <w:p w14:paraId="6403D3F9"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3.12</w:t>
            </w:r>
          </w:p>
        </w:tc>
      </w:tr>
      <w:tr w:rsidR="00C8280F" w:rsidRPr="00911F80" w14:paraId="6CD47C75" w14:textId="77777777">
        <w:trPr>
          <w:trHeight w:val="780"/>
        </w:trPr>
        <w:tc>
          <w:tcPr>
            <w:tcW w:w="2056" w:type="dxa"/>
            <w:tcBorders>
              <w:left w:val="single" w:sz="8" w:space="0" w:color="000000"/>
              <w:bottom w:val="single" w:sz="8" w:space="0" w:color="000000"/>
              <w:right w:val="single" w:sz="8" w:space="0" w:color="000000"/>
            </w:tcBorders>
            <w:shd w:val="clear" w:color="auto" w:fill="FFFFFF"/>
            <w:tcMar>
              <w:top w:w="100" w:type="dxa"/>
              <w:left w:w="60" w:type="dxa"/>
              <w:bottom w:w="100" w:type="dxa"/>
              <w:right w:w="60" w:type="dxa"/>
            </w:tcMar>
          </w:tcPr>
          <w:p w14:paraId="38577F9F"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SD Aspect Ratio (a.u.)</w:t>
            </w:r>
          </w:p>
        </w:tc>
        <w:tc>
          <w:tcPr>
            <w:tcW w:w="991" w:type="dxa"/>
            <w:tcBorders>
              <w:bottom w:val="single" w:sz="8" w:space="0" w:color="000000"/>
              <w:right w:val="single" w:sz="8" w:space="0" w:color="000000"/>
            </w:tcBorders>
            <w:shd w:val="clear" w:color="auto" w:fill="FFFFFF"/>
            <w:tcMar>
              <w:top w:w="100" w:type="dxa"/>
              <w:left w:w="60" w:type="dxa"/>
              <w:bottom w:w="100" w:type="dxa"/>
              <w:right w:w="60" w:type="dxa"/>
            </w:tcMar>
          </w:tcPr>
          <w:p w14:paraId="0FC7D840"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1.93</w:t>
            </w:r>
          </w:p>
        </w:tc>
        <w:tc>
          <w:tcPr>
            <w:tcW w:w="1331" w:type="dxa"/>
            <w:tcBorders>
              <w:bottom w:val="single" w:sz="8" w:space="0" w:color="000000"/>
              <w:right w:val="single" w:sz="8" w:space="0" w:color="000000"/>
            </w:tcBorders>
            <w:shd w:val="clear" w:color="auto" w:fill="FFFFFF"/>
            <w:tcMar>
              <w:top w:w="100" w:type="dxa"/>
              <w:left w:w="60" w:type="dxa"/>
              <w:bottom w:w="100" w:type="dxa"/>
              <w:right w:w="60" w:type="dxa"/>
            </w:tcMar>
          </w:tcPr>
          <w:p w14:paraId="00BFBF6F"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2.19</w:t>
            </w:r>
          </w:p>
        </w:tc>
        <w:tc>
          <w:tcPr>
            <w:tcW w:w="991" w:type="dxa"/>
            <w:tcBorders>
              <w:bottom w:val="single" w:sz="8" w:space="0" w:color="000000"/>
              <w:right w:val="single" w:sz="8" w:space="0" w:color="000000"/>
            </w:tcBorders>
            <w:shd w:val="clear" w:color="auto" w:fill="FFFFFF"/>
            <w:tcMar>
              <w:top w:w="100" w:type="dxa"/>
              <w:left w:w="60" w:type="dxa"/>
              <w:bottom w:w="100" w:type="dxa"/>
              <w:right w:w="60" w:type="dxa"/>
            </w:tcMar>
          </w:tcPr>
          <w:p w14:paraId="571FB0EE"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1.81</w:t>
            </w:r>
          </w:p>
        </w:tc>
        <w:tc>
          <w:tcPr>
            <w:tcW w:w="1331" w:type="dxa"/>
            <w:tcBorders>
              <w:bottom w:val="single" w:sz="8" w:space="0" w:color="000000"/>
              <w:right w:val="single" w:sz="8" w:space="0" w:color="000000"/>
            </w:tcBorders>
            <w:shd w:val="clear" w:color="auto" w:fill="FFFFFF"/>
            <w:tcMar>
              <w:top w:w="100" w:type="dxa"/>
              <w:left w:w="60" w:type="dxa"/>
              <w:bottom w:w="100" w:type="dxa"/>
              <w:right w:w="60" w:type="dxa"/>
            </w:tcMar>
          </w:tcPr>
          <w:p w14:paraId="75D38FB9"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2.19</w:t>
            </w:r>
          </w:p>
        </w:tc>
        <w:tc>
          <w:tcPr>
            <w:tcW w:w="991" w:type="dxa"/>
            <w:tcBorders>
              <w:bottom w:val="single" w:sz="8" w:space="0" w:color="000000"/>
              <w:right w:val="single" w:sz="8" w:space="0" w:color="000000"/>
            </w:tcBorders>
            <w:shd w:val="clear" w:color="auto" w:fill="FFFFFF"/>
            <w:tcMar>
              <w:top w:w="100" w:type="dxa"/>
              <w:left w:w="60" w:type="dxa"/>
              <w:bottom w:w="100" w:type="dxa"/>
              <w:right w:w="60" w:type="dxa"/>
            </w:tcMar>
          </w:tcPr>
          <w:p w14:paraId="503D9BC6"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1.47</w:t>
            </w:r>
          </w:p>
        </w:tc>
        <w:tc>
          <w:tcPr>
            <w:tcW w:w="1331" w:type="dxa"/>
            <w:tcBorders>
              <w:bottom w:val="single" w:sz="8" w:space="0" w:color="000000"/>
              <w:right w:val="single" w:sz="8" w:space="0" w:color="000000"/>
            </w:tcBorders>
            <w:shd w:val="clear" w:color="auto" w:fill="FFFFFF"/>
            <w:tcMar>
              <w:top w:w="100" w:type="dxa"/>
              <w:left w:w="60" w:type="dxa"/>
              <w:bottom w:w="100" w:type="dxa"/>
              <w:right w:w="60" w:type="dxa"/>
            </w:tcMar>
          </w:tcPr>
          <w:p w14:paraId="668DE69A" w14:textId="77777777" w:rsidR="00C8280F" w:rsidRPr="00911F80" w:rsidRDefault="002A54E1" w:rsidP="001576BA">
            <w:pPr>
              <w:widowControl w:val="0"/>
              <w:jc w:val="both"/>
              <w:rPr>
                <w:rFonts w:ascii="Times New Roman" w:eastAsia="Times New Roman" w:hAnsi="Times New Roman" w:cs="Times New Roman"/>
                <w:sz w:val="24"/>
                <w:szCs w:val="24"/>
              </w:rPr>
            </w:pPr>
            <w:r w:rsidRPr="00911F80">
              <w:rPr>
                <w:rFonts w:ascii="Times New Roman" w:eastAsia="Times New Roman" w:hAnsi="Times New Roman" w:cs="Times New Roman"/>
                <w:sz w:val="24"/>
                <w:szCs w:val="24"/>
              </w:rPr>
              <w:t>2.23</w:t>
            </w:r>
          </w:p>
        </w:tc>
      </w:tr>
    </w:tbl>
    <w:p w14:paraId="507DDBC8" w14:textId="77777777" w:rsidR="00C8280F" w:rsidRPr="00911F80" w:rsidRDefault="002A54E1" w:rsidP="001576BA">
      <w:pPr>
        <w:jc w:val="both"/>
      </w:pPr>
      <w:r w:rsidRPr="00911F80">
        <w:br w:type="page"/>
      </w:r>
    </w:p>
    <w:p w14:paraId="0765603A" w14:textId="77777777" w:rsidR="00C8280F" w:rsidRPr="00911F80" w:rsidRDefault="002A54E1" w:rsidP="002618AE">
      <w:pPr>
        <w:pStyle w:val="TitleParagraphArticle"/>
      </w:pPr>
      <w:r w:rsidRPr="00911F80">
        <w:lastRenderedPageBreak/>
        <w:t>Figures</w:t>
      </w:r>
    </w:p>
    <w:p w14:paraId="46EF07A2" w14:textId="77777777" w:rsidR="00C8280F" w:rsidRPr="00911F80" w:rsidRDefault="002A54E1" w:rsidP="002618AE">
      <w:pPr>
        <w:pStyle w:val="Title2ParagraphArticle"/>
      </w:pPr>
      <w:r w:rsidRPr="00911F80">
        <w:t>Figure 1 (Fig 1 and 2 merged)</w:t>
      </w:r>
    </w:p>
    <w:p w14:paraId="5B04B31B" w14:textId="77777777" w:rsidR="00C8280F" w:rsidRPr="00911F80" w:rsidRDefault="002A54E1" w:rsidP="001576BA">
      <w:pPr>
        <w:jc w:val="both"/>
        <w:rPr>
          <w:b/>
          <w:sz w:val="30"/>
          <w:szCs w:val="30"/>
        </w:rPr>
      </w:pPr>
      <w:r w:rsidRPr="00911F80">
        <w:rPr>
          <w:noProof/>
          <w:lang w:val="en-GB"/>
        </w:rPr>
        <w:drawing>
          <wp:inline distT="114300" distB="114300" distL="114300" distR="114300" wp14:anchorId="5E92182B" wp14:editId="25B612F9">
            <wp:extent cx="4171950" cy="3067050"/>
            <wp:effectExtent l="0" t="0" r="0" b="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b="1829"/>
                    <a:stretch>
                      <a:fillRect/>
                    </a:stretch>
                  </pic:blipFill>
                  <pic:spPr>
                    <a:xfrm>
                      <a:off x="0" y="0"/>
                      <a:ext cx="4171950" cy="3067050"/>
                    </a:xfrm>
                    <a:prstGeom prst="rect">
                      <a:avLst/>
                    </a:prstGeom>
                    <a:ln/>
                  </pic:spPr>
                </pic:pic>
              </a:graphicData>
            </a:graphic>
          </wp:inline>
        </w:drawing>
      </w:r>
    </w:p>
    <w:p w14:paraId="728AFB05" w14:textId="77777777" w:rsidR="00C8280F" w:rsidRPr="00911F80" w:rsidRDefault="002A54E1" w:rsidP="002618AE">
      <w:pPr>
        <w:pStyle w:val="Title2ParagraphArticle"/>
      </w:pPr>
      <w:r w:rsidRPr="00911F80">
        <w:t>Figure 2 (Previously was Fig 3)</w:t>
      </w:r>
    </w:p>
    <w:p w14:paraId="31A1A37A" w14:textId="6A4C3D1B" w:rsidR="00C8280F" w:rsidRPr="00911F80" w:rsidRDefault="002A54E1" w:rsidP="002F1D2E">
      <w:pPr>
        <w:jc w:val="both"/>
        <w:rPr>
          <w:b/>
          <w:sz w:val="30"/>
          <w:szCs w:val="30"/>
        </w:rPr>
      </w:pPr>
      <w:r w:rsidRPr="00911F80">
        <w:rPr>
          <w:noProof/>
          <w:lang w:val="en-GB"/>
        </w:rPr>
        <w:drawing>
          <wp:inline distT="114300" distB="114300" distL="114300" distR="114300" wp14:anchorId="55029CC5" wp14:editId="604501E3">
            <wp:extent cx="4914900" cy="3657600"/>
            <wp:effectExtent l="0" t="0" r="0" b="0"/>
            <wp:docPr id="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
                    <a:srcRect r="959"/>
                    <a:stretch>
                      <a:fillRect/>
                    </a:stretch>
                  </pic:blipFill>
                  <pic:spPr>
                    <a:xfrm>
                      <a:off x="0" y="0"/>
                      <a:ext cx="4914900" cy="3657600"/>
                    </a:xfrm>
                    <a:prstGeom prst="rect">
                      <a:avLst/>
                    </a:prstGeom>
                    <a:ln/>
                  </pic:spPr>
                </pic:pic>
              </a:graphicData>
            </a:graphic>
          </wp:inline>
        </w:drawing>
      </w:r>
      <w:r w:rsidR="002F1D2E" w:rsidRPr="00911F80">
        <w:rPr>
          <w:b/>
        </w:rPr>
        <w:br/>
      </w:r>
      <w:r w:rsidRPr="00911F80">
        <w:rPr>
          <w:b/>
        </w:rPr>
        <w:t>Figure 3 (Previously was Fig 4)</w:t>
      </w:r>
    </w:p>
    <w:p w14:paraId="1F539A4B" w14:textId="77777777" w:rsidR="002F1D2E" w:rsidRPr="00911F80" w:rsidRDefault="002A54E1" w:rsidP="002F1D2E">
      <w:pPr>
        <w:jc w:val="both"/>
        <w:rPr>
          <w:b/>
        </w:rPr>
      </w:pPr>
      <w:r w:rsidRPr="00911F80">
        <w:rPr>
          <w:noProof/>
          <w:lang w:val="en-GB"/>
        </w:rPr>
        <w:lastRenderedPageBreak/>
        <w:drawing>
          <wp:inline distT="114300" distB="114300" distL="114300" distR="114300" wp14:anchorId="526656E0" wp14:editId="3B1FC16B">
            <wp:extent cx="4429125" cy="6905625"/>
            <wp:effectExtent l="0" t="0" r="0" b="0"/>
            <wp:docPr id="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
                    <a:srcRect/>
                    <a:stretch>
                      <a:fillRect/>
                    </a:stretch>
                  </pic:blipFill>
                  <pic:spPr>
                    <a:xfrm>
                      <a:off x="0" y="0"/>
                      <a:ext cx="4429125" cy="6905625"/>
                    </a:xfrm>
                    <a:prstGeom prst="rect">
                      <a:avLst/>
                    </a:prstGeom>
                    <a:ln/>
                  </pic:spPr>
                </pic:pic>
              </a:graphicData>
            </a:graphic>
          </wp:inline>
        </w:drawing>
      </w:r>
    </w:p>
    <w:p w14:paraId="2187E9AD" w14:textId="6552EC03" w:rsidR="00C8280F" w:rsidRPr="00911F80" w:rsidRDefault="002A54E1" w:rsidP="002F1D2E">
      <w:pPr>
        <w:jc w:val="both"/>
        <w:rPr>
          <w:b/>
        </w:rPr>
      </w:pPr>
      <w:r w:rsidRPr="00911F80">
        <w:rPr>
          <w:b/>
        </w:rPr>
        <w:t>Figure 4 (Previously was Fig 5)</w:t>
      </w:r>
    </w:p>
    <w:p w14:paraId="761C676A" w14:textId="77777777" w:rsidR="00C8280F" w:rsidRPr="00911F80" w:rsidRDefault="002A54E1" w:rsidP="001576BA">
      <w:pPr>
        <w:jc w:val="both"/>
        <w:rPr>
          <w:b/>
          <w:sz w:val="26"/>
          <w:szCs w:val="26"/>
        </w:rPr>
      </w:pPr>
      <w:r w:rsidRPr="00911F80">
        <w:rPr>
          <w:noProof/>
          <w:lang w:val="en-GB"/>
        </w:rPr>
        <w:lastRenderedPageBreak/>
        <w:drawing>
          <wp:inline distT="114300" distB="114300" distL="114300" distR="114300" wp14:anchorId="4C4BEAE1" wp14:editId="177E9EBF">
            <wp:extent cx="5731200" cy="4254500"/>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5731200" cy="4254500"/>
                    </a:xfrm>
                    <a:prstGeom prst="rect">
                      <a:avLst/>
                    </a:prstGeom>
                    <a:ln/>
                  </pic:spPr>
                </pic:pic>
              </a:graphicData>
            </a:graphic>
          </wp:inline>
        </w:drawing>
      </w:r>
    </w:p>
    <w:p w14:paraId="4848765E" w14:textId="77777777" w:rsidR="00C8280F" w:rsidRPr="00911F80" w:rsidRDefault="002A54E1" w:rsidP="002618AE">
      <w:pPr>
        <w:pStyle w:val="Title2ParagraphArticle"/>
      </w:pPr>
      <w:r w:rsidRPr="00911F80">
        <w:t>Graphical abstract</w:t>
      </w:r>
    </w:p>
    <w:p w14:paraId="3F527F3E" w14:textId="77777777" w:rsidR="00C8280F" w:rsidRPr="00911F80" w:rsidRDefault="002A54E1" w:rsidP="001576BA">
      <w:pPr>
        <w:jc w:val="both"/>
        <w:rPr>
          <w:b/>
          <w:sz w:val="30"/>
          <w:szCs w:val="30"/>
        </w:rPr>
      </w:pPr>
      <w:r w:rsidRPr="00911F80">
        <w:rPr>
          <w:noProof/>
          <w:lang w:val="en-GB"/>
        </w:rPr>
        <w:drawing>
          <wp:inline distT="114300" distB="114300" distL="114300" distR="114300" wp14:anchorId="6F9CB32A" wp14:editId="699251C9">
            <wp:extent cx="5731200" cy="2286000"/>
            <wp:effectExtent l="0" t="0" r="0" b="0"/>
            <wp:docPr id="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4"/>
                    <a:srcRect/>
                    <a:stretch>
                      <a:fillRect/>
                    </a:stretch>
                  </pic:blipFill>
                  <pic:spPr>
                    <a:xfrm>
                      <a:off x="0" y="0"/>
                      <a:ext cx="5731200" cy="2286000"/>
                    </a:xfrm>
                    <a:prstGeom prst="rect">
                      <a:avLst/>
                    </a:prstGeom>
                    <a:ln/>
                  </pic:spPr>
                </pic:pic>
              </a:graphicData>
            </a:graphic>
          </wp:inline>
        </w:drawing>
      </w:r>
    </w:p>
    <w:p w14:paraId="66F19A9F" w14:textId="77777777" w:rsidR="00C8280F" w:rsidRPr="00911F80" w:rsidRDefault="002A54E1" w:rsidP="002618AE">
      <w:pPr>
        <w:pStyle w:val="Title2ParagraphArticle"/>
      </w:pPr>
      <w:r w:rsidRPr="00911F80">
        <w:t>Supplementary figure 1</w:t>
      </w:r>
    </w:p>
    <w:p w14:paraId="5DC5A4EB" w14:textId="77777777" w:rsidR="00C8280F" w:rsidRPr="00911F80" w:rsidRDefault="002A54E1" w:rsidP="001576BA">
      <w:pPr>
        <w:jc w:val="both"/>
        <w:rPr>
          <w:b/>
          <w:sz w:val="26"/>
          <w:szCs w:val="26"/>
        </w:rPr>
      </w:pPr>
      <w:r w:rsidRPr="00911F80">
        <w:rPr>
          <w:noProof/>
          <w:lang w:val="en-GB"/>
        </w:rPr>
        <w:lastRenderedPageBreak/>
        <w:drawing>
          <wp:inline distT="114300" distB="114300" distL="114300" distR="114300" wp14:anchorId="2D586BDB" wp14:editId="342E7040">
            <wp:extent cx="5348288" cy="3296038"/>
            <wp:effectExtent l="0" t="0" r="0" b="0"/>
            <wp:docPr id="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5348288" cy="3296038"/>
                    </a:xfrm>
                    <a:prstGeom prst="rect">
                      <a:avLst/>
                    </a:prstGeom>
                    <a:ln/>
                  </pic:spPr>
                </pic:pic>
              </a:graphicData>
            </a:graphic>
          </wp:inline>
        </w:drawing>
      </w:r>
    </w:p>
    <w:p w14:paraId="0840ED07" w14:textId="02DAE47E" w:rsidR="00C8280F" w:rsidRPr="00911F80" w:rsidRDefault="002A54E1" w:rsidP="002F1D2E">
      <w:pPr>
        <w:pStyle w:val="Title2ParagraphArticle"/>
      </w:pPr>
      <w:r w:rsidRPr="00911F80">
        <w:t>Supplementary figure 2</w:t>
      </w:r>
      <w:r w:rsidR="002F1D2E" w:rsidRPr="00911F80">
        <w:tab/>
      </w:r>
      <w:r w:rsidRPr="00911F80">
        <w:br/>
      </w:r>
      <w:r w:rsidRPr="00911F80">
        <w:rPr>
          <w:noProof/>
          <w:lang w:val="en-GB"/>
        </w:rPr>
        <w:drawing>
          <wp:inline distT="114300" distB="114300" distL="114300" distR="114300" wp14:anchorId="749509DC" wp14:editId="14A8291F">
            <wp:extent cx="2938463" cy="3029437"/>
            <wp:effectExtent l="0" t="0" r="0" b="0"/>
            <wp:docPr id="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6"/>
                    <a:srcRect/>
                    <a:stretch>
                      <a:fillRect/>
                    </a:stretch>
                  </pic:blipFill>
                  <pic:spPr>
                    <a:xfrm>
                      <a:off x="0" y="0"/>
                      <a:ext cx="2938463" cy="3029437"/>
                    </a:xfrm>
                    <a:prstGeom prst="rect">
                      <a:avLst/>
                    </a:prstGeom>
                    <a:ln/>
                  </pic:spPr>
                </pic:pic>
              </a:graphicData>
            </a:graphic>
          </wp:inline>
        </w:drawing>
      </w:r>
    </w:p>
    <w:p w14:paraId="3A7EEB0F" w14:textId="77777777" w:rsidR="00C077D6" w:rsidRPr="00911F80" w:rsidRDefault="00C077D6" w:rsidP="002F1D2E">
      <w:pPr>
        <w:pStyle w:val="Title2ParagraphArticle"/>
      </w:pPr>
    </w:p>
    <w:p w14:paraId="0FB2A15E" w14:textId="77777777" w:rsidR="00C077D6" w:rsidRPr="00911F80" w:rsidRDefault="00C077D6" w:rsidP="002F1D2E">
      <w:pPr>
        <w:pStyle w:val="Title2ParagraphArticle"/>
      </w:pPr>
    </w:p>
    <w:p w14:paraId="554D598B" w14:textId="77777777" w:rsidR="00C077D6" w:rsidRPr="00911F80" w:rsidRDefault="00C077D6" w:rsidP="002F1D2E">
      <w:pPr>
        <w:pStyle w:val="Title2ParagraphArticle"/>
      </w:pPr>
    </w:p>
    <w:p w14:paraId="58D905AD" w14:textId="77777777" w:rsidR="00C077D6" w:rsidRPr="00911F80" w:rsidRDefault="00C077D6" w:rsidP="002F1D2E">
      <w:pPr>
        <w:pStyle w:val="Title2ParagraphArticle"/>
      </w:pPr>
    </w:p>
    <w:p w14:paraId="1B386464" w14:textId="77777777" w:rsidR="00C077D6" w:rsidRPr="00911F80" w:rsidRDefault="00C077D6" w:rsidP="002F1D2E">
      <w:pPr>
        <w:pStyle w:val="Title2ParagraphArticle"/>
      </w:pPr>
    </w:p>
    <w:p w14:paraId="3C4C21DF" w14:textId="77777777" w:rsidR="00C077D6" w:rsidRPr="00911F80" w:rsidRDefault="00C077D6" w:rsidP="002F1D2E">
      <w:pPr>
        <w:pStyle w:val="Title2ParagraphArticle"/>
      </w:pPr>
    </w:p>
    <w:p w14:paraId="61E79645" w14:textId="77777777" w:rsidR="00C077D6" w:rsidRPr="00911F80" w:rsidRDefault="00C077D6" w:rsidP="002F1D2E">
      <w:pPr>
        <w:pStyle w:val="Title2ParagraphArticle"/>
      </w:pPr>
    </w:p>
    <w:p w14:paraId="2ADAA78D" w14:textId="77777777" w:rsidR="00C077D6" w:rsidRPr="00911F80" w:rsidRDefault="00C077D6" w:rsidP="002F1D2E">
      <w:pPr>
        <w:pStyle w:val="Title2ParagraphArticle"/>
      </w:pPr>
    </w:p>
    <w:p w14:paraId="2601B7F1" w14:textId="77777777" w:rsidR="00C077D6" w:rsidRPr="00911F80" w:rsidRDefault="00C077D6" w:rsidP="002F1D2E">
      <w:pPr>
        <w:pStyle w:val="Title2ParagraphArticle"/>
      </w:pPr>
    </w:p>
    <w:p w14:paraId="14F02087" w14:textId="77777777" w:rsidR="00C077D6" w:rsidRPr="00911F80" w:rsidRDefault="00C077D6" w:rsidP="002F1D2E">
      <w:pPr>
        <w:pStyle w:val="Title2ParagraphArticle"/>
      </w:pPr>
      <w:r w:rsidRPr="00911F80">
        <w:lastRenderedPageBreak/>
        <w:t>Supplementary figure 3</w:t>
      </w:r>
    </w:p>
    <w:p w14:paraId="7B6085A1" w14:textId="5B1C9616" w:rsidR="00C077D6" w:rsidRPr="00911F80" w:rsidRDefault="00C077D6" w:rsidP="002F1D2E">
      <w:pPr>
        <w:pStyle w:val="Title2ParagraphArticle"/>
        <w:rPr>
          <w:b w:val="0"/>
          <w:sz w:val="26"/>
          <w:szCs w:val="26"/>
        </w:rPr>
      </w:pPr>
      <w:r w:rsidRPr="00911F80">
        <w:rPr>
          <w:noProof/>
          <w:lang w:val="en-GB"/>
        </w:rPr>
        <w:drawing>
          <wp:inline distT="0" distB="0" distL="0" distR="0" wp14:anchorId="2FF8F576" wp14:editId="345B4275">
            <wp:extent cx="2734733" cy="3792873"/>
            <wp:effectExtent l="0" t="0" r="889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740945" cy="3801489"/>
                    </a:xfrm>
                    <a:prstGeom prst="rect">
                      <a:avLst/>
                    </a:prstGeom>
                  </pic:spPr>
                </pic:pic>
              </a:graphicData>
            </a:graphic>
          </wp:inline>
        </w:drawing>
      </w:r>
    </w:p>
    <w:p w14:paraId="14988BA1" w14:textId="78CC361E" w:rsidR="00E200C2" w:rsidRPr="00911F80" w:rsidRDefault="00E200C2" w:rsidP="002F1D2E">
      <w:pPr>
        <w:pStyle w:val="Title2ParagraphArticle"/>
      </w:pPr>
      <w:r w:rsidRPr="00911F80">
        <w:t>Supplementary figure 4</w:t>
      </w:r>
    </w:p>
    <w:p w14:paraId="46F95E9C" w14:textId="023CB1E3" w:rsidR="00E200C2" w:rsidRDefault="00E200C2" w:rsidP="002F1D2E">
      <w:pPr>
        <w:pStyle w:val="Title2ParagraphArticle"/>
        <w:rPr>
          <w:b w:val="0"/>
          <w:sz w:val="26"/>
          <w:szCs w:val="26"/>
        </w:rPr>
      </w:pPr>
      <w:r w:rsidRPr="00911F80">
        <w:rPr>
          <w:noProof/>
          <w:lang w:val="en-GB"/>
        </w:rPr>
        <w:drawing>
          <wp:inline distT="0" distB="0" distL="0" distR="0" wp14:anchorId="6D810816" wp14:editId="0D23D196">
            <wp:extent cx="3995616" cy="2305539"/>
            <wp:effectExtent l="0" t="0" r="5080" b="0"/>
            <wp:docPr id="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sectPr w:rsidR="00E200C2" w:rsidSect="00DA4E2A">
      <w:footerReference w:type="default" r:id="rId19"/>
      <w:pgSz w:w="11909" w:h="16834"/>
      <w:pgMar w:top="1440" w:right="1440" w:bottom="1440" w:left="1440" w:header="0" w:footer="720" w:gutter="0"/>
      <w:lnNumType w:countBy="1" w:restart="continuous"/>
      <w:pgNumType w:start="1"/>
      <w:cols w:space="720"/>
      <w:docGrid w:linePitch="299"/>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Aline Bauer" w:date="2017-07-21T12:46:00Z" w:initials="AB">
    <w:p w14:paraId="10143198" w14:textId="71BF4286" w:rsidR="00CD3AAE" w:rsidRDefault="00CD3AAE">
      <w:pPr>
        <w:pStyle w:val="CommentText"/>
      </w:pPr>
      <w:r>
        <w:rPr>
          <w:rStyle w:val="CommentReference"/>
        </w:rPr>
        <w:annotationRef/>
      </w:r>
      <w:r>
        <w:rPr>
          <w:noProof/>
        </w:rPr>
        <w:t>Shall we leave that here or put that in the SI ?</w:t>
      </w:r>
    </w:p>
  </w:comment>
  <w:comment w:id="2" w:author="Celiz Adam" w:date="2017-07-21T20:26:00Z" w:initials="CA">
    <w:p w14:paraId="120A9B4E" w14:textId="5119D83C" w:rsidR="00CD3AAE" w:rsidRDefault="00CD3AAE">
      <w:pPr>
        <w:pStyle w:val="CommentText"/>
      </w:pPr>
      <w:r>
        <w:rPr>
          <w:rStyle w:val="CommentReference"/>
        </w:rPr>
        <w:annotationRef/>
      </w:r>
      <w:r>
        <w:t>This is fine here</w:t>
      </w:r>
    </w:p>
  </w:comment>
  <w:comment w:id="3" w:author="Aline Bauer" w:date="2017-07-21T12:47:00Z" w:initials="AB">
    <w:p w14:paraId="0C9572CF" w14:textId="5C623016" w:rsidR="00CD3AAE" w:rsidRDefault="00CD3AAE">
      <w:pPr>
        <w:pStyle w:val="CommentText"/>
      </w:pPr>
      <w:r>
        <w:rPr>
          <w:rStyle w:val="CommentReference"/>
        </w:rPr>
        <w:annotationRef/>
      </w:r>
      <w:r>
        <w:rPr>
          <w:noProof/>
        </w:rPr>
        <w:t>Is that appropriate here?</w:t>
      </w:r>
    </w:p>
  </w:comment>
  <w:comment w:id="4" w:author="Celiz Adam" w:date="2017-07-21T20:26:00Z" w:initials="CA">
    <w:p w14:paraId="6DAFBF23" w14:textId="715BEBF7" w:rsidR="00CD3AAE" w:rsidRDefault="00CD3AAE">
      <w:pPr>
        <w:pStyle w:val="CommentText"/>
      </w:pPr>
      <w:r>
        <w:rPr>
          <w:rStyle w:val="CommentReference"/>
        </w:rPr>
        <w:annotationRef/>
      </w:r>
      <w:r>
        <w:t>Yes this is fine</w:t>
      </w:r>
    </w:p>
  </w:comment>
  <w:comment w:id="5" w:author="Aline Bauer" w:date="2017-07-21T12:47:00Z" w:initials="AB">
    <w:p w14:paraId="42DB4232" w14:textId="708751B3" w:rsidR="00CD3AAE" w:rsidRDefault="00CD3AAE">
      <w:pPr>
        <w:pStyle w:val="CommentText"/>
      </w:pPr>
      <w:r>
        <w:rPr>
          <w:rStyle w:val="CommentReference"/>
        </w:rPr>
        <w:annotationRef/>
      </w:r>
      <w:r>
        <w:rPr>
          <w:noProof/>
        </w:rPr>
        <w:t>Is that appropriate here ?</w:t>
      </w:r>
    </w:p>
  </w:comment>
  <w:comment w:id="6" w:author="Celiz Adam" w:date="2017-07-21T20:28:00Z" w:initials="CA">
    <w:p w14:paraId="3F7EB7A7" w14:textId="69C8F59B" w:rsidR="00CD3AAE" w:rsidRDefault="00CD3AAE">
      <w:pPr>
        <w:pStyle w:val="CommentText"/>
      </w:pPr>
      <w:r>
        <w:rPr>
          <w:rStyle w:val="CommentReference"/>
        </w:rPr>
        <w:annotationRef/>
      </w:r>
      <w:r>
        <w:t>Just check you are consistent using “stiffness” or “elastic modulus” try not to use them both too often.</w:t>
      </w:r>
    </w:p>
  </w:comment>
  <w:comment w:id="7" w:author="Celiz Adam" w:date="2017-07-21T20:30:00Z" w:initials="CA">
    <w:p w14:paraId="2890F948" w14:textId="50C73656" w:rsidR="00CD3AAE" w:rsidRDefault="00CD3AAE">
      <w:pPr>
        <w:pStyle w:val="CommentText"/>
      </w:pPr>
      <w:r>
        <w:rPr>
          <w:rStyle w:val="CommentReference"/>
        </w:rPr>
        <w:annotationRef/>
      </w:r>
      <w:r>
        <w:t>This part should remain in the rebuttal or move to SI/methods. It’s not appropriate in a results section.</w:t>
      </w:r>
    </w:p>
  </w:comment>
  <w:comment w:id="8" w:author="Aline Bauer" w:date="2017-07-21T13:50:00Z" w:initials="AB">
    <w:p w14:paraId="684289B2" w14:textId="5BA95851" w:rsidR="00CD3AAE" w:rsidRDefault="00CD3AAE">
      <w:pPr>
        <w:pStyle w:val="CommentText"/>
      </w:pPr>
      <w:r>
        <w:rPr>
          <w:rStyle w:val="CommentReference"/>
        </w:rPr>
        <w:annotationRef/>
      </w:r>
      <w:r>
        <w:rPr>
          <w:noProof/>
        </w:rPr>
        <w:t>is that appropriate here ?</w:t>
      </w:r>
    </w:p>
  </w:comment>
  <w:comment w:id="9" w:author="Celiz Adam" w:date="2017-07-21T20:35:00Z" w:initials="CA">
    <w:p w14:paraId="2F208CD7" w14:textId="3263741B" w:rsidR="006C20CB" w:rsidRDefault="006C20CB">
      <w:pPr>
        <w:pStyle w:val="CommentText"/>
      </w:pPr>
      <w:r>
        <w:rPr>
          <w:rStyle w:val="CommentReference"/>
        </w:rPr>
        <w:annotationRef/>
      </w:r>
      <w:r>
        <w:t>yes</w:t>
      </w:r>
    </w:p>
  </w:comment>
  <w:comment w:id="10" w:author="Aline Bauer" w:date="2017-07-21T14:50:00Z" w:initials="AB">
    <w:p w14:paraId="4D84CA15" w14:textId="7A49545A" w:rsidR="00CD3AAE" w:rsidRDefault="00CD3AAE">
      <w:pPr>
        <w:pStyle w:val="CommentText"/>
      </w:pPr>
      <w:r>
        <w:rPr>
          <w:rStyle w:val="CommentReference"/>
        </w:rPr>
        <w:annotationRef/>
      </w:r>
      <w:r>
        <w:rPr>
          <w:noProof/>
        </w:rPr>
        <w:t>Could you reformulate this ?</w:t>
      </w:r>
    </w:p>
  </w:comment>
  <w:comment w:id="11" w:author="Aline Bauer" w:date="2017-07-21T14:18:00Z" w:initials="AB">
    <w:p w14:paraId="1102DFA4" w14:textId="0B65E653" w:rsidR="00CD3AAE" w:rsidRDefault="00CD3AAE">
      <w:pPr>
        <w:pStyle w:val="CommentText"/>
      </w:pPr>
      <w:r>
        <w:rPr>
          <w:rStyle w:val="CommentReference"/>
        </w:rPr>
        <w:annotationRef/>
      </w:r>
      <w:r>
        <w:rPr>
          <w:noProof/>
        </w:rPr>
        <w:t>Do you think I need to say why we did the  relative proliefration ? (for e.g.: Values of two separate/independant experiments were normalized to thir respective elastive value...)</w:t>
      </w:r>
    </w:p>
  </w:comment>
  <w:comment w:id="12" w:author="Celiz Adam" w:date="2017-07-21T19:51:00Z" w:initials="CA">
    <w:p w14:paraId="0C0245F1" w14:textId="4A72211C" w:rsidR="00CD3AAE" w:rsidRDefault="00CD3AAE">
      <w:pPr>
        <w:pStyle w:val="CommentText"/>
      </w:pPr>
      <w:r>
        <w:rPr>
          <w:rStyle w:val="CommentReference"/>
        </w:rPr>
        <w:annotationRef/>
      </w:r>
      <w:r>
        <w:t>You can but not in too much detail, just say how you normalized the proliferation on the elastic conditions.</w:t>
      </w:r>
    </w:p>
  </w:comment>
  <w:comment w:id="13" w:author="Aline Bauer" w:date="2017-07-21T14:53:00Z" w:initials="AB">
    <w:p w14:paraId="33ABA3D9" w14:textId="77777777" w:rsidR="00CD3AAE" w:rsidRDefault="00CD3AAE">
      <w:pPr>
        <w:pStyle w:val="CommentText"/>
        <w:rPr>
          <w:noProof/>
        </w:rPr>
      </w:pPr>
      <w:r>
        <w:rPr>
          <w:rStyle w:val="CommentReference"/>
        </w:rPr>
        <w:annotationRef/>
      </w:r>
      <w:r>
        <w:rPr>
          <w:noProof/>
        </w:rPr>
        <w:t>is this legend OK ?</w:t>
      </w:r>
    </w:p>
    <w:p w14:paraId="50AF1380" w14:textId="6C6356A5" w:rsidR="00CD3AAE" w:rsidRDefault="00CD3AAE">
      <w:pPr>
        <w:pStyle w:val="CommentText"/>
      </w:pPr>
      <w:r>
        <w:rPr>
          <w:noProof/>
        </w:rPr>
        <w:t>yes</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0143198" w15:done="0"/>
  <w15:commentEx w15:paraId="120A9B4E" w15:paraIdParent="10143198" w15:done="0"/>
  <w15:commentEx w15:paraId="0C9572CF" w15:done="0"/>
  <w15:commentEx w15:paraId="6DAFBF23" w15:paraIdParent="0C9572CF" w15:done="0"/>
  <w15:commentEx w15:paraId="42DB4232" w15:done="0"/>
  <w15:commentEx w15:paraId="3F7EB7A7" w15:done="0"/>
  <w15:commentEx w15:paraId="2890F948" w15:done="0"/>
  <w15:commentEx w15:paraId="684289B2" w15:done="0"/>
  <w15:commentEx w15:paraId="2F208CD7" w15:paraIdParent="684289B2" w15:done="0"/>
  <w15:commentEx w15:paraId="4D84CA15" w15:done="0"/>
  <w15:commentEx w15:paraId="1102DFA4" w15:done="0"/>
  <w15:commentEx w15:paraId="0C0245F1" w15:paraIdParent="1102DFA4" w15:done="0"/>
  <w15:commentEx w15:paraId="50AF1380"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814615" w14:textId="77777777" w:rsidR="001E5238" w:rsidRDefault="001E5238">
      <w:pPr>
        <w:spacing w:line="240" w:lineRule="auto"/>
      </w:pPr>
      <w:r>
        <w:separator/>
      </w:r>
    </w:p>
  </w:endnote>
  <w:endnote w:type="continuationSeparator" w:id="0">
    <w:p w14:paraId="79ABD523" w14:textId="77777777" w:rsidR="001E5238" w:rsidRDefault="001E52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Calibri"/>
    <w:charset w:val="00"/>
    <w:family w:val="swiss"/>
    <w:pitch w:val="variable"/>
    <w:sig w:usb0="E4002EFF" w:usb1="C000E47F"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172D46" w14:textId="77777777" w:rsidR="00CD3AAE" w:rsidRDefault="00CD3AAE">
    <w:pPr>
      <w:jc w:val="right"/>
    </w:pPr>
    <w:r>
      <w:fldChar w:fldCharType="begin"/>
    </w:r>
    <w:r>
      <w:instrText>PAGE</w:instrText>
    </w:r>
    <w:r>
      <w:fldChar w:fldCharType="separate"/>
    </w:r>
    <w:r w:rsidR="00911F80">
      <w:rPr>
        <w:noProof/>
      </w:rPr>
      <w:t>23</w:t>
    </w:r>
    <w: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2ACFDB" w14:textId="77777777" w:rsidR="001E5238" w:rsidRDefault="001E5238">
      <w:pPr>
        <w:spacing w:line="240" w:lineRule="auto"/>
      </w:pPr>
      <w:r>
        <w:separator/>
      </w:r>
    </w:p>
  </w:footnote>
  <w:footnote w:type="continuationSeparator" w:id="0">
    <w:p w14:paraId="63508086" w14:textId="77777777" w:rsidR="001E5238" w:rsidRDefault="001E5238">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C5D4C19"/>
    <w:multiLevelType w:val="hybridMultilevel"/>
    <w:tmpl w:val="3C4C8D24"/>
    <w:lvl w:ilvl="0" w:tplc="C038AB1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line Bauer">
    <w15:presenceInfo w15:providerId="Windows Live" w15:userId="ede12a0a127eb33f"/>
  </w15:person>
  <w15:person w15:author="Celiz Adam">
    <w15:presenceInfo w15:providerId="None" w15:userId="Celiz Ada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visionView w:comments="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80F"/>
    <w:rsid w:val="00014F80"/>
    <w:rsid w:val="00023C02"/>
    <w:rsid w:val="000A014F"/>
    <w:rsid w:val="000E452A"/>
    <w:rsid w:val="00113FD0"/>
    <w:rsid w:val="001576BA"/>
    <w:rsid w:val="00157E5C"/>
    <w:rsid w:val="001A13AA"/>
    <w:rsid w:val="001A388C"/>
    <w:rsid w:val="001B2FDC"/>
    <w:rsid w:val="001E5238"/>
    <w:rsid w:val="0022199B"/>
    <w:rsid w:val="00240A23"/>
    <w:rsid w:val="002618AE"/>
    <w:rsid w:val="002A54E1"/>
    <w:rsid w:val="002F0756"/>
    <w:rsid w:val="002F1D2E"/>
    <w:rsid w:val="002F3A5C"/>
    <w:rsid w:val="004068A6"/>
    <w:rsid w:val="0044739E"/>
    <w:rsid w:val="00486D51"/>
    <w:rsid w:val="00524FAD"/>
    <w:rsid w:val="00544F68"/>
    <w:rsid w:val="005D3900"/>
    <w:rsid w:val="005F1A24"/>
    <w:rsid w:val="0063691C"/>
    <w:rsid w:val="00680E34"/>
    <w:rsid w:val="006C20CB"/>
    <w:rsid w:val="006D398E"/>
    <w:rsid w:val="00866964"/>
    <w:rsid w:val="00880BCC"/>
    <w:rsid w:val="008A5FFB"/>
    <w:rsid w:val="008B73CF"/>
    <w:rsid w:val="00904E13"/>
    <w:rsid w:val="00905A61"/>
    <w:rsid w:val="00907710"/>
    <w:rsid w:val="00911F80"/>
    <w:rsid w:val="00994E3D"/>
    <w:rsid w:val="009C61F6"/>
    <w:rsid w:val="00A01DCB"/>
    <w:rsid w:val="00A44FCF"/>
    <w:rsid w:val="00AF0FF0"/>
    <w:rsid w:val="00B217CE"/>
    <w:rsid w:val="00B265A2"/>
    <w:rsid w:val="00B31C19"/>
    <w:rsid w:val="00C077D6"/>
    <w:rsid w:val="00C8280F"/>
    <w:rsid w:val="00CD3AAE"/>
    <w:rsid w:val="00DA0145"/>
    <w:rsid w:val="00DA4E2A"/>
    <w:rsid w:val="00DD73C5"/>
    <w:rsid w:val="00E009C4"/>
    <w:rsid w:val="00E0641F"/>
    <w:rsid w:val="00E200C2"/>
    <w:rsid w:val="00E44AE4"/>
    <w:rsid w:val="00ED2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73EEC"/>
  <w15:docId w15:val="{100CDE4A-3B2A-4C0F-8D41-7DFD16A07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fr" w:eastAsia="en-GB"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lang w:val="en-US"/>
    </w:rPr>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2">
    <w:name w:val="2"/>
    <w:basedOn w:val="TableNormal"/>
    <w:tblPr>
      <w:tblStyleRowBandSize w:val="1"/>
      <w:tblStyleColBandSize w:val="1"/>
      <w:tblInd w:w="0" w:type="dxa"/>
      <w:tblCellMar>
        <w:top w:w="0" w:type="dxa"/>
        <w:left w:w="108" w:type="dxa"/>
        <w:bottom w:w="0" w:type="dxa"/>
        <w:right w:w="108" w:type="dxa"/>
      </w:tblCellMar>
    </w:tblPr>
  </w:style>
  <w:style w:type="table" w:customStyle="1" w:styleId="1">
    <w:name w:val="1"/>
    <w:basedOn w:val="TableNormal"/>
    <w:tblPr>
      <w:tblStyleRowBandSize w:val="1"/>
      <w:tblStyleColBandSize w:val="1"/>
      <w:tblInd w:w="0" w:type="dxa"/>
      <w:tblCellMar>
        <w:top w:w="0" w:type="dxa"/>
        <w:left w:w="108" w:type="dxa"/>
        <w:bottom w:w="0" w:type="dxa"/>
        <w:right w:w="108" w:type="dxa"/>
      </w:tblCellMar>
    </w:tblPr>
  </w:style>
  <w:style w:type="character" w:styleId="LineNumber">
    <w:name w:val="line number"/>
    <w:basedOn w:val="DefaultParagraphFont"/>
    <w:uiPriority w:val="99"/>
    <w:semiHidden/>
    <w:unhideWhenUsed/>
    <w:rsid w:val="00524FAD"/>
  </w:style>
  <w:style w:type="character" w:styleId="Hyperlink">
    <w:name w:val="Hyperlink"/>
    <w:basedOn w:val="DefaultParagraphFont"/>
    <w:uiPriority w:val="99"/>
    <w:unhideWhenUsed/>
    <w:rsid w:val="002618AE"/>
    <w:rPr>
      <w:color w:val="0563C1" w:themeColor="hyperlink"/>
      <w:u w:val="single"/>
    </w:rPr>
  </w:style>
  <w:style w:type="paragraph" w:customStyle="1" w:styleId="TitleParagraphArticle">
    <w:name w:val="Title Paragraph Article"/>
    <w:basedOn w:val="Normal"/>
    <w:link w:val="TitleParagraphArticleCar"/>
    <w:qFormat/>
    <w:rsid w:val="002618AE"/>
    <w:pPr>
      <w:spacing w:before="120" w:after="60"/>
      <w:jc w:val="both"/>
    </w:pPr>
    <w:rPr>
      <w:rFonts w:ascii="Times New Roman" w:eastAsia="Times New Roman" w:hAnsi="Times New Roman" w:cs="Times New Roman"/>
      <w:b/>
      <w:sz w:val="24"/>
      <w:szCs w:val="24"/>
    </w:rPr>
  </w:style>
  <w:style w:type="paragraph" w:customStyle="1" w:styleId="Title2ParagraphArticle">
    <w:name w:val="Title 2 Paragraph Article"/>
    <w:basedOn w:val="Normal"/>
    <w:link w:val="Title2ParagraphArticleCar"/>
    <w:qFormat/>
    <w:rsid w:val="002618AE"/>
    <w:pPr>
      <w:spacing w:before="60"/>
      <w:jc w:val="both"/>
    </w:pPr>
    <w:rPr>
      <w:rFonts w:ascii="Times New Roman" w:eastAsia="Times New Roman" w:hAnsi="Times New Roman" w:cs="Times New Roman"/>
      <w:b/>
      <w:sz w:val="24"/>
      <w:szCs w:val="24"/>
    </w:rPr>
  </w:style>
  <w:style w:type="character" w:customStyle="1" w:styleId="TitleParagraphArticleCar">
    <w:name w:val="Title Paragraph Article Car"/>
    <w:basedOn w:val="DefaultParagraphFont"/>
    <w:link w:val="TitleParagraphArticle"/>
    <w:rsid w:val="002618AE"/>
    <w:rPr>
      <w:rFonts w:ascii="Times New Roman" w:eastAsia="Times New Roman" w:hAnsi="Times New Roman" w:cs="Times New Roman"/>
      <w:b/>
      <w:sz w:val="24"/>
      <w:szCs w:val="24"/>
      <w:lang w:val="en-US"/>
    </w:rPr>
  </w:style>
  <w:style w:type="paragraph" w:styleId="Revision">
    <w:name w:val="Revision"/>
    <w:hidden/>
    <w:uiPriority w:val="99"/>
    <w:semiHidden/>
    <w:rsid w:val="00A44FCF"/>
    <w:pPr>
      <w:pBdr>
        <w:top w:val="none" w:sz="0" w:space="0" w:color="auto"/>
        <w:left w:val="none" w:sz="0" w:space="0" w:color="auto"/>
        <w:bottom w:val="none" w:sz="0" w:space="0" w:color="auto"/>
        <w:right w:val="none" w:sz="0" w:space="0" w:color="auto"/>
        <w:between w:val="none" w:sz="0" w:space="0" w:color="auto"/>
      </w:pBdr>
      <w:spacing w:line="240" w:lineRule="auto"/>
    </w:pPr>
    <w:rPr>
      <w:lang w:val="en-US"/>
    </w:rPr>
  </w:style>
  <w:style w:type="character" w:customStyle="1" w:styleId="Title2ParagraphArticleCar">
    <w:name w:val="Title 2 Paragraph Article Car"/>
    <w:basedOn w:val="DefaultParagraphFont"/>
    <w:link w:val="Title2ParagraphArticle"/>
    <w:rsid w:val="002618AE"/>
    <w:rPr>
      <w:rFonts w:ascii="Times New Roman" w:eastAsia="Times New Roman" w:hAnsi="Times New Roman" w:cs="Times New Roman"/>
      <w:b/>
      <w:sz w:val="24"/>
      <w:szCs w:val="24"/>
      <w:lang w:val="en-US"/>
    </w:rPr>
  </w:style>
  <w:style w:type="paragraph" w:styleId="BalloonText">
    <w:name w:val="Balloon Text"/>
    <w:basedOn w:val="Normal"/>
    <w:link w:val="BalloonTextChar"/>
    <w:uiPriority w:val="99"/>
    <w:semiHidden/>
    <w:unhideWhenUsed/>
    <w:rsid w:val="00A44F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4FCF"/>
    <w:rPr>
      <w:rFonts w:ascii="Segoe UI" w:hAnsi="Segoe UI" w:cs="Segoe UI"/>
      <w:sz w:val="18"/>
      <w:szCs w:val="18"/>
      <w:lang w:val="en-US"/>
    </w:rPr>
  </w:style>
  <w:style w:type="character" w:styleId="CommentReference">
    <w:name w:val="annotation reference"/>
    <w:basedOn w:val="DefaultParagraphFont"/>
    <w:uiPriority w:val="99"/>
    <w:semiHidden/>
    <w:unhideWhenUsed/>
    <w:rsid w:val="00AF0FF0"/>
    <w:rPr>
      <w:sz w:val="16"/>
      <w:szCs w:val="16"/>
    </w:rPr>
  </w:style>
  <w:style w:type="paragraph" w:styleId="CommentText">
    <w:name w:val="annotation text"/>
    <w:basedOn w:val="Normal"/>
    <w:link w:val="CommentTextChar"/>
    <w:uiPriority w:val="99"/>
    <w:semiHidden/>
    <w:unhideWhenUsed/>
    <w:rsid w:val="00AF0FF0"/>
    <w:pPr>
      <w:spacing w:line="240" w:lineRule="auto"/>
    </w:pPr>
    <w:rPr>
      <w:sz w:val="20"/>
      <w:szCs w:val="20"/>
    </w:rPr>
  </w:style>
  <w:style w:type="character" w:customStyle="1" w:styleId="CommentTextChar">
    <w:name w:val="Comment Text Char"/>
    <w:basedOn w:val="DefaultParagraphFont"/>
    <w:link w:val="CommentText"/>
    <w:uiPriority w:val="99"/>
    <w:semiHidden/>
    <w:rsid w:val="00AF0FF0"/>
    <w:rPr>
      <w:sz w:val="20"/>
      <w:szCs w:val="20"/>
      <w:lang w:val="en-US"/>
    </w:rPr>
  </w:style>
  <w:style w:type="paragraph" w:styleId="CommentSubject">
    <w:name w:val="annotation subject"/>
    <w:basedOn w:val="CommentText"/>
    <w:next w:val="CommentText"/>
    <w:link w:val="CommentSubjectChar"/>
    <w:uiPriority w:val="99"/>
    <w:semiHidden/>
    <w:unhideWhenUsed/>
    <w:rsid w:val="00AF0FF0"/>
    <w:rPr>
      <w:b/>
      <w:bCs/>
    </w:rPr>
  </w:style>
  <w:style w:type="character" w:customStyle="1" w:styleId="CommentSubjectChar">
    <w:name w:val="Comment Subject Char"/>
    <w:basedOn w:val="CommentTextChar"/>
    <w:link w:val="CommentSubject"/>
    <w:uiPriority w:val="99"/>
    <w:semiHidden/>
    <w:rsid w:val="00AF0FF0"/>
    <w:rPr>
      <w:b/>
      <w:bCs/>
      <w:sz w:val="20"/>
      <w:szCs w:val="20"/>
      <w:lang w:val="en-US"/>
    </w:rPr>
  </w:style>
  <w:style w:type="paragraph" w:styleId="ListParagraph">
    <w:name w:val="List Paragraph"/>
    <w:basedOn w:val="Normal"/>
    <w:uiPriority w:val="34"/>
    <w:qFormat/>
    <w:rsid w:val="00C077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9" Type="http://schemas.microsoft.com/office/2011/relationships/commentsExtended" Target="commentsExtended.xml"/><Relationship Id="rId20" Type="http://schemas.openxmlformats.org/officeDocument/2006/relationships/fontTable" Target="fontTable.xml"/><Relationship Id="rId21" Type="http://schemas.microsoft.com/office/2011/relationships/people" Target="people.xml"/><Relationship Id="rId22" Type="http://schemas.openxmlformats.org/officeDocument/2006/relationships/theme" Target="theme/theme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chart" Target="charts/chart1.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omments" Target="comments.xm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file:////C:\Users\Aline\CloudStation\EPFL\Echange%20Boston\Projet\ActaBiomateriala%20Paper\Submission%20dossier\Review\C2C12%20prolif%20and%20spreading_comparis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5912379968445"/>
          <c:y val="0.0871956622724665"/>
          <c:w val="0.772610781416433"/>
          <c:h val="0.715793139912185"/>
        </c:manualLayout>
      </c:layout>
      <c:scatterChart>
        <c:scatterStyle val="lineMarker"/>
        <c:varyColors val="0"/>
        <c:ser>
          <c:idx val="0"/>
          <c:order val="0"/>
          <c:tx>
            <c:strRef>
              <c:f>Feuil1!$C$13</c:f>
              <c:strCache>
                <c:ptCount val="1"/>
                <c:pt idx="0">
                  <c:v>Prolif</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0"/>
            <c:trendlineLbl>
              <c:layout>
                <c:manualLayout>
                  <c:x val="-0.00374285216597391"/>
                  <c:y val="0.199244948795054"/>
                </c:manualLayout>
              </c:layout>
              <c:numFmt formatCode="General" sourceLinked="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GB"/>
                </a:p>
              </c:txPr>
            </c:trendlineLbl>
          </c:trendline>
          <c:xVal>
            <c:numRef>
              <c:f>Feuil1!$B$14:$B$20</c:f>
              <c:numCache>
                <c:formatCode>General</c:formatCode>
                <c:ptCount val="7"/>
                <c:pt idx="0">
                  <c:v>544.9998894009223</c:v>
                </c:pt>
                <c:pt idx="1">
                  <c:v>650.8375285935082</c:v>
                </c:pt>
                <c:pt idx="2">
                  <c:v>849.6943251445084</c:v>
                </c:pt>
                <c:pt idx="4">
                  <c:v>680.6337530434793</c:v>
                </c:pt>
                <c:pt idx="5">
                  <c:v>717.8490380952369</c:v>
                </c:pt>
                <c:pt idx="6">
                  <c:v>713.4348415147267</c:v>
                </c:pt>
              </c:numCache>
            </c:numRef>
          </c:xVal>
          <c:yVal>
            <c:numRef>
              <c:f>Feuil1!$C$14:$C$20</c:f>
              <c:numCache>
                <c:formatCode>General</c:formatCode>
                <c:ptCount val="7"/>
                <c:pt idx="0">
                  <c:v>67.411835</c:v>
                </c:pt>
                <c:pt idx="1">
                  <c:v>71.95517499999998</c:v>
                </c:pt>
                <c:pt idx="2">
                  <c:v>86.393115</c:v>
                </c:pt>
                <c:pt idx="4">
                  <c:v>80.67770249999995</c:v>
                </c:pt>
                <c:pt idx="5">
                  <c:v>88.96078249999998</c:v>
                </c:pt>
                <c:pt idx="6">
                  <c:v>91.52668749999998</c:v>
                </c:pt>
              </c:numCache>
            </c:numRef>
          </c:yVal>
          <c:smooth val="0"/>
        </c:ser>
        <c:dLbls>
          <c:showLegendKey val="0"/>
          <c:showVal val="0"/>
          <c:showCatName val="0"/>
          <c:showSerName val="0"/>
          <c:showPercent val="0"/>
          <c:showBubbleSize val="0"/>
        </c:dLbls>
        <c:axId val="41706912"/>
        <c:axId val="41674432"/>
      </c:scatterChart>
      <c:valAx>
        <c:axId val="41706912"/>
        <c:scaling>
          <c:orientation val="minMax"/>
          <c:min val="50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200">
                    <a:latin typeface="Arial" panose="020B0604020202020204" pitchFamily="34" charset="0"/>
                    <a:cs typeface="Arial" panose="020B0604020202020204" pitchFamily="34" charset="0"/>
                  </a:rPr>
                  <a:t>Area (µm</a:t>
                </a:r>
                <a:r>
                  <a:rPr lang="en-US" sz="1200" baseline="30000">
                    <a:latin typeface="Arial" panose="020B0604020202020204" pitchFamily="34" charset="0"/>
                    <a:cs typeface="Arial" panose="020B0604020202020204" pitchFamily="34" charset="0"/>
                  </a:rPr>
                  <a:t>2</a:t>
                </a:r>
                <a:r>
                  <a:rPr lang="en-US" sz="1200" b="0" i="0" u="none" strike="noStrike" baseline="0">
                    <a:effectLst/>
                  </a:rPr>
                  <a:t>)</a:t>
                </a:r>
                <a:endParaRPr lang="en-US" sz="1200" baseline="300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GB"/>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GB"/>
          </a:p>
        </c:txPr>
        <c:crossAx val="41674432"/>
        <c:crosses val="autoZero"/>
        <c:crossBetween val="midCat"/>
      </c:valAx>
      <c:valAx>
        <c:axId val="41674432"/>
        <c:scaling>
          <c:orientation val="minMax"/>
          <c:min val="6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200">
                    <a:latin typeface="Arial" panose="020B0604020202020204" pitchFamily="34" charset="0"/>
                    <a:cs typeface="Arial" panose="020B0604020202020204" pitchFamily="34" charset="0"/>
                  </a:rPr>
                  <a:t>Proliferation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GB"/>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GB"/>
          </a:p>
        </c:txPr>
        <c:crossAx val="4170691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B"/>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02810-9219-914D-A690-4BB2D3230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23239</Words>
  <Characters>132464</Characters>
  <Application>Microsoft Macintosh Word</Application>
  <DocSecurity>0</DocSecurity>
  <Lines>1103</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Bauer</dc:creator>
  <cp:keywords/>
  <dc:description/>
  <cp:lastModifiedBy>Celiz, Adam</cp:lastModifiedBy>
  <cp:revision>2</cp:revision>
  <dcterms:created xsi:type="dcterms:W3CDTF">2017-12-13T15:48:00Z</dcterms:created>
  <dcterms:modified xsi:type="dcterms:W3CDTF">2017-12-13T15:48:00Z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1e2bb23d-1a3e-372a-9ed3-e61a4c7c25a2</vt:lpwstr>
  </property>
  <property fmtid="{D5CDD505-2E9C-101B-9397-08002B2CF9AE}" pid="24" name="Mendeley Citation Style_1">
    <vt:lpwstr>http://www.zotero.org/styles/ieee</vt:lpwstr>
  </property>
</Properties>
</file>