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0269" w:rsidRPr="00821942" w:rsidRDefault="00611B94" w:rsidP="00B27EB1">
      <w:pPr>
        <w:spacing w:line="480" w:lineRule="auto"/>
        <w:rPr>
          <w:rFonts w:ascii="Arial" w:hAnsi="Arial" w:cs="Arial"/>
          <w:b/>
          <w:sz w:val="24"/>
          <w:szCs w:val="24"/>
        </w:rPr>
      </w:pPr>
      <w:bookmarkStart w:id="0" w:name="_Hlk526410947"/>
      <w:r w:rsidRPr="00821942">
        <w:rPr>
          <w:rFonts w:ascii="Arial" w:hAnsi="Arial" w:cs="Arial"/>
          <w:b/>
          <w:sz w:val="24"/>
          <w:szCs w:val="24"/>
        </w:rPr>
        <w:t xml:space="preserve">Tropical </w:t>
      </w:r>
      <w:r w:rsidR="00F32F53" w:rsidRPr="00821942">
        <w:rPr>
          <w:rFonts w:ascii="Arial" w:hAnsi="Arial" w:cs="Arial"/>
          <w:b/>
          <w:sz w:val="24"/>
          <w:szCs w:val="24"/>
        </w:rPr>
        <w:t xml:space="preserve">logging and </w:t>
      </w:r>
      <w:r w:rsidRPr="00821942">
        <w:rPr>
          <w:rFonts w:ascii="Arial" w:hAnsi="Arial" w:cs="Arial"/>
          <w:b/>
          <w:sz w:val="24"/>
          <w:szCs w:val="24"/>
        </w:rPr>
        <w:t>deforestation impacts multiple scales of weevil beta-diversity</w:t>
      </w:r>
    </w:p>
    <w:bookmarkEnd w:id="0"/>
    <w:p w:rsidR="005F6B55" w:rsidRDefault="005F6B55" w:rsidP="00B27EB1">
      <w:pPr>
        <w:spacing w:line="480" w:lineRule="auto"/>
        <w:rPr>
          <w:rFonts w:ascii="Arial" w:hAnsi="Arial" w:cs="Arial"/>
          <w:sz w:val="20"/>
          <w:szCs w:val="20"/>
        </w:rPr>
      </w:pPr>
    </w:p>
    <w:p w:rsidR="0035706E" w:rsidRPr="00D810D0" w:rsidRDefault="0035706E" w:rsidP="00B27EB1">
      <w:pPr>
        <w:spacing w:line="480" w:lineRule="auto"/>
        <w:rPr>
          <w:rFonts w:ascii="Arial" w:hAnsi="Arial" w:cs="Arial"/>
          <w:sz w:val="20"/>
          <w:szCs w:val="20"/>
        </w:rPr>
      </w:pPr>
    </w:p>
    <w:p w:rsidR="00A77C54" w:rsidRPr="00821942" w:rsidRDefault="00611B94" w:rsidP="00B27EB1">
      <w:pPr>
        <w:spacing w:line="480" w:lineRule="auto"/>
        <w:rPr>
          <w:rFonts w:ascii="Arial" w:hAnsi="Arial" w:cs="Arial"/>
          <w:b/>
          <w:sz w:val="20"/>
          <w:szCs w:val="20"/>
        </w:rPr>
      </w:pPr>
      <w:r w:rsidRPr="00821942">
        <w:rPr>
          <w:rFonts w:ascii="Arial" w:hAnsi="Arial" w:cs="Arial"/>
          <w:b/>
          <w:sz w:val="20"/>
          <w:szCs w:val="20"/>
        </w:rPr>
        <w:t>Abstract</w:t>
      </w:r>
    </w:p>
    <w:p w:rsidR="0001647C" w:rsidRDefault="00611B94" w:rsidP="00B27EB1">
      <w:pPr>
        <w:spacing w:line="480" w:lineRule="auto"/>
        <w:rPr>
          <w:rFonts w:ascii="Arial" w:hAnsi="Arial" w:cs="Arial"/>
          <w:sz w:val="20"/>
          <w:szCs w:val="20"/>
        </w:rPr>
      </w:pPr>
      <w:r w:rsidRPr="00D810D0">
        <w:rPr>
          <w:rFonts w:ascii="Arial" w:hAnsi="Arial" w:cs="Arial"/>
          <w:sz w:val="20"/>
          <w:szCs w:val="20"/>
        </w:rPr>
        <w:t xml:space="preserve">Half of Borneo’s forest has been logged and oil palm plantations have replaced </w:t>
      </w:r>
      <w:r w:rsidR="00670EA5" w:rsidRPr="00D810D0">
        <w:rPr>
          <w:rFonts w:ascii="Arial" w:hAnsi="Arial" w:cs="Arial"/>
          <w:sz w:val="20"/>
          <w:szCs w:val="20"/>
        </w:rPr>
        <w:t>millions of hectares of forest since the 1970’s. While this</w:t>
      </w:r>
      <w:r w:rsidRPr="00D810D0">
        <w:rPr>
          <w:rFonts w:ascii="Arial" w:hAnsi="Arial" w:cs="Arial"/>
          <w:sz w:val="20"/>
          <w:szCs w:val="20"/>
        </w:rPr>
        <w:t xml:space="preserve"> </w:t>
      </w:r>
      <w:r w:rsidR="00670EA5" w:rsidRPr="00D810D0">
        <w:rPr>
          <w:rFonts w:ascii="Arial" w:hAnsi="Arial" w:cs="Arial"/>
          <w:sz w:val="20"/>
          <w:szCs w:val="20"/>
        </w:rPr>
        <w:t xml:space="preserve">extensive land-use change has been shown to reduce species richness across landscapes, there is limited current knowledge on how deforestation affects the spatial arrangement of ecological communities. Identifying responses of beta-diversity to </w:t>
      </w:r>
      <w:r w:rsidRPr="00D810D0">
        <w:rPr>
          <w:rFonts w:ascii="Arial" w:hAnsi="Arial" w:cs="Arial"/>
          <w:sz w:val="20"/>
          <w:szCs w:val="20"/>
        </w:rPr>
        <w:t>land-use ch</w:t>
      </w:r>
      <w:r w:rsidRPr="00D810D0">
        <w:rPr>
          <w:rFonts w:ascii="Arial" w:hAnsi="Arial" w:cs="Arial"/>
          <w:sz w:val="20"/>
          <w:szCs w:val="20"/>
        </w:rPr>
        <w:t>ange may reveal process</w:t>
      </w:r>
      <w:r w:rsidR="005520F3" w:rsidRPr="00D810D0">
        <w:rPr>
          <w:rFonts w:ascii="Arial" w:hAnsi="Arial" w:cs="Arial"/>
          <w:sz w:val="20"/>
          <w:szCs w:val="20"/>
        </w:rPr>
        <w:t>es</w:t>
      </w:r>
      <w:r w:rsidRPr="00D810D0">
        <w:rPr>
          <w:rFonts w:ascii="Arial" w:hAnsi="Arial" w:cs="Arial"/>
          <w:sz w:val="20"/>
          <w:szCs w:val="20"/>
        </w:rPr>
        <w:t xml:space="preserve"> which </w:t>
      </w:r>
      <w:r w:rsidR="00F32F53" w:rsidRPr="00D810D0">
        <w:rPr>
          <w:rFonts w:ascii="Arial" w:hAnsi="Arial" w:cs="Arial"/>
          <w:sz w:val="20"/>
          <w:szCs w:val="20"/>
        </w:rPr>
        <w:t xml:space="preserve">could </w:t>
      </w:r>
      <w:r w:rsidRPr="00D810D0">
        <w:rPr>
          <w:rFonts w:ascii="Arial" w:hAnsi="Arial" w:cs="Arial"/>
          <w:sz w:val="20"/>
          <w:szCs w:val="20"/>
        </w:rPr>
        <w:t>mitigate total biodiversity loss.</w:t>
      </w:r>
      <w:r w:rsidR="00670EA5" w:rsidRPr="00D810D0">
        <w:rPr>
          <w:rFonts w:ascii="Arial" w:hAnsi="Arial" w:cs="Arial"/>
          <w:sz w:val="20"/>
          <w:szCs w:val="20"/>
        </w:rPr>
        <w:t xml:space="preserve"> </w:t>
      </w:r>
      <w:r w:rsidRPr="00D810D0">
        <w:rPr>
          <w:rFonts w:ascii="Arial" w:hAnsi="Arial" w:cs="Arial"/>
          <w:sz w:val="20"/>
          <w:szCs w:val="20"/>
        </w:rPr>
        <w:t xml:space="preserve">We sampled </w:t>
      </w:r>
      <w:r w:rsidR="00670EA5" w:rsidRPr="00D810D0">
        <w:rPr>
          <w:rFonts w:ascii="Arial" w:hAnsi="Arial" w:cs="Arial"/>
          <w:sz w:val="20"/>
          <w:szCs w:val="20"/>
        </w:rPr>
        <w:t>weevils</w:t>
      </w:r>
      <w:r w:rsidRPr="00D810D0">
        <w:rPr>
          <w:rFonts w:ascii="Arial" w:hAnsi="Arial" w:cs="Arial"/>
          <w:sz w:val="20"/>
          <w:szCs w:val="20"/>
        </w:rPr>
        <w:t xml:space="preserve"> (</w:t>
      </w:r>
      <w:r w:rsidR="00670EA5" w:rsidRPr="00D810D0">
        <w:rPr>
          <w:rFonts w:ascii="Arial" w:hAnsi="Arial" w:cs="Arial"/>
          <w:sz w:val="20"/>
          <w:szCs w:val="20"/>
        </w:rPr>
        <w:t>superfamily: Curculionoidea</w:t>
      </w:r>
      <w:r w:rsidRPr="00D810D0">
        <w:rPr>
          <w:rFonts w:ascii="Arial" w:hAnsi="Arial" w:cs="Arial"/>
          <w:sz w:val="20"/>
          <w:szCs w:val="20"/>
        </w:rPr>
        <w:t xml:space="preserve">) at multiple spatial scales across </w:t>
      </w:r>
      <w:r w:rsidR="00F32F53" w:rsidRPr="00D810D0">
        <w:rPr>
          <w:rFonts w:ascii="Arial" w:hAnsi="Arial" w:cs="Arial"/>
          <w:sz w:val="20"/>
          <w:szCs w:val="20"/>
        </w:rPr>
        <w:t xml:space="preserve">a </w:t>
      </w:r>
      <w:r w:rsidRPr="00D810D0">
        <w:rPr>
          <w:rFonts w:ascii="Arial" w:hAnsi="Arial" w:cs="Arial"/>
          <w:sz w:val="20"/>
          <w:szCs w:val="20"/>
        </w:rPr>
        <w:t xml:space="preserve">land-use gradient at the Stability of Altered Forest Ecosystems (SAFE) Project in Sabah, Malaysia, </w:t>
      </w:r>
      <w:r w:rsidR="00F32F53" w:rsidRPr="00D810D0">
        <w:rPr>
          <w:rFonts w:ascii="Arial" w:hAnsi="Arial" w:cs="Arial"/>
          <w:sz w:val="20"/>
          <w:szCs w:val="20"/>
        </w:rPr>
        <w:t>in 2011-2012</w:t>
      </w:r>
      <w:r w:rsidRPr="00D810D0">
        <w:rPr>
          <w:rFonts w:ascii="Arial" w:hAnsi="Arial" w:cs="Arial"/>
          <w:sz w:val="20"/>
          <w:szCs w:val="20"/>
        </w:rPr>
        <w:t>.</w:t>
      </w:r>
      <w:r w:rsidR="00624267" w:rsidRPr="00D810D0">
        <w:rPr>
          <w:rFonts w:ascii="Arial" w:hAnsi="Arial" w:cs="Arial"/>
          <w:sz w:val="20"/>
          <w:szCs w:val="20"/>
        </w:rPr>
        <w:t xml:space="preserve"> We caught </w:t>
      </w:r>
      <w:r w:rsidR="0090078F" w:rsidRPr="00D810D0">
        <w:rPr>
          <w:rFonts w:ascii="Arial" w:hAnsi="Arial" w:cs="Arial"/>
          <w:sz w:val="20"/>
          <w:szCs w:val="20"/>
        </w:rPr>
        <w:t>160</w:t>
      </w:r>
      <w:r w:rsidR="00624267" w:rsidRPr="00D810D0">
        <w:rPr>
          <w:rFonts w:ascii="Arial" w:hAnsi="Arial" w:cs="Arial"/>
          <w:sz w:val="20"/>
          <w:szCs w:val="20"/>
        </w:rPr>
        <w:t xml:space="preserve"> </w:t>
      </w:r>
      <w:r w:rsidR="004A4325" w:rsidRPr="00D810D0">
        <w:rPr>
          <w:rFonts w:ascii="Arial" w:hAnsi="Arial" w:cs="Arial"/>
          <w:sz w:val="20"/>
          <w:szCs w:val="20"/>
        </w:rPr>
        <w:t>taxa</w:t>
      </w:r>
      <w:r w:rsidR="00624267" w:rsidRPr="00D810D0">
        <w:rPr>
          <w:rFonts w:ascii="Arial" w:hAnsi="Arial" w:cs="Arial"/>
          <w:sz w:val="20"/>
          <w:szCs w:val="20"/>
        </w:rPr>
        <w:t xml:space="preserve"> of weevil and calculated the response of alpha-diversity (1-ha scale) and beta-diversity (10-, 100-, and 1,000-ha scales) to disturbance. Alpha-diversity of weevils was greatest in unlogged forest but l</w:t>
      </w:r>
      <w:r w:rsidRPr="00D810D0">
        <w:rPr>
          <w:rFonts w:ascii="Arial" w:hAnsi="Arial" w:cs="Arial"/>
          <w:sz w:val="20"/>
          <w:szCs w:val="20"/>
        </w:rPr>
        <w:t>andscape-level beta-d</w:t>
      </w:r>
      <w:r w:rsidRPr="00D810D0">
        <w:rPr>
          <w:rFonts w:ascii="Arial" w:hAnsi="Arial" w:cs="Arial"/>
          <w:sz w:val="20"/>
          <w:szCs w:val="20"/>
        </w:rPr>
        <w:t>iversity</w:t>
      </w:r>
      <w:r w:rsidR="00BA068F" w:rsidRPr="00D810D0">
        <w:rPr>
          <w:rFonts w:ascii="Arial" w:hAnsi="Arial" w:cs="Arial"/>
          <w:sz w:val="20"/>
          <w:szCs w:val="20"/>
        </w:rPr>
        <w:t xml:space="preserve"> (10</w:t>
      </w:r>
      <w:r w:rsidR="004A4325" w:rsidRPr="00D810D0">
        <w:rPr>
          <w:rFonts w:ascii="Arial" w:hAnsi="Arial" w:cs="Arial"/>
          <w:sz w:val="20"/>
          <w:szCs w:val="20"/>
        </w:rPr>
        <w:t>0</w:t>
      </w:r>
      <w:r w:rsidR="00BA068F" w:rsidRPr="00D810D0">
        <w:rPr>
          <w:rFonts w:ascii="Arial" w:hAnsi="Arial" w:cs="Arial"/>
          <w:sz w:val="20"/>
          <w:szCs w:val="20"/>
        </w:rPr>
        <w:t>- and 1</w:t>
      </w:r>
      <w:r w:rsidR="004A4325" w:rsidRPr="00D810D0">
        <w:rPr>
          <w:rFonts w:ascii="Arial" w:hAnsi="Arial" w:cs="Arial"/>
          <w:sz w:val="20"/>
          <w:szCs w:val="20"/>
        </w:rPr>
        <w:t>,0</w:t>
      </w:r>
      <w:r w:rsidR="00BA068F" w:rsidRPr="00D810D0">
        <w:rPr>
          <w:rFonts w:ascii="Arial" w:hAnsi="Arial" w:cs="Arial"/>
          <w:sz w:val="20"/>
          <w:szCs w:val="20"/>
        </w:rPr>
        <w:t>00-ha scale)</w:t>
      </w:r>
      <w:r w:rsidRPr="00D810D0">
        <w:rPr>
          <w:rFonts w:ascii="Arial" w:hAnsi="Arial" w:cs="Arial"/>
          <w:sz w:val="20"/>
          <w:szCs w:val="20"/>
        </w:rPr>
        <w:t xml:space="preserve"> was maintained across logged and unlogged due to high rates of spatial turnover. Turnover at smallest spatial scales</w:t>
      </w:r>
      <w:r w:rsidR="00D34A26" w:rsidRPr="00D810D0">
        <w:rPr>
          <w:rFonts w:ascii="Arial" w:hAnsi="Arial" w:cs="Arial"/>
          <w:sz w:val="20"/>
          <w:szCs w:val="20"/>
        </w:rPr>
        <w:t xml:space="preserve"> (10-ha)</w:t>
      </w:r>
      <w:r w:rsidRPr="00D810D0">
        <w:rPr>
          <w:rFonts w:ascii="Arial" w:hAnsi="Arial" w:cs="Arial"/>
          <w:sz w:val="20"/>
          <w:szCs w:val="20"/>
        </w:rPr>
        <w:t xml:space="preserve"> in unlogged forest was highest </w:t>
      </w:r>
      <w:r w:rsidR="00CB5956" w:rsidRPr="00D810D0">
        <w:rPr>
          <w:rFonts w:ascii="Arial" w:hAnsi="Arial" w:cs="Arial"/>
          <w:sz w:val="20"/>
          <w:szCs w:val="20"/>
        </w:rPr>
        <w:t>in rough</w:t>
      </w:r>
      <w:r w:rsidR="005641DB" w:rsidRPr="00D810D0">
        <w:rPr>
          <w:rFonts w:ascii="Arial" w:hAnsi="Arial" w:cs="Arial"/>
          <w:sz w:val="20"/>
          <w:szCs w:val="20"/>
        </w:rPr>
        <w:t>, flat</w:t>
      </w:r>
      <w:r w:rsidR="00CB5956" w:rsidRPr="00D810D0">
        <w:rPr>
          <w:rFonts w:ascii="Arial" w:hAnsi="Arial" w:cs="Arial"/>
          <w:sz w:val="20"/>
          <w:szCs w:val="20"/>
        </w:rPr>
        <w:t xml:space="preserve"> terrain </w:t>
      </w:r>
      <w:r w:rsidRPr="00D810D0">
        <w:rPr>
          <w:rFonts w:ascii="Arial" w:hAnsi="Arial" w:cs="Arial"/>
          <w:sz w:val="20"/>
          <w:szCs w:val="20"/>
        </w:rPr>
        <w:t xml:space="preserve">but </w:t>
      </w:r>
      <w:r w:rsidR="005641DB" w:rsidRPr="00D810D0">
        <w:rPr>
          <w:rFonts w:ascii="Arial" w:hAnsi="Arial" w:cs="Arial"/>
          <w:sz w:val="20"/>
          <w:szCs w:val="20"/>
        </w:rPr>
        <w:t>smooth, sloping terrain had highest turnover</w:t>
      </w:r>
      <w:r w:rsidRPr="00D810D0">
        <w:rPr>
          <w:rFonts w:ascii="Arial" w:hAnsi="Arial" w:cs="Arial"/>
          <w:sz w:val="20"/>
          <w:szCs w:val="20"/>
        </w:rPr>
        <w:t xml:space="preserve"> in logged forest</w:t>
      </w:r>
      <w:r w:rsidR="00010056" w:rsidRPr="00D810D0">
        <w:rPr>
          <w:rFonts w:ascii="Arial" w:hAnsi="Arial" w:cs="Arial"/>
          <w:sz w:val="20"/>
          <w:szCs w:val="20"/>
        </w:rPr>
        <w:t xml:space="preserve">. </w:t>
      </w:r>
      <w:r w:rsidR="005641DB" w:rsidRPr="00D810D0">
        <w:rPr>
          <w:rFonts w:ascii="Arial" w:hAnsi="Arial" w:cs="Arial"/>
          <w:sz w:val="20"/>
          <w:szCs w:val="20"/>
        </w:rPr>
        <w:t xml:space="preserve">Logging of flat terrain at small spatial scales has potential to decrease beta-diversity at greater scales. </w:t>
      </w:r>
      <w:r w:rsidRPr="00D810D0">
        <w:rPr>
          <w:rFonts w:ascii="Arial" w:hAnsi="Arial" w:cs="Arial"/>
          <w:sz w:val="20"/>
          <w:szCs w:val="20"/>
        </w:rPr>
        <w:t xml:space="preserve">Plantation beta-diversity at landscape-level remained high but was propagated by </w:t>
      </w:r>
      <w:r w:rsidR="007A7C38" w:rsidRPr="00D810D0">
        <w:rPr>
          <w:rFonts w:ascii="Arial" w:hAnsi="Arial" w:cs="Arial"/>
          <w:sz w:val="20"/>
          <w:szCs w:val="20"/>
        </w:rPr>
        <w:t xml:space="preserve">abundance </w:t>
      </w:r>
      <w:r w:rsidR="00F32F53" w:rsidRPr="00D810D0">
        <w:rPr>
          <w:rFonts w:ascii="Arial" w:hAnsi="Arial" w:cs="Arial"/>
          <w:sz w:val="20"/>
          <w:szCs w:val="20"/>
        </w:rPr>
        <w:t xml:space="preserve">shifts of </w:t>
      </w:r>
      <w:r w:rsidR="007A7C38" w:rsidRPr="00D810D0">
        <w:rPr>
          <w:rFonts w:ascii="Arial" w:hAnsi="Arial" w:cs="Arial"/>
          <w:sz w:val="20"/>
          <w:szCs w:val="20"/>
        </w:rPr>
        <w:t>few species</w:t>
      </w:r>
      <w:r w:rsidRPr="00D810D0">
        <w:rPr>
          <w:rFonts w:ascii="Arial" w:hAnsi="Arial" w:cs="Arial"/>
          <w:sz w:val="20"/>
          <w:szCs w:val="20"/>
        </w:rPr>
        <w:t xml:space="preserve"> instead of spatial turnover</w:t>
      </w:r>
      <w:r w:rsidR="007A7C38" w:rsidRPr="00D810D0">
        <w:rPr>
          <w:rFonts w:ascii="Arial" w:hAnsi="Arial" w:cs="Arial"/>
          <w:sz w:val="20"/>
          <w:szCs w:val="20"/>
        </w:rPr>
        <w:t xml:space="preserve"> of many species</w:t>
      </w:r>
      <w:r w:rsidRPr="00D810D0">
        <w:rPr>
          <w:rFonts w:ascii="Arial" w:hAnsi="Arial" w:cs="Arial"/>
          <w:sz w:val="20"/>
          <w:szCs w:val="20"/>
        </w:rPr>
        <w:t xml:space="preserve">. </w:t>
      </w:r>
      <w:r w:rsidR="002F7C98" w:rsidRPr="00D810D0">
        <w:rPr>
          <w:rFonts w:ascii="Arial" w:hAnsi="Arial" w:cs="Arial"/>
          <w:sz w:val="20"/>
          <w:szCs w:val="20"/>
        </w:rPr>
        <w:t xml:space="preserve">High temporal beta-diversity </w:t>
      </w:r>
      <w:r w:rsidR="00262694" w:rsidRPr="00D810D0">
        <w:rPr>
          <w:rFonts w:ascii="Arial" w:hAnsi="Arial" w:cs="Arial"/>
          <w:sz w:val="20"/>
          <w:szCs w:val="20"/>
        </w:rPr>
        <w:t xml:space="preserve">in unlogged forest </w:t>
      </w:r>
      <w:r w:rsidR="002F7C98" w:rsidRPr="00D810D0">
        <w:rPr>
          <w:rFonts w:ascii="Arial" w:hAnsi="Arial" w:cs="Arial"/>
          <w:sz w:val="20"/>
          <w:szCs w:val="20"/>
        </w:rPr>
        <w:t xml:space="preserve">was evident </w:t>
      </w:r>
      <w:r w:rsidR="00262694" w:rsidRPr="00D810D0">
        <w:rPr>
          <w:rFonts w:ascii="Arial" w:hAnsi="Arial" w:cs="Arial"/>
          <w:sz w:val="20"/>
          <w:szCs w:val="20"/>
        </w:rPr>
        <w:t>through periodic fluxes in abundance of many weevil species.</w:t>
      </w:r>
      <w:r w:rsidR="002F7C98" w:rsidRPr="00D810D0">
        <w:rPr>
          <w:rFonts w:ascii="Arial" w:hAnsi="Arial" w:cs="Arial"/>
          <w:sz w:val="20"/>
          <w:szCs w:val="20"/>
        </w:rPr>
        <w:t xml:space="preserve"> </w:t>
      </w:r>
      <w:r w:rsidRPr="00D810D0">
        <w:rPr>
          <w:rFonts w:ascii="Arial" w:hAnsi="Arial" w:cs="Arial"/>
          <w:sz w:val="20"/>
          <w:szCs w:val="20"/>
        </w:rPr>
        <w:t>We conclude that unlogged forest is irreplaceable for</w:t>
      </w:r>
      <w:r w:rsidR="003021D5">
        <w:rPr>
          <w:rFonts w:ascii="Arial" w:hAnsi="Arial" w:cs="Arial"/>
          <w:sz w:val="20"/>
          <w:szCs w:val="20"/>
        </w:rPr>
        <w:t xml:space="preserve"> high</w:t>
      </w:r>
      <w:r w:rsidRPr="00D810D0">
        <w:rPr>
          <w:rFonts w:ascii="Arial" w:hAnsi="Arial" w:cs="Arial"/>
          <w:sz w:val="20"/>
          <w:szCs w:val="20"/>
        </w:rPr>
        <w:t xml:space="preserve"> beetle biodiversity but </w:t>
      </w:r>
      <w:r w:rsidR="003021D5">
        <w:rPr>
          <w:rFonts w:ascii="Arial" w:hAnsi="Arial" w:cs="Arial"/>
          <w:sz w:val="20"/>
          <w:szCs w:val="20"/>
        </w:rPr>
        <w:t>increased spatial turnover in some terrains</w:t>
      </w:r>
      <w:r w:rsidR="003021D5" w:rsidRPr="00CC0A68">
        <w:rPr>
          <w:rFonts w:ascii="Arial" w:hAnsi="Arial" w:cs="Arial"/>
          <w:sz w:val="20"/>
          <w:szCs w:val="20"/>
        </w:rPr>
        <w:t xml:space="preserve"> may help conserve beetle communities in heavily-degraded landscapes</w:t>
      </w:r>
      <w:r w:rsidRPr="00D810D0">
        <w:rPr>
          <w:rFonts w:ascii="Arial" w:hAnsi="Arial" w:cs="Arial"/>
          <w:sz w:val="20"/>
          <w:szCs w:val="20"/>
        </w:rPr>
        <w:t>.</w:t>
      </w:r>
    </w:p>
    <w:p w:rsidR="00522FFC" w:rsidRDefault="00522FFC" w:rsidP="00B27EB1">
      <w:pPr>
        <w:spacing w:line="480" w:lineRule="auto"/>
        <w:rPr>
          <w:rFonts w:ascii="Arial" w:hAnsi="Arial" w:cs="Arial"/>
          <w:sz w:val="20"/>
          <w:szCs w:val="20"/>
        </w:rPr>
      </w:pPr>
    </w:p>
    <w:p w:rsidR="00522FFC" w:rsidRPr="00821942" w:rsidRDefault="00611B94" w:rsidP="00B27EB1">
      <w:pPr>
        <w:spacing w:line="480" w:lineRule="auto"/>
        <w:rPr>
          <w:rFonts w:ascii="Arial" w:hAnsi="Arial" w:cs="Arial"/>
          <w:b/>
          <w:sz w:val="20"/>
          <w:szCs w:val="20"/>
        </w:rPr>
      </w:pPr>
      <w:r w:rsidRPr="00821942">
        <w:rPr>
          <w:rFonts w:ascii="Arial" w:hAnsi="Arial" w:cs="Arial"/>
          <w:b/>
          <w:sz w:val="20"/>
          <w:szCs w:val="20"/>
        </w:rPr>
        <w:t>Keywords</w:t>
      </w:r>
    </w:p>
    <w:p w:rsidR="00522FFC" w:rsidRPr="00522FFC" w:rsidRDefault="00611B94" w:rsidP="00B27EB1">
      <w:pPr>
        <w:spacing w:line="480" w:lineRule="auto"/>
        <w:rPr>
          <w:rFonts w:ascii="Arial" w:hAnsi="Arial" w:cs="Arial"/>
          <w:sz w:val="20"/>
          <w:szCs w:val="20"/>
        </w:rPr>
      </w:pPr>
      <w:r>
        <w:rPr>
          <w:rFonts w:ascii="Arial" w:hAnsi="Arial" w:cs="Arial"/>
          <w:sz w:val="20"/>
          <w:szCs w:val="20"/>
        </w:rPr>
        <w:t>Beetles; beta-diversity</w:t>
      </w:r>
      <w:r>
        <w:rPr>
          <w:rFonts w:ascii="Arial" w:hAnsi="Arial" w:cs="Arial"/>
          <w:sz w:val="20"/>
          <w:szCs w:val="20"/>
        </w:rPr>
        <w:t>;</w:t>
      </w:r>
      <w:r w:rsidR="00584A77">
        <w:rPr>
          <w:rFonts w:ascii="Arial" w:hAnsi="Arial" w:cs="Arial"/>
          <w:sz w:val="20"/>
          <w:szCs w:val="20"/>
        </w:rPr>
        <w:t xml:space="preserve"> topography; tropical forests;</w:t>
      </w:r>
      <w:r>
        <w:rPr>
          <w:rFonts w:ascii="Arial" w:hAnsi="Arial" w:cs="Arial"/>
          <w:sz w:val="20"/>
          <w:szCs w:val="20"/>
        </w:rPr>
        <w:t xml:space="preserve"> logging; oil palm plantations</w:t>
      </w:r>
    </w:p>
    <w:p w:rsidR="00CE0269" w:rsidRPr="00D810D0" w:rsidRDefault="00CE0269" w:rsidP="00B27EB1">
      <w:pPr>
        <w:spacing w:line="480" w:lineRule="auto"/>
        <w:rPr>
          <w:rFonts w:ascii="Arial" w:hAnsi="Arial" w:cs="Arial"/>
          <w:sz w:val="20"/>
          <w:szCs w:val="20"/>
        </w:rPr>
      </w:pPr>
    </w:p>
    <w:p w:rsidR="00495442" w:rsidRPr="00821942" w:rsidRDefault="00611B94" w:rsidP="00B27EB1">
      <w:pPr>
        <w:spacing w:line="480" w:lineRule="auto"/>
        <w:rPr>
          <w:rFonts w:ascii="Arial" w:hAnsi="Arial" w:cs="Arial"/>
          <w:b/>
          <w:sz w:val="20"/>
          <w:szCs w:val="20"/>
        </w:rPr>
      </w:pPr>
      <w:r w:rsidRPr="00821942">
        <w:rPr>
          <w:rFonts w:ascii="Arial" w:hAnsi="Arial" w:cs="Arial"/>
          <w:b/>
          <w:sz w:val="20"/>
          <w:szCs w:val="20"/>
        </w:rPr>
        <w:lastRenderedPageBreak/>
        <w:t>Introduction</w:t>
      </w:r>
    </w:p>
    <w:p w:rsidR="003021D5" w:rsidRPr="00CC0A68" w:rsidRDefault="00611B94" w:rsidP="003021D5">
      <w:pPr>
        <w:spacing w:line="480" w:lineRule="auto"/>
        <w:rPr>
          <w:rFonts w:ascii="Arial" w:hAnsi="Arial" w:cs="Arial"/>
          <w:sz w:val="20"/>
          <w:szCs w:val="20"/>
        </w:rPr>
      </w:pPr>
      <w:r w:rsidRPr="00CC0A68">
        <w:rPr>
          <w:rFonts w:ascii="Arial" w:hAnsi="Arial" w:cs="Arial"/>
          <w:sz w:val="20"/>
          <w:szCs w:val="20"/>
        </w:rPr>
        <w:t>Tropical forests are increasingly damaged by human activity (Lewis et al. 2015; Taubert et al. 2018). Borneo’s tropical forest, the largest remaining in SE Asia, has suffered extensive logging and clearing since the 1970’s (Gaveau et al. 2014), predominant</w:t>
      </w:r>
      <w:r w:rsidRPr="00CC0A68">
        <w:rPr>
          <w:rFonts w:ascii="Arial" w:hAnsi="Arial" w:cs="Arial"/>
          <w:sz w:val="20"/>
          <w:szCs w:val="20"/>
        </w:rPr>
        <w:t xml:space="preserve">ly for high-quality timber and the expansion of industrial plantations (Fitzherbert et al. 2008; Tsujino et al. 2016). Unlogged forest is largely considered </w:t>
      </w:r>
      <w:r>
        <w:rPr>
          <w:rFonts w:ascii="Arial" w:hAnsi="Arial" w:cs="Arial"/>
          <w:sz w:val="20"/>
          <w:szCs w:val="20"/>
        </w:rPr>
        <w:t xml:space="preserve">to be more biodiverse than degraded forest </w:t>
      </w:r>
      <w:r w:rsidRPr="00CC0A68">
        <w:rPr>
          <w:rFonts w:ascii="Arial" w:hAnsi="Arial" w:cs="Arial"/>
          <w:sz w:val="20"/>
          <w:szCs w:val="20"/>
        </w:rPr>
        <w:t>(Gibson et al. 2011), and large-scale land-use in Borneo</w:t>
      </w:r>
      <w:r w:rsidRPr="00CC0A68">
        <w:rPr>
          <w:rFonts w:ascii="Arial" w:hAnsi="Arial" w:cs="Arial"/>
          <w:sz w:val="20"/>
          <w:szCs w:val="20"/>
        </w:rPr>
        <w:t xml:space="preserve"> change has caused significant declines in species richness of birds, mammals and invertebrates (Chung et al. 2000; Fitzherbert et al. 2008; Edwards et al. 2010; Wearn et al. 2016). While broad declines in species have been well-documented, there has been </w:t>
      </w:r>
      <w:r w:rsidRPr="00CC0A68">
        <w:rPr>
          <w:rFonts w:ascii="Arial" w:hAnsi="Arial" w:cs="Arial"/>
          <w:sz w:val="20"/>
          <w:szCs w:val="20"/>
        </w:rPr>
        <w:t>little focus on how forest modification impacts the spatial and temporal processes which define landscape-level community structure. Identifying how communities disassemble, especially in degraded forest, will inform how best to use limited conservation re</w:t>
      </w:r>
      <w:r w:rsidRPr="00CC0A68">
        <w:rPr>
          <w:rFonts w:ascii="Arial" w:hAnsi="Arial" w:cs="Arial"/>
          <w:sz w:val="20"/>
          <w:szCs w:val="20"/>
        </w:rPr>
        <w:t>sources in increasingly degraded and fragmented landscapes.</w:t>
      </w:r>
    </w:p>
    <w:p w:rsidR="003021D5" w:rsidRPr="00CC0A68" w:rsidRDefault="00611B94" w:rsidP="003021D5">
      <w:pPr>
        <w:spacing w:line="480" w:lineRule="auto"/>
        <w:rPr>
          <w:rFonts w:ascii="Arial" w:hAnsi="Arial" w:cs="Arial"/>
          <w:sz w:val="20"/>
          <w:szCs w:val="20"/>
        </w:rPr>
      </w:pPr>
      <w:r w:rsidRPr="00CC0A68">
        <w:rPr>
          <w:rFonts w:ascii="Arial" w:hAnsi="Arial" w:cs="Arial"/>
          <w:sz w:val="20"/>
          <w:szCs w:val="20"/>
        </w:rPr>
        <w:t>The concept of beta-diversity, change in diversity between points, helps to explain community structure (Whittaker 1972; Magurran 2004). In Borneo, beta-diversity has been shown to contribute grea</w:t>
      </w:r>
      <w:r w:rsidRPr="00CC0A68">
        <w:rPr>
          <w:rFonts w:ascii="Arial" w:hAnsi="Arial" w:cs="Arial"/>
          <w:sz w:val="20"/>
          <w:szCs w:val="20"/>
        </w:rPr>
        <w:t>tly to total diversity in Borneo’s modified landscapes (Hamer &amp; Hill 2000; Pfeiffer &amp; Mezger 2012; Kitching et al. 2013; Wearn et al. 2016). Beta-diversity is inherently linked to search area, and so selecting the optimal scales at which to study this conc</w:t>
      </w:r>
      <w:r w:rsidRPr="00CC0A68">
        <w:rPr>
          <w:rFonts w:ascii="Arial" w:hAnsi="Arial" w:cs="Arial"/>
          <w:sz w:val="20"/>
          <w:szCs w:val="20"/>
        </w:rPr>
        <w:t>ept is important in deriving valid conclusions (Berry et al. 2008; Pfeiffer &amp; Mezger 2012). Similarly, decomposing beta-diversity into multiple scales may highlight those scales which are important to ecological community structure (Veech &amp; Crist 2007; Ast</w:t>
      </w:r>
      <w:r w:rsidRPr="00CC0A68">
        <w:rPr>
          <w:rFonts w:ascii="Arial" w:hAnsi="Arial" w:cs="Arial"/>
          <w:sz w:val="20"/>
          <w:szCs w:val="20"/>
        </w:rPr>
        <w:t>orga et al. 2014). Such research is necessary in landscapes where remnant forest fragments are becoming ever-smaller (Taubert et al. 2018).</w:t>
      </w:r>
    </w:p>
    <w:p w:rsidR="003021D5" w:rsidRPr="00CC0A68" w:rsidRDefault="00611B94" w:rsidP="003021D5">
      <w:pPr>
        <w:spacing w:line="480" w:lineRule="auto"/>
        <w:rPr>
          <w:rFonts w:ascii="Arial" w:hAnsi="Arial" w:cs="Arial"/>
          <w:sz w:val="20"/>
          <w:szCs w:val="20"/>
        </w:rPr>
      </w:pPr>
      <w:r w:rsidRPr="00CC0A68">
        <w:rPr>
          <w:rFonts w:ascii="Arial" w:hAnsi="Arial" w:cs="Arial"/>
          <w:sz w:val="20"/>
          <w:szCs w:val="20"/>
        </w:rPr>
        <w:t xml:space="preserve">Habitat heterogeneity is largely accepted </w:t>
      </w:r>
      <w:r w:rsidRPr="00CC0A68">
        <w:rPr>
          <w:rFonts w:ascii="Arial" w:hAnsi="Arial" w:cs="Arial"/>
          <w:sz w:val="20"/>
          <w:szCs w:val="20"/>
        </w:rPr>
        <w:t xml:space="preserve">as being a key driver of high beta-diversity (Veech &amp; Crist 2007), and </w:t>
      </w:r>
      <w:r w:rsidRPr="00CC0A68">
        <w:rPr>
          <w:rFonts w:ascii="Arial" w:hAnsi="Arial" w:cs="Arial"/>
          <w:sz w:val="20"/>
          <w:szCs w:val="20"/>
        </w:rPr>
        <w:t xml:space="preserve">forest modification can </w:t>
      </w:r>
      <w:r w:rsidR="00702DE4" w:rsidRPr="00CC0A68">
        <w:rPr>
          <w:rFonts w:ascii="Arial" w:hAnsi="Arial" w:cs="Arial"/>
          <w:sz w:val="20"/>
          <w:szCs w:val="20"/>
        </w:rPr>
        <w:t>either generate or</w:t>
      </w:r>
      <w:r w:rsidRPr="00CC0A68">
        <w:rPr>
          <w:rFonts w:ascii="Arial" w:hAnsi="Arial" w:cs="Arial"/>
          <w:sz w:val="20"/>
          <w:szCs w:val="20"/>
        </w:rPr>
        <w:t xml:space="preserve"> remove habitat heterogeneity. At small scales, differences in logging intensity and methods can result in vast variation in the quality and structure o</w:t>
      </w:r>
      <w:r>
        <w:rPr>
          <w:rFonts w:ascii="Arial" w:hAnsi="Arial" w:cs="Arial"/>
          <w:sz w:val="20"/>
          <w:szCs w:val="20"/>
        </w:rPr>
        <w:t xml:space="preserve">f remaining forest (Burivalova et al. </w:t>
      </w:r>
      <w:r w:rsidRPr="00CC0A68">
        <w:rPr>
          <w:rFonts w:ascii="Arial" w:hAnsi="Arial" w:cs="Arial"/>
          <w:sz w:val="20"/>
          <w:szCs w:val="20"/>
        </w:rPr>
        <w:t>2014; Pf</w:t>
      </w:r>
      <w:r w:rsidRPr="00CC0A68">
        <w:rPr>
          <w:rFonts w:ascii="Arial" w:hAnsi="Arial" w:cs="Arial"/>
          <w:sz w:val="20"/>
          <w:szCs w:val="20"/>
        </w:rPr>
        <w:t>eifer et al. 2016). Despite this, studies comparing biodiversity in logged forest to unlogged forest are often limited in that they consider the two as discrete habitat types. Continuous variation in forest structure should ideally be considered to identif</w:t>
      </w:r>
      <w:r w:rsidRPr="00CC0A68">
        <w:rPr>
          <w:rFonts w:ascii="Arial" w:hAnsi="Arial" w:cs="Arial"/>
          <w:sz w:val="20"/>
          <w:szCs w:val="20"/>
        </w:rPr>
        <w:t>y the subtle drivers of diversity (Edwards et al. 2011; Burivalova et al. 2014).</w:t>
      </w:r>
      <w:r w:rsidR="00AE0A3D">
        <w:rPr>
          <w:rFonts w:ascii="Arial" w:hAnsi="Arial" w:cs="Arial"/>
          <w:sz w:val="20"/>
          <w:szCs w:val="20"/>
        </w:rPr>
        <w:t xml:space="preserve"> </w:t>
      </w:r>
      <w:r w:rsidRPr="00CC0A68">
        <w:rPr>
          <w:rFonts w:ascii="Arial" w:hAnsi="Arial" w:cs="Arial"/>
          <w:sz w:val="20"/>
          <w:szCs w:val="20"/>
        </w:rPr>
        <w:t xml:space="preserve">Conversely to logged forest, oil palm plantations are considered spatially homogeneous habitats (Azhar et al. 2015) </w:t>
      </w:r>
      <w:r w:rsidRPr="00CC0A68">
        <w:rPr>
          <w:rFonts w:ascii="Arial" w:hAnsi="Arial" w:cs="Arial"/>
          <w:sz w:val="20"/>
          <w:szCs w:val="20"/>
        </w:rPr>
        <w:lastRenderedPageBreak/>
        <w:t xml:space="preserve">although temporally heterogeneous (Luskin &amp; Potts 2011). </w:t>
      </w:r>
      <w:r w:rsidRPr="00CC0A68">
        <w:rPr>
          <w:rFonts w:ascii="Arial" w:hAnsi="Arial" w:cs="Arial"/>
          <w:sz w:val="20"/>
          <w:szCs w:val="20"/>
        </w:rPr>
        <w:t>There is currently limited understanding of how disturbance and habitat heterogeneity influence landscape-level patterns in beta-diversity.</w:t>
      </w:r>
    </w:p>
    <w:p w:rsidR="003021D5" w:rsidRPr="00CC0A68" w:rsidRDefault="00611B94" w:rsidP="003021D5">
      <w:pPr>
        <w:spacing w:line="480" w:lineRule="auto"/>
        <w:rPr>
          <w:rFonts w:ascii="Arial" w:hAnsi="Arial" w:cs="Arial"/>
          <w:sz w:val="20"/>
          <w:szCs w:val="20"/>
        </w:rPr>
      </w:pPr>
      <w:r w:rsidRPr="00CC0A68">
        <w:rPr>
          <w:rFonts w:ascii="Arial" w:hAnsi="Arial" w:cs="Arial"/>
          <w:sz w:val="20"/>
          <w:szCs w:val="20"/>
        </w:rPr>
        <w:t>There has also been little previous work on the effect of heterogeneity in topography on spatial biodiversity patter</w:t>
      </w:r>
      <w:r w:rsidRPr="00CC0A68">
        <w:rPr>
          <w:rFonts w:ascii="Arial" w:hAnsi="Arial" w:cs="Arial"/>
          <w:sz w:val="20"/>
          <w:szCs w:val="20"/>
        </w:rPr>
        <w:t>ns. Ridges, valleys and plateaus foster ecologically distinct communities of trees in Borneo (Webb &amp; Peart 2000), yet we remain uninformed about how these small-scale patterns manifest in landscape-level beta-diversity of other taxa. At large scales, flatt</w:t>
      </w:r>
      <w:r w:rsidRPr="00CC0A68">
        <w:rPr>
          <w:rFonts w:ascii="Arial" w:hAnsi="Arial" w:cs="Arial"/>
          <w:sz w:val="20"/>
          <w:szCs w:val="20"/>
        </w:rPr>
        <w:t>er terrain is logged more extensively compared to rugged terrain (Bryan et al. 2013). Uncovering the interactions between topography-mediated vegetation heterogeneity and non-random logging activity on beta-diversity may highlight processes by which divers</w:t>
      </w:r>
      <w:r w:rsidRPr="00CC0A68">
        <w:rPr>
          <w:rFonts w:ascii="Arial" w:hAnsi="Arial" w:cs="Arial"/>
          <w:sz w:val="20"/>
          <w:szCs w:val="20"/>
        </w:rPr>
        <w:t>ity loss is either mitigated or exacerbated in degraded landscapes. This is because logging prevalence may be indirectly linked with areas of highest beta-diversity through topography or vice versa.</w:t>
      </w:r>
    </w:p>
    <w:p w:rsidR="003021D5" w:rsidRPr="00CC0A68" w:rsidRDefault="00611B94" w:rsidP="003021D5">
      <w:pPr>
        <w:spacing w:line="480" w:lineRule="auto"/>
        <w:rPr>
          <w:rFonts w:ascii="Arial" w:hAnsi="Arial" w:cs="Arial"/>
          <w:sz w:val="20"/>
          <w:szCs w:val="20"/>
        </w:rPr>
      </w:pPr>
      <w:r w:rsidRPr="00CC0A68">
        <w:rPr>
          <w:rFonts w:ascii="Arial" w:hAnsi="Arial" w:cs="Arial"/>
          <w:sz w:val="20"/>
          <w:szCs w:val="20"/>
        </w:rPr>
        <w:t>Beta-diversity can be applied to differences in diversity</w:t>
      </w:r>
      <w:r w:rsidRPr="00CC0A68">
        <w:rPr>
          <w:rFonts w:ascii="Arial" w:hAnsi="Arial" w:cs="Arial"/>
          <w:sz w:val="20"/>
          <w:szCs w:val="20"/>
        </w:rPr>
        <w:t xml:space="preserve"> between points in time as well as in space (Magurran 2004</w:t>
      </w:r>
      <w:r w:rsidRPr="00CC0A68">
        <w:rPr>
          <w:rFonts w:ascii="Arial" w:hAnsi="Arial" w:cs="Arial"/>
          <w:sz w:val="20"/>
          <w:szCs w:val="20"/>
        </w:rPr>
        <w:t>), and this concept has already been examined in Borneo’s forest. Temporal beta-diversity has been shown to contribute significantly alongside habitat structure to community structure in some tax</w:t>
      </w:r>
      <w:r w:rsidRPr="00CC0A68">
        <w:rPr>
          <w:rFonts w:ascii="Arial" w:hAnsi="Arial" w:cs="Arial"/>
          <w:sz w:val="20"/>
          <w:szCs w:val="20"/>
        </w:rPr>
        <w:t>a (Hamer et al. 2005; Beck &amp; Vun Khen 2007). It is therefore evident that temporal patterns in biodiversity should not be overlooked in studies on land-use (Hamer et al. 2005), however information on temporal beta-diversity in plantations compared to fores</w:t>
      </w:r>
      <w:r w:rsidRPr="00CC0A68">
        <w:rPr>
          <w:rFonts w:ascii="Arial" w:hAnsi="Arial" w:cs="Arial"/>
          <w:sz w:val="20"/>
          <w:szCs w:val="20"/>
        </w:rPr>
        <w:t>t is currently lacking.</w:t>
      </w:r>
    </w:p>
    <w:p w:rsidR="003021D5" w:rsidRPr="00CC0A68" w:rsidRDefault="00611B94" w:rsidP="003021D5">
      <w:pPr>
        <w:spacing w:line="480" w:lineRule="auto"/>
        <w:rPr>
          <w:rFonts w:ascii="Arial" w:hAnsi="Arial" w:cs="Arial"/>
          <w:sz w:val="20"/>
          <w:szCs w:val="20"/>
        </w:rPr>
      </w:pPr>
      <w:r w:rsidRPr="00CC0A68">
        <w:rPr>
          <w:rFonts w:ascii="Arial" w:hAnsi="Arial" w:cs="Arial"/>
          <w:sz w:val="20"/>
          <w:szCs w:val="20"/>
        </w:rPr>
        <w:t>We aim</w:t>
      </w:r>
      <w:r>
        <w:rPr>
          <w:rFonts w:ascii="Arial" w:hAnsi="Arial" w:cs="Arial"/>
          <w:sz w:val="20"/>
          <w:szCs w:val="20"/>
        </w:rPr>
        <w:t>ed</w:t>
      </w:r>
      <w:r w:rsidRPr="00CC0A68">
        <w:rPr>
          <w:rFonts w:ascii="Arial" w:hAnsi="Arial" w:cs="Arial"/>
          <w:sz w:val="20"/>
          <w:szCs w:val="20"/>
        </w:rPr>
        <w:t xml:space="preserve"> to quantify spatial and temporal patterns in beta-diversity across a land-use gradient spanning unlogged forest, logged forest and oil palm plantation in a massively-diverse taxonomic group: the weevils (superfamily: Curcul</w:t>
      </w:r>
      <w:r w:rsidRPr="00CC0A68">
        <w:rPr>
          <w:rFonts w:ascii="Arial" w:hAnsi="Arial" w:cs="Arial"/>
          <w:sz w:val="20"/>
          <w:szCs w:val="20"/>
        </w:rPr>
        <w:t>ionoidea; Oberprieler et al. 2007). Weevils, a predominantly herbivorous clade, are an ideal focus for their co-evolution alongside flowering angiosperms (Farrell et al. 2001; McKenna et al. 2009) and therefore direct dependence on tropical forest heteroge</w:t>
      </w:r>
      <w:r w:rsidRPr="00CC0A68">
        <w:rPr>
          <w:rFonts w:ascii="Arial" w:hAnsi="Arial" w:cs="Arial"/>
          <w:sz w:val="20"/>
          <w:szCs w:val="20"/>
        </w:rPr>
        <w:t>neity and structure.</w:t>
      </w:r>
    </w:p>
    <w:p w:rsidR="00720DDE" w:rsidRDefault="00611B94" w:rsidP="003021D5">
      <w:pPr>
        <w:spacing w:line="480" w:lineRule="auto"/>
        <w:rPr>
          <w:rFonts w:ascii="Arial" w:hAnsi="Arial" w:cs="Arial"/>
          <w:sz w:val="20"/>
          <w:szCs w:val="20"/>
        </w:rPr>
      </w:pPr>
      <w:r w:rsidRPr="00CC0A68">
        <w:rPr>
          <w:rFonts w:ascii="Arial" w:hAnsi="Arial" w:cs="Arial"/>
          <w:sz w:val="20"/>
          <w:szCs w:val="20"/>
        </w:rPr>
        <w:t>We hypothesised that while weevil alpha-diversity may be highest in unlogged forest, weevil spatial beta-diversity would be greatest in heterogenous logged forest in rugged terrain, for the increased spatial variation in vegetation str</w:t>
      </w:r>
      <w:r w:rsidRPr="00CC0A68">
        <w:rPr>
          <w:rFonts w:ascii="Arial" w:hAnsi="Arial" w:cs="Arial"/>
          <w:sz w:val="20"/>
          <w:szCs w:val="20"/>
        </w:rPr>
        <w:t xml:space="preserve">ucture, and lowest in homogeneous oil palm habitat. Uncovering the spatial scaling of beta-diversity in degraded landscapes should provide insight into critical thresholds of forest quality and area which should be maintained to preserve natural community </w:t>
      </w:r>
      <w:r w:rsidRPr="00CC0A68">
        <w:rPr>
          <w:rFonts w:ascii="Arial" w:hAnsi="Arial" w:cs="Arial"/>
          <w:sz w:val="20"/>
          <w:szCs w:val="20"/>
        </w:rPr>
        <w:t xml:space="preserve">structure. We also hypothesised that temporal beta-diversity would be highest in heavily-degraded habitat because </w:t>
      </w:r>
      <w:r w:rsidRPr="00CC0A68">
        <w:rPr>
          <w:rFonts w:ascii="Arial" w:hAnsi="Arial" w:cs="Arial"/>
          <w:sz w:val="20"/>
          <w:szCs w:val="20"/>
        </w:rPr>
        <w:lastRenderedPageBreak/>
        <w:t>of increased heterogeneity through time, which would emphasise mechanisms by which biodiversity loss from those habitats might be mitigated to</w:t>
      </w:r>
      <w:r w:rsidRPr="00CC0A68">
        <w:rPr>
          <w:rFonts w:ascii="Arial" w:hAnsi="Arial" w:cs="Arial"/>
          <w:sz w:val="20"/>
          <w:szCs w:val="20"/>
        </w:rPr>
        <w:t xml:space="preserve"> some extent.</w:t>
      </w:r>
    </w:p>
    <w:p w:rsidR="003021D5" w:rsidRPr="00D810D0" w:rsidRDefault="003021D5" w:rsidP="003021D5">
      <w:pPr>
        <w:spacing w:line="480" w:lineRule="auto"/>
        <w:rPr>
          <w:rFonts w:ascii="Arial" w:hAnsi="Arial" w:cs="Arial"/>
          <w:sz w:val="20"/>
          <w:szCs w:val="20"/>
        </w:rPr>
      </w:pPr>
    </w:p>
    <w:p w:rsidR="002A7F38" w:rsidRPr="00DE705C" w:rsidRDefault="00611B94" w:rsidP="00B27EB1">
      <w:pPr>
        <w:spacing w:line="480" w:lineRule="auto"/>
        <w:rPr>
          <w:rFonts w:ascii="Arial" w:hAnsi="Arial" w:cs="Arial"/>
          <w:b/>
          <w:sz w:val="20"/>
          <w:szCs w:val="20"/>
        </w:rPr>
      </w:pPr>
      <w:r>
        <w:rPr>
          <w:rFonts w:ascii="Arial" w:hAnsi="Arial" w:cs="Arial"/>
          <w:b/>
          <w:sz w:val="20"/>
          <w:szCs w:val="20"/>
        </w:rPr>
        <w:t xml:space="preserve">Materials and </w:t>
      </w:r>
      <w:r w:rsidR="00D03DA6" w:rsidRPr="00DE705C">
        <w:rPr>
          <w:rFonts w:ascii="Arial" w:hAnsi="Arial" w:cs="Arial"/>
          <w:b/>
          <w:sz w:val="20"/>
          <w:szCs w:val="20"/>
        </w:rPr>
        <w:t>Methods</w:t>
      </w:r>
    </w:p>
    <w:p w:rsidR="003021D5" w:rsidRPr="00CC0A68" w:rsidRDefault="00611B94" w:rsidP="003021D5">
      <w:pPr>
        <w:spacing w:line="480" w:lineRule="auto"/>
        <w:rPr>
          <w:rFonts w:ascii="Arial" w:hAnsi="Arial" w:cs="Arial"/>
          <w:sz w:val="20"/>
          <w:szCs w:val="20"/>
        </w:rPr>
      </w:pPr>
      <w:r w:rsidRPr="00CC0A68">
        <w:rPr>
          <w:rFonts w:ascii="Arial" w:hAnsi="Arial" w:cs="Arial"/>
          <w:sz w:val="20"/>
          <w:szCs w:val="20"/>
        </w:rPr>
        <w:t>We collected weevils over three separate sampling periods (February 2011, November/December 2011 and June/July 2012) at the Stability of Altered Forest Ecosystems (SAFE) Project in Sabah, Malaysian Borneo. The SAFE Proj</w:t>
      </w:r>
      <w:r w:rsidRPr="00CC0A68">
        <w:rPr>
          <w:rFonts w:ascii="Arial" w:hAnsi="Arial" w:cs="Arial"/>
          <w:sz w:val="20"/>
          <w:szCs w:val="20"/>
        </w:rPr>
        <w:t>ect comprises 11 blocks of sampling points across a land-use gradient that extends from unlogged forest, through logged forest to oil palm plantation (Fig. 1a; Ewers et al. 2011). Of those 11 blocks, there were three “control” blocks (Fig. 1b), six “experi</w:t>
      </w:r>
      <w:r w:rsidRPr="00CC0A68">
        <w:rPr>
          <w:rFonts w:ascii="Arial" w:hAnsi="Arial" w:cs="Arial"/>
          <w:sz w:val="20"/>
          <w:szCs w:val="20"/>
        </w:rPr>
        <w:t>mental” blocks (Fig. 1c) and two “linear” blocks (Fig. 1d). The first control block was in Maliau Basin Conservation Area (MBCA), where two-thirds of sampling sites had never been logged and one-third of sites had been logged lightly for construction of th</w:t>
      </w:r>
      <w:r w:rsidRPr="00CC0A68">
        <w:rPr>
          <w:rFonts w:ascii="Arial" w:hAnsi="Arial" w:cs="Arial"/>
          <w:sz w:val="20"/>
          <w:szCs w:val="20"/>
        </w:rPr>
        <w:t>e nearby field centre. The second control block was positioned in oil palm plantation (OP) that had been planted between 2000 and 2006 and therefore consisted of a closed or nearly-closed oil palm canopy. The third control block (LF) along with six experim</w:t>
      </w:r>
      <w:r w:rsidRPr="00CC0A68">
        <w:rPr>
          <w:rFonts w:ascii="Arial" w:hAnsi="Arial" w:cs="Arial"/>
          <w:sz w:val="20"/>
          <w:szCs w:val="20"/>
        </w:rPr>
        <w:t>ental blocks and two linear blocks were dispersed around the experimental area at the SAFE Project (Fig. 1e) and comprised of forest that had initially been logged in the 1970’s (removing 113 m</w:t>
      </w:r>
      <w:r w:rsidRPr="00CC0A68">
        <w:rPr>
          <w:rFonts w:ascii="Arial" w:hAnsi="Arial" w:cs="Arial"/>
          <w:sz w:val="20"/>
          <w:szCs w:val="20"/>
          <w:vertAlign w:val="superscript"/>
        </w:rPr>
        <w:t>3</w:t>
      </w:r>
      <w:r w:rsidRPr="00CC0A68">
        <w:rPr>
          <w:rFonts w:ascii="Arial" w:hAnsi="Arial" w:cs="Arial"/>
          <w:sz w:val="20"/>
          <w:szCs w:val="20"/>
        </w:rPr>
        <w:t xml:space="preserve"> ha</w:t>
      </w:r>
      <w:r w:rsidRPr="00CC0A68">
        <w:rPr>
          <w:rFonts w:ascii="Arial" w:hAnsi="Arial" w:cs="Arial"/>
          <w:sz w:val="20"/>
          <w:szCs w:val="20"/>
          <w:vertAlign w:val="superscript"/>
        </w:rPr>
        <w:t>-1</w:t>
      </w:r>
      <w:r w:rsidRPr="00CC0A68">
        <w:rPr>
          <w:rFonts w:ascii="Arial" w:hAnsi="Arial" w:cs="Arial"/>
          <w:sz w:val="20"/>
          <w:szCs w:val="20"/>
        </w:rPr>
        <w:t>) and logged again between 2000 and 2008 (removing a furt</w:t>
      </w:r>
      <w:r w:rsidRPr="00CC0A68">
        <w:rPr>
          <w:rFonts w:ascii="Arial" w:hAnsi="Arial" w:cs="Arial"/>
          <w:sz w:val="20"/>
          <w:szCs w:val="20"/>
        </w:rPr>
        <w:t>her 66 m</w:t>
      </w:r>
      <w:r w:rsidRPr="00CC0A68">
        <w:rPr>
          <w:rFonts w:ascii="Arial" w:hAnsi="Arial" w:cs="Arial"/>
          <w:sz w:val="20"/>
          <w:szCs w:val="20"/>
          <w:vertAlign w:val="superscript"/>
        </w:rPr>
        <w:t>3</w:t>
      </w:r>
      <w:r w:rsidRPr="00CC0A68">
        <w:rPr>
          <w:rFonts w:ascii="Arial" w:hAnsi="Arial" w:cs="Arial"/>
          <w:sz w:val="20"/>
          <w:szCs w:val="20"/>
        </w:rPr>
        <w:t xml:space="preserve"> ha</w:t>
      </w:r>
      <w:r w:rsidRPr="00CC0A68">
        <w:rPr>
          <w:rFonts w:ascii="Arial" w:hAnsi="Arial" w:cs="Arial"/>
          <w:sz w:val="20"/>
          <w:szCs w:val="20"/>
          <w:vertAlign w:val="superscript"/>
        </w:rPr>
        <w:t>-1</w:t>
      </w:r>
      <w:r w:rsidRPr="00CC0A68">
        <w:rPr>
          <w:rFonts w:ascii="Arial" w:hAnsi="Arial" w:cs="Arial"/>
          <w:sz w:val="20"/>
          <w:szCs w:val="20"/>
        </w:rPr>
        <w:t>, Struebig et al. 2013). Logging intensity in this area was vastly uneven, so logged sites included forest of varying quality and structure (Pfeifer et al. 2016). All forest sites were connected within a single expanse of forest extending ove</w:t>
      </w:r>
      <w:r w:rsidRPr="00CC0A68">
        <w:rPr>
          <w:rFonts w:ascii="Arial" w:hAnsi="Arial" w:cs="Arial"/>
          <w:sz w:val="20"/>
          <w:szCs w:val="20"/>
        </w:rPr>
        <w:t>r one million ha in area.</w:t>
      </w:r>
    </w:p>
    <w:p w:rsidR="003021D5" w:rsidRPr="00CC0A68" w:rsidRDefault="00611B94" w:rsidP="003021D5">
      <w:pPr>
        <w:spacing w:line="480" w:lineRule="auto"/>
        <w:rPr>
          <w:rFonts w:ascii="Arial" w:hAnsi="Arial" w:cs="Arial"/>
          <w:sz w:val="20"/>
          <w:szCs w:val="20"/>
        </w:rPr>
      </w:pPr>
      <w:r w:rsidRPr="00CC0A68">
        <w:rPr>
          <w:rFonts w:ascii="Arial" w:hAnsi="Arial" w:cs="Arial"/>
          <w:sz w:val="20"/>
          <w:szCs w:val="20"/>
        </w:rPr>
        <w:t>Sampling points within blocks were positioned in a fractal design devised specifically for the study of beta-diversity over multiple spatial scales (Marsh &amp; Ewers 2012). While the sampling blocks contained differing arrangements o</w:t>
      </w:r>
      <w:r w:rsidRPr="00CC0A68">
        <w:rPr>
          <w:rFonts w:ascii="Arial" w:hAnsi="Arial" w:cs="Arial"/>
          <w:sz w:val="20"/>
          <w:szCs w:val="20"/>
        </w:rPr>
        <w:t>f sampling points (Fig. 1b-d), all arrangements followed the same hierarchical structure whereby first-order points (n = 579) were clustered around second-order points (n = 193), which were in turn clustered around third-order (n = 83) and then fourth-orde</w:t>
      </w:r>
      <w:r w:rsidRPr="00CC0A68">
        <w:rPr>
          <w:rFonts w:ascii="Arial" w:hAnsi="Arial" w:cs="Arial"/>
          <w:sz w:val="20"/>
          <w:szCs w:val="20"/>
        </w:rPr>
        <w:t>r points (n = 37).</w:t>
      </w:r>
      <w:r w:rsidR="00AE0A3D">
        <w:rPr>
          <w:rFonts w:ascii="Arial" w:hAnsi="Arial" w:cs="Arial"/>
          <w:sz w:val="20"/>
          <w:szCs w:val="20"/>
        </w:rPr>
        <w:t xml:space="preserve"> </w:t>
      </w:r>
      <w:r w:rsidRPr="00CC0A68">
        <w:rPr>
          <w:rFonts w:ascii="Arial" w:hAnsi="Arial" w:cs="Arial"/>
          <w:sz w:val="20"/>
          <w:szCs w:val="20"/>
        </w:rPr>
        <w:t>Distance between sites of increasing order increased exponentially: first-order points were separated by 10</w:t>
      </w:r>
      <w:r w:rsidRPr="00CC0A68">
        <w:rPr>
          <w:rFonts w:ascii="Arial" w:hAnsi="Arial" w:cs="Arial"/>
          <w:sz w:val="20"/>
          <w:szCs w:val="20"/>
          <w:vertAlign w:val="superscript"/>
        </w:rPr>
        <w:t>1.75</w:t>
      </w:r>
      <w:r w:rsidRPr="00CC0A68">
        <w:rPr>
          <w:rFonts w:ascii="Arial" w:hAnsi="Arial" w:cs="Arial"/>
          <w:sz w:val="20"/>
          <w:szCs w:val="20"/>
        </w:rPr>
        <w:t xml:space="preserve"> m (56 m), second-order points by 10</w:t>
      </w:r>
      <w:r w:rsidRPr="00CC0A68">
        <w:rPr>
          <w:rFonts w:ascii="Arial" w:hAnsi="Arial" w:cs="Arial"/>
          <w:sz w:val="20"/>
          <w:szCs w:val="20"/>
          <w:vertAlign w:val="superscript"/>
        </w:rPr>
        <w:t>2.25</w:t>
      </w:r>
      <w:r w:rsidRPr="00CC0A68">
        <w:rPr>
          <w:rFonts w:ascii="Arial" w:hAnsi="Arial" w:cs="Arial"/>
          <w:sz w:val="20"/>
          <w:szCs w:val="20"/>
        </w:rPr>
        <w:t xml:space="preserve"> m (178 m), third-order points by 10</w:t>
      </w:r>
      <w:r w:rsidRPr="00CC0A68">
        <w:rPr>
          <w:rFonts w:ascii="Arial" w:hAnsi="Arial" w:cs="Arial"/>
          <w:sz w:val="20"/>
          <w:szCs w:val="20"/>
          <w:vertAlign w:val="superscript"/>
        </w:rPr>
        <w:t>2.75</w:t>
      </w:r>
      <w:r w:rsidRPr="00CC0A68">
        <w:rPr>
          <w:rFonts w:ascii="Arial" w:hAnsi="Arial" w:cs="Arial"/>
          <w:sz w:val="20"/>
          <w:szCs w:val="20"/>
        </w:rPr>
        <w:t xml:space="preserve"> m (562 m) and fourth-order points by 10</w:t>
      </w:r>
      <w:r w:rsidRPr="00CC0A68">
        <w:rPr>
          <w:rFonts w:ascii="Arial" w:hAnsi="Arial" w:cs="Arial"/>
          <w:sz w:val="20"/>
          <w:szCs w:val="20"/>
          <w:vertAlign w:val="superscript"/>
        </w:rPr>
        <w:t>3.25</w:t>
      </w:r>
      <w:r w:rsidRPr="00CC0A68">
        <w:rPr>
          <w:rFonts w:ascii="Arial" w:hAnsi="Arial" w:cs="Arial"/>
          <w:sz w:val="20"/>
          <w:szCs w:val="20"/>
        </w:rPr>
        <w:t xml:space="preserve"> m (1,778 m, Fig. 1b-d).</w:t>
      </w:r>
    </w:p>
    <w:p w:rsidR="003021D5" w:rsidRPr="00CC0A68" w:rsidRDefault="00611B94" w:rsidP="003021D5">
      <w:pPr>
        <w:spacing w:line="480" w:lineRule="auto"/>
        <w:rPr>
          <w:rFonts w:ascii="Arial" w:hAnsi="Arial" w:cs="Arial"/>
          <w:sz w:val="20"/>
          <w:szCs w:val="20"/>
        </w:rPr>
      </w:pPr>
      <w:r w:rsidRPr="00CC0A68">
        <w:rPr>
          <w:rFonts w:ascii="Arial" w:hAnsi="Arial" w:cs="Arial"/>
          <w:sz w:val="20"/>
          <w:szCs w:val="20"/>
        </w:rPr>
        <w:lastRenderedPageBreak/>
        <w:t xml:space="preserve">Insect traps were set for three days per sampling period at each of the 579 first-order points </w:t>
      </w:r>
      <w:r w:rsidRPr="00CC0A68">
        <w:rPr>
          <w:rFonts w:ascii="Arial" w:hAnsi="Arial" w:cs="Arial"/>
          <w:sz w:val="20"/>
          <w:szCs w:val="20"/>
        </w:rPr>
        <w:t>in the SAFE Project landscape. Traps were designed to target species of many different behaviours, and comprised a design combining p</w:t>
      </w:r>
      <w:r w:rsidRPr="00CC0A68">
        <w:rPr>
          <w:rFonts w:ascii="Arial" w:hAnsi="Arial" w:cs="Arial"/>
          <w:sz w:val="20"/>
          <w:szCs w:val="20"/>
        </w:rPr>
        <w:t>itfall (diameter 25 cm), flight-intercept (area 1 m</w:t>
      </w:r>
      <w:r w:rsidRPr="00CC0A68">
        <w:rPr>
          <w:rFonts w:ascii="Arial" w:hAnsi="Arial" w:cs="Arial"/>
          <w:sz w:val="20"/>
          <w:szCs w:val="20"/>
          <w:vertAlign w:val="superscript"/>
        </w:rPr>
        <w:t>2</w:t>
      </w:r>
      <w:r w:rsidRPr="00CC0A68">
        <w:rPr>
          <w:rFonts w:ascii="Arial" w:hAnsi="Arial" w:cs="Arial"/>
          <w:sz w:val="20"/>
          <w:szCs w:val="20"/>
        </w:rPr>
        <w:t>) and malaise traps. Insects either fell into the bottom section of the trap (the pitfall) or were directed upwards into a collection bottle at the top of the malaise. Top and bottom samples were combined</w:t>
      </w:r>
      <w:r w:rsidRPr="00CC0A68">
        <w:rPr>
          <w:rFonts w:ascii="Arial" w:hAnsi="Arial" w:cs="Arial"/>
          <w:sz w:val="20"/>
          <w:szCs w:val="20"/>
        </w:rPr>
        <w:t xml:space="preserve"> for analysis. Weevils were separated from the rest of the captured insects and were sorted into morphospecies or, where possible, species.</w:t>
      </w:r>
    </w:p>
    <w:p w:rsidR="003021D5" w:rsidRPr="00CC0A68" w:rsidRDefault="00611B94" w:rsidP="003021D5">
      <w:pPr>
        <w:spacing w:line="480" w:lineRule="auto"/>
        <w:rPr>
          <w:rFonts w:ascii="Arial" w:hAnsi="Arial" w:cs="Arial"/>
          <w:sz w:val="20"/>
          <w:szCs w:val="20"/>
        </w:rPr>
      </w:pPr>
      <w:r w:rsidRPr="00CC0A68">
        <w:rPr>
          <w:rFonts w:ascii="Arial" w:hAnsi="Arial" w:cs="Arial"/>
          <w:sz w:val="20"/>
          <w:szCs w:val="20"/>
        </w:rPr>
        <w:t xml:space="preserve">In order to validly quantify trends in weevil beta-diversity, we had to identify the optimal grain of sampling </w:t>
      </w:r>
      <w:r w:rsidRPr="00CC0A68">
        <w:rPr>
          <w:rFonts w:ascii="Arial" w:hAnsi="Arial" w:cs="Arial"/>
          <w:sz w:val="20"/>
          <w:szCs w:val="20"/>
        </w:rPr>
        <w:t>points to avoid confusing the signals of alpha-diversity with beta-diversity (Jost 2007). This was achieved by testing for spatial autocorrelation between insect traps at the first-order, then grouping insect traps to second- and third-order and testing fo</w:t>
      </w:r>
      <w:r w:rsidRPr="00CC0A68">
        <w:rPr>
          <w:rFonts w:ascii="Arial" w:hAnsi="Arial" w:cs="Arial"/>
          <w:sz w:val="20"/>
          <w:szCs w:val="20"/>
        </w:rPr>
        <w:t xml:space="preserve">r spatial autocorrelation at those grouping levels. Spatial autocorrelation was calculated as the Spearman’s rank correlation coefficient of Bray-Curtis dissimilarity against geographic distance. All autocorrelations were calculated within sampling blocks </w:t>
      </w:r>
      <w:r w:rsidRPr="00CC0A68">
        <w:rPr>
          <w:rFonts w:ascii="Arial" w:hAnsi="Arial" w:cs="Arial"/>
          <w:sz w:val="20"/>
          <w:szCs w:val="20"/>
        </w:rPr>
        <w:t>nested within sampling period. Fourth-order points were not tested because there were insufficient points within a single block to calculate a meaningful correlation. We employed Z-tests to decipher which point-groupings were significantly positively spati</w:t>
      </w:r>
      <w:r w:rsidRPr="00CC0A68">
        <w:rPr>
          <w:rFonts w:ascii="Arial" w:hAnsi="Arial" w:cs="Arial"/>
          <w:sz w:val="20"/>
          <w:szCs w:val="20"/>
        </w:rPr>
        <w:t>ally autocorrelated, and therefore represented a suitable grain for our analysis. There was significant positive autocorrelation between first-order points (Z = 2.75, P</w:t>
      </w:r>
      <w:r w:rsidRPr="00CC0A68">
        <w:rPr>
          <w:rFonts w:ascii="Arial" w:hAnsi="Arial" w:cs="Arial"/>
          <w:sz w:val="20"/>
          <w:szCs w:val="20"/>
          <w:vertAlign w:val="subscript"/>
        </w:rPr>
        <w:t>adj</w:t>
      </w:r>
      <w:r w:rsidR="004517E3">
        <w:rPr>
          <w:rFonts w:ascii="Arial" w:hAnsi="Arial" w:cs="Arial"/>
          <w:sz w:val="20"/>
          <w:szCs w:val="20"/>
        </w:rPr>
        <w:t xml:space="preserve"> = 0.0</w:t>
      </w:r>
      <w:r>
        <w:rPr>
          <w:rFonts w:ascii="Arial" w:hAnsi="Arial" w:cs="Arial"/>
          <w:sz w:val="20"/>
          <w:szCs w:val="20"/>
        </w:rPr>
        <w:t>0</w:t>
      </w:r>
      <w:r w:rsidR="004517E3">
        <w:rPr>
          <w:rFonts w:ascii="Arial" w:hAnsi="Arial" w:cs="Arial"/>
          <w:sz w:val="20"/>
          <w:szCs w:val="20"/>
        </w:rPr>
        <w:t>9</w:t>
      </w:r>
      <w:r w:rsidRPr="00CC0A68">
        <w:rPr>
          <w:rFonts w:ascii="Arial" w:hAnsi="Arial" w:cs="Arial"/>
          <w:sz w:val="20"/>
          <w:szCs w:val="20"/>
        </w:rPr>
        <w:t>) but not second-order (Z = 0.97, P</w:t>
      </w:r>
      <w:r w:rsidRPr="00CC0A68">
        <w:rPr>
          <w:rFonts w:ascii="Arial" w:hAnsi="Arial" w:cs="Arial"/>
          <w:sz w:val="20"/>
          <w:szCs w:val="20"/>
          <w:vertAlign w:val="subscript"/>
        </w:rPr>
        <w:t>adj</w:t>
      </w:r>
      <w:r w:rsidR="004517E3">
        <w:rPr>
          <w:rFonts w:ascii="Arial" w:hAnsi="Arial" w:cs="Arial"/>
          <w:sz w:val="20"/>
          <w:szCs w:val="20"/>
        </w:rPr>
        <w:t xml:space="preserve"> = 0.333</w:t>
      </w:r>
      <w:r w:rsidRPr="00CC0A68">
        <w:rPr>
          <w:rFonts w:ascii="Arial" w:hAnsi="Arial" w:cs="Arial"/>
          <w:sz w:val="20"/>
          <w:szCs w:val="20"/>
        </w:rPr>
        <w:t>) or third-order (Z = -0.17, P</w:t>
      </w:r>
      <w:r w:rsidRPr="00CC0A68">
        <w:rPr>
          <w:rFonts w:ascii="Arial" w:hAnsi="Arial" w:cs="Arial"/>
          <w:sz w:val="20"/>
          <w:szCs w:val="20"/>
          <w:vertAlign w:val="subscript"/>
        </w:rPr>
        <w:t>a</w:t>
      </w:r>
      <w:r w:rsidRPr="00CC0A68">
        <w:rPr>
          <w:rFonts w:ascii="Arial" w:hAnsi="Arial" w:cs="Arial"/>
          <w:sz w:val="20"/>
          <w:szCs w:val="20"/>
          <w:vertAlign w:val="subscript"/>
        </w:rPr>
        <w:t>dj</w:t>
      </w:r>
      <w:r w:rsidR="004517E3">
        <w:rPr>
          <w:rFonts w:ascii="Arial" w:hAnsi="Arial" w:cs="Arial"/>
          <w:sz w:val="20"/>
          <w:szCs w:val="20"/>
        </w:rPr>
        <w:t xml:space="preserve"> = 0.432</w:t>
      </w:r>
      <w:r w:rsidRPr="00CC0A68">
        <w:rPr>
          <w:rFonts w:ascii="Arial" w:hAnsi="Arial" w:cs="Arial"/>
          <w:sz w:val="20"/>
          <w:szCs w:val="20"/>
        </w:rPr>
        <w:t>, adjustment according to Holm, 1979). Second-order was therefore the smallest spatial scale before points became spatially autocorrelated and thus we chose this grouping of insect traps as the grain most suitable for our analysis.</w:t>
      </w:r>
    </w:p>
    <w:p w:rsidR="003021D5" w:rsidRPr="00CC0A68" w:rsidRDefault="00611B94" w:rsidP="003021D5">
      <w:pPr>
        <w:spacing w:line="480" w:lineRule="auto"/>
        <w:rPr>
          <w:rFonts w:ascii="Arial" w:hAnsi="Arial" w:cs="Arial"/>
          <w:sz w:val="20"/>
          <w:szCs w:val="20"/>
        </w:rPr>
      </w:pPr>
      <w:r w:rsidRPr="00CC0A68">
        <w:rPr>
          <w:rFonts w:ascii="Arial" w:hAnsi="Arial" w:cs="Arial"/>
          <w:sz w:val="20"/>
          <w:szCs w:val="20"/>
        </w:rPr>
        <w:t xml:space="preserve">We quantified </w:t>
      </w:r>
      <w:r w:rsidRPr="00CC0A68">
        <w:rPr>
          <w:rFonts w:ascii="Arial" w:hAnsi="Arial" w:cs="Arial"/>
          <w:sz w:val="20"/>
          <w:szCs w:val="20"/>
        </w:rPr>
        <w:t xml:space="preserve">alpha-diversity of weevils at second-order scale and beta-diversity at the full set of larger spatial scales. By grouping second-order points within higher hierarchical levels, we were able to explicitly examine beta-diversity at third-order, fourth-order </w:t>
      </w:r>
      <w:r w:rsidRPr="00CC0A68">
        <w:rPr>
          <w:rFonts w:ascii="Arial" w:hAnsi="Arial" w:cs="Arial"/>
          <w:sz w:val="20"/>
          <w:szCs w:val="20"/>
        </w:rPr>
        <w:t>and block-level scales. To convert these arrangements of points into sampling areas, we treated each sampling point as a circular area centred on that point (Fig. 1). We chose areas for these circles that increased in size exponentially with point order (a</w:t>
      </w:r>
      <w:r w:rsidRPr="00CC0A68">
        <w:rPr>
          <w:rFonts w:ascii="Arial" w:hAnsi="Arial" w:cs="Arial"/>
          <w:sz w:val="20"/>
          <w:szCs w:val="20"/>
        </w:rPr>
        <w:t>s did number of insect traps grouped to respectively higher order) and that fitted into the SAFE Project sampling design with minimal overlap. We chose areas of 1-ha for second-order (relevant to alpha-diversity of weevils), 10-ha for third-order, 100-ha f</w:t>
      </w:r>
      <w:r w:rsidRPr="00CC0A68">
        <w:rPr>
          <w:rFonts w:ascii="Arial" w:hAnsi="Arial" w:cs="Arial"/>
          <w:sz w:val="20"/>
          <w:szCs w:val="20"/>
        </w:rPr>
        <w:t xml:space="preserve">or fourth-order and 1,000-ha for block-level groupings of insect traps. There was an unavoidable degree of overlap in circular </w:t>
      </w:r>
      <w:r w:rsidRPr="00CC0A68">
        <w:rPr>
          <w:rFonts w:ascii="Arial" w:hAnsi="Arial" w:cs="Arial"/>
          <w:sz w:val="20"/>
          <w:szCs w:val="20"/>
        </w:rPr>
        <w:lastRenderedPageBreak/>
        <w:t xml:space="preserve">areas at each scale: &lt; 1% at second-order, 1% at third-order, 13% at fourth-order and 8% at block-level. </w:t>
      </w:r>
    </w:p>
    <w:p w:rsidR="003021D5" w:rsidRPr="00CC0A68" w:rsidRDefault="00611B94" w:rsidP="003021D5">
      <w:pPr>
        <w:spacing w:line="480" w:lineRule="auto"/>
        <w:rPr>
          <w:rFonts w:ascii="Arial" w:hAnsi="Arial" w:cs="Arial"/>
          <w:sz w:val="20"/>
          <w:szCs w:val="20"/>
        </w:rPr>
      </w:pPr>
      <w:r w:rsidRPr="00CC0A68">
        <w:rPr>
          <w:rFonts w:ascii="Arial" w:hAnsi="Arial" w:cs="Arial"/>
          <w:sz w:val="20"/>
          <w:szCs w:val="20"/>
        </w:rPr>
        <w:t>Each of total weevil co</w:t>
      </w:r>
      <w:r w:rsidRPr="00CC0A68">
        <w:rPr>
          <w:rFonts w:ascii="Arial" w:hAnsi="Arial" w:cs="Arial"/>
          <w:sz w:val="20"/>
          <w:szCs w:val="20"/>
        </w:rPr>
        <w:t>unt, number of species and Shannon diversity were calculated per second-order point, nested within sampling period. We calculated beta-diversity at all higher orders by using the abundance-based Bray-Curtis methods of Baselga (2017). These metrics are prop</w:t>
      </w:r>
      <w:r w:rsidRPr="00CC0A68">
        <w:rPr>
          <w:rFonts w:ascii="Arial" w:hAnsi="Arial" w:cs="Arial"/>
          <w:sz w:val="20"/>
          <w:szCs w:val="20"/>
        </w:rPr>
        <w:t>ortions and therefore insensitive to sampling effort, so two values can be validly compared where based on the same sampling grain. These equations were ideal because they provided scope to separate total beta-diversity into two components: balanced variat</w:t>
      </w:r>
      <w:r w:rsidRPr="00CC0A68">
        <w:rPr>
          <w:rFonts w:ascii="Arial" w:hAnsi="Arial" w:cs="Arial"/>
          <w:sz w:val="20"/>
          <w:szCs w:val="20"/>
        </w:rPr>
        <w:t>ion (equivalent to turnover in taxa richness), and abundance-gradient variation between sites (roughly equivalent to nestedness in richness). Balanced variation is the subset of beta-diversity which can be attributed to difference in species identity betwe</w:t>
      </w:r>
      <w:r w:rsidRPr="00CC0A68">
        <w:rPr>
          <w:rFonts w:ascii="Arial" w:hAnsi="Arial" w:cs="Arial"/>
          <w:sz w:val="20"/>
          <w:szCs w:val="20"/>
        </w:rPr>
        <w:t>en sampling sites. Abundance-gradient variation is the subset of beta-diversity that is attributable to uneven numbers of individuals between sites. Bray-Curtis dissimilarity is equal to the sum of these two components.</w:t>
      </w:r>
    </w:p>
    <w:p w:rsidR="003021D5" w:rsidRPr="00CC0A68" w:rsidRDefault="00611B94" w:rsidP="003021D5">
      <w:pPr>
        <w:spacing w:line="480" w:lineRule="auto"/>
        <w:rPr>
          <w:rFonts w:ascii="Arial" w:hAnsi="Arial" w:cs="Arial"/>
          <w:sz w:val="20"/>
          <w:szCs w:val="20"/>
        </w:rPr>
      </w:pPr>
      <w:r w:rsidRPr="00CC0A68">
        <w:rPr>
          <w:rFonts w:ascii="Arial" w:hAnsi="Arial" w:cs="Arial"/>
          <w:sz w:val="20"/>
          <w:szCs w:val="20"/>
        </w:rPr>
        <w:t>We derived measures of forest qualit</w:t>
      </w:r>
      <w:r w:rsidRPr="00CC0A68">
        <w:rPr>
          <w:rFonts w:ascii="Arial" w:hAnsi="Arial" w:cs="Arial"/>
          <w:sz w:val="20"/>
          <w:szCs w:val="20"/>
        </w:rPr>
        <w:t>y and topographic variation that were relevant to each of the four spatial scales we had selected for analysis. These measures were calculated for forest sites only as plantation sites comprised mature oil palm and had been terraced. Forest quality was tak</w:t>
      </w:r>
      <w:r w:rsidRPr="00CC0A68">
        <w:rPr>
          <w:rFonts w:ascii="Arial" w:hAnsi="Arial" w:cs="Arial"/>
          <w:sz w:val="20"/>
          <w:szCs w:val="20"/>
        </w:rPr>
        <w:t xml:space="preserve">en as above-ground biomass of vegetation (AGB) and was measured at every second-order point in the landscape by Pfeifer et al. (2016) between 2010 and 2011. No forest modification occurred at SAFE Project between this period and our third and final insect </w:t>
      </w:r>
      <w:r w:rsidRPr="00CC0A68">
        <w:rPr>
          <w:rFonts w:ascii="Arial" w:hAnsi="Arial" w:cs="Arial"/>
          <w:sz w:val="20"/>
          <w:szCs w:val="20"/>
        </w:rPr>
        <w:t>collection in 2012. AGB was derived for third-order, fourth-order and block-level scales by calculating the mean of AGB values at second-order points below that higher point in the hierarchical design.</w:t>
      </w:r>
    </w:p>
    <w:p w:rsidR="003021D5" w:rsidRPr="00CC0A68" w:rsidRDefault="00611B94" w:rsidP="003021D5">
      <w:pPr>
        <w:spacing w:line="480" w:lineRule="auto"/>
        <w:rPr>
          <w:rFonts w:ascii="Arial" w:hAnsi="Arial" w:cs="Arial"/>
          <w:sz w:val="20"/>
          <w:szCs w:val="20"/>
        </w:rPr>
      </w:pPr>
      <w:r w:rsidRPr="00CC0A68">
        <w:rPr>
          <w:rFonts w:ascii="Arial" w:hAnsi="Arial" w:cs="Arial"/>
          <w:sz w:val="20"/>
          <w:szCs w:val="20"/>
        </w:rPr>
        <w:t>We calculated two complementary measures of topographi</w:t>
      </w:r>
      <w:r w:rsidRPr="00CC0A68">
        <w:rPr>
          <w:rFonts w:ascii="Arial" w:hAnsi="Arial" w:cs="Arial"/>
          <w:sz w:val="20"/>
          <w:szCs w:val="20"/>
        </w:rPr>
        <w:t>c variation – topographic roughness (Ascione et al.2008) and slope. Both were derived from ASTER satellite elevation data with a 30 m x 30 m resolution (</w:t>
      </w:r>
      <w:r w:rsidRPr="00CC0A68">
        <w:rPr>
          <w:rFonts w:ascii="Arial" w:hAnsi="Arial" w:cs="Arial"/>
          <w:sz w:val="20"/>
          <w:szCs w:val="20"/>
          <w:shd w:val="clear" w:color="auto" w:fill="FFFFFF"/>
        </w:rPr>
        <w:t>NASA/METI/AIST/Japan Spacesystems, and U.S./Japan ASTER Science Team, 2009).</w:t>
      </w:r>
      <w:r w:rsidRPr="00CC0A68">
        <w:rPr>
          <w:rFonts w:ascii="Arial" w:hAnsi="Arial" w:cs="Arial"/>
          <w:sz w:val="20"/>
          <w:szCs w:val="20"/>
        </w:rPr>
        <w:t xml:space="preserve"> Topographic roughness (TR) per pixel within each circular area was calculated as:</w:t>
      </w:r>
    </w:p>
    <w:p w:rsidR="003021D5" w:rsidRPr="00CC0A68" w:rsidRDefault="00611B94" w:rsidP="003021D5">
      <w:pPr>
        <w:spacing w:line="480" w:lineRule="auto"/>
        <w:jc w:val="center"/>
        <w:rPr>
          <w:rFonts w:ascii="Arial" w:hAnsi="Arial" w:cs="Arial"/>
          <w:sz w:val="20"/>
          <w:szCs w:val="20"/>
        </w:rPr>
      </w:pPr>
      <m:oMathPara>
        <m:oMath>
          <m:r>
            <w:rPr>
              <w:rFonts w:ascii="Cambria Math" w:hAnsi="Cambria Math" w:cs="Arial"/>
              <w:sz w:val="20"/>
              <w:szCs w:val="20"/>
            </w:rPr>
            <m:t>TR</m:t>
          </m:r>
          <m:r>
            <w:rPr>
              <w:rFonts w:ascii="Cambria Math" w:hAnsi="Cambria Math" w:cs="Arial"/>
              <w:sz w:val="20"/>
              <w:szCs w:val="20"/>
            </w:rPr>
            <m:t>=</m:t>
          </m:r>
          <m:f>
            <m:fPr>
              <m:ctrlPr>
                <w:rPr>
                  <w:rFonts w:ascii="Cambria Math" w:hAnsi="Cambria Math" w:cs="Arial"/>
                  <w:i/>
                  <w:sz w:val="20"/>
                  <w:szCs w:val="20"/>
                </w:rPr>
              </m:ctrlPr>
            </m:fPr>
            <m:num>
              <m:r>
                <w:rPr>
                  <w:rFonts w:ascii="Cambria Math" w:hAnsi="Cambria Math" w:cs="Arial"/>
                  <w:sz w:val="20"/>
                  <w:szCs w:val="20"/>
                </w:rPr>
                <m:t>Mean</m:t>
              </m:r>
              <m:r>
                <w:rPr>
                  <w:rFonts w:ascii="Cambria Math" w:hAnsi="Cambria Math" w:cs="Arial"/>
                  <w:sz w:val="20"/>
                  <w:szCs w:val="20"/>
                </w:rPr>
                <m:t>-</m:t>
              </m:r>
              <m:r>
                <w:rPr>
                  <w:rFonts w:ascii="Cambria Math" w:hAnsi="Cambria Math" w:cs="Arial"/>
                  <w:sz w:val="20"/>
                  <w:szCs w:val="20"/>
                </w:rPr>
                <m:t>Value</m:t>
              </m:r>
            </m:num>
            <m:den>
              <m:r>
                <w:rPr>
                  <w:rFonts w:ascii="Cambria Math" w:hAnsi="Cambria Math" w:cs="Arial"/>
                  <w:sz w:val="20"/>
                  <w:szCs w:val="20"/>
                </w:rPr>
                <m:t>Range</m:t>
              </m:r>
            </m:den>
          </m:f>
        </m:oMath>
      </m:oMathPara>
    </w:p>
    <w:p w:rsidR="003021D5" w:rsidRPr="00CC0A68" w:rsidRDefault="00611B94" w:rsidP="003021D5">
      <w:pPr>
        <w:spacing w:line="480" w:lineRule="auto"/>
        <w:rPr>
          <w:rFonts w:ascii="Arial" w:hAnsi="Arial" w:cs="Arial"/>
          <w:sz w:val="20"/>
          <w:szCs w:val="20"/>
        </w:rPr>
      </w:pPr>
      <w:r w:rsidRPr="00CC0A68">
        <w:rPr>
          <w:rFonts w:ascii="Arial" w:hAnsi="Arial" w:cs="Arial"/>
          <w:sz w:val="20"/>
          <w:szCs w:val="20"/>
        </w:rPr>
        <w:t>where “Mean” refers to the mean elevation of that pixel and it’s eight neighbours, “Value” refers to the elevation of that centre pixel, a</w:t>
      </w:r>
      <w:r w:rsidRPr="00CC0A68">
        <w:rPr>
          <w:rFonts w:ascii="Arial" w:hAnsi="Arial" w:cs="Arial"/>
          <w:sz w:val="20"/>
          <w:szCs w:val="20"/>
        </w:rPr>
        <w:t xml:space="preserve">nd “Range” refers to the difference between maximum and minimum </w:t>
      </w:r>
      <w:r w:rsidRPr="00CC0A68">
        <w:rPr>
          <w:rFonts w:ascii="Arial" w:hAnsi="Arial" w:cs="Arial"/>
          <w:sz w:val="20"/>
          <w:szCs w:val="20"/>
        </w:rPr>
        <w:lastRenderedPageBreak/>
        <w:t>elevation in the pixel and it’s eight neighbouring pixels. This index of roughness returned a value between negative one and one and described how each pixel is elevated or lowered in relation</w:t>
      </w:r>
      <w:r w:rsidRPr="00CC0A68">
        <w:rPr>
          <w:rFonts w:ascii="Arial" w:hAnsi="Arial" w:cs="Arial"/>
          <w:sz w:val="20"/>
          <w:szCs w:val="20"/>
        </w:rPr>
        <w:t xml:space="preserve"> to surrounding pixels. We converted these values to a single value per circular area by calculating the mean of the absolute values. Slope was taken as the “Range” value and was calculated per circular area as the mean of per-pixel values. Roughness and s</w:t>
      </w:r>
      <w:r w:rsidRPr="00CC0A68">
        <w:rPr>
          <w:rFonts w:ascii="Arial" w:hAnsi="Arial" w:cs="Arial"/>
          <w:sz w:val="20"/>
          <w:szCs w:val="20"/>
        </w:rPr>
        <w:t>lope in forest were negatively correlated at all spatial scales (second-order: ρ = -0.40, P &lt; 0.001; third-order: ρ = -0.41, P &lt; 0.0</w:t>
      </w:r>
      <w:r>
        <w:rPr>
          <w:rFonts w:ascii="Arial" w:hAnsi="Arial" w:cs="Arial"/>
          <w:sz w:val="20"/>
          <w:szCs w:val="20"/>
        </w:rPr>
        <w:t>01; fo</w:t>
      </w:r>
      <w:r w:rsidR="004517E3">
        <w:rPr>
          <w:rFonts w:ascii="Arial" w:hAnsi="Arial" w:cs="Arial"/>
          <w:sz w:val="20"/>
          <w:szCs w:val="20"/>
        </w:rPr>
        <w:t>urth-order: ρ = -0.54, P = 0.004; block-level: ρ = -0.81, P = 0.008</w:t>
      </w:r>
      <w:r w:rsidRPr="00CC0A68">
        <w:rPr>
          <w:rFonts w:ascii="Arial" w:hAnsi="Arial" w:cs="Arial"/>
          <w:sz w:val="20"/>
          <w:szCs w:val="20"/>
        </w:rPr>
        <w:t>). The strong negative correlation between topograp</w:t>
      </w:r>
      <w:r w:rsidRPr="00CC0A68">
        <w:rPr>
          <w:rFonts w:ascii="Arial" w:hAnsi="Arial" w:cs="Arial"/>
          <w:sz w:val="20"/>
          <w:szCs w:val="20"/>
        </w:rPr>
        <w:t>hy variables suggested that our forest sites were positioned along a topographic gradient from high TR/low slope to low TR/high slope. Because of this strong relationship, we chose to focus on roughness in our analysis, we which believed to be more clearly</w:t>
      </w:r>
      <w:r w:rsidRPr="00CC0A68">
        <w:rPr>
          <w:rFonts w:ascii="Arial" w:hAnsi="Arial" w:cs="Arial"/>
          <w:sz w:val="20"/>
          <w:szCs w:val="20"/>
        </w:rPr>
        <w:t xml:space="preserve"> relatable to vegetation structure (Webb &amp; Peart 2000).</w:t>
      </w:r>
    </w:p>
    <w:p w:rsidR="003021D5" w:rsidRPr="00CC0A68" w:rsidRDefault="00611B94" w:rsidP="003021D5">
      <w:pPr>
        <w:spacing w:line="480" w:lineRule="auto"/>
        <w:rPr>
          <w:rFonts w:ascii="Arial" w:hAnsi="Arial" w:cs="Arial"/>
          <w:sz w:val="20"/>
          <w:szCs w:val="20"/>
        </w:rPr>
      </w:pPr>
      <w:r w:rsidRPr="00CC0A68">
        <w:rPr>
          <w:rFonts w:ascii="Arial" w:hAnsi="Arial" w:cs="Arial"/>
          <w:sz w:val="20"/>
          <w:szCs w:val="20"/>
        </w:rPr>
        <w:t xml:space="preserve">All of weevil count, alpha-diversity (richness and Shannon index) and beta-diversity (total, balanced variation and abundance-gradient variation) were analysed for both oil palm plantation and forest </w:t>
      </w:r>
      <w:r w:rsidRPr="00CC0A68">
        <w:rPr>
          <w:rFonts w:ascii="Arial" w:hAnsi="Arial" w:cs="Arial"/>
          <w:sz w:val="20"/>
          <w:szCs w:val="20"/>
        </w:rPr>
        <w:t xml:space="preserve">(categorical, ignoring forest quality) using generalized mixed models with sampling period as a random intercept. Within forest sampling blocks, forest quality and roughness were correlated at some spatial scales (second-order: ρ = -0.07, P </w:t>
      </w:r>
      <w:r w:rsidR="004517E3">
        <w:rPr>
          <w:rFonts w:ascii="Arial" w:hAnsi="Arial" w:cs="Arial"/>
          <w:sz w:val="20"/>
          <w:szCs w:val="20"/>
        </w:rPr>
        <w:t>= 0.381</w:t>
      </w:r>
      <w:r w:rsidRPr="00CC0A68">
        <w:rPr>
          <w:rFonts w:ascii="Arial" w:hAnsi="Arial" w:cs="Arial"/>
          <w:sz w:val="20"/>
          <w:szCs w:val="20"/>
        </w:rPr>
        <w:t>; third-</w:t>
      </w:r>
      <w:r w:rsidRPr="00CC0A68">
        <w:rPr>
          <w:rFonts w:ascii="Arial" w:hAnsi="Arial" w:cs="Arial"/>
          <w:sz w:val="20"/>
          <w:szCs w:val="20"/>
        </w:rPr>
        <w:t xml:space="preserve">order: ρ = -0.28, </w:t>
      </w:r>
      <w:r w:rsidR="004517E3">
        <w:rPr>
          <w:rFonts w:ascii="Arial" w:hAnsi="Arial" w:cs="Arial"/>
          <w:sz w:val="20"/>
          <w:szCs w:val="20"/>
        </w:rPr>
        <w:t>P = 0.022</w:t>
      </w:r>
      <w:r w:rsidRPr="00CC0A68">
        <w:rPr>
          <w:rFonts w:ascii="Arial" w:hAnsi="Arial" w:cs="Arial"/>
          <w:sz w:val="20"/>
          <w:szCs w:val="20"/>
        </w:rPr>
        <w:t>; fourth-order: ρ = -0.33</w:t>
      </w:r>
      <w:r>
        <w:rPr>
          <w:rFonts w:ascii="Arial" w:hAnsi="Arial" w:cs="Arial"/>
          <w:sz w:val="20"/>
          <w:szCs w:val="20"/>
        </w:rPr>
        <w:t xml:space="preserve">, </w:t>
      </w:r>
      <w:r w:rsidRPr="00CC0A68">
        <w:rPr>
          <w:rFonts w:ascii="Arial" w:hAnsi="Arial" w:cs="Arial"/>
          <w:sz w:val="20"/>
          <w:szCs w:val="20"/>
        </w:rPr>
        <w:t xml:space="preserve">P </w:t>
      </w:r>
      <w:r w:rsidR="004517E3">
        <w:rPr>
          <w:rFonts w:ascii="Arial" w:hAnsi="Arial" w:cs="Arial"/>
          <w:sz w:val="20"/>
          <w:szCs w:val="20"/>
        </w:rPr>
        <w:t>= 0.093</w:t>
      </w:r>
      <w:r w:rsidRPr="00CC0A68">
        <w:rPr>
          <w:rFonts w:ascii="Arial" w:hAnsi="Arial" w:cs="Arial"/>
          <w:sz w:val="20"/>
          <w:szCs w:val="20"/>
        </w:rPr>
        <w:t xml:space="preserve">; block-level: ρ = -0.19, P </w:t>
      </w:r>
      <w:r w:rsidR="004517E3">
        <w:rPr>
          <w:rFonts w:ascii="Arial" w:hAnsi="Arial" w:cs="Arial"/>
          <w:sz w:val="20"/>
          <w:szCs w:val="20"/>
        </w:rPr>
        <w:t>= 0.61</w:t>
      </w:r>
      <w:r>
        <w:rPr>
          <w:rFonts w:ascii="Arial" w:hAnsi="Arial" w:cs="Arial"/>
          <w:sz w:val="20"/>
          <w:szCs w:val="20"/>
        </w:rPr>
        <w:t>0</w:t>
      </w:r>
      <w:r w:rsidRPr="00CC0A68">
        <w:rPr>
          <w:rFonts w:ascii="Arial" w:hAnsi="Arial" w:cs="Arial"/>
          <w:sz w:val="20"/>
          <w:szCs w:val="20"/>
        </w:rPr>
        <w:t>). This multicollinearity prohibited the inclusion of both raw AGB and roughness within regular models and so we instead created models based on principal com</w:t>
      </w:r>
      <w:r w:rsidRPr="00CC0A68">
        <w:rPr>
          <w:rFonts w:ascii="Arial" w:hAnsi="Arial" w:cs="Arial"/>
          <w:sz w:val="20"/>
          <w:szCs w:val="20"/>
        </w:rPr>
        <w:t>ponents (Dodge 2003). We log</w:t>
      </w:r>
      <w:r w:rsidRPr="00CC0A68">
        <w:rPr>
          <w:rFonts w:ascii="Arial" w:hAnsi="Arial" w:cs="Arial"/>
          <w:sz w:val="20"/>
          <w:szCs w:val="20"/>
          <w:vertAlign w:val="subscript"/>
        </w:rPr>
        <w:t>10</w:t>
      </w:r>
      <w:r w:rsidRPr="00CC0A68">
        <w:rPr>
          <w:rFonts w:ascii="Arial" w:hAnsi="Arial" w:cs="Arial"/>
          <w:sz w:val="20"/>
          <w:szCs w:val="20"/>
        </w:rPr>
        <w:t>-transformed AGB so that both variables were normally-distributed, scaled and centred variables on 0, transformed those variables into orthogonal principal components and then performed mixed models with those components as pr</w:t>
      </w:r>
      <w:r w:rsidRPr="00CC0A68">
        <w:rPr>
          <w:rFonts w:ascii="Arial" w:hAnsi="Arial" w:cs="Arial"/>
          <w:sz w:val="20"/>
          <w:szCs w:val="20"/>
        </w:rPr>
        <w:t>edictors. Because principal component transformation preserves the linearity of input variables, we were able to back-transform to derive parameter estimates for the original (log</w:t>
      </w:r>
      <w:r w:rsidRPr="00CC0A68">
        <w:rPr>
          <w:rFonts w:ascii="Arial" w:hAnsi="Arial" w:cs="Arial"/>
          <w:sz w:val="20"/>
          <w:szCs w:val="20"/>
          <w:vertAlign w:val="subscript"/>
        </w:rPr>
        <w:t>10</w:t>
      </w:r>
      <w:r w:rsidRPr="00CC0A68">
        <w:rPr>
          <w:rFonts w:ascii="Arial" w:hAnsi="Arial" w:cs="Arial"/>
          <w:sz w:val="20"/>
          <w:szCs w:val="20"/>
        </w:rPr>
        <w:t>-transformed) variables. Statistical significance of variables was estimate</w:t>
      </w:r>
      <w:r w:rsidRPr="00CC0A68">
        <w:rPr>
          <w:rFonts w:ascii="Arial" w:hAnsi="Arial" w:cs="Arial"/>
          <w:sz w:val="20"/>
          <w:szCs w:val="20"/>
        </w:rPr>
        <w:t>d via permutation: variables were randomized 9,999 times in turn, transformed into principal components as before, used to fit new models by maximum likelihood, and the proportion of those randomized models which were more statistically likely than our sin</w:t>
      </w:r>
      <w:r w:rsidRPr="00CC0A68">
        <w:rPr>
          <w:rFonts w:ascii="Arial" w:hAnsi="Arial" w:cs="Arial"/>
          <w:sz w:val="20"/>
          <w:szCs w:val="20"/>
        </w:rPr>
        <w:t>gle observed model was calculated as a P-value.</w:t>
      </w:r>
    </w:p>
    <w:p w:rsidR="003021D5" w:rsidRPr="00CC0A68" w:rsidRDefault="00611B94" w:rsidP="003021D5">
      <w:pPr>
        <w:spacing w:line="480" w:lineRule="auto"/>
        <w:rPr>
          <w:rFonts w:ascii="Arial" w:hAnsi="Arial" w:cs="Arial"/>
          <w:sz w:val="20"/>
          <w:szCs w:val="20"/>
        </w:rPr>
      </w:pPr>
      <w:r w:rsidRPr="00CC0A68">
        <w:rPr>
          <w:rFonts w:ascii="Arial" w:hAnsi="Arial" w:cs="Arial"/>
          <w:sz w:val="20"/>
          <w:szCs w:val="20"/>
        </w:rPr>
        <w:t>Final models were generated via backward-selection on the terms AGB, roughness and their interaction; terms were removed sequentially where P &gt; 0.050. Models which were late in the model selection process and</w:t>
      </w:r>
      <w:r w:rsidRPr="00CC0A68">
        <w:rPr>
          <w:rFonts w:ascii="Arial" w:hAnsi="Arial" w:cs="Arial"/>
          <w:sz w:val="20"/>
          <w:szCs w:val="20"/>
        </w:rPr>
        <w:t xml:space="preserve"> therefore univariate (after the interaction term and one main term had been </w:t>
      </w:r>
      <w:r w:rsidRPr="00CC0A68">
        <w:rPr>
          <w:rFonts w:ascii="Arial" w:hAnsi="Arial" w:cs="Arial"/>
          <w:sz w:val="20"/>
          <w:szCs w:val="20"/>
        </w:rPr>
        <w:lastRenderedPageBreak/>
        <w:t>dropped) did not incorporate principal components but were instead linear models with a single predictor. In this way, we predicted weevil count and species richness via generaliz</w:t>
      </w:r>
      <w:r w:rsidRPr="00CC0A68">
        <w:rPr>
          <w:rFonts w:ascii="Arial" w:hAnsi="Arial" w:cs="Arial"/>
          <w:sz w:val="20"/>
          <w:szCs w:val="20"/>
        </w:rPr>
        <w:t>ed mixed models, and Shannon index and each measure of logit-transformed beta-diversity via linear mixed models. In all models, sampling period was included as a random intercept.</w:t>
      </w:r>
    </w:p>
    <w:p w:rsidR="003021D5" w:rsidRPr="00CC0A68" w:rsidRDefault="00611B94" w:rsidP="003021D5">
      <w:pPr>
        <w:spacing w:line="480" w:lineRule="auto"/>
        <w:rPr>
          <w:rFonts w:ascii="Arial" w:hAnsi="Arial" w:cs="Arial"/>
          <w:sz w:val="20"/>
          <w:szCs w:val="20"/>
        </w:rPr>
      </w:pPr>
      <w:r w:rsidRPr="00CC0A68">
        <w:rPr>
          <w:rFonts w:ascii="Arial" w:hAnsi="Arial" w:cs="Arial"/>
          <w:sz w:val="20"/>
          <w:szCs w:val="20"/>
        </w:rPr>
        <w:t>We expanded on our results on spatial beta-diversity by examining whether te</w:t>
      </w:r>
      <w:r w:rsidRPr="00CC0A68">
        <w:rPr>
          <w:rFonts w:ascii="Arial" w:hAnsi="Arial" w:cs="Arial"/>
          <w:sz w:val="20"/>
          <w:szCs w:val="20"/>
        </w:rPr>
        <w:t>mporal variation in weevil community structure differed significantly across this land-use gradient. This was achieved by taking each sampling block in turn, selecting only the weevil species where we caught 10 or more individuals over the three sampling p</w:t>
      </w:r>
      <w:r w:rsidRPr="00CC0A68">
        <w:rPr>
          <w:rFonts w:ascii="Arial" w:hAnsi="Arial" w:cs="Arial"/>
          <w:sz w:val="20"/>
          <w:szCs w:val="20"/>
        </w:rPr>
        <w:t>eriods in that block, and calculating a χ</w:t>
      </w:r>
      <w:r w:rsidRPr="00CC0A68">
        <w:rPr>
          <w:rFonts w:ascii="Arial" w:hAnsi="Arial" w:cs="Arial"/>
          <w:sz w:val="20"/>
          <w:szCs w:val="20"/>
          <w:vertAlign w:val="superscript"/>
        </w:rPr>
        <w:t>2</w:t>
      </w:r>
      <w:r w:rsidRPr="00CC0A68">
        <w:rPr>
          <w:rFonts w:ascii="Arial" w:hAnsi="Arial" w:cs="Arial"/>
          <w:sz w:val="20"/>
          <w:szCs w:val="20"/>
        </w:rPr>
        <w:t xml:space="preserve"> statistic describing the unevenness in the abundances of that species caught between sampling periods. With those statistics, we predicted unevenness in abundance first between oil palm plantation and forest, and </w:t>
      </w:r>
      <w:r w:rsidRPr="00CC0A68">
        <w:rPr>
          <w:rFonts w:ascii="Arial" w:hAnsi="Arial" w:cs="Arial"/>
          <w:sz w:val="20"/>
          <w:szCs w:val="20"/>
        </w:rPr>
        <w:t>then used the principal component methods previously described to predict evenness from forest AGB and roughness. As before, we employed backward-selection on the variables and their interactions but included species as a random intercept.</w:t>
      </w:r>
    </w:p>
    <w:p w:rsidR="000D1E4F" w:rsidRPr="00D810D0" w:rsidRDefault="000D1E4F" w:rsidP="00B27EB1">
      <w:pPr>
        <w:spacing w:line="480" w:lineRule="auto"/>
        <w:rPr>
          <w:rFonts w:ascii="Arial" w:hAnsi="Arial" w:cs="Arial"/>
          <w:sz w:val="20"/>
          <w:szCs w:val="20"/>
        </w:rPr>
      </w:pPr>
    </w:p>
    <w:p w:rsidR="000D1E4F" w:rsidRPr="00DE705C" w:rsidRDefault="00611B94" w:rsidP="00B27EB1">
      <w:pPr>
        <w:spacing w:line="480" w:lineRule="auto"/>
        <w:rPr>
          <w:rFonts w:ascii="Arial" w:hAnsi="Arial" w:cs="Arial"/>
          <w:b/>
          <w:sz w:val="20"/>
          <w:szCs w:val="20"/>
        </w:rPr>
      </w:pPr>
      <w:r w:rsidRPr="00DE705C">
        <w:rPr>
          <w:rFonts w:ascii="Arial" w:hAnsi="Arial" w:cs="Arial"/>
          <w:b/>
          <w:sz w:val="20"/>
          <w:szCs w:val="20"/>
        </w:rPr>
        <w:t>Results</w:t>
      </w:r>
    </w:p>
    <w:p w:rsidR="004517E3" w:rsidRPr="00CC0A68" w:rsidRDefault="00611B94" w:rsidP="004517E3">
      <w:pPr>
        <w:spacing w:line="480" w:lineRule="auto"/>
        <w:rPr>
          <w:rFonts w:ascii="Arial" w:hAnsi="Arial" w:cs="Arial"/>
          <w:sz w:val="20"/>
          <w:szCs w:val="20"/>
        </w:rPr>
      </w:pPr>
      <w:r w:rsidRPr="00CC0A68">
        <w:rPr>
          <w:rFonts w:ascii="Arial" w:hAnsi="Arial" w:cs="Arial"/>
          <w:sz w:val="20"/>
          <w:szCs w:val="20"/>
        </w:rPr>
        <w:t xml:space="preserve">We caught 3,447 beetles of the Curculionoidea superfamily: 1,119 in the first sampling period, 370 in the second and 1,958 in the third. We identified 160 species and morphospecies </w:t>
      </w:r>
      <w:r w:rsidRPr="00CC0A68">
        <w:rPr>
          <w:rFonts w:ascii="Arial" w:hAnsi="Arial" w:cs="Arial"/>
          <w:sz w:val="20"/>
          <w:szCs w:val="20"/>
        </w:rPr>
        <w:t xml:space="preserve">(referred to henceforth as “species”). Species of </w:t>
      </w:r>
      <w:r w:rsidR="00474990">
        <w:rPr>
          <w:rFonts w:ascii="Arial" w:hAnsi="Arial" w:cs="Arial"/>
          <w:sz w:val="20"/>
          <w:szCs w:val="20"/>
        </w:rPr>
        <w:t xml:space="preserve">the families </w:t>
      </w:r>
      <w:r w:rsidRPr="00CC0A68">
        <w:rPr>
          <w:rFonts w:ascii="Arial" w:hAnsi="Arial" w:cs="Arial"/>
          <w:sz w:val="20"/>
          <w:szCs w:val="20"/>
        </w:rPr>
        <w:t>C</w:t>
      </w:r>
      <w:r w:rsidRPr="00CC0A68">
        <w:rPr>
          <w:rFonts w:ascii="Arial" w:hAnsi="Arial" w:cs="Arial"/>
          <w:sz w:val="20"/>
          <w:szCs w:val="20"/>
        </w:rPr>
        <w:t>urculionidae (141 species), Anthribidae (nine species), Attelabidae (five species) and Brentidae (five species) were present. Most individuals, 3,220, belonged to the Scolytinae subfamily within the family Curculionidae. The most abundant species caught be</w:t>
      </w:r>
      <w:r w:rsidRPr="00CC0A68">
        <w:rPr>
          <w:rFonts w:ascii="Arial" w:hAnsi="Arial" w:cs="Arial"/>
          <w:sz w:val="20"/>
          <w:szCs w:val="20"/>
        </w:rPr>
        <w:t xml:space="preserve">longed to the genera </w:t>
      </w:r>
      <w:r w:rsidRPr="00CC0A68">
        <w:rPr>
          <w:rFonts w:ascii="Arial" w:hAnsi="Arial" w:cs="Arial"/>
          <w:i/>
          <w:sz w:val="20"/>
          <w:szCs w:val="20"/>
        </w:rPr>
        <w:t>Coccotrypes</w:t>
      </w:r>
      <w:r w:rsidRPr="00CC0A68">
        <w:rPr>
          <w:rFonts w:ascii="Arial" w:hAnsi="Arial" w:cs="Arial"/>
          <w:sz w:val="20"/>
          <w:szCs w:val="20"/>
        </w:rPr>
        <w:t xml:space="preserve">, </w:t>
      </w:r>
      <w:r w:rsidRPr="00CC0A68">
        <w:rPr>
          <w:rFonts w:ascii="Arial" w:hAnsi="Arial" w:cs="Arial"/>
          <w:i/>
          <w:sz w:val="20"/>
          <w:szCs w:val="20"/>
        </w:rPr>
        <w:t>Xylosandrus</w:t>
      </w:r>
      <w:r w:rsidRPr="00CC0A68">
        <w:rPr>
          <w:rFonts w:ascii="Arial" w:hAnsi="Arial" w:cs="Arial"/>
          <w:sz w:val="20"/>
          <w:szCs w:val="20"/>
        </w:rPr>
        <w:t xml:space="preserve">, </w:t>
      </w:r>
      <w:r w:rsidRPr="00CC0A68">
        <w:rPr>
          <w:rFonts w:ascii="Arial" w:hAnsi="Arial" w:cs="Arial"/>
          <w:i/>
          <w:sz w:val="20"/>
          <w:szCs w:val="20"/>
        </w:rPr>
        <w:t>Xyleborus</w:t>
      </w:r>
      <w:r w:rsidRPr="00CC0A68">
        <w:rPr>
          <w:rFonts w:ascii="Arial" w:hAnsi="Arial" w:cs="Arial"/>
          <w:sz w:val="20"/>
          <w:szCs w:val="20"/>
        </w:rPr>
        <w:t xml:space="preserve">, </w:t>
      </w:r>
      <w:r w:rsidRPr="00CC0A68">
        <w:rPr>
          <w:rFonts w:ascii="Arial" w:hAnsi="Arial" w:cs="Arial"/>
          <w:i/>
          <w:sz w:val="20"/>
          <w:szCs w:val="20"/>
        </w:rPr>
        <w:t>Ambrosiodomus</w:t>
      </w:r>
      <w:r w:rsidRPr="00CC0A68">
        <w:rPr>
          <w:rFonts w:ascii="Arial" w:hAnsi="Arial" w:cs="Arial"/>
          <w:sz w:val="20"/>
          <w:szCs w:val="20"/>
        </w:rPr>
        <w:t xml:space="preserve">, </w:t>
      </w:r>
      <w:r w:rsidRPr="00CC0A68">
        <w:rPr>
          <w:rFonts w:ascii="Arial" w:hAnsi="Arial" w:cs="Arial"/>
          <w:i/>
          <w:sz w:val="20"/>
          <w:szCs w:val="20"/>
        </w:rPr>
        <w:t>Scolytoplatypus</w:t>
      </w:r>
      <w:r w:rsidRPr="00CC0A68">
        <w:rPr>
          <w:rFonts w:ascii="Arial" w:hAnsi="Arial" w:cs="Arial"/>
          <w:sz w:val="20"/>
          <w:szCs w:val="20"/>
        </w:rPr>
        <w:t xml:space="preserve"> and </w:t>
      </w:r>
      <w:r w:rsidRPr="00CC0A68">
        <w:rPr>
          <w:rFonts w:ascii="Arial" w:hAnsi="Arial" w:cs="Arial"/>
          <w:i/>
          <w:sz w:val="20"/>
          <w:szCs w:val="20"/>
        </w:rPr>
        <w:t>Debus</w:t>
      </w:r>
      <w:r w:rsidRPr="00CC0A68">
        <w:rPr>
          <w:rFonts w:ascii="Arial" w:hAnsi="Arial" w:cs="Arial"/>
          <w:sz w:val="20"/>
          <w:szCs w:val="20"/>
        </w:rPr>
        <w:t>, all within the Scolytinae.</w:t>
      </w:r>
    </w:p>
    <w:p w:rsidR="004517E3" w:rsidRPr="00CC0A68" w:rsidRDefault="00611B94" w:rsidP="004517E3">
      <w:pPr>
        <w:spacing w:line="480" w:lineRule="auto"/>
        <w:rPr>
          <w:rFonts w:ascii="Arial" w:hAnsi="Arial" w:cs="Arial"/>
          <w:sz w:val="20"/>
          <w:szCs w:val="20"/>
        </w:rPr>
      </w:pPr>
      <w:r w:rsidRPr="00CC0A68">
        <w:rPr>
          <w:rFonts w:ascii="Arial" w:hAnsi="Arial" w:cs="Arial"/>
          <w:sz w:val="20"/>
          <w:szCs w:val="20"/>
        </w:rPr>
        <w:t>Significant trends were identified in alpha-diversity, both between forest and oil palm plantation and within forest disturbed to</w:t>
      </w:r>
      <w:r w:rsidRPr="00CC0A68">
        <w:rPr>
          <w:rFonts w:ascii="Arial" w:hAnsi="Arial" w:cs="Arial"/>
          <w:sz w:val="20"/>
          <w:szCs w:val="20"/>
        </w:rPr>
        <w:t xml:space="preserve"> various extents. There was no significant difference (estimate: 2.38, Z = 1.83, P</w:t>
      </w:r>
      <w:r>
        <w:rPr>
          <w:rFonts w:ascii="Arial" w:hAnsi="Arial" w:cs="Arial"/>
          <w:sz w:val="20"/>
          <w:szCs w:val="20"/>
        </w:rPr>
        <w:t xml:space="preserve"> = 0.067</w:t>
      </w:r>
      <w:r w:rsidRPr="00CC0A68">
        <w:rPr>
          <w:rFonts w:ascii="Arial" w:hAnsi="Arial" w:cs="Arial"/>
          <w:sz w:val="20"/>
          <w:szCs w:val="20"/>
        </w:rPr>
        <w:t>) in the number of weevils caught per second-order point between oil palm plantation and forest (Fig. 2a). Despite the similarities in weevil abundance, we found sign</w:t>
      </w:r>
      <w:r w:rsidRPr="00CC0A68">
        <w:rPr>
          <w:rFonts w:ascii="Arial" w:hAnsi="Arial" w:cs="Arial"/>
          <w:sz w:val="20"/>
          <w:szCs w:val="20"/>
        </w:rPr>
        <w:t xml:space="preserve">ificantly more </w:t>
      </w:r>
      <w:r w:rsidRPr="00CC0A68">
        <w:rPr>
          <w:rFonts w:ascii="Arial" w:hAnsi="Arial" w:cs="Arial"/>
          <w:sz w:val="20"/>
          <w:szCs w:val="20"/>
        </w:rPr>
        <w:t xml:space="preserve">weevil species at forest points compared to plantation </w:t>
      </w:r>
      <w:r w:rsidR="00052247" w:rsidRPr="00CC0A68">
        <w:rPr>
          <w:rFonts w:ascii="Arial" w:hAnsi="Arial" w:cs="Arial"/>
          <w:sz w:val="20"/>
          <w:szCs w:val="20"/>
        </w:rPr>
        <w:t xml:space="preserve">(estimate: 1.72, Z = 5.24, P &lt; 0.001, Fig. 2b) </w:t>
      </w:r>
      <w:r w:rsidRPr="00CC0A68">
        <w:rPr>
          <w:rFonts w:ascii="Arial" w:hAnsi="Arial" w:cs="Arial"/>
          <w:sz w:val="20"/>
          <w:szCs w:val="20"/>
        </w:rPr>
        <w:t xml:space="preserve">and greater Shannon diversity (estimate: 0.57, Z = 5.94, P &lt; 0.001, Fig. 2c). Within forest sites, there was a significant increase in number of weevils caught (slope: 0.50, Z = 4.97, P &lt; 0.001, Fig. 2a), number </w:t>
      </w:r>
      <w:r w:rsidRPr="00CC0A68">
        <w:rPr>
          <w:rFonts w:ascii="Arial" w:hAnsi="Arial" w:cs="Arial"/>
          <w:sz w:val="20"/>
          <w:szCs w:val="20"/>
        </w:rPr>
        <w:lastRenderedPageBreak/>
        <w:t xml:space="preserve">of species caught (slope: 0.31, Z = 3.74, P </w:t>
      </w:r>
      <w:r w:rsidRPr="00CC0A68">
        <w:rPr>
          <w:rFonts w:ascii="Arial" w:hAnsi="Arial" w:cs="Arial"/>
          <w:sz w:val="20"/>
          <w:szCs w:val="20"/>
        </w:rPr>
        <w:t>&lt; 0.001, Fig. 2b) and Shannon diversity with increasing AGB (slope: 0.22, Z = 4.50, P &lt; 0.001, Fig. 2c). Roughness was not selected for inclusion in any models of count or alpha-diversity.</w:t>
      </w:r>
    </w:p>
    <w:p w:rsidR="004517E3" w:rsidRPr="00CC0A68" w:rsidRDefault="00611B94" w:rsidP="004517E3">
      <w:pPr>
        <w:spacing w:line="480" w:lineRule="auto"/>
        <w:rPr>
          <w:rFonts w:ascii="Arial" w:hAnsi="Arial" w:cs="Arial"/>
          <w:sz w:val="20"/>
          <w:szCs w:val="20"/>
        </w:rPr>
      </w:pPr>
      <w:r w:rsidRPr="00CC0A68">
        <w:rPr>
          <w:rFonts w:ascii="Arial" w:hAnsi="Arial" w:cs="Arial"/>
          <w:sz w:val="20"/>
          <w:szCs w:val="20"/>
        </w:rPr>
        <w:t>Trends in beta-diversity were predominantly driven by balanced vari</w:t>
      </w:r>
      <w:r w:rsidRPr="00CC0A68">
        <w:rPr>
          <w:rFonts w:ascii="Arial" w:hAnsi="Arial" w:cs="Arial"/>
          <w:sz w:val="20"/>
          <w:szCs w:val="20"/>
        </w:rPr>
        <w:t>ation in weevil diversity in forest and abundance-gradient variation in oil palm plantation. At 10-ha scales, balanced variation in weevil diversity was significantly greater in forest compared to plantation (estimate: 0.31, Z = 4.30, P &lt; 0.001, Fig. 3a) b</w:t>
      </w:r>
      <w:r w:rsidRPr="00CC0A68">
        <w:rPr>
          <w:rFonts w:ascii="Arial" w:hAnsi="Arial" w:cs="Arial"/>
          <w:sz w:val="20"/>
          <w:szCs w:val="20"/>
        </w:rPr>
        <w:t xml:space="preserve">ut there was a significant decline in abundance-gradient variation </w:t>
      </w:r>
      <w:r>
        <w:rPr>
          <w:rFonts w:ascii="Arial" w:hAnsi="Arial" w:cs="Arial"/>
          <w:sz w:val="20"/>
          <w:szCs w:val="20"/>
        </w:rPr>
        <w:t>(estimate: -0.85, Z = -2.16, P</w:t>
      </w:r>
      <w:r w:rsidR="00C14047">
        <w:rPr>
          <w:rFonts w:ascii="Arial" w:hAnsi="Arial" w:cs="Arial"/>
          <w:sz w:val="20"/>
          <w:szCs w:val="20"/>
        </w:rPr>
        <w:t xml:space="preserve"> = 0.034</w:t>
      </w:r>
      <w:r w:rsidRPr="00CC0A68">
        <w:rPr>
          <w:rFonts w:ascii="Arial" w:hAnsi="Arial" w:cs="Arial"/>
          <w:sz w:val="20"/>
          <w:szCs w:val="20"/>
        </w:rPr>
        <w:t>, Fig. 3d). Despite the decline in abundance-gradient variation, total beta-diversity was greatest in forest at 10-ha scal</w:t>
      </w:r>
      <w:r w:rsidR="00C14047">
        <w:rPr>
          <w:rFonts w:ascii="Arial" w:hAnsi="Arial" w:cs="Arial"/>
          <w:sz w:val="20"/>
          <w:szCs w:val="20"/>
        </w:rPr>
        <w:t>e (estimate: 0.70, Z = 2.68, P = 0.0</w:t>
      </w:r>
      <w:r>
        <w:rPr>
          <w:rFonts w:ascii="Arial" w:hAnsi="Arial" w:cs="Arial"/>
          <w:sz w:val="20"/>
          <w:szCs w:val="20"/>
        </w:rPr>
        <w:t>0</w:t>
      </w:r>
      <w:r w:rsidR="00C14047">
        <w:rPr>
          <w:rFonts w:ascii="Arial" w:hAnsi="Arial" w:cs="Arial"/>
          <w:sz w:val="20"/>
          <w:szCs w:val="20"/>
        </w:rPr>
        <w:t>9</w:t>
      </w:r>
      <w:r w:rsidRPr="00CC0A68">
        <w:rPr>
          <w:rFonts w:ascii="Arial" w:hAnsi="Arial" w:cs="Arial"/>
          <w:sz w:val="20"/>
          <w:szCs w:val="20"/>
        </w:rPr>
        <w:t>, Fig. 3g). Within forest, significant interactions were observed between AGB and roughness (Table 1). Balanced variation in diversity was greatest at high AGB in high roughness or at low AGB in low roughness (LR</w:t>
      </w:r>
      <w:r w:rsidRPr="00CC0A68">
        <w:rPr>
          <w:rFonts w:ascii="Arial" w:hAnsi="Arial" w:cs="Arial"/>
          <w:sz w:val="20"/>
          <w:szCs w:val="20"/>
          <w:vertAlign w:val="subscript"/>
        </w:rPr>
        <w:t>3</w:t>
      </w:r>
      <w:r w:rsidR="00C14047">
        <w:rPr>
          <w:rFonts w:ascii="Arial" w:hAnsi="Arial" w:cs="Arial"/>
          <w:sz w:val="20"/>
          <w:szCs w:val="20"/>
        </w:rPr>
        <w:t xml:space="preserve"> = 14.88, P = 0.0</w:t>
      </w:r>
      <w:r>
        <w:rPr>
          <w:rFonts w:ascii="Arial" w:hAnsi="Arial" w:cs="Arial"/>
          <w:sz w:val="20"/>
          <w:szCs w:val="20"/>
        </w:rPr>
        <w:t>0</w:t>
      </w:r>
      <w:r w:rsidR="00C14047">
        <w:rPr>
          <w:rFonts w:ascii="Arial" w:hAnsi="Arial" w:cs="Arial"/>
          <w:sz w:val="20"/>
          <w:szCs w:val="20"/>
        </w:rPr>
        <w:t>2</w:t>
      </w:r>
      <w:r w:rsidRPr="00CC0A68">
        <w:rPr>
          <w:rFonts w:ascii="Arial" w:hAnsi="Arial" w:cs="Arial"/>
          <w:sz w:val="20"/>
          <w:szCs w:val="20"/>
        </w:rPr>
        <w:t xml:space="preserve">) and the same </w:t>
      </w:r>
      <w:r w:rsidRPr="00CC0A68">
        <w:rPr>
          <w:rFonts w:ascii="Arial" w:hAnsi="Arial" w:cs="Arial"/>
          <w:sz w:val="20"/>
          <w:szCs w:val="20"/>
        </w:rPr>
        <w:t>was true of total beta-diversity (LR</w:t>
      </w:r>
      <w:r w:rsidRPr="00CC0A68">
        <w:rPr>
          <w:rFonts w:ascii="Arial" w:hAnsi="Arial" w:cs="Arial"/>
          <w:sz w:val="20"/>
          <w:szCs w:val="20"/>
          <w:vertAlign w:val="subscript"/>
        </w:rPr>
        <w:t>3</w:t>
      </w:r>
      <w:r w:rsidRPr="00CC0A68">
        <w:rPr>
          <w:rFonts w:ascii="Arial" w:hAnsi="Arial" w:cs="Arial"/>
          <w:sz w:val="20"/>
          <w:szCs w:val="20"/>
        </w:rPr>
        <w:t xml:space="preserve"> = 25.32, P &lt; 0.001). Neither AGB (estimate: 0.00, Z = -0.32, P </w:t>
      </w:r>
      <w:r w:rsidR="00C14047">
        <w:rPr>
          <w:rFonts w:ascii="Arial" w:hAnsi="Arial" w:cs="Arial"/>
          <w:sz w:val="20"/>
          <w:szCs w:val="20"/>
        </w:rPr>
        <w:t>= 0.749</w:t>
      </w:r>
      <w:r w:rsidRPr="00CC0A68">
        <w:rPr>
          <w:rFonts w:ascii="Arial" w:hAnsi="Arial" w:cs="Arial"/>
          <w:sz w:val="20"/>
          <w:szCs w:val="20"/>
        </w:rPr>
        <w:t xml:space="preserve">) nor roughness (estimate: 5.93, Z = 1.01, P </w:t>
      </w:r>
      <w:r w:rsidR="00C14047">
        <w:rPr>
          <w:rFonts w:ascii="Arial" w:hAnsi="Arial" w:cs="Arial"/>
          <w:sz w:val="20"/>
          <w:szCs w:val="20"/>
        </w:rPr>
        <w:t>= 0.318</w:t>
      </w:r>
      <w:r w:rsidRPr="00CC0A68">
        <w:rPr>
          <w:rFonts w:ascii="Arial" w:hAnsi="Arial" w:cs="Arial"/>
          <w:sz w:val="20"/>
          <w:szCs w:val="20"/>
        </w:rPr>
        <w:t>) had a significant effect on abundance-gradient variation (Fig. 3d).</w:t>
      </w:r>
    </w:p>
    <w:p w:rsidR="004517E3" w:rsidRPr="00CC0A68" w:rsidRDefault="00611B94" w:rsidP="004517E3">
      <w:pPr>
        <w:spacing w:line="480" w:lineRule="auto"/>
        <w:rPr>
          <w:rFonts w:ascii="Arial" w:hAnsi="Arial" w:cs="Arial"/>
          <w:sz w:val="20"/>
          <w:szCs w:val="20"/>
        </w:rPr>
      </w:pPr>
      <w:r w:rsidRPr="00CC0A68">
        <w:rPr>
          <w:rFonts w:ascii="Arial" w:hAnsi="Arial" w:cs="Arial"/>
          <w:sz w:val="20"/>
          <w:szCs w:val="20"/>
        </w:rPr>
        <w:t>We found no significant ef</w:t>
      </w:r>
      <w:r w:rsidRPr="00CC0A68">
        <w:rPr>
          <w:rFonts w:ascii="Arial" w:hAnsi="Arial" w:cs="Arial"/>
          <w:sz w:val="20"/>
          <w:szCs w:val="20"/>
        </w:rPr>
        <w:t>fect (P &gt; 0.050) of either AGB or roughness on forest beta-diversity at scales greater than 10-ha. There were, however, significant differences between oil palm plantation and forest. Total beta-diversity did not vary between the two land-use categories at</w:t>
      </w:r>
      <w:r w:rsidRPr="00CC0A68">
        <w:rPr>
          <w:rFonts w:ascii="Arial" w:hAnsi="Arial" w:cs="Arial"/>
          <w:sz w:val="20"/>
          <w:szCs w:val="20"/>
        </w:rPr>
        <w:t xml:space="preserve"> 100-ha scale (estimate: -0.20, Z = -0.52, P</w:t>
      </w:r>
      <w:r>
        <w:rPr>
          <w:rFonts w:ascii="Arial" w:hAnsi="Arial" w:cs="Arial"/>
          <w:sz w:val="20"/>
          <w:szCs w:val="20"/>
        </w:rPr>
        <w:t xml:space="preserve"> </w:t>
      </w:r>
      <w:r w:rsidR="00C14047">
        <w:rPr>
          <w:rFonts w:ascii="Arial" w:hAnsi="Arial" w:cs="Arial"/>
          <w:sz w:val="20"/>
          <w:szCs w:val="20"/>
        </w:rPr>
        <w:t>= 0.604</w:t>
      </w:r>
      <w:r w:rsidRPr="00CC0A68">
        <w:rPr>
          <w:rFonts w:ascii="Arial" w:hAnsi="Arial" w:cs="Arial"/>
          <w:sz w:val="20"/>
          <w:szCs w:val="20"/>
        </w:rPr>
        <w:t xml:space="preserve">, Fig. 3h) or 1,000-ha scale (estimate: -0.32, Z = -0.75, P </w:t>
      </w:r>
      <w:r w:rsidR="00C14047">
        <w:rPr>
          <w:rFonts w:ascii="Arial" w:hAnsi="Arial" w:cs="Arial"/>
          <w:sz w:val="20"/>
          <w:szCs w:val="20"/>
        </w:rPr>
        <w:t>= 0.460</w:t>
      </w:r>
      <w:r w:rsidRPr="00CC0A68">
        <w:rPr>
          <w:rFonts w:ascii="Arial" w:hAnsi="Arial" w:cs="Arial"/>
          <w:sz w:val="20"/>
          <w:szCs w:val="20"/>
        </w:rPr>
        <w:t>, Fig. 3i). However, abundance-gradient variation was greatest in oil palm plantation at both 100-ha (est</w:t>
      </w:r>
      <w:r w:rsidR="00C14047">
        <w:rPr>
          <w:rFonts w:ascii="Arial" w:hAnsi="Arial" w:cs="Arial"/>
          <w:sz w:val="20"/>
          <w:szCs w:val="20"/>
        </w:rPr>
        <w:t>imate: 1.28, Z = 2.62, P = 0.012</w:t>
      </w:r>
      <w:r w:rsidRPr="00CC0A68">
        <w:rPr>
          <w:rFonts w:ascii="Arial" w:hAnsi="Arial" w:cs="Arial"/>
          <w:sz w:val="20"/>
          <w:szCs w:val="20"/>
        </w:rPr>
        <w:t>, Fig. 3e) and 1,000-ha scales (estimate: 1.84, Z = 4.10, P &lt; 0.001, Fig. 3f), while balanced variation was lowest (100-ha estimate: -1.10,</w:t>
      </w:r>
      <w:r w:rsidR="00C14047">
        <w:rPr>
          <w:rFonts w:ascii="Arial" w:hAnsi="Arial" w:cs="Arial"/>
          <w:sz w:val="20"/>
          <w:szCs w:val="20"/>
        </w:rPr>
        <w:t xml:space="preserve"> Z = -2.92, P = 0.005</w:t>
      </w:r>
      <w:r w:rsidRPr="00CC0A68">
        <w:rPr>
          <w:rFonts w:ascii="Arial" w:hAnsi="Arial" w:cs="Arial"/>
          <w:sz w:val="20"/>
          <w:szCs w:val="20"/>
        </w:rPr>
        <w:t>, Fig.</w:t>
      </w:r>
      <w:r w:rsidR="00C14047">
        <w:rPr>
          <w:rFonts w:ascii="Arial" w:hAnsi="Arial" w:cs="Arial"/>
          <w:sz w:val="20"/>
          <w:szCs w:val="20"/>
        </w:rPr>
        <w:t xml:space="preserve"> </w:t>
      </w:r>
      <w:r w:rsidRPr="00CC0A68">
        <w:rPr>
          <w:rFonts w:ascii="Arial" w:hAnsi="Arial" w:cs="Arial"/>
          <w:sz w:val="20"/>
          <w:szCs w:val="20"/>
        </w:rPr>
        <w:t>3b &amp; 1,000-ha</w:t>
      </w:r>
      <w:r>
        <w:rPr>
          <w:rFonts w:ascii="Arial" w:hAnsi="Arial" w:cs="Arial"/>
          <w:sz w:val="20"/>
          <w:szCs w:val="20"/>
        </w:rPr>
        <w:t xml:space="preserve"> estim</w:t>
      </w:r>
      <w:r w:rsidR="00C14047">
        <w:rPr>
          <w:rFonts w:ascii="Arial" w:hAnsi="Arial" w:cs="Arial"/>
          <w:sz w:val="20"/>
          <w:szCs w:val="20"/>
        </w:rPr>
        <w:t>ate: -1.65, Z = -3.56, P = 0.002</w:t>
      </w:r>
      <w:r w:rsidRPr="00CC0A68">
        <w:rPr>
          <w:rFonts w:ascii="Arial" w:hAnsi="Arial" w:cs="Arial"/>
          <w:sz w:val="20"/>
          <w:szCs w:val="20"/>
        </w:rPr>
        <w:t>, Fig. 3c). Balanced variation increas</w:t>
      </w:r>
      <w:r w:rsidRPr="00CC0A68">
        <w:rPr>
          <w:rFonts w:ascii="Arial" w:hAnsi="Arial" w:cs="Arial"/>
          <w:sz w:val="20"/>
          <w:szCs w:val="20"/>
        </w:rPr>
        <w:t>ed with spatial scale in forest and abundance-gradient variation increased in plantation.</w:t>
      </w:r>
    </w:p>
    <w:p w:rsidR="004517E3" w:rsidRPr="00CC0A68" w:rsidRDefault="00611B94" w:rsidP="004517E3">
      <w:pPr>
        <w:spacing w:line="480" w:lineRule="auto"/>
        <w:rPr>
          <w:rFonts w:ascii="Arial" w:hAnsi="Arial" w:cs="Arial"/>
          <w:sz w:val="20"/>
          <w:szCs w:val="20"/>
        </w:rPr>
      </w:pPr>
      <w:r w:rsidRPr="00CC0A68">
        <w:rPr>
          <w:rFonts w:ascii="Arial" w:hAnsi="Arial" w:cs="Arial"/>
          <w:sz w:val="20"/>
          <w:szCs w:val="20"/>
        </w:rPr>
        <w:t>Our results showed unevenness in weevil abundance over the three sampling periods. Temporal unevenness was greater in oil palm plantation than forest (estimate: 1.93,</w:t>
      </w:r>
      <w:r w:rsidRPr="00CC0A68">
        <w:rPr>
          <w:rFonts w:ascii="Arial" w:hAnsi="Arial" w:cs="Arial"/>
          <w:sz w:val="20"/>
          <w:szCs w:val="20"/>
        </w:rPr>
        <w:t xml:space="preserve"> Z = 3.90, P &lt; 0.001) and increased with AGB within fores</w:t>
      </w:r>
      <w:r>
        <w:rPr>
          <w:rFonts w:ascii="Arial" w:hAnsi="Arial" w:cs="Arial"/>
          <w:sz w:val="20"/>
          <w:szCs w:val="20"/>
        </w:rPr>
        <w:t>t (es</w:t>
      </w:r>
      <w:r w:rsidR="00E54FB3">
        <w:rPr>
          <w:rFonts w:ascii="Arial" w:hAnsi="Arial" w:cs="Arial"/>
          <w:sz w:val="20"/>
          <w:szCs w:val="20"/>
        </w:rPr>
        <w:t>timate: 0.90, Z = 2.32, P = 0.02</w:t>
      </w:r>
      <w:r w:rsidRPr="00CC0A68">
        <w:rPr>
          <w:rFonts w:ascii="Arial" w:hAnsi="Arial" w:cs="Arial"/>
          <w:sz w:val="20"/>
          <w:szCs w:val="20"/>
        </w:rPr>
        <w:t>0, Fig. 4). In oil palm plantation (a single sampling block), there were four mid-sized scolytids (</w:t>
      </w:r>
      <w:r w:rsidRPr="00CC0A68">
        <w:rPr>
          <w:rFonts w:ascii="Arial" w:hAnsi="Arial" w:cs="Arial"/>
          <w:i/>
          <w:sz w:val="20"/>
          <w:szCs w:val="20"/>
        </w:rPr>
        <w:t>Xylosandrus crassiusculus</w:t>
      </w:r>
      <w:r w:rsidRPr="00CC0A68">
        <w:rPr>
          <w:rFonts w:ascii="Arial" w:hAnsi="Arial" w:cs="Arial"/>
          <w:sz w:val="20"/>
          <w:szCs w:val="20"/>
        </w:rPr>
        <w:t xml:space="preserve">, </w:t>
      </w:r>
      <w:r w:rsidRPr="00CC0A68">
        <w:rPr>
          <w:rFonts w:ascii="Arial" w:hAnsi="Arial" w:cs="Arial"/>
          <w:i/>
          <w:sz w:val="20"/>
          <w:szCs w:val="20"/>
        </w:rPr>
        <w:t>Xyleborus monographus</w:t>
      </w:r>
      <w:r w:rsidRPr="00CC0A68">
        <w:rPr>
          <w:rFonts w:ascii="Arial" w:hAnsi="Arial" w:cs="Arial"/>
          <w:sz w:val="20"/>
          <w:szCs w:val="20"/>
        </w:rPr>
        <w:t xml:space="preserve">, </w:t>
      </w:r>
      <w:r w:rsidRPr="00CC0A68">
        <w:rPr>
          <w:rFonts w:ascii="Arial" w:hAnsi="Arial" w:cs="Arial"/>
          <w:i/>
          <w:sz w:val="20"/>
          <w:szCs w:val="20"/>
        </w:rPr>
        <w:t>Xyleborinus a</w:t>
      </w:r>
      <w:r w:rsidRPr="00CC0A68">
        <w:rPr>
          <w:rFonts w:ascii="Arial" w:hAnsi="Arial" w:cs="Arial"/>
          <w:i/>
          <w:sz w:val="20"/>
          <w:szCs w:val="20"/>
        </w:rPr>
        <w:t>rtestriatus</w:t>
      </w:r>
      <w:r w:rsidRPr="00CC0A68">
        <w:rPr>
          <w:rFonts w:ascii="Arial" w:hAnsi="Arial" w:cs="Arial"/>
          <w:sz w:val="20"/>
          <w:szCs w:val="20"/>
        </w:rPr>
        <w:t xml:space="preserve"> and one morphospecies of </w:t>
      </w:r>
      <w:r w:rsidRPr="00CC0A68">
        <w:rPr>
          <w:rFonts w:ascii="Arial" w:hAnsi="Arial" w:cs="Arial"/>
          <w:i/>
          <w:sz w:val="20"/>
          <w:szCs w:val="20"/>
        </w:rPr>
        <w:t>Ambrosiodomus</w:t>
      </w:r>
      <w:r w:rsidRPr="00CC0A68">
        <w:rPr>
          <w:rFonts w:ascii="Arial" w:hAnsi="Arial" w:cs="Arial"/>
          <w:sz w:val="20"/>
          <w:szCs w:val="20"/>
        </w:rPr>
        <w:t>) which were caught in significantly uneven numbers across the sampling periods (χ</w:t>
      </w:r>
      <w:r w:rsidRPr="00CC0A68">
        <w:rPr>
          <w:rFonts w:ascii="Arial" w:hAnsi="Arial" w:cs="Arial"/>
          <w:sz w:val="20"/>
          <w:szCs w:val="20"/>
          <w:vertAlign w:val="superscript"/>
        </w:rPr>
        <w:t>2</w:t>
      </w:r>
      <w:r w:rsidRPr="00CC0A68">
        <w:rPr>
          <w:rFonts w:ascii="Arial" w:hAnsi="Arial" w:cs="Arial"/>
          <w:sz w:val="20"/>
          <w:szCs w:val="20"/>
        </w:rPr>
        <w:t xml:space="preserve"> &gt; 5.99, P &lt; 0.050). In </w:t>
      </w:r>
      <w:r w:rsidRPr="00CC0A68">
        <w:rPr>
          <w:rFonts w:ascii="Arial" w:hAnsi="Arial" w:cs="Arial"/>
          <w:sz w:val="20"/>
          <w:szCs w:val="20"/>
        </w:rPr>
        <w:lastRenderedPageBreak/>
        <w:t xml:space="preserve">unlogged forest (also a single sampling block; MBCA) there were eleven such species, including </w:t>
      </w:r>
      <w:r w:rsidRPr="00CC0A68">
        <w:rPr>
          <w:rFonts w:ascii="Arial" w:hAnsi="Arial" w:cs="Arial"/>
          <w:i/>
          <w:sz w:val="20"/>
          <w:szCs w:val="20"/>
        </w:rPr>
        <w:t xml:space="preserve">Coccotrypes </w:t>
      </w:r>
      <w:r w:rsidRPr="00CC0A68">
        <w:rPr>
          <w:rFonts w:ascii="Arial" w:hAnsi="Arial" w:cs="Arial"/>
          <w:sz w:val="20"/>
          <w:szCs w:val="20"/>
        </w:rPr>
        <w:t>spp</w:t>
      </w:r>
      <w:r w:rsidRPr="00CC0A68">
        <w:rPr>
          <w:rFonts w:ascii="Arial" w:hAnsi="Arial" w:cs="Arial"/>
          <w:i/>
          <w:sz w:val="20"/>
          <w:szCs w:val="20"/>
        </w:rPr>
        <w:t>.</w:t>
      </w:r>
      <w:r w:rsidRPr="00CC0A68">
        <w:rPr>
          <w:rFonts w:ascii="Arial" w:hAnsi="Arial" w:cs="Arial"/>
          <w:sz w:val="20"/>
          <w:szCs w:val="20"/>
        </w:rPr>
        <w:t xml:space="preserve">, </w:t>
      </w:r>
      <w:r w:rsidRPr="00CC0A68">
        <w:rPr>
          <w:rFonts w:ascii="Arial" w:hAnsi="Arial" w:cs="Arial"/>
          <w:i/>
          <w:sz w:val="20"/>
          <w:szCs w:val="20"/>
        </w:rPr>
        <w:t xml:space="preserve">Debus </w:t>
      </w:r>
      <w:r w:rsidRPr="00CC0A68">
        <w:rPr>
          <w:rFonts w:ascii="Arial" w:hAnsi="Arial" w:cs="Arial"/>
          <w:sz w:val="20"/>
          <w:szCs w:val="20"/>
        </w:rPr>
        <w:t>spp</w:t>
      </w:r>
      <w:r w:rsidRPr="00CC0A68">
        <w:rPr>
          <w:rFonts w:ascii="Arial" w:hAnsi="Arial" w:cs="Arial"/>
          <w:i/>
          <w:sz w:val="20"/>
          <w:szCs w:val="20"/>
        </w:rPr>
        <w:t>.</w:t>
      </w:r>
      <w:r w:rsidRPr="00CC0A68">
        <w:rPr>
          <w:rFonts w:ascii="Arial" w:hAnsi="Arial" w:cs="Arial"/>
          <w:sz w:val="20"/>
          <w:szCs w:val="20"/>
        </w:rPr>
        <w:t xml:space="preserve"> and </w:t>
      </w:r>
      <w:r w:rsidRPr="00CC0A68">
        <w:rPr>
          <w:rFonts w:ascii="Arial" w:hAnsi="Arial" w:cs="Arial"/>
          <w:i/>
          <w:sz w:val="20"/>
          <w:szCs w:val="20"/>
        </w:rPr>
        <w:t xml:space="preserve">Ambrosiodomus </w:t>
      </w:r>
      <w:r w:rsidRPr="00CC0A68">
        <w:rPr>
          <w:rFonts w:ascii="Arial" w:hAnsi="Arial" w:cs="Arial"/>
          <w:sz w:val="20"/>
          <w:szCs w:val="20"/>
        </w:rPr>
        <w:t>spp</w:t>
      </w:r>
      <w:r w:rsidRPr="00CC0A68">
        <w:rPr>
          <w:rFonts w:ascii="Arial" w:hAnsi="Arial" w:cs="Arial"/>
          <w:i/>
          <w:sz w:val="20"/>
          <w:szCs w:val="20"/>
        </w:rPr>
        <w:t>.</w:t>
      </w:r>
      <w:r w:rsidRPr="00CC0A68">
        <w:rPr>
          <w:rFonts w:ascii="Arial" w:hAnsi="Arial" w:cs="Arial"/>
          <w:sz w:val="20"/>
          <w:szCs w:val="20"/>
        </w:rPr>
        <w:t>, which were all members of the Scolytinae.</w:t>
      </w:r>
    </w:p>
    <w:p w:rsidR="003F005B" w:rsidRPr="00D810D0" w:rsidRDefault="003F005B" w:rsidP="003F005B">
      <w:pPr>
        <w:tabs>
          <w:tab w:val="left" w:pos="864"/>
        </w:tabs>
        <w:spacing w:line="480" w:lineRule="auto"/>
        <w:rPr>
          <w:rFonts w:ascii="Arial" w:hAnsi="Arial" w:cs="Arial"/>
          <w:sz w:val="20"/>
          <w:szCs w:val="20"/>
        </w:rPr>
      </w:pPr>
    </w:p>
    <w:p w:rsidR="003F005B" w:rsidRPr="00DE705C" w:rsidRDefault="00611B94" w:rsidP="003F005B">
      <w:pPr>
        <w:tabs>
          <w:tab w:val="left" w:pos="864"/>
        </w:tabs>
        <w:spacing w:line="480" w:lineRule="auto"/>
        <w:rPr>
          <w:rFonts w:ascii="Arial" w:hAnsi="Arial" w:cs="Arial"/>
          <w:b/>
          <w:sz w:val="20"/>
          <w:szCs w:val="20"/>
        </w:rPr>
      </w:pPr>
      <w:r w:rsidRPr="00DE705C">
        <w:rPr>
          <w:rFonts w:ascii="Arial" w:hAnsi="Arial" w:cs="Arial"/>
          <w:b/>
          <w:sz w:val="20"/>
          <w:szCs w:val="20"/>
        </w:rPr>
        <w:t>Discussion</w:t>
      </w:r>
    </w:p>
    <w:p w:rsidR="00E54FB3" w:rsidRPr="00CC0A68" w:rsidRDefault="00611B94" w:rsidP="00E54FB3">
      <w:pPr>
        <w:tabs>
          <w:tab w:val="left" w:pos="864"/>
        </w:tabs>
        <w:spacing w:line="480" w:lineRule="auto"/>
        <w:rPr>
          <w:rFonts w:ascii="Arial" w:hAnsi="Arial" w:cs="Arial"/>
          <w:sz w:val="20"/>
          <w:szCs w:val="20"/>
        </w:rPr>
      </w:pPr>
      <w:r w:rsidRPr="00CC0A68">
        <w:rPr>
          <w:rFonts w:ascii="Arial" w:hAnsi="Arial" w:cs="Arial"/>
          <w:sz w:val="20"/>
          <w:szCs w:val="20"/>
        </w:rPr>
        <w:t xml:space="preserve">Our results on weevil diversity add to extensive evidence that unlogged forest </w:t>
      </w:r>
      <w:r>
        <w:rPr>
          <w:rFonts w:ascii="Arial" w:hAnsi="Arial" w:cs="Arial"/>
          <w:sz w:val="20"/>
          <w:szCs w:val="20"/>
        </w:rPr>
        <w:t>is unmatched for high levels of</w:t>
      </w:r>
      <w:r w:rsidRPr="00CC0A68">
        <w:rPr>
          <w:rFonts w:ascii="Arial" w:hAnsi="Arial" w:cs="Arial"/>
          <w:sz w:val="20"/>
          <w:szCs w:val="20"/>
        </w:rPr>
        <w:t xml:space="preserve"> biodiversity. However, while of lesser</w:t>
      </w:r>
      <w:r w:rsidRPr="00CC0A68">
        <w:rPr>
          <w:rFonts w:ascii="Arial" w:hAnsi="Arial" w:cs="Arial"/>
          <w:sz w:val="20"/>
          <w:szCs w:val="20"/>
        </w:rPr>
        <w:t xml:space="preserve"> conservation value than unlogged forest, logged forest likely retains stable community structure through shifts in beta-diversity. Small-scale trends in weevil beta-diversity highlight the importance of topography in determining the conservation value of </w:t>
      </w:r>
      <w:r w:rsidRPr="00CC0A68">
        <w:rPr>
          <w:rFonts w:ascii="Arial" w:hAnsi="Arial" w:cs="Arial"/>
          <w:sz w:val="20"/>
          <w:szCs w:val="20"/>
        </w:rPr>
        <w:t>modified forest and may indicate processes by which targeted industrial logging impacts biodiversity loss.</w:t>
      </w:r>
    </w:p>
    <w:p w:rsidR="00E54FB3" w:rsidRPr="00CC0A68" w:rsidRDefault="00611B94" w:rsidP="00E54FB3">
      <w:pPr>
        <w:tabs>
          <w:tab w:val="left" w:pos="864"/>
        </w:tabs>
        <w:spacing w:line="480" w:lineRule="auto"/>
        <w:rPr>
          <w:rFonts w:ascii="Arial" w:hAnsi="Arial" w:cs="Arial"/>
          <w:sz w:val="20"/>
          <w:szCs w:val="20"/>
        </w:rPr>
      </w:pPr>
      <w:r w:rsidRPr="00CC0A68">
        <w:rPr>
          <w:rFonts w:ascii="Arial" w:hAnsi="Arial" w:cs="Arial"/>
          <w:sz w:val="20"/>
          <w:szCs w:val="20"/>
        </w:rPr>
        <w:t xml:space="preserve">Weevil alpha-diversity was greatest in unlogged forest and any intensity of forest modification caused declines. Both high species richness and high </w:t>
      </w:r>
      <w:r w:rsidRPr="00CC0A68">
        <w:rPr>
          <w:rFonts w:ascii="Arial" w:hAnsi="Arial" w:cs="Arial"/>
          <w:sz w:val="20"/>
          <w:szCs w:val="20"/>
        </w:rPr>
        <w:t xml:space="preserve">Shannon index (Fig. 2b-c) indicates that many weevil species are present at any one point (1-ha area) and that they are represented in relatively even abundances. Such high alpha-diversity is likely a consequence of high tree species richness (Slik et al. </w:t>
      </w:r>
      <w:r w:rsidRPr="00CC0A68">
        <w:rPr>
          <w:rFonts w:ascii="Arial" w:hAnsi="Arial" w:cs="Arial"/>
          <w:sz w:val="20"/>
          <w:szCs w:val="20"/>
        </w:rPr>
        <w:t>2003) and therefore large numbers of microhabitats available to large numbers of herbivorous insects (Fig. 2a). Selective removal of tree biomass (Pfeifer at al.2016) removes whole microhabitats and therefore causes declines in some species, particularly s</w:t>
      </w:r>
      <w:r w:rsidRPr="00CC0A68">
        <w:rPr>
          <w:rFonts w:ascii="Arial" w:hAnsi="Arial" w:cs="Arial"/>
          <w:sz w:val="20"/>
          <w:szCs w:val="20"/>
        </w:rPr>
        <w:t>pecialist wood-boring weevils (Farrell et al. 2001). Our results therefore support previous findings that unlogged forest supports maximum numbers of species (Gibson et al. 2011). Despite high numbers of weevils caught in oil palm plantation (Fig. 2a), bot</w:t>
      </w:r>
      <w:r w:rsidRPr="00CC0A68">
        <w:rPr>
          <w:rFonts w:ascii="Arial" w:hAnsi="Arial" w:cs="Arial"/>
          <w:sz w:val="20"/>
          <w:szCs w:val="20"/>
        </w:rPr>
        <w:t xml:space="preserve">h species richness and Shannon index were low (Fig. 2b-c), indicating that most plantation points we sampled were dominated by one or two species in high abundance. These species were presumably generalist pests </w:t>
      </w:r>
      <w:r w:rsidRPr="00CC0A68">
        <w:rPr>
          <w:rFonts w:ascii="Arial" w:hAnsi="Arial" w:cs="Arial"/>
          <w:sz w:val="20"/>
          <w:szCs w:val="20"/>
        </w:rPr>
        <w:t>of the high-density palm fruits and contr</w:t>
      </w:r>
      <w:r w:rsidRPr="00CC0A68">
        <w:rPr>
          <w:rFonts w:ascii="Arial" w:hAnsi="Arial" w:cs="Arial"/>
          <w:sz w:val="20"/>
          <w:szCs w:val="20"/>
        </w:rPr>
        <w:t>ibute very little to landscape biodiversity.</w:t>
      </w:r>
    </w:p>
    <w:p w:rsidR="00E54FB3" w:rsidRPr="00CC0A68" w:rsidRDefault="00611B94" w:rsidP="00E54FB3">
      <w:pPr>
        <w:tabs>
          <w:tab w:val="left" w:pos="864"/>
        </w:tabs>
        <w:spacing w:line="480" w:lineRule="auto"/>
        <w:rPr>
          <w:rFonts w:ascii="Arial" w:hAnsi="Arial" w:cs="Arial"/>
          <w:sz w:val="20"/>
          <w:szCs w:val="20"/>
        </w:rPr>
      </w:pPr>
      <w:r w:rsidRPr="00CC0A68">
        <w:rPr>
          <w:rFonts w:ascii="Arial" w:hAnsi="Arial" w:cs="Arial"/>
          <w:sz w:val="20"/>
          <w:szCs w:val="20"/>
        </w:rPr>
        <w:t>Despite the large differences in alpha-diversity across the land-use gradient, total landscape spatial beta-diversity (1,000 ha scale, Fig. 3i) remained constant.</w:t>
      </w:r>
      <w:r w:rsidR="00AE0A3D">
        <w:rPr>
          <w:rFonts w:ascii="Arial" w:hAnsi="Arial" w:cs="Arial"/>
          <w:sz w:val="20"/>
          <w:szCs w:val="20"/>
        </w:rPr>
        <w:t xml:space="preserve"> </w:t>
      </w:r>
      <w:r w:rsidRPr="00CC0A68">
        <w:rPr>
          <w:rFonts w:ascii="Arial" w:hAnsi="Arial" w:cs="Arial"/>
          <w:sz w:val="20"/>
          <w:szCs w:val="20"/>
        </w:rPr>
        <w:t>This is in concordance with previous work that found beta-diversity was a significant force in mitigating biodiversity loss in heavily-modified landscapes (Hamer &amp; Hill 2000; Pfeiffer &amp; Mezger 2012; Kitching et al. 2013; Wearn et al. 2016). However, expand</w:t>
      </w:r>
      <w:r w:rsidRPr="00CC0A68">
        <w:rPr>
          <w:rFonts w:ascii="Arial" w:hAnsi="Arial" w:cs="Arial"/>
          <w:sz w:val="20"/>
          <w:szCs w:val="20"/>
        </w:rPr>
        <w:t xml:space="preserve">ing on those studies, we found that beta-diversity in oil palm plantation is driven primarily by fluxes in the abundance of just a handful of species (Fig. 3d-f, Fig. 4), presumably in </w:t>
      </w:r>
      <w:r w:rsidRPr="00CC0A68">
        <w:rPr>
          <w:rFonts w:ascii="Arial" w:hAnsi="Arial" w:cs="Arial"/>
          <w:sz w:val="20"/>
          <w:szCs w:val="20"/>
        </w:rPr>
        <w:lastRenderedPageBreak/>
        <w:t>response to either pest management strategies or periods of particularl</w:t>
      </w:r>
      <w:r w:rsidRPr="00CC0A68">
        <w:rPr>
          <w:rFonts w:ascii="Arial" w:hAnsi="Arial" w:cs="Arial"/>
          <w:sz w:val="20"/>
          <w:szCs w:val="20"/>
        </w:rPr>
        <w:t>y harsh climate in plantations (Hardwick et al. 2015). Conversely, high beta-diversity in forest was driven by constant, even turnover in many weevil species (Fig. 3b-c). Landscape-level differences in forest beta-diversity manifested themselves in tempora</w:t>
      </w:r>
      <w:r w:rsidRPr="00CC0A68">
        <w:rPr>
          <w:rFonts w:ascii="Arial" w:hAnsi="Arial" w:cs="Arial"/>
          <w:sz w:val="20"/>
          <w:szCs w:val="20"/>
        </w:rPr>
        <w:t>l patterns, whereby unlogged forest saw stronger fluxes in the abun</w:t>
      </w:r>
      <w:r>
        <w:rPr>
          <w:rFonts w:ascii="Arial" w:hAnsi="Arial" w:cs="Arial"/>
          <w:sz w:val="20"/>
          <w:szCs w:val="20"/>
        </w:rPr>
        <w:t xml:space="preserve">dance of several species (Fig. </w:t>
      </w:r>
      <w:r w:rsidRPr="00CC0A68">
        <w:rPr>
          <w:rFonts w:ascii="Arial" w:hAnsi="Arial" w:cs="Arial"/>
          <w:sz w:val="20"/>
          <w:szCs w:val="20"/>
        </w:rPr>
        <w:t xml:space="preserve">4). Such patterns could be driven by the phenology of dipterocarp and other canopy trees (Iku et al. 2017) that are high-value and therefore removed first in </w:t>
      </w:r>
      <w:r w:rsidRPr="00CC0A68">
        <w:rPr>
          <w:rFonts w:ascii="Arial" w:hAnsi="Arial" w:cs="Arial"/>
          <w:sz w:val="20"/>
          <w:szCs w:val="20"/>
        </w:rPr>
        <w:t>logging.</w:t>
      </w:r>
    </w:p>
    <w:p w:rsidR="00E54FB3" w:rsidRPr="00CC0A68" w:rsidRDefault="00611B94" w:rsidP="00E54FB3">
      <w:pPr>
        <w:tabs>
          <w:tab w:val="left" w:pos="864"/>
        </w:tabs>
        <w:spacing w:line="480" w:lineRule="auto"/>
        <w:rPr>
          <w:rFonts w:ascii="Arial" w:hAnsi="Arial" w:cs="Arial"/>
          <w:sz w:val="20"/>
          <w:szCs w:val="20"/>
        </w:rPr>
      </w:pPr>
      <w:r w:rsidRPr="00CC0A68">
        <w:rPr>
          <w:rFonts w:ascii="Arial" w:hAnsi="Arial" w:cs="Arial"/>
          <w:sz w:val="20"/>
          <w:szCs w:val="20"/>
        </w:rPr>
        <w:t>Our results reveal a spatial hierarchy in forest beta-diversity patterns. In rough terrain at small scales (10-ha), unlogged forest is highly beta-diverse because of balanced turnover in weevil species at small scales (Fig. 3a, g). This beta-diver</w:t>
      </w:r>
      <w:r w:rsidRPr="00CC0A68">
        <w:rPr>
          <w:rFonts w:ascii="Arial" w:hAnsi="Arial" w:cs="Arial"/>
          <w:sz w:val="20"/>
          <w:szCs w:val="20"/>
        </w:rPr>
        <w:t>sity could be attributed to local differences in vegetation species and structure accompanying flats, ridges and gullies (Webb &amp; Peart 2000). With logging and removal of that vegetation, beta-diversity is reduced, caused in by part by the fact that differe</w:t>
      </w:r>
      <w:r w:rsidRPr="00CC0A68">
        <w:rPr>
          <w:rFonts w:ascii="Arial" w:hAnsi="Arial" w:cs="Arial"/>
          <w:sz w:val="20"/>
          <w:szCs w:val="20"/>
        </w:rPr>
        <w:t>nces in tree communities associated with topography do not extend strongly to seedlings and regrowth (Webb &amp; Peart 2000). In smooth terrain at the same scales, heavily-logged forest is more beta-diverse than unlogged forest (Fig. 3a, g). We hypothesis that</w:t>
      </w:r>
      <w:r w:rsidRPr="00CC0A68">
        <w:rPr>
          <w:rFonts w:ascii="Arial" w:hAnsi="Arial" w:cs="Arial"/>
          <w:sz w:val="20"/>
          <w:szCs w:val="20"/>
        </w:rPr>
        <w:t xml:space="preserve"> in these conditions, with increased canopy openness (Pfeifer et al. 2016), there is a greater density and diversity of generalist seedlings and shrubs that provide heterogeneous habitat for herbivores. Because there is no difference between logged and unl</w:t>
      </w:r>
      <w:r w:rsidRPr="00CC0A68">
        <w:rPr>
          <w:rFonts w:ascii="Arial" w:hAnsi="Arial" w:cs="Arial"/>
          <w:sz w:val="20"/>
          <w:szCs w:val="20"/>
        </w:rPr>
        <w:t>ogged forest beta-diversity at greater scales (Fig. 3h-i), it can be implied that landscape-level beta-diversity in logged forest is maintained through high beta-diversity on plateaus and low beta-diversity in rough terrain, while the opposite is true in u</w:t>
      </w:r>
      <w:r w:rsidRPr="00CC0A68">
        <w:rPr>
          <w:rFonts w:ascii="Arial" w:hAnsi="Arial" w:cs="Arial"/>
          <w:sz w:val="20"/>
          <w:szCs w:val="20"/>
        </w:rPr>
        <w:t>nlogged forest. Therefore, while there is no difference between landscape-level beta-diversity in logged and unlogged forest, that apparent resilience to logging is itself a result of small-scale shifts in beta-diversity.</w:t>
      </w:r>
    </w:p>
    <w:p w:rsidR="00E54FB3" w:rsidRPr="00CC0A68" w:rsidRDefault="00611B94" w:rsidP="00E54FB3">
      <w:pPr>
        <w:tabs>
          <w:tab w:val="left" w:pos="864"/>
        </w:tabs>
        <w:spacing w:line="480" w:lineRule="auto"/>
        <w:rPr>
          <w:rFonts w:ascii="Arial" w:hAnsi="Arial" w:cs="Arial"/>
          <w:sz w:val="20"/>
          <w:szCs w:val="20"/>
        </w:rPr>
      </w:pPr>
      <w:r w:rsidRPr="00CC0A68">
        <w:rPr>
          <w:rFonts w:ascii="Arial" w:hAnsi="Arial" w:cs="Arial"/>
          <w:sz w:val="20"/>
          <w:szCs w:val="20"/>
        </w:rPr>
        <w:t>The trends in weevil beta-diversit</w:t>
      </w:r>
      <w:r w:rsidRPr="00CC0A68">
        <w:rPr>
          <w:rFonts w:ascii="Arial" w:hAnsi="Arial" w:cs="Arial"/>
          <w:sz w:val="20"/>
          <w:szCs w:val="20"/>
        </w:rPr>
        <w:t>y, differing over spatial scales, can be applied to make broad recommendations for land management. Balanced variation in weevil species was high across all forest qualities (Fig. 3a-c) and so our results provide evidence that invertebrate community struct</w:t>
      </w:r>
      <w:r w:rsidRPr="00CC0A68">
        <w:rPr>
          <w:rFonts w:ascii="Arial" w:hAnsi="Arial" w:cs="Arial"/>
          <w:sz w:val="20"/>
          <w:szCs w:val="20"/>
        </w:rPr>
        <w:t>ure is maintained in even heavily-degraded forest. Maximum total beta-diversity was found at the largest spatial scales (Fig. 3i), although there was no difference between logged and unlogged forest at scales greater than 10-ha (Fig. 3g-i). We therefore su</w:t>
      </w:r>
      <w:r w:rsidRPr="00CC0A68">
        <w:rPr>
          <w:rFonts w:ascii="Arial" w:hAnsi="Arial" w:cs="Arial"/>
          <w:sz w:val="20"/>
          <w:szCs w:val="20"/>
        </w:rPr>
        <w:t>ggest that 100-ha should be</w:t>
      </w:r>
      <w:r w:rsidRPr="00CC0A68">
        <w:rPr>
          <w:rFonts w:ascii="Arial" w:hAnsi="Arial" w:cs="Arial"/>
          <w:sz w:val="20"/>
          <w:szCs w:val="20"/>
        </w:rPr>
        <w:t xml:space="preserve"> considered a cut-off, below which local forest quality and topography become important to beta-diversity.</w:t>
      </w:r>
    </w:p>
    <w:p w:rsidR="00E54FB3" w:rsidRPr="00CC0A68" w:rsidRDefault="00611B94" w:rsidP="00E54FB3">
      <w:pPr>
        <w:tabs>
          <w:tab w:val="left" w:pos="864"/>
        </w:tabs>
        <w:spacing w:line="480" w:lineRule="auto"/>
        <w:rPr>
          <w:rFonts w:ascii="Arial" w:hAnsi="Arial" w:cs="Arial"/>
          <w:sz w:val="20"/>
          <w:szCs w:val="20"/>
        </w:rPr>
      </w:pPr>
      <w:r w:rsidRPr="00CC0A68">
        <w:rPr>
          <w:rFonts w:ascii="Arial" w:hAnsi="Arial" w:cs="Arial"/>
          <w:sz w:val="20"/>
          <w:szCs w:val="20"/>
        </w:rPr>
        <w:lastRenderedPageBreak/>
        <w:t>Worryingly, the relationships between roughness, slope and AGB indicate that non-random logging activity may have detrim</w:t>
      </w:r>
      <w:r w:rsidRPr="00CC0A68">
        <w:rPr>
          <w:rFonts w:ascii="Arial" w:hAnsi="Arial" w:cs="Arial"/>
          <w:sz w:val="20"/>
          <w:szCs w:val="20"/>
        </w:rPr>
        <w:t>ental effects on weevil beta-diversity. Logging is often targeted on flat land (Bryan et al. 2013), and this was evident at our study site where AGB remaining after logging correlated positively with slope at small</w:t>
      </w:r>
      <w:r>
        <w:rPr>
          <w:rFonts w:ascii="Arial" w:hAnsi="Arial" w:cs="Arial"/>
          <w:sz w:val="20"/>
          <w:szCs w:val="20"/>
        </w:rPr>
        <w:t>est (1-ha) scales (ρ = 0.21, P =</w:t>
      </w:r>
      <w:r w:rsidRPr="00CC0A68">
        <w:rPr>
          <w:rFonts w:ascii="Arial" w:hAnsi="Arial" w:cs="Arial"/>
          <w:sz w:val="20"/>
          <w:szCs w:val="20"/>
        </w:rPr>
        <w:t xml:space="preserve"> 0.010). B</w:t>
      </w:r>
      <w:r w:rsidRPr="00CC0A68">
        <w:rPr>
          <w:rFonts w:ascii="Arial" w:hAnsi="Arial" w:cs="Arial"/>
          <w:sz w:val="20"/>
          <w:szCs w:val="20"/>
        </w:rPr>
        <w:t>ecause of the strong negative correlation between slope and roughness (ρ = -0.40, P &lt; 0.001), it could be deduced that the effects of slope are opposite to the effects of roughness. Therefore, high beta-diversity in unlogged forest on rough terrain (Fig. 3</w:t>
      </w:r>
      <w:r w:rsidRPr="00CC0A68">
        <w:rPr>
          <w:rFonts w:ascii="Arial" w:hAnsi="Arial" w:cs="Arial"/>
          <w:sz w:val="20"/>
          <w:szCs w:val="20"/>
        </w:rPr>
        <w:t>g) suggests high beta-diversity in unlogged forest on flat areas. Similarly, high beta-diversity in logged forest on smooth terrain suggests high beta-diversity in logged forest on large-scale slopes. Following this logic, areas of high beta-diversity in u</w:t>
      </w:r>
      <w:r w:rsidRPr="00CC0A68">
        <w:rPr>
          <w:rFonts w:ascii="Arial" w:hAnsi="Arial" w:cs="Arial"/>
          <w:sz w:val="20"/>
          <w:szCs w:val="20"/>
        </w:rPr>
        <w:t xml:space="preserve">nlogged forest (on rough flats) are at greatest risk of modification, while areas of high beta-diversity in logged forest (on smooth slopes) are unlikely to be created through modification. Such uneven logging activity at small scales has the potential to </w:t>
      </w:r>
      <w:r w:rsidRPr="00CC0A68">
        <w:rPr>
          <w:rFonts w:ascii="Arial" w:hAnsi="Arial" w:cs="Arial"/>
          <w:sz w:val="20"/>
          <w:szCs w:val="20"/>
        </w:rPr>
        <w:t>reduce beta-diversity at greater spatial scales. Our results on high alpha-diversity already add to extensive evidence that unlogged forest supports greatest levels of biodiversity, however these potential impacts on beta-diversity suggest further mechanis</w:t>
      </w:r>
      <w:r w:rsidRPr="00CC0A68">
        <w:rPr>
          <w:rFonts w:ascii="Arial" w:hAnsi="Arial" w:cs="Arial"/>
          <w:sz w:val="20"/>
          <w:szCs w:val="20"/>
        </w:rPr>
        <w:t>ms by which biodiversity may be reduced in heavily-degraded landscapes.</w:t>
      </w:r>
    </w:p>
    <w:p w:rsidR="00E54FB3" w:rsidRPr="00CC0A68" w:rsidRDefault="00611B94" w:rsidP="00E54FB3">
      <w:pPr>
        <w:tabs>
          <w:tab w:val="left" w:pos="864"/>
        </w:tabs>
        <w:spacing w:line="480" w:lineRule="auto"/>
        <w:rPr>
          <w:rFonts w:ascii="Arial" w:hAnsi="Arial" w:cs="Arial"/>
          <w:sz w:val="20"/>
          <w:szCs w:val="20"/>
        </w:rPr>
      </w:pPr>
      <w:r w:rsidRPr="00CC0A68">
        <w:rPr>
          <w:rFonts w:ascii="Arial" w:hAnsi="Arial" w:cs="Arial"/>
          <w:sz w:val="20"/>
          <w:szCs w:val="20"/>
        </w:rPr>
        <w:t>We recommend that future research on Borneo’s biodiversity investigate multiple spatial scales and the action of topography on spatial patterns. Likewise, the neglected impacts of temp</w:t>
      </w:r>
      <w:r w:rsidRPr="00CC0A68">
        <w:rPr>
          <w:rFonts w:ascii="Arial" w:hAnsi="Arial" w:cs="Arial"/>
          <w:sz w:val="20"/>
          <w:szCs w:val="20"/>
        </w:rPr>
        <w:t xml:space="preserve">oral beta-diversity may be responsible for long-term biodiversity losses in logged forest and require further examination. While logged forest supports fewer species than unlogged (Gibson et al. 2011), shifts in community structure maintain </w:t>
      </w:r>
      <w:r>
        <w:rPr>
          <w:rFonts w:ascii="Arial" w:hAnsi="Arial" w:cs="Arial"/>
          <w:sz w:val="20"/>
          <w:szCs w:val="20"/>
        </w:rPr>
        <w:t xml:space="preserve">equal rates of </w:t>
      </w:r>
      <w:r>
        <w:rPr>
          <w:rFonts w:ascii="Arial" w:hAnsi="Arial" w:cs="Arial"/>
          <w:sz w:val="20"/>
          <w:szCs w:val="20"/>
        </w:rPr>
        <w:t>some important ecosystem processes</w:t>
      </w:r>
      <w:r w:rsidRPr="00CC0A68">
        <w:rPr>
          <w:rFonts w:ascii="Arial" w:hAnsi="Arial" w:cs="Arial"/>
          <w:sz w:val="20"/>
          <w:szCs w:val="20"/>
        </w:rPr>
        <w:t xml:space="preserve"> (Ewers et al. 2015), which is likely facilitated in part by high beta-diversity. Conversely, while oil palm plantations maintain similar beta-diversity to forest, that beta-diversity arises mostly from spatial and tempora</w:t>
      </w:r>
      <w:r w:rsidRPr="00CC0A68">
        <w:rPr>
          <w:rFonts w:ascii="Arial" w:hAnsi="Arial" w:cs="Arial"/>
          <w:sz w:val="20"/>
          <w:szCs w:val="20"/>
        </w:rPr>
        <w:t>l patchiness in a low number of abundant species</w:t>
      </w:r>
      <w:r w:rsidRPr="00CC0A68">
        <w:rPr>
          <w:rFonts w:ascii="Arial" w:hAnsi="Arial" w:cs="Arial"/>
          <w:sz w:val="20"/>
          <w:szCs w:val="20"/>
        </w:rPr>
        <w:t>. In-depth study of beta-diversity evidently reveals mechanisms by which ecological communities alter following extensive land-use change.</w:t>
      </w:r>
    </w:p>
    <w:p w:rsidR="00A5163B" w:rsidRPr="00D810D0" w:rsidRDefault="00A5163B" w:rsidP="00A5163B">
      <w:pPr>
        <w:tabs>
          <w:tab w:val="left" w:pos="1440"/>
        </w:tabs>
        <w:spacing w:line="480" w:lineRule="auto"/>
        <w:rPr>
          <w:rFonts w:ascii="Arial" w:hAnsi="Arial" w:cs="Arial"/>
          <w:sz w:val="20"/>
          <w:szCs w:val="20"/>
        </w:rPr>
      </w:pPr>
    </w:p>
    <w:p w:rsidR="00AA5FB4" w:rsidRPr="00611B94" w:rsidRDefault="00611B94" w:rsidP="00A5163B">
      <w:pPr>
        <w:tabs>
          <w:tab w:val="left" w:pos="1440"/>
        </w:tabs>
        <w:spacing w:line="480" w:lineRule="auto"/>
        <w:rPr>
          <w:rFonts w:ascii="Arial" w:hAnsi="Arial" w:cs="Arial"/>
          <w:b/>
          <w:sz w:val="20"/>
          <w:szCs w:val="20"/>
          <w:lang w:val="es-ES"/>
        </w:rPr>
      </w:pPr>
      <w:r w:rsidRPr="00611B94">
        <w:rPr>
          <w:rFonts w:ascii="Arial" w:hAnsi="Arial" w:cs="Arial"/>
          <w:b/>
          <w:sz w:val="20"/>
          <w:szCs w:val="20"/>
          <w:lang w:val="es-ES"/>
        </w:rPr>
        <w:t>References</w:t>
      </w:r>
    </w:p>
    <w:p w:rsidR="00AA5FB4" w:rsidRPr="00D810D0" w:rsidRDefault="00611B94" w:rsidP="00041DE9">
      <w:pPr>
        <w:spacing w:line="480" w:lineRule="auto"/>
        <w:rPr>
          <w:rFonts w:ascii="Arial" w:hAnsi="Arial" w:cs="Arial"/>
          <w:sz w:val="20"/>
          <w:szCs w:val="20"/>
        </w:rPr>
      </w:pPr>
      <w:r w:rsidRPr="00611B94">
        <w:rPr>
          <w:rFonts w:ascii="Arial" w:hAnsi="Arial" w:cs="Arial"/>
          <w:sz w:val="20"/>
          <w:szCs w:val="20"/>
          <w:lang w:val="es-ES"/>
        </w:rPr>
        <w:t xml:space="preserve">Ascione, A., Cinque, A., Miccadei, E., Villani, F., &amp; </w:t>
      </w:r>
      <w:r w:rsidRPr="00611B94">
        <w:rPr>
          <w:rFonts w:ascii="Arial" w:hAnsi="Arial" w:cs="Arial"/>
          <w:sz w:val="20"/>
          <w:szCs w:val="20"/>
          <w:lang w:val="es-ES"/>
        </w:rPr>
        <w:t xml:space="preserve">Berti, C. (2008). </w:t>
      </w:r>
      <w:r w:rsidRPr="00D810D0">
        <w:rPr>
          <w:rFonts w:ascii="Arial" w:hAnsi="Arial" w:cs="Arial"/>
          <w:sz w:val="20"/>
          <w:szCs w:val="20"/>
        </w:rPr>
        <w:t xml:space="preserve">The Plio-Quaternary uplift of the Apennine chain: new data from the analysis of topography and river valleys in Central Italy. </w:t>
      </w:r>
      <w:r w:rsidRPr="00D810D0">
        <w:rPr>
          <w:rFonts w:ascii="Arial" w:hAnsi="Arial" w:cs="Arial"/>
          <w:i/>
          <w:iCs/>
          <w:sz w:val="20"/>
          <w:szCs w:val="20"/>
        </w:rPr>
        <w:t>Geomorphology</w:t>
      </w:r>
      <w:r w:rsidRPr="00D810D0">
        <w:rPr>
          <w:rFonts w:ascii="Arial" w:hAnsi="Arial" w:cs="Arial"/>
          <w:sz w:val="20"/>
          <w:szCs w:val="20"/>
        </w:rPr>
        <w:t xml:space="preserve"> </w:t>
      </w:r>
      <w:r w:rsidRPr="00D810D0">
        <w:rPr>
          <w:rFonts w:ascii="Arial" w:hAnsi="Arial" w:cs="Arial"/>
          <w:b/>
          <w:iCs/>
          <w:sz w:val="20"/>
          <w:szCs w:val="20"/>
        </w:rPr>
        <w:t>102</w:t>
      </w:r>
      <w:r w:rsidRPr="00D810D0">
        <w:rPr>
          <w:rFonts w:ascii="Arial" w:hAnsi="Arial" w:cs="Arial"/>
          <w:sz w:val="20"/>
          <w:szCs w:val="20"/>
        </w:rPr>
        <w:t>(1), 105–118.</w:t>
      </w:r>
    </w:p>
    <w:p w:rsidR="00A71EF2" w:rsidRPr="00D810D0" w:rsidRDefault="00611B94" w:rsidP="00041DE9">
      <w:pPr>
        <w:spacing w:line="480" w:lineRule="auto"/>
        <w:rPr>
          <w:rFonts w:ascii="Arial" w:hAnsi="Arial" w:cs="Arial"/>
          <w:sz w:val="20"/>
          <w:szCs w:val="20"/>
        </w:rPr>
      </w:pPr>
      <w:r w:rsidRPr="00D810D0">
        <w:rPr>
          <w:rFonts w:ascii="Arial" w:hAnsi="Arial" w:cs="Arial"/>
          <w:sz w:val="20"/>
          <w:szCs w:val="20"/>
        </w:rPr>
        <w:lastRenderedPageBreak/>
        <w:t>Astorga, A., Death, R., Death, F., Paavola, R., Chakraborty, M., &amp; Muotka</w:t>
      </w:r>
      <w:r w:rsidRPr="00D810D0">
        <w:rPr>
          <w:rFonts w:ascii="Arial" w:hAnsi="Arial" w:cs="Arial"/>
          <w:sz w:val="20"/>
          <w:szCs w:val="20"/>
        </w:rPr>
        <w:t xml:space="preserve">, T. (2014). Habitat heterogeneity drives the geographical distribution of beta diversity: the case of New Zealand stream invertebrates. </w:t>
      </w:r>
      <w:r w:rsidRPr="00D810D0">
        <w:rPr>
          <w:rFonts w:ascii="Arial" w:hAnsi="Arial" w:cs="Arial"/>
          <w:i/>
          <w:sz w:val="20"/>
          <w:szCs w:val="20"/>
        </w:rPr>
        <w:t>Ecology and Evolution</w:t>
      </w:r>
      <w:r w:rsidRPr="00D810D0">
        <w:rPr>
          <w:rFonts w:ascii="Arial" w:hAnsi="Arial" w:cs="Arial"/>
          <w:sz w:val="20"/>
          <w:szCs w:val="20"/>
        </w:rPr>
        <w:t xml:space="preserve">, </w:t>
      </w:r>
      <w:r w:rsidRPr="00D810D0">
        <w:rPr>
          <w:rFonts w:ascii="Arial" w:hAnsi="Arial" w:cs="Arial"/>
          <w:b/>
          <w:sz w:val="20"/>
          <w:szCs w:val="20"/>
        </w:rPr>
        <w:t>4</w:t>
      </w:r>
      <w:r w:rsidRPr="00D810D0">
        <w:rPr>
          <w:rFonts w:ascii="Arial" w:hAnsi="Arial" w:cs="Arial"/>
          <w:sz w:val="20"/>
          <w:szCs w:val="20"/>
        </w:rPr>
        <w:t>(13), 2693–</w:t>
      </w:r>
      <w:r w:rsidR="009A2D10">
        <w:rPr>
          <w:rFonts w:ascii="Arial" w:hAnsi="Arial" w:cs="Arial"/>
          <w:sz w:val="20"/>
          <w:szCs w:val="20"/>
        </w:rPr>
        <w:t>2</w:t>
      </w:r>
      <w:r w:rsidRPr="00D810D0">
        <w:rPr>
          <w:rFonts w:ascii="Arial" w:hAnsi="Arial" w:cs="Arial"/>
          <w:sz w:val="20"/>
          <w:szCs w:val="20"/>
        </w:rPr>
        <w:t>702.</w:t>
      </w:r>
    </w:p>
    <w:p w:rsidR="001466B0" w:rsidRPr="00D810D0" w:rsidRDefault="00611B94" w:rsidP="00041DE9">
      <w:pPr>
        <w:spacing w:line="480" w:lineRule="auto"/>
        <w:rPr>
          <w:rFonts w:ascii="Arial" w:hAnsi="Arial" w:cs="Arial"/>
          <w:sz w:val="20"/>
          <w:szCs w:val="20"/>
        </w:rPr>
      </w:pPr>
      <w:r w:rsidRPr="00D810D0">
        <w:rPr>
          <w:rFonts w:ascii="Arial" w:hAnsi="Arial" w:cs="Arial"/>
          <w:sz w:val="20"/>
          <w:szCs w:val="20"/>
        </w:rPr>
        <w:t xml:space="preserve">Azhar, B., Saadun, N., Puan, C. L., Kamarudin, N., Aziz, N., Nurhidayu, S., &amp; </w:t>
      </w:r>
      <w:r w:rsidRPr="00D810D0">
        <w:rPr>
          <w:rFonts w:ascii="Arial" w:hAnsi="Arial" w:cs="Arial"/>
          <w:sz w:val="20"/>
          <w:szCs w:val="20"/>
        </w:rPr>
        <w:t xml:space="preserve">Fischer, J. (2015). Promoting landscape heterogeneity to improve the biodiversity benefits of certified palm oil production: Evidence from Peninsular Malaysia. </w:t>
      </w:r>
      <w:r w:rsidRPr="00D810D0">
        <w:rPr>
          <w:rFonts w:ascii="Arial" w:hAnsi="Arial" w:cs="Arial"/>
          <w:i/>
          <w:sz w:val="20"/>
          <w:szCs w:val="20"/>
        </w:rPr>
        <w:t>Global Ecology and Conservation</w:t>
      </w:r>
      <w:r w:rsidRPr="00D810D0">
        <w:rPr>
          <w:rFonts w:ascii="Arial" w:hAnsi="Arial" w:cs="Arial"/>
          <w:sz w:val="20"/>
          <w:szCs w:val="20"/>
        </w:rPr>
        <w:t xml:space="preserve"> </w:t>
      </w:r>
      <w:r w:rsidRPr="00D810D0">
        <w:rPr>
          <w:rFonts w:ascii="Arial" w:hAnsi="Arial" w:cs="Arial"/>
          <w:b/>
          <w:sz w:val="20"/>
          <w:szCs w:val="20"/>
        </w:rPr>
        <w:t>3</w:t>
      </w:r>
      <w:r w:rsidRPr="00D810D0">
        <w:rPr>
          <w:rFonts w:ascii="Arial" w:hAnsi="Arial" w:cs="Arial"/>
          <w:sz w:val="20"/>
          <w:szCs w:val="20"/>
        </w:rPr>
        <w:t>, 553–561.</w:t>
      </w:r>
    </w:p>
    <w:p w:rsidR="005A7747" w:rsidRPr="00D810D0" w:rsidRDefault="00611B94" w:rsidP="00041DE9">
      <w:pPr>
        <w:spacing w:line="480" w:lineRule="auto"/>
        <w:rPr>
          <w:rFonts w:ascii="Arial" w:hAnsi="Arial" w:cs="Arial"/>
          <w:sz w:val="20"/>
          <w:szCs w:val="20"/>
        </w:rPr>
      </w:pPr>
      <w:r w:rsidRPr="00D810D0">
        <w:rPr>
          <w:rFonts w:ascii="Arial" w:hAnsi="Arial" w:cs="Arial"/>
          <w:sz w:val="20"/>
          <w:szCs w:val="20"/>
        </w:rPr>
        <w:t>Baselga, A. (2017). Partitioning abundance-based mul</w:t>
      </w:r>
      <w:r w:rsidRPr="00D810D0">
        <w:rPr>
          <w:rFonts w:ascii="Arial" w:hAnsi="Arial" w:cs="Arial"/>
          <w:sz w:val="20"/>
          <w:szCs w:val="20"/>
        </w:rPr>
        <w:t xml:space="preserve">tiple-site dissimilarity into components: balanced variation in abundance and abundance gradients. </w:t>
      </w:r>
      <w:r w:rsidRPr="00D810D0">
        <w:rPr>
          <w:rFonts w:ascii="Arial" w:hAnsi="Arial" w:cs="Arial"/>
          <w:i/>
          <w:iCs/>
          <w:sz w:val="20"/>
          <w:szCs w:val="20"/>
        </w:rPr>
        <w:t>Methods in Ecology and Evolution</w:t>
      </w:r>
      <w:r w:rsidRPr="00D810D0">
        <w:rPr>
          <w:rFonts w:ascii="Arial" w:hAnsi="Arial" w:cs="Arial"/>
          <w:sz w:val="20"/>
          <w:szCs w:val="20"/>
        </w:rPr>
        <w:t xml:space="preserve"> </w:t>
      </w:r>
      <w:r w:rsidRPr="00D810D0">
        <w:rPr>
          <w:rFonts w:ascii="Arial" w:hAnsi="Arial" w:cs="Arial"/>
          <w:b/>
          <w:iCs/>
          <w:sz w:val="20"/>
          <w:szCs w:val="20"/>
        </w:rPr>
        <w:t>8</w:t>
      </w:r>
      <w:r w:rsidRPr="00D810D0">
        <w:rPr>
          <w:rFonts w:ascii="Arial" w:hAnsi="Arial" w:cs="Arial"/>
          <w:sz w:val="20"/>
          <w:szCs w:val="20"/>
        </w:rPr>
        <w:t>(7), 799–808.</w:t>
      </w:r>
    </w:p>
    <w:p w:rsidR="00306B1D" w:rsidRPr="00D810D0" w:rsidRDefault="00611B94" w:rsidP="00041DE9">
      <w:pPr>
        <w:spacing w:line="480" w:lineRule="auto"/>
        <w:rPr>
          <w:rFonts w:ascii="Arial" w:hAnsi="Arial" w:cs="Arial"/>
          <w:sz w:val="20"/>
          <w:szCs w:val="20"/>
        </w:rPr>
      </w:pPr>
      <w:r w:rsidRPr="00D810D0">
        <w:rPr>
          <w:rFonts w:ascii="Arial" w:hAnsi="Arial" w:cs="Arial"/>
          <w:sz w:val="20"/>
          <w:szCs w:val="20"/>
        </w:rPr>
        <w:t xml:space="preserve">Beck, J., &amp; Vun Khen, C. (2007). Beta-diversity of geometrid moths from northern Borneo: effects of habitat, </w:t>
      </w:r>
      <w:r w:rsidRPr="00D810D0">
        <w:rPr>
          <w:rFonts w:ascii="Arial" w:hAnsi="Arial" w:cs="Arial"/>
          <w:sz w:val="20"/>
          <w:szCs w:val="20"/>
        </w:rPr>
        <w:t xml:space="preserve">time and space. </w:t>
      </w:r>
      <w:r w:rsidRPr="00D810D0">
        <w:rPr>
          <w:rFonts w:ascii="Arial" w:hAnsi="Arial" w:cs="Arial"/>
          <w:i/>
          <w:sz w:val="20"/>
          <w:szCs w:val="20"/>
        </w:rPr>
        <w:t>Journal of Animal Ecology</w:t>
      </w:r>
      <w:r w:rsidRPr="00D810D0">
        <w:rPr>
          <w:rFonts w:ascii="Arial" w:hAnsi="Arial" w:cs="Arial"/>
          <w:sz w:val="20"/>
          <w:szCs w:val="20"/>
        </w:rPr>
        <w:t xml:space="preserve"> </w:t>
      </w:r>
      <w:r w:rsidRPr="00D810D0">
        <w:rPr>
          <w:rFonts w:ascii="Arial" w:hAnsi="Arial" w:cs="Arial"/>
          <w:b/>
          <w:sz w:val="20"/>
          <w:szCs w:val="20"/>
        </w:rPr>
        <w:t>76</w:t>
      </w:r>
      <w:r w:rsidRPr="00D810D0">
        <w:rPr>
          <w:rFonts w:ascii="Arial" w:hAnsi="Arial" w:cs="Arial"/>
          <w:sz w:val="20"/>
          <w:szCs w:val="20"/>
        </w:rPr>
        <w:t>(2), 230–237.</w:t>
      </w:r>
    </w:p>
    <w:p w:rsidR="00EF7B11" w:rsidRPr="00D810D0" w:rsidRDefault="00611B94" w:rsidP="00041DE9">
      <w:pPr>
        <w:spacing w:line="480" w:lineRule="auto"/>
        <w:rPr>
          <w:rFonts w:ascii="Arial" w:hAnsi="Arial" w:cs="Arial"/>
          <w:sz w:val="20"/>
          <w:szCs w:val="20"/>
        </w:rPr>
      </w:pPr>
      <w:r w:rsidRPr="00D810D0">
        <w:rPr>
          <w:rFonts w:ascii="Arial" w:hAnsi="Arial" w:cs="Arial"/>
          <w:sz w:val="20"/>
          <w:szCs w:val="20"/>
        </w:rPr>
        <w:t>Berry, N. J., Phillips, O. L., Ong, R. C., &amp; Hamer, K. C. (2008). Impacts of selective logging on tree diversity across a rainforest landscape: the importance of spatial scale.</w:t>
      </w:r>
      <w:r w:rsidRPr="00D810D0">
        <w:rPr>
          <w:rFonts w:ascii="Arial" w:hAnsi="Arial" w:cs="Arial"/>
          <w:i/>
          <w:sz w:val="20"/>
          <w:szCs w:val="20"/>
        </w:rPr>
        <w:t xml:space="preserve"> Landscape Ecology</w:t>
      </w:r>
      <w:r w:rsidRPr="00D810D0">
        <w:rPr>
          <w:rFonts w:ascii="Arial" w:hAnsi="Arial" w:cs="Arial"/>
          <w:sz w:val="20"/>
          <w:szCs w:val="20"/>
        </w:rPr>
        <w:t xml:space="preserve"> </w:t>
      </w:r>
      <w:r w:rsidRPr="00D810D0">
        <w:rPr>
          <w:rFonts w:ascii="Arial" w:hAnsi="Arial" w:cs="Arial"/>
          <w:b/>
          <w:sz w:val="20"/>
          <w:szCs w:val="20"/>
        </w:rPr>
        <w:t>23</w:t>
      </w:r>
      <w:r w:rsidRPr="00D810D0">
        <w:rPr>
          <w:rFonts w:ascii="Arial" w:hAnsi="Arial" w:cs="Arial"/>
          <w:sz w:val="20"/>
          <w:szCs w:val="20"/>
        </w:rPr>
        <w:t>(8), 915-929.</w:t>
      </w:r>
    </w:p>
    <w:p w:rsidR="00514008" w:rsidRPr="00D810D0" w:rsidRDefault="00611B94" w:rsidP="00041DE9">
      <w:pPr>
        <w:spacing w:line="480" w:lineRule="auto"/>
        <w:rPr>
          <w:rFonts w:ascii="Arial" w:hAnsi="Arial" w:cs="Arial"/>
          <w:sz w:val="20"/>
          <w:szCs w:val="20"/>
        </w:rPr>
      </w:pPr>
      <w:r w:rsidRPr="00D810D0">
        <w:rPr>
          <w:rFonts w:ascii="Arial" w:hAnsi="Arial" w:cs="Arial"/>
          <w:sz w:val="20"/>
          <w:szCs w:val="20"/>
        </w:rPr>
        <w:t xml:space="preserve">Bryan, J. E., Shearman, P. L., Asner, G. P., Knapp, D. E., Aoro, G., &amp; Lokes, B. (2013). Extreme differences in forest degradation in Borneo: Comparing practices in Sarawak, Sabah, and Brunei. </w:t>
      </w:r>
      <w:r w:rsidRPr="00D810D0">
        <w:rPr>
          <w:rFonts w:ascii="Arial" w:hAnsi="Arial" w:cs="Arial"/>
          <w:i/>
          <w:sz w:val="20"/>
          <w:szCs w:val="20"/>
        </w:rPr>
        <w:t>PLOS ONE</w:t>
      </w:r>
      <w:r w:rsidRPr="00D810D0">
        <w:rPr>
          <w:rFonts w:ascii="Arial" w:hAnsi="Arial" w:cs="Arial"/>
          <w:sz w:val="20"/>
          <w:szCs w:val="20"/>
        </w:rPr>
        <w:t xml:space="preserve">, </w:t>
      </w:r>
      <w:r w:rsidRPr="00D810D0">
        <w:rPr>
          <w:rFonts w:ascii="Arial" w:hAnsi="Arial" w:cs="Arial"/>
          <w:b/>
          <w:sz w:val="20"/>
          <w:szCs w:val="20"/>
        </w:rPr>
        <w:t>8</w:t>
      </w:r>
      <w:r w:rsidRPr="00D810D0">
        <w:rPr>
          <w:rFonts w:ascii="Arial" w:hAnsi="Arial" w:cs="Arial"/>
          <w:sz w:val="20"/>
          <w:szCs w:val="20"/>
        </w:rPr>
        <w:t>(7).</w:t>
      </w:r>
    </w:p>
    <w:p w:rsidR="00AA0FAF" w:rsidRPr="00D810D0" w:rsidRDefault="00611B94" w:rsidP="00041DE9">
      <w:pPr>
        <w:spacing w:line="480" w:lineRule="auto"/>
        <w:rPr>
          <w:rFonts w:ascii="Arial" w:hAnsi="Arial" w:cs="Arial"/>
          <w:sz w:val="20"/>
          <w:szCs w:val="20"/>
        </w:rPr>
      </w:pPr>
      <w:r w:rsidRPr="00D810D0">
        <w:rPr>
          <w:rFonts w:ascii="Arial" w:hAnsi="Arial" w:cs="Arial"/>
          <w:sz w:val="20"/>
          <w:szCs w:val="20"/>
        </w:rPr>
        <w:t>Burivalova, Z., Sekercioglu, C.H.</w:t>
      </w:r>
      <w:r w:rsidRPr="00D810D0">
        <w:rPr>
          <w:rFonts w:ascii="Arial" w:hAnsi="Arial" w:cs="Arial"/>
          <w:sz w:val="20"/>
          <w:szCs w:val="20"/>
        </w:rPr>
        <w:t xml:space="preserve"> &amp; Koh, L.P. (2014). Thresholds of logging intensity to maintain tropical forest biodiversity. </w:t>
      </w:r>
      <w:r w:rsidRPr="00D810D0">
        <w:rPr>
          <w:rFonts w:ascii="Arial" w:hAnsi="Arial" w:cs="Arial"/>
          <w:i/>
          <w:sz w:val="20"/>
          <w:szCs w:val="20"/>
        </w:rPr>
        <w:t>Current Biology</w:t>
      </w:r>
      <w:r w:rsidRPr="00D810D0">
        <w:rPr>
          <w:rFonts w:ascii="Arial" w:hAnsi="Arial" w:cs="Arial"/>
          <w:sz w:val="20"/>
          <w:szCs w:val="20"/>
        </w:rPr>
        <w:t xml:space="preserve"> </w:t>
      </w:r>
      <w:r w:rsidRPr="00D810D0">
        <w:rPr>
          <w:rFonts w:ascii="Arial" w:hAnsi="Arial" w:cs="Arial"/>
          <w:b/>
          <w:bCs/>
          <w:sz w:val="20"/>
          <w:szCs w:val="20"/>
        </w:rPr>
        <w:t>24</w:t>
      </w:r>
      <w:r w:rsidR="009A2D10">
        <w:rPr>
          <w:rFonts w:ascii="Arial" w:hAnsi="Arial" w:cs="Arial"/>
          <w:bCs/>
          <w:sz w:val="20"/>
          <w:szCs w:val="20"/>
        </w:rPr>
        <w:t>(16)</w:t>
      </w:r>
      <w:r w:rsidRPr="00D810D0">
        <w:rPr>
          <w:rFonts w:ascii="Arial" w:hAnsi="Arial" w:cs="Arial"/>
          <w:sz w:val="20"/>
          <w:szCs w:val="20"/>
        </w:rPr>
        <w:t>, 1893–</w:t>
      </w:r>
      <w:r w:rsidR="009A2D10">
        <w:rPr>
          <w:rFonts w:ascii="Arial" w:hAnsi="Arial" w:cs="Arial"/>
          <w:sz w:val="20"/>
          <w:szCs w:val="20"/>
        </w:rPr>
        <w:t>189</w:t>
      </w:r>
      <w:r w:rsidRPr="00D810D0">
        <w:rPr>
          <w:rFonts w:ascii="Arial" w:hAnsi="Arial" w:cs="Arial"/>
          <w:sz w:val="20"/>
          <w:szCs w:val="20"/>
        </w:rPr>
        <w:t>8.</w:t>
      </w:r>
    </w:p>
    <w:p w:rsidR="005A7747" w:rsidRPr="00D810D0" w:rsidRDefault="00611B94" w:rsidP="00041DE9">
      <w:pPr>
        <w:spacing w:line="480" w:lineRule="auto"/>
        <w:rPr>
          <w:rFonts w:ascii="Arial" w:hAnsi="Arial" w:cs="Arial"/>
          <w:sz w:val="20"/>
          <w:szCs w:val="20"/>
        </w:rPr>
      </w:pPr>
      <w:r w:rsidRPr="00D810D0">
        <w:rPr>
          <w:rFonts w:ascii="Arial" w:hAnsi="Arial" w:cs="Arial"/>
          <w:sz w:val="20"/>
          <w:szCs w:val="20"/>
        </w:rPr>
        <w:t xml:space="preserve">Chung, A., Eggleton, P., Speight, M., Hammond, P. &amp; Chey, V. (2000). The diversity of beetle assemblages in different habitat </w:t>
      </w:r>
      <w:r w:rsidRPr="00D810D0">
        <w:rPr>
          <w:rFonts w:ascii="Arial" w:hAnsi="Arial" w:cs="Arial"/>
          <w:sz w:val="20"/>
          <w:szCs w:val="20"/>
        </w:rPr>
        <w:t xml:space="preserve">types in Sabah, Malaysia. </w:t>
      </w:r>
      <w:r w:rsidRPr="00D810D0">
        <w:rPr>
          <w:rFonts w:ascii="Arial" w:hAnsi="Arial" w:cs="Arial"/>
          <w:i/>
          <w:sz w:val="20"/>
          <w:szCs w:val="20"/>
        </w:rPr>
        <w:t>Bulletin of Entomological Research</w:t>
      </w:r>
      <w:r w:rsidRPr="00D810D0">
        <w:rPr>
          <w:rFonts w:ascii="Arial" w:hAnsi="Arial" w:cs="Arial"/>
          <w:sz w:val="20"/>
          <w:szCs w:val="20"/>
        </w:rPr>
        <w:t xml:space="preserve"> </w:t>
      </w:r>
      <w:r w:rsidRPr="00D810D0">
        <w:rPr>
          <w:rFonts w:ascii="Arial" w:hAnsi="Arial" w:cs="Arial"/>
          <w:b/>
          <w:sz w:val="20"/>
          <w:szCs w:val="20"/>
        </w:rPr>
        <w:t>90</w:t>
      </w:r>
      <w:r w:rsidRPr="00D810D0">
        <w:rPr>
          <w:rFonts w:ascii="Arial" w:hAnsi="Arial" w:cs="Arial"/>
          <w:sz w:val="20"/>
          <w:szCs w:val="20"/>
        </w:rPr>
        <w:t>(6), 475–496.</w:t>
      </w:r>
    </w:p>
    <w:p w:rsidR="003431EF" w:rsidRPr="00D810D0" w:rsidRDefault="00611B94" w:rsidP="00041DE9">
      <w:pPr>
        <w:spacing w:line="480" w:lineRule="auto"/>
        <w:rPr>
          <w:rFonts w:ascii="Arial" w:hAnsi="Arial" w:cs="Arial"/>
          <w:sz w:val="20"/>
          <w:szCs w:val="20"/>
        </w:rPr>
      </w:pPr>
      <w:r w:rsidRPr="00D810D0">
        <w:rPr>
          <w:rFonts w:ascii="Arial" w:hAnsi="Arial" w:cs="Arial"/>
          <w:sz w:val="20"/>
          <w:szCs w:val="20"/>
        </w:rPr>
        <w:t xml:space="preserve">Dodge, Y. (2003). </w:t>
      </w:r>
      <w:r w:rsidRPr="00D810D0">
        <w:rPr>
          <w:rFonts w:ascii="Arial" w:hAnsi="Arial" w:cs="Arial"/>
          <w:i/>
          <w:sz w:val="20"/>
          <w:szCs w:val="20"/>
        </w:rPr>
        <w:t>The Oxford Dictionary of Statistical Terms</w:t>
      </w:r>
      <w:r w:rsidRPr="00D810D0">
        <w:rPr>
          <w:rFonts w:ascii="Arial" w:hAnsi="Arial" w:cs="Arial"/>
          <w:sz w:val="20"/>
          <w:szCs w:val="20"/>
        </w:rPr>
        <w:t>. New York: Oxford University Press.</w:t>
      </w:r>
    </w:p>
    <w:p w:rsidR="00FF5BBE" w:rsidRPr="00D810D0" w:rsidRDefault="00611B94" w:rsidP="00041DE9">
      <w:pPr>
        <w:spacing w:line="480" w:lineRule="auto"/>
        <w:rPr>
          <w:rFonts w:ascii="Arial" w:hAnsi="Arial" w:cs="Arial"/>
          <w:sz w:val="20"/>
          <w:szCs w:val="20"/>
        </w:rPr>
      </w:pPr>
      <w:r w:rsidRPr="00D810D0">
        <w:rPr>
          <w:rFonts w:ascii="Arial" w:hAnsi="Arial" w:cs="Arial"/>
          <w:sz w:val="20"/>
          <w:szCs w:val="20"/>
        </w:rPr>
        <w:t xml:space="preserve">Edwards, D.P., Hodgson, J.A., Hamer, K.C., Mitchell, S.L., Ahmad, A.H., Cornell, S.J. &amp; Wilcove, D.S. (2010). Wildlife-friendly oil palm plantations fail to protect biodiversity effectively. </w:t>
      </w:r>
      <w:r w:rsidRPr="00D810D0">
        <w:rPr>
          <w:rFonts w:ascii="Arial" w:hAnsi="Arial" w:cs="Arial"/>
          <w:i/>
          <w:sz w:val="20"/>
          <w:szCs w:val="20"/>
        </w:rPr>
        <w:t>Conservation Letters</w:t>
      </w:r>
      <w:r w:rsidRPr="00D810D0">
        <w:rPr>
          <w:rFonts w:ascii="Arial" w:hAnsi="Arial" w:cs="Arial"/>
          <w:sz w:val="20"/>
          <w:szCs w:val="20"/>
        </w:rPr>
        <w:t xml:space="preserve"> </w:t>
      </w:r>
      <w:r w:rsidRPr="00D810D0">
        <w:rPr>
          <w:rFonts w:ascii="Arial" w:hAnsi="Arial" w:cs="Arial"/>
          <w:b/>
          <w:bCs/>
          <w:sz w:val="20"/>
          <w:szCs w:val="20"/>
        </w:rPr>
        <w:t>3</w:t>
      </w:r>
      <w:r w:rsidR="009A2D10">
        <w:rPr>
          <w:rFonts w:ascii="Arial" w:hAnsi="Arial" w:cs="Arial"/>
          <w:bCs/>
          <w:sz w:val="20"/>
          <w:szCs w:val="20"/>
        </w:rPr>
        <w:t>(4)</w:t>
      </w:r>
      <w:r w:rsidRPr="00D810D0">
        <w:rPr>
          <w:rFonts w:ascii="Arial" w:hAnsi="Arial" w:cs="Arial"/>
          <w:sz w:val="20"/>
          <w:szCs w:val="20"/>
        </w:rPr>
        <w:t>, 236–242.</w:t>
      </w:r>
    </w:p>
    <w:p w:rsidR="00AC7846" w:rsidRPr="00D810D0" w:rsidRDefault="00611B94" w:rsidP="00041DE9">
      <w:pPr>
        <w:spacing w:line="480" w:lineRule="auto"/>
        <w:rPr>
          <w:rFonts w:ascii="Arial" w:hAnsi="Arial" w:cs="Arial"/>
          <w:sz w:val="20"/>
          <w:szCs w:val="20"/>
        </w:rPr>
      </w:pPr>
      <w:r w:rsidRPr="00D810D0">
        <w:rPr>
          <w:rFonts w:ascii="Arial" w:hAnsi="Arial" w:cs="Arial"/>
          <w:sz w:val="20"/>
          <w:szCs w:val="20"/>
        </w:rPr>
        <w:lastRenderedPageBreak/>
        <w:t>Ewers, R.M., Didham, R.K., Fa</w:t>
      </w:r>
      <w:r w:rsidRPr="00D810D0">
        <w:rPr>
          <w:rFonts w:ascii="Arial" w:hAnsi="Arial" w:cs="Arial"/>
          <w:sz w:val="20"/>
          <w:szCs w:val="20"/>
        </w:rPr>
        <w:t xml:space="preserve">hrig, L., Ferraz, G., Hector, A., Holt, R.D., ... Turner, E.C. (2011). A large-scale forest fragmentation experiment: the Stability of Altered Forest Ecosystems Project. </w:t>
      </w:r>
      <w:r w:rsidRPr="00D810D0">
        <w:rPr>
          <w:rFonts w:ascii="Arial" w:hAnsi="Arial" w:cs="Arial"/>
          <w:i/>
          <w:sz w:val="20"/>
          <w:szCs w:val="20"/>
        </w:rPr>
        <w:t>Philosophical Transactions of the Royal Society of London. Series B, Biological Scienc</w:t>
      </w:r>
      <w:r w:rsidRPr="00D810D0">
        <w:rPr>
          <w:rFonts w:ascii="Arial" w:hAnsi="Arial" w:cs="Arial"/>
          <w:i/>
          <w:sz w:val="20"/>
          <w:szCs w:val="20"/>
        </w:rPr>
        <w:t>es</w:t>
      </w:r>
      <w:r w:rsidRPr="00D810D0">
        <w:rPr>
          <w:rFonts w:ascii="Arial" w:hAnsi="Arial" w:cs="Arial"/>
          <w:sz w:val="20"/>
          <w:szCs w:val="20"/>
        </w:rPr>
        <w:t xml:space="preserve"> </w:t>
      </w:r>
      <w:r w:rsidRPr="00D810D0">
        <w:rPr>
          <w:rFonts w:ascii="Arial" w:hAnsi="Arial" w:cs="Arial"/>
          <w:b/>
          <w:bCs/>
          <w:sz w:val="20"/>
          <w:szCs w:val="20"/>
        </w:rPr>
        <w:t>366</w:t>
      </w:r>
      <w:r w:rsidR="009A2D10">
        <w:rPr>
          <w:rFonts w:ascii="Arial" w:hAnsi="Arial" w:cs="Arial"/>
          <w:bCs/>
          <w:sz w:val="20"/>
          <w:szCs w:val="20"/>
        </w:rPr>
        <w:t>(1582)</w:t>
      </w:r>
      <w:r w:rsidRPr="00D810D0">
        <w:rPr>
          <w:rFonts w:ascii="Arial" w:hAnsi="Arial" w:cs="Arial"/>
          <w:sz w:val="20"/>
          <w:szCs w:val="20"/>
        </w:rPr>
        <w:t>, 3292–3</w:t>
      </w:r>
      <w:r w:rsidR="009A2D10">
        <w:rPr>
          <w:rFonts w:ascii="Arial" w:hAnsi="Arial" w:cs="Arial"/>
          <w:sz w:val="20"/>
          <w:szCs w:val="20"/>
        </w:rPr>
        <w:t>3</w:t>
      </w:r>
      <w:r w:rsidRPr="00D810D0">
        <w:rPr>
          <w:rFonts w:ascii="Arial" w:hAnsi="Arial" w:cs="Arial"/>
          <w:sz w:val="20"/>
          <w:szCs w:val="20"/>
        </w:rPr>
        <w:t>02.</w:t>
      </w:r>
    </w:p>
    <w:p w:rsidR="009112D1" w:rsidRPr="00D810D0" w:rsidRDefault="00611B94" w:rsidP="00041DE9">
      <w:pPr>
        <w:spacing w:line="480" w:lineRule="auto"/>
        <w:rPr>
          <w:rFonts w:ascii="Arial" w:hAnsi="Arial" w:cs="Arial"/>
          <w:sz w:val="20"/>
          <w:szCs w:val="20"/>
        </w:rPr>
      </w:pPr>
      <w:r w:rsidRPr="00D810D0">
        <w:rPr>
          <w:rFonts w:ascii="Arial" w:hAnsi="Arial" w:cs="Arial"/>
          <w:sz w:val="20"/>
          <w:szCs w:val="20"/>
        </w:rPr>
        <w:t xml:space="preserve">Ewers, R. M., Boyle, M. J. W., Gleave, R. A., Plowman, N. S., Benedick, S., Bernard, H., … </w:t>
      </w:r>
      <w:bookmarkStart w:id="1" w:name="_GoBack"/>
      <w:bookmarkEnd w:id="1"/>
      <w:r w:rsidRPr="00D810D0">
        <w:rPr>
          <w:rFonts w:ascii="Arial" w:hAnsi="Arial" w:cs="Arial"/>
          <w:sz w:val="20"/>
          <w:szCs w:val="20"/>
        </w:rPr>
        <w:t xml:space="preserve">Turner, E. C. (2015). Logging cuts the functional importance of invertebrates in tropical rainforest. </w:t>
      </w:r>
      <w:r w:rsidRPr="00D810D0">
        <w:rPr>
          <w:rFonts w:ascii="Arial" w:hAnsi="Arial" w:cs="Arial"/>
          <w:i/>
          <w:sz w:val="20"/>
          <w:szCs w:val="20"/>
        </w:rPr>
        <w:t>Nature Communications</w:t>
      </w:r>
      <w:r w:rsidRPr="00D810D0">
        <w:rPr>
          <w:rFonts w:ascii="Arial" w:hAnsi="Arial" w:cs="Arial"/>
          <w:sz w:val="20"/>
          <w:szCs w:val="20"/>
        </w:rPr>
        <w:t xml:space="preserve"> </w:t>
      </w:r>
      <w:r w:rsidRPr="00D810D0">
        <w:rPr>
          <w:rFonts w:ascii="Arial" w:hAnsi="Arial" w:cs="Arial"/>
          <w:b/>
          <w:sz w:val="20"/>
          <w:szCs w:val="20"/>
        </w:rPr>
        <w:t>6</w:t>
      </w:r>
      <w:r w:rsidRPr="00D810D0">
        <w:rPr>
          <w:rFonts w:ascii="Arial" w:hAnsi="Arial" w:cs="Arial"/>
          <w:sz w:val="20"/>
          <w:szCs w:val="20"/>
        </w:rPr>
        <w:t>, 6836.</w:t>
      </w:r>
    </w:p>
    <w:p w:rsidR="00321CEB" w:rsidRPr="00D810D0" w:rsidRDefault="00611B94" w:rsidP="00041DE9">
      <w:pPr>
        <w:spacing w:line="480" w:lineRule="auto"/>
        <w:rPr>
          <w:rFonts w:ascii="Arial" w:hAnsi="Arial" w:cs="Arial"/>
          <w:sz w:val="20"/>
          <w:szCs w:val="20"/>
        </w:rPr>
      </w:pPr>
      <w:r w:rsidRPr="00D810D0">
        <w:rPr>
          <w:rFonts w:ascii="Arial" w:hAnsi="Arial" w:cs="Arial"/>
          <w:sz w:val="20"/>
          <w:szCs w:val="20"/>
        </w:rPr>
        <w:t>Farr</w:t>
      </w:r>
      <w:r w:rsidRPr="00D810D0">
        <w:rPr>
          <w:rFonts w:ascii="Arial" w:hAnsi="Arial" w:cs="Arial"/>
          <w:sz w:val="20"/>
          <w:szCs w:val="20"/>
        </w:rPr>
        <w:t xml:space="preserve">ell, B. D., Sequeira, A. S., O’Meara, B. C., Normark, B. B., Chung, J. H., &amp; Jordal, B. H. (2001). The </w:t>
      </w:r>
      <w:r w:rsidR="005C25D3">
        <w:rPr>
          <w:rFonts w:ascii="Arial" w:hAnsi="Arial" w:cs="Arial"/>
          <w:sz w:val="20"/>
          <w:szCs w:val="20"/>
        </w:rPr>
        <w:t>e</w:t>
      </w:r>
      <w:r w:rsidR="005C25D3" w:rsidRPr="00D810D0">
        <w:rPr>
          <w:rFonts w:ascii="Arial" w:hAnsi="Arial" w:cs="Arial"/>
          <w:sz w:val="20"/>
          <w:szCs w:val="20"/>
        </w:rPr>
        <w:t xml:space="preserve">volution </w:t>
      </w:r>
      <w:r w:rsidRPr="00D810D0">
        <w:rPr>
          <w:rFonts w:ascii="Arial" w:hAnsi="Arial" w:cs="Arial"/>
          <w:sz w:val="20"/>
          <w:szCs w:val="20"/>
        </w:rPr>
        <w:t xml:space="preserve">of </w:t>
      </w:r>
      <w:r w:rsidR="005C25D3">
        <w:rPr>
          <w:rFonts w:ascii="Arial" w:hAnsi="Arial" w:cs="Arial"/>
          <w:sz w:val="20"/>
          <w:szCs w:val="20"/>
        </w:rPr>
        <w:t>a</w:t>
      </w:r>
      <w:r w:rsidR="005C25D3" w:rsidRPr="00D810D0">
        <w:rPr>
          <w:rFonts w:ascii="Arial" w:hAnsi="Arial" w:cs="Arial"/>
          <w:sz w:val="20"/>
          <w:szCs w:val="20"/>
        </w:rPr>
        <w:t xml:space="preserve">griculture </w:t>
      </w:r>
      <w:r w:rsidRPr="00D810D0">
        <w:rPr>
          <w:rFonts w:ascii="Arial" w:hAnsi="Arial" w:cs="Arial"/>
          <w:sz w:val="20"/>
          <w:szCs w:val="20"/>
        </w:rPr>
        <w:t xml:space="preserve">in </w:t>
      </w:r>
      <w:r w:rsidR="005C25D3">
        <w:rPr>
          <w:rFonts w:ascii="Arial" w:hAnsi="Arial" w:cs="Arial"/>
          <w:sz w:val="20"/>
          <w:szCs w:val="20"/>
        </w:rPr>
        <w:t>b</w:t>
      </w:r>
      <w:r w:rsidR="005C25D3" w:rsidRPr="00D810D0">
        <w:rPr>
          <w:rFonts w:ascii="Arial" w:hAnsi="Arial" w:cs="Arial"/>
          <w:sz w:val="20"/>
          <w:szCs w:val="20"/>
        </w:rPr>
        <w:t xml:space="preserve">eetles </w:t>
      </w:r>
      <w:r w:rsidRPr="00D810D0">
        <w:rPr>
          <w:rFonts w:ascii="Arial" w:hAnsi="Arial" w:cs="Arial"/>
          <w:sz w:val="20"/>
          <w:szCs w:val="20"/>
        </w:rPr>
        <w:t xml:space="preserve">(Curculionidae: Scolytinae and Platypodinae). </w:t>
      </w:r>
      <w:r w:rsidRPr="00D810D0">
        <w:rPr>
          <w:rFonts w:ascii="Arial" w:hAnsi="Arial" w:cs="Arial"/>
          <w:i/>
          <w:sz w:val="20"/>
          <w:szCs w:val="20"/>
        </w:rPr>
        <w:t>Evolution</w:t>
      </w:r>
      <w:r w:rsidRPr="00D810D0">
        <w:rPr>
          <w:rFonts w:ascii="Arial" w:hAnsi="Arial" w:cs="Arial"/>
          <w:sz w:val="20"/>
          <w:szCs w:val="20"/>
        </w:rPr>
        <w:t xml:space="preserve"> </w:t>
      </w:r>
      <w:r w:rsidRPr="00D810D0">
        <w:rPr>
          <w:rFonts w:ascii="Arial" w:hAnsi="Arial" w:cs="Arial"/>
          <w:b/>
          <w:sz w:val="20"/>
          <w:szCs w:val="20"/>
        </w:rPr>
        <w:t>55</w:t>
      </w:r>
      <w:r w:rsidR="008C26B8" w:rsidRPr="00D810D0">
        <w:rPr>
          <w:rFonts w:ascii="Arial" w:hAnsi="Arial" w:cs="Arial"/>
          <w:sz w:val="20"/>
          <w:szCs w:val="20"/>
        </w:rPr>
        <w:t>(10)</w:t>
      </w:r>
      <w:r w:rsidRPr="00D810D0">
        <w:rPr>
          <w:rFonts w:ascii="Arial" w:hAnsi="Arial" w:cs="Arial"/>
          <w:sz w:val="20"/>
          <w:szCs w:val="20"/>
        </w:rPr>
        <w:t xml:space="preserve">, 2011-2027. </w:t>
      </w:r>
    </w:p>
    <w:p w:rsidR="00AA6CB0" w:rsidRPr="00D810D0" w:rsidRDefault="00611B94" w:rsidP="00041DE9">
      <w:pPr>
        <w:spacing w:line="480" w:lineRule="auto"/>
        <w:rPr>
          <w:rFonts w:ascii="Arial" w:hAnsi="Arial" w:cs="Arial"/>
          <w:color w:val="000000"/>
          <w:sz w:val="20"/>
          <w:szCs w:val="20"/>
        </w:rPr>
      </w:pPr>
      <w:r w:rsidRPr="00D810D0">
        <w:rPr>
          <w:rFonts w:ascii="Arial" w:hAnsi="Arial" w:cs="Arial"/>
          <w:color w:val="000000"/>
          <w:sz w:val="20"/>
          <w:szCs w:val="20"/>
        </w:rPr>
        <w:t xml:space="preserve">Fitzherbert, E. B., Struebig, M. J., Morel, A., Danielsen, F., Brühl, C. A., Donald, P. F., &amp; Phalan, B. (2008). How will oil palm expansion affect biodiversity? </w:t>
      </w:r>
      <w:r w:rsidRPr="00D810D0">
        <w:rPr>
          <w:rFonts w:ascii="Arial" w:hAnsi="Arial" w:cs="Arial"/>
          <w:i/>
          <w:color w:val="000000"/>
          <w:sz w:val="20"/>
          <w:szCs w:val="20"/>
        </w:rPr>
        <w:t>Trends in Ecology &amp; Evolution</w:t>
      </w:r>
      <w:r w:rsidRPr="00D810D0">
        <w:rPr>
          <w:rFonts w:ascii="Arial" w:hAnsi="Arial" w:cs="Arial"/>
          <w:color w:val="000000"/>
          <w:sz w:val="20"/>
          <w:szCs w:val="20"/>
        </w:rPr>
        <w:t xml:space="preserve">, </w:t>
      </w:r>
      <w:r w:rsidRPr="00D810D0">
        <w:rPr>
          <w:rFonts w:ascii="Arial" w:hAnsi="Arial" w:cs="Arial"/>
          <w:b/>
          <w:color w:val="000000"/>
          <w:sz w:val="20"/>
          <w:szCs w:val="20"/>
        </w:rPr>
        <w:t>23</w:t>
      </w:r>
      <w:r w:rsidRPr="00D810D0">
        <w:rPr>
          <w:rFonts w:ascii="Arial" w:hAnsi="Arial" w:cs="Arial"/>
          <w:color w:val="000000"/>
          <w:sz w:val="20"/>
          <w:szCs w:val="20"/>
        </w:rPr>
        <w:t>(10), 538–</w:t>
      </w:r>
      <w:r w:rsidR="009A2D10">
        <w:rPr>
          <w:rFonts w:ascii="Arial" w:hAnsi="Arial" w:cs="Arial"/>
          <w:color w:val="000000"/>
          <w:sz w:val="20"/>
          <w:szCs w:val="20"/>
        </w:rPr>
        <w:t>5</w:t>
      </w:r>
      <w:r w:rsidRPr="00D810D0">
        <w:rPr>
          <w:rFonts w:ascii="Arial" w:hAnsi="Arial" w:cs="Arial"/>
          <w:color w:val="000000"/>
          <w:sz w:val="20"/>
          <w:szCs w:val="20"/>
        </w:rPr>
        <w:t>45.</w:t>
      </w:r>
    </w:p>
    <w:p w:rsidR="00373773" w:rsidRPr="00D810D0" w:rsidRDefault="00611B94" w:rsidP="00041DE9">
      <w:pPr>
        <w:spacing w:line="480" w:lineRule="auto"/>
        <w:rPr>
          <w:rFonts w:ascii="Arial" w:hAnsi="Arial" w:cs="Arial"/>
          <w:color w:val="000000"/>
          <w:sz w:val="20"/>
          <w:szCs w:val="20"/>
        </w:rPr>
      </w:pPr>
      <w:r w:rsidRPr="00D810D0">
        <w:rPr>
          <w:rFonts w:ascii="Arial" w:hAnsi="Arial" w:cs="Arial"/>
          <w:color w:val="000000"/>
          <w:sz w:val="20"/>
          <w:szCs w:val="20"/>
        </w:rPr>
        <w:t xml:space="preserve">Gaveau, D. L. A., Sloan, S., Molidena, E., </w:t>
      </w:r>
      <w:r w:rsidRPr="00D810D0">
        <w:rPr>
          <w:rFonts w:ascii="Arial" w:hAnsi="Arial" w:cs="Arial"/>
          <w:color w:val="000000"/>
          <w:sz w:val="20"/>
          <w:szCs w:val="20"/>
        </w:rPr>
        <w:t xml:space="preserve">Yaen, H., Sheil, D., Abram, N. K., … Meijaard, E. (2014). Four decades of forest persistence, clearance and logging on Borneo. </w:t>
      </w:r>
      <w:r w:rsidRPr="00D810D0">
        <w:rPr>
          <w:rFonts w:ascii="Arial" w:hAnsi="Arial" w:cs="Arial"/>
          <w:i/>
          <w:color w:val="000000"/>
          <w:sz w:val="20"/>
          <w:szCs w:val="20"/>
        </w:rPr>
        <w:t>PL</w:t>
      </w:r>
      <w:r w:rsidR="00336473" w:rsidRPr="00D810D0">
        <w:rPr>
          <w:rFonts w:ascii="Arial" w:hAnsi="Arial" w:cs="Arial"/>
          <w:i/>
          <w:color w:val="000000"/>
          <w:sz w:val="20"/>
          <w:szCs w:val="20"/>
        </w:rPr>
        <w:t>O</w:t>
      </w:r>
      <w:r w:rsidRPr="00D810D0">
        <w:rPr>
          <w:rFonts w:ascii="Arial" w:hAnsi="Arial" w:cs="Arial"/>
          <w:i/>
          <w:color w:val="000000"/>
          <w:sz w:val="20"/>
          <w:szCs w:val="20"/>
        </w:rPr>
        <w:t>S ONE</w:t>
      </w:r>
      <w:r w:rsidRPr="00D810D0">
        <w:rPr>
          <w:rFonts w:ascii="Arial" w:hAnsi="Arial" w:cs="Arial"/>
          <w:color w:val="000000"/>
          <w:sz w:val="20"/>
          <w:szCs w:val="20"/>
        </w:rPr>
        <w:t xml:space="preserve">, </w:t>
      </w:r>
      <w:r w:rsidRPr="00D810D0">
        <w:rPr>
          <w:rFonts w:ascii="Arial" w:hAnsi="Arial" w:cs="Arial"/>
          <w:b/>
          <w:color w:val="000000"/>
          <w:sz w:val="20"/>
          <w:szCs w:val="20"/>
        </w:rPr>
        <w:t>9</w:t>
      </w:r>
      <w:r w:rsidRPr="00D810D0">
        <w:rPr>
          <w:rFonts w:ascii="Arial" w:hAnsi="Arial" w:cs="Arial"/>
          <w:color w:val="000000"/>
          <w:sz w:val="20"/>
          <w:szCs w:val="20"/>
        </w:rPr>
        <w:t>(7).</w:t>
      </w:r>
    </w:p>
    <w:p w:rsidR="001E4384" w:rsidRPr="00D810D0" w:rsidRDefault="00611B94" w:rsidP="00041DE9">
      <w:pPr>
        <w:spacing w:line="480" w:lineRule="auto"/>
        <w:rPr>
          <w:rFonts w:ascii="Arial" w:hAnsi="Arial" w:cs="Arial"/>
          <w:color w:val="000000"/>
          <w:sz w:val="20"/>
          <w:szCs w:val="20"/>
        </w:rPr>
      </w:pPr>
      <w:r w:rsidRPr="00D810D0">
        <w:rPr>
          <w:rFonts w:ascii="Arial" w:hAnsi="Arial" w:cs="Arial"/>
          <w:color w:val="000000"/>
          <w:sz w:val="20"/>
          <w:szCs w:val="20"/>
        </w:rPr>
        <w:t>Gibson, L., Lee, T. M., Koh, L. P., Brook, B. W., Gardner, T. A., Barlow, J., … Sodhi, N. S. (2011). Primary fore</w:t>
      </w:r>
      <w:r w:rsidRPr="00D810D0">
        <w:rPr>
          <w:rFonts w:ascii="Arial" w:hAnsi="Arial" w:cs="Arial"/>
          <w:color w:val="000000"/>
          <w:sz w:val="20"/>
          <w:szCs w:val="20"/>
        </w:rPr>
        <w:t xml:space="preserve">sts are irreplaceable for sustaining tropical biodiversity. </w:t>
      </w:r>
      <w:r w:rsidRPr="00D810D0">
        <w:rPr>
          <w:rFonts w:ascii="Arial" w:hAnsi="Arial" w:cs="Arial"/>
          <w:i/>
          <w:color w:val="000000"/>
          <w:sz w:val="20"/>
          <w:szCs w:val="20"/>
        </w:rPr>
        <w:t>Nature</w:t>
      </w:r>
      <w:r w:rsidRPr="00D810D0">
        <w:rPr>
          <w:rFonts w:ascii="Arial" w:hAnsi="Arial" w:cs="Arial"/>
          <w:color w:val="000000"/>
          <w:sz w:val="20"/>
          <w:szCs w:val="20"/>
        </w:rPr>
        <w:t xml:space="preserve"> </w:t>
      </w:r>
      <w:r w:rsidRPr="00D810D0">
        <w:rPr>
          <w:rFonts w:ascii="Arial" w:hAnsi="Arial" w:cs="Arial"/>
          <w:b/>
          <w:color w:val="000000"/>
          <w:sz w:val="20"/>
          <w:szCs w:val="20"/>
        </w:rPr>
        <w:t>478</w:t>
      </w:r>
      <w:r w:rsidRPr="00D810D0">
        <w:rPr>
          <w:rFonts w:ascii="Arial" w:hAnsi="Arial" w:cs="Arial"/>
          <w:color w:val="000000"/>
          <w:sz w:val="20"/>
          <w:szCs w:val="20"/>
        </w:rPr>
        <w:t>(7369), 378–381.</w:t>
      </w:r>
    </w:p>
    <w:p w:rsidR="00B95798" w:rsidRPr="00D810D0" w:rsidRDefault="00611B94" w:rsidP="00041DE9">
      <w:pPr>
        <w:spacing w:line="480" w:lineRule="auto"/>
        <w:rPr>
          <w:rFonts w:ascii="Arial" w:hAnsi="Arial" w:cs="Arial"/>
          <w:color w:val="000000"/>
          <w:sz w:val="20"/>
          <w:szCs w:val="20"/>
        </w:rPr>
      </w:pPr>
      <w:r w:rsidRPr="00D810D0">
        <w:rPr>
          <w:rFonts w:ascii="Arial" w:hAnsi="Arial" w:cs="Arial"/>
          <w:color w:val="000000"/>
          <w:sz w:val="20"/>
          <w:szCs w:val="20"/>
        </w:rPr>
        <w:t>Hamer, K. C., &amp; Hill, J. K. (2000). Scale-</w:t>
      </w:r>
      <w:r w:rsidR="005C25D3">
        <w:rPr>
          <w:rFonts w:ascii="Arial" w:hAnsi="Arial" w:cs="Arial"/>
          <w:color w:val="000000"/>
          <w:sz w:val="20"/>
          <w:szCs w:val="20"/>
        </w:rPr>
        <w:t>d</w:t>
      </w:r>
      <w:r w:rsidR="005C25D3" w:rsidRPr="00D810D0">
        <w:rPr>
          <w:rFonts w:ascii="Arial" w:hAnsi="Arial" w:cs="Arial"/>
          <w:color w:val="000000"/>
          <w:sz w:val="20"/>
          <w:szCs w:val="20"/>
        </w:rPr>
        <w:t xml:space="preserve">ependent </w:t>
      </w:r>
      <w:r w:rsidR="005C25D3">
        <w:rPr>
          <w:rFonts w:ascii="Arial" w:hAnsi="Arial" w:cs="Arial"/>
          <w:color w:val="000000"/>
          <w:sz w:val="20"/>
          <w:szCs w:val="20"/>
        </w:rPr>
        <w:t>e</w:t>
      </w:r>
      <w:r w:rsidR="005C25D3" w:rsidRPr="00D810D0">
        <w:rPr>
          <w:rFonts w:ascii="Arial" w:hAnsi="Arial" w:cs="Arial"/>
          <w:color w:val="000000"/>
          <w:sz w:val="20"/>
          <w:szCs w:val="20"/>
        </w:rPr>
        <w:t xml:space="preserve">ffects </w:t>
      </w:r>
      <w:r w:rsidRPr="00D810D0">
        <w:rPr>
          <w:rFonts w:ascii="Arial" w:hAnsi="Arial" w:cs="Arial"/>
          <w:color w:val="000000"/>
          <w:sz w:val="20"/>
          <w:szCs w:val="20"/>
        </w:rPr>
        <w:t xml:space="preserve">of </w:t>
      </w:r>
      <w:r w:rsidR="005C25D3">
        <w:rPr>
          <w:rFonts w:ascii="Arial" w:hAnsi="Arial" w:cs="Arial"/>
          <w:color w:val="000000"/>
          <w:sz w:val="20"/>
          <w:szCs w:val="20"/>
        </w:rPr>
        <w:t>h</w:t>
      </w:r>
      <w:r w:rsidR="005C25D3" w:rsidRPr="00D810D0">
        <w:rPr>
          <w:rFonts w:ascii="Arial" w:hAnsi="Arial" w:cs="Arial"/>
          <w:color w:val="000000"/>
          <w:sz w:val="20"/>
          <w:szCs w:val="20"/>
        </w:rPr>
        <w:t xml:space="preserve">abitat </w:t>
      </w:r>
      <w:r w:rsidR="005C25D3">
        <w:rPr>
          <w:rFonts w:ascii="Arial" w:hAnsi="Arial" w:cs="Arial"/>
          <w:color w:val="000000"/>
          <w:sz w:val="20"/>
          <w:szCs w:val="20"/>
        </w:rPr>
        <w:t>d</w:t>
      </w:r>
      <w:r w:rsidR="005C25D3" w:rsidRPr="00D810D0">
        <w:rPr>
          <w:rFonts w:ascii="Arial" w:hAnsi="Arial" w:cs="Arial"/>
          <w:color w:val="000000"/>
          <w:sz w:val="20"/>
          <w:szCs w:val="20"/>
        </w:rPr>
        <w:t xml:space="preserve">isturbance </w:t>
      </w:r>
      <w:r w:rsidRPr="00D810D0">
        <w:rPr>
          <w:rFonts w:ascii="Arial" w:hAnsi="Arial" w:cs="Arial"/>
          <w:color w:val="000000"/>
          <w:sz w:val="20"/>
          <w:szCs w:val="20"/>
        </w:rPr>
        <w:t xml:space="preserve">on </w:t>
      </w:r>
      <w:r w:rsidR="005C25D3">
        <w:rPr>
          <w:rFonts w:ascii="Arial" w:hAnsi="Arial" w:cs="Arial"/>
          <w:color w:val="000000"/>
          <w:sz w:val="20"/>
          <w:szCs w:val="20"/>
        </w:rPr>
        <w:t>s</w:t>
      </w:r>
      <w:r w:rsidR="005C25D3" w:rsidRPr="00D810D0">
        <w:rPr>
          <w:rFonts w:ascii="Arial" w:hAnsi="Arial" w:cs="Arial"/>
          <w:color w:val="000000"/>
          <w:sz w:val="20"/>
          <w:szCs w:val="20"/>
        </w:rPr>
        <w:t xml:space="preserve">pecies </w:t>
      </w:r>
      <w:r w:rsidR="005C25D3">
        <w:rPr>
          <w:rFonts w:ascii="Arial" w:hAnsi="Arial" w:cs="Arial"/>
          <w:color w:val="000000"/>
          <w:sz w:val="20"/>
          <w:szCs w:val="20"/>
        </w:rPr>
        <w:t>r</w:t>
      </w:r>
      <w:r w:rsidR="005C25D3" w:rsidRPr="00D810D0">
        <w:rPr>
          <w:rFonts w:ascii="Arial" w:hAnsi="Arial" w:cs="Arial"/>
          <w:color w:val="000000"/>
          <w:sz w:val="20"/>
          <w:szCs w:val="20"/>
        </w:rPr>
        <w:t xml:space="preserve">ichness </w:t>
      </w:r>
      <w:r w:rsidRPr="00D810D0">
        <w:rPr>
          <w:rFonts w:ascii="Arial" w:hAnsi="Arial" w:cs="Arial"/>
          <w:color w:val="000000"/>
          <w:sz w:val="20"/>
          <w:szCs w:val="20"/>
        </w:rPr>
        <w:t xml:space="preserve">in </w:t>
      </w:r>
      <w:r w:rsidR="005C25D3">
        <w:rPr>
          <w:rFonts w:ascii="Arial" w:hAnsi="Arial" w:cs="Arial"/>
          <w:color w:val="000000"/>
          <w:sz w:val="20"/>
          <w:szCs w:val="20"/>
        </w:rPr>
        <w:t>t</w:t>
      </w:r>
      <w:r w:rsidR="005C25D3" w:rsidRPr="00D810D0">
        <w:rPr>
          <w:rFonts w:ascii="Arial" w:hAnsi="Arial" w:cs="Arial"/>
          <w:color w:val="000000"/>
          <w:sz w:val="20"/>
          <w:szCs w:val="20"/>
        </w:rPr>
        <w:t xml:space="preserve">ropical </w:t>
      </w:r>
      <w:r w:rsidR="005C25D3">
        <w:rPr>
          <w:rFonts w:ascii="Arial" w:hAnsi="Arial" w:cs="Arial"/>
          <w:color w:val="000000"/>
          <w:sz w:val="20"/>
          <w:szCs w:val="20"/>
        </w:rPr>
        <w:t>f</w:t>
      </w:r>
      <w:r w:rsidR="005C25D3" w:rsidRPr="00D810D0">
        <w:rPr>
          <w:rFonts w:ascii="Arial" w:hAnsi="Arial" w:cs="Arial"/>
          <w:color w:val="000000"/>
          <w:sz w:val="20"/>
          <w:szCs w:val="20"/>
        </w:rPr>
        <w:t>orests</w:t>
      </w:r>
      <w:r w:rsidRPr="00D810D0">
        <w:rPr>
          <w:rFonts w:ascii="Arial" w:hAnsi="Arial" w:cs="Arial"/>
          <w:color w:val="000000"/>
          <w:sz w:val="20"/>
          <w:szCs w:val="20"/>
        </w:rPr>
        <w:t xml:space="preserve">. </w:t>
      </w:r>
      <w:r w:rsidRPr="00D810D0">
        <w:rPr>
          <w:rFonts w:ascii="Arial" w:hAnsi="Arial" w:cs="Arial"/>
          <w:i/>
          <w:color w:val="000000"/>
          <w:sz w:val="20"/>
          <w:szCs w:val="20"/>
        </w:rPr>
        <w:t>Conservation Biology</w:t>
      </w:r>
      <w:r w:rsidRPr="00D810D0">
        <w:rPr>
          <w:rFonts w:ascii="Arial" w:hAnsi="Arial" w:cs="Arial"/>
          <w:color w:val="000000"/>
          <w:sz w:val="20"/>
          <w:szCs w:val="20"/>
        </w:rPr>
        <w:t xml:space="preserve"> </w:t>
      </w:r>
      <w:r w:rsidRPr="00D810D0">
        <w:rPr>
          <w:rFonts w:ascii="Arial" w:hAnsi="Arial" w:cs="Arial"/>
          <w:b/>
          <w:color w:val="000000"/>
          <w:sz w:val="20"/>
          <w:szCs w:val="20"/>
        </w:rPr>
        <w:t>14</w:t>
      </w:r>
      <w:r w:rsidRPr="00D810D0">
        <w:rPr>
          <w:rFonts w:ascii="Arial" w:hAnsi="Arial" w:cs="Arial"/>
          <w:color w:val="000000"/>
          <w:sz w:val="20"/>
          <w:szCs w:val="20"/>
        </w:rPr>
        <w:t>(5), 1435–1440.</w:t>
      </w:r>
    </w:p>
    <w:p w:rsidR="00BD0A3A" w:rsidRPr="00D810D0" w:rsidRDefault="00611B94" w:rsidP="00041DE9">
      <w:pPr>
        <w:spacing w:line="480" w:lineRule="auto"/>
        <w:rPr>
          <w:rFonts w:ascii="Arial" w:hAnsi="Arial" w:cs="Arial"/>
          <w:color w:val="000000"/>
          <w:sz w:val="20"/>
          <w:szCs w:val="20"/>
        </w:rPr>
      </w:pPr>
      <w:r w:rsidRPr="00D810D0">
        <w:rPr>
          <w:rFonts w:ascii="Arial" w:hAnsi="Arial" w:cs="Arial"/>
          <w:color w:val="000000"/>
          <w:sz w:val="20"/>
          <w:szCs w:val="20"/>
        </w:rPr>
        <w:t>Hamer, K. C., Hill, J. K., Mustaffa, N., Benedick, S., Sherratt, T. N., Chey, V. K., &amp; Maryati, M. (2005). Temporal variation in abundance and diversity of butterflies in Bornean rain</w:t>
      </w:r>
      <w:r w:rsidRPr="00D810D0">
        <w:rPr>
          <w:rFonts w:ascii="Arial" w:hAnsi="Arial" w:cs="Arial"/>
          <w:color w:val="000000"/>
          <w:sz w:val="20"/>
          <w:szCs w:val="20"/>
        </w:rPr>
        <w:t xml:space="preserve"> forests: opposite impacts of logging recorded in different seasons. </w:t>
      </w:r>
      <w:r w:rsidRPr="00D810D0">
        <w:rPr>
          <w:rFonts w:ascii="Arial" w:hAnsi="Arial" w:cs="Arial"/>
          <w:i/>
          <w:color w:val="000000"/>
          <w:sz w:val="20"/>
          <w:szCs w:val="20"/>
        </w:rPr>
        <w:t>Journal of Tropical Ecology</w:t>
      </w:r>
      <w:r w:rsidRPr="00D810D0">
        <w:rPr>
          <w:rFonts w:ascii="Arial" w:hAnsi="Arial" w:cs="Arial"/>
          <w:color w:val="000000"/>
          <w:sz w:val="20"/>
          <w:szCs w:val="20"/>
        </w:rPr>
        <w:t xml:space="preserve"> </w:t>
      </w:r>
      <w:r w:rsidRPr="00D810D0">
        <w:rPr>
          <w:rFonts w:ascii="Arial" w:hAnsi="Arial" w:cs="Arial"/>
          <w:b/>
          <w:color w:val="000000"/>
          <w:sz w:val="20"/>
          <w:szCs w:val="20"/>
        </w:rPr>
        <w:t>21</w:t>
      </w:r>
      <w:r w:rsidR="009A2D10">
        <w:rPr>
          <w:rFonts w:ascii="Arial" w:hAnsi="Arial" w:cs="Arial"/>
          <w:color w:val="000000"/>
          <w:sz w:val="20"/>
          <w:szCs w:val="20"/>
        </w:rPr>
        <w:t>(4)</w:t>
      </w:r>
      <w:r w:rsidRPr="00D810D0">
        <w:rPr>
          <w:rFonts w:ascii="Arial" w:hAnsi="Arial" w:cs="Arial"/>
          <w:color w:val="000000"/>
          <w:sz w:val="20"/>
          <w:szCs w:val="20"/>
        </w:rPr>
        <w:t>, 417–425.</w:t>
      </w:r>
    </w:p>
    <w:p w:rsidR="001E4384" w:rsidRPr="00D810D0" w:rsidRDefault="00611B94" w:rsidP="00041DE9">
      <w:pPr>
        <w:spacing w:line="480" w:lineRule="auto"/>
        <w:rPr>
          <w:rFonts w:ascii="Arial" w:hAnsi="Arial" w:cs="Arial"/>
          <w:color w:val="000000"/>
          <w:sz w:val="20"/>
          <w:szCs w:val="20"/>
        </w:rPr>
      </w:pPr>
      <w:r w:rsidRPr="00D810D0">
        <w:rPr>
          <w:rFonts w:ascii="Arial" w:hAnsi="Arial" w:cs="Arial"/>
          <w:color w:val="000000"/>
          <w:sz w:val="20"/>
          <w:szCs w:val="20"/>
        </w:rPr>
        <w:t xml:space="preserve">Hardwick, S. R., Toumi, R., Pfeifer, M., Turner, E. C., Nilus, R., &amp; Ewers, R. M. (2015). The relationship between leaf area index and microclimate in tropical forest and oil palm plantation: forest disturbance drives changes in microclimate. </w:t>
      </w:r>
      <w:r w:rsidRPr="00D810D0">
        <w:rPr>
          <w:rFonts w:ascii="Arial" w:hAnsi="Arial" w:cs="Arial"/>
          <w:i/>
          <w:color w:val="000000"/>
          <w:sz w:val="20"/>
          <w:szCs w:val="20"/>
        </w:rPr>
        <w:t xml:space="preserve">Agricultural </w:t>
      </w:r>
      <w:r w:rsidRPr="00D810D0">
        <w:rPr>
          <w:rFonts w:ascii="Arial" w:hAnsi="Arial" w:cs="Arial"/>
          <w:i/>
          <w:color w:val="000000"/>
          <w:sz w:val="20"/>
          <w:szCs w:val="20"/>
        </w:rPr>
        <w:t>and Forest Meteorology</w:t>
      </w:r>
      <w:r w:rsidRPr="00D810D0">
        <w:rPr>
          <w:rFonts w:ascii="Arial" w:hAnsi="Arial" w:cs="Arial"/>
          <w:color w:val="000000"/>
          <w:sz w:val="20"/>
          <w:szCs w:val="20"/>
        </w:rPr>
        <w:t xml:space="preserve"> </w:t>
      </w:r>
      <w:r w:rsidRPr="00D810D0">
        <w:rPr>
          <w:rFonts w:ascii="Arial" w:hAnsi="Arial" w:cs="Arial"/>
          <w:b/>
          <w:color w:val="000000"/>
          <w:sz w:val="20"/>
          <w:szCs w:val="20"/>
        </w:rPr>
        <w:t>201</w:t>
      </w:r>
      <w:r w:rsidRPr="00D810D0">
        <w:rPr>
          <w:rFonts w:ascii="Arial" w:hAnsi="Arial" w:cs="Arial"/>
          <w:color w:val="000000"/>
          <w:sz w:val="20"/>
          <w:szCs w:val="20"/>
        </w:rPr>
        <w:t>, 187–195.</w:t>
      </w:r>
    </w:p>
    <w:p w:rsidR="00553756" w:rsidRPr="00D810D0" w:rsidRDefault="00611B94" w:rsidP="00041DE9">
      <w:pPr>
        <w:spacing w:line="480" w:lineRule="auto"/>
        <w:rPr>
          <w:rFonts w:ascii="Arial" w:hAnsi="Arial" w:cs="Arial"/>
          <w:color w:val="000000"/>
          <w:sz w:val="20"/>
          <w:szCs w:val="20"/>
        </w:rPr>
      </w:pPr>
      <w:r w:rsidRPr="00D810D0">
        <w:rPr>
          <w:rFonts w:ascii="Arial" w:hAnsi="Arial" w:cs="Arial"/>
          <w:color w:val="000000"/>
          <w:sz w:val="20"/>
          <w:szCs w:val="20"/>
        </w:rPr>
        <w:t>Holm, S. (1979). A simple sequentially rejective multiple test procedure.</w:t>
      </w:r>
      <w:r w:rsidRPr="00D810D0">
        <w:rPr>
          <w:rStyle w:val="apple-converted-space"/>
          <w:rFonts w:ascii="Arial" w:hAnsi="Arial" w:cs="Arial"/>
          <w:color w:val="000000"/>
          <w:sz w:val="20"/>
          <w:szCs w:val="20"/>
        </w:rPr>
        <w:t> </w:t>
      </w:r>
      <w:r w:rsidRPr="00D810D0">
        <w:rPr>
          <w:rStyle w:val="Emphasis"/>
          <w:rFonts w:ascii="Arial" w:hAnsi="Arial" w:cs="Arial"/>
          <w:color w:val="000000"/>
          <w:sz w:val="20"/>
          <w:szCs w:val="20"/>
        </w:rPr>
        <w:t>Scandinavian Journal of Statistics</w:t>
      </w:r>
      <w:r w:rsidRPr="00D810D0">
        <w:rPr>
          <w:rStyle w:val="apple-converted-space"/>
          <w:rFonts w:ascii="Arial" w:hAnsi="Arial" w:cs="Arial"/>
          <w:color w:val="000000"/>
          <w:sz w:val="20"/>
          <w:szCs w:val="20"/>
        </w:rPr>
        <w:t> </w:t>
      </w:r>
      <w:r w:rsidRPr="00D810D0">
        <w:rPr>
          <w:rFonts w:ascii="Arial" w:hAnsi="Arial" w:cs="Arial"/>
          <w:b/>
          <w:bCs/>
          <w:color w:val="000000"/>
          <w:sz w:val="20"/>
          <w:szCs w:val="20"/>
        </w:rPr>
        <w:t>6</w:t>
      </w:r>
      <w:r w:rsidR="009A2D10">
        <w:rPr>
          <w:rFonts w:ascii="Arial" w:hAnsi="Arial" w:cs="Arial"/>
          <w:bCs/>
          <w:color w:val="000000"/>
          <w:sz w:val="20"/>
          <w:szCs w:val="20"/>
        </w:rPr>
        <w:t>(2)</w:t>
      </w:r>
      <w:r w:rsidRPr="00D810D0">
        <w:rPr>
          <w:rFonts w:ascii="Arial" w:hAnsi="Arial" w:cs="Arial"/>
          <w:color w:val="000000"/>
          <w:sz w:val="20"/>
          <w:szCs w:val="20"/>
        </w:rPr>
        <w:t>, 65–70.</w:t>
      </w:r>
    </w:p>
    <w:p w:rsidR="00BF01A8" w:rsidRPr="00D810D0" w:rsidRDefault="00611B94" w:rsidP="00041DE9">
      <w:pPr>
        <w:spacing w:line="480" w:lineRule="auto"/>
        <w:rPr>
          <w:rFonts w:ascii="Arial" w:hAnsi="Arial" w:cs="Arial"/>
          <w:color w:val="000000"/>
          <w:sz w:val="20"/>
          <w:szCs w:val="20"/>
        </w:rPr>
      </w:pPr>
      <w:r w:rsidRPr="00D810D0">
        <w:rPr>
          <w:rFonts w:ascii="Arial" w:hAnsi="Arial" w:cs="Arial"/>
          <w:color w:val="000000"/>
          <w:sz w:val="20"/>
          <w:szCs w:val="20"/>
        </w:rPr>
        <w:lastRenderedPageBreak/>
        <w:t xml:space="preserve">Iku, A., Itioka, T., Kishimoto-Yamada, K., Shimizu-kaya, U., Mohammad, F. B., Hossman, M. Y., … </w:t>
      </w:r>
      <w:r w:rsidRPr="00D810D0">
        <w:rPr>
          <w:rFonts w:ascii="Arial" w:hAnsi="Arial" w:cs="Arial"/>
          <w:color w:val="000000"/>
          <w:sz w:val="20"/>
          <w:szCs w:val="20"/>
        </w:rPr>
        <w:t xml:space="preserve">Meleng, P. (2017). Increased seed predation in the second fruiting event during an exceptionally long period of community-level masting in Borneo. </w:t>
      </w:r>
      <w:r w:rsidRPr="00D810D0">
        <w:rPr>
          <w:rFonts w:ascii="Arial" w:hAnsi="Arial" w:cs="Arial"/>
          <w:i/>
          <w:color w:val="000000"/>
          <w:sz w:val="20"/>
          <w:szCs w:val="20"/>
        </w:rPr>
        <w:t>Ecological Research</w:t>
      </w:r>
      <w:r w:rsidRPr="00D810D0">
        <w:rPr>
          <w:rFonts w:ascii="Arial" w:hAnsi="Arial" w:cs="Arial"/>
          <w:color w:val="000000"/>
          <w:sz w:val="20"/>
          <w:szCs w:val="20"/>
        </w:rPr>
        <w:t xml:space="preserve"> </w:t>
      </w:r>
      <w:r w:rsidRPr="00D810D0">
        <w:rPr>
          <w:rFonts w:ascii="Arial" w:hAnsi="Arial" w:cs="Arial"/>
          <w:b/>
          <w:color w:val="000000"/>
          <w:sz w:val="20"/>
          <w:szCs w:val="20"/>
        </w:rPr>
        <w:t>32</w:t>
      </w:r>
      <w:r w:rsidRPr="00D810D0">
        <w:rPr>
          <w:rFonts w:ascii="Arial" w:hAnsi="Arial" w:cs="Arial"/>
          <w:color w:val="000000"/>
          <w:sz w:val="20"/>
          <w:szCs w:val="20"/>
        </w:rPr>
        <w:t>(4), 537–545.</w:t>
      </w:r>
    </w:p>
    <w:p w:rsidR="00627607" w:rsidRPr="00D810D0" w:rsidRDefault="00611B94" w:rsidP="00041DE9">
      <w:pPr>
        <w:spacing w:line="480" w:lineRule="auto"/>
        <w:rPr>
          <w:rFonts w:ascii="Arial" w:hAnsi="Arial" w:cs="Arial"/>
          <w:color w:val="000000"/>
          <w:sz w:val="20"/>
          <w:szCs w:val="20"/>
        </w:rPr>
      </w:pPr>
      <w:r w:rsidRPr="00D810D0">
        <w:rPr>
          <w:rFonts w:ascii="Arial" w:hAnsi="Arial" w:cs="Arial"/>
          <w:color w:val="000000"/>
          <w:sz w:val="20"/>
          <w:szCs w:val="20"/>
        </w:rPr>
        <w:t>Jost, L. (2007). Partitioning diversity into independent alpha and beta c</w:t>
      </w:r>
      <w:r w:rsidRPr="00D810D0">
        <w:rPr>
          <w:rFonts w:ascii="Arial" w:hAnsi="Arial" w:cs="Arial"/>
          <w:color w:val="000000"/>
          <w:sz w:val="20"/>
          <w:szCs w:val="20"/>
        </w:rPr>
        <w:t xml:space="preserve">omponents. </w:t>
      </w:r>
      <w:r w:rsidRPr="00D810D0">
        <w:rPr>
          <w:rFonts w:ascii="Arial" w:hAnsi="Arial" w:cs="Arial"/>
          <w:i/>
          <w:color w:val="000000"/>
          <w:sz w:val="20"/>
          <w:szCs w:val="20"/>
        </w:rPr>
        <w:t>Ecology</w:t>
      </w:r>
      <w:r w:rsidRPr="00D810D0">
        <w:rPr>
          <w:rFonts w:ascii="Arial" w:hAnsi="Arial" w:cs="Arial"/>
          <w:color w:val="000000"/>
          <w:sz w:val="20"/>
          <w:szCs w:val="20"/>
        </w:rPr>
        <w:t xml:space="preserve"> </w:t>
      </w:r>
      <w:r w:rsidRPr="00D810D0">
        <w:rPr>
          <w:rFonts w:ascii="Arial" w:hAnsi="Arial" w:cs="Arial"/>
          <w:b/>
          <w:color w:val="000000"/>
          <w:sz w:val="20"/>
          <w:szCs w:val="20"/>
        </w:rPr>
        <w:t>88</w:t>
      </w:r>
      <w:r w:rsidRPr="00D810D0">
        <w:rPr>
          <w:rFonts w:ascii="Arial" w:hAnsi="Arial" w:cs="Arial"/>
          <w:color w:val="000000"/>
          <w:sz w:val="20"/>
          <w:szCs w:val="20"/>
        </w:rPr>
        <w:t>(10), 2427–2439.</w:t>
      </w:r>
    </w:p>
    <w:p w:rsidR="00493682" w:rsidRPr="00D810D0" w:rsidRDefault="00611B94" w:rsidP="00041DE9">
      <w:pPr>
        <w:spacing w:line="480" w:lineRule="auto"/>
        <w:rPr>
          <w:rFonts w:ascii="Arial" w:hAnsi="Arial" w:cs="Arial"/>
          <w:sz w:val="20"/>
          <w:szCs w:val="20"/>
        </w:rPr>
      </w:pPr>
      <w:bookmarkStart w:id="2" w:name="_Hlk511816733"/>
      <w:r w:rsidRPr="00D810D0">
        <w:rPr>
          <w:rFonts w:ascii="Arial" w:hAnsi="Arial" w:cs="Arial"/>
          <w:sz w:val="20"/>
          <w:szCs w:val="20"/>
        </w:rPr>
        <w:t xml:space="preserve">Kitching, R. L., Ashton, L. A., Nakamura, A., Whitaker, T., &amp; Khen, </w:t>
      </w:r>
      <w:bookmarkEnd w:id="2"/>
      <w:r w:rsidRPr="00D810D0">
        <w:rPr>
          <w:rFonts w:ascii="Arial" w:hAnsi="Arial" w:cs="Arial"/>
          <w:sz w:val="20"/>
          <w:szCs w:val="20"/>
        </w:rPr>
        <w:t xml:space="preserve">C. V. (2013). Distance-driven species turnover in Bornean rainforests: homogeneity and heterogeneity in primary and post-logging forests. </w:t>
      </w:r>
      <w:r w:rsidRPr="00D810D0">
        <w:rPr>
          <w:rFonts w:ascii="Arial" w:hAnsi="Arial" w:cs="Arial"/>
          <w:i/>
          <w:sz w:val="20"/>
          <w:szCs w:val="20"/>
        </w:rPr>
        <w:t>Ecography</w:t>
      </w:r>
      <w:r w:rsidRPr="00D810D0">
        <w:rPr>
          <w:rFonts w:ascii="Arial" w:hAnsi="Arial" w:cs="Arial"/>
          <w:sz w:val="20"/>
          <w:szCs w:val="20"/>
        </w:rPr>
        <w:t xml:space="preserve"> </w:t>
      </w:r>
      <w:r w:rsidRPr="00D810D0">
        <w:rPr>
          <w:rFonts w:ascii="Arial" w:hAnsi="Arial" w:cs="Arial"/>
          <w:b/>
          <w:sz w:val="20"/>
          <w:szCs w:val="20"/>
        </w:rPr>
        <w:t>36</w:t>
      </w:r>
      <w:r w:rsidRPr="00D810D0">
        <w:rPr>
          <w:rFonts w:ascii="Arial" w:hAnsi="Arial" w:cs="Arial"/>
          <w:sz w:val="20"/>
          <w:szCs w:val="20"/>
        </w:rPr>
        <w:t>(6), 675–682.</w:t>
      </w:r>
    </w:p>
    <w:p w:rsidR="002208C3" w:rsidRPr="00D810D0" w:rsidRDefault="00611B94" w:rsidP="00041DE9">
      <w:pPr>
        <w:spacing w:line="480" w:lineRule="auto"/>
        <w:rPr>
          <w:rFonts w:ascii="Arial" w:hAnsi="Arial" w:cs="Arial"/>
          <w:color w:val="000000"/>
          <w:sz w:val="20"/>
          <w:szCs w:val="20"/>
        </w:rPr>
      </w:pPr>
      <w:r w:rsidRPr="00D810D0">
        <w:rPr>
          <w:rFonts w:ascii="Arial" w:hAnsi="Arial" w:cs="Arial"/>
          <w:color w:val="000000"/>
          <w:sz w:val="20"/>
          <w:szCs w:val="20"/>
        </w:rPr>
        <w:t xml:space="preserve">Lewis, S. L., Edwards, D. P., &amp; Galbraith, D. (2015). Increasing human dominance of tropical forests. </w:t>
      </w:r>
      <w:r w:rsidRPr="00D810D0">
        <w:rPr>
          <w:rFonts w:ascii="Arial" w:hAnsi="Arial" w:cs="Arial"/>
          <w:i/>
          <w:color w:val="000000"/>
          <w:sz w:val="20"/>
          <w:szCs w:val="20"/>
        </w:rPr>
        <w:t>Science</w:t>
      </w:r>
      <w:r w:rsidRPr="00D810D0">
        <w:rPr>
          <w:rFonts w:ascii="Arial" w:hAnsi="Arial" w:cs="Arial"/>
          <w:color w:val="000000"/>
          <w:sz w:val="20"/>
          <w:szCs w:val="20"/>
        </w:rPr>
        <w:t xml:space="preserve"> </w:t>
      </w:r>
      <w:r w:rsidRPr="00D810D0">
        <w:rPr>
          <w:rFonts w:ascii="Arial" w:hAnsi="Arial" w:cs="Arial"/>
          <w:b/>
          <w:color w:val="000000"/>
          <w:sz w:val="20"/>
          <w:szCs w:val="20"/>
        </w:rPr>
        <w:t>349</w:t>
      </w:r>
      <w:r w:rsidRPr="00D810D0">
        <w:rPr>
          <w:rFonts w:ascii="Arial" w:hAnsi="Arial" w:cs="Arial"/>
          <w:color w:val="000000"/>
          <w:sz w:val="20"/>
          <w:szCs w:val="20"/>
        </w:rPr>
        <w:t>(6250), 827–832.</w:t>
      </w:r>
    </w:p>
    <w:p w:rsidR="00FE08D3" w:rsidRPr="00D810D0" w:rsidRDefault="00611B94" w:rsidP="00041DE9">
      <w:pPr>
        <w:spacing w:line="480" w:lineRule="auto"/>
        <w:rPr>
          <w:rFonts w:ascii="Arial" w:hAnsi="Arial" w:cs="Arial"/>
          <w:color w:val="000000"/>
          <w:sz w:val="20"/>
          <w:szCs w:val="20"/>
        </w:rPr>
      </w:pPr>
      <w:r w:rsidRPr="00D810D0">
        <w:rPr>
          <w:rFonts w:ascii="Arial" w:hAnsi="Arial" w:cs="Arial"/>
          <w:color w:val="000000"/>
          <w:sz w:val="20"/>
          <w:szCs w:val="20"/>
        </w:rPr>
        <w:t xml:space="preserve">Luskin, M. S., &amp; Potts, M. D. (2011). Microclimate and habitat heterogeneity through the oil palm lifecycle. </w:t>
      </w:r>
      <w:r w:rsidRPr="00D810D0">
        <w:rPr>
          <w:rFonts w:ascii="Arial" w:hAnsi="Arial" w:cs="Arial"/>
          <w:i/>
          <w:color w:val="000000"/>
          <w:sz w:val="20"/>
          <w:szCs w:val="20"/>
        </w:rPr>
        <w:t>Basic and Applied Ecology</w:t>
      </w:r>
      <w:r w:rsidRPr="00D810D0">
        <w:rPr>
          <w:rFonts w:ascii="Arial" w:hAnsi="Arial" w:cs="Arial"/>
          <w:color w:val="000000"/>
          <w:sz w:val="20"/>
          <w:szCs w:val="20"/>
        </w:rPr>
        <w:t xml:space="preserve"> </w:t>
      </w:r>
      <w:r w:rsidRPr="00D810D0">
        <w:rPr>
          <w:rFonts w:ascii="Arial" w:hAnsi="Arial" w:cs="Arial"/>
          <w:b/>
          <w:color w:val="000000"/>
          <w:sz w:val="20"/>
          <w:szCs w:val="20"/>
        </w:rPr>
        <w:t>12</w:t>
      </w:r>
      <w:r w:rsidR="009A2D10">
        <w:rPr>
          <w:rFonts w:ascii="Arial" w:hAnsi="Arial" w:cs="Arial"/>
          <w:color w:val="000000"/>
          <w:sz w:val="20"/>
          <w:szCs w:val="20"/>
        </w:rPr>
        <w:t>(6)</w:t>
      </w:r>
      <w:r w:rsidRPr="00D810D0">
        <w:rPr>
          <w:rFonts w:ascii="Arial" w:hAnsi="Arial" w:cs="Arial"/>
          <w:color w:val="000000"/>
          <w:sz w:val="20"/>
          <w:szCs w:val="20"/>
        </w:rPr>
        <w:t>, 540–551.</w:t>
      </w:r>
    </w:p>
    <w:p w:rsidR="00B67CED" w:rsidRPr="00D810D0" w:rsidRDefault="00611B94" w:rsidP="00041DE9">
      <w:pPr>
        <w:spacing w:line="480" w:lineRule="auto"/>
        <w:rPr>
          <w:rFonts w:ascii="Arial" w:hAnsi="Arial" w:cs="Arial"/>
          <w:sz w:val="20"/>
          <w:szCs w:val="20"/>
        </w:rPr>
      </w:pPr>
      <w:r w:rsidRPr="00D810D0">
        <w:rPr>
          <w:rFonts w:ascii="Arial" w:hAnsi="Arial" w:cs="Arial"/>
          <w:sz w:val="20"/>
          <w:szCs w:val="20"/>
        </w:rPr>
        <w:t xml:space="preserve">Magurran, A.E. (2004). </w:t>
      </w:r>
      <w:r w:rsidRPr="00D810D0">
        <w:rPr>
          <w:rFonts w:ascii="Arial" w:hAnsi="Arial" w:cs="Arial"/>
          <w:i/>
          <w:sz w:val="20"/>
          <w:szCs w:val="20"/>
        </w:rPr>
        <w:t>Measuring Biological Diversity</w:t>
      </w:r>
      <w:r w:rsidRPr="00D810D0">
        <w:rPr>
          <w:rFonts w:ascii="Arial" w:hAnsi="Arial" w:cs="Arial"/>
          <w:sz w:val="20"/>
          <w:szCs w:val="20"/>
        </w:rPr>
        <w:t>. New Jersey: Wiley-Blackwell.</w:t>
      </w:r>
    </w:p>
    <w:p w:rsidR="00A17C4B" w:rsidRPr="00D810D0" w:rsidRDefault="00611B94" w:rsidP="00041DE9">
      <w:pPr>
        <w:spacing w:line="480" w:lineRule="auto"/>
        <w:rPr>
          <w:rFonts w:ascii="Arial" w:hAnsi="Arial" w:cs="Arial"/>
          <w:sz w:val="20"/>
          <w:szCs w:val="20"/>
        </w:rPr>
      </w:pPr>
      <w:r w:rsidRPr="00D810D0">
        <w:rPr>
          <w:rFonts w:ascii="Arial" w:hAnsi="Arial" w:cs="Arial"/>
          <w:sz w:val="20"/>
          <w:szCs w:val="20"/>
        </w:rPr>
        <w:t xml:space="preserve">Marsh, C.J. &amp; Ewers, R.M. (2013). A fractal-based sampling design for ecological surveys quantifying beta-diversity. </w:t>
      </w:r>
      <w:r w:rsidRPr="00D810D0">
        <w:rPr>
          <w:rFonts w:ascii="Arial" w:hAnsi="Arial" w:cs="Arial"/>
          <w:i/>
          <w:sz w:val="20"/>
          <w:szCs w:val="20"/>
        </w:rPr>
        <w:t>Methods in Ec</w:t>
      </w:r>
      <w:r w:rsidRPr="00D810D0">
        <w:rPr>
          <w:rFonts w:ascii="Arial" w:hAnsi="Arial" w:cs="Arial"/>
          <w:i/>
          <w:sz w:val="20"/>
          <w:szCs w:val="20"/>
        </w:rPr>
        <w:t>ology and Evolution</w:t>
      </w:r>
      <w:r w:rsidRPr="00D810D0">
        <w:rPr>
          <w:rFonts w:ascii="Arial" w:hAnsi="Arial" w:cs="Arial"/>
          <w:b/>
          <w:bCs/>
          <w:sz w:val="20"/>
          <w:szCs w:val="20"/>
        </w:rPr>
        <w:t xml:space="preserve"> 4</w:t>
      </w:r>
      <w:r w:rsidR="009A2D10">
        <w:rPr>
          <w:rFonts w:ascii="Arial" w:hAnsi="Arial" w:cs="Arial"/>
          <w:bCs/>
          <w:sz w:val="20"/>
          <w:szCs w:val="20"/>
        </w:rPr>
        <w:t>(1)</w:t>
      </w:r>
      <w:r w:rsidRPr="00D810D0">
        <w:rPr>
          <w:rFonts w:ascii="Arial" w:hAnsi="Arial" w:cs="Arial"/>
          <w:sz w:val="20"/>
          <w:szCs w:val="20"/>
        </w:rPr>
        <w:t>, 63–72.</w:t>
      </w:r>
    </w:p>
    <w:p w:rsidR="001B1474" w:rsidRPr="00D810D0" w:rsidRDefault="00611B94" w:rsidP="00041DE9">
      <w:pPr>
        <w:spacing w:line="480" w:lineRule="auto"/>
        <w:rPr>
          <w:rFonts w:ascii="Arial" w:hAnsi="Arial" w:cs="Arial"/>
          <w:sz w:val="20"/>
          <w:szCs w:val="20"/>
        </w:rPr>
      </w:pPr>
      <w:r w:rsidRPr="00D810D0">
        <w:rPr>
          <w:rFonts w:ascii="Arial" w:hAnsi="Arial" w:cs="Arial"/>
          <w:sz w:val="20"/>
          <w:szCs w:val="20"/>
        </w:rPr>
        <w:t xml:space="preserve">McKenna, D. D., Sequeira, A. S., Marvaldi, A. E., &amp; Farrell, B. D. (2009). Temporal lags and overlap in the diversification of weevils and flowering plants. </w:t>
      </w:r>
      <w:r w:rsidRPr="00D810D0">
        <w:rPr>
          <w:rFonts w:ascii="Arial" w:hAnsi="Arial" w:cs="Arial"/>
          <w:i/>
          <w:sz w:val="20"/>
          <w:szCs w:val="20"/>
        </w:rPr>
        <w:t>Proceedings of the National Academy of Sciences</w:t>
      </w:r>
      <w:r w:rsidRPr="00D810D0">
        <w:rPr>
          <w:rFonts w:ascii="Arial" w:hAnsi="Arial" w:cs="Arial"/>
          <w:sz w:val="20"/>
          <w:szCs w:val="20"/>
        </w:rPr>
        <w:t xml:space="preserve"> </w:t>
      </w:r>
      <w:r w:rsidRPr="00D810D0">
        <w:rPr>
          <w:rFonts w:ascii="Arial" w:hAnsi="Arial" w:cs="Arial"/>
          <w:b/>
          <w:sz w:val="20"/>
          <w:szCs w:val="20"/>
        </w:rPr>
        <w:t>106</w:t>
      </w:r>
      <w:r w:rsidRPr="00D810D0">
        <w:rPr>
          <w:rFonts w:ascii="Arial" w:hAnsi="Arial" w:cs="Arial"/>
          <w:sz w:val="20"/>
          <w:szCs w:val="20"/>
        </w:rPr>
        <w:t xml:space="preserve">(17), </w:t>
      </w:r>
      <w:r w:rsidRPr="00D810D0">
        <w:rPr>
          <w:rFonts w:ascii="Arial" w:hAnsi="Arial" w:cs="Arial"/>
          <w:sz w:val="20"/>
          <w:szCs w:val="20"/>
        </w:rPr>
        <w:t>7083–7088.</w:t>
      </w:r>
    </w:p>
    <w:p w:rsidR="00A17C4B" w:rsidRPr="00D810D0" w:rsidRDefault="00611B94" w:rsidP="00041DE9">
      <w:pPr>
        <w:spacing w:line="480" w:lineRule="auto"/>
        <w:rPr>
          <w:rFonts w:ascii="Arial" w:hAnsi="Arial" w:cs="Arial"/>
          <w:sz w:val="20"/>
          <w:szCs w:val="20"/>
          <w:shd w:val="clear" w:color="auto" w:fill="FFFFFF"/>
        </w:rPr>
      </w:pPr>
      <w:r w:rsidRPr="00D810D0">
        <w:rPr>
          <w:rFonts w:ascii="Arial" w:hAnsi="Arial" w:cs="Arial"/>
          <w:sz w:val="20"/>
          <w:szCs w:val="20"/>
          <w:shd w:val="clear" w:color="auto" w:fill="FFFFFF"/>
        </w:rPr>
        <w:t>NASA/METI/AIST/Japan Spacesystems, and U.S./Japan ASTER Science Team (2009). </w:t>
      </w:r>
      <w:r w:rsidRPr="00D810D0">
        <w:rPr>
          <w:rFonts w:ascii="Arial" w:hAnsi="Arial" w:cs="Arial"/>
          <w:i/>
          <w:iCs/>
          <w:sz w:val="20"/>
          <w:szCs w:val="20"/>
          <w:shd w:val="clear" w:color="auto" w:fill="FFFFFF"/>
        </w:rPr>
        <w:t>ASTER Global Digital Elevation Model</w:t>
      </w:r>
      <w:r w:rsidRPr="00D810D0">
        <w:rPr>
          <w:rFonts w:ascii="Arial" w:hAnsi="Arial" w:cs="Arial"/>
          <w:sz w:val="20"/>
          <w:szCs w:val="20"/>
          <w:shd w:val="clear" w:color="auto" w:fill="FFFFFF"/>
        </w:rPr>
        <w:t> </w:t>
      </w:r>
      <w:r w:rsidR="009829F0" w:rsidRPr="00D810D0">
        <w:rPr>
          <w:rFonts w:ascii="Arial" w:hAnsi="Arial" w:cs="Arial"/>
          <w:sz w:val="20"/>
          <w:szCs w:val="20"/>
          <w:shd w:val="clear" w:color="auto" w:fill="FFFFFF"/>
        </w:rPr>
        <w:t xml:space="preserve">Terra ASTER </w:t>
      </w:r>
      <w:r w:rsidR="00176113" w:rsidRPr="00D810D0">
        <w:rPr>
          <w:rFonts w:ascii="Arial" w:hAnsi="Arial" w:cs="Arial"/>
          <w:sz w:val="20"/>
          <w:szCs w:val="20"/>
          <w:shd w:val="clear" w:color="auto" w:fill="FFFFFF"/>
        </w:rPr>
        <w:t>v</w:t>
      </w:r>
      <w:r w:rsidR="009829F0" w:rsidRPr="00D810D0">
        <w:rPr>
          <w:rFonts w:ascii="Arial" w:hAnsi="Arial" w:cs="Arial"/>
          <w:sz w:val="20"/>
          <w:szCs w:val="20"/>
          <w:shd w:val="clear" w:color="auto" w:fill="FFFFFF"/>
        </w:rPr>
        <w:t>2</w:t>
      </w:r>
      <w:r w:rsidRPr="00D810D0">
        <w:rPr>
          <w:rFonts w:ascii="Arial" w:hAnsi="Arial" w:cs="Arial"/>
          <w:sz w:val="20"/>
          <w:szCs w:val="20"/>
          <w:shd w:val="clear" w:color="auto" w:fill="FFFFFF"/>
        </w:rPr>
        <w:t>. NASA EOSDIS Land Processes DAAC.</w:t>
      </w:r>
    </w:p>
    <w:p w:rsidR="00663748" w:rsidRPr="00D810D0" w:rsidRDefault="00611B94" w:rsidP="00041DE9">
      <w:pPr>
        <w:spacing w:line="480" w:lineRule="auto"/>
        <w:rPr>
          <w:rFonts w:ascii="Arial" w:hAnsi="Arial" w:cs="Arial"/>
          <w:sz w:val="20"/>
          <w:szCs w:val="20"/>
        </w:rPr>
      </w:pPr>
      <w:r w:rsidRPr="00D810D0">
        <w:rPr>
          <w:rFonts w:ascii="Arial" w:hAnsi="Arial" w:cs="Arial"/>
          <w:sz w:val="20"/>
          <w:szCs w:val="20"/>
        </w:rPr>
        <w:t>Oberprieler, R. G., Marvaldi, A. E., &amp; Anderson, R. S. (2007). Weevils, weevils, w</w:t>
      </w:r>
      <w:r w:rsidRPr="00D810D0">
        <w:rPr>
          <w:rFonts w:ascii="Arial" w:hAnsi="Arial" w:cs="Arial"/>
          <w:sz w:val="20"/>
          <w:szCs w:val="20"/>
        </w:rPr>
        <w:t xml:space="preserve">eevils everywhere. </w:t>
      </w:r>
      <w:r w:rsidRPr="00D810D0">
        <w:rPr>
          <w:rFonts w:ascii="Arial" w:hAnsi="Arial" w:cs="Arial"/>
          <w:i/>
          <w:sz w:val="20"/>
          <w:szCs w:val="20"/>
        </w:rPr>
        <w:t>Zootaxa</w:t>
      </w:r>
      <w:r w:rsidRPr="00D810D0">
        <w:rPr>
          <w:rFonts w:ascii="Arial" w:hAnsi="Arial" w:cs="Arial"/>
          <w:sz w:val="20"/>
          <w:szCs w:val="20"/>
        </w:rPr>
        <w:t xml:space="preserve"> </w:t>
      </w:r>
      <w:r w:rsidR="009A2D10">
        <w:rPr>
          <w:rFonts w:ascii="Arial" w:hAnsi="Arial" w:cs="Arial"/>
          <w:b/>
          <w:sz w:val="20"/>
          <w:szCs w:val="20"/>
        </w:rPr>
        <w:t>520</w:t>
      </w:r>
      <w:r w:rsidR="009A2D10">
        <w:rPr>
          <w:rFonts w:ascii="Arial" w:hAnsi="Arial" w:cs="Arial"/>
          <w:sz w:val="20"/>
          <w:szCs w:val="20"/>
        </w:rPr>
        <w:t>(1668)</w:t>
      </w:r>
      <w:r w:rsidRPr="00D810D0">
        <w:rPr>
          <w:rFonts w:ascii="Arial" w:hAnsi="Arial" w:cs="Arial"/>
          <w:sz w:val="20"/>
          <w:szCs w:val="20"/>
        </w:rPr>
        <w:t>, 491–520.</w:t>
      </w:r>
    </w:p>
    <w:p w:rsidR="000B5BCC" w:rsidRPr="00D810D0" w:rsidRDefault="00611B94" w:rsidP="00041DE9">
      <w:pPr>
        <w:spacing w:line="480" w:lineRule="auto"/>
        <w:rPr>
          <w:rFonts w:ascii="Arial" w:hAnsi="Arial" w:cs="Arial"/>
          <w:sz w:val="20"/>
          <w:szCs w:val="20"/>
        </w:rPr>
      </w:pPr>
      <w:r w:rsidRPr="00D810D0">
        <w:rPr>
          <w:rFonts w:ascii="Arial" w:hAnsi="Arial" w:cs="Arial"/>
          <w:sz w:val="20"/>
          <w:szCs w:val="20"/>
        </w:rPr>
        <w:t xml:space="preserve">Pfeifer, M., Kor, L., Nilus, R., Turner, E., Cusack, J., Lysenko, I., … Ewers, R. (2016). Mapping the structure of Borneo’s tropical forests across a degradation gradient. </w:t>
      </w:r>
      <w:r w:rsidRPr="00D810D0">
        <w:rPr>
          <w:rFonts w:ascii="Arial" w:hAnsi="Arial" w:cs="Arial"/>
          <w:i/>
          <w:sz w:val="20"/>
          <w:szCs w:val="20"/>
        </w:rPr>
        <w:t>Remote Sensing of Environment</w:t>
      </w:r>
      <w:r w:rsidRPr="00D810D0">
        <w:rPr>
          <w:rFonts w:ascii="Arial" w:hAnsi="Arial" w:cs="Arial"/>
          <w:sz w:val="20"/>
          <w:szCs w:val="20"/>
        </w:rPr>
        <w:t xml:space="preserve"> </w:t>
      </w:r>
      <w:r w:rsidRPr="00D810D0">
        <w:rPr>
          <w:rFonts w:ascii="Arial" w:hAnsi="Arial" w:cs="Arial"/>
          <w:b/>
          <w:bCs/>
          <w:sz w:val="20"/>
          <w:szCs w:val="20"/>
        </w:rPr>
        <w:t>176</w:t>
      </w:r>
      <w:r w:rsidRPr="00D810D0">
        <w:rPr>
          <w:rFonts w:ascii="Arial" w:hAnsi="Arial" w:cs="Arial"/>
          <w:sz w:val="20"/>
          <w:szCs w:val="20"/>
        </w:rPr>
        <w:t xml:space="preserve">, </w:t>
      </w:r>
      <w:r w:rsidRPr="00D810D0">
        <w:rPr>
          <w:rFonts w:ascii="Arial" w:hAnsi="Arial" w:cs="Arial"/>
          <w:sz w:val="20"/>
          <w:szCs w:val="20"/>
        </w:rPr>
        <w:t>84–97.</w:t>
      </w:r>
    </w:p>
    <w:p w:rsidR="006764D7" w:rsidRPr="00D810D0" w:rsidRDefault="00611B94" w:rsidP="00041DE9">
      <w:pPr>
        <w:spacing w:line="480" w:lineRule="auto"/>
        <w:rPr>
          <w:rFonts w:ascii="Arial" w:hAnsi="Arial" w:cs="Arial"/>
          <w:sz w:val="20"/>
          <w:szCs w:val="20"/>
        </w:rPr>
      </w:pPr>
      <w:r w:rsidRPr="00D810D0">
        <w:rPr>
          <w:rFonts w:ascii="Arial" w:hAnsi="Arial" w:cs="Arial"/>
          <w:sz w:val="20"/>
          <w:szCs w:val="20"/>
        </w:rPr>
        <w:t xml:space="preserve">Pfeiffer, M., &amp; Mezger, D. (2012). Biodiversity </w:t>
      </w:r>
      <w:r w:rsidR="003869A2">
        <w:rPr>
          <w:rFonts w:ascii="Arial" w:hAnsi="Arial" w:cs="Arial"/>
          <w:sz w:val="20"/>
          <w:szCs w:val="20"/>
        </w:rPr>
        <w:t>a</w:t>
      </w:r>
      <w:r w:rsidR="003869A2" w:rsidRPr="00D810D0">
        <w:rPr>
          <w:rFonts w:ascii="Arial" w:hAnsi="Arial" w:cs="Arial"/>
          <w:sz w:val="20"/>
          <w:szCs w:val="20"/>
        </w:rPr>
        <w:t xml:space="preserve">ssessment </w:t>
      </w:r>
      <w:r w:rsidRPr="00D810D0">
        <w:rPr>
          <w:rFonts w:ascii="Arial" w:hAnsi="Arial" w:cs="Arial"/>
          <w:sz w:val="20"/>
          <w:szCs w:val="20"/>
        </w:rPr>
        <w:t xml:space="preserve">in </w:t>
      </w:r>
      <w:r w:rsidR="003869A2">
        <w:rPr>
          <w:rFonts w:ascii="Arial" w:hAnsi="Arial" w:cs="Arial"/>
          <w:sz w:val="20"/>
          <w:szCs w:val="20"/>
        </w:rPr>
        <w:t>i</w:t>
      </w:r>
      <w:r w:rsidR="003869A2" w:rsidRPr="00D810D0">
        <w:rPr>
          <w:rFonts w:ascii="Arial" w:hAnsi="Arial" w:cs="Arial"/>
          <w:sz w:val="20"/>
          <w:szCs w:val="20"/>
        </w:rPr>
        <w:t xml:space="preserve">ncomplete </w:t>
      </w:r>
      <w:r w:rsidR="003869A2">
        <w:rPr>
          <w:rFonts w:ascii="Arial" w:hAnsi="Arial" w:cs="Arial"/>
          <w:sz w:val="20"/>
          <w:szCs w:val="20"/>
        </w:rPr>
        <w:t>i</w:t>
      </w:r>
      <w:r w:rsidR="003869A2" w:rsidRPr="00D810D0">
        <w:rPr>
          <w:rFonts w:ascii="Arial" w:hAnsi="Arial" w:cs="Arial"/>
          <w:sz w:val="20"/>
          <w:szCs w:val="20"/>
        </w:rPr>
        <w:t>nventories</w:t>
      </w:r>
      <w:r w:rsidRPr="00D810D0">
        <w:rPr>
          <w:rFonts w:ascii="Arial" w:hAnsi="Arial" w:cs="Arial"/>
          <w:sz w:val="20"/>
          <w:szCs w:val="20"/>
        </w:rPr>
        <w:t xml:space="preserve">: Leaf </w:t>
      </w:r>
      <w:r w:rsidR="003869A2">
        <w:rPr>
          <w:rFonts w:ascii="Arial" w:hAnsi="Arial" w:cs="Arial"/>
          <w:sz w:val="20"/>
          <w:szCs w:val="20"/>
        </w:rPr>
        <w:t>l</w:t>
      </w:r>
      <w:r w:rsidR="003869A2" w:rsidRPr="00D810D0">
        <w:rPr>
          <w:rFonts w:ascii="Arial" w:hAnsi="Arial" w:cs="Arial"/>
          <w:sz w:val="20"/>
          <w:szCs w:val="20"/>
        </w:rPr>
        <w:t xml:space="preserve">itter </w:t>
      </w:r>
      <w:r w:rsidR="003869A2">
        <w:rPr>
          <w:rFonts w:ascii="Arial" w:hAnsi="Arial" w:cs="Arial"/>
          <w:sz w:val="20"/>
          <w:szCs w:val="20"/>
        </w:rPr>
        <w:t>a</w:t>
      </w:r>
      <w:r w:rsidR="003869A2" w:rsidRPr="00D810D0">
        <w:rPr>
          <w:rFonts w:ascii="Arial" w:hAnsi="Arial" w:cs="Arial"/>
          <w:sz w:val="20"/>
          <w:szCs w:val="20"/>
        </w:rPr>
        <w:t xml:space="preserve">nt </w:t>
      </w:r>
      <w:r w:rsidR="003869A2">
        <w:rPr>
          <w:rFonts w:ascii="Arial" w:hAnsi="Arial" w:cs="Arial"/>
          <w:sz w:val="20"/>
          <w:szCs w:val="20"/>
        </w:rPr>
        <w:t>c</w:t>
      </w:r>
      <w:r w:rsidR="003869A2" w:rsidRPr="00D810D0">
        <w:rPr>
          <w:rFonts w:ascii="Arial" w:hAnsi="Arial" w:cs="Arial"/>
          <w:sz w:val="20"/>
          <w:szCs w:val="20"/>
        </w:rPr>
        <w:t xml:space="preserve">ommunities </w:t>
      </w:r>
      <w:r w:rsidRPr="00D810D0">
        <w:rPr>
          <w:rFonts w:ascii="Arial" w:hAnsi="Arial" w:cs="Arial"/>
          <w:sz w:val="20"/>
          <w:szCs w:val="20"/>
        </w:rPr>
        <w:t xml:space="preserve">in </w:t>
      </w:r>
      <w:r w:rsidR="003869A2">
        <w:rPr>
          <w:rFonts w:ascii="Arial" w:hAnsi="Arial" w:cs="Arial"/>
          <w:sz w:val="20"/>
          <w:szCs w:val="20"/>
        </w:rPr>
        <w:t>s</w:t>
      </w:r>
      <w:r w:rsidR="003869A2" w:rsidRPr="00D810D0">
        <w:rPr>
          <w:rFonts w:ascii="Arial" w:hAnsi="Arial" w:cs="Arial"/>
          <w:sz w:val="20"/>
          <w:szCs w:val="20"/>
        </w:rPr>
        <w:t xml:space="preserve">everal </w:t>
      </w:r>
      <w:r w:rsidR="003869A2">
        <w:rPr>
          <w:rFonts w:ascii="Arial" w:hAnsi="Arial" w:cs="Arial"/>
          <w:sz w:val="20"/>
          <w:szCs w:val="20"/>
        </w:rPr>
        <w:t>t</w:t>
      </w:r>
      <w:r w:rsidR="003869A2" w:rsidRPr="00D810D0">
        <w:rPr>
          <w:rFonts w:ascii="Arial" w:hAnsi="Arial" w:cs="Arial"/>
          <w:sz w:val="20"/>
          <w:szCs w:val="20"/>
        </w:rPr>
        <w:t xml:space="preserve">ypes </w:t>
      </w:r>
      <w:r w:rsidRPr="00D810D0">
        <w:rPr>
          <w:rFonts w:ascii="Arial" w:hAnsi="Arial" w:cs="Arial"/>
          <w:sz w:val="20"/>
          <w:szCs w:val="20"/>
        </w:rPr>
        <w:t xml:space="preserve">of Bornean </w:t>
      </w:r>
      <w:r w:rsidR="003869A2">
        <w:rPr>
          <w:rFonts w:ascii="Arial" w:hAnsi="Arial" w:cs="Arial"/>
          <w:sz w:val="20"/>
          <w:szCs w:val="20"/>
        </w:rPr>
        <w:t>r</w:t>
      </w:r>
      <w:r w:rsidR="003869A2" w:rsidRPr="00D810D0">
        <w:rPr>
          <w:rFonts w:ascii="Arial" w:hAnsi="Arial" w:cs="Arial"/>
          <w:sz w:val="20"/>
          <w:szCs w:val="20"/>
        </w:rPr>
        <w:t xml:space="preserve">ain </w:t>
      </w:r>
      <w:r w:rsidR="003869A2">
        <w:rPr>
          <w:rFonts w:ascii="Arial" w:hAnsi="Arial" w:cs="Arial"/>
          <w:sz w:val="20"/>
          <w:szCs w:val="20"/>
        </w:rPr>
        <w:t>f</w:t>
      </w:r>
      <w:r w:rsidR="003869A2" w:rsidRPr="00D810D0">
        <w:rPr>
          <w:rFonts w:ascii="Arial" w:hAnsi="Arial" w:cs="Arial"/>
          <w:sz w:val="20"/>
          <w:szCs w:val="20"/>
        </w:rPr>
        <w:t>orest</w:t>
      </w:r>
      <w:r w:rsidRPr="00D810D0">
        <w:rPr>
          <w:rFonts w:ascii="Arial" w:hAnsi="Arial" w:cs="Arial"/>
          <w:sz w:val="20"/>
          <w:szCs w:val="20"/>
        </w:rPr>
        <w:t xml:space="preserve">. </w:t>
      </w:r>
      <w:r w:rsidRPr="00D810D0">
        <w:rPr>
          <w:rFonts w:ascii="Arial" w:hAnsi="Arial" w:cs="Arial"/>
          <w:i/>
          <w:sz w:val="20"/>
          <w:szCs w:val="20"/>
        </w:rPr>
        <w:t>PLOS ONE</w:t>
      </w:r>
      <w:r w:rsidRPr="00D810D0">
        <w:rPr>
          <w:rFonts w:ascii="Arial" w:hAnsi="Arial" w:cs="Arial"/>
          <w:sz w:val="20"/>
          <w:szCs w:val="20"/>
        </w:rPr>
        <w:t xml:space="preserve">, </w:t>
      </w:r>
      <w:r w:rsidRPr="00D810D0">
        <w:rPr>
          <w:rFonts w:ascii="Arial" w:hAnsi="Arial" w:cs="Arial"/>
          <w:b/>
          <w:sz w:val="20"/>
          <w:szCs w:val="20"/>
        </w:rPr>
        <w:t>7</w:t>
      </w:r>
      <w:r w:rsidRPr="00D810D0">
        <w:rPr>
          <w:rFonts w:ascii="Arial" w:hAnsi="Arial" w:cs="Arial"/>
          <w:sz w:val="20"/>
          <w:szCs w:val="20"/>
        </w:rPr>
        <w:t>(7), e40729.</w:t>
      </w:r>
    </w:p>
    <w:p w:rsidR="000F474D" w:rsidRPr="00D810D0" w:rsidRDefault="00611B94" w:rsidP="00041DE9">
      <w:pPr>
        <w:spacing w:line="480" w:lineRule="auto"/>
        <w:rPr>
          <w:rFonts w:ascii="Arial" w:hAnsi="Arial" w:cs="Arial"/>
          <w:sz w:val="20"/>
          <w:szCs w:val="20"/>
        </w:rPr>
      </w:pPr>
      <w:r w:rsidRPr="00D810D0">
        <w:rPr>
          <w:rFonts w:ascii="Arial" w:hAnsi="Arial" w:cs="Arial"/>
          <w:sz w:val="20"/>
          <w:szCs w:val="20"/>
        </w:rPr>
        <w:lastRenderedPageBreak/>
        <w:t xml:space="preserve">Slik, J. W. F., Poulsen, A. D., Ashton, P. S., Cannon, C. H., Eichhorn, K. A. O., Kartawinata, K., … Wilkie, P. (2003). A floristic analysis of the lowland dipterocarp forests of Borneo. </w:t>
      </w:r>
      <w:r w:rsidRPr="00D810D0">
        <w:rPr>
          <w:rFonts w:ascii="Arial" w:hAnsi="Arial" w:cs="Arial"/>
          <w:i/>
          <w:sz w:val="20"/>
          <w:szCs w:val="20"/>
        </w:rPr>
        <w:t>Journal of Biogeography</w:t>
      </w:r>
      <w:r w:rsidR="00603F3A" w:rsidRPr="00D810D0">
        <w:rPr>
          <w:rFonts w:ascii="Arial" w:hAnsi="Arial" w:cs="Arial"/>
          <w:sz w:val="20"/>
          <w:szCs w:val="20"/>
        </w:rPr>
        <w:t xml:space="preserve"> </w:t>
      </w:r>
      <w:r w:rsidRPr="00D810D0">
        <w:rPr>
          <w:rFonts w:ascii="Arial" w:hAnsi="Arial" w:cs="Arial"/>
          <w:b/>
          <w:sz w:val="20"/>
          <w:szCs w:val="20"/>
        </w:rPr>
        <w:t>30</w:t>
      </w:r>
      <w:r w:rsidRPr="00D810D0">
        <w:rPr>
          <w:rFonts w:ascii="Arial" w:hAnsi="Arial" w:cs="Arial"/>
          <w:sz w:val="20"/>
          <w:szCs w:val="20"/>
        </w:rPr>
        <w:t>(10), 1517–1531.</w:t>
      </w:r>
    </w:p>
    <w:p w:rsidR="000B5BCC" w:rsidRPr="00D810D0" w:rsidRDefault="00611B94" w:rsidP="00041DE9">
      <w:pPr>
        <w:spacing w:line="480" w:lineRule="auto"/>
        <w:rPr>
          <w:rFonts w:ascii="Arial" w:hAnsi="Arial" w:cs="Arial"/>
          <w:sz w:val="20"/>
          <w:szCs w:val="20"/>
        </w:rPr>
      </w:pPr>
      <w:r w:rsidRPr="00D810D0">
        <w:rPr>
          <w:rFonts w:ascii="Arial" w:hAnsi="Arial" w:cs="Arial"/>
          <w:sz w:val="20"/>
          <w:szCs w:val="20"/>
        </w:rPr>
        <w:t xml:space="preserve">Struebig, M. </w:t>
      </w:r>
      <w:r w:rsidRPr="00D810D0">
        <w:rPr>
          <w:rFonts w:ascii="Arial" w:hAnsi="Arial" w:cs="Arial"/>
          <w:sz w:val="20"/>
          <w:szCs w:val="20"/>
        </w:rPr>
        <w:t xml:space="preserve">J., Turner, A., Giles, E., Lasmana, F., Tollington, S., Bernard, H., &amp; Bell, D. (2013). Quantifying the </w:t>
      </w:r>
      <w:r w:rsidR="003869A2">
        <w:rPr>
          <w:rFonts w:ascii="Arial" w:hAnsi="Arial" w:cs="Arial"/>
          <w:sz w:val="20"/>
          <w:szCs w:val="20"/>
        </w:rPr>
        <w:t>b</w:t>
      </w:r>
      <w:r w:rsidR="003869A2" w:rsidRPr="00D810D0">
        <w:rPr>
          <w:rFonts w:ascii="Arial" w:hAnsi="Arial" w:cs="Arial"/>
          <w:sz w:val="20"/>
          <w:szCs w:val="20"/>
        </w:rPr>
        <w:t xml:space="preserve">iodiversity </w:t>
      </w:r>
      <w:r w:rsidR="003869A2">
        <w:rPr>
          <w:rFonts w:ascii="Arial" w:hAnsi="Arial" w:cs="Arial"/>
          <w:sz w:val="20"/>
          <w:szCs w:val="20"/>
        </w:rPr>
        <w:t>v</w:t>
      </w:r>
      <w:r w:rsidR="003869A2" w:rsidRPr="00D810D0">
        <w:rPr>
          <w:rFonts w:ascii="Arial" w:hAnsi="Arial" w:cs="Arial"/>
          <w:sz w:val="20"/>
          <w:szCs w:val="20"/>
        </w:rPr>
        <w:t xml:space="preserve">alue </w:t>
      </w:r>
      <w:r w:rsidRPr="00D810D0">
        <w:rPr>
          <w:rFonts w:ascii="Arial" w:hAnsi="Arial" w:cs="Arial"/>
          <w:sz w:val="20"/>
          <w:szCs w:val="20"/>
        </w:rPr>
        <w:t xml:space="preserve">of </w:t>
      </w:r>
      <w:r w:rsidR="003869A2">
        <w:rPr>
          <w:rFonts w:ascii="Arial" w:hAnsi="Arial" w:cs="Arial"/>
          <w:sz w:val="20"/>
          <w:szCs w:val="20"/>
        </w:rPr>
        <w:t>r</w:t>
      </w:r>
      <w:r w:rsidR="003869A2" w:rsidRPr="00D810D0">
        <w:rPr>
          <w:rFonts w:ascii="Arial" w:hAnsi="Arial" w:cs="Arial"/>
          <w:sz w:val="20"/>
          <w:szCs w:val="20"/>
        </w:rPr>
        <w:t xml:space="preserve">epeatedly </w:t>
      </w:r>
      <w:r w:rsidR="003869A2">
        <w:rPr>
          <w:rFonts w:ascii="Arial" w:hAnsi="Arial" w:cs="Arial"/>
          <w:sz w:val="20"/>
          <w:szCs w:val="20"/>
        </w:rPr>
        <w:t>l</w:t>
      </w:r>
      <w:r w:rsidR="003869A2" w:rsidRPr="00D810D0">
        <w:rPr>
          <w:rFonts w:ascii="Arial" w:hAnsi="Arial" w:cs="Arial"/>
          <w:sz w:val="20"/>
          <w:szCs w:val="20"/>
        </w:rPr>
        <w:t xml:space="preserve">ogged </w:t>
      </w:r>
      <w:r w:rsidR="003869A2">
        <w:rPr>
          <w:rFonts w:ascii="Arial" w:hAnsi="Arial" w:cs="Arial"/>
          <w:sz w:val="20"/>
          <w:szCs w:val="20"/>
        </w:rPr>
        <w:t>r</w:t>
      </w:r>
      <w:r w:rsidR="003869A2" w:rsidRPr="00D810D0">
        <w:rPr>
          <w:rFonts w:ascii="Arial" w:hAnsi="Arial" w:cs="Arial"/>
          <w:sz w:val="20"/>
          <w:szCs w:val="20"/>
        </w:rPr>
        <w:t>ainforests</w:t>
      </w:r>
      <w:r w:rsidRPr="00D810D0">
        <w:rPr>
          <w:rFonts w:ascii="Arial" w:hAnsi="Arial" w:cs="Arial"/>
          <w:sz w:val="20"/>
          <w:szCs w:val="20"/>
        </w:rPr>
        <w:t xml:space="preserve">: Gradient and </w:t>
      </w:r>
      <w:r w:rsidR="003869A2">
        <w:rPr>
          <w:rFonts w:ascii="Arial" w:hAnsi="Arial" w:cs="Arial"/>
          <w:sz w:val="20"/>
          <w:szCs w:val="20"/>
        </w:rPr>
        <w:t>c</w:t>
      </w:r>
      <w:r w:rsidR="003869A2" w:rsidRPr="00D810D0">
        <w:rPr>
          <w:rFonts w:ascii="Arial" w:hAnsi="Arial" w:cs="Arial"/>
          <w:sz w:val="20"/>
          <w:szCs w:val="20"/>
        </w:rPr>
        <w:t xml:space="preserve">omparative </w:t>
      </w:r>
      <w:r w:rsidR="003869A2">
        <w:rPr>
          <w:rFonts w:ascii="Arial" w:hAnsi="Arial" w:cs="Arial"/>
          <w:sz w:val="20"/>
          <w:szCs w:val="20"/>
        </w:rPr>
        <w:t>a</w:t>
      </w:r>
      <w:r w:rsidR="003869A2" w:rsidRPr="00D810D0">
        <w:rPr>
          <w:rFonts w:ascii="Arial" w:hAnsi="Arial" w:cs="Arial"/>
          <w:sz w:val="20"/>
          <w:szCs w:val="20"/>
        </w:rPr>
        <w:t xml:space="preserve">pproaches </w:t>
      </w:r>
      <w:r w:rsidRPr="00D810D0">
        <w:rPr>
          <w:rFonts w:ascii="Arial" w:hAnsi="Arial" w:cs="Arial"/>
          <w:sz w:val="20"/>
          <w:szCs w:val="20"/>
        </w:rPr>
        <w:t xml:space="preserve">from Borneo. In </w:t>
      </w:r>
      <w:r w:rsidRPr="00D810D0">
        <w:rPr>
          <w:rFonts w:ascii="Arial" w:hAnsi="Arial" w:cs="Arial"/>
          <w:i/>
          <w:iCs/>
          <w:sz w:val="20"/>
          <w:szCs w:val="20"/>
        </w:rPr>
        <w:t>Advances in Ecological Research</w:t>
      </w:r>
      <w:r w:rsidRPr="00D810D0">
        <w:rPr>
          <w:rFonts w:ascii="Arial" w:hAnsi="Arial" w:cs="Arial"/>
          <w:sz w:val="20"/>
          <w:szCs w:val="20"/>
        </w:rPr>
        <w:t xml:space="preserve"> p. 183–224. New York: Academic Press.</w:t>
      </w:r>
    </w:p>
    <w:p w:rsidR="002208C3" w:rsidRPr="00D810D0" w:rsidRDefault="00611B94" w:rsidP="00041DE9">
      <w:pPr>
        <w:spacing w:line="480" w:lineRule="auto"/>
        <w:rPr>
          <w:rFonts w:ascii="Arial" w:hAnsi="Arial" w:cs="Arial"/>
          <w:sz w:val="20"/>
          <w:szCs w:val="20"/>
        </w:rPr>
      </w:pPr>
      <w:r w:rsidRPr="00D810D0">
        <w:rPr>
          <w:rFonts w:ascii="Arial" w:hAnsi="Arial" w:cs="Arial"/>
          <w:sz w:val="20"/>
          <w:szCs w:val="20"/>
        </w:rPr>
        <w:t xml:space="preserve">Taubert, F., Fischer, R., Groeneveld, J., Lehmann, S., Müller, M. S., Rödig, E., … Huth, A. (2018). Global patterns of tropical forest fragmentation. </w:t>
      </w:r>
      <w:r w:rsidRPr="00D810D0">
        <w:rPr>
          <w:rFonts w:ascii="Arial" w:hAnsi="Arial" w:cs="Arial"/>
          <w:i/>
          <w:sz w:val="20"/>
          <w:szCs w:val="20"/>
        </w:rPr>
        <w:t>Nature</w:t>
      </w:r>
      <w:r w:rsidRPr="00D810D0">
        <w:rPr>
          <w:rFonts w:ascii="Arial" w:hAnsi="Arial" w:cs="Arial"/>
          <w:sz w:val="20"/>
          <w:szCs w:val="20"/>
        </w:rPr>
        <w:t xml:space="preserve"> </w:t>
      </w:r>
      <w:r w:rsidRPr="00D810D0">
        <w:rPr>
          <w:rFonts w:ascii="Arial" w:hAnsi="Arial" w:cs="Arial"/>
          <w:b/>
          <w:sz w:val="20"/>
          <w:szCs w:val="20"/>
        </w:rPr>
        <w:t>554</w:t>
      </w:r>
      <w:r w:rsidR="008F7D80">
        <w:rPr>
          <w:rFonts w:ascii="Arial" w:hAnsi="Arial" w:cs="Arial"/>
          <w:sz w:val="20"/>
          <w:szCs w:val="20"/>
        </w:rPr>
        <w:t>(7693)</w:t>
      </w:r>
      <w:r w:rsidRPr="00D810D0">
        <w:rPr>
          <w:rFonts w:ascii="Arial" w:hAnsi="Arial" w:cs="Arial"/>
          <w:sz w:val="20"/>
          <w:szCs w:val="20"/>
        </w:rPr>
        <w:t>, 519-522.</w:t>
      </w:r>
    </w:p>
    <w:p w:rsidR="00B10404" w:rsidRPr="00D810D0" w:rsidRDefault="00611B94" w:rsidP="00041DE9">
      <w:pPr>
        <w:spacing w:line="480" w:lineRule="auto"/>
        <w:rPr>
          <w:rFonts w:ascii="Arial" w:hAnsi="Arial" w:cs="Arial"/>
          <w:sz w:val="20"/>
          <w:szCs w:val="20"/>
        </w:rPr>
      </w:pPr>
      <w:r w:rsidRPr="00D810D0">
        <w:rPr>
          <w:rFonts w:ascii="Arial" w:hAnsi="Arial" w:cs="Arial"/>
          <w:sz w:val="20"/>
          <w:szCs w:val="20"/>
        </w:rPr>
        <w:t xml:space="preserve">Tsujino, R., Yumoto, T., Kitamura, S., Djamaluddin, I. &amp; Darnaedi, D. (2016). History of forest loss and degradation in Indonesia. </w:t>
      </w:r>
      <w:r w:rsidRPr="00D810D0">
        <w:rPr>
          <w:rFonts w:ascii="Arial" w:hAnsi="Arial" w:cs="Arial"/>
          <w:i/>
          <w:sz w:val="20"/>
          <w:szCs w:val="20"/>
        </w:rPr>
        <w:t>Land Use Policy</w:t>
      </w:r>
      <w:r w:rsidRPr="00D810D0">
        <w:rPr>
          <w:rFonts w:ascii="Arial" w:hAnsi="Arial" w:cs="Arial"/>
          <w:sz w:val="20"/>
          <w:szCs w:val="20"/>
        </w:rPr>
        <w:t xml:space="preserve"> </w:t>
      </w:r>
      <w:r w:rsidRPr="00D810D0">
        <w:rPr>
          <w:rFonts w:ascii="Arial" w:hAnsi="Arial" w:cs="Arial"/>
          <w:b/>
          <w:bCs/>
          <w:sz w:val="20"/>
          <w:szCs w:val="20"/>
        </w:rPr>
        <w:t>57</w:t>
      </w:r>
      <w:r w:rsidRPr="00D810D0">
        <w:rPr>
          <w:rFonts w:ascii="Arial" w:hAnsi="Arial" w:cs="Arial"/>
          <w:sz w:val="20"/>
          <w:szCs w:val="20"/>
        </w:rPr>
        <w:t>, 335–347.</w:t>
      </w:r>
    </w:p>
    <w:p w:rsidR="00D161C3" w:rsidRPr="00D810D0" w:rsidRDefault="00611B94" w:rsidP="00041DE9">
      <w:pPr>
        <w:spacing w:line="480" w:lineRule="auto"/>
        <w:rPr>
          <w:rFonts w:ascii="Arial" w:hAnsi="Arial" w:cs="Arial"/>
          <w:sz w:val="20"/>
          <w:szCs w:val="20"/>
        </w:rPr>
      </w:pPr>
      <w:r w:rsidRPr="00D810D0">
        <w:rPr>
          <w:rFonts w:ascii="Arial" w:hAnsi="Arial" w:cs="Arial"/>
          <w:sz w:val="20"/>
          <w:szCs w:val="20"/>
        </w:rPr>
        <w:t>Veech, J. A., &amp; Crist</w:t>
      </w:r>
      <w:r w:rsidRPr="00D810D0">
        <w:rPr>
          <w:rFonts w:ascii="Arial" w:hAnsi="Arial" w:cs="Arial"/>
          <w:sz w:val="20"/>
          <w:szCs w:val="20"/>
        </w:rPr>
        <w:t xml:space="preserve">, T. O. (2007). Habitat and climate heterogeneity maintain beta-diversity of birds among landscapes within ecoregions. </w:t>
      </w:r>
      <w:r w:rsidRPr="00D810D0">
        <w:rPr>
          <w:rFonts w:ascii="Arial" w:hAnsi="Arial" w:cs="Arial"/>
          <w:i/>
          <w:sz w:val="20"/>
          <w:szCs w:val="20"/>
        </w:rPr>
        <w:t>Global Ecology and Biogeography</w:t>
      </w:r>
      <w:r w:rsidRPr="00D810D0">
        <w:rPr>
          <w:rFonts w:ascii="Arial" w:hAnsi="Arial" w:cs="Arial"/>
          <w:sz w:val="20"/>
          <w:szCs w:val="20"/>
        </w:rPr>
        <w:t xml:space="preserve">, </w:t>
      </w:r>
      <w:r w:rsidRPr="00D810D0">
        <w:rPr>
          <w:rFonts w:ascii="Arial" w:hAnsi="Arial" w:cs="Arial"/>
          <w:b/>
          <w:sz w:val="20"/>
          <w:szCs w:val="20"/>
        </w:rPr>
        <w:t>16</w:t>
      </w:r>
      <w:r w:rsidRPr="00D810D0">
        <w:rPr>
          <w:rFonts w:ascii="Arial" w:hAnsi="Arial" w:cs="Arial"/>
          <w:sz w:val="20"/>
          <w:szCs w:val="20"/>
        </w:rPr>
        <w:t>(5), 650–656.</w:t>
      </w:r>
    </w:p>
    <w:p w:rsidR="004A2F01" w:rsidRPr="00D810D0" w:rsidRDefault="00611B94" w:rsidP="00041DE9">
      <w:pPr>
        <w:spacing w:line="480" w:lineRule="auto"/>
        <w:rPr>
          <w:rFonts w:ascii="Arial" w:hAnsi="Arial" w:cs="Arial"/>
          <w:sz w:val="20"/>
          <w:szCs w:val="20"/>
        </w:rPr>
      </w:pPr>
      <w:r w:rsidRPr="00D810D0">
        <w:rPr>
          <w:rFonts w:ascii="Arial" w:hAnsi="Arial" w:cs="Arial"/>
          <w:sz w:val="20"/>
          <w:szCs w:val="20"/>
        </w:rPr>
        <w:t>Wearn, O.R., Carbone, C., Rowcliffe, J.M., Bernard, H. &amp; Ewers, R.M. (2016). Grain-depen</w:t>
      </w:r>
      <w:r w:rsidRPr="00D810D0">
        <w:rPr>
          <w:rFonts w:ascii="Arial" w:hAnsi="Arial" w:cs="Arial"/>
          <w:sz w:val="20"/>
          <w:szCs w:val="20"/>
        </w:rPr>
        <w:t xml:space="preserve">dent responses of mammalian diversity to land use and the implications for conservation set-aside. </w:t>
      </w:r>
      <w:r w:rsidRPr="00D810D0">
        <w:rPr>
          <w:rFonts w:ascii="Arial" w:hAnsi="Arial" w:cs="Arial"/>
          <w:i/>
          <w:sz w:val="20"/>
          <w:szCs w:val="20"/>
        </w:rPr>
        <w:t>Ecological Applications</w:t>
      </w:r>
      <w:r w:rsidRPr="00D810D0">
        <w:rPr>
          <w:rFonts w:ascii="Arial" w:hAnsi="Arial" w:cs="Arial"/>
          <w:sz w:val="20"/>
          <w:szCs w:val="20"/>
        </w:rPr>
        <w:t xml:space="preserve"> </w:t>
      </w:r>
      <w:r w:rsidRPr="00D810D0">
        <w:rPr>
          <w:rFonts w:ascii="Arial" w:hAnsi="Arial" w:cs="Arial"/>
          <w:b/>
          <w:bCs/>
          <w:sz w:val="20"/>
          <w:szCs w:val="20"/>
        </w:rPr>
        <w:t>26</w:t>
      </w:r>
      <w:r w:rsidR="008F7D80">
        <w:rPr>
          <w:rFonts w:ascii="Arial" w:hAnsi="Arial" w:cs="Arial"/>
          <w:bCs/>
          <w:sz w:val="20"/>
          <w:szCs w:val="20"/>
        </w:rPr>
        <w:t>(5)</w:t>
      </w:r>
      <w:r w:rsidRPr="00D810D0">
        <w:rPr>
          <w:rFonts w:ascii="Arial" w:hAnsi="Arial" w:cs="Arial"/>
          <w:sz w:val="20"/>
          <w:szCs w:val="20"/>
        </w:rPr>
        <w:t>, 1409–1420.</w:t>
      </w:r>
    </w:p>
    <w:p w:rsidR="00E07C7F" w:rsidRPr="00D810D0" w:rsidRDefault="00611B94" w:rsidP="00041DE9">
      <w:pPr>
        <w:spacing w:line="480" w:lineRule="auto"/>
        <w:rPr>
          <w:rFonts w:ascii="Arial" w:hAnsi="Arial" w:cs="Arial"/>
          <w:sz w:val="20"/>
          <w:szCs w:val="20"/>
        </w:rPr>
      </w:pPr>
      <w:r w:rsidRPr="00D810D0">
        <w:rPr>
          <w:rFonts w:ascii="Arial" w:hAnsi="Arial" w:cs="Arial"/>
          <w:sz w:val="20"/>
          <w:szCs w:val="20"/>
        </w:rPr>
        <w:t xml:space="preserve">Webb, C. O., &amp; Peart, D. R. (2000). Habitat associations of trees and seedlings in a Bornean rain forest. </w:t>
      </w:r>
      <w:r w:rsidRPr="00D810D0">
        <w:rPr>
          <w:rFonts w:ascii="Arial" w:hAnsi="Arial" w:cs="Arial"/>
          <w:i/>
          <w:sz w:val="20"/>
          <w:szCs w:val="20"/>
        </w:rPr>
        <w:t>Journal o</w:t>
      </w:r>
      <w:r w:rsidRPr="00D810D0">
        <w:rPr>
          <w:rFonts w:ascii="Arial" w:hAnsi="Arial" w:cs="Arial"/>
          <w:i/>
          <w:sz w:val="20"/>
          <w:szCs w:val="20"/>
        </w:rPr>
        <w:t>f Ecology</w:t>
      </w:r>
      <w:r w:rsidRPr="00D810D0">
        <w:rPr>
          <w:rFonts w:ascii="Arial" w:hAnsi="Arial" w:cs="Arial"/>
          <w:sz w:val="20"/>
          <w:szCs w:val="20"/>
        </w:rPr>
        <w:t xml:space="preserve"> </w:t>
      </w:r>
      <w:r w:rsidRPr="00D810D0">
        <w:rPr>
          <w:rFonts w:ascii="Arial" w:hAnsi="Arial" w:cs="Arial"/>
          <w:b/>
          <w:sz w:val="20"/>
          <w:szCs w:val="20"/>
        </w:rPr>
        <w:t>88</w:t>
      </w:r>
      <w:r w:rsidR="008F7D80">
        <w:rPr>
          <w:rFonts w:ascii="Arial" w:hAnsi="Arial" w:cs="Arial"/>
          <w:sz w:val="20"/>
          <w:szCs w:val="20"/>
        </w:rPr>
        <w:t>(3)</w:t>
      </w:r>
      <w:r w:rsidRPr="00D810D0">
        <w:rPr>
          <w:rFonts w:ascii="Arial" w:hAnsi="Arial" w:cs="Arial"/>
          <w:sz w:val="20"/>
          <w:szCs w:val="20"/>
        </w:rPr>
        <w:t>, 464–478.</w:t>
      </w:r>
    </w:p>
    <w:p w:rsidR="007C5469" w:rsidRPr="00D810D0" w:rsidRDefault="00611B94" w:rsidP="00041DE9">
      <w:pPr>
        <w:spacing w:line="480" w:lineRule="auto"/>
        <w:rPr>
          <w:rFonts w:ascii="Arial" w:hAnsi="Arial" w:cs="Arial"/>
          <w:sz w:val="20"/>
          <w:szCs w:val="20"/>
        </w:rPr>
      </w:pPr>
      <w:r w:rsidRPr="00D810D0">
        <w:rPr>
          <w:rFonts w:ascii="Arial" w:hAnsi="Arial" w:cs="Arial"/>
          <w:sz w:val="20"/>
          <w:szCs w:val="20"/>
        </w:rPr>
        <w:t xml:space="preserve">Whittaker, R.H. (1972) Evolution and measurement of species diversity. </w:t>
      </w:r>
      <w:r w:rsidRPr="00D810D0">
        <w:rPr>
          <w:rFonts w:ascii="Arial" w:hAnsi="Arial" w:cs="Arial"/>
          <w:i/>
          <w:sz w:val="20"/>
          <w:szCs w:val="20"/>
        </w:rPr>
        <w:t>Taxon</w:t>
      </w:r>
      <w:r w:rsidRPr="00D810D0">
        <w:rPr>
          <w:rFonts w:ascii="Arial" w:hAnsi="Arial" w:cs="Arial"/>
          <w:sz w:val="20"/>
          <w:szCs w:val="20"/>
        </w:rPr>
        <w:t xml:space="preserve"> </w:t>
      </w:r>
      <w:r w:rsidRPr="00D810D0">
        <w:rPr>
          <w:rFonts w:ascii="Arial" w:hAnsi="Arial" w:cs="Arial"/>
          <w:b/>
          <w:bCs/>
          <w:sz w:val="20"/>
          <w:szCs w:val="20"/>
        </w:rPr>
        <w:t>21</w:t>
      </w:r>
      <w:r w:rsidR="008F7D80">
        <w:rPr>
          <w:rFonts w:ascii="Arial" w:hAnsi="Arial" w:cs="Arial"/>
          <w:bCs/>
          <w:sz w:val="20"/>
          <w:szCs w:val="20"/>
        </w:rPr>
        <w:t>(2-3)</w:t>
      </w:r>
      <w:r w:rsidRPr="00D810D0">
        <w:rPr>
          <w:rFonts w:ascii="Arial" w:hAnsi="Arial" w:cs="Arial"/>
          <w:sz w:val="20"/>
          <w:szCs w:val="20"/>
        </w:rPr>
        <w:t>, 213–251.</w:t>
      </w:r>
      <w:r w:rsidR="0036046A" w:rsidRPr="00D810D0">
        <w:rPr>
          <w:rFonts w:ascii="Arial" w:hAnsi="Arial" w:cs="Arial"/>
          <w:sz w:val="20"/>
          <w:szCs w:val="20"/>
        </w:rPr>
        <w:br w:type="page"/>
      </w:r>
    </w:p>
    <w:tbl>
      <w:tblPr>
        <w:tblpPr w:leftFromText="180" w:rightFromText="180" w:vertAnchor="page" w:horzAnchor="margin" w:tblpXSpec="center" w:tblpY="2821"/>
        <w:tblW w:w="9072" w:type="dxa"/>
        <w:tblLook w:val="04A0" w:firstRow="1" w:lastRow="0" w:firstColumn="1" w:lastColumn="0" w:noHBand="0" w:noVBand="1"/>
      </w:tblPr>
      <w:tblGrid>
        <w:gridCol w:w="1307"/>
        <w:gridCol w:w="272"/>
        <w:gridCol w:w="1163"/>
        <w:gridCol w:w="675"/>
        <w:gridCol w:w="609"/>
        <w:gridCol w:w="738"/>
        <w:gridCol w:w="893"/>
        <w:gridCol w:w="284"/>
        <w:gridCol w:w="1350"/>
        <w:gridCol w:w="821"/>
        <w:gridCol w:w="960"/>
      </w:tblGrid>
      <w:tr w:rsidR="00AD4B17" w:rsidTr="00416733">
        <w:trPr>
          <w:trHeight w:val="288"/>
        </w:trPr>
        <w:tc>
          <w:tcPr>
            <w:tcW w:w="1307" w:type="dxa"/>
            <w:vMerge w:val="restart"/>
            <w:tcBorders>
              <w:top w:val="single" w:sz="4" w:space="0" w:color="auto"/>
              <w:left w:val="nil"/>
              <w:right w:val="nil"/>
            </w:tcBorders>
            <w:vAlign w:val="center"/>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lastRenderedPageBreak/>
              <w:t>Model</w:t>
            </w:r>
          </w:p>
        </w:tc>
        <w:tc>
          <w:tcPr>
            <w:tcW w:w="272" w:type="dxa"/>
            <w:tcBorders>
              <w:top w:val="single" w:sz="4" w:space="0" w:color="auto"/>
              <w:left w:val="nil"/>
              <w:bottom w:val="single" w:sz="4" w:space="0" w:color="auto"/>
              <w:right w:val="nil"/>
            </w:tcBorders>
            <w:shd w:val="clear" w:color="auto" w:fill="auto"/>
            <w:noWrap/>
            <w:vAlign w:val="bottom"/>
          </w:tcPr>
          <w:p w:rsidR="00F42986" w:rsidRPr="00D810D0" w:rsidRDefault="00F42986" w:rsidP="00F42986">
            <w:pPr>
              <w:spacing w:after="0" w:line="240" w:lineRule="auto"/>
              <w:jc w:val="center"/>
              <w:rPr>
                <w:rFonts w:ascii="Arial" w:eastAsia="Times New Roman" w:hAnsi="Arial" w:cs="Arial"/>
                <w:color w:val="000000"/>
                <w:sz w:val="20"/>
                <w:szCs w:val="20"/>
                <w:lang w:eastAsia="en-GB"/>
              </w:rPr>
            </w:pPr>
          </w:p>
        </w:tc>
        <w:tc>
          <w:tcPr>
            <w:tcW w:w="4078" w:type="dxa"/>
            <w:gridSpan w:val="5"/>
            <w:tcBorders>
              <w:top w:val="single" w:sz="4" w:space="0" w:color="auto"/>
              <w:left w:val="nil"/>
              <w:bottom w:val="single" w:sz="4" w:space="0" w:color="auto"/>
              <w:right w:val="nil"/>
            </w:tcBorders>
            <w:shd w:val="clear" w:color="auto" w:fill="auto"/>
            <w:noWrap/>
            <w:vAlign w:val="bottom"/>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Mixed Model Statistics</w:t>
            </w:r>
          </w:p>
        </w:tc>
        <w:tc>
          <w:tcPr>
            <w:tcW w:w="284" w:type="dxa"/>
            <w:tcBorders>
              <w:top w:val="single" w:sz="4" w:space="0" w:color="auto"/>
              <w:left w:val="nil"/>
              <w:right w:val="nil"/>
            </w:tcBorders>
            <w:shd w:val="clear" w:color="auto" w:fill="auto"/>
            <w:noWrap/>
            <w:vAlign w:val="bottom"/>
          </w:tcPr>
          <w:p w:rsidR="00F42986" w:rsidRPr="00D810D0" w:rsidRDefault="00F42986" w:rsidP="00F42986">
            <w:pPr>
              <w:spacing w:after="0" w:line="240" w:lineRule="auto"/>
              <w:rPr>
                <w:rFonts w:ascii="Arial" w:eastAsia="Times New Roman" w:hAnsi="Arial" w:cs="Arial"/>
                <w:color w:val="000000"/>
                <w:sz w:val="20"/>
                <w:szCs w:val="20"/>
                <w:lang w:eastAsia="en-GB"/>
              </w:rPr>
            </w:pPr>
          </w:p>
        </w:tc>
        <w:tc>
          <w:tcPr>
            <w:tcW w:w="3131" w:type="dxa"/>
            <w:gridSpan w:val="3"/>
            <w:tcBorders>
              <w:top w:val="single" w:sz="4" w:space="0" w:color="auto"/>
              <w:left w:val="nil"/>
              <w:bottom w:val="single" w:sz="4" w:space="0" w:color="auto"/>
              <w:right w:val="nil"/>
            </w:tcBorders>
            <w:shd w:val="clear" w:color="auto" w:fill="auto"/>
            <w:noWrap/>
            <w:vAlign w:val="bottom"/>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Back-Transformed Estimates</w:t>
            </w:r>
          </w:p>
        </w:tc>
      </w:tr>
      <w:tr w:rsidR="00AD4B17" w:rsidTr="00416733">
        <w:trPr>
          <w:trHeight w:val="288"/>
        </w:trPr>
        <w:tc>
          <w:tcPr>
            <w:tcW w:w="1307" w:type="dxa"/>
            <w:vMerge/>
            <w:tcBorders>
              <w:left w:val="nil"/>
              <w:bottom w:val="single" w:sz="4" w:space="0" w:color="000000"/>
              <w:right w:val="nil"/>
            </w:tcBorders>
            <w:vAlign w:val="center"/>
            <w:hideMark/>
          </w:tcPr>
          <w:p w:rsidR="00F42986" w:rsidRPr="00D810D0" w:rsidRDefault="00F42986" w:rsidP="00F42986">
            <w:pPr>
              <w:spacing w:after="0" w:line="240" w:lineRule="auto"/>
              <w:rPr>
                <w:rFonts w:ascii="Arial" w:eastAsia="Times New Roman" w:hAnsi="Arial" w:cs="Arial"/>
                <w:color w:val="000000"/>
                <w:sz w:val="20"/>
                <w:szCs w:val="20"/>
                <w:lang w:eastAsia="en-GB"/>
              </w:rPr>
            </w:pPr>
          </w:p>
        </w:tc>
        <w:tc>
          <w:tcPr>
            <w:tcW w:w="272" w:type="dxa"/>
            <w:tcBorders>
              <w:top w:val="nil"/>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 </w:t>
            </w:r>
          </w:p>
        </w:tc>
        <w:tc>
          <w:tcPr>
            <w:tcW w:w="1163" w:type="dxa"/>
            <w:tcBorders>
              <w:top w:val="nil"/>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Parameter</w:t>
            </w:r>
          </w:p>
        </w:tc>
        <w:tc>
          <w:tcPr>
            <w:tcW w:w="675" w:type="dxa"/>
            <w:tcBorders>
              <w:top w:val="nil"/>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Est.</w:t>
            </w:r>
          </w:p>
        </w:tc>
        <w:tc>
          <w:tcPr>
            <w:tcW w:w="609" w:type="dxa"/>
            <w:tcBorders>
              <w:top w:val="nil"/>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SE</w:t>
            </w:r>
          </w:p>
        </w:tc>
        <w:tc>
          <w:tcPr>
            <w:tcW w:w="738" w:type="dxa"/>
            <w:tcBorders>
              <w:top w:val="nil"/>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Z</w:t>
            </w:r>
          </w:p>
        </w:tc>
        <w:tc>
          <w:tcPr>
            <w:tcW w:w="893" w:type="dxa"/>
            <w:tcBorders>
              <w:top w:val="nil"/>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P</w:t>
            </w:r>
          </w:p>
        </w:tc>
        <w:tc>
          <w:tcPr>
            <w:tcW w:w="284" w:type="dxa"/>
            <w:tcBorders>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 </w:t>
            </w:r>
          </w:p>
        </w:tc>
        <w:tc>
          <w:tcPr>
            <w:tcW w:w="1350" w:type="dxa"/>
            <w:tcBorders>
              <w:top w:val="nil"/>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Parameter</w:t>
            </w:r>
          </w:p>
        </w:tc>
        <w:tc>
          <w:tcPr>
            <w:tcW w:w="821" w:type="dxa"/>
            <w:tcBorders>
              <w:top w:val="nil"/>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Est.</w:t>
            </w:r>
          </w:p>
        </w:tc>
        <w:tc>
          <w:tcPr>
            <w:tcW w:w="960" w:type="dxa"/>
            <w:tcBorders>
              <w:top w:val="nil"/>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P</w:t>
            </w:r>
          </w:p>
        </w:tc>
      </w:tr>
      <w:tr w:rsidR="00AD4B17" w:rsidTr="00416733">
        <w:trPr>
          <w:trHeight w:val="288"/>
        </w:trPr>
        <w:tc>
          <w:tcPr>
            <w:tcW w:w="1307" w:type="dxa"/>
            <w:vMerge w:val="restart"/>
            <w:tcBorders>
              <w:top w:val="nil"/>
              <w:left w:val="nil"/>
              <w:bottom w:val="nil"/>
              <w:right w:val="nil"/>
            </w:tcBorders>
            <w:shd w:val="clear" w:color="auto" w:fill="auto"/>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Balanced Variation</w:t>
            </w:r>
          </w:p>
        </w:tc>
        <w:tc>
          <w:tcPr>
            <w:tcW w:w="272"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 </w:t>
            </w:r>
          </w:p>
        </w:tc>
        <w:tc>
          <w:tcPr>
            <w:tcW w:w="1163"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Intercept</w:t>
            </w:r>
          </w:p>
        </w:tc>
        <w:tc>
          <w:tcPr>
            <w:tcW w:w="675"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0.36</w:t>
            </w:r>
          </w:p>
        </w:tc>
        <w:tc>
          <w:tcPr>
            <w:tcW w:w="609"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0.23</w:t>
            </w:r>
          </w:p>
        </w:tc>
        <w:tc>
          <w:tcPr>
            <w:tcW w:w="738"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1.57</w:t>
            </w:r>
          </w:p>
        </w:tc>
        <w:tc>
          <w:tcPr>
            <w:tcW w:w="893"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0.</w:t>
            </w:r>
            <w:r w:rsidR="00DF4E4E" w:rsidRPr="00D810D0">
              <w:rPr>
                <w:rFonts w:ascii="Arial" w:eastAsia="Times New Roman" w:hAnsi="Arial" w:cs="Arial"/>
                <w:color w:val="000000"/>
                <w:sz w:val="20"/>
                <w:szCs w:val="20"/>
                <w:lang w:eastAsia="en-GB"/>
              </w:rPr>
              <w:t>244</w:t>
            </w:r>
          </w:p>
        </w:tc>
        <w:tc>
          <w:tcPr>
            <w:tcW w:w="284"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 </w:t>
            </w:r>
          </w:p>
        </w:tc>
        <w:tc>
          <w:tcPr>
            <w:tcW w:w="1350"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AGB</w:t>
            </w:r>
          </w:p>
        </w:tc>
        <w:tc>
          <w:tcPr>
            <w:tcW w:w="821"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-2.19</w:t>
            </w:r>
          </w:p>
        </w:tc>
        <w:tc>
          <w:tcPr>
            <w:tcW w:w="960"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0.053</w:t>
            </w:r>
          </w:p>
        </w:tc>
      </w:tr>
      <w:tr w:rsidR="00AD4B17" w:rsidTr="00416733">
        <w:trPr>
          <w:trHeight w:val="288"/>
        </w:trPr>
        <w:tc>
          <w:tcPr>
            <w:tcW w:w="1307" w:type="dxa"/>
            <w:vMerge/>
            <w:tcBorders>
              <w:top w:val="nil"/>
              <w:left w:val="nil"/>
              <w:bottom w:val="nil"/>
              <w:right w:val="nil"/>
            </w:tcBorders>
            <w:vAlign w:val="center"/>
            <w:hideMark/>
          </w:tcPr>
          <w:p w:rsidR="00F42986" w:rsidRPr="00D810D0" w:rsidRDefault="00F42986" w:rsidP="00F42986">
            <w:pPr>
              <w:spacing w:after="0" w:line="240" w:lineRule="auto"/>
              <w:rPr>
                <w:rFonts w:ascii="Arial" w:eastAsia="Times New Roman" w:hAnsi="Arial" w:cs="Arial"/>
                <w:color w:val="000000"/>
                <w:sz w:val="20"/>
                <w:szCs w:val="20"/>
                <w:lang w:eastAsia="en-GB"/>
              </w:rPr>
            </w:pPr>
          </w:p>
        </w:tc>
        <w:tc>
          <w:tcPr>
            <w:tcW w:w="272" w:type="dxa"/>
            <w:tcBorders>
              <w:top w:val="nil"/>
              <w:left w:val="nil"/>
              <w:bottom w:val="nil"/>
              <w:right w:val="nil"/>
            </w:tcBorders>
            <w:shd w:val="clear" w:color="auto" w:fill="auto"/>
            <w:noWrap/>
            <w:vAlign w:val="bottom"/>
            <w:hideMark/>
          </w:tcPr>
          <w:p w:rsidR="00F42986" w:rsidRPr="00D810D0" w:rsidRDefault="00F42986" w:rsidP="00F42986">
            <w:pPr>
              <w:spacing w:after="0" w:line="240" w:lineRule="auto"/>
              <w:rPr>
                <w:rFonts w:ascii="Arial" w:eastAsia="Times New Roman" w:hAnsi="Arial" w:cs="Arial"/>
                <w:color w:val="000000"/>
                <w:sz w:val="20"/>
                <w:szCs w:val="20"/>
                <w:lang w:eastAsia="en-GB"/>
              </w:rPr>
            </w:pPr>
          </w:p>
        </w:tc>
        <w:tc>
          <w:tcPr>
            <w:tcW w:w="1163"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PC1</w:t>
            </w:r>
          </w:p>
        </w:tc>
        <w:tc>
          <w:tcPr>
            <w:tcW w:w="675"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0.11</w:t>
            </w:r>
          </w:p>
        </w:tc>
        <w:tc>
          <w:tcPr>
            <w:tcW w:w="609"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0.07</w:t>
            </w:r>
          </w:p>
        </w:tc>
        <w:tc>
          <w:tcPr>
            <w:tcW w:w="738"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1.71</w:t>
            </w:r>
          </w:p>
        </w:tc>
        <w:tc>
          <w:tcPr>
            <w:tcW w:w="893"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0.092</w:t>
            </w:r>
          </w:p>
        </w:tc>
        <w:tc>
          <w:tcPr>
            <w:tcW w:w="284" w:type="dxa"/>
            <w:tcBorders>
              <w:top w:val="nil"/>
              <w:left w:val="nil"/>
              <w:bottom w:val="nil"/>
              <w:right w:val="nil"/>
            </w:tcBorders>
            <w:shd w:val="clear" w:color="auto" w:fill="auto"/>
            <w:noWrap/>
            <w:vAlign w:val="bottom"/>
            <w:hideMark/>
          </w:tcPr>
          <w:p w:rsidR="00F42986" w:rsidRPr="00D810D0" w:rsidRDefault="00F42986" w:rsidP="00F42986">
            <w:pPr>
              <w:spacing w:after="0" w:line="240" w:lineRule="auto"/>
              <w:rPr>
                <w:rFonts w:ascii="Arial" w:eastAsia="Times New Roman" w:hAnsi="Arial" w:cs="Arial"/>
                <w:color w:val="000000"/>
                <w:sz w:val="20"/>
                <w:szCs w:val="20"/>
                <w:lang w:eastAsia="en-GB"/>
              </w:rPr>
            </w:pPr>
          </w:p>
        </w:tc>
        <w:tc>
          <w:tcPr>
            <w:tcW w:w="1350"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TR</w:t>
            </w:r>
          </w:p>
        </w:tc>
        <w:tc>
          <w:tcPr>
            <w:tcW w:w="821"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-60.18</w:t>
            </w:r>
          </w:p>
        </w:tc>
        <w:tc>
          <w:tcPr>
            <w:tcW w:w="960"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0.019</w:t>
            </w:r>
          </w:p>
        </w:tc>
      </w:tr>
      <w:tr w:rsidR="00AD4B17" w:rsidTr="00416733">
        <w:trPr>
          <w:trHeight w:val="288"/>
        </w:trPr>
        <w:tc>
          <w:tcPr>
            <w:tcW w:w="1307" w:type="dxa"/>
            <w:tcBorders>
              <w:top w:val="nil"/>
              <w:left w:val="nil"/>
              <w:bottom w:val="nil"/>
              <w:right w:val="nil"/>
            </w:tcBorders>
            <w:shd w:val="clear" w:color="auto" w:fill="auto"/>
            <w:noWrap/>
            <w:vAlign w:val="bottom"/>
            <w:hideMark/>
          </w:tcPr>
          <w:p w:rsidR="00F42986" w:rsidRPr="00D810D0" w:rsidRDefault="00F42986" w:rsidP="00F42986">
            <w:pPr>
              <w:spacing w:after="0" w:line="240" w:lineRule="auto"/>
              <w:rPr>
                <w:rFonts w:ascii="Arial" w:eastAsia="Times New Roman" w:hAnsi="Arial" w:cs="Arial"/>
                <w:color w:val="000000"/>
                <w:sz w:val="20"/>
                <w:szCs w:val="20"/>
                <w:lang w:eastAsia="en-GB"/>
              </w:rPr>
            </w:pPr>
          </w:p>
        </w:tc>
        <w:tc>
          <w:tcPr>
            <w:tcW w:w="272" w:type="dxa"/>
            <w:tcBorders>
              <w:top w:val="nil"/>
              <w:left w:val="nil"/>
              <w:bottom w:val="nil"/>
              <w:right w:val="nil"/>
            </w:tcBorders>
            <w:shd w:val="clear" w:color="auto" w:fill="auto"/>
            <w:noWrap/>
            <w:vAlign w:val="bottom"/>
            <w:hideMark/>
          </w:tcPr>
          <w:p w:rsidR="00F42986" w:rsidRPr="00D810D0" w:rsidRDefault="00F42986" w:rsidP="00F42986">
            <w:pPr>
              <w:spacing w:after="0" w:line="240" w:lineRule="auto"/>
              <w:jc w:val="center"/>
              <w:rPr>
                <w:rFonts w:ascii="Arial" w:eastAsia="Times New Roman" w:hAnsi="Arial" w:cs="Arial"/>
                <w:color w:val="000000"/>
                <w:sz w:val="20"/>
                <w:szCs w:val="20"/>
                <w:lang w:eastAsia="en-GB"/>
              </w:rPr>
            </w:pPr>
          </w:p>
        </w:tc>
        <w:tc>
          <w:tcPr>
            <w:tcW w:w="1163"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PC2</w:t>
            </w:r>
          </w:p>
        </w:tc>
        <w:tc>
          <w:tcPr>
            <w:tcW w:w="675"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0.22</w:t>
            </w:r>
          </w:p>
        </w:tc>
        <w:tc>
          <w:tcPr>
            <w:tcW w:w="609"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0.07</w:t>
            </w:r>
          </w:p>
        </w:tc>
        <w:tc>
          <w:tcPr>
            <w:tcW w:w="738"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2.91</w:t>
            </w:r>
          </w:p>
        </w:tc>
        <w:tc>
          <w:tcPr>
            <w:tcW w:w="893"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0.005</w:t>
            </w:r>
          </w:p>
        </w:tc>
        <w:tc>
          <w:tcPr>
            <w:tcW w:w="284" w:type="dxa"/>
            <w:tcBorders>
              <w:top w:val="nil"/>
              <w:left w:val="nil"/>
              <w:bottom w:val="nil"/>
              <w:right w:val="nil"/>
            </w:tcBorders>
            <w:shd w:val="clear" w:color="auto" w:fill="auto"/>
            <w:noWrap/>
            <w:vAlign w:val="bottom"/>
            <w:hideMark/>
          </w:tcPr>
          <w:p w:rsidR="00F42986" w:rsidRPr="00D810D0" w:rsidRDefault="00F42986" w:rsidP="00F42986">
            <w:pPr>
              <w:spacing w:after="0" w:line="240" w:lineRule="auto"/>
              <w:rPr>
                <w:rFonts w:ascii="Arial" w:eastAsia="Times New Roman" w:hAnsi="Arial" w:cs="Arial"/>
                <w:color w:val="000000"/>
                <w:sz w:val="20"/>
                <w:szCs w:val="20"/>
                <w:lang w:eastAsia="en-GB"/>
              </w:rPr>
            </w:pPr>
          </w:p>
        </w:tc>
        <w:tc>
          <w:tcPr>
            <w:tcW w:w="1350"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AGB x TR</w:t>
            </w:r>
          </w:p>
        </w:tc>
        <w:tc>
          <w:tcPr>
            <w:tcW w:w="821"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28.03</w:t>
            </w:r>
          </w:p>
        </w:tc>
        <w:tc>
          <w:tcPr>
            <w:tcW w:w="960"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0.020</w:t>
            </w:r>
          </w:p>
        </w:tc>
      </w:tr>
      <w:tr w:rsidR="00AD4B17" w:rsidTr="00416733">
        <w:trPr>
          <w:trHeight w:val="288"/>
        </w:trPr>
        <w:tc>
          <w:tcPr>
            <w:tcW w:w="1307" w:type="dxa"/>
            <w:tcBorders>
              <w:top w:val="nil"/>
              <w:left w:val="nil"/>
              <w:bottom w:val="nil"/>
              <w:right w:val="nil"/>
            </w:tcBorders>
            <w:shd w:val="clear" w:color="auto" w:fill="auto"/>
            <w:noWrap/>
            <w:vAlign w:val="bottom"/>
            <w:hideMark/>
          </w:tcPr>
          <w:p w:rsidR="00F42986" w:rsidRPr="00D810D0" w:rsidRDefault="00F42986" w:rsidP="00F42986">
            <w:pPr>
              <w:spacing w:after="0" w:line="240" w:lineRule="auto"/>
              <w:rPr>
                <w:rFonts w:ascii="Arial" w:eastAsia="Times New Roman" w:hAnsi="Arial" w:cs="Arial"/>
                <w:color w:val="000000"/>
                <w:sz w:val="20"/>
                <w:szCs w:val="20"/>
                <w:lang w:eastAsia="en-GB"/>
              </w:rPr>
            </w:pPr>
          </w:p>
        </w:tc>
        <w:tc>
          <w:tcPr>
            <w:tcW w:w="272" w:type="dxa"/>
            <w:tcBorders>
              <w:top w:val="nil"/>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 </w:t>
            </w:r>
          </w:p>
        </w:tc>
        <w:tc>
          <w:tcPr>
            <w:tcW w:w="1163" w:type="dxa"/>
            <w:tcBorders>
              <w:top w:val="nil"/>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PC3</w:t>
            </w:r>
          </w:p>
        </w:tc>
        <w:tc>
          <w:tcPr>
            <w:tcW w:w="675" w:type="dxa"/>
            <w:tcBorders>
              <w:top w:val="nil"/>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-2.46</w:t>
            </w:r>
          </w:p>
        </w:tc>
        <w:tc>
          <w:tcPr>
            <w:tcW w:w="609" w:type="dxa"/>
            <w:tcBorders>
              <w:top w:val="nil"/>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1.03</w:t>
            </w:r>
          </w:p>
        </w:tc>
        <w:tc>
          <w:tcPr>
            <w:tcW w:w="738" w:type="dxa"/>
            <w:tcBorders>
              <w:top w:val="nil"/>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-2.40</w:t>
            </w:r>
          </w:p>
        </w:tc>
        <w:tc>
          <w:tcPr>
            <w:tcW w:w="893" w:type="dxa"/>
            <w:tcBorders>
              <w:top w:val="nil"/>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0.020</w:t>
            </w:r>
          </w:p>
        </w:tc>
        <w:tc>
          <w:tcPr>
            <w:tcW w:w="284" w:type="dxa"/>
            <w:tcBorders>
              <w:top w:val="nil"/>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 </w:t>
            </w:r>
          </w:p>
        </w:tc>
        <w:tc>
          <w:tcPr>
            <w:tcW w:w="1350" w:type="dxa"/>
            <w:tcBorders>
              <w:top w:val="nil"/>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 </w:t>
            </w:r>
          </w:p>
        </w:tc>
        <w:tc>
          <w:tcPr>
            <w:tcW w:w="821" w:type="dxa"/>
            <w:tcBorders>
              <w:top w:val="nil"/>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 </w:t>
            </w:r>
          </w:p>
        </w:tc>
        <w:tc>
          <w:tcPr>
            <w:tcW w:w="960" w:type="dxa"/>
            <w:tcBorders>
              <w:top w:val="nil"/>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 </w:t>
            </w:r>
          </w:p>
        </w:tc>
      </w:tr>
      <w:tr w:rsidR="00AD4B17" w:rsidTr="00416733">
        <w:trPr>
          <w:trHeight w:val="288"/>
        </w:trPr>
        <w:tc>
          <w:tcPr>
            <w:tcW w:w="1307" w:type="dxa"/>
            <w:vMerge w:val="restart"/>
            <w:tcBorders>
              <w:top w:val="single" w:sz="4" w:space="0" w:color="auto"/>
              <w:left w:val="nil"/>
              <w:bottom w:val="nil"/>
              <w:right w:val="nil"/>
            </w:tcBorders>
            <w:shd w:val="clear" w:color="auto" w:fill="auto"/>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Bray-Curtis Dissimilarity</w:t>
            </w:r>
          </w:p>
        </w:tc>
        <w:tc>
          <w:tcPr>
            <w:tcW w:w="272"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 </w:t>
            </w:r>
          </w:p>
        </w:tc>
        <w:tc>
          <w:tcPr>
            <w:tcW w:w="1163"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Intercept</w:t>
            </w:r>
          </w:p>
        </w:tc>
        <w:tc>
          <w:tcPr>
            <w:tcW w:w="675"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0.92</w:t>
            </w:r>
          </w:p>
        </w:tc>
        <w:tc>
          <w:tcPr>
            <w:tcW w:w="609"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0.08</w:t>
            </w:r>
          </w:p>
        </w:tc>
        <w:tc>
          <w:tcPr>
            <w:tcW w:w="738"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11.59</w:t>
            </w:r>
          </w:p>
        </w:tc>
        <w:tc>
          <w:tcPr>
            <w:tcW w:w="893"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&lt; 0.001</w:t>
            </w:r>
          </w:p>
        </w:tc>
        <w:tc>
          <w:tcPr>
            <w:tcW w:w="284"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 </w:t>
            </w:r>
          </w:p>
        </w:tc>
        <w:tc>
          <w:tcPr>
            <w:tcW w:w="1350"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AGB</w:t>
            </w:r>
          </w:p>
        </w:tc>
        <w:tc>
          <w:tcPr>
            <w:tcW w:w="821"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-3.04</w:t>
            </w:r>
          </w:p>
        </w:tc>
        <w:tc>
          <w:tcPr>
            <w:tcW w:w="960"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0.003</w:t>
            </w:r>
          </w:p>
        </w:tc>
      </w:tr>
      <w:tr w:rsidR="00AD4B17" w:rsidTr="00416733">
        <w:trPr>
          <w:trHeight w:val="288"/>
        </w:trPr>
        <w:tc>
          <w:tcPr>
            <w:tcW w:w="1307" w:type="dxa"/>
            <w:vMerge/>
            <w:tcBorders>
              <w:top w:val="single" w:sz="4" w:space="0" w:color="auto"/>
              <w:left w:val="nil"/>
              <w:bottom w:val="nil"/>
              <w:right w:val="nil"/>
            </w:tcBorders>
            <w:vAlign w:val="center"/>
            <w:hideMark/>
          </w:tcPr>
          <w:p w:rsidR="00F42986" w:rsidRPr="00D810D0" w:rsidRDefault="00F42986" w:rsidP="00F42986">
            <w:pPr>
              <w:spacing w:after="0" w:line="240" w:lineRule="auto"/>
              <w:rPr>
                <w:rFonts w:ascii="Arial" w:eastAsia="Times New Roman" w:hAnsi="Arial" w:cs="Arial"/>
                <w:color w:val="000000"/>
                <w:sz w:val="20"/>
                <w:szCs w:val="20"/>
                <w:lang w:eastAsia="en-GB"/>
              </w:rPr>
            </w:pPr>
          </w:p>
        </w:tc>
        <w:tc>
          <w:tcPr>
            <w:tcW w:w="272" w:type="dxa"/>
            <w:tcBorders>
              <w:top w:val="nil"/>
              <w:left w:val="nil"/>
              <w:bottom w:val="nil"/>
              <w:right w:val="nil"/>
            </w:tcBorders>
            <w:shd w:val="clear" w:color="auto" w:fill="auto"/>
            <w:noWrap/>
            <w:vAlign w:val="bottom"/>
            <w:hideMark/>
          </w:tcPr>
          <w:p w:rsidR="00F42986" w:rsidRPr="00D810D0" w:rsidRDefault="00F42986" w:rsidP="00F42986">
            <w:pPr>
              <w:spacing w:after="0" w:line="240" w:lineRule="auto"/>
              <w:rPr>
                <w:rFonts w:ascii="Arial" w:eastAsia="Times New Roman" w:hAnsi="Arial" w:cs="Arial"/>
                <w:color w:val="000000"/>
                <w:sz w:val="20"/>
                <w:szCs w:val="20"/>
                <w:lang w:eastAsia="en-GB"/>
              </w:rPr>
            </w:pPr>
          </w:p>
        </w:tc>
        <w:tc>
          <w:tcPr>
            <w:tcW w:w="1163"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PC1</w:t>
            </w:r>
          </w:p>
        </w:tc>
        <w:tc>
          <w:tcPr>
            <w:tcW w:w="675"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0.09</w:t>
            </w:r>
          </w:p>
        </w:tc>
        <w:tc>
          <w:tcPr>
            <w:tcW w:w="609"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0.06</w:t>
            </w:r>
          </w:p>
        </w:tc>
        <w:tc>
          <w:tcPr>
            <w:tcW w:w="738"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1.57</w:t>
            </w:r>
          </w:p>
        </w:tc>
        <w:tc>
          <w:tcPr>
            <w:tcW w:w="893"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0.</w:t>
            </w:r>
            <w:r w:rsidR="00DF4E4E" w:rsidRPr="00D810D0">
              <w:rPr>
                <w:rFonts w:ascii="Arial" w:eastAsia="Times New Roman" w:hAnsi="Arial" w:cs="Arial"/>
                <w:color w:val="000000"/>
                <w:sz w:val="20"/>
                <w:szCs w:val="20"/>
                <w:lang w:eastAsia="en-GB"/>
              </w:rPr>
              <w:t>120</w:t>
            </w:r>
          </w:p>
        </w:tc>
        <w:tc>
          <w:tcPr>
            <w:tcW w:w="284" w:type="dxa"/>
            <w:tcBorders>
              <w:top w:val="nil"/>
              <w:left w:val="nil"/>
              <w:bottom w:val="nil"/>
              <w:right w:val="nil"/>
            </w:tcBorders>
            <w:shd w:val="clear" w:color="auto" w:fill="auto"/>
            <w:noWrap/>
            <w:vAlign w:val="bottom"/>
            <w:hideMark/>
          </w:tcPr>
          <w:p w:rsidR="00F42986" w:rsidRPr="00D810D0" w:rsidRDefault="00F42986" w:rsidP="00F42986">
            <w:pPr>
              <w:spacing w:after="0" w:line="240" w:lineRule="auto"/>
              <w:rPr>
                <w:rFonts w:ascii="Arial" w:eastAsia="Times New Roman" w:hAnsi="Arial" w:cs="Arial"/>
                <w:color w:val="000000"/>
                <w:sz w:val="20"/>
                <w:szCs w:val="20"/>
                <w:lang w:eastAsia="en-GB"/>
              </w:rPr>
            </w:pPr>
          </w:p>
        </w:tc>
        <w:tc>
          <w:tcPr>
            <w:tcW w:w="1350"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TR</w:t>
            </w:r>
          </w:p>
        </w:tc>
        <w:tc>
          <w:tcPr>
            <w:tcW w:w="821"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-79.29</w:t>
            </w:r>
          </w:p>
        </w:tc>
        <w:tc>
          <w:tcPr>
            <w:tcW w:w="960"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&lt; 0.</w:t>
            </w:r>
            <w:r w:rsidR="004720CE" w:rsidRPr="00D810D0">
              <w:rPr>
                <w:rFonts w:ascii="Arial" w:eastAsia="Times New Roman" w:hAnsi="Arial" w:cs="Arial"/>
                <w:color w:val="000000"/>
                <w:sz w:val="20"/>
                <w:szCs w:val="20"/>
                <w:lang w:eastAsia="en-GB"/>
              </w:rPr>
              <w:t>0</w:t>
            </w:r>
            <w:r w:rsidRPr="00D810D0">
              <w:rPr>
                <w:rFonts w:ascii="Arial" w:eastAsia="Times New Roman" w:hAnsi="Arial" w:cs="Arial"/>
                <w:color w:val="000000"/>
                <w:sz w:val="20"/>
                <w:szCs w:val="20"/>
                <w:lang w:eastAsia="en-GB"/>
              </w:rPr>
              <w:t>01</w:t>
            </w:r>
          </w:p>
        </w:tc>
      </w:tr>
      <w:tr w:rsidR="00AD4B17" w:rsidTr="00416733">
        <w:trPr>
          <w:trHeight w:val="288"/>
        </w:trPr>
        <w:tc>
          <w:tcPr>
            <w:tcW w:w="1307" w:type="dxa"/>
            <w:tcBorders>
              <w:top w:val="nil"/>
              <w:left w:val="nil"/>
              <w:bottom w:val="nil"/>
              <w:right w:val="nil"/>
            </w:tcBorders>
            <w:shd w:val="clear" w:color="auto" w:fill="auto"/>
            <w:noWrap/>
            <w:vAlign w:val="bottom"/>
            <w:hideMark/>
          </w:tcPr>
          <w:p w:rsidR="00F42986" w:rsidRPr="00D810D0" w:rsidRDefault="00F42986" w:rsidP="00F42986">
            <w:pPr>
              <w:spacing w:after="0" w:line="240" w:lineRule="auto"/>
              <w:rPr>
                <w:rFonts w:ascii="Arial" w:eastAsia="Times New Roman" w:hAnsi="Arial" w:cs="Arial"/>
                <w:color w:val="000000"/>
                <w:sz w:val="20"/>
                <w:szCs w:val="20"/>
                <w:lang w:eastAsia="en-GB"/>
              </w:rPr>
            </w:pPr>
          </w:p>
        </w:tc>
        <w:tc>
          <w:tcPr>
            <w:tcW w:w="272" w:type="dxa"/>
            <w:tcBorders>
              <w:top w:val="nil"/>
              <w:left w:val="nil"/>
              <w:bottom w:val="nil"/>
              <w:right w:val="nil"/>
            </w:tcBorders>
            <w:shd w:val="clear" w:color="auto" w:fill="auto"/>
            <w:noWrap/>
            <w:vAlign w:val="bottom"/>
            <w:hideMark/>
          </w:tcPr>
          <w:p w:rsidR="00F42986" w:rsidRPr="00D810D0" w:rsidRDefault="00F42986" w:rsidP="00F42986">
            <w:pPr>
              <w:spacing w:after="0" w:line="240" w:lineRule="auto"/>
              <w:jc w:val="center"/>
              <w:rPr>
                <w:rFonts w:ascii="Arial" w:eastAsia="Times New Roman" w:hAnsi="Arial" w:cs="Arial"/>
                <w:color w:val="000000"/>
                <w:sz w:val="20"/>
                <w:szCs w:val="20"/>
                <w:lang w:eastAsia="en-GB"/>
              </w:rPr>
            </w:pPr>
          </w:p>
        </w:tc>
        <w:tc>
          <w:tcPr>
            <w:tcW w:w="1163"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PC2</w:t>
            </w:r>
          </w:p>
        </w:tc>
        <w:tc>
          <w:tcPr>
            <w:tcW w:w="675"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0.24</w:t>
            </w:r>
          </w:p>
        </w:tc>
        <w:tc>
          <w:tcPr>
            <w:tcW w:w="609"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0.07</w:t>
            </w:r>
          </w:p>
        </w:tc>
        <w:tc>
          <w:tcPr>
            <w:tcW w:w="738"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3.59</w:t>
            </w:r>
          </w:p>
        </w:tc>
        <w:tc>
          <w:tcPr>
            <w:tcW w:w="893"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&lt; 0.001</w:t>
            </w:r>
          </w:p>
        </w:tc>
        <w:tc>
          <w:tcPr>
            <w:tcW w:w="284" w:type="dxa"/>
            <w:tcBorders>
              <w:top w:val="nil"/>
              <w:left w:val="nil"/>
              <w:bottom w:val="nil"/>
              <w:right w:val="nil"/>
            </w:tcBorders>
            <w:shd w:val="clear" w:color="auto" w:fill="auto"/>
            <w:noWrap/>
            <w:vAlign w:val="bottom"/>
            <w:hideMark/>
          </w:tcPr>
          <w:p w:rsidR="00F42986" w:rsidRPr="00D810D0" w:rsidRDefault="00F42986" w:rsidP="00F42986">
            <w:pPr>
              <w:spacing w:after="0" w:line="240" w:lineRule="auto"/>
              <w:rPr>
                <w:rFonts w:ascii="Arial" w:eastAsia="Times New Roman" w:hAnsi="Arial" w:cs="Arial"/>
                <w:color w:val="000000"/>
                <w:sz w:val="20"/>
                <w:szCs w:val="20"/>
                <w:lang w:eastAsia="en-GB"/>
              </w:rPr>
            </w:pPr>
          </w:p>
        </w:tc>
        <w:tc>
          <w:tcPr>
            <w:tcW w:w="1350"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AGB x TR</w:t>
            </w:r>
          </w:p>
        </w:tc>
        <w:tc>
          <w:tcPr>
            <w:tcW w:w="821"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36.29</w:t>
            </w:r>
          </w:p>
        </w:tc>
        <w:tc>
          <w:tcPr>
            <w:tcW w:w="960" w:type="dxa"/>
            <w:tcBorders>
              <w:top w:val="nil"/>
              <w:left w:val="nil"/>
              <w:bottom w:val="nil"/>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&lt; 0.</w:t>
            </w:r>
            <w:r w:rsidR="004720CE" w:rsidRPr="00D810D0">
              <w:rPr>
                <w:rFonts w:ascii="Arial" w:eastAsia="Times New Roman" w:hAnsi="Arial" w:cs="Arial"/>
                <w:color w:val="000000"/>
                <w:sz w:val="20"/>
                <w:szCs w:val="20"/>
                <w:lang w:eastAsia="en-GB"/>
              </w:rPr>
              <w:t>0</w:t>
            </w:r>
            <w:r w:rsidRPr="00D810D0">
              <w:rPr>
                <w:rFonts w:ascii="Arial" w:eastAsia="Times New Roman" w:hAnsi="Arial" w:cs="Arial"/>
                <w:color w:val="000000"/>
                <w:sz w:val="20"/>
                <w:szCs w:val="20"/>
                <w:lang w:eastAsia="en-GB"/>
              </w:rPr>
              <w:t>01</w:t>
            </w:r>
          </w:p>
        </w:tc>
      </w:tr>
      <w:tr w:rsidR="00AD4B17" w:rsidTr="00416733">
        <w:trPr>
          <w:trHeight w:val="288"/>
        </w:trPr>
        <w:tc>
          <w:tcPr>
            <w:tcW w:w="1307" w:type="dxa"/>
            <w:tcBorders>
              <w:top w:val="nil"/>
              <w:left w:val="nil"/>
              <w:bottom w:val="single" w:sz="4" w:space="0" w:color="auto"/>
              <w:right w:val="nil"/>
            </w:tcBorders>
            <w:shd w:val="clear" w:color="auto" w:fill="auto"/>
            <w:noWrap/>
            <w:vAlign w:val="bottom"/>
            <w:hideMark/>
          </w:tcPr>
          <w:p w:rsidR="00F42986" w:rsidRPr="00D810D0" w:rsidRDefault="00F42986" w:rsidP="00F42986">
            <w:pPr>
              <w:spacing w:after="0" w:line="240" w:lineRule="auto"/>
              <w:rPr>
                <w:rFonts w:ascii="Arial" w:eastAsia="Times New Roman" w:hAnsi="Arial" w:cs="Arial"/>
                <w:color w:val="000000"/>
                <w:sz w:val="20"/>
                <w:szCs w:val="20"/>
                <w:lang w:eastAsia="en-GB"/>
              </w:rPr>
            </w:pPr>
          </w:p>
        </w:tc>
        <w:tc>
          <w:tcPr>
            <w:tcW w:w="272" w:type="dxa"/>
            <w:tcBorders>
              <w:top w:val="nil"/>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 </w:t>
            </w:r>
          </w:p>
        </w:tc>
        <w:tc>
          <w:tcPr>
            <w:tcW w:w="1163" w:type="dxa"/>
            <w:tcBorders>
              <w:top w:val="nil"/>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PC3</w:t>
            </w:r>
          </w:p>
        </w:tc>
        <w:tc>
          <w:tcPr>
            <w:tcW w:w="675" w:type="dxa"/>
            <w:tcBorders>
              <w:top w:val="nil"/>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-3.24</w:t>
            </w:r>
          </w:p>
        </w:tc>
        <w:tc>
          <w:tcPr>
            <w:tcW w:w="609" w:type="dxa"/>
            <w:tcBorders>
              <w:top w:val="nil"/>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0.89</w:t>
            </w:r>
          </w:p>
        </w:tc>
        <w:tc>
          <w:tcPr>
            <w:tcW w:w="738" w:type="dxa"/>
            <w:tcBorders>
              <w:top w:val="nil"/>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jc w:val="center"/>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-3.65</w:t>
            </w:r>
          </w:p>
        </w:tc>
        <w:tc>
          <w:tcPr>
            <w:tcW w:w="893" w:type="dxa"/>
            <w:tcBorders>
              <w:top w:val="nil"/>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&lt; 0.001</w:t>
            </w:r>
          </w:p>
        </w:tc>
        <w:tc>
          <w:tcPr>
            <w:tcW w:w="284" w:type="dxa"/>
            <w:tcBorders>
              <w:top w:val="nil"/>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 </w:t>
            </w:r>
          </w:p>
        </w:tc>
        <w:tc>
          <w:tcPr>
            <w:tcW w:w="1350" w:type="dxa"/>
            <w:tcBorders>
              <w:top w:val="nil"/>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 </w:t>
            </w:r>
          </w:p>
        </w:tc>
        <w:tc>
          <w:tcPr>
            <w:tcW w:w="821" w:type="dxa"/>
            <w:tcBorders>
              <w:top w:val="nil"/>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 </w:t>
            </w:r>
          </w:p>
        </w:tc>
        <w:tc>
          <w:tcPr>
            <w:tcW w:w="960" w:type="dxa"/>
            <w:tcBorders>
              <w:top w:val="nil"/>
              <w:left w:val="nil"/>
              <w:bottom w:val="single" w:sz="4" w:space="0" w:color="auto"/>
              <w:right w:val="nil"/>
            </w:tcBorders>
            <w:shd w:val="clear" w:color="auto" w:fill="auto"/>
            <w:noWrap/>
            <w:vAlign w:val="bottom"/>
            <w:hideMark/>
          </w:tcPr>
          <w:p w:rsidR="00F42986" w:rsidRPr="00D810D0" w:rsidRDefault="00611B94" w:rsidP="00F42986">
            <w:pPr>
              <w:spacing w:after="0" w:line="240" w:lineRule="auto"/>
              <w:rPr>
                <w:rFonts w:ascii="Arial" w:eastAsia="Times New Roman" w:hAnsi="Arial" w:cs="Arial"/>
                <w:color w:val="000000"/>
                <w:sz w:val="20"/>
                <w:szCs w:val="20"/>
                <w:lang w:eastAsia="en-GB"/>
              </w:rPr>
            </w:pPr>
            <w:r w:rsidRPr="00D810D0">
              <w:rPr>
                <w:rFonts w:ascii="Arial" w:eastAsia="Times New Roman" w:hAnsi="Arial" w:cs="Arial"/>
                <w:color w:val="000000"/>
                <w:sz w:val="20"/>
                <w:szCs w:val="20"/>
                <w:lang w:eastAsia="en-GB"/>
              </w:rPr>
              <w:t> </w:t>
            </w:r>
          </w:p>
        </w:tc>
      </w:tr>
    </w:tbl>
    <w:p w:rsidR="007C5469" w:rsidRPr="00D810D0" w:rsidRDefault="00611B94" w:rsidP="00B27EB1">
      <w:pPr>
        <w:spacing w:line="480" w:lineRule="auto"/>
        <w:rPr>
          <w:rFonts w:ascii="Arial" w:hAnsi="Arial" w:cs="Arial"/>
          <w:sz w:val="20"/>
          <w:szCs w:val="20"/>
        </w:rPr>
      </w:pPr>
      <w:r w:rsidRPr="00D810D0">
        <w:rPr>
          <w:rFonts w:ascii="Arial" w:hAnsi="Arial" w:cs="Arial"/>
          <w:sz w:val="20"/>
          <w:szCs w:val="20"/>
        </w:rPr>
        <w:t xml:space="preserve">Table 1. Model summaries for principal component models at </w:t>
      </w:r>
      <w:r w:rsidR="00B3527E" w:rsidRPr="00D810D0">
        <w:rPr>
          <w:rFonts w:ascii="Arial" w:hAnsi="Arial" w:cs="Arial"/>
          <w:sz w:val="20"/>
          <w:szCs w:val="20"/>
        </w:rPr>
        <w:t>10-ha</w:t>
      </w:r>
      <w:r w:rsidRPr="00D810D0">
        <w:rPr>
          <w:rFonts w:ascii="Arial" w:hAnsi="Arial" w:cs="Arial"/>
          <w:sz w:val="20"/>
          <w:szCs w:val="20"/>
        </w:rPr>
        <w:t xml:space="preserve"> spatial scale.</w:t>
      </w:r>
      <w:r w:rsidR="00E30731" w:rsidRPr="00D810D0">
        <w:rPr>
          <w:rFonts w:ascii="Arial" w:hAnsi="Arial" w:cs="Arial"/>
          <w:sz w:val="20"/>
          <w:szCs w:val="20"/>
        </w:rPr>
        <w:t xml:space="preserve"> Only models w</w:t>
      </w:r>
      <w:r w:rsidR="00B8331D" w:rsidRPr="00D810D0">
        <w:rPr>
          <w:rFonts w:ascii="Arial" w:hAnsi="Arial" w:cs="Arial"/>
          <w:sz w:val="20"/>
          <w:szCs w:val="20"/>
        </w:rPr>
        <w:t>hich included both AGB and</w:t>
      </w:r>
      <w:r w:rsidR="00364F94" w:rsidRPr="00D810D0">
        <w:rPr>
          <w:rFonts w:ascii="Arial" w:hAnsi="Arial" w:cs="Arial"/>
          <w:sz w:val="20"/>
          <w:szCs w:val="20"/>
        </w:rPr>
        <w:t xml:space="preserve"> roughness </w:t>
      </w:r>
      <w:r w:rsidR="00B8331D" w:rsidRPr="00D810D0">
        <w:rPr>
          <w:rFonts w:ascii="Arial" w:hAnsi="Arial" w:cs="Arial"/>
          <w:sz w:val="20"/>
          <w:szCs w:val="20"/>
        </w:rPr>
        <w:t>are shown.</w:t>
      </w:r>
      <w:r w:rsidRPr="00D810D0">
        <w:rPr>
          <w:rFonts w:ascii="Arial" w:hAnsi="Arial" w:cs="Arial"/>
          <w:sz w:val="20"/>
          <w:szCs w:val="20"/>
        </w:rPr>
        <w:t xml:space="preserve"> </w:t>
      </w:r>
      <w:r w:rsidR="009B609A" w:rsidRPr="00D810D0">
        <w:rPr>
          <w:rFonts w:ascii="Arial" w:hAnsi="Arial" w:cs="Arial"/>
          <w:sz w:val="20"/>
          <w:szCs w:val="20"/>
        </w:rPr>
        <w:t xml:space="preserve">Predictor estimates were back-calculated after fitting linear mixed models with principal components as predictors. </w:t>
      </w:r>
      <w:r w:rsidRPr="00D810D0">
        <w:rPr>
          <w:rFonts w:ascii="Arial" w:hAnsi="Arial" w:cs="Arial"/>
          <w:sz w:val="20"/>
          <w:szCs w:val="20"/>
        </w:rPr>
        <w:br w:type="page"/>
      </w:r>
    </w:p>
    <w:p w:rsidR="00F21C77" w:rsidRPr="00D810D0" w:rsidRDefault="00611B94" w:rsidP="00B27EB1">
      <w:pPr>
        <w:spacing w:line="480" w:lineRule="auto"/>
        <w:jc w:val="center"/>
        <w:rPr>
          <w:rFonts w:ascii="Arial" w:hAnsi="Arial" w:cs="Arial"/>
          <w:sz w:val="20"/>
          <w:szCs w:val="20"/>
        </w:rPr>
      </w:pPr>
      <w:r w:rsidRPr="00611B94">
        <w:rPr>
          <w:rFonts w:ascii="Arial" w:hAnsi="Arial" w:cs="Arial"/>
          <w:noProof/>
          <w:sz w:val="20"/>
          <w:szCs w:val="20"/>
          <w:lang w:val="en-US" w:eastAsia="es-ES"/>
        </w:rPr>
        <w:lastRenderedPageBreak/>
        <w:t xml:space="preserve"> </w:t>
      </w:r>
      <w:r w:rsidR="006614E1" w:rsidRPr="00D810D0">
        <w:rPr>
          <w:rFonts w:ascii="Arial" w:hAnsi="Arial" w:cs="Arial"/>
          <w:noProof/>
          <w:sz w:val="20"/>
          <w:szCs w:val="20"/>
          <w:lang w:eastAsia="en-GB"/>
        </w:rPr>
        <w:drawing>
          <wp:inline distT="0" distB="0" distL="0" distR="0">
            <wp:extent cx="5486400" cy="2743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760102"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5486400" cy="2743200"/>
                    </a:xfrm>
                    <a:prstGeom prst="rect">
                      <a:avLst/>
                    </a:prstGeom>
                    <a:noFill/>
                    <a:ln>
                      <a:noFill/>
                    </a:ln>
                  </pic:spPr>
                </pic:pic>
              </a:graphicData>
            </a:graphic>
          </wp:inline>
        </w:drawing>
      </w:r>
    </w:p>
    <w:p w:rsidR="00B5675F" w:rsidRPr="00D810D0" w:rsidRDefault="00611B94" w:rsidP="00B27EB1">
      <w:pPr>
        <w:spacing w:line="480" w:lineRule="auto"/>
        <w:rPr>
          <w:rFonts w:ascii="Arial" w:hAnsi="Arial" w:cs="Arial"/>
          <w:sz w:val="20"/>
          <w:szCs w:val="20"/>
        </w:rPr>
      </w:pPr>
      <w:r w:rsidRPr="00D810D0">
        <w:rPr>
          <w:rFonts w:ascii="Arial" w:hAnsi="Arial" w:cs="Arial"/>
          <w:sz w:val="20"/>
          <w:szCs w:val="20"/>
        </w:rPr>
        <w:t>Fig</w:t>
      </w:r>
      <w:r w:rsidR="0095772B" w:rsidRPr="00D810D0">
        <w:rPr>
          <w:rFonts w:ascii="Arial" w:hAnsi="Arial" w:cs="Arial"/>
          <w:sz w:val="20"/>
          <w:szCs w:val="20"/>
        </w:rPr>
        <w:t>ure</w:t>
      </w:r>
      <w:r w:rsidRPr="00D810D0">
        <w:rPr>
          <w:rFonts w:ascii="Arial" w:hAnsi="Arial" w:cs="Arial"/>
          <w:sz w:val="20"/>
          <w:szCs w:val="20"/>
        </w:rPr>
        <w:t xml:space="preserve"> 1. </w:t>
      </w:r>
      <w:r w:rsidR="005B1B7C" w:rsidRPr="00D810D0">
        <w:rPr>
          <w:rFonts w:ascii="Arial" w:hAnsi="Arial" w:cs="Arial"/>
          <w:sz w:val="20"/>
          <w:szCs w:val="20"/>
        </w:rPr>
        <w:t>Map</w:t>
      </w:r>
      <w:r w:rsidR="00E528F3" w:rsidRPr="00D810D0">
        <w:rPr>
          <w:rFonts w:ascii="Arial" w:hAnsi="Arial" w:cs="Arial"/>
          <w:sz w:val="20"/>
          <w:szCs w:val="20"/>
        </w:rPr>
        <w:t>s</w:t>
      </w:r>
      <w:r w:rsidR="005B1B7C" w:rsidRPr="00D810D0">
        <w:rPr>
          <w:rFonts w:ascii="Arial" w:hAnsi="Arial" w:cs="Arial"/>
          <w:sz w:val="20"/>
          <w:szCs w:val="20"/>
        </w:rPr>
        <w:t xml:space="preserve"> of the sampling </w:t>
      </w:r>
      <w:r w:rsidR="00655133" w:rsidRPr="00D810D0">
        <w:rPr>
          <w:rFonts w:ascii="Arial" w:hAnsi="Arial" w:cs="Arial"/>
          <w:sz w:val="20"/>
          <w:szCs w:val="20"/>
        </w:rPr>
        <w:t>design</w:t>
      </w:r>
      <w:r w:rsidR="00E528F3" w:rsidRPr="00D810D0">
        <w:rPr>
          <w:rFonts w:ascii="Arial" w:hAnsi="Arial" w:cs="Arial"/>
          <w:sz w:val="20"/>
          <w:szCs w:val="20"/>
        </w:rPr>
        <w:t xml:space="preserve">, where (a) </w:t>
      </w:r>
      <w:r w:rsidR="00E67D16" w:rsidRPr="00D810D0">
        <w:rPr>
          <w:rFonts w:ascii="Arial" w:hAnsi="Arial" w:cs="Arial"/>
          <w:sz w:val="20"/>
          <w:szCs w:val="20"/>
        </w:rPr>
        <w:t>shows the location of the MBCA</w:t>
      </w:r>
      <w:r w:rsidR="003306E3" w:rsidRPr="00D810D0">
        <w:rPr>
          <w:rFonts w:ascii="Arial" w:hAnsi="Arial" w:cs="Arial"/>
          <w:sz w:val="20"/>
          <w:szCs w:val="20"/>
        </w:rPr>
        <w:t xml:space="preserve"> (unlogged</w:t>
      </w:r>
      <w:r w:rsidR="00702A65" w:rsidRPr="00D810D0">
        <w:rPr>
          <w:rFonts w:ascii="Arial" w:hAnsi="Arial" w:cs="Arial"/>
          <w:sz w:val="20"/>
          <w:szCs w:val="20"/>
        </w:rPr>
        <w:t xml:space="preserve"> forest</w:t>
      </w:r>
      <w:r w:rsidR="003306E3" w:rsidRPr="00D810D0">
        <w:rPr>
          <w:rFonts w:ascii="Arial" w:hAnsi="Arial" w:cs="Arial"/>
          <w:sz w:val="20"/>
          <w:szCs w:val="20"/>
        </w:rPr>
        <w:t>)</w:t>
      </w:r>
      <w:r w:rsidR="00E67D16" w:rsidRPr="00D810D0">
        <w:rPr>
          <w:rFonts w:ascii="Arial" w:hAnsi="Arial" w:cs="Arial"/>
          <w:sz w:val="20"/>
          <w:szCs w:val="20"/>
        </w:rPr>
        <w:t xml:space="preserve"> </w:t>
      </w:r>
      <w:r w:rsidR="00591CD0" w:rsidRPr="00D810D0">
        <w:rPr>
          <w:rFonts w:ascii="Arial" w:hAnsi="Arial" w:cs="Arial"/>
          <w:sz w:val="20"/>
          <w:szCs w:val="20"/>
        </w:rPr>
        <w:t>control</w:t>
      </w:r>
      <w:r w:rsidR="00E67D16" w:rsidRPr="00D810D0">
        <w:rPr>
          <w:rFonts w:ascii="Arial" w:hAnsi="Arial" w:cs="Arial"/>
          <w:sz w:val="20"/>
          <w:szCs w:val="20"/>
        </w:rPr>
        <w:t xml:space="preserve"> block, LF </w:t>
      </w:r>
      <w:r w:rsidR="00EB4F11" w:rsidRPr="00D810D0">
        <w:rPr>
          <w:rFonts w:ascii="Arial" w:hAnsi="Arial" w:cs="Arial"/>
          <w:sz w:val="20"/>
          <w:szCs w:val="20"/>
        </w:rPr>
        <w:t>(logged</w:t>
      </w:r>
      <w:r w:rsidR="00702A65" w:rsidRPr="00D810D0">
        <w:rPr>
          <w:rFonts w:ascii="Arial" w:hAnsi="Arial" w:cs="Arial"/>
          <w:sz w:val="20"/>
          <w:szCs w:val="20"/>
        </w:rPr>
        <w:t xml:space="preserve"> forest</w:t>
      </w:r>
      <w:r w:rsidR="00EB4F11" w:rsidRPr="00D810D0">
        <w:rPr>
          <w:rFonts w:ascii="Arial" w:hAnsi="Arial" w:cs="Arial"/>
          <w:sz w:val="20"/>
          <w:szCs w:val="20"/>
        </w:rPr>
        <w:t xml:space="preserve">) </w:t>
      </w:r>
      <w:r w:rsidR="00591CD0" w:rsidRPr="00D810D0">
        <w:rPr>
          <w:rFonts w:ascii="Arial" w:hAnsi="Arial" w:cs="Arial"/>
          <w:sz w:val="20"/>
          <w:szCs w:val="20"/>
        </w:rPr>
        <w:t>control</w:t>
      </w:r>
      <w:r w:rsidR="00E67D16" w:rsidRPr="00D810D0">
        <w:rPr>
          <w:rFonts w:ascii="Arial" w:hAnsi="Arial" w:cs="Arial"/>
          <w:sz w:val="20"/>
          <w:szCs w:val="20"/>
        </w:rPr>
        <w:t xml:space="preserve"> block, OP </w:t>
      </w:r>
      <w:r w:rsidR="00EB4F11" w:rsidRPr="00D810D0">
        <w:rPr>
          <w:rFonts w:ascii="Arial" w:hAnsi="Arial" w:cs="Arial"/>
          <w:sz w:val="20"/>
          <w:szCs w:val="20"/>
        </w:rPr>
        <w:t xml:space="preserve">(oil palm plantation) </w:t>
      </w:r>
      <w:r w:rsidR="00591CD0" w:rsidRPr="00D810D0">
        <w:rPr>
          <w:rFonts w:ascii="Arial" w:hAnsi="Arial" w:cs="Arial"/>
          <w:sz w:val="20"/>
          <w:szCs w:val="20"/>
        </w:rPr>
        <w:t>control</w:t>
      </w:r>
      <w:r w:rsidR="00E67D16" w:rsidRPr="00D810D0">
        <w:rPr>
          <w:rFonts w:ascii="Arial" w:hAnsi="Arial" w:cs="Arial"/>
          <w:sz w:val="20"/>
          <w:szCs w:val="20"/>
        </w:rPr>
        <w:t xml:space="preserve"> blocks and SAFE Project area (eight further blocks). </w:t>
      </w:r>
      <w:r w:rsidR="00BB5C29" w:rsidRPr="00D810D0">
        <w:rPr>
          <w:rFonts w:ascii="Arial" w:hAnsi="Arial" w:cs="Arial"/>
          <w:sz w:val="20"/>
          <w:szCs w:val="20"/>
        </w:rPr>
        <w:t>The arrangement of 1-ha</w:t>
      </w:r>
      <w:r w:rsidR="00C40171" w:rsidRPr="00D810D0">
        <w:rPr>
          <w:rFonts w:ascii="Arial" w:hAnsi="Arial" w:cs="Arial"/>
          <w:sz w:val="20"/>
          <w:szCs w:val="20"/>
        </w:rPr>
        <w:t xml:space="preserve"> (light grey area)</w:t>
      </w:r>
      <w:r w:rsidR="00BB5C29" w:rsidRPr="00D810D0">
        <w:rPr>
          <w:rFonts w:ascii="Arial" w:hAnsi="Arial" w:cs="Arial"/>
          <w:sz w:val="20"/>
          <w:szCs w:val="20"/>
        </w:rPr>
        <w:t>, 10-ha</w:t>
      </w:r>
      <w:r w:rsidR="00C40171" w:rsidRPr="00D810D0">
        <w:rPr>
          <w:rFonts w:ascii="Arial" w:hAnsi="Arial" w:cs="Arial"/>
          <w:sz w:val="20"/>
          <w:szCs w:val="20"/>
        </w:rPr>
        <w:t xml:space="preserve"> (white area)</w:t>
      </w:r>
      <w:r w:rsidR="00BB5C29" w:rsidRPr="00D810D0">
        <w:rPr>
          <w:rFonts w:ascii="Arial" w:hAnsi="Arial" w:cs="Arial"/>
          <w:sz w:val="20"/>
          <w:szCs w:val="20"/>
        </w:rPr>
        <w:t xml:space="preserve">, 100-ha </w:t>
      </w:r>
      <w:r w:rsidR="00C40171" w:rsidRPr="00D810D0">
        <w:rPr>
          <w:rFonts w:ascii="Arial" w:hAnsi="Arial" w:cs="Arial"/>
          <w:sz w:val="20"/>
          <w:szCs w:val="20"/>
        </w:rPr>
        <w:t xml:space="preserve">(dark grey area) </w:t>
      </w:r>
      <w:r w:rsidR="00BB5C29" w:rsidRPr="00D810D0">
        <w:rPr>
          <w:rFonts w:ascii="Arial" w:hAnsi="Arial" w:cs="Arial"/>
          <w:sz w:val="20"/>
          <w:szCs w:val="20"/>
        </w:rPr>
        <w:t>and 1,000-ha circular areas</w:t>
      </w:r>
      <w:r w:rsidR="00C40171" w:rsidRPr="00D810D0">
        <w:rPr>
          <w:rFonts w:ascii="Arial" w:hAnsi="Arial" w:cs="Arial"/>
          <w:sz w:val="20"/>
          <w:szCs w:val="20"/>
        </w:rPr>
        <w:t xml:space="preserve"> (dashed perimeter)</w:t>
      </w:r>
      <w:r w:rsidR="00BB5C29" w:rsidRPr="00D810D0">
        <w:rPr>
          <w:rFonts w:ascii="Arial" w:hAnsi="Arial" w:cs="Arial"/>
          <w:sz w:val="20"/>
          <w:szCs w:val="20"/>
        </w:rPr>
        <w:t xml:space="preserve"> are shown for each of the three designs of sampling block: (b) control blocks, (c) experimental blocks and (d) linear blocks.</w:t>
      </w:r>
      <w:r w:rsidR="00C40171" w:rsidRPr="00D810D0">
        <w:rPr>
          <w:rFonts w:ascii="Arial" w:hAnsi="Arial" w:cs="Arial"/>
          <w:sz w:val="20"/>
          <w:szCs w:val="20"/>
        </w:rPr>
        <w:t xml:space="preserve"> </w:t>
      </w:r>
      <w:r w:rsidR="00201C9A" w:rsidRPr="00D810D0">
        <w:rPr>
          <w:rFonts w:ascii="Arial" w:hAnsi="Arial" w:cs="Arial"/>
          <w:sz w:val="20"/>
          <w:szCs w:val="20"/>
        </w:rPr>
        <w:t xml:space="preserve">The spatial arrangement of the six experimental blocks and two linear blocks within </w:t>
      </w:r>
      <w:r w:rsidR="00702A65" w:rsidRPr="00D810D0">
        <w:rPr>
          <w:rFonts w:ascii="Arial" w:hAnsi="Arial" w:cs="Arial"/>
          <w:sz w:val="20"/>
          <w:szCs w:val="20"/>
        </w:rPr>
        <w:t>and adjacent to the</w:t>
      </w:r>
      <w:r w:rsidR="00201C9A" w:rsidRPr="00D810D0">
        <w:rPr>
          <w:rFonts w:ascii="Arial" w:hAnsi="Arial" w:cs="Arial"/>
          <w:sz w:val="20"/>
          <w:szCs w:val="20"/>
        </w:rPr>
        <w:t xml:space="preserve"> SAFE Project area are </w:t>
      </w:r>
      <w:r w:rsidR="00810557" w:rsidRPr="00D810D0">
        <w:rPr>
          <w:rFonts w:ascii="Arial" w:hAnsi="Arial" w:cs="Arial"/>
          <w:sz w:val="20"/>
          <w:szCs w:val="20"/>
        </w:rPr>
        <w:t>shown</w:t>
      </w:r>
      <w:r w:rsidR="00201C9A" w:rsidRPr="00D810D0">
        <w:rPr>
          <w:rFonts w:ascii="Arial" w:hAnsi="Arial" w:cs="Arial"/>
          <w:sz w:val="20"/>
          <w:szCs w:val="20"/>
        </w:rPr>
        <w:t xml:space="preserve"> in (e), where </w:t>
      </w:r>
      <w:r w:rsidR="005C3C66" w:rsidRPr="00D810D0">
        <w:rPr>
          <w:rFonts w:ascii="Arial" w:hAnsi="Arial" w:cs="Arial"/>
          <w:sz w:val="20"/>
          <w:szCs w:val="20"/>
        </w:rPr>
        <w:t xml:space="preserve">those eight </w:t>
      </w:r>
      <w:r w:rsidR="00810557" w:rsidRPr="00D810D0">
        <w:rPr>
          <w:rFonts w:ascii="Arial" w:hAnsi="Arial" w:cs="Arial"/>
          <w:sz w:val="20"/>
          <w:szCs w:val="20"/>
        </w:rPr>
        <w:t xml:space="preserve">sampling </w:t>
      </w:r>
      <w:r w:rsidR="005C3C66" w:rsidRPr="00D810D0">
        <w:rPr>
          <w:rFonts w:ascii="Arial" w:hAnsi="Arial" w:cs="Arial"/>
          <w:sz w:val="20"/>
          <w:szCs w:val="20"/>
        </w:rPr>
        <w:t xml:space="preserve">blocks are </w:t>
      </w:r>
      <w:r w:rsidR="00810557" w:rsidRPr="00D810D0">
        <w:rPr>
          <w:rFonts w:ascii="Arial" w:hAnsi="Arial" w:cs="Arial"/>
          <w:sz w:val="20"/>
          <w:szCs w:val="20"/>
        </w:rPr>
        <w:t>represented inside 1,000-ha circles</w:t>
      </w:r>
      <w:r w:rsidR="00702A65" w:rsidRPr="00D810D0">
        <w:rPr>
          <w:rFonts w:ascii="Arial" w:hAnsi="Arial" w:cs="Arial"/>
          <w:sz w:val="20"/>
          <w:szCs w:val="20"/>
        </w:rPr>
        <w:t xml:space="preserve"> and comprise forest logged to various extents</w:t>
      </w:r>
      <w:r w:rsidR="00810557" w:rsidRPr="00D810D0">
        <w:rPr>
          <w:rFonts w:ascii="Arial" w:hAnsi="Arial" w:cs="Arial"/>
          <w:sz w:val="20"/>
          <w:szCs w:val="20"/>
        </w:rPr>
        <w:t>.</w:t>
      </w:r>
      <w:r w:rsidRPr="00D810D0">
        <w:rPr>
          <w:rFonts w:ascii="Arial" w:hAnsi="Arial" w:cs="Arial"/>
          <w:sz w:val="20"/>
          <w:szCs w:val="20"/>
        </w:rPr>
        <w:br w:type="page"/>
      </w:r>
    </w:p>
    <w:p w:rsidR="00B5675F" w:rsidRPr="00D810D0" w:rsidRDefault="00611B94" w:rsidP="00B27EB1">
      <w:pPr>
        <w:spacing w:line="480" w:lineRule="auto"/>
        <w:jc w:val="center"/>
        <w:rPr>
          <w:rFonts w:ascii="Arial" w:hAnsi="Arial" w:cs="Arial"/>
          <w:sz w:val="20"/>
          <w:szCs w:val="20"/>
        </w:rPr>
      </w:pPr>
      <w:r w:rsidRPr="00D810D0">
        <w:rPr>
          <w:rFonts w:ascii="Arial" w:hAnsi="Arial" w:cs="Arial"/>
          <w:noProof/>
          <w:sz w:val="20"/>
          <w:szCs w:val="20"/>
          <w:lang w:eastAsia="en-GB"/>
        </w:rPr>
        <w:lastRenderedPageBreak/>
        <w:drawing>
          <wp:inline distT="0" distB="0" distL="0" distR="0">
            <wp:extent cx="5486400" cy="1828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479121"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486400" cy="1828800"/>
                    </a:xfrm>
                    <a:prstGeom prst="rect">
                      <a:avLst/>
                    </a:prstGeom>
                    <a:noFill/>
                    <a:ln>
                      <a:noFill/>
                    </a:ln>
                  </pic:spPr>
                </pic:pic>
              </a:graphicData>
            </a:graphic>
          </wp:inline>
        </w:drawing>
      </w:r>
    </w:p>
    <w:p w:rsidR="000512D6" w:rsidRPr="00D810D0" w:rsidRDefault="00611B94" w:rsidP="00B27EB1">
      <w:pPr>
        <w:spacing w:line="480" w:lineRule="auto"/>
        <w:rPr>
          <w:rFonts w:ascii="Arial" w:hAnsi="Arial" w:cs="Arial"/>
          <w:sz w:val="20"/>
          <w:szCs w:val="20"/>
        </w:rPr>
      </w:pPr>
      <w:r w:rsidRPr="00D810D0">
        <w:rPr>
          <w:rFonts w:ascii="Arial" w:hAnsi="Arial" w:cs="Arial"/>
          <w:sz w:val="20"/>
          <w:szCs w:val="20"/>
        </w:rPr>
        <w:t>Fig</w:t>
      </w:r>
      <w:r w:rsidR="0095772B" w:rsidRPr="00D810D0">
        <w:rPr>
          <w:rFonts w:ascii="Arial" w:hAnsi="Arial" w:cs="Arial"/>
          <w:sz w:val="20"/>
          <w:szCs w:val="20"/>
        </w:rPr>
        <w:t>ure</w:t>
      </w:r>
      <w:r w:rsidRPr="00D810D0">
        <w:rPr>
          <w:rFonts w:ascii="Arial" w:hAnsi="Arial" w:cs="Arial"/>
          <w:sz w:val="20"/>
          <w:szCs w:val="20"/>
        </w:rPr>
        <w:t xml:space="preserve"> </w:t>
      </w:r>
      <w:r w:rsidR="00CB5E11" w:rsidRPr="00D810D0">
        <w:rPr>
          <w:rFonts w:ascii="Arial" w:hAnsi="Arial" w:cs="Arial"/>
          <w:sz w:val="20"/>
          <w:szCs w:val="20"/>
        </w:rPr>
        <w:t>2</w:t>
      </w:r>
      <w:r w:rsidRPr="00D810D0">
        <w:rPr>
          <w:rFonts w:ascii="Arial" w:hAnsi="Arial" w:cs="Arial"/>
          <w:sz w:val="20"/>
          <w:szCs w:val="20"/>
        </w:rPr>
        <w:t>.</w:t>
      </w:r>
      <w:r w:rsidR="00664419" w:rsidRPr="00D810D0">
        <w:rPr>
          <w:rFonts w:ascii="Arial" w:hAnsi="Arial" w:cs="Arial"/>
          <w:sz w:val="20"/>
          <w:szCs w:val="20"/>
        </w:rPr>
        <w:t xml:space="preserve"> </w:t>
      </w:r>
      <w:r w:rsidR="00655133" w:rsidRPr="00D810D0">
        <w:rPr>
          <w:rFonts w:ascii="Arial" w:hAnsi="Arial" w:cs="Arial"/>
          <w:sz w:val="20"/>
          <w:szCs w:val="20"/>
        </w:rPr>
        <w:t>The (a) total abundance, (b) species richness and (c) Shannon diversity</w:t>
      </w:r>
      <w:r w:rsidR="00664419" w:rsidRPr="00D810D0">
        <w:rPr>
          <w:rFonts w:ascii="Arial" w:hAnsi="Arial" w:cs="Arial"/>
          <w:sz w:val="20"/>
          <w:szCs w:val="20"/>
        </w:rPr>
        <w:t xml:space="preserve"> of weevils caught at second-order points</w:t>
      </w:r>
      <w:r w:rsidR="00655133" w:rsidRPr="00D810D0">
        <w:rPr>
          <w:rFonts w:ascii="Arial" w:hAnsi="Arial" w:cs="Arial"/>
          <w:sz w:val="20"/>
          <w:szCs w:val="20"/>
        </w:rPr>
        <w:t xml:space="preserve"> (1-ha scale)</w:t>
      </w:r>
      <w:r w:rsidR="00363AE6" w:rsidRPr="00D810D0">
        <w:rPr>
          <w:rFonts w:ascii="Arial" w:hAnsi="Arial" w:cs="Arial"/>
          <w:sz w:val="20"/>
          <w:szCs w:val="20"/>
        </w:rPr>
        <w:t xml:space="preserve">. </w:t>
      </w:r>
      <w:r w:rsidR="002A5430" w:rsidRPr="00D810D0">
        <w:rPr>
          <w:rFonts w:ascii="Arial" w:hAnsi="Arial" w:cs="Arial"/>
          <w:sz w:val="20"/>
          <w:szCs w:val="20"/>
        </w:rPr>
        <w:t xml:space="preserve">Within each </w:t>
      </w:r>
      <w:r w:rsidR="00B232CD" w:rsidRPr="00D810D0">
        <w:rPr>
          <w:rFonts w:ascii="Arial" w:hAnsi="Arial" w:cs="Arial"/>
          <w:sz w:val="20"/>
          <w:szCs w:val="20"/>
        </w:rPr>
        <w:t>panel</w:t>
      </w:r>
      <w:r w:rsidR="002A5430" w:rsidRPr="00D810D0">
        <w:rPr>
          <w:rFonts w:ascii="Arial" w:hAnsi="Arial" w:cs="Arial"/>
          <w:sz w:val="20"/>
          <w:szCs w:val="20"/>
        </w:rPr>
        <w:t xml:space="preserve">, </w:t>
      </w:r>
      <w:r w:rsidR="00655133" w:rsidRPr="00D810D0">
        <w:rPr>
          <w:rFonts w:ascii="Arial" w:hAnsi="Arial" w:cs="Arial"/>
          <w:sz w:val="20"/>
          <w:szCs w:val="20"/>
        </w:rPr>
        <w:t xml:space="preserve">samples collected from </w:t>
      </w:r>
      <w:r w:rsidR="002A5430" w:rsidRPr="00D810D0">
        <w:rPr>
          <w:rFonts w:ascii="Arial" w:hAnsi="Arial" w:cs="Arial"/>
          <w:sz w:val="20"/>
          <w:szCs w:val="20"/>
        </w:rPr>
        <w:t xml:space="preserve">oil palm plantation </w:t>
      </w:r>
      <w:r w:rsidR="00655133" w:rsidRPr="00D810D0">
        <w:rPr>
          <w:rFonts w:ascii="Arial" w:hAnsi="Arial" w:cs="Arial"/>
          <w:sz w:val="20"/>
          <w:szCs w:val="20"/>
        </w:rPr>
        <w:t xml:space="preserve">are </w:t>
      </w:r>
      <w:r w:rsidR="002A5430" w:rsidRPr="00D810D0">
        <w:rPr>
          <w:rFonts w:ascii="Arial" w:hAnsi="Arial" w:cs="Arial"/>
          <w:sz w:val="20"/>
          <w:szCs w:val="20"/>
        </w:rPr>
        <w:t>presented on the left (crosses) and forest on the right (dots). The large cross in each plot represents mixed model predictions (with vertical 95% confidence interval</w:t>
      </w:r>
      <w:r w:rsidR="00405583" w:rsidRPr="00D810D0">
        <w:rPr>
          <w:rFonts w:ascii="Arial" w:hAnsi="Arial" w:cs="Arial"/>
          <w:sz w:val="20"/>
          <w:szCs w:val="20"/>
        </w:rPr>
        <w:t>s</w:t>
      </w:r>
      <w:r w:rsidR="002A5430" w:rsidRPr="00D810D0">
        <w:rPr>
          <w:rFonts w:ascii="Arial" w:hAnsi="Arial" w:cs="Arial"/>
          <w:sz w:val="20"/>
          <w:szCs w:val="20"/>
        </w:rPr>
        <w:t xml:space="preserve">) for </w:t>
      </w:r>
      <w:r w:rsidR="00655133" w:rsidRPr="00D810D0">
        <w:rPr>
          <w:rFonts w:ascii="Arial" w:hAnsi="Arial" w:cs="Arial"/>
          <w:sz w:val="20"/>
          <w:szCs w:val="20"/>
        </w:rPr>
        <w:t xml:space="preserve">oil palm </w:t>
      </w:r>
      <w:r w:rsidR="002A5430" w:rsidRPr="00D810D0">
        <w:rPr>
          <w:rFonts w:ascii="Arial" w:hAnsi="Arial" w:cs="Arial"/>
          <w:sz w:val="20"/>
          <w:szCs w:val="20"/>
        </w:rPr>
        <w:t>plantation. The plotted lines (with light grey 95% confidence interval</w:t>
      </w:r>
      <w:r w:rsidR="00405583" w:rsidRPr="00D810D0">
        <w:rPr>
          <w:rFonts w:ascii="Arial" w:hAnsi="Arial" w:cs="Arial"/>
          <w:sz w:val="20"/>
          <w:szCs w:val="20"/>
        </w:rPr>
        <w:t>s</w:t>
      </w:r>
      <w:r w:rsidR="002A5430" w:rsidRPr="00D810D0">
        <w:rPr>
          <w:rFonts w:ascii="Arial" w:hAnsi="Arial" w:cs="Arial"/>
          <w:sz w:val="20"/>
          <w:szCs w:val="20"/>
        </w:rPr>
        <w:t xml:space="preserve">) represent mixed model predictions of the y-axis from AGB for </w:t>
      </w:r>
      <w:r w:rsidR="00182F70" w:rsidRPr="00D810D0">
        <w:rPr>
          <w:rFonts w:ascii="Arial" w:hAnsi="Arial" w:cs="Arial"/>
          <w:sz w:val="20"/>
          <w:szCs w:val="20"/>
        </w:rPr>
        <w:t>points in forest only</w:t>
      </w:r>
      <w:r w:rsidR="002A5430" w:rsidRPr="00D810D0">
        <w:rPr>
          <w:rFonts w:ascii="Arial" w:hAnsi="Arial" w:cs="Arial"/>
          <w:sz w:val="20"/>
          <w:szCs w:val="20"/>
        </w:rPr>
        <w:t>.</w:t>
      </w:r>
      <w:r w:rsidRPr="00D810D0">
        <w:rPr>
          <w:rFonts w:ascii="Arial" w:hAnsi="Arial" w:cs="Arial"/>
          <w:sz w:val="20"/>
          <w:szCs w:val="20"/>
        </w:rPr>
        <w:br w:type="page"/>
      </w:r>
    </w:p>
    <w:p w:rsidR="000512D6" w:rsidRPr="00D810D0" w:rsidRDefault="00611B94" w:rsidP="00B27EB1">
      <w:pPr>
        <w:spacing w:line="480" w:lineRule="auto"/>
        <w:jc w:val="center"/>
        <w:rPr>
          <w:rFonts w:ascii="Arial" w:hAnsi="Arial" w:cs="Arial"/>
          <w:sz w:val="20"/>
          <w:szCs w:val="20"/>
        </w:rPr>
      </w:pPr>
      <w:r w:rsidRPr="00D810D0">
        <w:rPr>
          <w:rFonts w:ascii="Arial" w:hAnsi="Arial" w:cs="Arial"/>
          <w:noProof/>
          <w:sz w:val="20"/>
          <w:szCs w:val="20"/>
          <w:lang w:eastAsia="en-GB"/>
        </w:rPr>
        <w:lastRenderedPageBreak/>
        <w:drawing>
          <wp:inline distT="0" distB="0" distL="0" distR="0">
            <wp:extent cx="5730240" cy="445770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553681"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730240" cy="4457700"/>
                    </a:xfrm>
                    <a:prstGeom prst="rect">
                      <a:avLst/>
                    </a:prstGeom>
                    <a:noFill/>
                    <a:ln>
                      <a:noFill/>
                    </a:ln>
                  </pic:spPr>
                </pic:pic>
              </a:graphicData>
            </a:graphic>
          </wp:inline>
        </w:drawing>
      </w:r>
    </w:p>
    <w:p w:rsidR="000512D6" w:rsidRPr="00D810D0" w:rsidRDefault="00611B94" w:rsidP="00B27EB1">
      <w:pPr>
        <w:spacing w:line="480" w:lineRule="auto"/>
        <w:rPr>
          <w:rFonts w:ascii="Arial" w:hAnsi="Arial" w:cs="Arial"/>
          <w:sz w:val="20"/>
          <w:szCs w:val="20"/>
        </w:rPr>
      </w:pPr>
      <w:r w:rsidRPr="00D810D0">
        <w:rPr>
          <w:rFonts w:ascii="Arial" w:hAnsi="Arial" w:cs="Arial"/>
          <w:sz w:val="20"/>
          <w:szCs w:val="20"/>
        </w:rPr>
        <w:t>Fig</w:t>
      </w:r>
      <w:r w:rsidR="0095772B" w:rsidRPr="00D810D0">
        <w:rPr>
          <w:rFonts w:ascii="Arial" w:hAnsi="Arial" w:cs="Arial"/>
          <w:sz w:val="20"/>
          <w:szCs w:val="20"/>
        </w:rPr>
        <w:t>ure</w:t>
      </w:r>
      <w:r w:rsidRPr="00D810D0">
        <w:rPr>
          <w:rFonts w:ascii="Arial" w:hAnsi="Arial" w:cs="Arial"/>
          <w:sz w:val="20"/>
          <w:szCs w:val="20"/>
        </w:rPr>
        <w:t xml:space="preserve"> </w:t>
      </w:r>
      <w:r w:rsidR="00CB5E11" w:rsidRPr="00D810D0">
        <w:rPr>
          <w:rFonts w:ascii="Arial" w:hAnsi="Arial" w:cs="Arial"/>
          <w:sz w:val="20"/>
          <w:szCs w:val="20"/>
        </w:rPr>
        <w:t>3</w:t>
      </w:r>
      <w:r w:rsidRPr="00D810D0">
        <w:rPr>
          <w:rFonts w:ascii="Arial" w:hAnsi="Arial" w:cs="Arial"/>
          <w:sz w:val="20"/>
          <w:szCs w:val="20"/>
        </w:rPr>
        <w:t>.</w:t>
      </w:r>
      <w:r w:rsidR="00FF56B9" w:rsidRPr="00D810D0">
        <w:rPr>
          <w:rFonts w:ascii="Arial" w:hAnsi="Arial" w:cs="Arial"/>
          <w:sz w:val="20"/>
          <w:szCs w:val="20"/>
        </w:rPr>
        <w:t xml:space="preserve"> Beta-diversity of weevils at three spatial scales</w:t>
      </w:r>
      <w:r w:rsidR="00A252D4" w:rsidRPr="00D810D0">
        <w:rPr>
          <w:rFonts w:ascii="Arial" w:hAnsi="Arial" w:cs="Arial"/>
          <w:sz w:val="20"/>
          <w:szCs w:val="20"/>
        </w:rPr>
        <w:t>:</w:t>
      </w:r>
      <w:r w:rsidR="00FF56B9" w:rsidRPr="00D810D0">
        <w:rPr>
          <w:rFonts w:ascii="Arial" w:hAnsi="Arial" w:cs="Arial"/>
          <w:sz w:val="20"/>
          <w:szCs w:val="20"/>
        </w:rPr>
        <w:t xml:space="preserve"> </w:t>
      </w:r>
      <w:r w:rsidR="00B3527E" w:rsidRPr="00D810D0">
        <w:rPr>
          <w:rFonts w:ascii="Arial" w:hAnsi="Arial" w:cs="Arial"/>
          <w:sz w:val="20"/>
          <w:szCs w:val="20"/>
        </w:rPr>
        <w:t>10-ha</w:t>
      </w:r>
      <w:r w:rsidR="00A252D4" w:rsidRPr="00D810D0">
        <w:rPr>
          <w:rFonts w:ascii="Arial" w:hAnsi="Arial" w:cs="Arial"/>
          <w:sz w:val="20"/>
          <w:szCs w:val="20"/>
        </w:rPr>
        <w:t xml:space="preserve"> (first column)</w:t>
      </w:r>
      <w:r w:rsidR="00FF56B9" w:rsidRPr="00D810D0">
        <w:rPr>
          <w:rFonts w:ascii="Arial" w:hAnsi="Arial" w:cs="Arial"/>
          <w:sz w:val="20"/>
          <w:szCs w:val="20"/>
        </w:rPr>
        <w:t xml:space="preserve">, </w:t>
      </w:r>
      <w:r w:rsidR="00B3527E" w:rsidRPr="00D810D0">
        <w:rPr>
          <w:rFonts w:ascii="Arial" w:hAnsi="Arial" w:cs="Arial"/>
          <w:sz w:val="20"/>
          <w:szCs w:val="20"/>
        </w:rPr>
        <w:t>100-ha</w:t>
      </w:r>
      <w:r w:rsidR="00FF56B9" w:rsidRPr="00D810D0">
        <w:rPr>
          <w:rFonts w:ascii="Arial" w:hAnsi="Arial" w:cs="Arial"/>
          <w:sz w:val="20"/>
          <w:szCs w:val="20"/>
        </w:rPr>
        <w:t xml:space="preserve"> </w:t>
      </w:r>
      <w:r w:rsidR="00A252D4" w:rsidRPr="00D810D0">
        <w:rPr>
          <w:rFonts w:ascii="Arial" w:hAnsi="Arial" w:cs="Arial"/>
          <w:sz w:val="20"/>
          <w:szCs w:val="20"/>
        </w:rPr>
        <w:t xml:space="preserve">(second column) </w:t>
      </w:r>
      <w:r w:rsidR="00FF56B9" w:rsidRPr="00D810D0">
        <w:rPr>
          <w:rFonts w:ascii="Arial" w:hAnsi="Arial" w:cs="Arial"/>
          <w:sz w:val="20"/>
          <w:szCs w:val="20"/>
        </w:rPr>
        <w:t xml:space="preserve">and </w:t>
      </w:r>
      <w:r w:rsidR="00B3527E" w:rsidRPr="00D810D0">
        <w:rPr>
          <w:rFonts w:ascii="Arial" w:hAnsi="Arial" w:cs="Arial"/>
          <w:sz w:val="20"/>
          <w:szCs w:val="20"/>
        </w:rPr>
        <w:t>1,000-ha</w:t>
      </w:r>
      <w:r w:rsidR="00D73D48">
        <w:rPr>
          <w:rFonts w:ascii="Arial" w:hAnsi="Arial" w:cs="Arial"/>
          <w:sz w:val="20"/>
          <w:szCs w:val="20"/>
        </w:rPr>
        <w:t xml:space="preserve"> (third </w:t>
      </w:r>
      <w:r w:rsidR="00A252D4" w:rsidRPr="00D810D0">
        <w:rPr>
          <w:rFonts w:ascii="Arial" w:hAnsi="Arial" w:cs="Arial"/>
          <w:sz w:val="20"/>
          <w:szCs w:val="20"/>
        </w:rPr>
        <w:t>column)</w:t>
      </w:r>
      <w:r w:rsidR="00FF56B9" w:rsidRPr="00D810D0">
        <w:rPr>
          <w:rFonts w:ascii="Arial" w:hAnsi="Arial" w:cs="Arial"/>
          <w:sz w:val="20"/>
          <w:szCs w:val="20"/>
        </w:rPr>
        <w:t>.</w:t>
      </w:r>
      <w:r w:rsidR="002724CA" w:rsidRPr="00D810D0">
        <w:rPr>
          <w:rFonts w:ascii="Arial" w:hAnsi="Arial" w:cs="Arial"/>
          <w:sz w:val="20"/>
          <w:szCs w:val="20"/>
        </w:rPr>
        <w:t xml:space="preserve"> </w:t>
      </w:r>
      <w:r w:rsidR="00ED4353" w:rsidRPr="00D810D0">
        <w:rPr>
          <w:rFonts w:ascii="Arial" w:hAnsi="Arial" w:cs="Arial"/>
          <w:sz w:val="20"/>
          <w:szCs w:val="20"/>
        </w:rPr>
        <w:t>Beta-diversity is partitioned by rows, where “balanced variation” is beta-diversity attributable to turnover in community structure, “abundance-gradient variation” is beta-diversity attributable to differences in weevil abundance between sites, and “</w:t>
      </w:r>
      <w:r w:rsidR="007E3DA9" w:rsidRPr="00D810D0">
        <w:rPr>
          <w:rFonts w:ascii="Arial" w:hAnsi="Arial" w:cs="Arial"/>
          <w:sz w:val="20"/>
          <w:szCs w:val="20"/>
        </w:rPr>
        <w:t>B</w:t>
      </w:r>
      <w:r w:rsidR="00ED4353" w:rsidRPr="00D810D0">
        <w:rPr>
          <w:rFonts w:ascii="Arial" w:hAnsi="Arial" w:cs="Arial"/>
          <w:sz w:val="20"/>
          <w:szCs w:val="20"/>
        </w:rPr>
        <w:t>ray-</w:t>
      </w:r>
      <w:r w:rsidR="007E3DA9" w:rsidRPr="00D810D0">
        <w:rPr>
          <w:rFonts w:ascii="Arial" w:hAnsi="Arial" w:cs="Arial"/>
          <w:sz w:val="20"/>
          <w:szCs w:val="20"/>
        </w:rPr>
        <w:t>C</w:t>
      </w:r>
      <w:r w:rsidR="00ED4353" w:rsidRPr="00D810D0">
        <w:rPr>
          <w:rFonts w:ascii="Arial" w:hAnsi="Arial" w:cs="Arial"/>
          <w:sz w:val="20"/>
          <w:szCs w:val="20"/>
        </w:rPr>
        <w:t>urtis dissimilarity” is total beta-diversity.</w:t>
      </w:r>
      <w:r w:rsidR="00FF56B9" w:rsidRPr="00D810D0">
        <w:rPr>
          <w:rFonts w:ascii="Arial" w:hAnsi="Arial" w:cs="Arial"/>
          <w:sz w:val="20"/>
          <w:szCs w:val="20"/>
        </w:rPr>
        <w:t xml:space="preserve"> </w:t>
      </w:r>
      <w:r w:rsidR="00113981" w:rsidRPr="00D810D0">
        <w:rPr>
          <w:rFonts w:ascii="Arial" w:hAnsi="Arial" w:cs="Arial"/>
          <w:sz w:val="20"/>
          <w:szCs w:val="20"/>
        </w:rPr>
        <w:t xml:space="preserve">Within panels, </w:t>
      </w:r>
      <w:r w:rsidR="00A252D4" w:rsidRPr="00D810D0">
        <w:rPr>
          <w:rFonts w:ascii="Arial" w:hAnsi="Arial" w:cs="Arial"/>
          <w:sz w:val="20"/>
          <w:szCs w:val="20"/>
        </w:rPr>
        <w:t xml:space="preserve">samples collected from </w:t>
      </w:r>
      <w:r w:rsidR="00B232CD" w:rsidRPr="00D810D0">
        <w:rPr>
          <w:rFonts w:ascii="Arial" w:hAnsi="Arial" w:cs="Arial"/>
          <w:sz w:val="20"/>
          <w:szCs w:val="20"/>
        </w:rPr>
        <w:t xml:space="preserve">oil palm plantation is represented on the left (crosses) and forest on the right (dots). </w:t>
      </w:r>
      <w:r w:rsidR="00306172" w:rsidRPr="00D810D0">
        <w:rPr>
          <w:rFonts w:ascii="Arial" w:hAnsi="Arial" w:cs="Arial"/>
          <w:sz w:val="20"/>
          <w:szCs w:val="20"/>
        </w:rPr>
        <w:t>Large crosses (with vertical 95% confidence interval</w:t>
      </w:r>
      <w:r w:rsidR="00E12EF8" w:rsidRPr="00D810D0">
        <w:rPr>
          <w:rFonts w:ascii="Arial" w:hAnsi="Arial" w:cs="Arial"/>
          <w:sz w:val="20"/>
          <w:szCs w:val="20"/>
        </w:rPr>
        <w:t>s</w:t>
      </w:r>
      <w:r w:rsidR="00306172" w:rsidRPr="00D810D0">
        <w:rPr>
          <w:rFonts w:ascii="Arial" w:hAnsi="Arial" w:cs="Arial"/>
          <w:sz w:val="20"/>
          <w:szCs w:val="20"/>
        </w:rPr>
        <w:t>) indicate model predictions for</w:t>
      </w:r>
      <w:r w:rsidR="00A252D4" w:rsidRPr="00D810D0">
        <w:rPr>
          <w:rFonts w:ascii="Arial" w:hAnsi="Arial" w:cs="Arial"/>
          <w:sz w:val="20"/>
          <w:szCs w:val="20"/>
        </w:rPr>
        <w:t xml:space="preserve"> oil palm</w:t>
      </w:r>
      <w:r w:rsidR="00306172" w:rsidRPr="00D810D0">
        <w:rPr>
          <w:rFonts w:ascii="Arial" w:hAnsi="Arial" w:cs="Arial"/>
          <w:sz w:val="20"/>
          <w:szCs w:val="20"/>
        </w:rPr>
        <w:t xml:space="preserve"> plantation. Plotted lines</w:t>
      </w:r>
      <w:r w:rsidR="00E12EF8" w:rsidRPr="00D810D0">
        <w:rPr>
          <w:rFonts w:ascii="Arial" w:hAnsi="Arial" w:cs="Arial"/>
          <w:sz w:val="20"/>
          <w:szCs w:val="20"/>
        </w:rPr>
        <w:t xml:space="preserve"> (with grey 95% confidence intervals)</w:t>
      </w:r>
      <w:r w:rsidR="00306172" w:rsidRPr="00D810D0">
        <w:rPr>
          <w:rFonts w:ascii="Arial" w:hAnsi="Arial" w:cs="Arial"/>
          <w:sz w:val="20"/>
          <w:szCs w:val="20"/>
        </w:rPr>
        <w:t xml:space="preserve"> represent response of forest </w:t>
      </w:r>
      <w:r w:rsidR="00E12EF8" w:rsidRPr="00D810D0">
        <w:rPr>
          <w:rFonts w:ascii="Arial" w:hAnsi="Arial" w:cs="Arial"/>
          <w:sz w:val="20"/>
          <w:szCs w:val="20"/>
        </w:rPr>
        <w:t xml:space="preserve">sites to AGB and </w:t>
      </w:r>
      <w:r w:rsidR="00A252D4" w:rsidRPr="00D810D0">
        <w:rPr>
          <w:rFonts w:ascii="Arial" w:hAnsi="Arial" w:cs="Arial"/>
          <w:sz w:val="20"/>
          <w:szCs w:val="20"/>
        </w:rPr>
        <w:t>topographic roughness</w:t>
      </w:r>
      <w:r w:rsidR="00E12EF8" w:rsidRPr="00D810D0">
        <w:rPr>
          <w:rFonts w:ascii="Arial" w:hAnsi="Arial" w:cs="Arial"/>
          <w:sz w:val="20"/>
          <w:szCs w:val="20"/>
        </w:rPr>
        <w:t xml:space="preserve">. </w:t>
      </w:r>
      <w:r w:rsidR="00A252D4" w:rsidRPr="00D810D0">
        <w:rPr>
          <w:rFonts w:ascii="Arial" w:hAnsi="Arial" w:cs="Arial"/>
          <w:sz w:val="20"/>
          <w:szCs w:val="20"/>
        </w:rPr>
        <w:t>R</w:t>
      </w:r>
      <w:r w:rsidR="00364F94" w:rsidRPr="00D810D0">
        <w:rPr>
          <w:rFonts w:ascii="Arial" w:hAnsi="Arial" w:cs="Arial"/>
          <w:sz w:val="20"/>
          <w:szCs w:val="20"/>
        </w:rPr>
        <w:t xml:space="preserve">oughness </w:t>
      </w:r>
      <w:r w:rsidR="00DA2887" w:rsidRPr="00D810D0">
        <w:rPr>
          <w:rFonts w:ascii="Arial" w:hAnsi="Arial" w:cs="Arial"/>
          <w:sz w:val="20"/>
          <w:szCs w:val="20"/>
        </w:rPr>
        <w:t>is a continuous measure</w:t>
      </w:r>
      <w:r w:rsidR="00A252D4" w:rsidRPr="00D810D0">
        <w:rPr>
          <w:rFonts w:ascii="Arial" w:hAnsi="Arial" w:cs="Arial"/>
          <w:sz w:val="20"/>
          <w:szCs w:val="20"/>
        </w:rPr>
        <w:t xml:space="preserve"> in our analyses</w:t>
      </w:r>
      <w:r w:rsidR="00DA2887" w:rsidRPr="00D810D0">
        <w:rPr>
          <w:rFonts w:ascii="Arial" w:hAnsi="Arial" w:cs="Arial"/>
          <w:sz w:val="20"/>
          <w:szCs w:val="20"/>
        </w:rPr>
        <w:t xml:space="preserve">, </w:t>
      </w:r>
      <w:r w:rsidR="00A252D4" w:rsidRPr="00D810D0">
        <w:rPr>
          <w:rFonts w:ascii="Arial" w:hAnsi="Arial" w:cs="Arial"/>
          <w:sz w:val="20"/>
          <w:szCs w:val="20"/>
        </w:rPr>
        <w:t xml:space="preserve">so </w:t>
      </w:r>
      <w:r w:rsidR="00DA2887" w:rsidRPr="00D810D0">
        <w:rPr>
          <w:rFonts w:ascii="Arial" w:hAnsi="Arial" w:cs="Arial"/>
          <w:sz w:val="20"/>
          <w:szCs w:val="20"/>
        </w:rPr>
        <w:t xml:space="preserve">for visualisation purposes </w:t>
      </w:r>
      <w:r w:rsidR="00A252D4" w:rsidRPr="00D810D0">
        <w:rPr>
          <w:rFonts w:ascii="Arial" w:hAnsi="Arial" w:cs="Arial"/>
          <w:sz w:val="20"/>
          <w:szCs w:val="20"/>
        </w:rPr>
        <w:t xml:space="preserve">we set </w:t>
      </w:r>
      <w:r w:rsidR="00405583" w:rsidRPr="00D810D0">
        <w:rPr>
          <w:rFonts w:ascii="Arial" w:hAnsi="Arial" w:cs="Arial"/>
          <w:sz w:val="20"/>
          <w:szCs w:val="20"/>
        </w:rPr>
        <w:t>“Low”</w:t>
      </w:r>
      <w:r w:rsidR="00364F94" w:rsidRPr="00D810D0">
        <w:rPr>
          <w:rFonts w:ascii="Arial" w:hAnsi="Arial" w:cs="Arial"/>
          <w:sz w:val="20"/>
          <w:szCs w:val="20"/>
        </w:rPr>
        <w:t xml:space="preserve"> roughness </w:t>
      </w:r>
      <w:r w:rsidR="00A252D4" w:rsidRPr="00D810D0">
        <w:rPr>
          <w:rFonts w:ascii="Arial" w:hAnsi="Arial" w:cs="Arial"/>
          <w:sz w:val="20"/>
          <w:szCs w:val="20"/>
        </w:rPr>
        <w:t xml:space="preserve">as </w:t>
      </w:r>
      <w:r w:rsidR="00405583" w:rsidRPr="00D810D0">
        <w:rPr>
          <w:rFonts w:ascii="Arial" w:hAnsi="Arial" w:cs="Arial"/>
          <w:sz w:val="20"/>
          <w:szCs w:val="20"/>
        </w:rPr>
        <w:t>a value of 0.06 and “High”</w:t>
      </w:r>
      <w:r w:rsidR="00364F94" w:rsidRPr="00D810D0">
        <w:rPr>
          <w:rFonts w:ascii="Arial" w:hAnsi="Arial" w:cs="Arial"/>
          <w:sz w:val="20"/>
          <w:szCs w:val="20"/>
        </w:rPr>
        <w:t xml:space="preserve"> roughness </w:t>
      </w:r>
      <w:r w:rsidR="00A252D4" w:rsidRPr="00D810D0">
        <w:rPr>
          <w:rFonts w:ascii="Arial" w:hAnsi="Arial" w:cs="Arial"/>
          <w:sz w:val="20"/>
          <w:szCs w:val="20"/>
        </w:rPr>
        <w:t xml:space="preserve">as </w:t>
      </w:r>
      <w:r w:rsidR="00405583" w:rsidRPr="00D810D0">
        <w:rPr>
          <w:rFonts w:ascii="Arial" w:hAnsi="Arial" w:cs="Arial"/>
          <w:sz w:val="20"/>
          <w:szCs w:val="20"/>
        </w:rPr>
        <w:t>a value of 0.14.</w:t>
      </w:r>
      <w:r w:rsidRPr="00D810D0">
        <w:rPr>
          <w:rFonts w:ascii="Arial" w:hAnsi="Arial" w:cs="Arial"/>
          <w:sz w:val="20"/>
          <w:szCs w:val="20"/>
        </w:rPr>
        <w:br w:type="page"/>
      </w:r>
    </w:p>
    <w:p w:rsidR="000512D6" w:rsidRPr="00D810D0" w:rsidRDefault="00611B94" w:rsidP="00B27EB1">
      <w:pPr>
        <w:spacing w:line="480" w:lineRule="auto"/>
        <w:jc w:val="center"/>
        <w:rPr>
          <w:rFonts w:ascii="Arial" w:hAnsi="Arial" w:cs="Arial"/>
          <w:sz w:val="20"/>
          <w:szCs w:val="20"/>
        </w:rPr>
      </w:pPr>
      <w:r w:rsidRPr="00D810D0">
        <w:rPr>
          <w:rFonts w:ascii="Arial" w:hAnsi="Arial" w:cs="Arial"/>
          <w:noProof/>
          <w:sz w:val="20"/>
          <w:szCs w:val="20"/>
          <w:lang w:eastAsia="en-GB"/>
        </w:rPr>
        <w:lastRenderedPageBreak/>
        <w:drawing>
          <wp:inline distT="0" distB="0" distL="0" distR="0">
            <wp:extent cx="2286000" cy="2057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583884"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286000" cy="2057400"/>
                    </a:xfrm>
                    <a:prstGeom prst="rect">
                      <a:avLst/>
                    </a:prstGeom>
                    <a:noFill/>
                    <a:ln>
                      <a:noFill/>
                    </a:ln>
                  </pic:spPr>
                </pic:pic>
              </a:graphicData>
            </a:graphic>
          </wp:inline>
        </w:drawing>
      </w:r>
    </w:p>
    <w:p w:rsidR="000512D6" w:rsidRPr="00D810D0" w:rsidRDefault="00611B94" w:rsidP="00B27EB1">
      <w:pPr>
        <w:spacing w:line="480" w:lineRule="auto"/>
        <w:rPr>
          <w:rFonts w:ascii="Arial" w:hAnsi="Arial" w:cs="Arial"/>
          <w:sz w:val="20"/>
          <w:szCs w:val="20"/>
        </w:rPr>
      </w:pPr>
      <w:r w:rsidRPr="00D810D0">
        <w:rPr>
          <w:rFonts w:ascii="Arial" w:hAnsi="Arial" w:cs="Arial"/>
          <w:sz w:val="20"/>
          <w:szCs w:val="20"/>
        </w:rPr>
        <w:t>Fig</w:t>
      </w:r>
      <w:r w:rsidR="0095772B" w:rsidRPr="00D810D0">
        <w:rPr>
          <w:rFonts w:ascii="Arial" w:hAnsi="Arial" w:cs="Arial"/>
          <w:sz w:val="20"/>
          <w:szCs w:val="20"/>
        </w:rPr>
        <w:t>ure</w:t>
      </w:r>
      <w:r w:rsidRPr="00D810D0">
        <w:rPr>
          <w:rFonts w:ascii="Arial" w:hAnsi="Arial" w:cs="Arial"/>
          <w:sz w:val="20"/>
          <w:szCs w:val="20"/>
        </w:rPr>
        <w:t xml:space="preserve"> </w:t>
      </w:r>
      <w:r w:rsidR="00873E5B" w:rsidRPr="00D810D0">
        <w:rPr>
          <w:rFonts w:ascii="Arial" w:hAnsi="Arial" w:cs="Arial"/>
          <w:sz w:val="20"/>
          <w:szCs w:val="20"/>
        </w:rPr>
        <w:t>4</w:t>
      </w:r>
      <w:r w:rsidR="00E70085" w:rsidRPr="00D810D0">
        <w:rPr>
          <w:rFonts w:ascii="Arial" w:hAnsi="Arial" w:cs="Arial"/>
          <w:sz w:val="20"/>
          <w:szCs w:val="20"/>
        </w:rPr>
        <w:t xml:space="preserve">. Temporal unevenness in the abundances of weevil </w:t>
      </w:r>
      <w:r w:rsidR="0033168D" w:rsidRPr="00D810D0">
        <w:rPr>
          <w:rFonts w:ascii="Arial" w:hAnsi="Arial" w:cs="Arial"/>
          <w:sz w:val="20"/>
          <w:szCs w:val="20"/>
        </w:rPr>
        <w:t>species</w:t>
      </w:r>
      <w:r w:rsidR="00E70085" w:rsidRPr="00D810D0">
        <w:rPr>
          <w:rFonts w:ascii="Arial" w:hAnsi="Arial" w:cs="Arial"/>
          <w:sz w:val="20"/>
          <w:szCs w:val="20"/>
        </w:rPr>
        <w:t xml:space="preserve"> caught per sampling block. </w:t>
      </w:r>
      <w:r w:rsidR="00A252D4" w:rsidRPr="00D810D0">
        <w:rPr>
          <w:rFonts w:ascii="Arial" w:hAnsi="Arial" w:cs="Arial"/>
          <w:sz w:val="20"/>
          <w:szCs w:val="20"/>
        </w:rPr>
        <w:t>Samples collected from o</w:t>
      </w:r>
      <w:r w:rsidR="00E70085" w:rsidRPr="00D810D0">
        <w:rPr>
          <w:rFonts w:ascii="Arial" w:hAnsi="Arial" w:cs="Arial"/>
          <w:sz w:val="20"/>
          <w:szCs w:val="20"/>
        </w:rPr>
        <w:t xml:space="preserve">il palm plantation </w:t>
      </w:r>
      <w:r w:rsidR="00A252D4" w:rsidRPr="00D810D0">
        <w:rPr>
          <w:rFonts w:ascii="Arial" w:hAnsi="Arial" w:cs="Arial"/>
          <w:sz w:val="20"/>
          <w:szCs w:val="20"/>
        </w:rPr>
        <w:t xml:space="preserve">are </w:t>
      </w:r>
      <w:r w:rsidR="00E70085" w:rsidRPr="00D810D0">
        <w:rPr>
          <w:rFonts w:ascii="Arial" w:hAnsi="Arial" w:cs="Arial"/>
          <w:sz w:val="20"/>
          <w:szCs w:val="20"/>
        </w:rPr>
        <w:t xml:space="preserve">represented on the left </w:t>
      </w:r>
      <w:r w:rsidR="00A252D4" w:rsidRPr="00D810D0">
        <w:rPr>
          <w:rFonts w:ascii="Arial" w:hAnsi="Arial" w:cs="Arial"/>
          <w:sz w:val="20"/>
          <w:szCs w:val="20"/>
        </w:rPr>
        <w:t>(</w:t>
      </w:r>
      <w:r w:rsidR="00E70085" w:rsidRPr="00D810D0">
        <w:rPr>
          <w:rFonts w:ascii="Arial" w:hAnsi="Arial" w:cs="Arial"/>
          <w:sz w:val="20"/>
          <w:szCs w:val="20"/>
        </w:rPr>
        <w:t>crosses</w:t>
      </w:r>
      <w:r w:rsidR="00A252D4" w:rsidRPr="00D810D0">
        <w:rPr>
          <w:rFonts w:ascii="Arial" w:hAnsi="Arial" w:cs="Arial"/>
          <w:sz w:val="20"/>
          <w:szCs w:val="20"/>
        </w:rPr>
        <w:t>)</w:t>
      </w:r>
      <w:r w:rsidR="00E70085" w:rsidRPr="00D810D0">
        <w:rPr>
          <w:rFonts w:ascii="Arial" w:hAnsi="Arial" w:cs="Arial"/>
          <w:sz w:val="20"/>
          <w:szCs w:val="20"/>
        </w:rPr>
        <w:t xml:space="preserve">, and forest on the right </w:t>
      </w:r>
      <w:r w:rsidR="00A252D4" w:rsidRPr="00D810D0">
        <w:rPr>
          <w:rFonts w:ascii="Arial" w:hAnsi="Arial" w:cs="Arial"/>
          <w:sz w:val="20"/>
          <w:szCs w:val="20"/>
        </w:rPr>
        <w:t>(</w:t>
      </w:r>
      <w:r w:rsidR="00E70085" w:rsidRPr="00D810D0">
        <w:rPr>
          <w:rFonts w:ascii="Arial" w:hAnsi="Arial" w:cs="Arial"/>
          <w:sz w:val="20"/>
          <w:szCs w:val="20"/>
        </w:rPr>
        <w:t>dots</w:t>
      </w:r>
      <w:r w:rsidR="00A252D4" w:rsidRPr="00D810D0">
        <w:rPr>
          <w:rFonts w:ascii="Arial" w:hAnsi="Arial" w:cs="Arial"/>
          <w:sz w:val="20"/>
          <w:szCs w:val="20"/>
        </w:rPr>
        <w:t>)</w:t>
      </w:r>
      <w:r w:rsidR="00E70085" w:rsidRPr="00D810D0">
        <w:rPr>
          <w:rFonts w:ascii="Arial" w:hAnsi="Arial" w:cs="Arial"/>
          <w:sz w:val="20"/>
          <w:szCs w:val="20"/>
        </w:rPr>
        <w:t>.</w:t>
      </w:r>
      <w:r w:rsidR="00D65315" w:rsidRPr="00D810D0">
        <w:rPr>
          <w:rFonts w:ascii="Arial" w:hAnsi="Arial" w:cs="Arial"/>
          <w:sz w:val="20"/>
          <w:szCs w:val="20"/>
        </w:rPr>
        <w:t xml:space="preserve"> The critical value of χ</w:t>
      </w:r>
      <w:r w:rsidR="00D65315" w:rsidRPr="00D810D0">
        <w:rPr>
          <w:rFonts w:ascii="Arial" w:hAnsi="Arial" w:cs="Arial"/>
          <w:sz w:val="20"/>
          <w:szCs w:val="20"/>
          <w:vertAlign w:val="superscript"/>
        </w:rPr>
        <w:t>2</w:t>
      </w:r>
      <w:r w:rsidR="00D65315" w:rsidRPr="00D810D0">
        <w:rPr>
          <w:rFonts w:ascii="Arial" w:hAnsi="Arial" w:cs="Arial"/>
          <w:sz w:val="20"/>
          <w:szCs w:val="20"/>
        </w:rPr>
        <w:t xml:space="preserve"> on two degrees of freedom </w:t>
      </w:r>
      <w:r w:rsidR="001D5554" w:rsidRPr="00D810D0">
        <w:rPr>
          <w:rFonts w:ascii="Arial" w:hAnsi="Arial" w:cs="Arial"/>
          <w:sz w:val="20"/>
          <w:szCs w:val="20"/>
        </w:rPr>
        <w:t xml:space="preserve">for </w:t>
      </w:r>
      <w:r w:rsidR="00261B39" w:rsidRPr="00D810D0">
        <w:rPr>
          <w:rFonts w:ascii="Arial" w:hAnsi="Arial" w:cs="Arial"/>
          <w:sz w:val="20"/>
          <w:szCs w:val="20"/>
        </w:rPr>
        <w:t>P</w:t>
      </w:r>
      <w:r w:rsidR="00D65315" w:rsidRPr="00D810D0">
        <w:rPr>
          <w:rFonts w:ascii="Arial" w:hAnsi="Arial" w:cs="Arial"/>
          <w:sz w:val="20"/>
          <w:szCs w:val="20"/>
        </w:rPr>
        <w:t xml:space="preserve"> = 0.05</w:t>
      </w:r>
      <w:r w:rsidR="00D24E38" w:rsidRPr="00D810D0">
        <w:rPr>
          <w:rFonts w:ascii="Arial" w:hAnsi="Arial" w:cs="Arial"/>
          <w:sz w:val="20"/>
          <w:szCs w:val="20"/>
        </w:rPr>
        <w:t>0</w:t>
      </w:r>
      <w:r w:rsidR="00D65315" w:rsidRPr="00D810D0">
        <w:rPr>
          <w:rFonts w:ascii="Arial" w:hAnsi="Arial" w:cs="Arial"/>
          <w:sz w:val="20"/>
          <w:szCs w:val="20"/>
        </w:rPr>
        <w:t xml:space="preserve"> is shown as a grey dashed line</w:t>
      </w:r>
      <w:r w:rsidR="00A844FB" w:rsidRPr="00D810D0">
        <w:rPr>
          <w:rFonts w:ascii="Arial" w:hAnsi="Arial" w:cs="Arial"/>
          <w:sz w:val="20"/>
          <w:szCs w:val="20"/>
        </w:rPr>
        <w:t>, so all points above that line represent one species that was caught in significantly uneven abundances across sampling periods</w:t>
      </w:r>
      <w:r w:rsidR="00D65315" w:rsidRPr="00D810D0">
        <w:rPr>
          <w:rFonts w:ascii="Arial" w:hAnsi="Arial" w:cs="Arial"/>
          <w:sz w:val="20"/>
          <w:szCs w:val="20"/>
        </w:rPr>
        <w:t xml:space="preserve">. </w:t>
      </w:r>
    </w:p>
    <w:sectPr w:rsidR="000512D6" w:rsidRPr="00D810D0" w:rsidSect="00D57179">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385CC7"/>
    <w:multiLevelType w:val="hybridMultilevel"/>
    <w:tmpl w:val="C2966F18"/>
    <w:lvl w:ilvl="0" w:tplc="E22EC210">
      <w:numFmt w:val="bullet"/>
      <w:lvlText w:val="-"/>
      <w:lvlJc w:val="left"/>
      <w:pPr>
        <w:ind w:left="720" w:hanging="360"/>
      </w:pPr>
      <w:rPr>
        <w:rFonts w:ascii="Calibri" w:eastAsiaTheme="minorHAnsi" w:hAnsi="Calibri" w:cstheme="minorBidi" w:hint="default"/>
      </w:rPr>
    </w:lvl>
    <w:lvl w:ilvl="1" w:tplc="535C5EF4" w:tentative="1">
      <w:start w:val="1"/>
      <w:numFmt w:val="bullet"/>
      <w:lvlText w:val="o"/>
      <w:lvlJc w:val="left"/>
      <w:pPr>
        <w:ind w:left="1440" w:hanging="360"/>
      </w:pPr>
      <w:rPr>
        <w:rFonts w:ascii="Courier New" w:hAnsi="Courier New" w:cs="Courier New" w:hint="default"/>
      </w:rPr>
    </w:lvl>
    <w:lvl w:ilvl="2" w:tplc="0AAE2108" w:tentative="1">
      <w:start w:val="1"/>
      <w:numFmt w:val="bullet"/>
      <w:lvlText w:val=""/>
      <w:lvlJc w:val="left"/>
      <w:pPr>
        <w:ind w:left="2160" w:hanging="360"/>
      </w:pPr>
      <w:rPr>
        <w:rFonts w:ascii="Wingdings" w:hAnsi="Wingdings" w:hint="default"/>
      </w:rPr>
    </w:lvl>
    <w:lvl w:ilvl="3" w:tplc="70C6CF8A" w:tentative="1">
      <w:start w:val="1"/>
      <w:numFmt w:val="bullet"/>
      <w:lvlText w:val=""/>
      <w:lvlJc w:val="left"/>
      <w:pPr>
        <w:ind w:left="2880" w:hanging="360"/>
      </w:pPr>
      <w:rPr>
        <w:rFonts w:ascii="Symbol" w:hAnsi="Symbol" w:hint="default"/>
      </w:rPr>
    </w:lvl>
    <w:lvl w:ilvl="4" w:tplc="7B8C1734" w:tentative="1">
      <w:start w:val="1"/>
      <w:numFmt w:val="bullet"/>
      <w:lvlText w:val="o"/>
      <w:lvlJc w:val="left"/>
      <w:pPr>
        <w:ind w:left="3600" w:hanging="360"/>
      </w:pPr>
      <w:rPr>
        <w:rFonts w:ascii="Courier New" w:hAnsi="Courier New" w:cs="Courier New" w:hint="default"/>
      </w:rPr>
    </w:lvl>
    <w:lvl w:ilvl="5" w:tplc="9C726C82" w:tentative="1">
      <w:start w:val="1"/>
      <w:numFmt w:val="bullet"/>
      <w:lvlText w:val=""/>
      <w:lvlJc w:val="left"/>
      <w:pPr>
        <w:ind w:left="4320" w:hanging="360"/>
      </w:pPr>
      <w:rPr>
        <w:rFonts w:ascii="Wingdings" w:hAnsi="Wingdings" w:hint="default"/>
      </w:rPr>
    </w:lvl>
    <w:lvl w:ilvl="6" w:tplc="15328050" w:tentative="1">
      <w:start w:val="1"/>
      <w:numFmt w:val="bullet"/>
      <w:lvlText w:val=""/>
      <w:lvlJc w:val="left"/>
      <w:pPr>
        <w:ind w:left="5040" w:hanging="360"/>
      </w:pPr>
      <w:rPr>
        <w:rFonts w:ascii="Symbol" w:hAnsi="Symbol" w:hint="default"/>
      </w:rPr>
    </w:lvl>
    <w:lvl w:ilvl="7" w:tplc="E44852BC" w:tentative="1">
      <w:start w:val="1"/>
      <w:numFmt w:val="bullet"/>
      <w:lvlText w:val="o"/>
      <w:lvlJc w:val="left"/>
      <w:pPr>
        <w:ind w:left="5760" w:hanging="360"/>
      </w:pPr>
      <w:rPr>
        <w:rFonts w:ascii="Courier New" w:hAnsi="Courier New" w:cs="Courier New" w:hint="default"/>
      </w:rPr>
    </w:lvl>
    <w:lvl w:ilvl="8" w:tplc="7422BE22"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hyphenationZone w:val="425"/>
  <w:characterSpacingControl w:val="doNotCompress"/>
  <w:compat>
    <w:compatSetting w:name="compatibilityMode" w:uri="http://schemas.microsoft.com/office/word" w:val="12"/>
  </w:compat>
  <w:rsids>
    <w:rsidRoot w:val="002A7F38"/>
    <w:rsid w:val="00010056"/>
    <w:rsid w:val="00013228"/>
    <w:rsid w:val="00013843"/>
    <w:rsid w:val="0001647C"/>
    <w:rsid w:val="00022CCA"/>
    <w:rsid w:val="000233D8"/>
    <w:rsid w:val="00024DCD"/>
    <w:rsid w:val="00026976"/>
    <w:rsid w:val="00041DE9"/>
    <w:rsid w:val="000421DF"/>
    <w:rsid w:val="00043AF6"/>
    <w:rsid w:val="00044708"/>
    <w:rsid w:val="00047CFF"/>
    <w:rsid w:val="00050C9C"/>
    <w:rsid w:val="000512D6"/>
    <w:rsid w:val="00052247"/>
    <w:rsid w:val="000545FB"/>
    <w:rsid w:val="000609A2"/>
    <w:rsid w:val="0006258B"/>
    <w:rsid w:val="00062C00"/>
    <w:rsid w:val="000650F5"/>
    <w:rsid w:val="00070194"/>
    <w:rsid w:val="0007195C"/>
    <w:rsid w:val="00073492"/>
    <w:rsid w:val="00073EF2"/>
    <w:rsid w:val="00074E43"/>
    <w:rsid w:val="0007692F"/>
    <w:rsid w:val="00082BBB"/>
    <w:rsid w:val="00084246"/>
    <w:rsid w:val="000844A9"/>
    <w:rsid w:val="00086AB6"/>
    <w:rsid w:val="000877E6"/>
    <w:rsid w:val="000904DF"/>
    <w:rsid w:val="00093CE4"/>
    <w:rsid w:val="000979FA"/>
    <w:rsid w:val="000A4867"/>
    <w:rsid w:val="000A6FBB"/>
    <w:rsid w:val="000B4BC1"/>
    <w:rsid w:val="000B5BCC"/>
    <w:rsid w:val="000B7087"/>
    <w:rsid w:val="000C73D7"/>
    <w:rsid w:val="000D1E4F"/>
    <w:rsid w:val="000D44E4"/>
    <w:rsid w:val="000D6C75"/>
    <w:rsid w:val="000E5A58"/>
    <w:rsid w:val="000E7323"/>
    <w:rsid w:val="000E734C"/>
    <w:rsid w:val="000E76CF"/>
    <w:rsid w:val="000F1C3B"/>
    <w:rsid w:val="000F1DB1"/>
    <w:rsid w:val="000F23BD"/>
    <w:rsid w:val="000F35DF"/>
    <w:rsid w:val="000F3F27"/>
    <w:rsid w:val="000F474D"/>
    <w:rsid w:val="000F4B08"/>
    <w:rsid w:val="001030E9"/>
    <w:rsid w:val="00111ADB"/>
    <w:rsid w:val="00112741"/>
    <w:rsid w:val="0011323C"/>
    <w:rsid w:val="00113981"/>
    <w:rsid w:val="00120CA9"/>
    <w:rsid w:val="0012615B"/>
    <w:rsid w:val="001300E8"/>
    <w:rsid w:val="001379A1"/>
    <w:rsid w:val="00145F15"/>
    <w:rsid w:val="00146465"/>
    <w:rsid w:val="001466B0"/>
    <w:rsid w:val="00150138"/>
    <w:rsid w:val="00157D02"/>
    <w:rsid w:val="00162E9B"/>
    <w:rsid w:val="001646C0"/>
    <w:rsid w:val="00164CBE"/>
    <w:rsid w:val="00172D27"/>
    <w:rsid w:val="001749B2"/>
    <w:rsid w:val="00176113"/>
    <w:rsid w:val="00181068"/>
    <w:rsid w:val="0018159B"/>
    <w:rsid w:val="00182F70"/>
    <w:rsid w:val="001865DE"/>
    <w:rsid w:val="001868C9"/>
    <w:rsid w:val="00197DBC"/>
    <w:rsid w:val="001A05B3"/>
    <w:rsid w:val="001A1157"/>
    <w:rsid w:val="001A1E5E"/>
    <w:rsid w:val="001A3272"/>
    <w:rsid w:val="001A33D3"/>
    <w:rsid w:val="001A600C"/>
    <w:rsid w:val="001A6402"/>
    <w:rsid w:val="001B0C6E"/>
    <w:rsid w:val="001B1474"/>
    <w:rsid w:val="001B40F2"/>
    <w:rsid w:val="001B7E26"/>
    <w:rsid w:val="001C24AE"/>
    <w:rsid w:val="001C70B0"/>
    <w:rsid w:val="001D5554"/>
    <w:rsid w:val="001E4048"/>
    <w:rsid w:val="001E4384"/>
    <w:rsid w:val="001E516E"/>
    <w:rsid w:val="001E6E50"/>
    <w:rsid w:val="001F26BE"/>
    <w:rsid w:val="001F7188"/>
    <w:rsid w:val="00201C9A"/>
    <w:rsid w:val="002026F8"/>
    <w:rsid w:val="00210BC6"/>
    <w:rsid w:val="00213CF4"/>
    <w:rsid w:val="00217841"/>
    <w:rsid w:val="00217B48"/>
    <w:rsid w:val="002208C3"/>
    <w:rsid w:val="00220CFB"/>
    <w:rsid w:val="00226722"/>
    <w:rsid w:val="00227019"/>
    <w:rsid w:val="002328C9"/>
    <w:rsid w:val="002468F1"/>
    <w:rsid w:val="0024730C"/>
    <w:rsid w:val="00255D9D"/>
    <w:rsid w:val="00261B39"/>
    <w:rsid w:val="00261EF5"/>
    <w:rsid w:val="002622AD"/>
    <w:rsid w:val="00262694"/>
    <w:rsid w:val="00263486"/>
    <w:rsid w:val="00263AB5"/>
    <w:rsid w:val="00266290"/>
    <w:rsid w:val="00271E0C"/>
    <w:rsid w:val="002724CA"/>
    <w:rsid w:val="00272A14"/>
    <w:rsid w:val="00275033"/>
    <w:rsid w:val="0028198C"/>
    <w:rsid w:val="00283AC1"/>
    <w:rsid w:val="00284B4A"/>
    <w:rsid w:val="00295437"/>
    <w:rsid w:val="002959EB"/>
    <w:rsid w:val="002961A1"/>
    <w:rsid w:val="002A538D"/>
    <w:rsid w:val="002A5430"/>
    <w:rsid w:val="002A7E42"/>
    <w:rsid w:val="002A7F38"/>
    <w:rsid w:val="002B2570"/>
    <w:rsid w:val="002B28D4"/>
    <w:rsid w:val="002B2C43"/>
    <w:rsid w:val="002B4282"/>
    <w:rsid w:val="002B7B2E"/>
    <w:rsid w:val="002C192E"/>
    <w:rsid w:val="002D4578"/>
    <w:rsid w:val="002E3D78"/>
    <w:rsid w:val="002F3718"/>
    <w:rsid w:val="002F6FCB"/>
    <w:rsid w:val="002F7C98"/>
    <w:rsid w:val="00300B58"/>
    <w:rsid w:val="003021D5"/>
    <w:rsid w:val="00302FFD"/>
    <w:rsid w:val="00306172"/>
    <w:rsid w:val="00306B1D"/>
    <w:rsid w:val="00313CB3"/>
    <w:rsid w:val="00321CEB"/>
    <w:rsid w:val="00322336"/>
    <w:rsid w:val="00330592"/>
    <w:rsid w:val="003306E3"/>
    <w:rsid w:val="00331404"/>
    <w:rsid w:val="0033168D"/>
    <w:rsid w:val="00331BEE"/>
    <w:rsid w:val="00332B21"/>
    <w:rsid w:val="0033458A"/>
    <w:rsid w:val="00335AD4"/>
    <w:rsid w:val="00336473"/>
    <w:rsid w:val="003431EF"/>
    <w:rsid w:val="0035706E"/>
    <w:rsid w:val="0036046A"/>
    <w:rsid w:val="00360F6F"/>
    <w:rsid w:val="00361963"/>
    <w:rsid w:val="003627B6"/>
    <w:rsid w:val="00363AE6"/>
    <w:rsid w:val="00364DD7"/>
    <w:rsid w:val="00364F94"/>
    <w:rsid w:val="00372210"/>
    <w:rsid w:val="00373773"/>
    <w:rsid w:val="00381787"/>
    <w:rsid w:val="003843BA"/>
    <w:rsid w:val="003862DD"/>
    <w:rsid w:val="003869A2"/>
    <w:rsid w:val="00390C61"/>
    <w:rsid w:val="00391EE3"/>
    <w:rsid w:val="003928CD"/>
    <w:rsid w:val="00394D38"/>
    <w:rsid w:val="003A0510"/>
    <w:rsid w:val="003B1B90"/>
    <w:rsid w:val="003B5003"/>
    <w:rsid w:val="003B7FD4"/>
    <w:rsid w:val="003C221C"/>
    <w:rsid w:val="003C2CED"/>
    <w:rsid w:val="003C4F70"/>
    <w:rsid w:val="003D2766"/>
    <w:rsid w:val="003D281F"/>
    <w:rsid w:val="003E07E7"/>
    <w:rsid w:val="003E5405"/>
    <w:rsid w:val="003E67C4"/>
    <w:rsid w:val="003E6F06"/>
    <w:rsid w:val="003F005B"/>
    <w:rsid w:val="003F1B65"/>
    <w:rsid w:val="003F6F5A"/>
    <w:rsid w:val="00400F05"/>
    <w:rsid w:val="004023FF"/>
    <w:rsid w:val="00403AC3"/>
    <w:rsid w:val="0040488E"/>
    <w:rsid w:val="00405322"/>
    <w:rsid w:val="00405583"/>
    <w:rsid w:val="00406313"/>
    <w:rsid w:val="00414428"/>
    <w:rsid w:val="0041448E"/>
    <w:rsid w:val="00415712"/>
    <w:rsid w:val="00416733"/>
    <w:rsid w:val="0042030F"/>
    <w:rsid w:val="004210F5"/>
    <w:rsid w:val="004245A8"/>
    <w:rsid w:val="00430A8D"/>
    <w:rsid w:val="00435873"/>
    <w:rsid w:val="00435AC8"/>
    <w:rsid w:val="004441CD"/>
    <w:rsid w:val="004468F5"/>
    <w:rsid w:val="004517E3"/>
    <w:rsid w:val="00455C09"/>
    <w:rsid w:val="0045661D"/>
    <w:rsid w:val="004570BF"/>
    <w:rsid w:val="004603C0"/>
    <w:rsid w:val="004720CE"/>
    <w:rsid w:val="00474990"/>
    <w:rsid w:val="004751FB"/>
    <w:rsid w:val="0048550D"/>
    <w:rsid w:val="00486751"/>
    <w:rsid w:val="00492256"/>
    <w:rsid w:val="00493682"/>
    <w:rsid w:val="0049429C"/>
    <w:rsid w:val="00495442"/>
    <w:rsid w:val="0049575D"/>
    <w:rsid w:val="00495BA2"/>
    <w:rsid w:val="004A1EAC"/>
    <w:rsid w:val="004A2F01"/>
    <w:rsid w:val="004A30DE"/>
    <w:rsid w:val="004A4325"/>
    <w:rsid w:val="004A672F"/>
    <w:rsid w:val="004B3E12"/>
    <w:rsid w:val="004B4751"/>
    <w:rsid w:val="004C07B4"/>
    <w:rsid w:val="004C237B"/>
    <w:rsid w:val="004C2D38"/>
    <w:rsid w:val="004C76F9"/>
    <w:rsid w:val="004D0E21"/>
    <w:rsid w:val="004D1B41"/>
    <w:rsid w:val="004D45C9"/>
    <w:rsid w:val="004D4ECD"/>
    <w:rsid w:val="004F4701"/>
    <w:rsid w:val="004F54EA"/>
    <w:rsid w:val="004F6386"/>
    <w:rsid w:val="004F6567"/>
    <w:rsid w:val="004F6A03"/>
    <w:rsid w:val="00502F3E"/>
    <w:rsid w:val="005044F8"/>
    <w:rsid w:val="005076FA"/>
    <w:rsid w:val="00507E3D"/>
    <w:rsid w:val="00510B74"/>
    <w:rsid w:val="00514008"/>
    <w:rsid w:val="005229CE"/>
    <w:rsid w:val="00522FFC"/>
    <w:rsid w:val="0052326B"/>
    <w:rsid w:val="005330FF"/>
    <w:rsid w:val="00533D72"/>
    <w:rsid w:val="005415F5"/>
    <w:rsid w:val="005454C7"/>
    <w:rsid w:val="00545B71"/>
    <w:rsid w:val="00546152"/>
    <w:rsid w:val="00551854"/>
    <w:rsid w:val="005520F3"/>
    <w:rsid w:val="00553756"/>
    <w:rsid w:val="00555157"/>
    <w:rsid w:val="005555AF"/>
    <w:rsid w:val="00557909"/>
    <w:rsid w:val="00557A61"/>
    <w:rsid w:val="0056122C"/>
    <w:rsid w:val="00563CA9"/>
    <w:rsid w:val="005641DB"/>
    <w:rsid w:val="0057037E"/>
    <w:rsid w:val="0057449E"/>
    <w:rsid w:val="00583AE7"/>
    <w:rsid w:val="00584A77"/>
    <w:rsid w:val="0059180D"/>
    <w:rsid w:val="00591CD0"/>
    <w:rsid w:val="00596A2E"/>
    <w:rsid w:val="00596FD5"/>
    <w:rsid w:val="005A2498"/>
    <w:rsid w:val="005A3387"/>
    <w:rsid w:val="005A4424"/>
    <w:rsid w:val="005A4C41"/>
    <w:rsid w:val="005A6757"/>
    <w:rsid w:val="005A7747"/>
    <w:rsid w:val="005B07F4"/>
    <w:rsid w:val="005B0DC1"/>
    <w:rsid w:val="005B1B7C"/>
    <w:rsid w:val="005C25D3"/>
    <w:rsid w:val="005C3C66"/>
    <w:rsid w:val="005C3DC3"/>
    <w:rsid w:val="005C47EC"/>
    <w:rsid w:val="005C698A"/>
    <w:rsid w:val="005D26BE"/>
    <w:rsid w:val="005D4571"/>
    <w:rsid w:val="005D69B1"/>
    <w:rsid w:val="005D6F7A"/>
    <w:rsid w:val="005D7C9F"/>
    <w:rsid w:val="005E2C70"/>
    <w:rsid w:val="005E3B37"/>
    <w:rsid w:val="005E4C85"/>
    <w:rsid w:val="005E525F"/>
    <w:rsid w:val="005E7074"/>
    <w:rsid w:val="005F2F11"/>
    <w:rsid w:val="005F5A6F"/>
    <w:rsid w:val="005F6116"/>
    <w:rsid w:val="005F6B55"/>
    <w:rsid w:val="00601DD2"/>
    <w:rsid w:val="00602BB2"/>
    <w:rsid w:val="00603F3A"/>
    <w:rsid w:val="00605D51"/>
    <w:rsid w:val="0060705B"/>
    <w:rsid w:val="0060767C"/>
    <w:rsid w:val="00611B94"/>
    <w:rsid w:val="006134EE"/>
    <w:rsid w:val="00616521"/>
    <w:rsid w:val="006210FF"/>
    <w:rsid w:val="00621B5C"/>
    <w:rsid w:val="00621E55"/>
    <w:rsid w:val="00624267"/>
    <w:rsid w:val="006251D1"/>
    <w:rsid w:val="00627607"/>
    <w:rsid w:val="0063218A"/>
    <w:rsid w:val="0063461F"/>
    <w:rsid w:val="00642A08"/>
    <w:rsid w:val="00642D0F"/>
    <w:rsid w:val="00643B67"/>
    <w:rsid w:val="006440B3"/>
    <w:rsid w:val="00646CDF"/>
    <w:rsid w:val="00651BB4"/>
    <w:rsid w:val="00655133"/>
    <w:rsid w:val="006614E1"/>
    <w:rsid w:val="00663748"/>
    <w:rsid w:val="00664419"/>
    <w:rsid w:val="00670EA5"/>
    <w:rsid w:val="006724D7"/>
    <w:rsid w:val="00673DFC"/>
    <w:rsid w:val="006749DD"/>
    <w:rsid w:val="006764D7"/>
    <w:rsid w:val="0067701F"/>
    <w:rsid w:val="006800CA"/>
    <w:rsid w:val="00680FB1"/>
    <w:rsid w:val="00681959"/>
    <w:rsid w:val="00684C1A"/>
    <w:rsid w:val="006879AB"/>
    <w:rsid w:val="00690D54"/>
    <w:rsid w:val="00691EC7"/>
    <w:rsid w:val="00694318"/>
    <w:rsid w:val="006A6947"/>
    <w:rsid w:val="006B2255"/>
    <w:rsid w:val="006B2E99"/>
    <w:rsid w:val="006B6814"/>
    <w:rsid w:val="006C1140"/>
    <w:rsid w:val="006C1EB8"/>
    <w:rsid w:val="006C26BE"/>
    <w:rsid w:val="006C49E0"/>
    <w:rsid w:val="006C505F"/>
    <w:rsid w:val="006C7AC0"/>
    <w:rsid w:val="006D246E"/>
    <w:rsid w:val="006D7707"/>
    <w:rsid w:val="006D79A8"/>
    <w:rsid w:val="006E0B17"/>
    <w:rsid w:val="006E0FA7"/>
    <w:rsid w:val="006E2E3F"/>
    <w:rsid w:val="006E61FA"/>
    <w:rsid w:val="006E715A"/>
    <w:rsid w:val="006E7B0A"/>
    <w:rsid w:val="006F063F"/>
    <w:rsid w:val="00702A65"/>
    <w:rsid w:val="00702DE4"/>
    <w:rsid w:val="00704B57"/>
    <w:rsid w:val="00704EB0"/>
    <w:rsid w:val="0070650F"/>
    <w:rsid w:val="007075FA"/>
    <w:rsid w:val="00714227"/>
    <w:rsid w:val="00715066"/>
    <w:rsid w:val="00715C35"/>
    <w:rsid w:val="00720DDE"/>
    <w:rsid w:val="007243F5"/>
    <w:rsid w:val="0072548E"/>
    <w:rsid w:val="0073136C"/>
    <w:rsid w:val="00733389"/>
    <w:rsid w:val="0073441E"/>
    <w:rsid w:val="0073674B"/>
    <w:rsid w:val="00736801"/>
    <w:rsid w:val="00736EAD"/>
    <w:rsid w:val="0074693B"/>
    <w:rsid w:val="0074766C"/>
    <w:rsid w:val="007631FF"/>
    <w:rsid w:val="00766B89"/>
    <w:rsid w:val="00767CB1"/>
    <w:rsid w:val="007849E1"/>
    <w:rsid w:val="007872F2"/>
    <w:rsid w:val="007971BA"/>
    <w:rsid w:val="007A255C"/>
    <w:rsid w:val="007A5FB1"/>
    <w:rsid w:val="007A63A3"/>
    <w:rsid w:val="007A66F5"/>
    <w:rsid w:val="007A7C38"/>
    <w:rsid w:val="007B213C"/>
    <w:rsid w:val="007C112D"/>
    <w:rsid w:val="007C1EFD"/>
    <w:rsid w:val="007C5469"/>
    <w:rsid w:val="007C5CC7"/>
    <w:rsid w:val="007C6122"/>
    <w:rsid w:val="007C7225"/>
    <w:rsid w:val="007D3D23"/>
    <w:rsid w:val="007E0BC7"/>
    <w:rsid w:val="007E215D"/>
    <w:rsid w:val="007E3DA9"/>
    <w:rsid w:val="007E5B19"/>
    <w:rsid w:val="007F2921"/>
    <w:rsid w:val="007F2D9A"/>
    <w:rsid w:val="007F7FFC"/>
    <w:rsid w:val="008000ED"/>
    <w:rsid w:val="008004AE"/>
    <w:rsid w:val="00801447"/>
    <w:rsid w:val="00803C5C"/>
    <w:rsid w:val="00805857"/>
    <w:rsid w:val="00807705"/>
    <w:rsid w:val="00810557"/>
    <w:rsid w:val="008179E0"/>
    <w:rsid w:val="00821942"/>
    <w:rsid w:val="008249F5"/>
    <w:rsid w:val="00824A1F"/>
    <w:rsid w:val="00827181"/>
    <w:rsid w:val="0083404E"/>
    <w:rsid w:val="00846B20"/>
    <w:rsid w:val="008472C9"/>
    <w:rsid w:val="00856ECA"/>
    <w:rsid w:val="00862BF4"/>
    <w:rsid w:val="00873E5B"/>
    <w:rsid w:val="00876CA0"/>
    <w:rsid w:val="00880DE5"/>
    <w:rsid w:val="00883478"/>
    <w:rsid w:val="00883927"/>
    <w:rsid w:val="008851CC"/>
    <w:rsid w:val="00885248"/>
    <w:rsid w:val="008852C9"/>
    <w:rsid w:val="008A07DE"/>
    <w:rsid w:val="008A0AB3"/>
    <w:rsid w:val="008A14A3"/>
    <w:rsid w:val="008A2D13"/>
    <w:rsid w:val="008B1F0C"/>
    <w:rsid w:val="008B3DAB"/>
    <w:rsid w:val="008C26B8"/>
    <w:rsid w:val="008C7433"/>
    <w:rsid w:val="008D393A"/>
    <w:rsid w:val="008D5168"/>
    <w:rsid w:val="008D716B"/>
    <w:rsid w:val="008D73A6"/>
    <w:rsid w:val="008E3A33"/>
    <w:rsid w:val="008E7222"/>
    <w:rsid w:val="008F0502"/>
    <w:rsid w:val="008F349D"/>
    <w:rsid w:val="008F3C53"/>
    <w:rsid w:val="008F4064"/>
    <w:rsid w:val="008F5CE6"/>
    <w:rsid w:val="008F68EB"/>
    <w:rsid w:val="008F6F5C"/>
    <w:rsid w:val="008F7D80"/>
    <w:rsid w:val="0090078F"/>
    <w:rsid w:val="0090084F"/>
    <w:rsid w:val="009014F7"/>
    <w:rsid w:val="00904DFA"/>
    <w:rsid w:val="009112D1"/>
    <w:rsid w:val="009116A3"/>
    <w:rsid w:val="00913E3E"/>
    <w:rsid w:val="009155CA"/>
    <w:rsid w:val="009179AC"/>
    <w:rsid w:val="00920791"/>
    <w:rsid w:val="00920D9B"/>
    <w:rsid w:val="009269F8"/>
    <w:rsid w:val="009276AB"/>
    <w:rsid w:val="00933766"/>
    <w:rsid w:val="00934B89"/>
    <w:rsid w:val="00943FC1"/>
    <w:rsid w:val="00946020"/>
    <w:rsid w:val="00946B2E"/>
    <w:rsid w:val="00950C3F"/>
    <w:rsid w:val="00950C54"/>
    <w:rsid w:val="0095229F"/>
    <w:rsid w:val="00953448"/>
    <w:rsid w:val="00954666"/>
    <w:rsid w:val="0095772B"/>
    <w:rsid w:val="009642C7"/>
    <w:rsid w:val="00964AF3"/>
    <w:rsid w:val="00965938"/>
    <w:rsid w:val="00975A7A"/>
    <w:rsid w:val="0097701D"/>
    <w:rsid w:val="00981FCC"/>
    <w:rsid w:val="009829F0"/>
    <w:rsid w:val="00990A95"/>
    <w:rsid w:val="009A041F"/>
    <w:rsid w:val="009A2D10"/>
    <w:rsid w:val="009A45D3"/>
    <w:rsid w:val="009B0526"/>
    <w:rsid w:val="009B0FFD"/>
    <w:rsid w:val="009B17A4"/>
    <w:rsid w:val="009B2AAE"/>
    <w:rsid w:val="009B352C"/>
    <w:rsid w:val="009B609A"/>
    <w:rsid w:val="009C08A4"/>
    <w:rsid w:val="009C1B89"/>
    <w:rsid w:val="009C5AE1"/>
    <w:rsid w:val="009C64D7"/>
    <w:rsid w:val="009C70AD"/>
    <w:rsid w:val="009D113B"/>
    <w:rsid w:val="009D64B0"/>
    <w:rsid w:val="009E5B33"/>
    <w:rsid w:val="009E63D8"/>
    <w:rsid w:val="009E6C78"/>
    <w:rsid w:val="009F2480"/>
    <w:rsid w:val="00A00977"/>
    <w:rsid w:val="00A03AC2"/>
    <w:rsid w:val="00A170DC"/>
    <w:rsid w:val="00A17C4B"/>
    <w:rsid w:val="00A2003F"/>
    <w:rsid w:val="00A252D1"/>
    <w:rsid w:val="00A252D4"/>
    <w:rsid w:val="00A3146E"/>
    <w:rsid w:val="00A5163B"/>
    <w:rsid w:val="00A545D3"/>
    <w:rsid w:val="00A5652A"/>
    <w:rsid w:val="00A56F95"/>
    <w:rsid w:val="00A6038F"/>
    <w:rsid w:val="00A60916"/>
    <w:rsid w:val="00A624F2"/>
    <w:rsid w:val="00A653C0"/>
    <w:rsid w:val="00A71EF2"/>
    <w:rsid w:val="00A766FC"/>
    <w:rsid w:val="00A77C54"/>
    <w:rsid w:val="00A844FB"/>
    <w:rsid w:val="00A84A02"/>
    <w:rsid w:val="00A85FE0"/>
    <w:rsid w:val="00A909C3"/>
    <w:rsid w:val="00A95443"/>
    <w:rsid w:val="00A959E1"/>
    <w:rsid w:val="00AA0901"/>
    <w:rsid w:val="00AA0FAF"/>
    <w:rsid w:val="00AA0FD4"/>
    <w:rsid w:val="00AA3C78"/>
    <w:rsid w:val="00AA50E2"/>
    <w:rsid w:val="00AA5FB4"/>
    <w:rsid w:val="00AA6CB0"/>
    <w:rsid w:val="00AA6F6D"/>
    <w:rsid w:val="00AA776A"/>
    <w:rsid w:val="00AB07A2"/>
    <w:rsid w:val="00AB0AFE"/>
    <w:rsid w:val="00AB0F43"/>
    <w:rsid w:val="00AB1704"/>
    <w:rsid w:val="00AB5FFA"/>
    <w:rsid w:val="00AC759A"/>
    <w:rsid w:val="00AC7846"/>
    <w:rsid w:val="00AD0FD2"/>
    <w:rsid w:val="00AD4095"/>
    <w:rsid w:val="00AD4473"/>
    <w:rsid w:val="00AD4B17"/>
    <w:rsid w:val="00AD4EAE"/>
    <w:rsid w:val="00AD5E62"/>
    <w:rsid w:val="00AE0A3D"/>
    <w:rsid w:val="00AE35B7"/>
    <w:rsid w:val="00AE4E80"/>
    <w:rsid w:val="00AE515A"/>
    <w:rsid w:val="00AE6CA2"/>
    <w:rsid w:val="00AE7F12"/>
    <w:rsid w:val="00AF4D9A"/>
    <w:rsid w:val="00AF5020"/>
    <w:rsid w:val="00AF7857"/>
    <w:rsid w:val="00B003ED"/>
    <w:rsid w:val="00B01160"/>
    <w:rsid w:val="00B01583"/>
    <w:rsid w:val="00B021C4"/>
    <w:rsid w:val="00B035DB"/>
    <w:rsid w:val="00B10404"/>
    <w:rsid w:val="00B11138"/>
    <w:rsid w:val="00B1590A"/>
    <w:rsid w:val="00B232CD"/>
    <w:rsid w:val="00B2698F"/>
    <w:rsid w:val="00B2704E"/>
    <w:rsid w:val="00B27EB1"/>
    <w:rsid w:val="00B31C6D"/>
    <w:rsid w:val="00B34B07"/>
    <w:rsid w:val="00B3527E"/>
    <w:rsid w:val="00B36CF7"/>
    <w:rsid w:val="00B37F78"/>
    <w:rsid w:val="00B442BC"/>
    <w:rsid w:val="00B449FF"/>
    <w:rsid w:val="00B4672C"/>
    <w:rsid w:val="00B47CC7"/>
    <w:rsid w:val="00B51CEE"/>
    <w:rsid w:val="00B5675F"/>
    <w:rsid w:val="00B60BE7"/>
    <w:rsid w:val="00B639BC"/>
    <w:rsid w:val="00B64425"/>
    <w:rsid w:val="00B6489C"/>
    <w:rsid w:val="00B67CED"/>
    <w:rsid w:val="00B7023A"/>
    <w:rsid w:val="00B70B0E"/>
    <w:rsid w:val="00B71210"/>
    <w:rsid w:val="00B76A52"/>
    <w:rsid w:val="00B76AEF"/>
    <w:rsid w:val="00B8331D"/>
    <w:rsid w:val="00B83BC2"/>
    <w:rsid w:val="00B95798"/>
    <w:rsid w:val="00B9651D"/>
    <w:rsid w:val="00B971AC"/>
    <w:rsid w:val="00B97799"/>
    <w:rsid w:val="00BA068F"/>
    <w:rsid w:val="00BB2E27"/>
    <w:rsid w:val="00BB5C29"/>
    <w:rsid w:val="00BB6D2B"/>
    <w:rsid w:val="00BB7499"/>
    <w:rsid w:val="00BC6394"/>
    <w:rsid w:val="00BC788D"/>
    <w:rsid w:val="00BD0A3A"/>
    <w:rsid w:val="00BD7ABE"/>
    <w:rsid w:val="00BD7C02"/>
    <w:rsid w:val="00BE0D2B"/>
    <w:rsid w:val="00BE5C8A"/>
    <w:rsid w:val="00BE5E9C"/>
    <w:rsid w:val="00BE76C4"/>
    <w:rsid w:val="00BE78BE"/>
    <w:rsid w:val="00BF01A8"/>
    <w:rsid w:val="00BF55CB"/>
    <w:rsid w:val="00BF6AFC"/>
    <w:rsid w:val="00C10740"/>
    <w:rsid w:val="00C14047"/>
    <w:rsid w:val="00C14E5A"/>
    <w:rsid w:val="00C174FF"/>
    <w:rsid w:val="00C22998"/>
    <w:rsid w:val="00C22AB0"/>
    <w:rsid w:val="00C234AE"/>
    <w:rsid w:val="00C23823"/>
    <w:rsid w:val="00C245CD"/>
    <w:rsid w:val="00C2514A"/>
    <w:rsid w:val="00C255B9"/>
    <w:rsid w:val="00C30F99"/>
    <w:rsid w:val="00C33657"/>
    <w:rsid w:val="00C40171"/>
    <w:rsid w:val="00C43642"/>
    <w:rsid w:val="00C4401F"/>
    <w:rsid w:val="00C46B1E"/>
    <w:rsid w:val="00C5045F"/>
    <w:rsid w:val="00C51838"/>
    <w:rsid w:val="00C51FE1"/>
    <w:rsid w:val="00C520A1"/>
    <w:rsid w:val="00C53BDB"/>
    <w:rsid w:val="00C621A4"/>
    <w:rsid w:val="00C641FC"/>
    <w:rsid w:val="00C660F1"/>
    <w:rsid w:val="00C70681"/>
    <w:rsid w:val="00C71BFC"/>
    <w:rsid w:val="00C8368D"/>
    <w:rsid w:val="00C83AFC"/>
    <w:rsid w:val="00C869DB"/>
    <w:rsid w:val="00C86AB7"/>
    <w:rsid w:val="00C91CC3"/>
    <w:rsid w:val="00CA03C9"/>
    <w:rsid w:val="00CA749D"/>
    <w:rsid w:val="00CB1113"/>
    <w:rsid w:val="00CB5956"/>
    <w:rsid w:val="00CB5E11"/>
    <w:rsid w:val="00CB72C0"/>
    <w:rsid w:val="00CC0A68"/>
    <w:rsid w:val="00CC454E"/>
    <w:rsid w:val="00CD0DF8"/>
    <w:rsid w:val="00CD7FB1"/>
    <w:rsid w:val="00CE0269"/>
    <w:rsid w:val="00CF1BF0"/>
    <w:rsid w:val="00CF4D3C"/>
    <w:rsid w:val="00CF5F04"/>
    <w:rsid w:val="00CF66A3"/>
    <w:rsid w:val="00D011DC"/>
    <w:rsid w:val="00D01F4D"/>
    <w:rsid w:val="00D03DA6"/>
    <w:rsid w:val="00D0414C"/>
    <w:rsid w:val="00D07EAF"/>
    <w:rsid w:val="00D10756"/>
    <w:rsid w:val="00D161C3"/>
    <w:rsid w:val="00D17BF4"/>
    <w:rsid w:val="00D22109"/>
    <w:rsid w:val="00D24E38"/>
    <w:rsid w:val="00D26573"/>
    <w:rsid w:val="00D30045"/>
    <w:rsid w:val="00D32E20"/>
    <w:rsid w:val="00D32EE0"/>
    <w:rsid w:val="00D34A26"/>
    <w:rsid w:val="00D34A28"/>
    <w:rsid w:val="00D40B80"/>
    <w:rsid w:val="00D43822"/>
    <w:rsid w:val="00D460B3"/>
    <w:rsid w:val="00D47435"/>
    <w:rsid w:val="00D53603"/>
    <w:rsid w:val="00D54225"/>
    <w:rsid w:val="00D57179"/>
    <w:rsid w:val="00D6131F"/>
    <w:rsid w:val="00D65315"/>
    <w:rsid w:val="00D72827"/>
    <w:rsid w:val="00D73427"/>
    <w:rsid w:val="00D73698"/>
    <w:rsid w:val="00D73D48"/>
    <w:rsid w:val="00D7536E"/>
    <w:rsid w:val="00D76784"/>
    <w:rsid w:val="00D810D0"/>
    <w:rsid w:val="00D81DB3"/>
    <w:rsid w:val="00D83F44"/>
    <w:rsid w:val="00D9260A"/>
    <w:rsid w:val="00D953D0"/>
    <w:rsid w:val="00D956C9"/>
    <w:rsid w:val="00D95A37"/>
    <w:rsid w:val="00D96368"/>
    <w:rsid w:val="00D970AF"/>
    <w:rsid w:val="00DA1DFA"/>
    <w:rsid w:val="00DA2050"/>
    <w:rsid w:val="00DA286C"/>
    <w:rsid w:val="00DA2887"/>
    <w:rsid w:val="00DA355B"/>
    <w:rsid w:val="00DB2FD2"/>
    <w:rsid w:val="00DC3E2D"/>
    <w:rsid w:val="00DC61AE"/>
    <w:rsid w:val="00DC707D"/>
    <w:rsid w:val="00DD4423"/>
    <w:rsid w:val="00DD53B4"/>
    <w:rsid w:val="00DE40D7"/>
    <w:rsid w:val="00DE4A79"/>
    <w:rsid w:val="00DE705C"/>
    <w:rsid w:val="00DF1FDD"/>
    <w:rsid w:val="00DF4E4E"/>
    <w:rsid w:val="00DF572F"/>
    <w:rsid w:val="00E0027A"/>
    <w:rsid w:val="00E022B1"/>
    <w:rsid w:val="00E07C7F"/>
    <w:rsid w:val="00E11A3D"/>
    <w:rsid w:val="00E128AE"/>
    <w:rsid w:val="00E12EF8"/>
    <w:rsid w:val="00E138AD"/>
    <w:rsid w:val="00E16BC3"/>
    <w:rsid w:val="00E30731"/>
    <w:rsid w:val="00E34E91"/>
    <w:rsid w:val="00E40D29"/>
    <w:rsid w:val="00E41E32"/>
    <w:rsid w:val="00E43CF6"/>
    <w:rsid w:val="00E453C3"/>
    <w:rsid w:val="00E51F92"/>
    <w:rsid w:val="00E528F3"/>
    <w:rsid w:val="00E5315E"/>
    <w:rsid w:val="00E53474"/>
    <w:rsid w:val="00E54FB3"/>
    <w:rsid w:val="00E55548"/>
    <w:rsid w:val="00E55713"/>
    <w:rsid w:val="00E60BD6"/>
    <w:rsid w:val="00E6157E"/>
    <w:rsid w:val="00E615E6"/>
    <w:rsid w:val="00E64898"/>
    <w:rsid w:val="00E66BFF"/>
    <w:rsid w:val="00E67D16"/>
    <w:rsid w:val="00E70085"/>
    <w:rsid w:val="00E710E9"/>
    <w:rsid w:val="00E71B19"/>
    <w:rsid w:val="00E741E9"/>
    <w:rsid w:val="00E75D78"/>
    <w:rsid w:val="00E8107D"/>
    <w:rsid w:val="00E823F7"/>
    <w:rsid w:val="00E850C9"/>
    <w:rsid w:val="00E85866"/>
    <w:rsid w:val="00E93514"/>
    <w:rsid w:val="00E95E93"/>
    <w:rsid w:val="00E96A26"/>
    <w:rsid w:val="00EA2858"/>
    <w:rsid w:val="00EA47B5"/>
    <w:rsid w:val="00EB4F11"/>
    <w:rsid w:val="00EB6960"/>
    <w:rsid w:val="00EB6D58"/>
    <w:rsid w:val="00EC1B44"/>
    <w:rsid w:val="00EC4012"/>
    <w:rsid w:val="00EC4F47"/>
    <w:rsid w:val="00ED128D"/>
    <w:rsid w:val="00ED3D4E"/>
    <w:rsid w:val="00ED4353"/>
    <w:rsid w:val="00ED7E40"/>
    <w:rsid w:val="00ED7E6E"/>
    <w:rsid w:val="00EE1786"/>
    <w:rsid w:val="00EE790B"/>
    <w:rsid w:val="00EF0526"/>
    <w:rsid w:val="00EF1D52"/>
    <w:rsid w:val="00EF6BE0"/>
    <w:rsid w:val="00EF7B11"/>
    <w:rsid w:val="00EF7B7F"/>
    <w:rsid w:val="00F00AC8"/>
    <w:rsid w:val="00F0543A"/>
    <w:rsid w:val="00F06C6F"/>
    <w:rsid w:val="00F154BC"/>
    <w:rsid w:val="00F1710C"/>
    <w:rsid w:val="00F21C77"/>
    <w:rsid w:val="00F2494F"/>
    <w:rsid w:val="00F30573"/>
    <w:rsid w:val="00F32F53"/>
    <w:rsid w:val="00F35828"/>
    <w:rsid w:val="00F42986"/>
    <w:rsid w:val="00F4388A"/>
    <w:rsid w:val="00F43BB2"/>
    <w:rsid w:val="00F45541"/>
    <w:rsid w:val="00F53EB4"/>
    <w:rsid w:val="00F5458F"/>
    <w:rsid w:val="00F57875"/>
    <w:rsid w:val="00F61B85"/>
    <w:rsid w:val="00F6644A"/>
    <w:rsid w:val="00F67BC7"/>
    <w:rsid w:val="00F74B87"/>
    <w:rsid w:val="00F81CB5"/>
    <w:rsid w:val="00F8317F"/>
    <w:rsid w:val="00F86EB4"/>
    <w:rsid w:val="00F879F3"/>
    <w:rsid w:val="00F87DDD"/>
    <w:rsid w:val="00F9256C"/>
    <w:rsid w:val="00FA1B5F"/>
    <w:rsid w:val="00FA3E96"/>
    <w:rsid w:val="00FA4B39"/>
    <w:rsid w:val="00FB0AE3"/>
    <w:rsid w:val="00FB2D7B"/>
    <w:rsid w:val="00FB3232"/>
    <w:rsid w:val="00FB4762"/>
    <w:rsid w:val="00FC5418"/>
    <w:rsid w:val="00FD7CF3"/>
    <w:rsid w:val="00FE08D3"/>
    <w:rsid w:val="00FE0B5F"/>
    <w:rsid w:val="00FE4A6E"/>
    <w:rsid w:val="00FE799B"/>
    <w:rsid w:val="00FF131A"/>
    <w:rsid w:val="00FF2FB1"/>
    <w:rsid w:val="00FF56B9"/>
    <w:rsid w:val="00FF5BB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D0302A-C278-473F-B8BE-E6C6CA5B8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42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53756"/>
  </w:style>
  <w:style w:type="character" w:styleId="Emphasis">
    <w:name w:val="Emphasis"/>
    <w:basedOn w:val="DefaultParagraphFont"/>
    <w:uiPriority w:val="20"/>
    <w:qFormat/>
    <w:rsid w:val="00553756"/>
    <w:rPr>
      <w:i/>
      <w:iCs/>
    </w:rPr>
  </w:style>
  <w:style w:type="character" w:styleId="Hyperlink">
    <w:name w:val="Hyperlink"/>
    <w:basedOn w:val="DefaultParagraphFont"/>
    <w:uiPriority w:val="99"/>
    <w:unhideWhenUsed/>
    <w:rsid w:val="002A7E42"/>
    <w:rPr>
      <w:color w:val="0563C1" w:themeColor="hyperlink"/>
      <w:u w:val="single"/>
    </w:rPr>
  </w:style>
  <w:style w:type="character" w:customStyle="1" w:styleId="UnresolvedMention1">
    <w:name w:val="Unresolved Mention1"/>
    <w:basedOn w:val="DefaultParagraphFont"/>
    <w:uiPriority w:val="99"/>
    <w:semiHidden/>
    <w:unhideWhenUsed/>
    <w:rsid w:val="002A7E42"/>
    <w:rPr>
      <w:color w:val="808080"/>
      <w:shd w:val="clear" w:color="auto" w:fill="E6E6E6"/>
    </w:rPr>
  </w:style>
  <w:style w:type="paragraph" w:styleId="NormalWeb">
    <w:name w:val="Normal (Web)"/>
    <w:basedOn w:val="Normal"/>
    <w:uiPriority w:val="99"/>
    <w:semiHidden/>
    <w:unhideWhenUsed/>
    <w:rsid w:val="00AA5FB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semiHidden/>
    <w:rsid w:val="009E5B33"/>
    <w:rPr>
      <w:color w:val="808080"/>
    </w:rPr>
  </w:style>
  <w:style w:type="paragraph" w:styleId="HTMLPreformatted">
    <w:name w:val="HTML Preformatted"/>
    <w:basedOn w:val="Normal"/>
    <w:link w:val="HTMLPreformattedChar"/>
    <w:uiPriority w:val="99"/>
    <w:semiHidden/>
    <w:unhideWhenUsed/>
    <w:rsid w:val="00673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673DFC"/>
    <w:rPr>
      <w:rFonts w:ascii="Courier New" w:eastAsia="Times New Roman" w:hAnsi="Courier New" w:cs="Courier New"/>
      <w:sz w:val="20"/>
      <w:szCs w:val="20"/>
      <w:lang w:eastAsia="en-GB"/>
    </w:rPr>
  </w:style>
  <w:style w:type="character" w:styleId="LineNumber">
    <w:name w:val="line number"/>
    <w:basedOn w:val="DefaultParagraphFont"/>
    <w:uiPriority w:val="99"/>
    <w:semiHidden/>
    <w:unhideWhenUsed/>
    <w:rsid w:val="00A5163B"/>
  </w:style>
  <w:style w:type="paragraph" w:styleId="BalloonText">
    <w:name w:val="Balloon Text"/>
    <w:basedOn w:val="Normal"/>
    <w:link w:val="BalloonTextChar"/>
    <w:uiPriority w:val="99"/>
    <w:semiHidden/>
    <w:unhideWhenUsed/>
    <w:rsid w:val="00F32F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2F53"/>
    <w:rPr>
      <w:rFonts w:ascii="Segoe UI" w:hAnsi="Segoe UI" w:cs="Segoe UI"/>
      <w:sz w:val="18"/>
      <w:szCs w:val="18"/>
    </w:rPr>
  </w:style>
  <w:style w:type="character" w:styleId="CommentReference">
    <w:name w:val="annotation reference"/>
    <w:basedOn w:val="DefaultParagraphFont"/>
    <w:uiPriority w:val="99"/>
    <w:semiHidden/>
    <w:unhideWhenUsed/>
    <w:rsid w:val="00F32F53"/>
    <w:rPr>
      <w:sz w:val="16"/>
      <w:szCs w:val="16"/>
    </w:rPr>
  </w:style>
  <w:style w:type="paragraph" w:styleId="CommentText">
    <w:name w:val="annotation text"/>
    <w:basedOn w:val="Normal"/>
    <w:link w:val="CommentTextChar"/>
    <w:uiPriority w:val="99"/>
    <w:unhideWhenUsed/>
    <w:rsid w:val="00F32F53"/>
    <w:pPr>
      <w:spacing w:line="240" w:lineRule="auto"/>
    </w:pPr>
    <w:rPr>
      <w:sz w:val="20"/>
      <w:szCs w:val="20"/>
    </w:rPr>
  </w:style>
  <w:style w:type="character" w:customStyle="1" w:styleId="CommentTextChar">
    <w:name w:val="Comment Text Char"/>
    <w:basedOn w:val="DefaultParagraphFont"/>
    <w:link w:val="CommentText"/>
    <w:uiPriority w:val="99"/>
    <w:rsid w:val="00F32F53"/>
    <w:rPr>
      <w:sz w:val="20"/>
      <w:szCs w:val="20"/>
    </w:rPr>
  </w:style>
  <w:style w:type="paragraph" w:styleId="CommentSubject">
    <w:name w:val="annotation subject"/>
    <w:basedOn w:val="CommentText"/>
    <w:next w:val="CommentText"/>
    <w:link w:val="CommentSubjectChar"/>
    <w:uiPriority w:val="99"/>
    <w:semiHidden/>
    <w:unhideWhenUsed/>
    <w:rsid w:val="00F32F53"/>
    <w:rPr>
      <w:b/>
      <w:bCs/>
    </w:rPr>
  </w:style>
  <w:style w:type="character" w:customStyle="1" w:styleId="CommentSubjectChar">
    <w:name w:val="Comment Subject Char"/>
    <w:basedOn w:val="CommentTextChar"/>
    <w:link w:val="CommentSubject"/>
    <w:uiPriority w:val="99"/>
    <w:semiHidden/>
    <w:rsid w:val="00F32F53"/>
    <w:rPr>
      <w:b/>
      <w:bCs/>
      <w:sz w:val="20"/>
      <w:szCs w:val="20"/>
    </w:rPr>
  </w:style>
  <w:style w:type="paragraph" w:styleId="ListParagraph">
    <w:name w:val="List Paragraph"/>
    <w:basedOn w:val="Normal"/>
    <w:uiPriority w:val="34"/>
    <w:qFormat/>
    <w:rsid w:val="006551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EC7FB4-06C5-42FE-B193-B59E2BF8D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1</Pages>
  <Words>6359</Words>
  <Characters>36250</Characters>
  <Application>Microsoft Office Word</Application>
  <DocSecurity>0</DocSecurity>
  <Lines>302</Lines>
  <Paragraphs>85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Ewers, Robert M</cp:lastModifiedBy>
  <cp:revision>2</cp:revision>
  <dcterms:created xsi:type="dcterms:W3CDTF">2019-06-25T11:27:00Z</dcterms:created>
  <dcterms:modified xsi:type="dcterms:W3CDTF">2019-06-25T11:28:00Z</dcterms:modified>
</cp:coreProperties>
</file>