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5D698" w14:textId="4DD21A30" w:rsidR="005D2AB7" w:rsidRDefault="005D2AB7" w:rsidP="005D2AB7">
      <w:pPr>
        <w:pStyle w:val="Heading1"/>
      </w:pPr>
      <w:r>
        <w:t>A Song of Pressure and Flow, or There and Back Again</w:t>
      </w:r>
    </w:p>
    <w:p w14:paraId="118AF4C2" w14:textId="77777777" w:rsidR="00F40576" w:rsidRDefault="00F40576"/>
    <w:p w14:paraId="1F57E93F" w14:textId="77777777" w:rsidR="00F40576" w:rsidRDefault="00F40576">
      <w:r>
        <w:t xml:space="preserve">James P. Howard, MA, MB </w:t>
      </w:r>
      <w:proofErr w:type="spellStart"/>
      <w:r>
        <w:t>BChir</w:t>
      </w:r>
      <w:proofErr w:type="spellEnd"/>
      <w:r>
        <w:t>, MRCP (1) and Venkatesh L. Murthy, MD, PhD, FACC (2)</w:t>
      </w:r>
    </w:p>
    <w:p w14:paraId="15AE24C7" w14:textId="77777777" w:rsidR="00F40576" w:rsidRDefault="00F40576"/>
    <w:p w14:paraId="40799C50" w14:textId="74541EB3" w:rsidR="00F40576" w:rsidRDefault="00202F79" w:rsidP="00F40576">
      <w:pPr>
        <w:pStyle w:val="ListParagraph"/>
        <w:numPr>
          <w:ilvl w:val="0"/>
          <w:numId w:val="1"/>
        </w:numPr>
      </w:pPr>
      <w:r>
        <w:t>National Heart and Lung Institute</w:t>
      </w:r>
      <w:r w:rsidR="00F40576">
        <w:t>, Imperial College London, London, UK</w:t>
      </w:r>
    </w:p>
    <w:p w14:paraId="5E07829D" w14:textId="7E56799D" w:rsidR="00F40576" w:rsidRDefault="00F40576" w:rsidP="00F40576">
      <w:pPr>
        <w:pStyle w:val="ListParagraph"/>
        <w:numPr>
          <w:ilvl w:val="0"/>
          <w:numId w:val="1"/>
        </w:numPr>
      </w:pPr>
      <w:r>
        <w:t xml:space="preserve">Division of Cardiovascular Medicine, Department of Internal Medicine and Frankel Cardiovascular </w:t>
      </w:r>
      <w:proofErr w:type="spellStart"/>
      <w:r>
        <w:t>Center</w:t>
      </w:r>
      <w:proofErr w:type="spellEnd"/>
      <w:r>
        <w:t xml:space="preserve">, University of Michigan, Ann </w:t>
      </w:r>
      <w:proofErr w:type="spellStart"/>
      <w:r>
        <w:t>Arbor</w:t>
      </w:r>
      <w:proofErr w:type="spellEnd"/>
      <w:r>
        <w:t>, MI</w:t>
      </w:r>
    </w:p>
    <w:p w14:paraId="56847066" w14:textId="0BB03A2A" w:rsidR="00F40576" w:rsidRDefault="00F40576" w:rsidP="00F40576"/>
    <w:p w14:paraId="02B4232C" w14:textId="77777777" w:rsidR="00F40576" w:rsidRDefault="00F40576" w:rsidP="00F40576"/>
    <w:p w14:paraId="600D37B6" w14:textId="050FBAAB" w:rsidR="00F40576" w:rsidRDefault="00F40576" w:rsidP="00F40576">
      <w:r>
        <w:t>Correspondence:</w:t>
      </w:r>
    </w:p>
    <w:p w14:paraId="4778EF0A" w14:textId="45001362" w:rsidR="00F40576" w:rsidRDefault="00F40576" w:rsidP="00F40576">
      <w:r>
        <w:t>Venkatesh L. Murthy</w:t>
      </w:r>
    </w:p>
    <w:p w14:paraId="2EF470F7" w14:textId="73A8E867" w:rsidR="00F40576" w:rsidRDefault="00F40576" w:rsidP="00F40576">
      <w:r>
        <w:t xml:space="preserve">1338 Cardiovascular </w:t>
      </w:r>
      <w:proofErr w:type="spellStart"/>
      <w:r>
        <w:t>Center</w:t>
      </w:r>
      <w:proofErr w:type="spellEnd"/>
    </w:p>
    <w:p w14:paraId="31E8A87C" w14:textId="5084CE34" w:rsidR="00F40576" w:rsidRDefault="00F40576" w:rsidP="00F40576">
      <w:r>
        <w:t xml:space="preserve">1500 E. Medical </w:t>
      </w:r>
      <w:proofErr w:type="spellStart"/>
      <w:r>
        <w:t>Center</w:t>
      </w:r>
      <w:proofErr w:type="spellEnd"/>
      <w:r>
        <w:t xml:space="preserve"> Dr, SPC 5873</w:t>
      </w:r>
    </w:p>
    <w:p w14:paraId="11E77B8F" w14:textId="4AA840BD" w:rsidR="00F40576" w:rsidRDefault="00F40576" w:rsidP="00F40576">
      <w:r>
        <w:t xml:space="preserve">Ann </w:t>
      </w:r>
      <w:proofErr w:type="spellStart"/>
      <w:r>
        <w:t>Arbor</w:t>
      </w:r>
      <w:proofErr w:type="spellEnd"/>
      <w:r>
        <w:t>, MI 48109-5873</w:t>
      </w:r>
    </w:p>
    <w:p w14:paraId="33C86442" w14:textId="360C7DBF" w:rsidR="00F40576" w:rsidRDefault="00F40576" w:rsidP="00F40576">
      <w:r>
        <w:t>Tel:</w:t>
      </w:r>
      <w:r>
        <w:tab/>
        <w:t>1-734-936-5387</w:t>
      </w:r>
    </w:p>
    <w:p w14:paraId="04267C6B" w14:textId="54C8236A" w:rsidR="00F40576" w:rsidRDefault="00F40576" w:rsidP="00F40576">
      <w:r>
        <w:t>Fax:</w:t>
      </w:r>
      <w:r>
        <w:tab/>
        <w:t>1-734-232-3246</w:t>
      </w:r>
    </w:p>
    <w:p w14:paraId="1D037346" w14:textId="6D0B041E" w:rsidR="00F40576" w:rsidRDefault="00F40576" w:rsidP="00F40576">
      <w:r>
        <w:t>Email:</w:t>
      </w:r>
      <w:r>
        <w:tab/>
      </w:r>
      <w:hyperlink r:id="rId8" w:history="1">
        <w:r w:rsidR="00ED7D43" w:rsidRPr="002D0121">
          <w:rPr>
            <w:rStyle w:val="Hyperlink"/>
          </w:rPr>
          <w:t>vlmurthy@med.umich.edu</w:t>
        </w:r>
      </w:hyperlink>
    </w:p>
    <w:p w14:paraId="2F505087" w14:textId="5AA9F74C" w:rsidR="00ED7D43" w:rsidRDefault="00ED7D43" w:rsidP="00F40576"/>
    <w:p w14:paraId="4580F6F3" w14:textId="1EE74A62" w:rsidR="00ED7D43" w:rsidRDefault="00ED7D43" w:rsidP="00ED7D43">
      <w:pPr>
        <w:ind w:left="1440" w:hanging="1440"/>
      </w:pPr>
      <w:r>
        <w:t>Keywords:</w:t>
      </w:r>
      <w:r>
        <w:tab/>
        <w:t>Fractional Flow Reserve; Quantitative Flow Reserve; Coronary Flow Reserve; Adenosine</w:t>
      </w:r>
    </w:p>
    <w:p w14:paraId="703833B5" w14:textId="6360EFF7" w:rsidR="00F40576" w:rsidRDefault="00F40576" w:rsidP="00F40576">
      <w:pPr>
        <w:ind w:left="360"/>
      </w:pPr>
      <w:r>
        <w:br w:type="page"/>
      </w:r>
    </w:p>
    <w:p w14:paraId="48F2565B" w14:textId="53EAC298" w:rsidR="003E38C9" w:rsidRDefault="003C2E73">
      <w:r>
        <w:lastRenderedPageBreak/>
        <w:t>It has been over two decades since fractional flow reserve (FFR) was introduced, and it now plays a central role in</w:t>
      </w:r>
      <w:r w:rsidR="00521C76">
        <w:t xml:space="preserve"> </w:t>
      </w:r>
      <w:r>
        <w:t xml:space="preserve">guidelines </w:t>
      </w:r>
      <w:r w:rsidR="00521C76">
        <w:t>for</w:t>
      </w:r>
      <w:r>
        <w:t xml:space="preserve"> stable coronary artery disease.</w:t>
      </w:r>
      <w:r>
        <w:fldChar w:fldCharType="begin" w:fldLock="1"/>
      </w:r>
      <w:r>
        <w:instrText>ADDIN CSL_CITATION { "citationItems" : [ { "id" : "ITEM-1", "itemData" : { "DOI" : "10.1093/eurheartj/ehu278", "ISSN" : "0195-668X", "PMID" : "25173339", "author" : [ { "dropping-particle" : "", "family" : "Authors/Task Force members", "given" : "", "non-dropping-particle" : "", "parse-names" : false, "suffix" : "" }, { "dropping-particle" : "", "family" : "Windecker", "given" : "Stephan", "non-dropping-particle" : "", "parse-names" : false, "suffix" : "" }, { "dropping-particle" : "", "family" : "Kolh", "given" : "Philippe", "non-dropping-particle" : "", "parse-names" : false, "suffix" : "" }, { "dropping-particle" : "", "family" : "Alfonso", "given" : "Fernando", "non-dropping-particle" : "", "parse-names" : false, "suffix" : "" }, { "dropping-particle" : "", "family" : "Collet", "given" : "Jean-Philippe", "non-dropping-particle" : "", "parse-names" : false, "suffix" : "" }, { "dropping-particle" : "", "family" : "Cremer", "given" : "Jochen", "non-dropping-particle" : "", "parse-names" : false, "suffix" : "" }, { "dropping-particle" : "", "family" : "Falk", "given" : "Volkmar", "non-dropping-particle" : "", "parse-names" : false, "suffix" : "" }, { "dropping-particle" : "", "family" : "Filippatos", "given" : "Gerasimos", "non-dropping-particle" : "", "parse-names" : false, "suffix" : "" }, { "dropping-particle" : "", "family" : "Hamm", "given" : "Christian", "non-dropping-particle" : "", "parse-names" : false, "suffix" : "" }, { "dropping-particle" : "", "family" : "Head", "given" : "Stuart J", "non-dropping-particle" : "", "parse-names" : false, "suffix" : "" }, { "dropping-particle" : "", "family" : "J\u00fcni", "given" : "Peter", "non-dropping-particle" : "", "parse-names" : false, "suffix" : "" }, { "dropping-particle" : "", "family" : "Kappetein", "given" : "A Pieter", "non-dropping-particle" : "", "parse-names" : false, "suffix" : "" }, { "dropping-particle" : "", "family" : "Kastrati", "given" : "Adnan", "non-dropping-particle" : "", "parse-names" : false, "suffix" : "" }, { "dropping-particle" : "", "family" : "Knuuti", "given" : "Juhani", "non-dropping-particle" : "", "parse-names" : false, "suffix" : "" }, { "dropping-particle" : "", "family" : "Landmesser", "given" : "Ulf", "non-dropping-particle" : "", "parse-names" : false, "suffix" : "" }, { "dropping-particle" : "", "family" : "Laufer", "given" : "G\u00fcnther", "non-dropping-particle" : "", "parse-names" : false, "suffix" : "" }, { "dropping-particle" : "", "family" : "Neumann", "given" : "Franz-Josef", "non-dropping-particle" : "", "parse-names" : false, "suffix" : "" }, { "dropping-particle" : "", "family" : "Richter", "given" : "Dimitrios J", "non-dropping-particle" : "", "parse-names" : false, "suffix" : "" }, { "dropping-particle" : "", "family" : "Schauerte", "given" : "Patrick", "non-dropping-particle" : "", "parse-names" : false, "suffix" : "" }, { "dropping-particle" : "", "family" : "Sousa Uva", "given" : "Miguel", "non-dropping-particle" : "", "parse-names" : false, "suffix" : "" }, { "dropping-particle" : "", "family" : "Stefanini", "given" : "Giulio G", "non-dropping-particle" : "", "parse-names" : false, "suffix" : "" }, { "dropping-particle" : "", "family" : "Taggart", "given" : "David Paul", "non-dropping-particle" : "", "parse-names" : false, "suffix" : "" }, { "dropping-particle" : "", "family" : "Torracca", "given" : "Lucia", "non-dropping-particle" : "", "parse-names" : false, "suffix" : "" }, { "dropping-particle" : "", "family" : "Valgimigli", "given" : "Marco", "non-dropping-particle" : "", "parse-names" : false, "suffix" : "" }, { "dropping-particle" : "", "family" : "Wijns", "given" : "William", "non-dropping-particle" : "", "parse-names" : false, "suffix" : "" }, { "dropping-particle" : "", "family" : "Witkowski", "given" : "Adam", "non-dropping-particle" : "", "parse-names" : false, "suffix" : "" } ], "container-title" : "European Heart Journal", "id" : "ITEM-1", "issue" : "37", "issued" : { "date-parts" : [ [ "2014", "10", "1" ] ] }, "page" : "2541-2619", "title" : "2014 ESC/EACTS Guidelines on myocardial revascularization", "type" : "article-journal", "volume" : "35" }, "uris" : [ "http://www.mendeley.com/documents/?uuid=a1d5e563-9c03-337c-8126-d01921ac6629" ] }, { "id" : "ITEM-2", "itemData" : { "DOI" : "10.1016/J.JACC.2012.07.013", "ISSN" : "0735-1097", "author" : [ { "dropping-particle" : "", "family" : "Fihn", "given" : "Stephan D.", "non-dropping-particle" : "", "parse-names" : false, "suffix" : "" }, { "dropping-particle" : "", "family" : "Gardin", "given" : "Julius M.", "non-dropping-particle" : "", "parse-names" : false, "suffix" : "" }, { "dropping-particle" : "", "family" : "Abrams", "given" : "Jonathan", "non-dropping-particle" : "", "parse-names" : false, "suffix" : "" }, { "dropping-particle" : "", "family" : "Berra", "given" : "Kathleen", "non-dropping-particle" : "", "parse-names" : false, "suffix" : "" }, { "dropping-particle" : "", "family" : "Blankenship", "given" : "James C.", "non-dropping-particle" : "", "parse-names" : false, "suffix" : "" }, { "dropping-particle" : "", "family" : "Dallas", "given" : "Apostolos P.", "non-dropping-particle" : "", "parse-names" : false, "suffix" : "" }, { "dropping-particle" : "", "family" : "Douglas", "given" : "Pamela S.", "non-dropping-particle" : "", "parse-names" : false, "suffix" : "" }, { "dropping-particle" : "", "family" : "Foody", "given" : "JoAnne M.", "non-dropping-particle" : "", "parse-names" : false, "suffix" : "" }, { "dropping-particle" : "", "family" : "Gerber", "given" : "Thomas C.", "non-dropping-particle" : "", "parse-names" : false, "suffix" : "" }, { "dropping-particle" : "", "family" : "Hinderliter", "given" : "Alan L.", "non-dropping-particle" : "", "parse-names" : false, "suffix" : "" }, { "dropping-particle" : "", "family" : "King", "given" : "Spencer B.", "non-dropping-particle" : "", "parse-names" : false, "suffix" : "" }, { "dropping-particle" : "", "family" : "Kligfield", "given" : "Paul D.", "non-dropping-particle" : "", "parse-names" : false, "suffix" : "" }, { "dropping-particle" : "", "family" : "Krumholz", "given" : "Harlan M.", "non-dropping-particle" : "", "parse-names" : false, "suffix" : "" }, { "dropping-particle" : "", "family" : "Kwong", "given" : "Raymond Y.K.", "non-dropping-particle" : "", "parse-names" : false, "suffix" : "" }, { "dropping-particle" : "", "family" : "Lim", "given" : "Michael J.", "non-dropping-particle" : "", "parse-names" : false, "suffix" : "" }, { "dropping-particle" : "", "family" : "Linderbaum", "given" : "Jane A.", "non-dropping-particle" : "", "parse-names" : false, "suffix" : "" }, { "dropping-particle" : "", "family" : "Mack", "given" : "Michael J.", "non-dropping-particle" : "", "parse-names" : false, "suffix" : "" }, { "dropping-particle" : "", "family" : "Munger", "given" : "Mark A.", "non-dropping-particle" : "", "parse-names" : false, "suffix" : "" }, { "dropping-particle" : "", "family" : "Prager", "given" : "Richard L.", "non-dropping-particle" : "", "parse-names" : false, "suffix" : "" }, { "dropping-particle" : "", "family" : "Sabik", "given" : "Joseph F.", "non-dropping-particle" : "", "parse-names" : false, "suffix" : "" }, { "dropping-particle" : "", "family" : "Shaw", "given" : "Leslee J.", "non-dropping-particle" : "", "parse-names" : false, "suffix" : "" }, { "dropping-particle" : "", "family" : "Sikkema", "given" : "Joanna D.", "non-dropping-particle" : "", "parse-names" : false, "suffix" : "" }, { "dropping-particle" : "", "family" : "Smith", "given" : "Craig R.", "non-dropping-particle" : "", "parse-names" : false, "suffix" : "" }, { "dropping-particle" : "", "family" : "Smith", "given" : "Sidney C.", "non-dropping-particle" : "", "parse-names" : false, "suffix" : "" }, { "dropping-particle" : "", "family" : "Spertus", "given" : "John A.", "non-dropping-particle" : "", "parse-names" : false, "suffix" : "" }, { "dropping-particle" : "V.", "family" : "Williams", "given" : "Sankey", "non-dropping-particle" : "", "parse-names" : false, "suffix" : "" } ], "container-title" : "Journal of the American College of Cardiology", "id" : "ITEM-2", "issue" : "24", "issued" : { "date-parts" : [ [ "2012", "12", "18" ] ] }, "page" : "e44-e164", "publisher" : "Elsevier", "title" : "2012 ACCF/AHA/ACP/AATS/PCNA/SCAI/STS Guideline for the Diagnosis and Management of Patients With Stable Ischemic Heart Disease: A Report of the American College of Cardiology Foundation/American Heart Association Task Force on Practice Guidelines, and the American College of Physicians, American Association for Thoracic Surgery, Preventive Cardiovascular Nurses Association, Society for Cardiovascular Angiography and Interventions, and Society of Thoracic Surgeons", "type" : "article-journal", "volume" : "60" }, "uris" : [ "http://www.mendeley.com/documents/?uuid=7c7d4bbf-8c02-3632-9bda-75a38335e4aa" ] } ], "mendeley" : { "formattedCitation" : "(1,2)", "plainTextFormattedCitation" : "(1,2)", "previouslyFormattedCitation" : "(1,2)" }, "properties" : {  }, "schema" : "https://github.com/citation-style-language/schema/raw/master/csl-citation.json" }</w:instrText>
      </w:r>
      <w:r>
        <w:fldChar w:fldCharType="separate"/>
      </w:r>
      <w:r w:rsidRPr="006C4D46">
        <w:rPr>
          <w:noProof/>
        </w:rPr>
        <w:t>(1,2)</w:t>
      </w:r>
      <w:r>
        <w:fldChar w:fldCharType="end"/>
      </w:r>
      <w:r>
        <w:t xml:space="preserve"> FFR</w:t>
      </w:r>
      <w:r w:rsidR="00436A2D">
        <w:t xml:space="preserve"> is calculated as the ratio of</w:t>
      </w:r>
      <w:r w:rsidR="00F83315">
        <w:t xml:space="preserve"> the</w:t>
      </w:r>
      <w:r w:rsidR="00436A2D">
        <w:t xml:space="preserve"> pressure distal to a stenosis (</w:t>
      </w:r>
      <w:proofErr w:type="spellStart"/>
      <w:r w:rsidR="00436A2D">
        <w:t>Pd</w:t>
      </w:r>
      <w:proofErr w:type="spellEnd"/>
      <w:r w:rsidR="00436A2D">
        <w:t xml:space="preserve">) to </w:t>
      </w:r>
      <w:r w:rsidR="00F83315">
        <w:t xml:space="preserve">the </w:t>
      </w:r>
      <w:r w:rsidR="00436A2D">
        <w:t xml:space="preserve">pressure proximal to a stenosis (Pa) during hyperaemia. </w:t>
      </w:r>
      <w:r w:rsidR="004057B3">
        <w:t>However, FFR’</w:t>
      </w:r>
      <w:r w:rsidR="00F83315">
        <w:t xml:space="preserve">s </w:t>
      </w:r>
      <w:r w:rsidR="001877E0">
        <w:t xml:space="preserve">adoption </w:t>
      </w:r>
      <w:r w:rsidR="00F83315">
        <w:t xml:space="preserve">has been slow, with international uptake </w:t>
      </w:r>
      <w:r w:rsidR="00A9408B">
        <w:t xml:space="preserve">estimated </w:t>
      </w:r>
      <w:r w:rsidR="00F83315">
        <w:t>below 10%.</w:t>
      </w:r>
      <w:r w:rsidR="00BC4818">
        <w:fldChar w:fldCharType="begin" w:fldLock="1"/>
      </w:r>
      <w:r w:rsidR="00BC4818">
        <w:instrText>ADDIN CSL_CITATION { "citationItems" : [ { "id" : "ITEM-1", "itemData" : { "DOI" : "10.1016/J.JACC.2017.07.770", "ISSN" : "0735-1097", "abstract" : "In this review, the authors reflect upon the role of coronary physiology in the modern management of coronary artery disease. They critically appraise the scientific background of the instantaneous wave-free ratio (iFR) and fractional flow\u00a0reserve (FFR), from early experimental studies to validation studies against indexes of ischemia, to clinical trials assessing outcome. At this important juncture for the field, the authors make predictions for the future of physiological stenosis assessment, outlining developments for both iFR and FFR in new clinical domains beyond the confines of stable angina. With a focus on the evolving future of iFR and FFR, the authors describe how physiological assessment with iFR may advance its application from simply justifying to guiding revascularization.", "author" : [ { "dropping-particle" : "", "family" : "G\u00f6tberg", "given" : "Matthias", "non-dropping-particle" : "", "parse-names" : false, "suffix" : "" }, { "dropping-particle" : "", "family" : "Cook", "given" : "Christopher M.", "non-dropping-particle" : "", "parse-names" : false, "suffix" : "" }, { "dropping-particle" : "", "family" : "Sen", "given" : "Sayan", "non-dropping-particle" : "", "parse-names" : false, "suffix" : "" }, { "dropping-particle" : "", "family" : "Nijjer", "given" : "Sukhjinder", "non-dropping-particle" : "", "parse-names" : false, "suffix" : "" }, { "dropping-particle" : "", "family" : "Escaned", "given" : "Javier", "non-dropping-particle" : "", "parse-names" : false, "suffix" : "" }, { "dropping-particle" : "", "family" : "Davies", "given" : "Justin E.", "non-dropping-particle" : "", "parse-names" : false, "suffix" : "" } ], "container-title" : "Journal of the American College of Cardiology", "id" : "ITEM-1", "issue" : "11", "issued" : { "date-parts" : [ [ "2017", "9", "12" ] ] }, "page" : "1379-1402", "publisher" : "Elsevier", "title" : "The Evolving Future of Instantaneous\u00a0Wave-Free Ratio and Fractional Flow\u00a0Reserve", "type" : "article-journal", "volume" : "70" }, "uris" : [ "http://www.mendeley.com/documents/?uuid=7801a433-a49a-365e-b853-ede02b080d70" ] } ], "mendeley" : { "formattedCitation" : "(3)", "plainTextFormattedCitation" : "(3)", "previouslyFormattedCitation" : "(3)" }, "properties" : {  }, "schema" : "https://github.com/citation-style-language/schema/raw/master/csl-citation.json" }</w:instrText>
      </w:r>
      <w:r w:rsidR="00BC4818">
        <w:fldChar w:fldCharType="separate"/>
      </w:r>
      <w:r w:rsidR="00BC4818" w:rsidRPr="00BC4818">
        <w:rPr>
          <w:noProof/>
        </w:rPr>
        <w:t>(3)</w:t>
      </w:r>
      <w:r w:rsidR="00BC4818">
        <w:fldChar w:fldCharType="end"/>
      </w:r>
      <w:r w:rsidR="00FC7693">
        <w:t xml:space="preserve"> Reasons for this</w:t>
      </w:r>
      <w:r w:rsidR="009C7E5E">
        <w:t xml:space="preserve"> may</w:t>
      </w:r>
      <w:r w:rsidR="00FC7693">
        <w:t xml:space="preserve"> include </w:t>
      </w:r>
      <w:r w:rsidR="009C7E5E" w:rsidRPr="009C7E5E">
        <w:t>the costs and practicalities of administering adenosine, patient discomfort during hyperaemia and safety concerns in certain patient subgroups.</w:t>
      </w:r>
      <w:r w:rsidR="009C7E5E">
        <w:fldChar w:fldCharType="begin" w:fldLock="1"/>
      </w:r>
      <w:r w:rsidR="009C7E5E">
        <w:instrText>ADDIN CSL_CITATION { "citationItems" : [ { "id" : "ITEM-1", "itemData" : { "DOI" : "10.1016/J.JACC.2012.08.990", "ISSN" : "0735-1097", "author" : [ { "dropping-particle" : "", "family" : "Dattilo", "given" : "Philip B.", "non-dropping-particle" : "", "parse-names" : false, "suffix" : "" }, { "dropping-particle" : "", "family" : "Prasad", "given" : "Anand", "non-dropping-particle" : "", "parse-names" : false, "suffix" : "" }, { "dropping-particle" : "", "family" : "Honeycutt", "given" : "Emily", "non-dropping-particle" : "", "parse-names" : false, "suffix" : "" }, { "dropping-particle" : "", "family" : "Wang", "given" : "Tracy Y.", "non-dropping-particle" : "", "parse-names" : false, "suffix" : "" }, { "dropping-particle" : "", "family" : "Messenger", "given" : "John C.", "non-dropping-particle" : "", "parse-names" : false, "suffix" : "" } ], "container-title" : "Journal of the American College of Cardiology", "id" : "ITEM-1", "issue" : "22", "issued" : { "date-parts" : [ [ "2012", "12", "4" ] ] }, "page" : "2337-2339", "publisher" : "Elsevier", "title" : "Contemporary Patterns of Fractional Flow Reserve and Intravascular Ultrasound Use Among Patients Undergoing Percutaneous Coronary Intervention in the United States: Insights From the National Cardiovascular Data Registry", "type" : "article-journal", "volume" : "60" }, "uris" : [ "http://www.mendeley.com/documents/?uuid=463842bd-8bbf-396a-9ffe-4f169da55f17" ] } ], "mendeley" : { "formattedCitation" : "(4)", "plainTextFormattedCitation" : "(4)", "previouslyFormattedCitation" : "(4)" }, "properties" : {  }, "schema" : "https://github.com/citation-style-language/schema/raw/master/csl-citation.json" }</w:instrText>
      </w:r>
      <w:r w:rsidR="009C7E5E">
        <w:fldChar w:fldCharType="separate"/>
      </w:r>
      <w:r w:rsidR="009C7E5E" w:rsidRPr="009C7E5E">
        <w:rPr>
          <w:noProof/>
        </w:rPr>
        <w:t>(4)</w:t>
      </w:r>
      <w:r w:rsidR="009C7E5E">
        <w:fldChar w:fldCharType="end"/>
      </w:r>
    </w:p>
    <w:p w14:paraId="70D6A64E" w14:textId="1F45875D" w:rsidR="00147545" w:rsidRPr="00864201" w:rsidRDefault="00A9408B">
      <w:r>
        <w:t>In</w:t>
      </w:r>
      <w:r w:rsidR="00CF739C">
        <w:t xml:space="preserve"> this issue of</w:t>
      </w:r>
      <w:r>
        <w:t xml:space="preserve"> </w:t>
      </w:r>
      <w:r w:rsidRPr="00A9408B">
        <w:rPr>
          <w:i/>
        </w:rPr>
        <w:t>JACC: Cardiovascular Intervention</w:t>
      </w:r>
      <w:r w:rsidR="00CF739C">
        <w:rPr>
          <w:i/>
        </w:rPr>
        <w:t>s</w:t>
      </w:r>
      <w:r>
        <w:t xml:space="preserve">, </w:t>
      </w:r>
      <w:proofErr w:type="spellStart"/>
      <w:r w:rsidRPr="004057B3">
        <w:t>Mejía-Rentería</w:t>
      </w:r>
      <w:proofErr w:type="spellEnd"/>
      <w:r>
        <w:t xml:space="preserve"> </w:t>
      </w:r>
      <w:r>
        <w:rPr>
          <w:i/>
        </w:rPr>
        <w:t>et al.</w:t>
      </w:r>
      <w:r w:rsidR="00FD258E">
        <w:rPr>
          <w:i/>
        </w:rPr>
        <w:fldChar w:fldCharType="begin" w:fldLock="1"/>
      </w:r>
      <w:r w:rsidR="00FD258E">
        <w:rPr>
          <w:i/>
        </w:rPr>
        <w:instrText>ADDIN CSL_CITATION { "citationItems" : [ { "id" : "ITEM-1", "itemData" : { "author" : [ { "dropping-particle" : "", "family" : "Mej\u00eda-Renter\u00eda", "given" : "Hern\u00e1n", "non-dropping-particle" : "", "parse-names" : false, "suffix" : "" } ], "container-title" : "JACC: Cardiovascular Interventions", "id" : "ITEM-1", "issued" : { "date-parts" : [ [ "2018" ] ] }, "title" : "Influence of microcirculatory dysfunction on angiography based functional assessment of coronary stenoses", "type" : "article-journal" }, "uris" : [ "http://www.mendeley.com/documents/?uuid=49c62cc6-66e5-461d-802d-3cff5d012ecb" ] } ], "mendeley" : { "formattedCitation" : "(5)", "plainTextFormattedCitation" : "(5)", "previouslyFormattedCitation" : "(5)" }, "properties" : {  }, "schema" : "https://github.com/citation-style-language/schema/raw/master/csl-citation.json" }</w:instrText>
      </w:r>
      <w:r w:rsidR="00FD258E">
        <w:rPr>
          <w:i/>
        </w:rPr>
        <w:fldChar w:fldCharType="separate"/>
      </w:r>
      <w:r w:rsidR="00FD258E" w:rsidRPr="00FD258E">
        <w:rPr>
          <w:noProof/>
        </w:rPr>
        <w:t>(5)</w:t>
      </w:r>
      <w:r w:rsidR="00FD258E">
        <w:rPr>
          <w:i/>
        </w:rPr>
        <w:fldChar w:fldCharType="end"/>
      </w:r>
      <w:r>
        <w:rPr>
          <w:i/>
        </w:rPr>
        <w:t xml:space="preserve"> </w:t>
      </w:r>
      <w:r>
        <w:t xml:space="preserve">investigate the </w:t>
      </w:r>
      <w:r w:rsidR="00864201">
        <w:t xml:space="preserve">diagnostic </w:t>
      </w:r>
      <w:r>
        <w:t xml:space="preserve">performance of </w:t>
      </w:r>
      <w:r w:rsidR="00CF739C">
        <w:t>the ‘quantitative flow ratio’ (</w:t>
      </w:r>
      <w:r>
        <w:t>QFR</w:t>
      </w:r>
      <w:r w:rsidR="00CF739C">
        <w:t>)</w:t>
      </w:r>
      <w:r>
        <w:t xml:space="preserve">, a physiological </w:t>
      </w:r>
      <w:r w:rsidR="00633FD2">
        <w:t xml:space="preserve">assessment </w:t>
      </w:r>
      <w:r>
        <w:t>which hopes to provide a fast</w:t>
      </w:r>
      <w:r w:rsidR="00CF739C">
        <w:t xml:space="preserve">er, </w:t>
      </w:r>
      <w:r>
        <w:t>safer</w:t>
      </w:r>
      <w:r w:rsidR="00CF739C">
        <w:t xml:space="preserve"> and cheaper</w:t>
      </w:r>
      <w:r>
        <w:t xml:space="preserve"> surrogate measure of FFR which does not require passing of a coronary pressure wire</w:t>
      </w:r>
      <w:r w:rsidR="00FC7693">
        <w:t xml:space="preserve"> or pharmacological hyperaemia</w:t>
      </w:r>
      <w:r w:rsidR="00147545">
        <w:t>.</w:t>
      </w:r>
      <w:r w:rsidR="00864201">
        <w:t xml:space="preserve"> </w:t>
      </w:r>
      <w:r w:rsidR="00474D4E">
        <w:t xml:space="preserve">The </w:t>
      </w:r>
      <w:r w:rsidR="00864201">
        <w:t xml:space="preserve">diagnostic performance </w:t>
      </w:r>
      <w:r w:rsidR="00474D4E">
        <w:t xml:space="preserve">of QFR </w:t>
      </w:r>
      <w:r w:rsidR="00864201">
        <w:t>has been investigated in small studies previ</w:t>
      </w:r>
      <w:bookmarkStart w:id="0" w:name="_GoBack"/>
      <w:bookmarkEnd w:id="0"/>
      <w:r w:rsidR="00864201">
        <w:t>ously</w:t>
      </w:r>
      <w:r w:rsidR="00474D4E">
        <w:t>.</w:t>
      </w:r>
      <w:r w:rsidR="00864201">
        <w:fldChar w:fldCharType="begin" w:fldLock="1"/>
      </w:r>
      <w:r w:rsidR="00FD258E">
        <w:instrText>ADDIN CSL_CITATION { "citationItems" : [ { "id" : "ITEM-1", "itemData" : { "DOI" : "10.1016/J.JCIN.2016.07.013", "ISSN" : "1936-8798", "abstract" : "OBJECTIVES\nThe aim of this prospective multicenter study was to identify the optimal approach for simple and fast\u00a0fractional flow reserve (FFR) computation from radiographic coronary angiography, called quantitative flow ratio (QFR). \n\nBACKGROUND\nA novel, rapid computation of QFR pullbacks from 3-dimensional quantitative coronary angiography was developed recently. \n\nMETHODS\nQFR was derived from 3 flow models with: 1) fixed empiric hyperemic flow velocity (fixed-flow QFR [fQFR]); 2)\u00a0modeled hyperemic flow velocity derived from angiography without drug-induced hyperemia (contrast-flow QFR [cQFR]); and 3) measured hyperemic flow velocity derived from angiography during adenosine-induced hyperemia (adenosine-flow QFR [aQFR]). Pressure wire-derived FFR, measured during maximal hyperemia, served as the reference. Separate independent core laboratories analyzed angiographic images and pressure tracings from 8 centers in 7 countries. \n\nRESULTS\nThe QFR and FFR from 84 vessels in 73 patients with intermediate coronary lesions were compared. Mean\u00a0angiographic percent diameter stenosis (DS%) was 46.1 \u00b1 8.9%; 27 vessels (32%) had FFR\u00a0\u2264 0.80. Good agreement with FFR was observed for fQFR, cQFR, and aQFR, with mean differences of 0.003 \u00b1 0.068 (p\u00a0= 0.66), 0.001 \u00b1 0.059 (p\u00a0= 0.90), and \u22120.001 \u00b1 0.065 (p\u00a0= 0.90), respectively. The overall diagnostic accuracy for identifying an FFR of\u00a0\u22640.80 was 80% (95% confidence interval [CI]: 71% to 89%), 86% (95% CI: 78% to 93%), and 87% (95% CI: 80% to 94%). The area under the receiver-operating characteristic curve was higher for cQFR than fQFR (difference: 0.04; 95% CI: 0.01 to 0.08; p\u00a0&lt; 0.01), but did not differ significantly between cQFR and aQFR (difference: 0.01; 95% CI: -0.04 to 0.06; p\u00a0= 0.65). Compared with DS%, both cQFR and aQFR increased the area under the receiver-operating characteristic curve by 0.20 (p\u00a0&lt; 0.01) and 0.19 (p\u00a0&lt; 0.01). The positive likelihood ratio was 4.8, 8.4, and 8.9 for fQFR, cQFR, and aQFR, with negative likelihood ratio of 0.4, 0.3, and 0.2, respectively. \n\nCONCLUSIONS\nThe QFR computation improved the diagnostic accuracy of 3-dimensional quantitative coronary angiography-based identification of stenosis significance. The favorable results of cQFR that does not require pharmacologic hyperemia induction bears the potential of a wider adoption of FFR-based lesion assessment through a reduction in procedure time, risk, and costs.", "author" : [ { "dropping-particle" : "", "family" : "Tu", "given" : "Shengxian", "non-dropping-particle" : "", "parse-names" : false, "suffix" : "" }, { "dropping-particle" : "", "family" : "Westra", "given" : "Jelmer", "non-dropping-particle" : "", "parse-names" : false, "suffix" : "" }, { "dropping-particle" : "", "family" : "Yang", "given" : "Junqing", "non-dropping-particle" : "", "parse-names" : false, "suffix" : "" }, { "dropping-particle" : "", "family" : "Birgelen", "given" : "Clemens", "non-dropping-particle" : "von", "parse-names" : false, "suffix" : "" }, { "dropping-particle" : "", "family" : "Ferrara", "given" : "Angela", "non-dropping-particle" : "", "parse-names" : false, "suffix" : "" }, { "dropping-particle" : "", "family" : "Pellicano", "given" : "Mariano", "non-dropping-particle" : "", "parse-names" : false, "suffix" : "" }, { "dropping-particle" : "", "family" : "Nef", "given" : "Holger", "non-dropping-particle" : "", "parse-names" : false, "suffix" : "" }, { "dropping-particle" : "", "family" : "Tebaldi", "given" : "Matteo", "non-dropping-particle" : "", "parse-names" : false, "suffix" : "" }, { "dropping-particle" : "", "family" : "Murasato", "given" : "Yoshinobu", "non-dropping-particle" : "", "parse-names" : false, "suffix" : "" }, { "dropping-particle" : "", "family" : "Lansky", "given" : "Alexandra", "non-dropping-particle" : "", "parse-names" : false, "suffix" : "" }, { "dropping-particle" : "", "family" : "Barbato", "given" : "Emanuele", "non-dropping-particle" : "", "parse-names" : false, "suffix" : "" }, { "dropping-particle" : "", "family" : "Heijden", "given" : "Liefke C.", "non-dropping-particle" : "van der", "parse-names" : false, "suffix" : "" }, { "dropping-particle" : "", "family" : "Reiber", "given" : "Johan H.C.", "non-dropping-particle" : "", "parse-names" : false, "suffix" : "" }, { "dropping-particle" : "", "family" : "Holm", "given" : "Niels R.", "non-dropping-particle" : "", "parse-names" : false, "suffix" : "" }, { "dropping-particle" : "", "family" : "Wijns", "given" : "William", "non-dropping-particle" : "", "parse-names" : false, "suffix" : "" } ], "container-title" : "JACC: Cardiovascular Interventions", "id" : "ITEM-1", "issue" : "19", "issued" : { "date-parts" : [ [ "2016", "10", "10" ] ] }, "page" : "2024-2035", "publisher" : "Elsevier", "title" : "Diagnostic Accuracy of Fast Computational Approaches to Derive\u00a0Fractional Flow Reserve From\u00a0Diagnostic Coronary Angiography: The International Multicenter FAVOR Pilot Study", "type" : "article-journal", "volume" : "9" }, "uris" : [ "http://www.mendeley.com/documents/?uuid=1fda1bd8-a06d-353a-8470-84c5efdb22ca" ] }, { "id" : "ITEM-2", "itemData" : { "DOI" : "10.1016/j.jacc.2017.10.035", "ISSN" : "07351097", "PMID" : "29101020", "abstract" : "BACKGROUND Quantitative flow ratio (QFR) is a novel angiography-based method for deriving fractional flow reserve (FFR) without pressure wire or induction of hyperemia. The accuracy of QFR when assessed online in the catheterization laboratory has not been adequately examined to date. OBJECTIVES The goal of this study was to assess the diagnostic performance of QFR for the diagnosis of hemodynamically significant coronary stenosis defined by FFR\u00a0\u22640.80. METHODS This prospective, multicenter trial enrolled patients who had at least 1 lesion with a diameter stenosis of 30% to 90% and a reference diameter\u00a0\u22652\u00a0mm according to visual estimation. QFR, quantitative coronary angiography (QCA), and wire-based FFR were assessed online in blinded fashion during coronary angiography and re-analyzed offline at an independent core laboratory. The primary endpoint was that QFR would improve the diagnostic accuracy of coronary angiography such that the lower boundary of the 2-sided 95% confidence interval (CI) of this estimate exceeded 75%. RESULTS Between June and July 2017, a total of 308 patients were consecutively enrolled at 5 centers. Online QFR and\u00a0FFR results were both obtained in 328 of 332 interrogated vessels. Patient- and vessel-level diagnostic accuracy of\u00a0QFR was 92.4% (95% CI: 88.9% to 95.1%) and 92.7% (95% CI: 89.3% to 95.3%), respectively, both of which were significantly\u00a0higher than the pre-specified target value (p\u00a0&lt; 0.001). Sensitivity and specificity in identifying hemodynamically\u00a0significant stenosis were significantly higher for QFR than for QCA (sensitivity: 94.6% vs. 62.5%; difference: 32.0% [p\u00a0&lt;\u00a00.001]; specificity: 91.7% vs. 58.1%; difference: 36.1% [p\u00a0&lt; 0.001]). Positive predictive value,\u00a0negative predictive value, positive likelihood ratio, and negative likelihood ratio for QFR were 85.5%, 97.1%, 11.4, and 0.06. Offline analysis also revealed that vessel-level QFR had a high diagnostic accuracy of 93.3% (95% CI: 90.0% to\u00a095.7%). CONCLUSIONS The study met its prespecified primary performance goal for the level of diagnostic accuracy of QFR in identifying hemodynamically significant coronary stenosis. (The FAVOR [Functional Diagnostic Accuracy of Quantitative Flow Ratio in Online Assessment of Coronary Stenosis] II China study]; NCT03191708).", "author" : [ { "dropping-particle" : "", "family" : "Xu", "given" : "Bo", "non-dropping-particle" : "", "parse-names" : false, "suffix" : "" }, { "dropping-particle" : "", "family" : "Tu", "given" : "Shengxian", "non-dropping-particle" : "", "parse-names" : false, "suffix" : "" }, { "dropping-particle" : "", "family" : "Qiao", "given" : "Shubin", "non-dropping-particle" : "", "parse-names" : false, "suffix" : "" }, { "dropping-particle" : "", "family" : "Qu", "given" : "Xinkai", "non-dropping-particle" : "", "parse-names" : false, "suffix" : "" }, { "dropping-particle" : "", "family" : "Chen", "given" : "Yundai", "non-dropping-particle" : "", "parse-names" : false, "suffix" : "" }, { "dropping-particle" : "", "family" : "Yang", "given" : "Junqing", "non-dropping-particle" : "", "parse-names" : false, "suffix" : "" }, { "dropping-particle" : "", "family" : "Guo", "given" : "Lijun", "non-dropping-particle" : "", "parse-names" : false, "suffix" : "" }, { "dropping-particle" : "", "family" : "Sun", "given" : "Zhongwei", "non-dropping-particle" : "", "parse-names" : false, "suffix" : "" }, { "dropping-particle" : "", "family" : "Li", "given" : "Zehang", "non-dropping-particle" : "", "parse-names" : false, "suffix" : "" }, { "dropping-particle" : "", "family" : "Tian", "given" : "Feng", "non-dropping-particle" : "", "parse-names" : false, "suffix" : "" }, { "dropping-particle" : "", "family" : "Fang", "given" : "Weiyi", "non-dropping-particle" : "", "parse-names" : false, "suffix" : "" }, { "dropping-particle" : "", "family" : "Chen", "given" : "Jiyan", "non-dropping-particle" : "", "parse-names" : false, "suffix" : "" }, { "dropping-particle" : "", "family" : "Li", "given" : "Wei", "non-dropping-particle" : "", "parse-names" : false, "suffix" : "" }, { "dropping-particle" : "", "family" : "Guan", "given" : "Changdong", "non-dropping-particle" : "", "parse-names" : false, "suffix" : "" }, { "dropping-particle" : "", "family" : "Holm", "given" : "Niels R.", "non-dropping-particle" : "", "parse-names" : false, "suffix" : "" }, { "dropping-particle" : "", "family" : "Wijns", "given" : "William", "non-dropping-particle" : "", "parse-names" : false, "suffix" : "" }, { "dropping-particle" : "", "family" : "Hu", "given" : "Shengshou", "non-dropping-particle" : "", "parse-names" : false, "suffix" : "" } ], "container-title" : "Journal of the American College of Cardiology", "id" : "ITEM-2", "issue" : "25", "issued" : { "date-parts" : [ [ "2017", "12", "26" ] ] }, "page" : "3077-3087", "title" : "Diagnostic Accuracy of Angiography-Based Quantitative Flow\u00a0Ratio Measurements for Online Assessment\u00a0of Coronary Stenosis", "type" : "article-journal", "volume" : "70" }, "uris" : [ "http://www.mendeley.com/documents/?uuid=654ddd7b-f3bb-3fed-9b4a-f710dd4df80a" ] } ], "mendeley" : { "formattedCitation" : "(6,7)", "plainTextFormattedCitation" : "(6,7)", "previouslyFormattedCitation" : "(6,7)" }, "properties" : {  }, "schema" : "https://github.com/citation-style-language/schema/raw/master/csl-citation.json" }</w:instrText>
      </w:r>
      <w:r w:rsidR="00864201">
        <w:fldChar w:fldCharType="separate"/>
      </w:r>
      <w:r w:rsidR="00FD258E" w:rsidRPr="00FD258E">
        <w:rPr>
          <w:noProof/>
        </w:rPr>
        <w:t>(6,7)</w:t>
      </w:r>
      <w:r w:rsidR="00864201">
        <w:fldChar w:fldCharType="end"/>
      </w:r>
      <w:r w:rsidR="00864201">
        <w:t xml:space="preserve"> </w:t>
      </w:r>
      <w:r w:rsidR="00474D4E">
        <w:t xml:space="preserve">However, because </w:t>
      </w:r>
      <w:r w:rsidR="00864201">
        <w:t xml:space="preserve">it relies on angiographic flow-measurements, </w:t>
      </w:r>
      <w:proofErr w:type="spellStart"/>
      <w:r w:rsidR="00864201" w:rsidRPr="004057B3">
        <w:t>Mejía-Rentería</w:t>
      </w:r>
      <w:proofErr w:type="spellEnd"/>
      <w:r w:rsidR="00864201">
        <w:t xml:space="preserve"> </w:t>
      </w:r>
      <w:r w:rsidR="00864201">
        <w:rPr>
          <w:i/>
        </w:rPr>
        <w:t>et al.</w:t>
      </w:r>
      <w:r w:rsidR="00864201">
        <w:t xml:space="preserve"> wished to investigate whether coronary microcirculatory parameters could affect its accuracy. The authors now show that QFR’s diagnostic performance, when judged against FFR, does degrade in patients with coronary microcirculatory dysfunction (CMD), as high microvascular resistance causes the positive predictive value to decrease from 93 to 67%. </w:t>
      </w:r>
    </w:p>
    <w:p w14:paraId="28C4E75D" w14:textId="2E78C114" w:rsidR="004057B3" w:rsidRDefault="005119ED">
      <w:r>
        <w:t xml:space="preserve">The method of </w:t>
      </w:r>
      <w:r w:rsidR="00CF739C">
        <w:t xml:space="preserve">QFR </w:t>
      </w:r>
      <w:r>
        <w:t>calculation used by the authors requires two pieces of information. F</w:t>
      </w:r>
      <w:r w:rsidR="00147545">
        <w:t xml:space="preserve">irst, a </w:t>
      </w:r>
      <w:r w:rsidR="00864201">
        <w:t>3-dimensional</w:t>
      </w:r>
      <w:r w:rsidR="00147545">
        <w:t xml:space="preserve"> model of the stenosis is </w:t>
      </w:r>
      <w:r w:rsidR="004F3214">
        <w:t xml:space="preserve">constructed </w:t>
      </w:r>
      <w:r w:rsidR="00147545">
        <w:t>from two angiographic views</w:t>
      </w:r>
      <w:r>
        <w:t>. Second, the flow velocity in the vessel is measured using simple ‘frame counting’</w:t>
      </w:r>
      <w:r w:rsidR="00FC7693">
        <w:t xml:space="preserve"> </w:t>
      </w:r>
      <w:r w:rsidR="00147545">
        <w:t>of contrast</w:t>
      </w:r>
      <w:r w:rsidR="00FC7693">
        <w:t>. Using these data, the pressure drop</w:t>
      </w:r>
      <w:r w:rsidR="00147545">
        <w:t>s</w:t>
      </w:r>
      <w:r w:rsidR="00FC7693">
        <w:t xml:space="preserve"> over </w:t>
      </w:r>
      <w:r w:rsidR="00147545">
        <w:t>the length</w:t>
      </w:r>
      <w:r w:rsidR="00FC7693">
        <w:t xml:space="preserve"> of the vessel can be simulated, and the QFR calculated.</w:t>
      </w:r>
      <w:r w:rsidR="009C7E5E">
        <w:t xml:space="preserve"> </w:t>
      </w:r>
    </w:p>
    <w:p w14:paraId="725E19A6" w14:textId="062B31F9" w:rsidR="00436A2D" w:rsidRDefault="009C7E5E">
      <w:r>
        <w:t>QFR, therefore, indirect</w:t>
      </w:r>
      <w:r w:rsidR="001C6F08">
        <w:t>ly</w:t>
      </w:r>
      <w:r w:rsidR="00634FCC">
        <w:t xml:space="preserve"> estimates</w:t>
      </w:r>
      <w:r>
        <w:t xml:space="preserve"> coronary pressure ratios by measuring flow, whilst FFR </w:t>
      </w:r>
      <w:r w:rsidR="00634FCC">
        <w:t>uses</w:t>
      </w:r>
      <w:r>
        <w:t xml:space="preserve"> direct measurement</w:t>
      </w:r>
      <w:r w:rsidR="00634FCC">
        <w:t>s</w:t>
      </w:r>
      <w:r>
        <w:t xml:space="preserve"> of coronary pressure. </w:t>
      </w:r>
      <w:r w:rsidR="00A57452">
        <w:t>Given this</w:t>
      </w:r>
      <w:r w:rsidR="00436A2D">
        <w:t xml:space="preserve">, </w:t>
      </w:r>
      <w:r>
        <w:t xml:space="preserve">FFR, </w:t>
      </w:r>
      <w:r w:rsidR="00436A2D">
        <w:t xml:space="preserve">fractional </w:t>
      </w:r>
      <w:r w:rsidR="00436A2D" w:rsidRPr="00436A2D">
        <w:rPr>
          <w:i/>
        </w:rPr>
        <w:t>flow</w:t>
      </w:r>
      <w:r w:rsidR="00436A2D">
        <w:rPr>
          <w:b/>
        </w:rPr>
        <w:t xml:space="preserve"> </w:t>
      </w:r>
      <w:r w:rsidR="00436A2D">
        <w:t>reserve</w:t>
      </w:r>
      <w:r>
        <w:t>,</w:t>
      </w:r>
      <w:r w:rsidR="00436A2D">
        <w:t xml:space="preserve"> may seem </w:t>
      </w:r>
      <w:r w:rsidR="001C6F08">
        <w:t xml:space="preserve">a </w:t>
      </w:r>
      <w:r w:rsidR="00436A2D">
        <w:t>surprising</w:t>
      </w:r>
      <w:r w:rsidR="00E1512A">
        <w:t xml:space="preserve"> name</w:t>
      </w:r>
      <w:r w:rsidR="00436A2D">
        <w:t xml:space="preserve"> for a ratio of </w:t>
      </w:r>
      <w:r w:rsidR="00436A2D" w:rsidRPr="00436A2D">
        <w:rPr>
          <w:i/>
        </w:rPr>
        <w:t>pressures</w:t>
      </w:r>
      <w:r w:rsidR="001C6F08">
        <w:t>;</w:t>
      </w:r>
      <w:r w:rsidR="00436A2D">
        <w:t xml:space="preserve"> and </w:t>
      </w:r>
      <w:proofErr w:type="gramStart"/>
      <w:r w:rsidR="00436A2D">
        <w:t>indeed</w:t>
      </w:r>
      <w:proofErr w:type="gramEnd"/>
      <w:r w:rsidR="00436A2D">
        <w:t xml:space="preserve"> this gives</w:t>
      </w:r>
      <w:r w:rsidR="00785338">
        <w:t xml:space="preserve"> interesting</w:t>
      </w:r>
      <w:r w:rsidR="00436A2D">
        <w:t xml:space="preserve"> insight</w:t>
      </w:r>
      <w:r>
        <w:t>s</w:t>
      </w:r>
      <w:r w:rsidR="00436A2D">
        <w:t xml:space="preserve"> into </w:t>
      </w:r>
      <w:r w:rsidR="007833CC">
        <w:t>the history of coronary physiology</w:t>
      </w:r>
      <w:r w:rsidR="00436A2D">
        <w:t>.</w:t>
      </w:r>
    </w:p>
    <w:p w14:paraId="21CAC689" w14:textId="6A271BE6" w:rsidR="007833CC" w:rsidRDefault="007833CC" w:rsidP="007833CC">
      <w:pPr>
        <w:pStyle w:val="Heading2"/>
      </w:pPr>
      <w:r>
        <w:t>Coronary flow measurements and the birth of coronary physiology</w:t>
      </w:r>
    </w:p>
    <w:p w14:paraId="63229445" w14:textId="4ABD68D0" w:rsidR="006C4D46" w:rsidRDefault="001C6F08">
      <w:r>
        <w:t xml:space="preserve">Myocardial </w:t>
      </w:r>
      <w:r w:rsidR="00E1512A">
        <w:t>ischaemia in patients with stable angina develops when myocardial oxygen demand exceeds what the coronary circulation can supply</w:t>
      </w:r>
      <w:r w:rsidR="00A91270">
        <w:t>. Th</w:t>
      </w:r>
      <w:r w:rsidR="00C90A80">
        <w:t>is</w:t>
      </w:r>
      <w:r w:rsidR="00A91270">
        <w:t xml:space="preserve"> supply can be thought of</w:t>
      </w:r>
      <w:r w:rsidR="00E1512A">
        <w:t xml:space="preserve"> a</w:t>
      </w:r>
      <w:r w:rsidR="00A91270">
        <w:t>s</w:t>
      </w:r>
      <w:r w:rsidR="00E1512A">
        <w:t xml:space="preserve"> the volume of blood delivered to a tissue</w:t>
      </w:r>
      <w:r w:rsidR="006C4D46">
        <w:t xml:space="preserve"> per second</w:t>
      </w:r>
      <w:r w:rsidR="00C90A80">
        <w:t xml:space="preserve"> (</w:t>
      </w:r>
      <w:r w:rsidR="00474D4E">
        <w:t>c</w:t>
      </w:r>
      <w:r w:rsidR="00C90A80">
        <w:t>m</w:t>
      </w:r>
      <w:r w:rsidR="00C90A80" w:rsidRPr="00C90A80">
        <w:rPr>
          <w:vertAlign w:val="superscript"/>
        </w:rPr>
        <w:t>3</w:t>
      </w:r>
      <w:r w:rsidR="00C90A80">
        <w:t>/s) and</w:t>
      </w:r>
      <w:r w:rsidR="00A91270">
        <w:t xml:space="preserve"> can </w:t>
      </w:r>
      <w:r w:rsidR="00E1512A">
        <w:t xml:space="preserve">be quantified simply by </w:t>
      </w:r>
      <w:r w:rsidR="00C90A80">
        <w:t xml:space="preserve">multiplying </w:t>
      </w:r>
      <w:r w:rsidR="00E1512A">
        <w:t>the blood flow velocity through the vessel (</w:t>
      </w:r>
      <w:r w:rsidR="00474D4E">
        <w:t>c</w:t>
      </w:r>
      <w:r w:rsidR="00E1512A">
        <w:t xml:space="preserve">m/s) by </w:t>
      </w:r>
      <w:r w:rsidR="006C4D46">
        <w:t xml:space="preserve">the vessel’s </w:t>
      </w:r>
      <w:r w:rsidR="00A317C4">
        <w:t>cross-sectional</w:t>
      </w:r>
      <w:r w:rsidR="006C4D46">
        <w:t xml:space="preserve"> area (</w:t>
      </w:r>
      <w:r w:rsidR="00474D4E">
        <w:t>c</w:t>
      </w:r>
      <w:r w:rsidR="006C4D46">
        <w:t>m</w:t>
      </w:r>
      <w:r w:rsidR="006C4D46" w:rsidRPr="006C4D46">
        <w:rPr>
          <w:vertAlign w:val="superscript"/>
        </w:rPr>
        <w:t>2</w:t>
      </w:r>
      <w:r w:rsidR="006C4D46">
        <w:t xml:space="preserve">). </w:t>
      </w:r>
    </w:p>
    <w:p w14:paraId="7F7DCCFB" w14:textId="02BAD206" w:rsidR="006C4D46" w:rsidRDefault="009C7E5E">
      <w:r>
        <w:t>By</w:t>
      </w:r>
      <w:r w:rsidR="006C4D46">
        <w:t xml:space="preserve"> the early 1990s</w:t>
      </w:r>
      <w:r>
        <w:t xml:space="preserve">, </w:t>
      </w:r>
      <w:r w:rsidR="00E1512A">
        <w:t xml:space="preserve">technology had evolved sufficiently to </w:t>
      </w:r>
      <w:r>
        <w:t>allow</w:t>
      </w:r>
      <w:r w:rsidR="00E1512A">
        <w:t xml:space="preserve"> velocity sensors to be mounted on angioplasty guidewires.</w:t>
      </w:r>
      <w:r w:rsidR="006C4D46">
        <w:fldChar w:fldCharType="begin" w:fldLock="1"/>
      </w:r>
      <w:r w:rsidR="00FD258E">
        <w:instrText>ADDIN CSL_CITATION { "citationItems" : [ { "id" : "ITEM-1", "itemData" : { "DOI" : "10.1016/0002-9149(93)90133-W", "ISSN" : "0002-9149", "abstract" : "The use of miniaturized pressure and velocity sensors mounted on angioplasty guidewires allows the simultaneous measurement of coronary Mood flow velocity and transstenotic pressure gradient, 2 parameters that, combined, should perfectly characterize stenosis hemodynamics. The aim of this article is assessment of the changes in coronary blood flow velocity observed with a Doppler-tipped angioplasty guidewire in 35 patients undergoing balloon angioplasty. We also report our initial experience in 16 patients with the combined use of sensor-tip pressure and Doppler guidewires, and we discuss the application of new methodologic approaches for the study of the coronary circulation allowed by these techniques, such as the instantaneous assessment of the flow velocity/pressure and pressure gradient/flow velocity relations. Before and after angioplasty, flow velocity measurements were obtained distal to the stenosis, both in baseline conditions and after intracoronary injection of 8\u201312.5 mg of papaverine. The Doppler guidewire was left in place during the dilation procedure and the Doppler signal was continuously recorded during balloon inflation and after deflation to monitor the development of collateral flow, the restoration of flow after balloon deflation, the phase of postocclusive reactive hyperemia, and, incidently, the development of flow-limiting complications. Merits and pitfalls of several flow velocity parameters (average peak velocity, coronary flow velocity reserve, diastolic/systolic velocity ratio), as well as of parameters derived from the combination of pressure and velocity measurements (transstenotic pressure gradient/flow velocity relation and instantaneous diastolic hyperemic flow velocity/ pressure relation) were evaluated in 35 patients with, and 37 without, significant coronary stenoses. Miniaturization of flow velocity and pressure sensors has made these methodologic approaches applicable in the interventional suite, yielding reproducible and accurate assessments of parameters previously measured only in experimental animal models.", "author" : [ { "dropping-particle" : "", "family" : "Serruys", "given" : "Patrick W.", "non-dropping-particle" : "", "parse-names" : false, "suffix" : "" }, { "dropping-particle" : "", "family" : "Mario", "given" : "Carlo", "non-dropping-particle" : "Di", "parse-names" : false, "suffix" : "" }, { "dropping-particle" : "", "family" : "Meneveau", "given" : "Nicolas", "non-dropping-particle" : "", "parse-names" : false, "suffix" : "" }, { "dropping-particle" : "", "family" : "Jaegere", "given" : "Peter", "non-dropping-particle" : "de", "parse-names" : false, "suffix" : "" }, { "dropping-particle" : "", "family" : "Strikwerda", "given" : "Sipke", "non-dropping-particle" : "", "parse-names" : false, "suffix" : "" }, { "dropping-particle" : "", "family" : "Feyter", "given" : "Pim J.", "non-dropping-particle" : "de", "parse-names" : false, "suffix" : "" }, { "dropping-particle" : "", "family" : "Emanuelsson", "given" : "H\u00e5kan", "non-dropping-particle" : "", "parse-names" : false, "suffix" : "" } ], "container-title" : "The American Journal of Cardiology", "id" : "ITEM-1", "issue" : "14", "issued" : { "date-parts" : [ [ "1993", "5", "20" ] ] }, "page" : "D41-D53", "publisher" : "Excerpta Medica", "title" : "Intracoronary pressure and flow velocity with sensor-tip guidewires: A new methodologic approach for assessment of coronary hemodynamics before and after coronary interventions", "type" : "article-journal", "volume" : "71" }, "uris" : [ "http://www.mendeley.com/documents/?uuid=b8a3fb5e-0e88-3e4b-a24d-d921aa119247" ] } ], "mendeley" : { "formattedCitation" : "(8)", "plainTextFormattedCitation" : "(8)", "previouslyFormattedCitation" : "(8)" }, "properties" : {  }, "schema" : "https://github.com/citation-style-language/schema/raw/master/csl-citation.json" }</w:instrText>
      </w:r>
      <w:r w:rsidR="006C4D46">
        <w:fldChar w:fldCharType="separate"/>
      </w:r>
      <w:r w:rsidR="00FD258E" w:rsidRPr="00FD258E">
        <w:rPr>
          <w:noProof/>
        </w:rPr>
        <w:t>(8)</w:t>
      </w:r>
      <w:r w:rsidR="006C4D46">
        <w:fldChar w:fldCharType="end"/>
      </w:r>
      <w:r w:rsidR="00E1512A">
        <w:t xml:space="preserve"> </w:t>
      </w:r>
      <w:r w:rsidR="006C4D46">
        <w:t>By measuring</w:t>
      </w:r>
      <w:r w:rsidR="00E567D1">
        <w:t xml:space="preserve"> coronary</w:t>
      </w:r>
      <w:r w:rsidR="006C4D46">
        <w:t xml:space="preserve"> flow</w:t>
      </w:r>
      <w:r w:rsidR="00E567D1">
        <w:t xml:space="preserve"> velocity</w:t>
      </w:r>
      <w:r w:rsidR="006C4D46">
        <w:t xml:space="preserve"> at rest, </w:t>
      </w:r>
      <w:proofErr w:type="gramStart"/>
      <w:r w:rsidR="006C4D46">
        <w:t>and also</w:t>
      </w:r>
      <w:proofErr w:type="gramEnd"/>
      <w:r w:rsidR="006C4D46">
        <w:t xml:space="preserve"> during hyperaemia, physicians could now </w:t>
      </w:r>
      <w:r w:rsidR="004F3214">
        <w:t>estimate</w:t>
      </w:r>
      <w:r w:rsidR="006C4D46">
        <w:t xml:space="preserve"> a vessel’s ability to </w:t>
      </w:r>
      <w:r w:rsidR="008223D0">
        <w:t xml:space="preserve">meet </w:t>
      </w:r>
      <w:r w:rsidR="00E567D1">
        <w:t>the increased flow requirements during exercise</w:t>
      </w:r>
      <w:r w:rsidR="006C4D46">
        <w:t xml:space="preserve">. The ratio of flow velocity </w:t>
      </w:r>
      <w:r w:rsidR="004A7C69">
        <w:t>during</w:t>
      </w:r>
      <w:r w:rsidR="006C4D46">
        <w:t xml:space="preserve"> hyperaemia to that at rest was termed the coronary flow</w:t>
      </w:r>
      <w:r w:rsidR="00E567D1">
        <w:t xml:space="preserve"> (velocity)</w:t>
      </w:r>
      <w:r w:rsidR="006C4D46">
        <w:t xml:space="preserve"> reserve (CFR)</w:t>
      </w:r>
      <w:r w:rsidR="00E567D1">
        <w:t xml:space="preserve">. </w:t>
      </w:r>
      <w:r w:rsidR="00474D4E">
        <w:t>Observational d</w:t>
      </w:r>
      <w:r w:rsidR="00E567D1">
        <w:t>ata show</w:t>
      </w:r>
      <w:r w:rsidR="00C90A80">
        <w:t>ed</w:t>
      </w:r>
      <w:r w:rsidR="00E567D1">
        <w:t xml:space="preserve"> that </w:t>
      </w:r>
      <w:r w:rsidR="00C90A80">
        <w:t xml:space="preserve">using a </w:t>
      </w:r>
      <w:r w:rsidR="00E567D1">
        <w:t>CFR</w:t>
      </w:r>
      <w:r w:rsidR="00C90A80">
        <w:t xml:space="preserve"> </w:t>
      </w:r>
      <w:r>
        <w:t>cut-off</w:t>
      </w:r>
      <w:r w:rsidR="00C90A80">
        <w:t xml:space="preserve"> of 2.0</w:t>
      </w:r>
      <w:r w:rsidR="00E567D1">
        <w:t xml:space="preserve"> </w:t>
      </w:r>
      <w:r w:rsidR="00C90A80">
        <w:t>provided superior risk-stratification in patients with intermediate severity coronary lesions than single photon emission computer tomography (SPECT).</w:t>
      </w:r>
      <w:r w:rsidR="00C90A80">
        <w:fldChar w:fldCharType="begin" w:fldLock="1"/>
      </w:r>
      <w:r w:rsidR="00FD258E">
        <w:instrText>ADDIN CSL_CITATION { "citationItems" : [ { "id" : "ITEM-1", "itemData" : { "ISSN" : "0735-1097", "PMID" : "11869852", "abstract" : "OBJECTIVES This study aimed to investigate the roles of intracoronary derived coronary flow velocity reserve (CFVR) and myocardial perfusion scintigraphy (single photon emission computed tomography, or SPECT) for management of an intermediate lesion in patients with multivessel coronary artery disease. BACKGROUND Evaluation of the functional significance of intermediate coronary narrowings (40% to 70% diameter stenosis) is important for clinical decision making and risk stratification. METHODS In a prospective, multicenter study, SPECT was performed in 191 patients with stable angina and multivessel disease and scheduled for angioplasty (percutaneous transluminal coronary angioplasty, or PTCA) of a severe coronary narrowing. Coronary flow velocity reserve was determined selectively distal to an intermediate lesion in another artery using a Doppler guidewire. Percutaneous transluminal coronary angioplasty of the intermediate lesion was deferred when SPECT was negative or CFVR greater-than-or-equal 2.0. Patients were followed for one year to document major cardiac events (death, infarction, revascularization), related to the intermediate lesion. RESULTS Reversible perfusion defects were documented in the area of the intermediate lesion in 30 (16%) patients; CFVR was positive in 46 (24%) patients. Percutaneous transluminal coronary angioplasty of the intermediate lesion was deferred in 182 patients. During follow-up, 19 events occurred (3 myocardial infarctions, 16 revascularizations). Coronary flow velocity reserve was a more accurate predictor of cardiac events than was SPECT; relative risk: CFVR 3.9 (1.7 to 9.1), p &lt; 0.05; SPECT 0.5 (0.1 to 3.2), p = NS. Multivariate analysis revealed CFVR as the only significant predictor for cardiac events. CONCLUSIONS Deferral of PTCA of intermediate lesions in multivessel disease is safe when CFVR greater-than-or-equal 2.0 (event rate 6%). This selective evaluation of coronary lesion severity during cardiac catheterization allows a more accurate risk stratification than does SPECT, which is important for clinical decision making in this patient cohort.", "author" : [ { "dropping-particle" : "", "family" : "Chamuleau", "given" : "Steven A J", "non-dropping-particle" : "", "parse-names" : false, "suffix" : "" }, { "dropping-particle" : "", "family" : "Tio", "given" : "Rene A", "non-dropping-particle" : "", "parse-names" : false, "suffix" : "" }, { "dropping-particle" : "", "family" : "Cock", "given" : "Carel C", "non-dropping-particle" : "de", "parse-names" : false, "suffix" : "" }, { "dropping-particle" : "", "family" : "Muinck", "given" : "Ebo D", "non-dropping-particle" : "de", "parse-names" : false, "suffix" : "" }, { "dropping-particle" : "", "family" : "Pijls", "given" : "Nico H J", "non-dropping-particle" : "", "parse-names" : false, "suffix" : "" }, { "dropping-particle" : "", "family" : "Eck-Smit", "given" : "Berthe L F", "non-dropping-particle" : "van", "parse-names" : false, "suffix" : "" }, { "dropping-particle" : "", "family" : "Koch", "given" : "Karel T", "non-dropping-particle" : "", "parse-names" : false, "suffix" : "" }, { "dropping-particle" : "", "family" : "Meuwissen", "given" : "Martijn", "non-dropping-particle" : "", "parse-names" : false, "suffix" : "" }, { "dropping-particle" : "", "family" : "Dijkgraaf", "given" : "Marcel G W", "non-dropping-particle" : "", "parse-names" : false, "suffix" : "" }, { "dropping-particle" : "", "family" : "Jong", "given" : "Angelina", "non-dropping-particle" : "de", "parse-names" : false, "suffix" : "" }, { "dropping-particle" : "", "family" : "Verberne", "given" : "Hein J", "non-dropping-particle" : "", "parse-names" : false, "suffix" : "" }, { "dropping-particle" : "", "family" : "Liebergen", "given" : "Rob A M", "non-dropping-particle" : "van", "parse-names" : false, "suffix" : "" }, { "dropping-particle" : "", "family" : "Laarman", "given" : "Gert Jan", "non-dropping-particle" : "", "parse-names" : false, "suffix" : "" }, { "dropping-particle" : "", "family" : "Tijssen", "given" : "Jan G P", "non-dropping-particle" : "", "parse-names" : false, "suffix" : "" }, { "dropping-particle" : "", "family" : "Piek", "given" : "Jan J", "non-dropping-particle" : "", "parse-names" : false, "suffix" : "" } ], "container-title" : "Journal of the American College of Cardiology", "id" : "ITEM-1", "issue" : "5", "issued" : { "date-parts" : [ [ "2002", "3", "6" ] ] }, "page" : "852-8", "title" : "Prognostic value of coronary blood flow velocity and myocardial perfusion in intermediate coronary narrowings and multivessel disease.", "type" : "article-journal", "volume" : "39" }, "uris" : [ "http://www.mendeley.com/documents/?uuid=ff8df4a3-2f64-3462-98cb-0ac6ec64f45e" ] } ], "mendeley" : { "formattedCitation" : "(9)", "plainTextFormattedCitation" : "(9)", "previouslyFormattedCitation" : "(9)" }, "properties" : {  }, "schema" : "https://github.com/citation-style-language/schema/raw/master/csl-citation.json" }</w:instrText>
      </w:r>
      <w:r w:rsidR="00C90A80">
        <w:fldChar w:fldCharType="separate"/>
      </w:r>
      <w:r w:rsidR="00FD258E" w:rsidRPr="00FD258E">
        <w:rPr>
          <w:noProof/>
        </w:rPr>
        <w:t>(9)</w:t>
      </w:r>
      <w:r w:rsidR="00C90A80">
        <w:fldChar w:fldCharType="end"/>
      </w:r>
    </w:p>
    <w:p w14:paraId="4172A3DB" w14:textId="4E82D555" w:rsidR="003E38C9" w:rsidRDefault="00894663" w:rsidP="003E38C9">
      <w:pPr>
        <w:pStyle w:val="Heading2"/>
      </w:pPr>
      <w:r>
        <w:t xml:space="preserve">The </w:t>
      </w:r>
      <w:r w:rsidR="00345B2D">
        <w:t>e</w:t>
      </w:r>
      <w:r>
        <w:t xml:space="preserve">ra of </w:t>
      </w:r>
      <w:r w:rsidR="00E53451">
        <w:t>p</w:t>
      </w:r>
      <w:r>
        <w:t xml:space="preserve">ressure-derived </w:t>
      </w:r>
      <w:r w:rsidR="00E53451">
        <w:t>coronary p</w:t>
      </w:r>
      <w:r>
        <w:t>hysiology</w:t>
      </w:r>
    </w:p>
    <w:p w14:paraId="341AB83C" w14:textId="1736C793" w:rsidR="00024DBE" w:rsidRDefault="00C90A80">
      <w:r>
        <w:t xml:space="preserve">However, these flow-measuring guidewires could also measure pressure. </w:t>
      </w:r>
      <w:r w:rsidR="00024DBE">
        <w:t xml:space="preserve">Initially it was unclear how the pressure throughout the cardiac cycle could be interpreted. Like in an electrical circuit, pressure (or voltage, V) = flow (or current, I) </w:t>
      </w:r>
      <w:r w:rsidR="00024DBE">
        <w:rPr>
          <w:rFonts w:cstheme="minorHAnsi"/>
        </w:rPr>
        <w:t>×</w:t>
      </w:r>
      <w:r w:rsidR="00024DBE">
        <w:t xml:space="preserve"> resistance (R), so pressure across the cardiac cycle could only become an accurate surrogate for flow if resistance across the coronary circulation was constant. </w:t>
      </w:r>
      <w:proofErr w:type="spellStart"/>
      <w:r w:rsidR="00024DBE">
        <w:t>Pijls</w:t>
      </w:r>
      <w:proofErr w:type="spellEnd"/>
      <w:r w:rsidR="00024DBE">
        <w:t xml:space="preserve"> </w:t>
      </w:r>
      <w:r w:rsidR="00024DBE">
        <w:rPr>
          <w:i/>
        </w:rPr>
        <w:t xml:space="preserve">et al. </w:t>
      </w:r>
      <w:r w:rsidR="00024DBE">
        <w:t xml:space="preserve">proposed, however, that during hyperaemia, resistance is low and varies minimally. They </w:t>
      </w:r>
      <w:r w:rsidR="005315BD">
        <w:t xml:space="preserve">therefore </w:t>
      </w:r>
      <w:r w:rsidR="00024DBE">
        <w:t xml:space="preserve">published a paper covering the experimental basis for a </w:t>
      </w:r>
      <w:r w:rsidR="00024DBE" w:rsidRPr="00DC7224">
        <w:rPr>
          <w:i/>
        </w:rPr>
        <w:t>pressure</w:t>
      </w:r>
      <w:r w:rsidR="00024DBE">
        <w:t xml:space="preserve">-derived </w:t>
      </w:r>
      <w:r w:rsidR="008A1C1D">
        <w:t>estimate</w:t>
      </w:r>
      <w:r w:rsidR="00024DBE">
        <w:t xml:space="preserve"> of </w:t>
      </w:r>
      <w:r w:rsidR="00024DBE" w:rsidRPr="00DC7224">
        <w:rPr>
          <w:i/>
        </w:rPr>
        <w:t>flow</w:t>
      </w:r>
      <w:r w:rsidR="00024DBE">
        <w:t xml:space="preserve"> reserve,</w:t>
      </w:r>
      <w:r w:rsidR="005315BD">
        <w:t xml:space="preserve"> fractional flow reserve</w:t>
      </w:r>
      <w:r w:rsidR="00024DBE">
        <w:t xml:space="preserve"> </w:t>
      </w:r>
      <w:r w:rsidR="00361840">
        <w:t>(</w:t>
      </w:r>
      <w:r w:rsidR="00024DBE">
        <w:t>FFR</w:t>
      </w:r>
      <w:r w:rsidR="00361840">
        <w:t>)</w:t>
      </w:r>
      <w:r w:rsidR="005315BD">
        <w:t>.</w:t>
      </w:r>
      <w:r w:rsidR="008A1C1D">
        <w:fldChar w:fldCharType="begin" w:fldLock="1"/>
      </w:r>
      <w:r w:rsidR="00FD258E">
        <w:instrText>ADDIN CSL_CITATION { "citationItems" : [ { "id" : "ITEM-1", "itemData" : { "DOI" : "10.1161/01.CIR.87.4.1354", "ISSN" : "0009-7322", "PMID" : "8462157", "abstract" : "BACKGROUND Severity of coronary artery stenosis has been defined in terms of geometric dimensions, pressure gradient-flow relations, resistance to flow and coronary flow reserve, or maximum flow capacity after maximum arteriolar vasodilation. A direct relation between coronary pressure and flow, however, may only be presumed if the resistances in the coronary circulation are constant (and minimal) as theoretically is the case during maximum arteriolar vasodilation. In that case, pressure measurements theoretically can be used to predict maximum flow and assess functional stenosis severity. METHODS AND RESULTS A theoretical model was developed for the different components of the coronary circulation, and a set of equations was derived by which the relative maximum flow or fractional flow reserve in both the stenotic epicardial artery and the myocardial vascular bed and the proportional contribution of coronary arterial and collateral flow to myocardial blood flow are calculated from measurements of arterial, distal coronary, and central venous pressures during maximum arteriolar vasodilation. To test this model, five dogs were acutely instrumented with an epicardial, coronary Doppler flow velocity transducer. Distal coronary pressures were measured by an ultrathin pressure-monitoring guide wire (0.015 in.) with minimal influence on transstenotic pressure gradient. Fractional flow reserve was calculated from the pressure measurements and compared with relative maximum coronary artery flow measured directly by the Doppler flowmeter at three different levels of arterial pressure for each of 12 different severities of stenosis at each pressure level. Relative maximum blood flow through the stenotic artery (Qs) measured directly by the Doppler flowmeter showed an excellent correlation with the pressure-derived values of Qs (r = 0.98 +/- 0.01, intercept = 0.02 +/- 0.03, slope = 0.98 +/- 0.04), of the relative maximum myocardial flow (r = 0.98 +/- 0.02, intercept = 0.26 +/- 0.07, slope = 0.73 +/- 0.08), and of the collateral blood flow (r = 0.96 +/- 0.04, intercept = 0.24 +/- 0.07, slope = -0.24 +/- 0.06). Moreover, the theoretically predicted constant relation between mean arterial pressure and coronary wedge pressure, both corrected for venous pressure, was confirmed experimentally (r = 0.97 +/- 0.03, intercept = 9.5 +/- 13.3, slope = 4.4 +/- 1.2). CONCLUSIONS These results provide the experimental basis for determining relative maximum flow or fractional flo\u2026", "author" : [ { "dropping-particle" : "", "family" : "Pijls", "given" : "N H", "non-dropping-particle" : "", "parse-names" : false, "suffix" : "" }, { "dropping-particle" : "", "family" : "Son", "given" : "J A", "non-dropping-particle" : "van", "parse-names" : false, "suffix" : "" }, { "dropping-particle" : "", "family" : "Kirkeeide", "given" : "R L", "non-dropping-particle" : "", "parse-names" : false, "suffix" : "" }, { "dropping-particle" : "", "family" : "Bruyne", "given" : "B", "non-dropping-particle" : "De", "parse-names" : false, "suffix" : "" }, { "dropping-particle" : "", "family" : "Gould", "given" : "K L", "non-dropping-particle" : "", "parse-names" : false, "suffix" : "" } ], "container-title" : "Circulation", "id" : "ITEM-1", "issue" : "4", "issued" : { "date-parts" : [ [ "1993", "4", "1" ] ] }, "page" : "1354-67", "publisher" : "American Heart Association, Inc.", "title" : "Experimental basis of determining maximum coronary, myocardial, and collateral blood flow by pressure measurements for assessing functional stenosis severity before and after percutaneous transluminal coronary angioplasty.", "type" : "article-journal", "volume" : "87" }, "uris" : [ "http://www.mendeley.com/documents/?uuid=461b3c10-722b-37c5-848f-e8c22dc261e2" ] } ], "mendeley" : { "formattedCitation" : "(10)", "plainTextFormattedCitation" : "(10)", "previouslyFormattedCitation" : "(10)" }, "properties" : {  }, "schema" : "https://github.com/citation-style-language/schema/raw/master/csl-citation.json" }</w:instrText>
      </w:r>
      <w:r w:rsidR="008A1C1D">
        <w:fldChar w:fldCharType="separate"/>
      </w:r>
      <w:r w:rsidR="00FD258E" w:rsidRPr="00FD258E">
        <w:rPr>
          <w:noProof/>
        </w:rPr>
        <w:t>(10)</w:t>
      </w:r>
      <w:r w:rsidR="008A1C1D">
        <w:fldChar w:fldCharType="end"/>
      </w:r>
      <w:r w:rsidR="008A1C1D">
        <w:t xml:space="preserve"> </w:t>
      </w:r>
      <w:r w:rsidR="00DC7224">
        <w:t xml:space="preserve">More recently, investigators have hypothesised </w:t>
      </w:r>
      <w:r w:rsidR="00DC7224">
        <w:lastRenderedPageBreak/>
        <w:t xml:space="preserve">performing pressure measurements during the ‘wave free’ period </w:t>
      </w:r>
      <w:r w:rsidR="004F3214">
        <w:t xml:space="preserve">of diastole </w:t>
      </w:r>
      <w:r w:rsidR="00DC7224">
        <w:t xml:space="preserve">where </w:t>
      </w:r>
      <w:r w:rsidR="004F3214" w:rsidRPr="004F3214">
        <w:t>resistance is naturally minimal and constant</w:t>
      </w:r>
      <w:r w:rsidR="00DC7224">
        <w:t>, providing the instantaneous wave-free ratio (</w:t>
      </w:r>
      <w:proofErr w:type="spellStart"/>
      <w:r w:rsidR="00DC7224">
        <w:t>iFR</w:t>
      </w:r>
      <w:proofErr w:type="spellEnd"/>
      <w:r w:rsidR="00DC7224">
        <w:t>).</w:t>
      </w:r>
    </w:p>
    <w:p w14:paraId="4F97C954" w14:textId="5AC8530A" w:rsidR="00633FD2" w:rsidRDefault="00A9408B">
      <w:r>
        <w:t>With</w:t>
      </w:r>
      <w:r w:rsidR="006C4D46">
        <w:t xml:space="preserve"> time</w:t>
      </w:r>
      <w:r>
        <w:t>,</w:t>
      </w:r>
      <w:r w:rsidR="006C4D46">
        <w:t xml:space="preserve"> </w:t>
      </w:r>
      <w:r w:rsidR="005315BD">
        <w:t>th</w:t>
      </w:r>
      <w:r w:rsidR="00DC7224">
        <w:t>ese</w:t>
      </w:r>
      <w:r w:rsidR="006C4D46">
        <w:t xml:space="preserve"> more practical pressure</w:t>
      </w:r>
      <w:r w:rsidR="005315BD">
        <w:t>-based</w:t>
      </w:r>
      <w:r w:rsidR="009F3E5B">
        <w:t xml:space="preserve"> measurement</w:t>
      </w:r>
      <w:r w:rsidR="00DC7224">
        <w:t>s have</w:t>
      </w:r>
      <w:r w:rsidR="006C4D46">
        <w:t xml:space="preserve"> gained popularity. Not only </w:t>
      </w:r>
      <w:r w:rsidR="00DC7224">
        <w:t>are</w:t>
      </w:r>
      <w:r w:rsidR="006C4D46">
        <w:t xml:space="preserve"> the pressure-sensing guidewires cheaper and easier to use than the flow-measuring models, </w:t>
      </w:r>
      <w:r w:rsidR="00633FD2">
        <w:t xml:space="preserve">but </w:t>
      </w:r>
      <w:r w:rsidR="008F3938">
        <w:t>studies</w:t>
      </w:r>
      <w:r w:rsidR="00633FD2">
        <w:t xml:space="preserve"> showed </w:t>
      </w:r>
      <w:r w:rsidR="000E53FD">
        <w:t xml:space="preserve">data </w:t>
      </w:r>
      <w:r w:rsidR="008F3938">
        <w:t xml:space="preserve">can </w:t>
      </w:r>
      <w:r w:rsidR="000E53FD">
        <w:t xml:space="preserve">be </w:t>
      </w:r>
      <w:r w:rsidR="008F3938">
        <w:t xml:space="preserve">useful for treatment decision making </w:t>
      </w:r>
      <w:r w:rsidR="000E53FD">
        <w:t>at the</w:t>
      </w:r>
      <w:r w:rsidR="00633FD2">
        <w:t xml:space="preserve"> stenosis-level</w:t>
      </w:r>
      <w:r w:rsidR="008F3938">
        <w:t>.</w:t>
      </w:r>
      <w:r w:rsidR="00633FD2">
        <w:t xml:space="preserve"> </w:t>
      </w:r>
      <w:r w:rsidR="008F3938">
        <w:t xml:space="preserve">The loss in </w:t>
      </w:r>
      <w:r w:rsidR="00633FD2">
        <w:t xml:space="preserve">pressure </w:t>
      </w:r>
      <w:r w:rsidR="008F3938">
        <w:t xml:space="preserve">across </w:t>
      </w:r>
      <w:r w:rsidR="00633FD2">
        <w:t>a stenosis</w:t>
      </w:r>
      <w:r w:rsidR="008F3938">
        <w:t xml:space="preserve"> is related to the </w:t>
      </w:r>
      <w:r w:rsidR="00633FD2">
        <w:t xml:space="preserve">flow-limiting potential of </w:t>
      </w:r>
      <w:r w:rsidR="008F3938">
        <w:t xml:space="preserve">the </w:t>
      </w:r>
      <w:r w:rsidR="00633FD2">
        <w:t>lesion.</w:t>
      </w:r>
      <w:r w:rsidR="00633FD2">
        <w:fldChar w:fldCharType="begin" w:fldLock="1"/>
      </w:r>
      <w:r w:rsidR="00FD258E">
        <w:instrText>ADDIN CSL_CITATION { "citationItems" : [ { "id" : "ITEM-1", "itemData" : { "DOI" : "10.1161/01.CIR.87.4.1354", "ISSN" : "0009-7322", "PMID" : "8462157", "abstract" : "BACKGROUND Severity of coronary artery stenosis has been defined in terms of geometric dimensions, pressure gradient-flow relations, resistance to flow and coronary flow reserve, or maximum flow capacity after maximum arteriolar vasodilation. A direct relation between coronary pressure and flow, however, may only be presumed if the resistances in the coronary circulation are constant (and minimal) as theoretically is the case during maximum arteriolar vasodilation. In that case, pressure measurements theoretically can be used to predict maximum flow and assess functional stenosis severity. METHODS AND RESULTS A theoretical model was developed for the different components of the coronary circulation, and a set of equations was derived by which the relative maximum flow or fractional flow reserve in both the stenotic epicardial artery and the myocardial vascular bed and the proportional contribution of coronary arterial and collateral flow to myocardial blood flow are calculated from measurements of arterial, distal coronary, and central venous pressures during maximum arteriolar vasodilation. To test this model, five dogs were acutely instrumented with an epicardial, coronary Doppler flow velocity transducer. Distal coronary pressures were measured by an ultrathin pressure-monitoring guide wire (0.015 in.) with minimal influence on transstenotic pressure gradient. Fractional flow reserve was calculated from the pressure measurements and compared with relative maximum coronary artery flow measured directly by the Doppler flowmeter at three different levels of arterial pressure for each of 12 different severities of stenosis at each pressure level. Relative maximum blood flow through the stenotic artery (Qs) measured directly by the Doppler flowmeter showed an excellent correlation with the pressure-derived values of Qs (r = 0.98 +/- 0.01, intercept = 0.02 +/- 0.03, slope = 0.98 +/- 0.04), of the relative maximum myocardial flow (r = 0.98 +/- 0.02, intercept = 0.26 +/- 0.07, slope = 0.73 +/- 0.08), and of the collateral blood flow (r = 0.96 +/- 0.04, intercept = 0.24 +/- 0.07, slope = -0.24 +/- 0.06). Moreover, the theoretically predicted constant relation between mean arterial pressure and coronary wedge pressure, both corrected for venous pressure, was confirmed experimentally (r = 0.97 +/- 0.03, intercept = 9.5 +/- 13.3, slope = 4.4 +/- 1.2). CONCLUSIONS These results provide the experimental basis for determining relative maximum flow or fractional flo\u2026", "author" : [ { "dropping-particle" : "", "family" : "Pijls", "given" : "N H", "non-dropping-particle" : "", "parse-names" : false, "suffix" : "" }, { "dropping-particle" : "", "family" : "Son", "given" : "J A", "non-dropping-particle" : "van", "parse-names" : false, "suffix" : "" }, { "dropping-particle" : "", "family" : "Kirkeeide", "given" : "R L", "non-dropping-particle" : "", "parse-names" : false, "suffix" : "" }, { "dropping-particle" : "", "family" : "Bruyne", "given" : "B", "non-dropping-particle" : "De", "parse-names" : false, "suffix" : "" }, { "dropping-particle" : "", "family" : "Gould", "given" : "K L", "non-dropping-particle" : "", "parse-names" : false, "suffix" : "" } ], "container-title" : "Circulation", "id" : "ITEM-1", "issue" : "4", "issued" : { "date-parts" : [ [ "1993", "4", "1" ] ] }, "page" : "1354-67", "publisher" : "American Heart Association, Inc.", "title" : "Experimental basis of determining maximum coronary, myocardial, and collateral blood flow by pressure measurements for assessing functional stenosis severity before and after percutaneous transluminal coronary angioplasty.", "type" : "article-journal", "volume" : "87" }, "uris" : [ "http://www.mendeley.com/documents/?uuid=461b3c10-722b-37c5-848f-e8c22dc261e2" ] } ], "mendeley" : { "formattedCitation" : "(10)", "plainTextFormattedCitation" : "(10)", "previouslyFormattedCitation" : "(10)" }, "properties" : {  }, "schema" : "https://github.com/citation-style-language/schema/raw/master/csl-citation.json" }</w:instrText>
      </w:r>
      <w:r w:rsidR="00633FD2">
        <w:fldChar w:fldCharType="separate"/>
      </w:r>
      <w:r w:rsidR="00FD258E" w:rsidRPr="00FD258E">
        <w:rPr>
          <w:noProof/>
        </w:rPr>
        <w:t>(10)</w:t>
      </w:r>
      <w:r w:rsidR="00633FD2">
        <w:fldChar w:fldCharType="end"/>
      </w:r>
      <w:r w:rsidR="00BF7AA5">
        <w:t xml:space="preserve"> This </w:t>
      </w:r>
      <w:proofErr w:type="gramStart"/>
      <w:r w:rsidR="00BF7AA5">
        <w:t>was in contrast to</w:t>
      </w:r>
      <w:proofErr w:type="gramEnd"/>
      <w:r w:rsidR="00BF7AA5">
        <w:t xml:space="preserve"> CFR, where an abnormally low value could represent limitations to flow anywhere along the vessel length, including the distal microcirculation.</w:t>
      </w:r>
      <w:r w:rsidR="00633FD2">
        <w:t xml:space="preserve"> </w:t>
      </w:r>
    </w:p>
    <w:p w14:paraId="69B37BF8" w14:textId="0FFA9653" w:rsidR="009C1939" w:rsidRDefault="005315BD">
      <w:r>
        <w:t>The data supporting FFR</w:t>
      </w:r>
      <w:r w:rsidR="00F04AC7">
        <w:t>’</w:t>
      </w:r>
      <w:r>
        <w:t xml:space="preserve">s use in intermediate coronary </w:t>
      </w:r>
      <w:proofErr w:type="spellStart"/>
      <w:r w:rsidR="00F04AC7">
        <w:t>stenoses</w:t>
      </w:r>
      <w:proofErr w:type="spellEnd"/>
      <w:r>
        <w:t xml:space="preserve"> followed over the next two decades. </w:t>
      </w:r>
      <w:r w:rsidR="00BF6252">
        <w:t>The DEFER</w:t>
      </w:r>
      <w:r w:rsidR="009C1939">
        <w:t>,</w:t>
      </w:r>
      <w:r w:rsidR="008A1C1D">
        <w:fldChar w:fldCharType="begin" w:fldLock="1"/>
      </w:r>
      <w:r w:rsidR="00FD258E">
        <w:instrText>ADDIN CSL_CITATION { "citationItems" : [ { "id" : "ITEM-1", "itemData" : { "DOI" : "10.1016/j.jacc.2007.01.087", "ISSN" : "07351097", "PMID" : "17531660", "abstract" : "OBJECTIVES The purpose of this study was to investigate the appropriateness of stenting a functionally nonsignificant stenosis. BACKGROUND Percutaneous coronary intervention (PCI) of an intermediate stenosis without evidence of ischemia is often performed, but its benefit is unproven. Coronary pressure-derived fractional flow reserve (FFR) is an invasive index used to identify a stenosis responsible for reversible ischemia. METHODS In 325 patients scheduled for PCI of an intermediate stenosis, FFR was measured just before the planned intervention. If FFR was &gt;or =0.75, patients were randomly assigned to deferral (Defer group; n = 91) or performance (Perform group; n = 90) of PCI. If FFR was &lt;0.75, PCI was performed as planned (Reference group; n = 144). Clinical follow-up was 5 years. RESULTS There were no differences in baseline clinical characteristics between the 3 groups. Complete follow-up was obtained in 98% of the patients. Event-free survival was not different between the Defer and Perform groups (80% and 73%, respectively; p = 0.52), but was significantly worse in the Reference group (63%; p = 0.03). The composite rate of cardiac death and acute myocardial infarction in the Defer, Perform, and Reference groups was 3.3%, 7.9%, and 15.7%, respectively (p = 0.21 for Defer vs. Perform group; p = 0.003 for the Reference vs. both other groups). The percentage of patients free from chest pain at follow-up was not different between the Defer and Perform groups. CONCLUSIONS Five-year outcome after deferral of PCI of an intermediate coronary stenosis based on FFR &gt;/=0.75 is excellent. The risk of cardiac death or myocardial infarction related to this stenosis is &lt;1% per year and not decreased by stenting.", "author" : [ { "dropping-particle" : "", "family" : "Pijls", "given" : "Nico H.J.", "non-dropping-particle" : "", "parse-names" : false, "suffix" : "" }, { "dropping-particle" : "", "family" : "Schaardenburgh", "given" : "Pepijn", "non-dropping-particle" : "van", "parse-names" : false, "suffix" : "" }, { "dropping-particle" : "", "family" : "Manoharan", "given" : "Ganesh", "non-dropping-particle" : "", "parse-names" : false, "suffix" : "" }, { "dropping-particle" : "", "family" : "Boersma", "given" : "Eric", "non-dropping-particle" : "", "parse-names" : false, "suffix" : "" }, { "dropping-particle" : "", "family" : "Bech", "given" : "Jan-Willem", "non-dropping-particle" : "", "parse-names" : false, "suffix" : "" }, { "dropping-particle" : "", "family" : "van\u2019t Veer", "given" : "Marcel", "non-dropping-particle" : "", "parse-names" : false, "suffix" : "" }, { "dropping-particle" : "", "family" : "B\u00e4r", "given" : "Frits", "non-dropping-particle" : "", "parse-names" : false, "suffix" : "" }, { "dropping-particle" : "", "family" : "Hoorntje", "given" : "Jan", "non-dropping-particle" : "", "parse-names" : false, "suffix" : "" }, { "dropping-particle" : "", "family" : "Koolen", "given" : "Jacques", "non-dropping-particle" : "", "parse-names" : false, "suffix" : "" }, { "dropping-particle" : "", "family" : "Wijns", "given" : "William", "non-dropping-particle" : "", "parse-names" : false, "suffix" : "" }, { "dropping-particle" : "", "family" : "Bruyne", "given" : "Bernard", "non-dropping-particle" : "de", "parse-names" : false, "suffix" : "" } ], "container-title" : "Journal of the American College of Cardiology", "id" : "ITEM-1", "issue" : "21", "issued" : { "date-parts" : [ [ "2007", "5", "29" ] ] }, "page" : "2105-2111", "title" : "Percutaneous Coronary Intervention of Functionally Nonsignificant Stenosis", "type" : "article-journal", "volume" : "49" }, "uris" : [ "http://www.mendeley.com/documents/?uuid=f9991bcd-d27e-36e0-8188-860088b577ea" ] } ], "mendeley" : { "formattedCitation" : "(11)", "plainTextFormattedCitation" : "(11)", "previouslyFormattedCitation" : "(11)" }, "properties" : {  }, "schema" : "https://github.com/citation-style-language/schema/raw/master/csl-citation.json" }</w:instrText>
      </w:r>
      <w:r w:rsidR="008A1C1D">
        <w:fldChar w:fldCharType="separate"/>
      </w:r>
      <w:r w:rsidR="00FD258E" w:rsidRPr="00FD258E">
        <w:rPr>
          <w:noProof/>
        </w:rPr>
        <w:t>(11)</w:t>
      </w:r>
      <w:r w:rsidR="008A1C1D">
        <w:fldChar w:fldCharType="end"/>
      </w:r>
      <w:r w:rsidR="009C1939">
        <w:t xml:space="preserve"> FAME</w:t>
      </w:r>
      <w:r w:rsidR="008A1C1D">
        <w:fldChar w:fldCharType="begin" w:fldLock="1"/>
      </w:r>
      <w:r w:rsidR="00FD258E">
        <w:instrText>ADDIN CSL_CITATION { "citationItems" : [ { "id" : "ITEM-1", "itemData" : { "DOI" : "10.1056/NEJMoa0807611", "ISSN" : "0028-4793", "abstract" : "Background In patients with multivessel coronary artery disease who are undergoing percutaneous coronary intervention (PCI), coronary angiography is the standard method for guiding the placement of the stent. It is unclear whether routine measurement of fractional flow reserve (FFR; the ratio of maximal blood flow in a stenotic artery to normal maximal flow), in addition to angiography, improves outcomes. Methods In 20 medical centers in the United States and Europe, we randomly assigned 1005 patients with multivessel coronary artery disease to undergo PCI with implantation of drug-eluting stents guided by angiography alone or guided by FFR measurements in addition to angiography. Before randomization, lesions requiring PCI were identified on the basis of their angiographic appearance. Patients assigned to angiography-guided PCI underwent stenting of all indicated lesions, whereas those assigned to FFR-guided PCI underwent stenting of indicated lesions only if the FFR was 0.80 or less. The primary end poi...", "author" : [ { "dropping-particle" : "", "family" : "Tonino", "given" : "Pim A.L.", "non-dropping-particle" : "", "parse-names" : false, "suffix" : "" }, { "dropping-particle" : "", "family" : "Bruyne", "given" : "Bernard", "non-dropping-particle" : "De", "parse-names" : false, "suffix" : "" }, { "dropping-particle" : "", "family" : "Pijls", "given" : "Nico H.J.", "non-dropping-particle" : "", "parse-names" : false, "suffix" : "" }, { "dropping-particle" : "", "family" : "Siebert", "given" : "Uwe", "non-dropping-particle" : "", "parse-names" : false, "suffix" : "" }, { "dropping-particle" : "", "family" : "Ikeno", "given" : "Fumiaki", "non-dropping-particle" : "", "parse-names" : false, "suffix" : "" }, { "dropping-particle" : "", "family" : "`t Veer", "given" : "Marcel", "non-dropping-particle" : "van", "parse-names" : false, "suffix" : "" }, { "dropping-particle" : "", "family" : "Klauss", "given" : "Volker", "non-dropping-particle" : "", "parse-names" : false, "suffix" : "" }, { "dropping-particle" : "", "family" : "Manoharan", "given" : "Ganesh", "non-dropping-particle" : "", "parse-names" : false, "suffix" : "" }, { "dropping-particle" : "", "family" : "Engstr\u00f8m", "given" : "Thomas", "non-dropping-particle" : "", "parse-names" : false, "suffix" : "" }, { "dropping-particle" : "", "family" : "Oldroyd", "given" : "Keith G.", "non-dropping-particle" : "", "parse-names" : false, "suffix" : "" }, { "dropping-particle" : "", "family" : "Lee", "given" : "Peter N.", "non-dropping-particle" : "Ver", "parse-names" : false, "suffix" : "" }, { "dropping-particle" : "", "family" : "MacCarthy", "given" : "Philip A.", "non-dropping-particle" : "", "parse-names" : false, "suffix" : "" }, { "dropping-particle" : "", "family" : "Fearon", "given" : "William F.", "non-dropping-particle" : "", "parse-names" : false, "suffix" : "" } ], "container-title" : "New England Journal of Medicine", "id" : "ITEM-1", "issue" : "3", "issued" : { "date-parts" : [ [ "2009", "1", "15" ] ] }, "page" : "213-224", "publisher" : " Massachusetts Medical Society ", "title" : "Fractional Flow Reserve versus Angiography for Guiding Percutaneous Coronary Intervention", "type" : "article-journal", "volume" : "360" }, "uris" : [ "http://www.mendeley.com/documents/?uuid=8fc8950d-13c0-38a8-af29-61a34bed2509" ] } ], "mendeley" : { "formattedCitation" : "(12)", "plainTextFormattedCitation" : "(12)", "previouslyFormattedCitation" : "(12)" }, "properties" : {  }, "schema" : "https://github.com/citation-style-language/schema/raw/master/csl-citation.json" }</w:instrText>
      </w:r>
      <w:r w:rsidR="008A1C1D">
        <w:fldChar w:fldCharType="separate"/>
      </w:r>
      <w:r w:rsidR="00FD258E" w:rsidRPr="00FD258E">
        <w:rPr>
          <w:noProof/>
        </w:rPr>
        <w:t>(12)</w:t>
      </w:r>
      <w:r w:rsidR="008A1C1D">
        <w:fldChar w:fldCharType="end"/>
      </w:r>
      <w:r w:rsidR="009C1939">
        <w:t xml:space="preserve"> and FAME-2</w:t>
      </w:r>
      <w:r w:rsidR="008A1C1D">
        <w:fldChar w:fldCharType="begin" w:fldLock="1"/>
      </w:r>
      <w:r w:rsidR="00FD258E">
        <w:instrText>ADDIN CSL_CITATION { "citationItems" : [ { "id" : "ITEM-1", "itemData" : { "DOI" : "10.1056/NEJMoa1205361", "ISSN" : "0028-4793", "abstract" : "Background The preferred initial treatment for patients with stable coronary artery disease is the best available medical therapy. We hypothesized that in patients with functionally significant stenoses, as determined by measurement of fractional flow reserve (FFR), percutaneous coronary intervention (PCI) plus the best available medical therapy would be superior to the best available medical therapy alone. Methods In patients with stable coronary artery disease for whom PCI was being considered, we assessed all stenoses by measuring FFR. Patients in whom at least one stenosis was functionally significant (FFR, \u22640.80) were randomly assigned to FFR-guided PCI plus the best available medical therapy (PCI group) or the best available medical therapy alone (medical-therapy group). Patients in whom all stenoses had an FFR of more than 0.80 were entered into a registry and received the best available medical therapy. The primary end point was a composite of death, myocardial infarction, or urgent revascularizat...", "author" : [ { "dropping-particle" : "", "family" : "Bruyne", "given" : "Bernard", "non-dropping-particle" : "De", "parse-names" : false, "suffix" : "" }, { "dropping-particle" : "", "family" : "Pijls", "given" : "Nico H.J.", "non-dropping-particle" : "", "parse-names" : false, "suffix" : "" }, { "dropping-particle" : "", "family" : "Kalesan", "given" : "Bindu", "non-dropping-particle" : "", "parse-names" : false, "suffix" : "" }, { "dropping-particle" : "", "family" : "Barbato", "given" : "Emanuele", "non-dropping-particle" : "", "parse-names" : false, "suffix" : "" }, { "dropping-particle" : "", "family" : "Tonino", "given" : "Pim A.L.", "non-dropping-particle" : "", "parse-names" : false, "suffix" : "" }, { "dropping-particle" : "", "family" : "Piroth", "given" : "Zsolt", "non-dropping-particle" : "", "parse-names" : false, "suffix" : "" }, { "dropping-particle" : "", "family" : "Jagic", "given" : "Nikola", "non-dropping-particle" : "", "parse-names" : false, "suffix" : "" }, { "dropping-particle" : "", "family" : "M\u00f6bius-Winkler", "given" : "Sven", "non-dropping-particle" : "", "parse-names" : false, "suffix" : "" }, { "dropping-particle" : "", "family" : "Rioufol", "given" : "Gilles", "non-dropping-particle" : "", "parse-names" : false, "suffix" : "" }, { "dropping-particle" : "", "family" : "Witt", "given" : "Nils", "non-dropping-particle" : "", "parse-names" : false, "suffix" : "" }, { "dropping-particle" : "", "family" : "Kala", "given" : "Petr", "non-dropping-particle" : "", "parse-names" : false, "suffix" : "" }, { "dropping-particle" : "", "family" : "MacCarthy", "given" : "Philip", "non-dropping-particle" : "", "parse-names" : false, "suffix" : "" }, { "dropping-particle" : "", "family" : "Engstr\u00f6m", "given" : "Thomas", "non-dropping-particle" : "", "parse-names" : false, "suffix" : "" }, { "dropping-particle" : "", "family" : "Oldroyd", "given" : "Keith G.", "non-dropping-particle" : "", "parse-names" : false, "suffix" : "" }, { "dropping-particle" : "", "family" : "Mavromatis", "given" : "Kreton", "non-dropping-particle" : "", "parse-names" : false, "suffix" : "" }, { "dropping-particle" : "", "family" : "Manoharan", "given" : "Ganesh", "non-dropping-particle" : "", "parse-names" : false, "suffix" : "" }, { "dropping-particle" : "", "family" : "Verlee", "given" : "Peter", "non-dropping-particle" : "", "parse-names" : false, "suffix" : "" }, { "dropping-particle" : "", "family" : "Frobert", "given" : "Ole", "non-dropping-particle" : "", "parse-names" : false, "suffix" : "" }, { "dropping-particle" : "", "family" : "Curzen", "given" : "Nick", "non-dropping-particle" : "", "parse-names" : false, "suffix" : "" }, { "dropping-particle" : "", "family" : "Johnson", "given" : "Jane B.", "non-dropping-particle" : "", "parse-names" : false, "suffix" : "" }, { "dropping-particle" : "", "family" : "J\u00fcni", "given" : "Peter", "non-dropping-particle" : "", "parse-names" : false, "suffix" : "" }, { "dropping-particle" : "", "family" : "Fearon", "given" : "William F.", "non-dropping-particle" : "", "parse-names" : false, "suffix" : "" } ], "container-title" : "New England Journal of Medicine", "id" : "ITEM-1", "issue" : "11", "issued" : { "date-parts" : [ [ "2012", "9", "13" ] ] }, "page" : "991-1001", "publisher" : " Massachusetts Medical Society ", "title" : "Fractional Flow Reserve\u2013Guided PCI versus Medical Therapy in Stable Coronary Disease", "type" : "article-journal", "volume" : "367" }, "uris" : [ "http://www.mendeley.com/documents/?uuid=84fd154d-b2ab-3c08-9356-2b12fd65e35c" ] } ], "mendeley" : { "formattedCitation" : "(13)", "plainTextFormattedCitation" : "(13)", "previouslyFormattedCitation" : "(13)" }, "properties" : {  }, "schema" : "https://github.com/citation-style-language/schema/raw/master/csl-citation.json" }</w:instrText>
      </w:r>
      <w:r w:rsidR="008A1C1D">
        <w:fldChar w:fldCharType="separate"/>
      </w:r>
      <w:r w:rsidR="00FD258E" w:rsidRPr="00FD258E">
        <w:rPr>
          <w:noProof/>
        </w:rPr>
        <w:t>(13)</w:t>
      </w:r>
      <w:r w:rsidR="008A1C1D">
        <w:fldChar w:fldCharType="end"/>
      </w:r>
      <w:r w:rsidR="009C1939">
        <w:t xml:space="preserve"> studies went on to show the safety of deferring PCI in patients with FFRs &gt; 0.75, and reduced composite endpoints (largely urgent revascularisation) from intervening on lesions with FFRs &lt; 0.80.</w:t>
      </w:r>
    </w:p>
    <w:p w14:paraId="122DB7AA" w14:textId="0781FFB1" w:rsidR="00112837" w:rsidRDefault="000D4656">
      <w:r>
        <w:t>As with many other indices, patients requiring clinical assessment often have values close to the clinical cut-offs of CFR and FFR, and in these patients r</w:t>
      </w:r>
      <w:r w:rsidR="00A04057">
        <w:t>ecent data show that</w:t>
      </w:r>
      <w:r>
        <w:t xml:space="preserve"> </w:t>
      </w:r>
      <w:r w:rsidR="00A04057">
        <w:t>CFR and FFR discordance</w:t>
      </w:r>
      <w:r>
        <w:t xml:space="preserve"> </w:t>
      </w:r>
      <w:r w:rsidR="00A04057">
        <w:t xml:space="preserve">occurs in around </w:t>
      </w:r>
      <w:r w:rsidR="00474D4E">
        <w:t>one</w:t>
      </w:r>
      <w:r w:rsidR="00A04057">
        <w:t xml:space="preserve"> third of patients.</w:t>
      </w:r>
      <w:r w:rsidR="00A317C4">
        <w:fldChar w:fldCharType="begin" w:fldLock="1"/>
      </w:r>
      <w:r w:rsidR="00FD258E">
        <w:instrText>ADDIN CSL_CITATION { "citationItems" : [ { "id" : "ITEM-1", "itemData" : { "DOI" : "10.1161/CIRCINTERVENTIONS.113.001049", "ISSN" : "1941-7640", "PMID" : "24782198", "abstract" : "BACKGROUND Discordance between fractional flow reserve (FFR) and coronary flow velocity reserve (CFVR) may reflect important coronary pathophysiology but usually remains unnoticed in clinical practice. We evaluated the physiological basis and clinical outcome associated with FFR/CFVR discordance. METHODS AND RESULTS We studied 157 intermediate coronary stenoses in 157 patients, evaluated by FFR and CFVR between April 1997 and September 2006 in which revascularization was deferred. Long-term follow-up was performed to document the occurrence of major adverse cardiac events: cardiac death, myocardial infarction, or target vessel revascularization. Discordance between FFR and CFVR occurred in 31% and 37% of stenoses at the 0.75, and 0.80 FFR cut-off value, respectively, and was characterized by microvascular resistances during basal and hyperemic conditions. Follow-up duration amounted to 11.7 years (Q1-Q3, 9.9-13.3 years). Compared with concordant normal results of FFR and CFVR, a normal FFR with an abnormal CFVR was associated with significantly increased major adverse cardiac events rate throughout 10 years of follow-up, regardless of the FFR cut-off applied. In contrast, an abnormal FFR with a normal CFVR was associated with equivalent clinical outcome compared with concordant normal results: \u2264 3 years when FFR &lt;0.75 was depicted abnormal and throughout 10 years of follow-up when FFR \u2264 0.80 was depicted abnormal. CONCLUSIONS Discordance of CFVR with FFR originates from the involvement of the coronary microvasculature. Importantly, the risk for major adverse cardiac events associated with FFR/CFVR discordance is mainly attributable to stenoses where CFVR is abnormal. This emphasizes the requirement of intracoronary flow assessment in addition to coronary pressure for optimal risk stratification in stable coronary artery disease.", "author" : [ { "dropping-particle" : "", "family" : "Hoef", "given" : "T. P.", "non-dropping-particle" : "van de", "parse-names" : false, "suffix" : "" }, { "dropping-particle" : "", "family" : "Lavieren", "given" : "M. A.", "non-dropping-particle" : "van", "parse-names" : false, "suffix" : "" }, { "dropping-particle" : "", "family" : "Damman", "given" : "P.", "non-dropping-particle" : "", "parse-names" : false, "suffix" : "" }, { "dropping-particle" : "", "family" : "Delewi", "given" : "R.", "non-dropping-particle" : "", "parse-names" : false, "suffix" : "" }, { "dropping-particle" : "", "family" : "Piek", "given" : "M. A.", "non-dropping-particle" : "", "parse-names" : false, "suffix" : "" }, { "dropping-particle" : "", "family" : "Chamuleau", "given" : "S. A. J.", "non-dropping-particle" : "", "parse-names" : false, "suffix" : "" }, { "dropping-particle" : "", "family" : "Voskuil", "given" : "M.", "non-dropping-particle" : "", "parse-names" : false, "suffix" : "" }, { "dropping-particle" : "", "family" : "Henriques", "given" : "J. P. S.", "non-dropping-particle" : "", "parse-names" : false, "suffix" : "" }, { "dropping-particle" : "", "family" : "Koch", "given" : "K. T.", "non-dropping-particle" : "", "parse-names" : false, "suffix" : "" }, { "dropping-particle" : "", "family" : "Winter", "given" : "R. J.", "non-dropping-particle" : "de", "parse-names" : false, "suffix" : "" }, { "dropping-particle" : "", "family" : "Spaan", "given" : "J. A. E.", "non-dropping-particle" : "", "parse-names" : false, "suffix" : "" }, { "dropping-particle" : "", "family" : "Siebes", "given" : "M.", "non-dropping-particle" : "", "parse-names" : false, "suffix" : "" }, { "dropping-particle" : "", "family" : "Tijssen", "given" : "J. G. P.", "non-dropping-particle" : "", "parse-names" : false, "suffix" : "" }, { "dropping-particle" : "", "family" : "Meuwissen", "given" : "M.", "non-dropping-particle" : "", "parse-names" : false, "suffix" : "" }, { "dropping-particle" : "", "family" : "Piek", "given" : "J. J.", "non-dropping-particle" : "", "parse-names" : false, "suffix" : "" } ], "container-title" : "Circulation: Cardiovascular Interventions", "id" : "ITEM-1", "issue" : "3", "issued" : { "date-parts" : [ [ "2014", "6", "1" ] ] }, "page" : "301-311", "title" : "Physiological Basis and Long-Term Clinical Outcome of Discordance Between Fractional Flow Reserve and Coronary Flow Velocity Reserve in Coronary Stenoses of Intermediate Severity", "type" : "article-journal", "volume" : "7" }, "uris" : [ "http://www.mendeley.com/documents/?uuid=5c7ea0aa-e593-399e-83e9-58eb80c383e7" ] } ], "mendeley" : { "formattedCitation" : "(14)", "plainTextFormattedCitation" : "(14)", "previouslyFormattedCitation" : "(14)" }, "properties" : {  }, "schema" : "https://github.com/citation-style-language/schema/raw/master/csl-citation.json" }</w:instrText>
      </w:r>
      <w:r w:rsidR="00A317C4">
        <w:fldChar w:fldCharType="separate"/>
      </w:r>
      <w:r w:rsidR="00FD258E" w:rsidRPr="00FD258E">
        <w:rPr>
          <w:noProof/>
        </w:rPr>
        <w:t>(14)</w:t>
      </w:r>
      <w:r w:rsidR="00A317C4">
        <w:fldChar w:fldCharType="end"/>
      </w:r>
      <w:r w:rsidR="00A04057">
        <w:t xml:space="preserve"> </w:t>
      </w:r>
      <w:r>
        <w:t>Interestingly</w:t>
      </w:r>
      <w:r w:rsidR="00F81466">
        <w:t xml:space="preserve">, in these </w:t>
      </w:r>
      <w:r>
        <w:t xml:space="preserve">discordant </w:t>
      </w:r>
      <w:r w:rsidR="00F81466">
        <w:t>cases, it</w:t>
      </w:r>
      <w:r>
        <w:t xml:space="preserve"> appears it</w:t>
      </w:r>
      <w:r w:rsidR="00F81466">
        <w:t xml:space="preserve"> is the CFR which </w:t>
      </w:r>
      <w:r>
        <w:t>better</w:t>
      </w:r>
      <w:r w:rsidR="00F81466">
        <w:t xml:space="preserve"> </w:t>
      </w:r>
      <w:r>
        <w:t>categorises</w:t>
      </w:r>
      <w:r w:rsidR="00F81466">
        <w:t xml:space="preserve"> the </w:t>
      </w:r>
      <w:r w:rsidR="00A317C4">
        <w:t>high-risk</w:t>
      </w:r>
      <w:r w:rsidR="00F81466">
        <w:t xml:space="preserve"> patients, </w:t>
      </w:r>
      <w:r>
        <w:t>rather than</w:t>
      </w:r>
      <w:r w:rsidR="00F81466">
        <w:t xml:space="preserve"> FFR.</w:t>
      </w:r>
      <w:r w:rsidR="00A946ED">
        <w:t xml:space="preserve"> This begs the question:</w:t>
      </w:r>
      <w:r>
        <w:t xml:space="preserve"> is it flow we should be trying to measure in these patients with intermediate </w:t>
      </w:r>
      <w:proofErr w:type="spellStart"/>
      <w:r>
        <w:t>stenoses</w:t>
      </w:r>
      <w:proofErr w:type="spellEnd"/>
      <w:r>
        <w:t>, rather than pressure?</w:t>
      </w:r>
      <w:r w:rsidR="00DC7224">
        <w:t xml:space="preserve"> Or even both?</w:t>
      </w:r>
      <w:r w:rsidR="00BF7AA5">
        <w:t xml:space="preserve"> </w:t>
      </w:r>
      <w:r w:rsidR="000E53FD">
        <w:t>One might argue the strength of pressure-derived measurements lies in their ability to identify focal pressure drops over lesions and guide revascularisation strategies, whilst CFR seems to provide more accurate information on disease</w:t>
      </w:r>
      <w:r w:rsidR="00B17B44">
        <w:t xml:space="preserve"> severity and prognostication</w:t>
      </w:r>
      <w:r w:rsidR="000E53FD">
        <w:t>.</w:t>
      </w:r>
      <w:r w:rsidR="00B17B44">
        <w:t xml:space="preserve"> </w:t>
      </w:r>
      <w:r w:rsidR="008F3938">
        <w:t xml:space="preserve">Perhaps, </w:t>
      </w:r>
      <w:r w:rsidR="00B17B44">
        <w:t xml:space="preserve">by combining these two measures patients </w:t>
      </w:r>
      <w:r w:rsidR="00FB17E2">
        <w:t xml:space="preserve">can </w:t>
      </w:r>
      <w:r w:rsidR="00B17B44">
        <w:t>be managed to the best of our current evidence base.</w:t>
      </w:r>
    </w:p>
    <w:p w14:paraId="614F23F5" w14:textId="56C13952" w:rsidR="003E38C9" w:rsidRDefault="00894663" w:rsidP="00864201">
      <w:pPr>
        <w:pStyle w:val="Heading2"/>
      </w:pPr>
      <w:r>
        <w:t xml:space="preserve">A </w:t>
      </w:r>
      <w:r w:rsidR="00E53451">
        <w:t>f</w:t>
      </w:r>
      <w:r>
        <w:t xml:space="preserve">low </w:t>
      </w:r>
      <w:r w:rsidR="00E53451">
        <w:t>r</w:t>
      </w:r>
      <w:r>
        <w:t>enaissance?</w:t>
      </w:r>
    </w:p>
    <w:p w14:paraId="207D60A1" w14:textId="40EB0B95" w:rsidR="00193AEE" w:rsidRDefault="00AA1120">
      <w:r>
        <w:t xml:space="preserve">At first the results of this new study might appear disappointing. </w:t>
      </w:r>
      <w:r w:rsidR="00193AEE">
        <w:t xml:space="preserve">In patients without haemodynamically significant lesions (as judged by FFR) but with high microvascular resistance, QFR gives ‘false positives’. However, is this </w:t>
      </w:r>
      <w:r w:rsidR="00AD00B3">
        <w:t xml:space="preserve">a </w:t>
      </w:r>
      <w:r w:rsidR="00193AEE">
        <w:t>fair</w:t>
      </w:r>
      <w:r w:rsidR="00AD00B3">
        <w:t xml:space="preserve"> assessment</w:t>
      </w:r>
      <w:r w:rsidR="00193AEE">
        <w:t>?</w:t>
      </w:r>
      <w:r w:rsidR="00AD00B3">
        <w:t xml:space="preserve"> Possibly not, and t</w:t>
      </w:r>
      <w:r w:rsidR="00193AEE">
        <w:t xml:space="preserve">here are two reasons we </w:t>
      </w:r>
      <w:r w:rsidR="00AD00B3">
        <w:t>might</w:t>
      </w:r>
      <w:r w:rsidR="00193AEE">
        <w:t xml:space="preserve"> be optimistic.</w:t>
      </w:r>
    </w:p>
    <w:p w14:paraId="4239BCB0" w14:textId="07D439C8" w:rsidR="009B10BF" w:rsidRDefault="00193AEE">
      <w:pPr>
        <w:rPr>
          <w:i/>
        </w:rPr>
      </w:pPr>
      <w:r>
        <w:t>First, one could argue QFR</w:t>
      </w:r>
      <w:r w:rsidR="009416AB">
        <w:t>’</w:t>
      </w:r>
      <w:r>
        <w:t xml:space="preserve">s utility could </w:t>
      </w:r>
      <w:r w:rsidR="00AD00B3">
        <w:t>lie</w:t>
      </w:r>
      <w:r>
        <w:t xml:space="preserve"> in identifying patients at low risk who do not need</w:t>
      </w:r>
      <w:r w:rsidR="00AD00B3">
        <w:t xml:space="preserve"> to progress to</w:t>
      </w:r>
      <w:r>
        <w:t xml:space="preserve"> direct FFR measurement with a pressure wire. If so, </w:t>
      </w:r>
      <w:r w:rsidR="00AD00B3">
        <w:t>this study’s</w:t>
      </w:r>
      <w:r>
        <w:t xml:space="preserve"> results are encouraging, with the negative predictive value remaining as high at 87% even in patients with CMD. </w:t>
      </w:r>
    </w:p>
    <w:p w14:paraId="7C54525C" w14:textId="3E817C61" w:rsidR="00345B2D" w:rsidRDefault="00193AEE">
      <w:r>
        <w:t xml:space="preserve">Second, we must remember FFR is only estimating flow by measuring pressure, despite its name. Ironically, QFR is now trying to estimate pressure gradients by measuring flow. </w:t>
      </w:r>
      <w:r w:rsidR="00E375F3">
        <w:t>This may strike the reader as peculiar when one remembers the prognostic importance of CFR in CFR/FFR discordance</w:t>
      </w:r>
      <w:r>
        <w:t>.</w:t>
      </w:r>
      <w:r>
        <w:fldChar w:fldCharType="begin" w:fldLock="1"/>
      </w:r>
      <w:r w:rsidR="00FD258E">
        <w:instrText>ADDIN CSL_CITATION { "citationItems" : [ { "id" : "ITEM-1", "itemData" : { "DOI" : "10.1161/CIRCINTERVENTIONS.113.001049", "ISSN" : "1941-7640", "PMID" : "24782198", "abstract" : "BACKGROUND Discordance between fractional flow reserve (FFR) and coronary flow velocity reserve (CFVR) may reflect important coronary pathophysiology but usually remains unnoticed in clinical practice. We evaluated the physiological basis and clinical outcome associated with FFR/CFVR discordance. METHODS AND RESULTS We studied 157 intermediate coronary stenoses in 157 patients, evaluated by FFR and CFVR between April 1997 and September 2006 in which revascularization was deferred. Long-term follow-up was performed to document the occurrence of major adverse cardiac events: cardiac death, myocardial infarction, or target vessel revascularization. Discordance between FFR and CFVR occurred in 31% and 37% of stenoses at the 0.75, and 0.80 FFR cut-off value, respectively, and was characterized by microvascular resistances during basal and hyperemic conditions. Follow-up duration amounted to 11.7 years (Q1-Q3, 9.9-13.3 years). Compared with concordant normal results of FFR and CFVR, a normal FFR with an abnormal CFVR was associated with significantly increased major adverse cardiac events rate throughout 10 years of follow-up, regardless of the FFR cut-off applied. In contrast, an abnormal FFR with a normal CFVR was associated with equivalent clinical outcome compared with concordant normal results: \u2264 3 years when FFR &lt;0.75 was depicted abnormal and throughout 10 years of follow-up when FFR \u2264 0.80 was depicted abnormal. CONCLUSIONS Discordance of CFVR with FFR originates from the involvement of the coronary microvasculature. Importantly, the risk for major adverse cardiac events associated with FFR/CFVR discordance is mainly attributable to stenoses where CFVR is abnormal. This emphasizes the requirement of intracoronary flow assessment in addition to coronary pressure for optimal risk stratification in stable coronary artery disease.", "author" : [ { "dropping-particle" : "", "family" : "Hoef", "given" : "T. P.", "non-dropping-particle" : "van de", "parse-names" : false, "suffix" : "" }, { "dropping-particle" : "", "family" : "Lavieren", "given" : "M. A.", "non-dropping-particle" : "van", "parse-names" : false, "suffix" : "" }, { "dropping-particle" : "", "family" : "Damman", "given" : "P.", "non-dropping-particle" : "", "parse-names" : false, "suffix" : "" }, { "dropping-particle" : "", "family" : "Delewi", "given" : "R.", "non-dropping-particle" : "", "parse-names" : false, "suffix" : "" }, { "dropping-particle" : "", "family" : "Piek", "given" : "M. A.", "non-dropping-particle" : "", "parse-names" : false, "suffix" : "" }, { "dropping-particle" : "", "family" : "Chamuleau", "given" : "S. A. J.", "non-dropping-particle" : "", "parse-names" : false, "suffix" : "" }, { "dropping-particle" : "", "family" : "Voskuil", "given" : "M.", "non-dropping-particle" : "", "parse-names" : false, "suffix" : "" }, { "dropping-particle" : "", "family" : "Henriques", "given" : "J. P. S.", "non-dropping-particle" : "", "parse-names" : false, "suffix" : "" }, { "dropping-particle" : "", "family" : "Koch", "given" : "K. T.", "non-dropping-particle" : "", "parse-names" : false, "suffix" : "" }, { "dropping-particle" : "", "family" : "Winter", "given" : "R. J.", "non-dropping-particle" : "de", "parse-names" : false, "suffix" : "" }, { "dropping-particle" : "", "family" : "Spaan", "given" : "J. A. E.", "non-dropping-particle" : "", "parse-names" : false, "suffix" : "" }, { "dropping-particle" : "", "family" : "Siebes", "given" : "M.", "non-dropping-particle" : "", "parse-names" : false, "suffix" : "" }, { "dropping-particle" : "", "family" : "Tijssen", "given" : "J. G. P.", "non-dropping-particle" : "", "parse-names" : false, "suffix" : "" }, { "dropping-particle" : "", "family" : "Meuwissen", "given" : "M.", "non-dropping-particle" : "", "parse-names" : false, "suffix" : "" }, { "dropping-particle" : "", "family" : "Piek", "given" : "J. J.", "non-dropping-particle" : "", "parse-names" : false, "suffix" : "" } ], "container-title" : "Circulation: Cardiovascular Interventions", "id" : "ITEM-1", "issue" : "3", "issued" : { "date-parts" : [ [ "2014", "6", "1" ] ] }, "page" : "301-311", "title" : "Physiological Basis and Long-Term Clinical Outcome of Discordance Between Fractional Flow Reserve and Coronary Flow Velocity Reserve in Coronary Stenoses of Intermediate Severity", "type" : "article-journal", "volume" : "7" }, "uris" : [ "http://www.mendeley.com/documents/?uuid=5c7ea0aa-e593-399e-83e9-58eb80c383e7" ] } ], "mendeley" : { "formattedCitation" : "(14)", "plainTextFormattedCitation" : "(14)", "previouslyFormattedCitation" : "(14)" }, "properties" : {  }, "schema" : "https://github.com/citation-style-language/schema/raw/master/csl-citation.json" }</w:instrText>
      </w:r>
      <w:r>
        <w:fldChar w:fldCharType="separate"/>
      </w:r>
      <w:r w:rsidR="00FD258E" w:rsidRPr="00FD258E">
        <w:rPr>
          <w:noProof/>
        </w:rPr>
        <w:t>(14)</w:t>
      </w:r>
      <w:r>
        <w:fldChar w:fldCharType="end"/>
      </w:r>
      <w:r w:rsidR="004320E9">
        <w:t xml:space="preserve"> </w:t>
      </w:r>
      <w:r w:rsidR="00587B3A">
        <w:t>One therefore has to wonder: in patients with high microvascular resistance and lower coronary blood flow, maybe</w:t>
      </w:r>
      <w:r w:rsidR="00CA7469">
        <w:t xml:space="preserve"> these ‘false positives’ for QFR are not so </w:t>
      </w:r>
      <w:r w:rsidR="00587B3A">
        <w:t xml:space="preserve">‘false’ </w:t>
      </w:r>
      <w:r w:rsidR="00AD00B3">
        <w:t>after all</w:t>
      </w:r>
      <w:r w:rsidR="00587B3A">
        <w:t>?</w:t>
      </w:r>
      <w:r w:rsidR="00894663">
        <w:t xml:space="preserve"> </w:t>
      </w:r>
    </w:p>
    <w:p w14:paraId="208FCCB0" w14:textId="04479ED9" w:rsidR="00E567D1" w:rsidRDefault="00894663">
      <w:r>
        <w:t>Conversely, we don’t currently know the significance of the</w:t>
      </w:r>
      <w:r w:rsidR="00E53451">
        <w:t xml:space="preserve"> rarer</w:t>
      </w:r>
      <w:r>
        <w:t xml:space="preserve"> ‘false negative’ QFR</w:t>
      </w:r>
      <w:r w:rsidR="00E53451">
        <w:t xml:space="preserve"> readings, </w:t>
      </w:r>
      <w:r w:rsidR="00E53451">
        <w:rPr>
          <w:i/>
        </w:rPr>
        <w:t>i.e.</w:t>
      </w:r>
      <w:r w:rsidR="00E53451">
        <w:t xml:space="preserve"> patients with FFRs below 0.80 but normal QFRs. Hopefully future studies investigating the relationship between QFR, FFR and CFR will demonstrate whether such cases are truly failures of QFR to identify flow-limiting lesions, or instead cases where </w:t>
      </w:r>
      <w:r w:rsidR="00345B2D">
        <w:t>CFR is preserved and QFR</w:t>
      </w:r>
      <w:r w:rsidR="00E53451">
        <w:t xml:space="preserve"> identif</w:t>
      </w:r>
      <w:r w:rsidR="00345B2D">
        <w:t>ies</w:t>
      </w:r>
      <w:r w:rsidR="00E53451">
        <w:t xml:space="preserve"> patients who are at lower risk. </w:t>
      </w:r>
      <w:r w:rsidR="00345B2D">
        <w:fldChar w:fldCharType="begin" w:fldLock="1"/>
      </w:r>
      <w:r w:rsidR="00FD258E">
        <w:instrText>ADDIN CSL_CITATION { "citationItems" : [ { "id" : "ITEM-1", "itemData" : { "DOI" : "10.1161/CIRCINTERVENTIONS.113.001049", "ISSN" : "1941-7640", "PMID" : "24782198", "abstract" : "BACKGROUND Discordance between fractional flow reserve (FFR) and coronary flow velocity reserve (CFVR) may reflect important coronary pathophysiology but usually remains unnoticed in clinical practice. We evaluated the physiological basis and clinical outcome associated with FFR/CFVR discordance. METHODS AND RESULTS We studied 157 intermediate coronary stenoses in 157 patients, evaluated by FFR and CFVR between April 1997 and September 2006 in which revascularization was deferred. Long-term follow-up was performed to document the occurrence of major adverse cardiac events: cardiac death, myocardial infarction, or target vessel revascularization. Discordance between FFR and CFVR occurred in 31% and 37% of stenoses at the 0.75, and 0.80 FFR cut-off value, respectively, and was characterized by microvascular resistances during basal and hyperemic conditions. Follow-up duration amounted to 11.7 years (Q1-Q3, 9.9-13.3 years). Compared with concordant normal results of FFR and CFVR, a normal FFR with an abnormal CFVR was associated with significantly increased major adverse cardiac events rate throughout 10 years of follow-up, regardless of the FFR cut-off applied. In contrast, an abnormal FFR with a normal CFVR was associated with equivalent clinical outcome compared with concordant normal results: \u2264 3 years when FFR &lt;0.75 was depicted abnormal and throughout 10 years of follow-up when FFR \u2264 0.80 was depicted abnormal. CONCLUSIONS Discordance of CFVR with FFR originates from the involvement of the coronary microvasculature. Importantly, the risk for major adverse cardiac events associated with FFR/CFVR discordance is mainly attributable to stenoses where CFVR is abnormal. This emphasizes the requirement of intracoronary flow assessment in addition to coronary pressure for optimal risk stratification in stable coronary artery disease.", "author" : [ { "dropping-particle" : "", "family" : "Hoef", "given" : "T. P.", "non-dropping-particle" : "van de", "parse-names" : false, "suffix" : "" }, { "dropping-particle" : "", "family" : "Lavieren", "given" : "M. A.", "non-dropping-particle" : "van", "parse-names" : false, "suffix" : "" }, { "dropping-particle" : "", "family" : "Damman", "given" : "P.", "non-dropping-particle" : "", "parse-names" : false, "suffix" : "" }, { "dropping-particle" : "", "family" : "Delewi", "given" : "R.", "non-dropping-particle" : "", "parse-names" : false, "suffix" : "" }, { "dropping-particle" : "", "family" : "Piek", "given" : "M. A.", "non-dropping-particle" : "", "parse-names" : false, "suffix" : "" }, { "dropping-particle" : "", "family" : "Chamuleau", "given" : "S. A. J.", "non-dropping-particle" : "", "parse-names" : false, "suffix" : "" }, { "dropping-particle" : "", "family" : "Voskuil", "given" : "M.", "non-dropping-particle" : "", "parse-names" : false, "suffix" : "" }, { "dropping-particle" : "", "family" : "Henriques", "given" : "J. P. S.", "non-dropping-particle" : "", "parse-names" : false, "suffix" : "" }, { "dropping-particle" : "", "family" : "Koch", "given" : "K. T.", "non-dropping-particle" : "", "parse-names" : false, "suffix" : "" }, { "dropping-particle" : "", "family" : "Winter", "given" : "R. J.", "non-dropping-particle" : "de", "parse-names" : false, "suffix" : "" }, { "dropping-particle" : "", "family" : "Spaan", "given" : "J. A. E.", "non-dropping-particle" : "", "parse-names" : false, "suffix" : "" }, { "dropping-particle" : "", "family" : "Siebes", "given" : "M.", "non-dropping-particle" : "", "parse-names" : false, "suffix" : "" }, { "dropping-particle" : "", "family" : "Tijssen", "given" : "J. G. P.", "non-dropping-particle" : "", "parse-names" : false, "suffix" : "" }, { "dropping-particle" : "", "family" : "Meuwissen", "given" : "M.", "non-dropping-particle" : "", "parse-names" : false, "suffix" : "" }, { "dropping-particle" : "", "family" : "Piek", "given" : "J. J.", "non-dropping-particle" : "", "parse-names" : false, "suffix" : "" } ], "container-title" : "Circulation: Cardiovascular Interventions", "id" : "ITEM-1", "issue" : "3", "issued" : { "date-parts" : [ [ "2014", "6", "1" ] ] }, "page" : "301-311", "title" : "Physiological Basis and Long-Term Clinical Outcome of Discordance Between Fractional Flow Reserve and Coronary Flow Velocity Reserve in Coronary Stenoses of Intermediate Severity", "type" : "article-journal", "volume" : "7" }, "uris" : [ "http://www.mendeley.com/documents/?uuid=5c7ea0aa-e593-399e-83e9-58eb80c383e7" ] } ], "mendeley" : { "formattedCitation" : "(14)", "plainTextFormattedCitation" : "(14)", "previouslyFormattedCitation" : "(14)" }, "properties" : {  }, "schema" : "https://github.com/citation-style-language/schema/raw/master/csl-citation.json" }</w:instrText>
      </w:r>
      <w:r w:rsidR="00345B2D">
        <w:fldChar w:fldCharType="separate"/>
      </w:r>
      <w:r w:rsidR="00FD258E" w:rsidRPr="00FD258E">
        <w:rPr>
          <w:noProof/>
        </w:rPr>
        <w:t>(14)</w:t>
      </w:r>
      <w:r w:rsidR="00345B2D">
        <w:fldChar w:fldCharType="end"/>
      </w:r>
    </w:p>
    <w:p w14:paraId="53414EE0" w14:textId="6566DDF8" w:rsidR="00AD00B3" w:rsidRDefault="00CF44FD">
      <w:r>
        <w:t>We commend the authors for this study; any new measure should first be validated against the ‘gold standard’ by which patients are currently treated, and FFR</w:t>
      </w:r>
      <w:r w:rsidR="004F3214">
        <w:t xml:space="preserve">, </w:t>
      </w:r>
      <w:r>
        <w:t xml:space="preserve">and more recently </w:t>
      </w:r>
      <w:proofErr w:type="spellStart"/>
      <w:r>
        <w:t>iFR</w:t>
      </w:r>
      <w:proofErr w:type="spellEnd"/>
      <w:r w:rsidR="004F3214">
        <w:t>,</w:t>
      </w:r>
      <w:r>
        <w:t xml:space="preserve"> have been extensively validated.</w:t>
      </w:r>
      <w:r>
        <w:fldChar w:fldCharType="begin" w:fldLock="1"/>
      </w:r>
      <w:r>
        <w:instrText>ADDIN CSL_CITATION { "citationItems" : [ { "id" : "ITEM-1", "itemData" : { "DOI" : "10.1016/J.JACC.2017.07.770", "ISSN" : "0735-1097", "abstract" : "In this review, the authors reflect upon the role of coronary physiology in the modern management of coronary artery disease. They critically appraise the scientific background of the instantaneous wave-free ratio (iFR) and fractional flow\u00a0reserve (FFR), from early experimental studies to validation studies against indexes of ischemia, to clinical trials assessing outcome. At this important juncture for the field, the authors make predictions for the future of physiological stenosis assessment, outlining developments for both iFR and FFR in new clinical domains beyond the confines of stable angina. With a focus on the evolving future of iFR and FFR, the authors describe how physiological assessment with iFR may advance its application from simply justifying to guiding revascularization.", "author" : [ { "dropping-particle" : "", "family" : "G\u00f6tberg", "given" : "Matthias", "non-dropping-particle" : "", "parse-names" : false, "suffix" : "" }, { "dropping-particle" : "", "family" : "Cook", "given" : "Christopher M.", "non-dropping-particle" : "", "parse-names" : false, "suffix" : "" }, { "dropping-particle" : "", "family" : "Sen", "given" : "Sayan", "non-dropping-particle" : "", "parse-names" : false, "suffix" : "" }, { "dropping-particle" : "", "family" : "Nijjer", "given" : "Sukhjinder", "non-dropping-particle" : "", "parse-names" : false, "suffix" : "" }, { "dropping-particle" : "", "family" : "Escaned", "given" : "Javier", "non-dropping-particle" : "", "parse-names" : false, "suffix" : "" }, { "dropping-particle" : "", "family" : "Davies", "given" : "Justin E.", "non-dropping-particle" : "", "parse-names" : false, "suffix" : "" } ], "container-title" : "Journal of the American College of Cardiology", "id" : "ITEM-1", "issue" : "11", "issued" : { "date-parts" : [ [ "2017", "9", "12" ] ] }, "page" : "1379-1402", "publisher" : "Elsevier", "title" : "The Evolving Future of Instantaneous\u00a0Wave-Free Ratio and Fractional Flow\u00a0Reserve", "type" : "article-journal", "volume" : "70" }, "uris" : [ "http://www.mendeley.com/documents/?uuid=7801a433-a49a-365e-b853-ede02b080d70" ] } ], "mendeley" : { "formattedCitation" : "(3)", "plainTextFormattedCitation" : "(3)", "previouslyFormattedCitation" : "(3)" }, "properties" : {  }, "schema" : "https://github.com/citation-style-language/schema/raw/master/csl-citation.json" }</w:instrText>
      </w:r>
      <w:r>
        <w:fldChar w:fldCharType="separate"/>
      </w:r>
      <w:r w:rsidRPr="00CF44FD">
        <w:rPr>
          <w:noProof/>
        </w:rPr>
        <w:t>(3)</w:t>
      </w:r>
      <w:r>
        <w:fldChar w:fldCharType="end"/>
      </w:r>
      <w:r w:rsidR="00345B2D">
        <w:t xml:space="preserve"> </w:t>
      </w:r>
      <w:r>
        <w:t>However, the authors also acknowledge a limitation in having not stratified their results by CFR values</w:t>
      </w:r>
      <w:r w:rsidR="004F3214">
        <w:t>.</w:t>
      </w:r>
      <w:r>
        <w:t xml:space="preserve"> </w:t>
      </w:r>
      <w:r w:rsidR="004F3214">
        <w:t xml:space="preserve">Such an analysis might indeed show </w:t>
      </w:r>
      <w:r w:rsidR="004F3214">
        <w:rPr>
          <w:i/>
        </w:rPr>
        <w:t>superiority</w:t>
      </w:r>
      <w:r w:rsidR="004F3214">
        <w:t xml:space="preserve"> for QFR over FFR. Indeed, </w:t>
      </w:r>
      <w:r w:rsidR="004F3214">
        <w:lastRenderedPageBreak/>
        <w:t>i</w:t>
      </w:r>
      <w:r w:rsidR="00E375F3">
        <w:t>f QFR can accurately</w:t>
      </w:r>
      <w:r w:rsidR="004F3214">
        <w:t xml:space="preserve"> measure</w:t>
      </w:r>
      <w:r w:rsidR="00E375F3">
        <w:t xml:space="preserve"> flow, it will</w:t>
      </w:r>
      <w:r w:rsidR="006B788C">
        <w:t xml:space="preserve"> not merely be a </w:t>
      </w:r>
      <w:r w:rsidR="004F3214">
        <w:t xml:space="preserve">less-invasive </w:t>
      </w:r>
      <w:r w:rsidR="006B788C">
        <w:t xml:space="preserve">surrogate for FFR, but rather synergistic with it, providing us with </w:t>
      </w:r>
      <w:r w:rsidR="008E3380">
        <w:t xml:space="preserve">a fast, practical, safe and </w:t>
      </w:r>
      <w:r w:rsidR="006B788C">
        <w:t xml:space="preserve">reliable measure of </w:t>
      </w:r>
      <w:r w:rsidR="00E375F3">
        <w:t>CFR</w:t>
      </w:r>
      <w:r w:rsidR="006B788C">
        <w:t>.</w:t>
      </w:r>
    </w:p>
    <w:p w14:paraId="061068AF" w14:textId="3E8CAC5C" w:rsidR="00F40576" w:rsidRDefault="00F40576" w:rsidP="00527AE3">
      <w:pPr>
        <w:pStyle w:val="Heading2"/>
      </w:pPr>
      <w:r>
        <w:t>Disclosures</w:t>
      </w:r>
    </w:p>
    <w:p w14:paraId="35BD1466" w14:textId="4CB19695" w:rsidR="00F40576" w:rsidRPr="00F40576" w:rsidRDefault="00F40576" w:rsidP="00F40576">
      <w:proofErr w:type="spellStart"/>
      <w:r>
        <w:t>Dr.</w:t>
      </w:r>
      <w:proofErr w:type="spellEnd"/>
      <w:r>
        <w:t xml:space="preserve"> Howard is supported by The </w:t>
      </w:r>
      <w:proofErr w:type="spellStart"/>
      <w:r>
        <w:t>Wellcome</w:t>
      </w:r>
      <w:proofErr w:type="spellEnd"/>
      <w:r>
        <w:t xml:space="preserve"> Trust. </w:t>
      </w:r>
      <w:proofErr w:type="spellStart"/>
      <w:r>
        <w:t>Dr.</w:t>
      </w:r>
      <w:proofErr w:type="spellEnd"/>
      <w:r>
        <w:t xml:space="preserve"> Murthy owns stock in General Electric and receives grant support from Siemens Medical Imaging. </w:t>
      </w:r>
      <w:proofErr w:type="spellStart"/>
      <w:r>
        <w:t>Dr.</w:t>
      </w:r>
      <w:proofErr w:type="spellEnd"/>
      <w:r>
        <w:t xml:space="preserve"> Murthy is supported by </w:t>
      </w:r>
      <w:r w:rsidRPr="00F40576">
        <w:t>R01HL136685</w:t>
      </w:r>
      <w:r>
        <w:t xml:space="preserve"> from the National, Heart, Lung, and Blood Institute.</w:t>
      </w:r>
    </w:p>
    <w:p w14:paraId="7B9A0B0F" w14:textId="4688B83A" w:rsidR="00527AE3" w:rsidRDefault="00527AE3" w:rsidP="00527AE3">
      <w:pPr>
        <w:pStyle w:val="Heading2"/>
      </w:pPr>
      <w:r>
        <w:t>References</w:t>
      </w:r>
    </w:p>
    <w:p w14:paraId="61F3D069" w14:textId="2835CF36" w:rsidR="00FD258E" w:rsidRPr="00FD258E" w:rsidRDefault="006C4D46" w:rsidP="00FD258E">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FD258E" w:rsidRPr="00FD258E">
        <w:rPr>
          <w:rFonts w:ascii="Calibri" w:hAnsi="Calibri" w:cs="Calibri"/>
          <w:noProof/>
          <w:szCs w:val="24"/>
        </w:rPr>
        <w:t>1.</w:t>
      </w:r>
      <w:r w:rsidR="00FD258E" w:rsidRPr="00FD258E">
        <w:rPr>
          <w:rFonts w:ascii="Calibri" w:hAnsi="Calibri" w:cs="Calibri"/>
          <w:noProof/>
          <w:szCs w:val="24"/>
        </w:rPr>
        <w:tab/>
        <w:t>Authors/Task Force members., Windecker S., Kolh P., et al. 2014 ESC/EACTS Guidelines on myocardial revascularization. Eur Heart J 2014;35(37):2541–619. Doi: 10.1093/eurheartj/ehu278.</w:t>
      </w:r>
    </w:p>
    <w:p w14:paraId="618F39EA"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2.</w:t>
      </w:r>
      <w:r w:rsidRPr="00FD258E">
        <w:rPr>
          <w:rFonts w:ascii="Calibri" w:hAnsi="Calibri" w:cs="Calibri"/>
          <w:noProof/>
          <w:szCs w:val="24"/>
        </w:rPr>
        <w:tab/>
        <w:t>Fihn SD., Gardin JM., Abrams J., et al. 2012 ACCF/AHA/ACP/AATS/PCNA/SCAI/STS Guideline for the Diagnosis and Management of Patients With Stable Ischemic Heart Disease: A Report of the American College of Cardiology Foundation/American Heart Association Task Force on Practice Guidelines, and the American College of Physicians, American Association for Thoracic Surgery, Preventive Cardiovascular Nurses Association, Society for Cardiovascular Angiography and Interventions, and Society of Thoracic Surgeons. J Am Coll Cardiol 2012;60(24):e44–164. Doi: 10.1016/J.JACC.2012.07.013.</w:t>
      </w:r>
    </w:p>
    <w:p w14:paraId="4EADA3D1"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3.</w:t>
      </w:r>
      <w:r w:rsidRPr="00FD258E">
        <w:rPr>
          <w:rFonts w:ascii="Calibri" w:hAnsi="Calibri" w:cs="Calibri"/>
          <w:noProof/>
          <w:szCs w:val="24"/>
        </w:rPr>
        <w:tab/>
        <w:t>Götberg M., Cook CM., Sen S., Nijjer S., Escaned J., Davies JE. The Evolving Future of Instantaneous Wave-Free Ratio and Fractional Flow Reserve. J Am Coll Cardiol 2017;70(11):1379–402. Doi: 10.1016/J.JACC.2017.07.770.</w:t>
      </w:r>
    </w:p>
    <w:p w14:paraId="767272A6"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4.</w:t>
      </w:r>
      <w:r w:rsidRPr="00FD258E">
        <w:rPr>
          <w:rFonts w:ascii="Calibri" w:hAnsi="Calibri" w:cs="Calibri"/>
          <w:noProof/>
          <w:szCs w:val="24"/>
        </w:rPr>
        <w:tab/>
        <w:t>Dattilo PB., Prasad A., Honeycutt E., Wang TY., Messenger JC. Contemporary Patterns of Fractional Flow Reserve and Intravascular Ultrasound Use Among Patients Undergoing Percutaneous Coronary Intervention in the United States: Insights From the National Cardiovascular Data Registry. J Am Coll Cardiol 2012;60(22):2337–9. Doi: 10.1016/J.JACC.2012.08.990.</w:t>
      </w:r>
    </w:p>
    <w:p w14:paraId="1FA52F76"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5.</w:t>
      </w:r>
      <w:r w:rsidRPr="00FD258E">
        <w:rPr>
          <w:rFonts w:ascii="Calibri" w:hAnsi="Calibri" w:cs="Calibri"/>
          <w:noProof/>
          <w:szCs w:val="24"/>
        </w:rPr>
        <w:tab/>
        <w:t>Mejía-Rentería H. Influence of microcirculatory dysfunction on angiography based functional assessment of coronary stenoses. JACC Cardiovasc Interv 2018.</w:t>
      </w:r>
    </w:p>
    <w:p w14:paraId="1F1A7DBD"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6.</w:t>
      </w:r>
      <w:r w:rsidRPr="00FD258E">
        <w:rPr>
          <w:rFonts w:ascii="Calibri" w:hAnsi="Calibri" w:cs="Calibri"/>
          <w:noProof/>
          <w:szCs w:val="24"/>
        </w:rPr>
        <w:tab/>
        <w:t>Tu S., Westra J., Yang J., et al. Diagnostic Accuracy of Fast Computational Approaches to Derive Fractional Flow Reserve From Diagnostic Coronary Angiography: The International Multicenter FAVOR Pilot Study. JACC Cardiovasc Interv 2016;9(19):2024–35. Doi: 10.1016/J.JCIN.2016.07.013.</w:t>
      </w:r>
    </w:p>
    <w:p w14:paraId="56567428"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7.</w:t>
      </w:r>
      <w:r w:rsidRPr="00FD258E">
        <w:rPr>
          <w:rFonts w:ascii="Calibri" w:hAnsi="Calibri" w:cs="Calibri"/>
          <w:noProof/>
          <w:szCs w:val="24"/>
        </w:rPr>
        <w:tab/>
        <w:t>Xu B., Tu S., Qiao S., et al. Diagnostic Accuracy of Angiography-Based Quantitative Flow Ratio Measurements for Online Assessment of Coronary Stenosis. J Am Coll Cardiol 2017;70(25):3077–87. Doi: 10.1016/j.jacc.2017.10.035.</w:t>
      </w:r>
    </w:p>
    <w:p w14:paraId="4DB2FAB9"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8.</w:t>
      </w:r>
      <w:r w:rsidRPr="00FD258E">
        <w:rPr>
          <w:rFonts w:ascii="Calibri" w:hAnsi="Calibri" w:cs="Calibri"/>
          <w:noProof/>
          <w:szCs w:val="24"/>
        </w:rPr>
        <w:tab/>
        <w:t>Serruys PW., Di Mario C., Meneveau N., et al. Intracoronary pressure and flow velocity with sensor-tip guidewires: A new methodologic approach for assessment of coronary hemodynamics before and after coronary interventions. Am J Cardiol 1993;71(14):D41–53. Doi: 10.1016/0002-9149(93)90133-W.</w:t>
      </w:r>
    </w:p>
    <w:p w14:paraId="66495D07"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9.</w:t>
      </w:r>
      <w:r w:rsidRPr="00FD258E">
        <w:rPr>
          <w:rFonts w:ascii="Calibri" w:hAnsi="Calibri" w:cs="Calibri"/>
          <w:noProof/>
          <w:szCs w:val="24"/>
        </w:rPr>
        <w:tab/>
        <w:t>Chamuleau SAJ., Tio RA., de Cock CC., et al. Prognostic value of coronary blood flow velocity and myocardial perfusion in intermediate coronary narrowings and multivessel disease. J Am Coll Cardiol 2002;39(5):852–8.</w:t>
      </w:r>
    </w:p>
    <w:p w14:paraId="2782BCDF"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10.</w:t>
      </w:r>
      <w:r w:rsidRPr="00FD258E">
        <w:rPr>
          <w:rFonts w:ascii="Calibri" w:hAnsi="Calibri" w:cs="Calibri"/>
          <w:noProof/>
          <w:szCs w:val="24"/>
        </w:rPr>
        <w:tab/>
        <w:t xml:space="preserve">Pijls NH., van Son JA., Kirkeeide RL., De Bruyne B., Gould KL. Experimental basis of determining maximum coronary, myocardial, and collateral blood flow by pressure measurements for assessing functional stenosis severity before and after percutaneous </w:t>
      </w:r>
      <w:r w:rsidRPr="00FD258E">
        <w:rPr>
          <w:rFonts w:ascii="Calibri" w:hAnsi="Calibri" w:cs="Calibri"/>
          <w:noProof/>
          <w:szCs w:val="24"/>
        </w:rPr>
        <w:lastRenderedPageBreak/>
        <w:t>transluminal coronary angioplasty. Circulation 1993;87(4):1354–67. Doi: 10.1161/01.CIR.87.4.1354.</w:t>
      </w:r>
    </w:p>
    <w:p w14:paraId="5D947CFE"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11.</w:t>
      </w:r>
      <w:r w:rsidRPr="00FD258E">
        <w:rPr>
          <w:rFonts w:ascii="Calibri" w:hAnsi="Calibri" w:cs="Calibri"/>
          <w:noProof/>
          <w:szCs w:val="24"/>
        </w:rPr>
        <w:tab/>
        <w:t>Pijls NHJ., van Schaardenburgh P., Manoharan G., et al. Percutaneous Coronary Intervention of Functionally Nonsignificant Stenosis. J Am Coll Cardiol 2007;49(21):2105–11. Doi: 10.1016/j.jacc.2007.01.087.</w:t>
      </w:r>
    </w:p>
    <w:p w14:paraId="248C0F24"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12.</w:t>
      </w:r>
      <w:r w:rsidRPr="00FD258E">
        <w:rPr>
          <w:rFonts w:ascii="Calibri" w:hAnsi="Calibri" w:cs="Calibri"/>
          <w:noProof/>
          <w:szCs w:val="24"/>
        </w:rPr>
        <w:tab/>
        <w:t>Tonino PAL., De Bruyne B., Pijls NHJ., et al. Fractional Flow Reserve versus Angiography for Guiding Percutaneous Coronary Intervention. N Engl J Med 2009;360(3):213–24. Doi: 10.1056/NEJMoa0807611.</w:t>
      </w:r>
    </w:p>
    <w:p w14:paraId="2C2D9D04"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szCs w:val="24"/>
        </w:rPr>
      </w:pPr>
      <w:r w:rsidRPr="00FD258E">
        <w:rPr>
          <w:rFonts w:ascii="Calibri" w:hAnsi="Calibri" w:cs="Calibri"/>
          <w:noProof/>
          <w:szCs w:val="24"/>
        </w:rPr>
        <w:t>13.</w:t>
      </w:r>
      <w:r w:rsidRPr="00FD258E">
        <w:rPr>
          <w:rFonts w:ascii="Calibri" w:hAnsi="Calibri" w:cs="Calibri"/>
          <w:noProof/>
          <w:szCs w:val="24"/>
        </w:rPr>
        <w:tab/>
        <w:t>De Bruyne B., Pijls NHJ., Kalesan B., et al. Fractional Flow Reserve–Guided PCI versus Medical Therapy in Stable Coronary Disease. N Engl J Med 2012;367(11):991–1001. Doi: 10.1056/NEJMoa1205361.</w:t>
      </w:r>
    </w:p>
    <w:p w14:paraId="6CED5A1F" w14:textId="77777777" w:rsidR="00FD258E" w:rsidRPr="00FD258E" w:rsidRDefault="00FD258E" w:rsidP="00FD258E">
      <w:pPr>
        <w:widowControl w:val="0"/>
        <w:autoSpaceDE w:val="0"/>
        <w:autoSpaceDN w:val="0"/>
        <w:adjustRightInd w:val="0"/>
        <w:spacing w:line="240" w:lineRule="auto"/>
        <w:ind w:left="640" w:hanging="640"/>
        <w:rPr>
          <w:rFonts w:ascii="Calibri" w:hAnsi="Calibri" w:cs="Calibri"/>
          <w:noProof/>
        </w:rPr>
      </w:pPr>
      <w:r w:rsidRPr="00FD258E">
        <w:rPr>
          <w:rFonts w:ascii="Calibri" w:hAnsi="Calibri" w:cs="Calibri"/>
          <w:noProof/>
          <w:szCs w:val="24"/>
        </w:rPr>
        <w:t>14.</w:t>
      </w:r>
      <w:r w:rsidRPr="00FD258E">
        <w:rPr>
          <w:rFonts w:ascii="Calibri" w:hAnsi="Calibri" w:cs="Calibri"/>
          <w:noProof/>
          <w:szCs w:val="24"/>
        </w:rPr>
        <w:tab/>
        <w:t>van de Hoef TP., van Lavieren MA., Damman P., et al. Physiological Basis and Long-Term Clinical Outcome of Discordance Between Fractional Flow Reserve and Coronary Flow Velocity Reserve in Coronary Stenoses of Intermediate Severity. Circ Cardiovasc Interv 2014;7(3):301–11. Doi: 10.1161/CIRCINTERVENTIONS.113.001049.</w:t>
      </w:r>
    </w:p>
    <w:p w14:paraId="258C02EB" w14:textId="191FD26B" w:rsidR="006C4D46" w:rsidRPr="00112837" w:rsidRDefault="006C4D46" w:rsidP="008A1C1D">
      <w:pPr>
        <w:widowControl w:val="0"/>
        <w:autoSpaceDE w:val="0"/>
        <w:autoSpaceDN w:val="0"/>
        <w:adjustRightInd w:val="0"/>
        <w:spacing w:line="240" w:lineRule="auto"/>
        <w:ind w:left="640" w:hanging="640"/>
      </w:pPr>
      <w:r>
        <w:fldChar w:fldCharType="end"/>
      </w:r>
    </w:p>
    <w:sectPr w:rsidR="006C4D46" w:rsidRPr="00112837" w:rsidSect="00824EBA">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F4371" w14:textId="77777777" w:rsidR="001A2D0B" w:rsidRDefault="001A2D0B" w:rsidP="005D2AB7">
      <w:pPr>
        <w:spacing w:after="0" w:line="240" w:lineRule="auto"/>
      </w:pPr>
      <w:r>
        <w:separator/>
      </w:r>
    </w:p>
  </w:endnote>
  <w:endnote w:type="continuationSeparator" w:id="0">
    <w:p w14:paraId="20E5CE81" w14:textId="77777777" w:rsidR="001A2D0B" w:rsidRDefault="001A2D0B" w:rsidP="005D2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2046933"/>
      <w:docPartObj>
        <w:docPartGallery w:val="Page Numbers (Bottom of Page)"/>
        <w:docPartUnique/>
      </w:docPartObj>
    </w:sdtPr>
    <w:sdtEndPr>
      <w:rPr>
        <w:noProof/>
      </w:rPr>
    </w:sdtEndPr>
    <w:sdtContent>
      <w:p w14:paraId="1F6712FE" w14:textId="1D3735F8" w:rsidR="00824EBA" w:rsidRDefault="00824EBA">
        <w:pPr>
          <w:pStyle w:val="Footer"/>
          <w:jc w:val="center"/>
        </w:pPr>
        <w:r>
          <w:fldChar w:fldCharType="begin"/>
        </w:r>
        <w:r>
          <w:instrText xml:space="preserve"> PAGE   \* MERGEFORMAT </w:instrText>
        </w:r>
        <w:r>
          <w:fldChar w:fldCharType="separate"/>
        </w:r>
        <w:r w:rsidR="00FC6AED">
          <w:rPr>
            <w:noProof/>
          </w:rPr>
          <w:t>5</w:t>
        </w:r>
        <w:r>
          <w:rPr>
            <w:noProof/>
          </w:rPr>
          <w:fldChar w:fldCharType="end"/>
        </w:r>
      </w:p>
    </w:sdtContent>
  </w:sdt>
  <w:p w14:paraId="7830FD6A" w14:textId="77777777" w:rsidR="00824EBA" w:rsidRDefault="00824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15808" w14:textId="77777777" w:rsidR="001A2D0B" w:rsidRDefault="001A2D0B" w:rsidP="005D2AB7">
      <w:pPr>
        <w:spacing w:after="0" w:line="240" w:lineRule="auto"/>
      </w:pPr>
      <w:r>
        <w:separator/>
      </w:r>
    </w:p>
  </w:footnote>
  <w:footnote w:type="continuationSeparator" w:id="0">
    <w:p w14:paraId="253B68A0" w14:textId="77777777" w:rsidR="001A2D0B" w:rsidRDefault="001A2D0B" w:rsidP="005D2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8E656A"/>
    <w:multiLevelType w:val="hybridMultilevel"/>
    <w:tmpl w:val="D3F4CED4"/>
    <w:lvl w:ilvl="0" w:tplc="11ECE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837"/>
    <w:rsid w:val="00003943"/>
    <w:rsid w:val="00012C6C"/>
    <w:rsid w:val="00024DBE"/>
    <w:rsid w:val="00044B53"/>
    <w:rsid w:val="00051DBC"/>
    <w:rsid w:val="0006608C"/>
    <w:rsid w:val="00083C71"/>
    <w:rsid w:val="0008521C"/>
    <w:rsid w:val="0008695A"/>
    <w:rsid w:val="00090DD6"/>
    <w:rsid w:val="000C4798"/>
    <w:rsid w:val="000D4656"/>
    <w:rsid w:val="000E53FD"/>
    <w:rsid w:val="001067C1"/>
    <w:rsid w:val="00112837"/>
    <w:rsid w:val="00146DCF"/>
    <w:rsid w:val="00147545"/>
    <w:rsid w:val="001877E0"/>
    <w:rsid w:val="00193AEE"/>
    <w:rsid w:val="001A2D0B"/>
    <w:rsid w:val="001C6F08"/>
    <w:rsid w:val="001C7017"/>
    <w:rsid w:val="001D77A0"/>
    <w:rsid w:val="00202F79"/>
    <w:rsid w:val="00211CD3"/>
    <w:rsid w:val="00212835"/>
    <w:rsid w:val="0021766D"/>
    <w:rsid w:val="00231C45"/>
    <w:rsid w:val="002342A0"/>
    <w:rsid w:val="00246A3A"/>
    <w:rsid w:val="00293FBC"/>
    <w:rsid w:val="002973FB"/>
    <w:rsid w:val="002E0A6C"/>
    <w:rsid w:val="00327C7D"/>
    <w:rsid w:val="00345B2D"/>
    <w:rsid w:val="003520D7"/>
    <w:rsid w:val="00361840"/>
    <w:rsid w:val="003C2E73"/>
    <w:rsid w:val="003D314C"/>
    <w:rsid w:val="003E38C9"/>
    <w:rsid w:val="004057B3"/>
    <w:rsid w:val="004109F1"/>
    <w:rsid w:val="0041696D"/>
    <w:rsid w:val="004320E9"/>
    <w:rsid w:val="00435F09"/>
    <w:rsid w:val="00436A2D"/>
    <w:rsid w:val="004608B8"/>
    <w:rsid w:val="00474D4E"/>
    <w:rsid w:val="00494C54"/>
    <w:rsid w:val="004A7C69"/>
    <w:rsid w:val="004B396A"/>
    <w:rsid w:val="004D6C7D"/>
    <w:rsid w:val="004F3214"/>
    <w:rsid w:val="005119ED"/>
    <w:rsid w:val="00521C76"/>
    <w:rsid w:val="00526223"/>
    <w:rsid w:val="00527AE3"/>
    <w:rsid w:val="005315BD"/>
    <w:rsid w:val="00587B3A"/>
    <w:rsid w:val="005D2AB7"/>
    <w:rsid w:val="005F53BD"/>
    <w:rsid w:val="005F5D3E"/>
    <w:rsid w:val="00605796"/>
    <w:rsid w:val="0061558D"/>
    <w:rsid w:val="00633FD2"/>
    <w:rsid w:val="00634FCC"/>
    <w:rsid w:val="006377DF"/>
    <w:rsid w:val="006701C6"/>
    <w:rsid w:val="006A414E"/>
    <w:rsid w:val="006B788C"/>
    <w:rsid w:val="006C4D46"/>
    <w:rsid w:val="006D3664"/>
    <w:rsid w:val="006F0F44"/>
    <w:rsid w:val="00710C54"/>
    <w:rsid w:val="00720594"/>
    <w:rsid w:val="00770815"/>
    <w:rsid w:val="007833CC"/>
    <w:rsid w:val="00783926"/>
    <w:rsid w:val="00785338"/>
    <w:rsid w:val="007D21B4"/>
    <w:rsid w:val="00804EDE"/>
    <w:rsid w:val="008223D0"/>
    <w:rsid w:val="00824EBA"/>
    <w:rsid w:val="00864201"/>
    <w:rsid w:val="00894663"/>
    <w:rsid w:val="008A1C1D"/>
    <w:rsid w:val="008B45E0"/>
    <w:rsid w:val="008E3380"/>
    <w:rsid w:val="008E7150"/>
    <w:rsid w:val="008F3938"/>
    <w:rsid w:val="00930CA0"/>
    <w:rsid w:val="009416AB"/>
    <w:rsid w:val="00950F0E"/>
    <w:rsid w:val="009B10BF"/>
    <w:rsid w:val="009C1939"/>
    <w:rsid w:val="009C7E5E"/>
    <w:rsid w:val="009E1183"/>
    <w:rsid w:val="009F3E5B"/>
    <w:rsid w:val="00A04057"/>
    <w:rsid w:val="00A07B4D"/>
    <w:rsid w:val="00A317C4"/>
    <w:rsid w:val="00A57452"/>
    <w:rsid w:val="00A71BA1"/>
    <w:rsid w:val="00A90A4F"/>
    <w:rsid w:val="00A91270"/>
    <w:rsid w:val="00A9408B"/>
    <w:rsid w:val="00A946ED"/>
    <w:rsid w:val="00AA1120"/>
    <w:rsid w:val="00AD00B3"/>
    <w:rsid w:val="00B17B44"/>
    <w:rsid w:val="00BC4818"/>
    <w:rsid w:val="00BE5EB8"/>
    <w:rsid w:val="00BE74CA"/>
    <w:rsid w:val="00BF6252"/>
    <w:rsid w:val="00BF7AA5"/>
    <w:rsid w:val="00C25A19"/>
    <w:rsid w:val="00C90A80"/>
    <w:rsid w:val="00CA7469"/>
    <w:rsid w:val="00CF44FD"/>
    <w:rsid w:val="00CF739C"/>
    <w:rsid w:val="00D52B63"/>
    <w:rsid w:val="00D86FB9"/>
    <w:rsid w:val="00DC7224"/>
    <w:rsid w:val="00E1512A"/>
    <w:rsid w:val="00E375F3"/>
    <w:rsid w:val="00E53451"/>
    <w:rsid w:val="00E567D1"/>
    <w:rsid w:val="00EC2E1E"/>
    <w:rsid w:val="00ED7D43"/>
    <w:rsid w:val="00F04AC7"/>
    <w:rsid w:val="00F40576"/>
    <w:rsid w:val="00F81466"/>
    <w:rsid w:val="00F83315"/>
    <w:rsid w:val="00FB17E2"/>
    <w:rsid w:val="00FC6AED"/>
    <w:rsid w:val="00FC7693"/>
    <w:rsid w:val="00FD2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43859"/>
  <w15:chartTrackingRefBased/>
  <w15:docId w15:val="{73C177B7-B0D5-45CE-9EE1-A8B5C524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A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33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67D1"/>
    <w:rPr>
      <w:color w:val="0563C1" w:themeColor="hyperlink"/>
      <w:u w:val="single"/>
    </w:rPr>
  </w:style>
  <w:style w:type="character" w:customStyle="1" w:styleId="UnresolvedMention1">
    <w:name w:val="Unresolved Mention1"/>
    <w:basedOn w:val="DefaultParagraphFont"/>
    <w:uiPriority w:val="99"/>
    <w:semiHidden/>
    <w:unhideWhenUsed/>
    <w:rsid w:val="00E567D1"/>
    <w:rPr>
      <w:color w:val="808080"/>
      <w:shd w:val="clear" w:color="auto" w:fill="E6E6E6"/>
    </w:rPr>
  </w:style>
  <w:style w:type="character" w:styleId="FollowedHyperlink">
    <w:name w:val="FollowedHyperlink"/>
    <w:basedOn w:val="DefaultParagraphFont"/>
    <w:uiPriority w:val="99"/>
    <w:semiHidden/>
    <w:unhideWhenUsed/>
    <w:rsid w:val="00A04057"/>
    <w:rPr>
      <w:color w:val="954F72" w:themeColor="followedHyperlink"/>
      <w:u w:val="single"/>
    </w:rPr>
  </w:style>
  <w:style w:type="character" w:styleId="CommentReference">
    <w:name w:val="annotation reference"/>
    <w:basedOn w:val="DefaultParagraphFont"/>
    <w:uiPriority w:val="99"/>
    <w:semiHidden/>
    <w:unhideWhenUsed/>
    <w:rsid w:val="00FC7693"/>
    <w:rPr>
      <w:sz w:val="18"/>
      <w:szCs w:val="18"/>
    </w:rPr>
  </w:style>
  <w:style w:type="paragraph" w:styleId="CommentText">
    <w:name w:val="annotation text"/>
    <w:basedOn w:val="Normal"/>
    <w:link w:val="CommentTextChar"/>
    <w:uiPriority w:val="99"/>
    <w:semiHidden/>
    <w:unhideWhenUsed/>
    <w:rsid w:val="00FC7693"/>
    <w:pPr>
      <w:spacing w:line="240" w:lineRule="auto"/>
    </w:pPr>
    <w:rPr>
      <w:sz w:val="24"/>
      <w:szCs w:val="24"/>
    </w:rPr>
  </w:style>
  <w:style w:type="character" w:customStyle="1" w:styleId="CommentTextChar">
    <w:name w:val="Comment Text Char"/>
    <w:basedOn w:val="DefaultParagraphFont"/>
    <w:link w:val="CommentText"/>
    <w:uiPriority w:val="99"/>
    <w:semiHidden/>
    <w:rsid w:val="00FC7693"/>
    <w:rPr>
      <w:sz w:val="24"/>
      <w:szCs w:val="24"/>
    </w:rPr>
  </w:style>
  <w:style w:type="paragraph" w:styleId="CommentSubject">
    <w:name w:val="annotation subject"/>
    <w:basedOn w:val="CommentText"/>
    <w:next w:val="CommentText"/>
    <w:link w:val="CommentSubjectChar"/>
    <w:uiPriority w:val="99"/>
    <w:semiHidden/>
    <w:unhideWhenUsed/>
    <w:rsid w:val="00FC7693"/>
    <w:rPr>
      <w:b/>
      <w:bCs/>
      <w:sz w:val="20"/>
      <w:szCs w:val="20"/>
    </w:rPr>
  </w:style>
  <w:style w:type="character" w:customStyle="1" w:styleId="CommentSubjectChar">
    <w:name w:val="Comment Subject Char"/>
    <w:basedOn w:val="CommentTextChar"/>
    <w:link w:val="CommentSubject"/>
    <w:uiPriority w:val="99"/>
    <w:semiHidden/>
    <w:rsid w:val="00FC7693"/>
    <w:rPr>
      <w:b/>
      <w:bCs/>
      <w:sz w:val="20"/>
      <w:szCs w:val="20"/>
    </w:rPr>
  </w:style>
  <w:style w:type="paragraph" w:styleId="BalloonText">
    <w:name w:val="Balloon Text"/>
    <w:basedOn w:val="Normal"/>
    <w:link w:val="BalloonTextChar"/>
    <w:uiPriority w:val="99"/>
    <w:semiHidden/>
    <w:unhideWhenUsed/>
    <w:rsid w:val="00FC769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7693"/>
    <w:rPr>
      <w:rFonts w:ascii="Times New Roman" w:hAnsi="Times New Roman" w:cs="Times New Roman"/>
      <w:sz w:val="18"/>
      <w:szCs w:val="18"/>
    </w:rPr>
  </w:style>
  <w:style w:type="character" w:customStyle="1" w:styleId="Heading2Char">
    <w:name w:val="Heading 2 Char"/>
    <w:basedOn w:val="DefaultParagraphFont"/>
    <w:link w:val="Heading2"/>
    <w:uiPriority w:val="9"/>
    <w:rsid w:val="007833C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D2A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AB7"/>
  </w:style>
  <w:style w:type="paragraph" w:styleId="Footer">
    <w:name w:val="footer"/>
    <w:basedOn w:val="Normal"/>
    <w:link w:val="FooterChar"/>
    <w:uiPriority w:val="99"/>
    <w:unhideWhenUsed/>
    <w:rsid w:val="005D2A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AB7"/>
  </w:style>
  <w:style w:type="character" w:customStyle="1" w:styleId="Heading1Char">
    <w:name w:val="Heading 1 Char"/>
    <w:basedOn w:val="DefaultParagraphFont"/>
    <w:link w:val="Heading1"/>
    <w:uiPriority w:val="9"/>
    <w:rsid w:val="005D2AB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405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12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murthy@med.umich.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1F-865A-4112-9EE6-664B686D4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12760</Words>
  <Characters>72732</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James</dc:creator>
  <cp:keywords/>
  <dc:description/>
  <cp:lastModifiedBy>James</cp:lastModifiedBy>
  <cp:revision>3</cp:revision>
  <dcterms:created xsi:type="dcterms:W3CDTF">2018-02-26T22:12:00Z</dcterms:created>
  <dcterms:modified xsi:type="dcterms:W3CDTF">2018-02-27T11:57:00Z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http://www.zotero.org/styles/jacc-cardiovascular-imaging</vt:lpwstr>
  </property>
  <property fmtid="{D5CDD505-2E9C-101B-9397-08002B2CF9AE}" pid="15" name="Mendeley Recent Style Name 6_1">
    <vt:lpwstr>JACC: Cardiovascular Imaging</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fe74a3a7-1c56-3b88-9b24-caaf7b1599b9</vt:lpwstr>
  </property>
  <property fmtid="{D5CDD505-2E9C-101B-9397-08002B2CF9AE}" pid="24" name="Mendeley Citation Style_1">
    <vt:lpwstr>http://www.zotero.org/styles/jacc-cardiovascular-imaging</vt:lpwstr>
  </property>
</Properties>
</file>