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218E74" w14:textId="5CDAB60A" w:rsidR="00D175EB" w:rsidRPr="00F11608" w:rsidRDefault="008548CC" w:rsidP="00F11608">
      <w:pPr>
        <w:pStyle w:val="Title"/>
        <w:jc w:val="center"/>
      </w:pPr>
      <w:bookmarkStart w:id="0" w:name="_GoBack"/>
      <w:bookmarkEnd w:id="0"/>
      <w:r w:rsidRPr="00F11608">
        <w:t>The United Kingdom Primary Immun</w:t>
      </w:r>
      <w:r w:rsidR="005A3CD1" w:rsidRPr="00F11608">
        <w:t>e Deficiency (UPKID) Registry</w:t>
      </w:r>
      <w:r w:rsidRPr="00F11608">
        <w:t xml:space="preserve"> 2012</w:t>
      </w:r>
      <w:r w:rsidR="00477F00" w:rsidRPr="00F11608">
        <w:t xml:space="preserve"> to </w:t>
      </w:r>
      <w:r w:rsidRPr="00F11608">
        <w:t>2017</w:t>
      </w:r>
    </w:p>
    <w:p w14:paraId="6BEFE731" w14:textId="77777777" w:rsidR="002109B7" w:rsidRPr="00F11608" w:rsidRDefault="002109B7" w:rsidP="000D71E2">
      <w:pPr>
        <w:jc w:val="center"/>
      </w:pPr>
    </w:p>
    <w:p w14:paraId="59347A43" w14:textId="2C66DE38" w:rsidR="000D71E2" w:rsidRPr="00F11608" w:rsidRDefault="000D71E2" w:rsidP="000D71E2">
      <w:pPr>
        <w:jc w:val="center"/>
      </w:pPr>
      <w:r w:rsidRPr="00F11608">
        <w:t>Authors</w:t>
      </w:r>
    </w:p>
    <w:p w14:paraId="4AD74662" w14:textId="6CAFFA52" w:rsidR="00204D47" w:rsidRPr="00F11608" w:rsidRDefault="00A46DAA" w:rsidP="00B37F34">
      <w:pPr>
        <w:pStyle w:val="Standard1"/>
        <w:spacing w:line="480" w:lineRule="auto"/>
        <w:rPr>
          <w:sz w:val="22"/>
          <w:szCs w:val="22"/>
          <w:vertAlign w:val="superscript"/>
        </w:rPr>
      </w:pPr>
      <w:r w:rsidRPr="00F11608">
        <w:rPr>
          <w:sz w:val="22"/>
          <w:szCs w:val="22"/>
        </w:rPr>
        <w:t>Ben Shillitoe</w:t>
      </w:r>
      <w:r w:rsidRPr="00F11608">
        <w:rPr>
          <w:sz w:val="22"/>
          <w:szCs w:val="22"/>
          <w:vertAlign w:val="superscript"/>
        </w:rPr>
        <w:t>1</w:t>
      </w:r>
      <w:r w:rsidR="0060472F" w:rsidRPr="00F11608">
        <w:rPr>
          <w:sz w:val="22"/>
          <w:szCs w:val="22"/>
          <w:vertAlign w:val="superscript"/>
        </w:rPr>
        <w:t>,2</w:t>
      </w:r>
      <w:r w:rsidRPr="00F11608">
        <w:rPr>
          <w:sz w:val="22"/>
          <w:szCs w:val="22"/>
        </w:rPr>
        <w:t>, Catherine Bangs</w:t>
      </w:r>
      <w:r w:rsidR="0060472F" w:rsidRPr="00F11608">
        <w:rPr>
          <w:sz w:val="22"/>
          <w:szCs w:val="22"/>
          <w:vertAlign w:val="superscript"/>
        </w:rPr>
        <w:t>1,3</w:t>
      </w:r>
      <w:r w:rsidRPr="00F11608">
        <w:rPr>
          <w:sz w:val="22"/>
          <w:szCs w:val="22"/>
        </w:rPr>
        <w:t>, David Guzman</w:t>
      </w:r>
      <w:r w:rsidR="0060472F" w:rsidRPr="00F11608">
        <w:rPr>
          <w:sz w:val="22"/>
          <w:szCs w:val="22"/>
          <w:vertAlign w:val="superscript"/>
        </w:rPr>
        <w:t>1,4</w:t>
      </w:r>
      <w:r w:rsidR="0060472F" w:rsidRPr="00F11608">
        <w:rPr>
          <w:sz w:val="22"/>
          <w:szCs w:val="22"/>
        </w:rPr>
        <w:t xml:space="preserve">, </w:t>
      </w:r>
      <w:r w:rsidR="007819C7" w:rsidRPr="00F11608">
        <w:rPr>
          <w:sz w:val="22"/>
          <w:szCs w:val="22"/>
        </w:rPr>
        <w:t>Andrew</w:t>
      </w:r>
      <w:r w:rsidR="00D67E05" w:rsidRPr="00F11608">
        <w:rPr>
          <w:sz w:val="22"/>
          <w:szCs w:val="22"/>
        </w:rPr>
        <w:t xml:space="preserve"> R</w:t>
      </w:r>
      <w:r w:rsidR="007819C7" w:rsidRPr="00F11608">
        <w:rPr>
          <w:sz w:val="22"/>
          <w:szCs w:val="22"/>
        </w:rPr>
        <w:t xml:space="preserve"> Gennery</w:t>
      </w:r>
      <w:r w:rsidR="007819C7" w:rsidRPr="00F11608">
        <w:rPr>
          <w:sz w:val="22"/>
          <w:szCs w:val="22"/>
          <w:vertAlign w:val="superscript"/>
        </w:rPr>
        <w:t xml:space="preserve">1,2 </w:t>
      </w:r>
      <w:r w:rsidR="007819C7" w:rsidRPr="00F11608">
        <w:rPr>
          <w:sz w:val="22"/>
          <w:szCs w:val="22"/>
        </w:rPr>
        <w:t>,</w:t>
      </w:r>
      <w:r w:rsidR="007819C7" w:rsidRPr="00F11608">
        <w:rPr>
          <w:sz w:val="22"/>
          <w:szCs w:val="22"/>
          <w:vertAlign w:val="superscript"/>
        </w:rPr>
        <w:t xml:space="preserve"> </w:t>
      </w:r>
      <w:r w:rsidR="00990018" w:rsidRPr="00F11608">
        <w:rPr>
          <w:rFonts w:cs="Times New Roman"/>
          <w:sz w:val="22"/>
          <w:szCs w:val="22"/>
        </w:rPr>
        <w:t>Hilary J Longhurst</w:t>
      </w:r>
      <w:r w:rsidR="00177B25" w:rsidRPr="00F11608">
        <w:rPr>
          <w:rFonts w:cs="Times New Roman"/>
          <w:sz w:val="22"/>
          <w:szCs w:val="22"/>
          <w:vertAlign w:val="superscript"/>
        </w:rPr>
        <w:t>5</w:t>
      </w:r>
      <w:r w:rsidR="00990018" w:rsidRPr="00F11608">
        <w:rPr>
          <w:rFonts w:cs="Times New Roman"/>
          <w:sz w:val="22"/>
          <w:szCs w:val="22"/>
        </w:rPr>
        <w:t>, Mary Slatter</w:t>
      </w:r>
      <w:r w:rsidR="00312EDD" w:rsidRPr="00F11608">
        <w:rPr>
          <w:rFonts w:cs="Times New Roman"/>
          <w:sz w:val="22"/>
          <w:szCs w:val="22"/>
          <w:vertAlign w:val="superscript"/>
        </w:rPr>
        <w:t>2</w:t>
      </w:r>
      <w:r w:rsidR="00990018" w:rsidRPr="00F11608">
        <w:rPr>
          <w:rFonts w:cs="Times New Roman"/>
          <w:sz w:val="22"/>
          <w:szCs w:val="22"/>
        </w:rPr>
        <w:t xml:space="preserve">, </w:t>
      </w:r>
      <w:r w:rsidR="00990018" w:rsidRPr="00F11608">
        <w:rPr>
          <w:sz w:val="22"/>
          <w:szCs w:val="22"/>
        </w:rPr>
        <w:t>David M. Edgar</w:t>
      </w:r>
      <w:r w:rsidR="00312EDD" w:rsidRPr="00F11608">
        <w:rPr>
          <w:sz w:val="22"/>
          <w:szCs w:val="22"/>
          <w:vertAlign w:val="superscript"/>
        </w:rPr>
        <w:t>6</w:t>
      </w:r>
      <w:r w:rsidR="00990018" w:rsidRPr="00F11608">
        <w:rPr>
          <w:sz w:val="22"/>
          <w:szCs w:val="22"/>
        </w:rPr>
        <w:t xml:space="preserve">, </w:t>
      </w:r>
      <w:r w:rsidR="00990018" w:rsidRPr="00F11608">
        <w:rPr>
          <w:rFonts w:cs="Times New Roman"/>
          <w:sz w:val="22"/>
          <w:szCs w:val="22"/>
        </w:rPr>
        <w:t>Moira Thomas</w:t>
      </w:r>
      <w:r w:rsidR="00312EDD" w:rsidRPr="00F11608">
        <w:rPr>
          <w:rFonts w:cs="Times New Roman"/>
          <w:sz w:val="22"/>
          <w:szCs w:val="22"/>
          <w:vertAlign w:val="superscript"/>
        </w:rPr>
        <w:t>7</w:t>
      </w:r>
      <w:r w:rsidR="00990018" w:rsidRPr="00F11608">
        <w:rPr>
          <w:rFonts w:cs="Times New Roman"/>
          <w:sz w:val="22"/>
          <w:szCs w:val="22"/>
        </w:rPr>
        <w:t>, Austen Worth</w:t>
      </w:r>
      <w:r w:rsidR="00312EDD" w:rsidRPr="00F11608">
        <w:rPr>
          <w:rFonts w:cs="Times New Roman"/>
          <w:sz w:val="22"/>
          <w:szCs w:val="22"/>
          <w:vertAlign w:val="superscript"/>
        </w:rPr>
        <w:t>8</w:t>
      </w:r>
      <w:r w:rsidR="00990018" w:rsidRPr="00F11608">
        <w:rPr>
          <w:rFonts w:cs="Times New Roman"/>
          <w:sz w:val="22"/>
          <w:szCs w:val="22"/>
        </w:rPr>
        <w:t>, Anthony Williams</w:t>
      </w:r>
      <w:r w:rsidR="001369AE" w:rsidRPr="00F11608">
        <w:rPr>
          <w:rFonts w:cs="Times New Roman"/>
          <w:sz w:val="22"/>
          <w:szCs w:val="22"/>
          <w:vertAlign w:val="superscript"/>
        </w:rPr>
        <w:t>9</w:t>
      </w:r>
      <w:r w:rsidR="00990018" w:rsidRPr="00F11608">
        <w:rPr>
          <w:rFonts w:cs="Times New Roman"/>
          <w:sz w:val="22"/>
          <w:szCs w:val="22"/>
        </w:rPr>
        <w:t>,</w:t>
      </w:r>
      <w:r w:rsidR="00FC3769" w:rsidRPr="00F11608">
        <w:rPr>
          <w:rFonts w:cs="Times New Roman"/>
          <w:sz w:val="22"/>
          <w:szCs w:val="22"/>
        </w:rPr>
        <w:t xml:space="preserve"> Aarnou</w:t>
      </w:r>
      <w:r w:rsidR="00177B25" w:rsidRPr="00F11608">
        <w:rPr>
          <w:rFonts w:cs="Times New Roman"/>
          <w:sz w:val="22"/>
          <w:szCs w:val="22"/>
        </w:rPr>
        <w:t>d Huissoon</w:t>
      </w:r>
      <w:r w:rsidR="00204D47" w:rsidRPr="00F11608">
        <w:rPr>
          <w:rFonts w:cs="Times New Roman"/>
          <w:sz w:val="22"/>
          <w:szCs w:val="22"/>
          <w:vertAlign w:val="superscript"/>
        </w:rPr>
        <w:t>1</w:t>
      </w:r>
      <w:r w:rsidR="001369AE" w:rsidRPr="00F11608">
        <w:rPr>
          <w:rFonts w:cs="Times New Roman"/>
          <w:sz w:val="22"/>
          <w:szCs w:val="22"/>
          <w:vertAlign w:val="superscript"/>
        </w:rPr>
        <w:t>0</w:t>
      </w:r>
      <w:r w:rsidR="00204D47" w:rsidRPr="00F11608">
        <w:rPr>
          <w:sz w:val="22"/>
          <w:szCs w:val="22"/>
        </w:rPr>
        <w:t xml:space="preserve">,  </w:t>
      </w:r>
      <w:r w:rsidR="00FC3769" w:rsidRPr="00F11608">
        <w:rPr>
          <w:sz w:val="22"/>
          <w:szCs w:val="22"/>
        </w:rPr>
        <w:t xml:space="preserve">Peter </w:t>
      </w:r>
      <w:r w:rsidR="00D05D1B" w:rsidRPr="00F11608">
        <w:rPr>
          <w:rFonts w:cs="Times New Roman"/>
          <w:sz w:val="22"/>
          <w:szCs w:val="22"/>
        </w:rPr>
        <w:t xml:space="preserve">D. </w:t>
      </w:r>
      <w:r w:rsidR="00FC3769" w:rsidRPr="00F11608">
        <w:rPr>
          <w:sz w:val="22"/>
          <w:szCs w:val="22"/>
        </w:rPr>
        <w:t>Arkwright</w:t>
      </w:r>
      <w:r w:rsidR="0080244B" w:rsidRPr="00F11608">
        <w:rPr>
          <w:sz w:val="22"/>
          <w:szCs w:val="22"/>
          <w:vertAlign w:val="superscript"/>
        </w:rPr>
        <w:t>3</w:t>
      </w:r>
      <w:r w:rsidR="00FC3769" w:rsidRPr="00F11608">
        <w:rPr>
          <w:sz w:val="22"/>
          <w:szCs w:val="22"/>
        </w:rPr>
        <w:t xml:space="preserve">, </w:t>
      </w:r>
      <w:r w:rsidR="00FC3769" w:rsidRPr="00F11608">
        <w:rPr>
          <w:rFonts w:cs="Times New Roman"/>
          <w:sz w:val="22"/>
          <w:szCs w:val="22"/>
        </w:rPr>
        <w:t>Claire Bethune</w:t>
      </w:r>
      <w:r w:rsidR="00177B25" w:rsidRPr="00F11608">
        <w:rPr>
          <w:rFonts w:cs="Times New Roman"/>
          <w:sz w:val="22"/>
          <w:szCs w:val="22"/>
          <w:vertAlign w:val="superscript"/>
        </w:rPr>
        <w:t>1</w:t>
      </w:r>
      <w:r w:rsidR="001369AE" w:rsidRPr="00F11608">
        <w:rPr>
          <w:rFonts w:cs="Times New Roman"/>
          <w:sz w:val="22"/>
          <w:szCs w:val="22"/>
          <w:vertAlign w:val="superscript"/>
        </w:rPr>
        <w:t>1</w:t>
      </w:r>
      <w:r w:rsidR="00FC3769" w:rsidRPr="00F11608">
        <w:rPr>
          <w:sz w:val="22"/>
          <w:szCs w:val="22"/>
        </w:rPr>
        <w:t xml:space="preserve">, </w:t>
      </w:r>
      <w:r w:rsidR="00FC3769" w:rsidRPr="00F11608">
        <w:rPr>
          <w:rFonts w:cs="Times New Roman"/>
          <w:sz w:val="22"/>
          <w:szCs w:val="22"/>
        </w:rPr>
        <w:t>Stephen Jolles</w:t>
      </w:r>
      <w:r w:rsidR="00FC3769" w:rsidRPr="00F11608">
        <w:rPr>
          <w:rFonts w:cs="Times New Roman"/>
          <w:sz w:val="22"/>
          <w:szCs w:val="22"/>
          <w:vertAlign w:val="superscript"/>
        </w:rPr>
        <w:t>1</w:t>
      </w:r>
      <w:r w:rsidR="001369AE" w:rsidRPr="00F11608">
        <w:rPr>
          <w:rFonts w:cs="Times New Roman"/>
          <w:sz w:val="22"/>
          <w:szCs w:val="22"/>
          <w:vertAlign w:val="superscript"/>
        </w:rPr>
        <w:t>2</w:t>
      </w:r>
      <w:r w:rsidR="00FC3769" w:rsidRPr="00F11608">
        <w:rPr>
          <w:rFonts w:cs="Times New Roman"/>
          <w:sz w:val="22"/>
          <w:szCs w:val="22"/>
        </w:rPr>
        <w:t>, Helen Bourne</w:t>
      </w:r>
      <w:r w:rsidR="00177B25" w:rsidRPr="00F11608">
        <w:rPr>
          <w:rFonts w:cs="Times New Roman"/>
          <w:sz w:val="22"/>
          <w:szCs w:val="22"/>
          <w:vertAlign w:val="superscript"/>
        </w:rPr>
        <w:t>1</w:t>
      </w:r>
      <w:r w:rsidR="00DB1F34" w:rsidRPr="00F11608">
        <w:rPr>
          <w:rFonts w:cs="Times New Roman"/>
          <w:sz w:val="22"/>
          <w:szCs w:val="22"/>
          <w:vertAlign w:val="superscript"/>
        </w:rPr>
        <w:t>3</w:t>
      </w:r>
      <w:r w:rsidR="00FC3769" w:rsidRPr="00F11608">
        <w:rPr>
          <w:rFonts w:cs="Times New Roman"/>
          <w:sz w:val="22"/>
          <w:szCs w:val="22"/>
        </w:rPr>
        <w:t>, Hana Alachkar</w:t>
      </w:r>
      <w:r w:rsidR="00FC3769" w:rsidRPr="00F11608">
        <w:rPr>
          <w:rFonts w:cs="Times New Roman"/>
          <w:sz w:val="22"/>
          <w:szCs w:val="22"/>
          <w:vertAlign w:val="superscript"/>
        </w:rPr>
        <w:t>1</w:t>
      </w:r>
      <w:r w:rsidR="00DB1F34" w:rsidRPr="00F11608">
        <w:rPr>
          <w:rFonts w:cs="Times New Roman"/>
          <w:sz w:val="22"/>
          <w:szCs w:val="22"/>
          <w:vertAlign w:val="superscript"/>
        </w:rPr>
        <w:t>4</w:t>
      </w:r>
      <w:r w:rsidR="00FC3769" w:rsidRPr="00F11608">
        <w:rPr>
          <w:rFonts w:cs="Times New Roman"/>
          <w:sz w:val="22"/>
          <w:szCs w:val="22"/>
        </w:rPr>
        <w:t>, Sinisa Savic</w:t>
      </w:r>
      <w:r w:rsidR="00177B25" w:rsidRPr="00F11608">
        <w:rPr>
          <w:rFonts w:cs="Times New Roman"/>
          <w:sz w:val="22"/>
          <w:szCs w:val="22"/>
          <w:vertAlign w:val="superscript"/>
        </w:rPr>
        <w:t>1</w:t>
      </w:r>
      <w:r w:rsidR="00C26B4B" w:rsidRPr="00F11608">
        <w:rPr>
          <w:rFonts w:cs="Times New Roman"/>
          <w:sz w:val="22"/>
          <w:szCs w:val="22"/>
          <w:vertAlign w:val="superscript"/>
        </w:rPr>
        <w:t>5</w:t>
      </w:r>
      <w:r w:rsidR="00FC3769" w:rsidRPr="00F11608">
        <w:rPr>
          <w:rFonts w:cs="Times New Roman"/>
          <w:sz w:val="22"/>
          <w:szCs w:val="22"/>
        </w:rPr>
        <w:t xml:space="preserve">, </w:t>
      </w:r>
      <w:r w:rsidR="00204D47" w:rsidRPr="00F11608">
        <w:rPr>
          <w:rFonts w:cs="Times New Roman"/>
          <w:sz w:val="22"/>
          <w:szCs w:val="22"/>
        </w:rPr>
        <w:t>Dinakantha S Kumararatne</w:t>
      </w:r>
      <w:r w:rsidR="00204D47" w:rsidRPr="00F11608">
        <w:rPr>
          <w:rFonts w:cs="Times New Roman"/>
          <w:sz w:val="22"/>
          <w:szCs w:val="22"/>
          <w:vertAlign w:val="superscript"/>
        </w:rPr>
        <w:t>1</w:t>
      </w:r>
      <w:r w:rsidR="00C26B4B" w:rsidRPr="00F11608">
        <w:rPr>
          <w:rFonts w:cs="Times New Roman"/>
          <w:sz w:val="22"/>
          <w:szCs w:val="22"/>
          <w:vertAlign w:val="superscript"/>
        </w:rPr>
        <w:t>6</w:t>
      </w:r>
      <w:r w:rsidR="00204D47" w:rsidRPr="00F11608">
        <w:rPr>
          <w:sz w:val="22"/>
          <w:szCs w:val="22"/>
        </w:rPr>
        <w:t xml:space="preserve">,  </w:t>
      </w:r>
      <w:r w:rsidR="00FC3769" w:rsidRPr="00F11608">
        <w:rPr>
          <w:rFonts w:cs="Times New Roman"/>
          <w:sz w:val="22"/>
          <w:szCs w:val="22"/>
        </w:rPr>
        <w:t>Smita Patel</w:t>
      </w:r>
      <w:r w:rsidR="00177B25" w:rsidRPr="00F11608">
        <w:rPr>
          <w:rFonts w:cs="Times New Roman"/>
          <w:sz w:val="22"/>
          <w:szCs w:val="22"/>
          <w:vertAlign w:val="superscript"/>
        </w:rPr>
        <w:t>1</w:t>
      </w:r>
      <w:r w:rsidR="00C26B4B" w:rsidRPr="00F11608">
        <w:rPr>
          <w:rFonts w:cs="Times New Roman"/>
          <w:sz w:val="22"/>
          <w:szCs w:val="22"/>
          <w:vertAlign w:val="superscript"/>
        </w:rPr>
        <w:t>7</w:t>
      </w:r>
      <w:r w:rsidR="00FC3769" w:rsidRPr="00F11608">
        <w:rPr>
          <w:rFonts w:cs="Times New Roman"/>
          <w:sz w:val="22"/>
          <w:szCs w:val="22"/>
        </w:rPr>
        <w:t>,  Ravishankar Sargur</w:t>
      </w:r>
      <w:r w:rsidR="00C26B4B" w:rsidRPr="00F11608">
        <w:rPr>
          <w:rFonts w:cs="Times New Roman"/>
          <w:sz w:val="22"/>
          <w:szCs w:val="22"/>
          <w:vertAlign w:val="superscript"/>
        </w:rPr>
        <w:t>18</w:t>
      </w:r>
      <w:r w:rsidR="00FC3769" w:rsidRPr="00F11608">
        <w:rPr>
          <w:sz w:val="22"/>
          <w:szCs w:val="22"/>
        </w:rPr>
        <w:t xml:space="preserve">, </w:t>
      </w:r>
      <w:r w:rsidR="00FC3769" w:rsidRPr="00F11608">
        <w:rPr>
          <w:rFonts w:cs="Times New Roman"/>
          <w:sz w:val="22"/>
          <w:szCs w:val="22"/>
        </w:rPr>
        <w:t>Elizabeth M McDermott</w:t>
      </w:r>
      <w:r w:rsidR="00C26B4B" w:rsidRPr="00F11608">
        <w:rPr>
          <w:rFonts w:cs="Times New Roman"/>
          <w:sz w:val="22"/>
          <w:szCs w:val="22"/>
          <w:vertAlign w:val="superscript"/>
        </w:rPr>
        <w:t>19</w:t>
      </w:r>
      <w:r w:rsidR="00FC3769" w:rsidRPr="00F11608">
        <w:rPr>
          <w:rFonts w:cs="Times New Roman"/>
          <w:sz w:val="22"/>
          <w:szCs w:val="22"/>
        </w:rPr>
        <w:t>, C James Darroch</w:t>
      </w:r>
      <w:r w:rsidR="00FC3769" w:rsidRPr="00F11608">
        <w:rPr>
          <w:rFonts w:cs="Times New Roman"/>
          <w:sz w:val="22"/>
          <w:szCs w:val="22"/>
          <w:vertAlign w:val="superscript"/>
        </w:rPr>
        <w:t>2</w:t>
      </w:r>
      <w:r w:rsidR="00C26B4B" w:rsidRPr="00F11608">
        <w:rPr>
          <w:rFonts w:cs="Times New Roman"/>
          <w:sz w:val="22"/>
          <w:szCs w:val="22"/>
          <w:vertAlign w:val="superscript"/>
        </w:rPr>
        <w:t>0</w:t>
      </w:r>
      <w:r w:rsidR="00FC3769" w:rsidRPr="00F11608">
        <w:rPr>
          <w:rFonts w:cs="Times New Roman"/>
          <w:sz w:val="22"/>
          <w:szCs w:val="22"/>
          <w:vertAlign w:val="superscript"/>
        </w:rPr>
        <w:t xml:space="preserve"> </w:t>
      </w:r>
      <w:r w:rsidR="00FC3769" w:rsidRPr="00F11608">
        <w:rPr>
          <w:rFonts w:cs="Times New Roman"/>
          <w:sz w:val="22"/>
          <w:szCs w:val="22"/>
        </w:rPr>
        <w:t>, Helen Baxendale</w:t>
      </w:r>
      <w:r w:rsidR="00177B25" w:rsidRPr="00F11608">
        <w:rPr>
          <w:rFonts w:cs="Times New Roman"/>
          <w:sz w:val="22"/>
          <w:szCs w:val="22"/>
          <w:vertAlign w:val="superscript"/>
        </w:rPr>
        <w:t>2</w:t>
      </w:r>
      <w:r w:rsidR="00C26B4B" w:rsidRPr="00F11608">
        <w:rPr>
          <w:rFonts w:cs="Times New Roman"/>
          <w:sz w:val="22"/>
          <w:szCs w:val="22"/>
          <w:vertAlign w:val="superscript"/>
        </w:rPr>
        <w:t>1</w:t>
      </w:r>
      <w:r w:rsidR="00FC3769" w:rsidRPr="00F11608">
        <w:rPr>
          <w:rFonts w:cs="Times New Roman"/>
          <w:sz w:val="22"/>
          <w:szCs w:val="22"/>
        </w:rPr>
        <w:t>, Sarah Goddard</w:t>
      </w:r>
      <w:r w:rsidR="00177B25" w:rsidRPr="00F11608">
        <w:rPr>
          <w:rFonts w:cs="Times New Roman"/>
          <w:sz w:val="22"/>
          <w:szCs w:val="22"/>
          <w:vertAlign w:val="superscript"/>
        </w:rPr>
        <w:t>2</w:t>
      </w:r>
      <w:r w:rsidR="00C26B4B" w:rsidRPr="00F11608">
        <w:rPr>
          <w:rFonts w:cs="Times New Roman"/>
          <w:sz w:val="22"/>
          <w:szCs w:val="22"/>
          <w:vertAlign w:val="superscript"/>
        </w:rPr>
        <w:t>2</w:t>
      </w:r>
      <w:r w:rsidR="00FC3769" w:rsidRPr="00F11608">
        <w:rPr>
          <w:rFonts w:cs="Times New Roman"/>
          <w:sz w:val="22"/>
          <w:szCs w:val="22"/>
        </w:rPr>
        <w:t>, Sadia Noorani</w:t>
      </w:r>
      <w:r w:rsidR="00177B25" w:rsidRPr="00F11608">
        <w:rPr>
          <w:rFonts w:cs="Times New Roman"/>
          <w:sz w:val="22"/>
          <w:szCs w:val="22"/>
          <w:vertAlign w:val="superscript"/>
        </w:rPr>
        <w:t>2</w:t>
      </w:r>
      <w:r w:rsidR="00C26B4B" w:rsidRPr="00F11608">
        <w:rPr>
          <w:rFonts w:cs="Times New Roman"/>
          <w:sz w:val="22"/>
          <w:szCs w:val="22"/>
          <w:vertAlign w:val="superscript"/>
        </w:rPr>
        <w:t>3</w:t>
      </w:r>
      <w:r w:rsidR="00FC3769" w:rsidRPr="00F11608">
        <w:rPr>
          <w:rFonts w:cs="Times New Roman"/>
          <w:sz w:val="22"/>
          <w:szCs w:val="22"/>
        </w:rPr>
        <w:t>, Patrick Yong</w:t>
      </w:r>
      <w:r w:rsidR="00177B25" w:rsidRPr="00F11608">
        <w:rPr>
          <w:rFonts w:cs="Times New Roman"/>
          <w:sz w:val="22"/>
          <w:szCs w:val="22"/>
          <w:vertAlign w:val="superscript"/>
        </w:rPr>
        <w:t>2</w:t>
      </w:r>
      <w:r w:rsidR="00C26B4B" w:rsidRPr="00F11608">
        <w:rPr>
          <w:rFonts w:cs="Times New Roman"/>
          <w:sz w:val="22"/>
          <w:szCs w:val="22"/>
          <w:vertAlign w:val="superscript"/>
        </w:rPr>
        <w:t>4</w:t>
      </w:r>
      <w:r w:rsidR="00FC3769" w:rsidRPr="00F11608">
        <w:rPr>
          <w:rFonts w:cs="Times New Roman"/>
          <w:sz w:val="22"/>
          <w:szCs w:val="22"/>
        </w:rPr>
        <w:t>, Catherine Waruiru</w:t>
      </w:r>
      <w:r w:rsidR="00177B25" w:rsidRPr="00F11608">
        <w:rPr>
          <w:rFonts w:cs="Times New Roman"/>
          <w:sz w:val="22"/>
          <w:szCs w:val="22"/>
          <w:vertAlign w:val="superscript"/>
        </w:rPr>
        <w:t>2</w:t>
      </w:r>
      <w:r w:rsidR="00C26B4B" w:rsidRPr="00F11608">
        <w:rPr>
          <w:rFonts w:cs="Times New Roman"/>
          <w:sz w:val="22"/>
          <w:szCs w:val="22"/>
          <w:vertAlign w:val="superscript"/>
        </w:rPr>
        <w:t>5</w:t>
      </w:r>
      <w:r w:rsidR="00FC3769" w:rsidRPr="00F11608">
        <w:rPr>
          <w:rFonts w:cs="Times New Roman"/>
          <w:sz w:val="22"/>
          <w:szCs w:val="22"/>
        </w:rPr>
        <w:t xml:space="preserve">, </w:t>
      </w:r>
      <w:r w:rsidR="002A1817" w:rsidRPr="00F11608">
        <w:rPr>
          <w:rFonts w:cs="Times New Roman"/>
          <w:sz w:val="22"/>
          <w:szCs w:val="22"/>
        </w:rPr>
        <w:t>Vijayadurai</w:t>
      </w:r>
      <w:r w:rsidR="00FC3769" w:rsidRPr="00F11608">
        <w:rPr>
          <w:rFonts w:cs="Times New Roman"/>
          <w:sz w:val="22"/>
          <w:szCs w:val="22"/>
        </w:rPr>
        <w:t xml:space="preserve"> Pavaladurai</w:t>
      </w:r>
      <w:r w:rsidR="00177B25" w:rsidRPr="00F11608">
        <w:rPr>
          <w:rFonts w:cs="Times New Roman"/>
          <w:sz w:val="22"/>
          <w:szCs w:val="22"/>
          <w:vertAlign w:val="superscript"/>
        </w:rPr>
        <w:t>2</w:t>
      </w:r>
      <w:r w:rsidR="00C26B4B" w:rsidRPr="00F11608">
        <w:rPr>
          <w:rFonts w:cs="Times New Roman"/>
          <w:sz w:val="22"/>
          <w:szCs w:val="22"/>
          <w:vertAlign w:val="superscript"/>
        </w:rPr>
        <w:t>6</w:t>
      </w:r>
      <w:r w:rsidR="00FC3769" w:rsidRPr="00F11608">
        <w:rPr>
          <w:rFonts w:cs="Times New Roman"/>
          <w:sz w:val="22"/>
          <w:szCs w:val="22"/>
        </w:rPr>
        <w:t xml:space="preserve">, </w:t>
      </w:r>
      <w:r w:rsidR="00F72DC6" w:rsidRPr="00F11608">
        <w:rPr>
          <w:rFonts w:cs="Times New Roman"/>
          <w:sz w:val="22"/>
          <w:szCs w:val="22"/>
        </w:rPr>
        <w:t>Peter Kelleher</w:t>
      </w:r>
      <w:r w:rsidR="00177B25" w:rsidRPr="00F11608">
        <w:rPr>
          <w:rFonts w:cs="Times New Roman"/>
          <w:sz w:val="22"/>
          <w:szCs w:val="22"/>
          <w:vertAlign w:val="superscript"/>
        </w:rPr>
        <w:t>2</w:t>
      </w:r>
      <w:r w:rsidR="00C26B4B" w:rsidRPr="00F11608">
        <w:rPr>
          <w:rFonts w:cs="Times New Roman"/>
          <w:sz w:val="22"/>
          <w:szCs w:val="22"/>
          <w:vertAlign w:val="superscript"/>
        </w:rPr>
        <w:t>7</w:t>
      </w:r>
      <w:r w:rsidR="00515149" w:rsidRPr="00F11608">
        <w:rPr>
          <w:rFonts w:cs="Times New Roman"/>
          <w:sz w:val="22"/>
          <w:szCs w:val="22"/>
        </w:rPr>
        <w:t>, Richard Herrio</w:t>
      </w:r>
      <w:r w:rsidR="00F72DC6" w:rsidRPr="00F11608">
        <w:rPr>
          <w:rFonts w:cs="Times New Roman"/>
          <w:sz w:val="22"/>
          <w:szCs w:val="22"/>
        </w:rPr>
        <w:t>t</w:t>
      </w:r>
      <w:r w:rsidR="00C26B4B" w:rsidRPr="00F11608">
        <w:rPr>
          <w:rFonts w:cs="Times New Roman"/>
          <w:sz w:val="22"/>
          <w:szCs w:val="22"/>
          <w:vertAlign w:val="superscript"/>
        </w:rPr>
        <w:t>28</w:t>
      </w:r>
      <w:r w:rsidR="00F72DC6" w:rsidRPr="00F11608">
        <w:rPr>
          <w:rFonts w:cs="Times New Roman"/>
          <w:sz w:val="22"/>
          <w:szCs w:val="22"/>
        </w:rPr>
        <w:t>, Jolanta Bernatonienne</w:t>
      </w:r>
      <w:r w:rsidR="00C26B4B" w:rsidRPr="00F11608">
        <w:rPr>
          <w:rFonts w:cs="Times New Roman"/>
          <w:sz w:val="22"/>
          <w:szCs w:val="22"/>
          <w:vertAlign w:val="superscript"/>
        </w:rPr>
        <w:t>29</w:t>
      </w:r>
      <w:r w:rsidR="00F72DC6" w:rsidRPr="00F11608">
        <w:rPr>
          <w:rFonts w:cs="Times New Roman"/>
          <w:sz w:val="22"/>
          <w:szCs w:val="22"/>
        </w:rPr>
        <w:t>, Malini Bhole</w:t>
      </w:r>
      <w:r w:rsidR="00177B25" w:rsidRPr="00F11608">
        <w:rPr>
          <w:rFonts w:cs="Times New Roman"/>
          <w:sz w:val="22"/>
          <w:szCs w:val="22"/>
          <w:vertAlign w:val="superscript"/>
        </w:rPr>
        <w:t>3</w:t>
      </w:r>
      <w:r w:rsidR="00C26B4B" w:rsidRPr="00F11608">
        <w:rPr>
          <w:rFonts w:cs="Times New Roman"/>
          <w:sz w:val="22"/>
          <w:szCs w:val="22"/>
          <w:vertAlign w:val="superscript"/>
        </w:rPr>
        <w:t>0</w:t>
      </w:r>
      <w:r w:rsidR="00F72DC6" w:rsidRPr="00F11608">
        <w:rPr>
          <w:rFonts w:cs="Times New Roman"/>
          <w:sz w:val="22"/>
          <w:szCs w:val="22"/>
        </w:rPr>
        <w:t>, Pavels Gordins</w:t>
      </w:r>
      <w:r w:rsidR="00177B25" w:rsidRPr="00F11608">
        <w:rPr>
          <w:rFonts w:cs="Times New Roman"/>
          <w:sz w:val="22"/>
          <w:szCs w:val="22"/>
          <w:vertAlign w:val="superscript"/>
        </w:rPr>
        <w:t>3</w:t>
      </w:r>
      <w:r w:rsidR="00C26B4B" w:rsidRPr="00F11608">
        <w:rPr>
          <w:rFonts w:cs="Times New Roman"/>
          <w:sz w:val="22"/>
          <w:szCs w:val="22"/>
          <w:vertAlign w:val="superscript"/>
        </w:rPr>
        <w:t>1</w:t>
      </w:r>
      <w:r w:rsidR="00F72DC6" w:rsidRPr="00F11608">
        <w:rPr>
          <w:rFonts w:cs="Times New Roman"/>
          <w:sz w:val="22"/>
          <w:szCs w:val="22"/>
        </w:rPr>
        <w:t>, Cathal Steele</w:t>
      </w:r>
      <w:r w:rsidR="00177B25" w:rsidRPr="00F11608">
        <w:rPr>
          <w:rFonts w:cs="Times New Roman"/>
          <w:sz w:val="22"/>
          <w:szCs w:val="22"/>
          <w:vertAlign w:val="superscript"/>
        </w:rPr>
        <w:t>3</w:t>
      </w:r>
      <w:r w:rsidR="00C26B4B" w:rsidRPr="00F11608">
        <w:rPr>
          <w:rFonts w:cs="Times New Roman"/>
          <w:sz w:val="22"/>
          <w:szCs w:val="22"/>
          <w:vertAlign w:val="superscript"/>
        </w:rPr>
        <w:t>2</w:t>
      </w:r>
      <w:r w:rsidR="00F72DC6" w:rsidRPr="00F11608">
        <w:rPr>
          <w:rFonts w:cs="Times New Roman"/>
          <w:sz w:val="22"/>
          <w:szCs w:val="22"/>
        </w:rPr>
        <w:t xml:space="preserve">, </w:t>
      </w:r>
      <w:r w:rsidR="00204D47" w:rsidRPr="00F11608">
        <w:rPr>
          <w:rFonts w:cs="Times New Roman"/>
          <w:sz w:val="22"/>
          <w:szCs w:val="22"/>
        </w:rPr>
        <w:t>Grant Hayman</w:t>
      </w:r>
      <w:r w:rsidR="00177B25" w:rsidRPr="00F11608">
        <w:rPr>
          <w:rFonts w:cs="Times New Roman"/>
          <w:sz w:val="22"/>
          <w:szCs w:val="22"/>
          <w:vertAlign w:val="superscript"/>
        </w:rPr>
        <w:t>3</w:t>
      </w:r>
      <w:r w:rsidR="00C26B4B" w:rsidRPr="00F11608">
        <w:rPr>
          <w:rFonts w:cs="Times New Roman"/>
          <w:sz w:val="22"/>
          <w:szCs w:val="22"/>
          <w:vertAlign w:val="superscript"/>
        </w:rPr>
        <w:t>3</w:t>
      </w:r>
      <w:r w:rsidR="00F72DC6" w:rsidRPr="00F11608">
        <w:rPr>
          <w:rFonts w:cs="Times New Roman"/>
          <w:sz w:val="22"/>
          <w:szCs w:val="22"/>
        </w:rPr>
        <w:t>, Ale</w:t>
      </w:r>
      <w:r w:rsidR="0019430E">
        <w:rPr>
          <w:rFonts w:cs="Times New Roman"/>
          <w:sz w:val="22"/>
          <w:szCs w:val="22"/>
        </w:rPr>
        <w:t>x</w:t>
      </w:r>
      <w:r w:rsidR="00F72DC6" w:rsidRPr="00F11608">
        <w:rPr>
          <w:rFonts w:cs="Times New Roman"/>
          <w:sz w:val="22"/>
          <w:szCs w:val="22"/>
        </w:rPr>
        <w:t xml:space="preserve"> Richter</w:t>
      </w:r>
      <w:r w:rsidR="00177B25" w:rsidRPr="00F11608">
        <w:rPr>
          <w:rFonts w:cs="Times New Roman"/>
          <w:sz w:val="22"/>
          <w:szCs w:val="22"/>
          <w:vertAlign w:val="superscript"/>
        </w:rPr>
        <w:t>3</w:t>
      </w:r>
      <w:r w:rsidR="00C26B4B" w:rsidRPr="00F11608">
        <w:rPr>
          <w:rFonts w:cs="Times New Roman"/>
          <w:sz w:val="22"/>
          <w:szCs w:val="22"/>
          <w:vertAlign w:val="superscript"/>
        </w:rPr>
        <w:t>4</w:t>
      </w:r>
      <w:r w:rsidR="00F72DC6" w:rsidRPr="00F11608">
        <w:rPr>
          <w:rFonts w:cs="Times New Roman"/>
          <w:sz w:val="22"/>
          <w:szCs w:val="22"/>
        </w:rPr>
        <w:t>, Paul T Heath</w:t>
      </w:r>
      <w:r w:rsidR="00177B25" w:rsidRPr="00F11608">
        <w:rPr>
          <w:rFonts w:cs="Times New Roman"/>
          <w:sz w:val="22"/>
          <w:szCs w:val="22"/>
          <w:vertAlign w:val="superscript"/>
        </w:rPr>
        <w:t>3</w:t>
      </w:r>
      <w:r w:rsidR="00C26B4B" w:rsidRPr="00F11608">
        <w:rPr>
          <w:rFonts w:cs="Times New Roman"/>
          <w:sz w:val="22"/>
          <w:szCs w:val="22"/>
          <w:vertAlign w:val="superscript"/>
        </w:rPr>
        <w:t>5</w:t>
      </w:r>
      <w:r w:rsidR="00F72DC6" w:rsidRPr="00F11608">
        <w:rPr>
          <w:rFonts w:cs="Times New Roman"/>
          <w:sz w:val="22"/>
          <w:szCs w:val="22"/>
        </w:rPr>
        <w:t>, Mark Gompels</w:t>
      </w:r>
      <w:r w:rsidR="00177B25" w:rsidRPr="00F11608">
        <w:rPr>
          <w:rFonts w:cs="Times New Roman"/>
          <w:sz w:val="22"/>
          <w:szCs w:val="22"/>
          <w:vertAlign w:val="superscript"/>
        </w:rPr>
        <w:t>3</w:t>
      </w:r>
      <w:r w:rsidR="00C26B4B" w:rsidRPr="00F11608">
        <w:rPr>
          <w:rFonts w:cs="Times New Roman"/>
          <w:sz w:val="22"/>
          <w:szCs w:val="22"/>
          <w:vertAlign w:val="superscript"/>
        </w:rPr>
        <w:t>6</w:t>
      </w:r>
      <w:r w:rsidR="00F72DC6" w:rsidRPr="00F11608">
        <w:rPr>
          <w:rFonts w:cs="Times New Roman"/>
          <w:sz w:val="22"/>
          <w:szCs w:val="22"/>
        </w:rPr>
        <w:t xml:space="preserve">, </w:t>
      </w:r>
      <w:r w:rsidR="00204D47" w:rsidRPr="00F11608">
        <w:rPr>
          <w:rFonts w:cs="Times New Roman"/>
          <w:sz w:val="22"/>
          <w:szCs w:val="22"/>
        </w:rPr>
        <w:t>Stephane Paulus</w:t>
      </w:r>
      <w:r w:rsidR="00177B25" w:rsidRPr="00F11608">
        <w:rPr>
          <w:rFonts w:cs="Times New Roman"/>
          <w:sz w:val="22"/>
          <w:szCs w:val="22"/>
          <w:vertAlign w:val="superscript"/>
        </w:rPr>
        <w:t>3</w:t>
      </w:r>
      <w:r w:rsidR="00C26B4B" w:rsidRPr="00F11608">
        <w:rPr>
          <w:rFonts w:cs="Times New Roman"/>
          <w:sz w:val="22"/>
          <w:szCs w:val="22"/>
          <w:vertAlign w:val="superscript"/>
        </w:rPr>
        <w:t>7</w:t>
      </w:r>
      <w:r w:rsidR="00204D47" w:rsidRPr="00F11608">
        <w:rPr>
          <w:sz w:val="22"/>
          <w:szCs w:val="22"/>
        </w:rPr>
        <w:t>,</w:t>
      </w:r>
      <w:r w:rsidR="00F72DC6" w:rsidRPr="00F11608">
        <w:rPr>
          <w:sz w:val="22"/>
          <w:szCs w:val="22"/>
        </w:rPr>
        <w:t xml:space="preserve"> Charu Chopra</w:t>
      </w:r>
      <w:r w:rsidR="00C26B4B" w:rsidRPr="00F11608">
        <w:rPr>
          <w:sz w:val="22"/>
          <w:szCs w:val="22"/>
          <w:vertAlign w:val="superscript"/>
        </w:rPr>
        <w:t>38</w:t>
      </w:r>
      <w:r w:rsidR="00F72DC6" w:rsidRPr="00F11608">
        <w:rPr>
          <w:sz w:val="22"/>
          <w:szCs w:val="22"/>
        </w:rPr>
        <w:t>,</w:t>
      </w:r>
      <w:r w:rsidR="00204D47" w:rsidRPr="00F11608">
        <w:rPr>
          <w:sz w:val="22"/>
          <w:szCs w:val="22"/>
        </w:rPr>
        <w:t xml:space="preserve"> </w:t>
      </w:r>
      <w:r w:rsidR="00D67E05" w:rsidRPr="00F11608">
        <w:rPr>
          <w:sz w:val="22"/>
          <w:szCs w:val="22"/>
        </w:rPr>
        <w:t>Tomaz Garcez</w:t>
      </w:r>
      <w:r w:rsidR="00D67E05" w:rsidRPr="00F11608">
        <w:rPr>
          <w:sz w:val="22"/>
          <w:szCs w:val="22"/>
          <w:vertAlign w:val="superscript"/>
        </w:rPr>
        <w:t>3</w:t>
      </w:r>
      <w:r w:rsidR="00D67E05" w:rsidRPr="00F11608">
        <w:rPr>
          <w:sz w:val="22"/>
          <w:szCs w:val="22"/>
        </w:rPr>
        <w:t xml:space="preserve">, </w:t>
      </w:r>
      <w:r w:rsidR="00990018" w:rsidRPr="00F11608">
        <w:rPr>
          <w:sz w:val="22"/>
          <w:szCs w:val="22"/>
        </w:rPr>
        <w:t>Matthew Buckland</w:t>
      </w:r>
      <w:r w:rsidR="005F556C" w:rsidRPr="00F11608">
        <w:rPr>
          <w:sz w:val="22"/>
          <w:szCs w:val="22"/>
          <w:vertAlign w:val="superscript"/>
        </w:rPr>
        <w:t>1,4</w:t>
      </w:r>
      <w:r w:rsidR="009438D5" w:rsidRPr="00F11608">
        <w:rPr>
          <w:sz w:val="22"/>
          <w:szCs w:val="22"/>
          <w:vertAlign w:val="superscript"/>
        </w:rPr>
        <w:t>,8</w:t>
      </w:r>
    </w:p>
    <w:p w14:paraId="4048C944" w14:textId="77777777" w:rsidR="00733522" w:rsidRPr="00F11608" w:rsidRDefault="00733522" w:rsidP="00B37F34">
      <w:pPr>
        <w:ind w:left="270" w:hanging="270"/>
        <w:jc w:val="center"/>
      </w:pPr>
    </w:p>
    <w:p w14:paraId="43C4FFB3" w14:textId="5D71D443" w:rsidR="00733522" w:rsidRPr="00F11608" w:rsidRDefault="00733522" w:rsidP="00B37F34">
      <w:pPr>
        <w:ind w:left="270" w:hanging="270"/>
        <w:jc w:val="center"/>
      </w:pPr>
      <w:r w:rsidRPr="00B238B6">
        <w:rPr>
          <w:b/>
        </w:rPr>
        <w:t>Address of Correspondence</w:t>
      </w:r>
    </w:p>
    <w:p w14:paraId="435DFD43" w14:textId="1519E07B" w:rsidR="00733522" w:rsidRPr="00C5767D" w:rsidRDefault="00B238B6" w:rsidP="00C5767D">
      <w:pPr>
        <w:spacing w:line="240" w:lineRule="auto"/>
        <w:ind w:left="270" w:hanging="270"/>
        <w:jc w:val="center"/>
      </w:pPr>
      <w:r w:rsidRPr="00C5767D">
        <w:t>Dr Matthew Buckland</w:t>
      </w:r>
    </w:p>
    <w:p w14:paraId="1CC5998A" w14:textId="5B75E304" w:rsidR="00B238B6" w:rsidRPr="00C5767D" w:rsidRDefault="00C5767D" w:rsidP="00C5767D">
      <w:pPr>
        <w:spacing w:line="240" w:lineRule="auto"/>
        <w:ind w:left="270" w:hanging="270"/>
        <w:jc w:val="center"/>
      </w:pPr>
      <w:r w:rsidRPr="00C5767D">
        <w:t>Royal Free and Great Ormond Street Hospitals UCL Centre for Immunodeficiency</w:t>
      </w:r>
    </w:p>
    <w:p w14:paraId="546844A5" w14:textId="462C4DEE" w:rsidR="00C5767D" w:rsidRPr="00C5767D" w:rsidRDefault="00C5767D" w:rsidP="00C5767D">
      <w:pPr>
        <w:spacing w:line="240" w:lineRule="auto"/>
        <w:ind w:left="270" w:hanging="270"/>
        <w:jc w:val="center"/>
      </w:pPr>
      <w:r w:rsidRPr="00C5767D">
        <w:t>Tel +44(0)207 7940500 x34906</w:t>
      </w:r>
    </w:p>
    <w:p w14:paraId="2CB6755C" w14:textId="26802AE6" w:rsidR="00C5767D" w:rsidRPr="00C5767D" w:rsidRDefault="00C5767D" w:rsidP="00C5767D">
      <w:pPr>
        <w:spacing w:line="240" w:lineRule="auto"/>
        <w:ind w:left="270" w:hanging="270"/>
        <w:jc w:val="center"/>
      </w:pPr>
      <w:r w:rsidRPr="00C5767D">
        <w:t>Fax +44(0)207 743 1943</w:t>
      </w:r>
    </w:p>
    <w:p w14:paraId="6C5F44FE" w14:textId="13B9A14E" w:rsidR="00C5767D" w:rsidRPr="00C5767D" w:rsidRDefault="00C5767D" w:rsidP="00C5767D">
      <w:pPr>
        <w:spacing w:line="240" w:lineRule="auto"/>
        <w:ind w:left="270" w:hanging="270"/>
        <w:jc w:val="center"/>
      </w:pPr>
      <w:r w:rsidRPr="00C5767D">
        <w:t>mbuckland@nhs.net</w:t>
      </w:r>
    </w:p>
    <w:p w14:paraId="3A50EA06" w14:textId="6C445911" w:rsidR="00B238B6" w:rsidRPr="00F11608" w:rsidRDefault="00B238B6" w:rsidP="00B238B6">
      <w:pPr>
        <w:rPr>
          <w:b/>
          <w:color w:val="FF0000"/>
        </w:rPr>
      </w:pPr>
      <w:r>
        <w:rPr>
          <w:b/>
          <w:color w:val="FF0000"/>
        </w:rPr>
        <w:tab/>
      </w:r>
      <w:r>
        <w:rPr>
          <w:b/>
          <w:color w:val="FF0000"/>
        </w:rPr>
        <w:tab/>
      </w:r>
      <w:r>
        <w:rPr>
          <w:b/>
          <w:color w:val="FF0000"/>
        </w:rPr>
        <w:tab/>
      </w:r>
      <w:r>
        <w:rPr>
          <w:b/>
          <w:color w:val="FF0000"/>
        </w:rPr>
        <w:tab/>
      </w:r>
      <w:r>
        <w:rPr>
          <w:b/>
          <w:color w:val="FF0000"/>
        </w:rPr>
        <w:tab/>
      </w:r>
    </w:p>
    <w:p w14:paraId="1CD283A2" w14:textId="77777777" w:rsidR="00733522" w:rsidRPr="00F11608" w:rsidRDefault="00733522" w:rsidP="00B37F34">
      <w:pPr>
        <w:ind w:left="270" w:hanging="270"/>
        <w:jc w:val="center"/>
      </w:pPr>
    </w:p>
    <w:p w14:paraId="4D433E72" w14:textId="44274F01" w:rsidR="00312EDD" w:rsidRPr="00961FE8" w:rsidRDefault="00312EDD" w:rsidP="00961FE8">
      <w:pPr>
        <w:pStyle w:val="Heading1"/>
        <w:numPr>
          <w:ilvl w:val="0"/>
          <w:numId w:val="0"/>
        </w:numPr>
        <w:ind w:left="270"/>
        <w:jc w:val="left"/>
        <w:rPr>
          <w:rFonts w:ascii="Times New Roman" w:hAnsi="Times New Roman" w:cs="Times New Roman"/>
          <w:sz w:val="22"/>
          <w:szCs w:val="22"/>
        </w:rPr>
      </w:pPr>
      <w:r w:rsidRPr="00961FE8">
        <w:rPr>
          <w:rFonts w:ascii="Times New Roman" w:hAnsi="Times New Roman" w:cs="Times New Roman"/>
          <w:sz w:val="22"/>
          <w:szCs w:val="22"/>
        </w:rPr>
        <w:t>Institutes</w:t>
      </w:r>
    </w:p>
    <w:p w14:paraId="2BC9F0A1" w14:textId="054AB762" w:rsidR="00177B25" w:rsidRPr="00F11608" w:rsidRDefault="00177B25" w:rsidP="00F11608">
      <w:pPr>
        <w:pStyle w:val="Standard1"/>
        <w:numPr>
          <w:ilvl w:val="0"/>
          <w:numId w:val="35"/>
        </w:numPr>
        <w:spacing w:line="480" w:lineRule="auto"/>
        <w:ind w:left="270" w:hanging="720"/>
        <w:rPr>
          <w:sz w:val="22"/>
          <w:szCs w:val="22"/>
        </w:rPr>
      </w:pPr>
      <w:r w:rsidRPr="00F11608">
        <w:rPr>
          <w:sz w:val="22"/>
          <w:szCs w:val="22"/>
        </w:rPr>
        <w:t>On behalf of the UKPIN Registry Committee</w:t>
      </w:r>
      <w:r w:rsidR="005F556C" w:rsidRPr="00F11608">
        <w:rPr>
          <w:sz w:val="22"/>
          <w:szCs w:val="22"/>
        </w:rPr>
        <w:t>, UKPIN</w:t>
      </w:r>
    </w:p>
    <w:p w14:paraId="4A5B5203" w14:textId="1CAB031E" w:rsidR="005F556C" w:rsidRPr="00F11608" w:rsidRDefault="00312EDD" w:rsidP="00F11608">
      <w:pPr>
        <w:pStyle w:val="ListParagraph"/>
        <w:numPr>
          <w:ilvl w:val="0"/>
          <w:numId w:val="35"/>
        </w:numPr>
        <w:spacing w:after="0"/>
        <w:ind w:left="270" w:hanging="720"/>
      </w:pPr>
      <w:r w:rsidRPr="00F11608">
        <w:t>Great North Children’s Hospital, Newcastle</w:t>
      </w:r>
      <w:r w:rsidR="00D67E05" w:rsidRPr="00F11608">
        <w:t>, Institute of Cellular Medicine, Newcastle University</w:t>
      </w:r>
    </w:p>
    <w:p w14:paraId="4A387528" w14:textId="60E51C63" w:rsidR="00733522" w:rsidRPr="00F11608" w:rsidRDefault="000E3A09" w:rsidP="00F11608">
      <w:pPr>
        <w:pStyle w:val="ListParagraph"/>
        <w:numPr>
          <w:ilvl w:val="0"/>
          <w:numId w:val="35"/>
        </w:numPr>
        <w:spacing w:after="0"/>
        <w:ind w:left="270" w:hanging="720"/>
      </w:pPr>
      <w:r w:rsidRPr="00F11608">
        <w:rPr>
          <w:rFonts w:cs="Times New Roman"/>
        </w:rPr>
        <w:t>Manchester University NHS Foundation Trust</w:t>
      </w:r>
      <w:r w:rsidR="00312EDD" w:rsidRPr="00F11608">
        <w:rPr>
          <w:rFonts w:cs="Times New Roman"/>
        </w:rPr>
        <w:t xml:space="preserve">, </w:t>
      </w:r>
      <w:r w:rsidR="00312EDD" w:rsidRPr="00F11608">
        <w:t xml:space="preserve">Manchester </w:t>
      </w:r>
    </w:p>
    <w:p w14:paraId="02E96CA6" w14:textId="7DF266AA" w:rsidR="00312EDD" w:rsidRPr="00F11608" w:rsidRDefault="00312EDD" w:rsidP="00F11608">
      <w:pPr>
        <w:pStyle w:val="ListParagraph"/>
        <w:numPr>
          <w:ilvl w:val="0"/>
          <w:numId w:val="35"/>
        </w:numPr>
        <w:spacing w:after="0"/>
        <w:ind w:left="270" w:hanging="720"/>
      </w:pPr>
      <w:r w:rsidRPr="00F11608">
        <w:lastRenderedPageBreak/>
        <w:t xml:space="preserve">Royal Free Hospital, </w:t>
      </w:r>
      <w:r w:rsidR="009438D5" w:rsidRPr="00F11608">
        <w:t xml:space="preserve">UCL centre for Immunodeficiency, </w:t>
      </w:r>
      <w:r w:rsidRPr="00F11608">
        <w:t>London</w:t>
      </w:r>
    </w:p>
    <w:p w14:paraId="0199990E" w14:textId="77777777" w:rsidR="00312EDD" w:rsidRPr="00F11608" w:rsidRDefault="00312EDD" w:rsidP="00F11608">
      <w:pPr>
        <w:pStyle w:val="Standard1"/>
        <w:numPr>
          <w:ilvl w:val="0"/>
          <w:numId w:val="35"/>
        </w:numPr>
        <w:spacing w:line="480" w:lineRule="auto"/>
        <w:ind w:left="270" w:hanging="720"/>
        <w:rPr>
          <w:sz w:val="22"/>
          <w:szCs w:val="22"/>
        </w:rPr>
      </w:pPr>
      <w:r w:rsidRPr="00F11608">
        <w:rPr>
          <w:sz w:val="22"/>
          <w:szCs w:val="22"/>
        </w:rPr>
        <w:t>Barts Health NHS Trust, Royal London Hospital, London</w:t>
      </w:r>
    </w:p>
    <w:p w14:paraId="7A328B74" w14:textId="31BE7B42" w:rsidR="00177B25" w:rsidRPr="00F11608" w:rsidRDefault="00177B25" w:rsidP="00F11608">
      <w:pPr>
        <w:pStyle w:val="Standard1"/>
        <w:numPr>
          <w:ilvl w:val="0"/>
          <w:numId w:val="35"/>
        </w:numPr>
        <w:spacing w:line="480" w:lineRule="auto"/>
        <w:ind w:left="270" w:hanging="720"/>
        <w:rPr>
          <w:sz w:val="22"/>
          <w:szCs w:val="22"/>
        </w:rPr>
      </w:pPr>
      <w:r w:rsidRPr="00F11608">
        <w:rPr>
          <w:sz w:val="22"/>
          <w:szCs w:val="22"/>
        </w:rPr>
        <w:t xml:space="preserve">The Royal Hospitals, Belfast </w:t>
      </w:r>
    </w:p>
    <w:p w14:paraId="6A79D086" w14:textId="1D1B4805" w:rsidR="0080244B" w:rsidRPr="00F11608" w:rsidRDefault="001369AE" w:rsidP="00F11608">
      <w:pPr>
        <w:pStyle w:val="Standard1"/>
        <w:numPr>
          <w:ilvl w:val="0"/>
          <w:numId w:val="35"/>
        </w:numPr>
        <w:spacing w:line="480" w:lineRule="auto"/>
        <w:ind w:left="270" w:hanging="720"/>
        <w:rPr>
          <w:sz w:val="22"/>
          <w:szCs w:val="22"/>
        </w:rPr>
      </w:pPr>
      <w:r w:rsidRPr="00F11608">
        <w:rPr>
          <w:sz w:val="22"/>
          <w:szCs w:val="22"/>
        </w:rPr>
        <w:t>NHS Greater Glasgow and Clyde</w:t>
      </w:r>
      <w:r w:rsidR="0080244B" w:rsidRPr="00F11608">
        <w:rPr>
          <w:sz w:val="22"/>
          <w:szCs w:val="22"/>
        </w:rPr>
        <w:t xml:space="preserve">, Glasgow </w:t>
      </w:r>
    </w:p>
    <w:p w14:paraId="32FCDB2C" w14:textId="4C8C9B74" w:rsidR="00177B25" w:rsidRPr="00F11608" w:rsidRDefault="00177B25" w:rsidP="00F11608">
      <w:pPr>
        <w:pStyle w:val="Standard1"/>
        <w:numPr>
          <w:ilvl w:val="0"/>
          <w:numId w:val="35"/>
        </w:numPr>
        <w:spacing w:line="480" w:lineRule="auto"/>
        <w:ind w:left="270" w:hanging="720"/>
        <w:rPr>
          <w:rFonts w:cs="Times New Roman"/>
          <w:sz w:val="22"/>
          <w:szCs w:val="22"/>
        </w:rPr>
      </w:pPr>
      <w:r w:rsidRPr="00F11608">
        <w:rPr>
          <w:rFonts w:cs="Times New Roman"/>
          <w:sz w:val="22"/>
          <w:szCs w:val="22"/>
        </w:rPr>
        <w:t xml:space="preserve">Great Ormond Street Hospital &amp; Institute of Child Health, London </w:t>
      </w:r>
    </w:p>
    <w:p w14:paraId="4B217BAD" w14:textId="032C01D8" w:rsidR="0080244B" w:rsidRPr="00F11608" w:rsidRDefault="001369AE" w:rsidP="00F11608">
      <w:pPr>
        <w:pStyle w:val="Standard1"/>
        <w:numPr>
          <w:ilvl w:val="0"/>
          <w:numId w:val="35"/>
        </w:numPr>
        <w:spacing w:line="480" w:lineRule="auto"/>
        <w:ind w:left="272" w:hanging="720"/>
        <w:rPr>
          <w:rFonts w:cs="Times New Roman"/>
          <w:sz w:val="22"/>
          <w:szCs w:val="22"/>
        </w:rPr>
      </w:pPr>
      <w:r w:rsidRPr="00F11608">
        <w:rPr>
          <w:rFonts w:cs="Times New Roman"/>
          <w:sz w:val="22"/>
          <w:szCs w:val="22"/>
        </w:rPr>
        <w:t xml:space="preserve">University Hospital </w:t>
      </w:r>
      <w:r w:rsidR="0080244B" w:rsidRPr="00F11608">
        <w:rPr>
          <w:rFonts w:cs="Times New Roman"/>
          <w:sz w:val="22"/>
          <w:szCs w:val="22"/>
        </w:rPr>
        <w:t xml:space="preserve">Southampton </w:t>
      </w:r>
      <w:r w:rsidRPr="00F11608">
        <w:rPr>
          <w:rFonts w:cs="Times New Roman"/>
          <w:sz w:val="22"/>
          <w:szCs w:val="22"/>
        </w:rPr>
        <w:t>NHS Foundation Trust</w:t>
      </w:r>
      <w:r w:rsidR="0080244B" w:rsidRPr="00F11608">
        <w:rPr>
          <w:rFonts w:cs="Times New Roman"/>
          <w:sz w:val="22"/>
          <w:szCs w:val="22"/>
        </w:rPr>
        <w:t>, Southampton</w:t>
      </w:r>
    </w:p>
    <w:p w14:paraId="2970E494" w14:textId="7778148C" w:rsidR="00177B25" w:rsidRPr="00F11608" w:rsidRDefault="001369AE" w:rsidP="00F11608">
      <w:pPr>
        <w:pStyle w:val="Standard1"/>
        <w:numPr>
          <w:ilvl w:val="0"/>
          <w:numId w:val="35"/>
        </w:numPr>
        <w:spacing w:line="480" w:lineRule="auto"/>
        <w:ind w:left="270" w:hanging="720"/>
        <w:rPr>
          <w:sz w:val="22"/>
          <w:szCs w:val="22"/>
        </w:rPr>
      </w:pPr>
      <w:r w:rsidRPr="00F11608">
        <w:rPr>
          <w:sz w:val="22"/>
          <w:szCs w:val="22"/>
        </w:rPr>
        <w:t>Heart of England NHS Foundation Trust, Birmingham</w:t>
      </w:r>
      <w:r w:rsidR="00177B25" w:rsidRPr="00F11608">
        <w:rPr>
          <w:sz w:val="22"/>
          <w:szCs w:val="22"/>
        </w:rPr>
        <w:t xml:space="preserve"> </w:t>
      </w:r>
    </w:p>
    <w:p w14:paraId="13BE06AB" w14:textId="1F8CB75E" w:rsidR="0080244B" w:rsidRPr="00F11608" w:rsidRDefault="0080244B" w:rsidP="00F11608">
      <w:pPr>
        <w:pStyle w:val="Standard1"/>
        <w:numPr>
          <w:ilvl w:val="0"/>
          <w:numId w:val="35"/>
        </w:numPr>
        <w:spacing w:line="480" w:lineRule="auto"/>
        <w:ind w:left="270" w:hanging="720"/>
        <w:rPr>
          <w:sz w:val="22"/>
          <w:szCs w:val="22"/>
        </w:rPr>
      </w:pPr>
      <w:r w:rsidRPr="00F11608">
        <w:rPr>
          <w:sz w:val="22"/>
          <w:szCs w:val="22"/>
        </w:rPr>
        <w:t>Plymouth</w:t>
      </w:r>
      <w:r w:rsidR="001369AE" w:rsidRPr="00F11608">
        <w:rPr>
          <w:sz w:val="22"/>
          <w:szCs w:val="22"/>
        </w:rPr>
        <w:t xml:space="preserve"> Hospitals NHs Trust</w:t>
      </w:r>
    </w:p>
    <w:p w14:paraId="4D2132EE" w14:textId="11BFE9D1" w:rsidR="0080244B" w:rsidRPr="00F11608" w:rsidRDefault="0080244B" w:rsidP="00F11608">
      <w:pPr>
        <w:pStyle w:val="Standard1"/>
        <w:numPr>
          <w:ilvl w:val="0"/>
          <w:numId w:val="35"/>
        </w:numPr>
        <w:spacing w:line="480" w:lineRule="auto"/>
        <w:ind w:left="270" w:hanging="720"/>
        <w:rPr>
          <w:sz w:val="22"/>
          <w:szCs w:val="22"/>
        </w:rPr>
      </w:pPr>
      <w:r w:rsidRPr="00F11608">
        <w:rPr>
          <w:rFonts w:cs="Times New Roman"/>
          <w:sz w:val="22"/>
          <w:szCs w:val="22"/>
        </w:rPr>
        <w:t xml:space="preserve">University Hospital of Wales, Cardiff </w:t>
      </w:r>
    </w:p>
    <w:p w14:paraId="35453388" w14:textId="77B6464B" w:rsidR="004039AA" w:rsidRPr="00F11608" w:rsidRDefault="00DB1F34" w:rsidP="00F11608">
      <w:pPr>
        <w:pStyle w:val="Standard1"/>
        <w:numPr>
          <w:ilvl w:val="0"/>
          <w:numId w:val="35"/>
        </w:numPr>
        <w:spacing w:line="480" w:lineRule="auto"/>
        <w:ind w:left="270" w:hanging="720"/>
        <w:rPr>
          <w:sz w:val="22"/>
          <w:szCs w:val="22"/>
        </w:rPr>
      </w:pPr>
      <w:r w:rsidRPr="00F11608">
        <w:rPr>
          <w:rFonts w:cs="Times New Roman"/>
          <w:sz w:val="22"/>
          <w:szCs w:val="22"/>
        </w:rPr>
        <w:t>The Newcastle Upon Tyne Hospitals NHS Foundation Trust, Newcastle</w:t>
      </w:r>
    </w:p>
    <w:p w14:paraId="6FA7FEAE" w14:textId="41A5F3F7" w:rsidR="0080244B" w:rsidRPr="00F11608" w:rsidRDefault="004039AA" w:rsidP="00F11608">
      <w:pPr>
        <w:pStyle w:val="Standard1"/>
        <w:numPr>
          <w:ilvl w:val="0"/>
          <w:numId w:val="35"/>
        </w:numPr>
        <w:spacing w:line="480" w:lineRule="auto"/>
        <w:ind w:left="270" w:hanging="720"/>
        <w:rPr>
          <w:rFonts w:cs="Times New Roman"/>
          <w:sz w:val="22"/>
          <w:szCs w:val="22"/>
        </w:rPr>
      </w:pPr>
      <w:r w:rsidRPr="00F11608">
        <w:rPr>
          <w:rFonts w:cs="Times New Roman"/>
          <w:sz w:val="22"/>
          <w:szCs w:val="22"/>
        </w:rPr>
        <w:t xml:space="preserve">Salford Royal NHS Foundation Trust, Salford </w:t>
      </w:r>
    </w:p>
    <w:p w14:paraId="361056D4" w14:textId="2BDFE3E6" w:rsidR="00455C55" w:rsidRPr="00F11608" w:rsidRDefault="00455C55" w:rsidP="00F11608">
      <w:pPr>
        <w:pStyle w:val="Standard1"/>
        <w:numPr>
          <w:ilvl w:val="0"/>
          <w:numId w:val="35"/>
        </w:numPr>
        <w:spacing w:line="480" w:lineRule="auto"/>
        <w:ind w:left="270" w:hanging="720"/>
        <w:rPr>
          <w:sz w:val="22"/>
          <w:szCs w:val="22"/>
        </w:rPr>
      </w:pPr>
      <w:r w:rsidRPr="00F11608">
        <w:rPr>
          <w:rFonts w:cs="Times New Roman"/>
          <w:sz w:val="22"/>
          <w:szCs w:val="22"/>
        </w:rPr>
        <w:t xml:space="preserve">Leeds Teaching Hospitals NHS Trust, Leeds </w:t>
      </w:r>
    </w:p>
    <w:p w14:paraId="6AFDC114" w14:textId="6DFB703C" w:rsidR="00177B25" w:rsidRPr="00F11608" w:rsidRDefault="00177B25" w:rsidP="00F11608">
      <w:pPr>
        <w:pStyle w:val="Standard1"/>
        <w:numPr>
          <w:ilvl w:val="0"/>
          <w:numId w:val="35"/>
        </w:numPr>
        <w:spacing w:line="480" w:lineRule="auto"/>
        <w:ind w:left="270" w:hanging="720"/>
        <w:rPr>
          <w:sz w:val="22"/>
          <w:szCs w:val="22"/>
        </w:rPr>
      </w:pPr>
      <w:r w:rsidRPr="00F11608">
        <w:rPr>
          <w:rFonts w:cs="Times New Roman"/>
          <w:sz w:val="22"/>
          <w:szCs w:val="22"/>
        </w:rPr>
        <w:t xml:space="preserve">Addenbrookes Hospital, Cambridge </w:t>
      </w:r>
    </w:p>
    <w:p w14:paraId="2F32D0F5" w14:textId="3D2577E3" w:rsidR="009D03E2" w:rsidRPr="00F11608" w:rsidRDefault="009D03E2" w:rsidP="00F11608">
      <w:pPr>
        <w:pStyle w:val="Standard1"/>
        <w:numPr>
          <w:ilvl w:val="0"/>
          <w:numId w:val="35"/>
        </w:numPr>
        <w:spacing w:line="480" w:lineRule="auto"/>
        <w:ind w:left="270" w:hanging="720"/>
        <w:rPr>
          <w:rFonts w:cs="Times New Roman"/>
          <w:sz w:val="22"/>
          <w:szCs w:val="22"/>
        </w:rPr>
      </w:pPr>
      <w:r w:rsidRPr="00F11608">
        <w:rPr>
          <w:rFonts w:cs="Times New Roman"/>
          <w:sz w:val="22"/>
          <w:szCs w:val="22"/>
        </w:rPr>
        <w:t xml:space="preserve">John Radcliffe Hospital, Headington, Oxford </w:t>
      </w:r>
    </w:p>
    <w:p w14:paraId="2CE3A6AA" w14:textId="2280E73C" w:rsidR="009D03E2" w:rsidRPr="00F11608" w:rsidRDefault="009D03E2" w:rsidP="00F11608">
      <w:pPr>
        <w:pStyle w:val="Standard1"/>
        <w:numPr>
          <w:ilvl w:val="0"/>
          <w:numId w:val="35"/>
        </w:numPr>
        <w:spacing w:line="480" w:lineRule="auto"/>
        <w:ind w:left="270" w:hanging="720"/>
        <w:rPr>
          <w:rFonts w:cs="Times New Roman"/>
          <w:sz w:val="22"/>
          <w:szCs w:val="22"/>
        </w:rPr>
      </w:pPr>
      <w:r w:rsidRPr="00F11608">
        <w:rPr>
          <w:rFonts w:cs="Times New Roman"/>
          <w:sz w:val="22"/>
          <w:szCs w:val="22"/>
        </w:rPr>
        <w:t xml:space="preserve">Sheffield Teaching Hospitals NHS Foundation Trust, Sheffield </w:t>
      </w:r>
    </w:p>
    <w:p w14:paraId="4633AE2E" w14:textId="78B0C9B3" w:rsidR="009D03E2" w:rsidRPr="00F11608" w:rsidRDefault="009D03E2" w:rsidP="00F11608">
      <w:pPr>
        <w:pStyle w:val="Standard1"/>
        <w:numPr>
          <w:ilvl w:val="0"/>
          <w:numId w:val="35"/>
        </w:numPr>
        <w:spacing w:line="480" w:lineRule="auto"/>
        <w:ind w:left="270" w:hanging="720"/>
        <w:rPr>
          <w:rFonts w:cs="Times New Roman"/>
          <w:sz w:val="22"/>
          <w:szCs w:val="22"/>
        </w:rPr>
      </w:pPr>
      <w:r w:rsidRPr="00F11608">
        <w:rPr>
          <w:rFonts w:cs="Times New Roman"/>
          <w:sz w:val="22"/>
          <w:szCs w:val="22"/>
        </w:rPr>
        <w:t>Nottingham University Hospitals, Nottingham</w:t>
      </w:r>
    </w:p>
    <w:p w14:paraId="245CCC34" w14:textId="77777777" w:rsidR="00141CD3" w:rsidRPr="00F11608" w:rsidRDefault="00141CD3" w:rsidP="00F11608">
      <w:pPr>
        <w:pStyle w:val="Standard1"/>
        <w:numPr>
          <w:ilvl w:val="0"/>
          <w:numId w:val="35"/>
        </w:numPr>
        <w:spacing w:line="480" w:lineRule="auto"/>
        <w:ind w:left="270" w:hanging="720"/>
        <w:rPr>
          <w:sz w:val="22"/>
          <w:szCs w:val="22"/>
        </w:rPr>
      </w:pPr>
      <w:r w:rsidRPr="00F11608">
        <w:rPr>
          <w:rFonts w:cs="Times New Roman"/>
          <w:sz w:val="22"/>
          <w:szCs w:val="22"/>
        </w:rPr>
        <w:t xml:space="preserve">Royal Liverpool &amp; Broadgreen University Hospitals, Liverpool </w:t>
      </w:r>
    </w:p>
    <w:p w14:paraId="47ADFC31" w14:textId="7A2CCFF7" w:rsidR="009D03E2" w:rsidRPr="00F11608" w:rsidRDefault="00141CD3" w:rsidP="00F11608">
      <w:pPr>
        <w:pStyle w:val="Standard1"/>
        <w:numPr>
          <w:ilvl w:val="0"/>
          <w:numId w:val="35"/>
        </w:numPr>
        <w:spacing w:line="480" w:lineRule="auto"/>
        <w:ind w:left="270" w:hanging="720"/>
        <w:rPr>
          <w:rFonts w:cs="Times New Roman"/>
          <w:sz w:val="22"/>
          <w:szCs w:val="22"/>
        </w:rPr>
      </w:pPr>
      <w:r w:rsidRPr="00F11608">
        <w:rPr>
          <w:rFonts w:cs="Times New Roman"/>
          <w:sz w:val="22"/>
          <w:szCs w:val="22"/>
        </w:rPr>
        <w:t xml:space="preserve">Papworth NHS Foundation Trust, Cambridge </w:t>
      </w:r>
    </w:p>
    <w:p w14:paraId="24334193" w14:textId="1F999B2E" w:rsidR="00141CD3" w:rsidRPr="00F11608" w:rsidRDefault="00141CD3" w:rsidP="00F11608">
      <w:pPr>
        <w:pStyle w:val="Standard1"/>
        <w:numPr>
          <w:ilvl w:val="0"/>
          <w:numId w:val="35"/>
        </w:numPr>
        <w:spacing w:line="480" w:lineRule="auto"/>
        <w:ind w:left="270" w:hanging="720"/>
        <w:rPr>
          <w:rFonts w:cs="Times New Roman"/>
          <w:sz w:val="22"/>
          <w:szCs w:val="22"/>
        </w:rPr>
      </w:pPr>
      <w:r w:rsidRPr="00F11608">
        <w:rPr>
          <w:rFonts w:cs="Times New Roman"/>
          <w:sz w:val="22"/>
          <w:szCs w:val="22"/>
        </w:rPr>
        <w:t xml:space="preserve">University Hospitals of North Midlands NHS Trust, Stoke on Trent </w:t>
      </w:r>
    </w:p>
    <w:p w14:paraId="62E2F20D" w14:textId="1EC7B14E" w:rsidR="00141CD3" w:rsidRPr="00F11608" w:rsidRDefault="000265B0" w:rsidP="00F11608">
      <w:pPr>
        <w:pStyle w:val="Standard1"/>
        <w:numPr>
          <w:ilvl w:val="0"/>
          <w:numId w:val="35"/>
        </w:numPr>
        <w:spacing w:line="480" w:lineRule="auto"/>
        <w:ind w:left="270" w:hanging="720"/>
        <w:rPr>
          <w:sz w:val="22"/>
          <w:szCs w:val="22"/>
        </w:rPr>
      </w:pPr>
      <w:r w:rsidRPr="00F11608">
        <w:rPr>
          <w:sz w:val="22"/>
          <w:szCs w:val="22"/>
        </w:rPr>
        <w:t>Sandwell and West Birmingham Hospitals NHS Trust, Birmingham</w:t>
      </w:r>
    </w:p>
    <w:p w14:paraId="191B71E0" w14:textId="5EBA4294" w:rsidR="00EC6F64" w:rsidRPr="00F11608" w:rsidRDefault="00EC6F64" w:rsidP="00F11608">
      <w:pPr>
        <w:pStyle w:val="Standard1"/>
        <w:numPr>
          <w:ilvl w:val="0"/>
          <w:numId w:val="35"/>
        </w:numPr>
        <w:spacing w:line="480" w:lineRule="auto"/>
        <w:ind w:left="270" w:hanging="720"/>
        <w:rPr>
          <w:rFonts w:cs="Times New Roman"/>
          <w:sz w:val="22"/>
          <w:szCs w:val="22"/>
        </w:rPr>
      </w:pPr>
      <w:r w:rsidRPr="00F11608">
        <w:rPr>
          <w:rFonts w:cs="Times New Roman"/>
          <w:sz w:val="22"/>
          <w:szCs w:val="22"/>
        </w:rPr>
        <w:t>Frimley Health NHS Foundation Trust, Frimley</w:t>
      </w:r>
    </w:p>
    <w:p w14:paraId="2A990D98" w14:textId="244A9648" w:rsidR="00EC6F64" w:rsidRPr="00F11608" w:rsidRDefault="00EC6F64" w:rsidP="00F11608">
      <w:pPr>
        <w:pStyle w:val="Standard1"/>
        <w:numPr>
          <w:ilvl w:val="0"/>
          <w:numId w:val="35"/>
        </w:numPr>
        <w:spacing w:line="480" w:lineRule="auto"/>
        <w:ind w:left="270" w:hanging="720"/>
        <w:rPr>
          <w:rFonts w:cs="Times New Roman"/>
          <w:sz w:val="22"/>
          <w:szCs w:val="22"/>
        </w:rPr>
      </w:pPr>
      <w:r w:rsidRPr="00F11608">
        <w:rPr>
          <w:rFonts w:cs="Times New Roman"/>
          <w:sz w:val="22"/>
          <w:szCs w:val="22"/>
        </w:rPr>
        <w:t>Sheffield Children’s NHS Foundation Trust, Sheffield</w:t>
      </w:r>
    </w:p>
    <w:p w14:paraId="0610F16E" w14:textId="43F05E30" w:rsidR="00485F91" w:rsidRPr="00F11608" w:rsidRDefault="002A1817" w:rsidP="00F11608">
      <w:pPr>
        <w:pStyle w:val="Standard1"/>
        <w:numPr>
          <w:ilvl w:val="0"/>
          <w:numId w:val="35"/>
        </w:numPr>
        <w:spacing w:line="480" w:lineRule="auto"/>
        <w:ind w:left="270" w:hanging="720"/>
        <w:rPr>
          <w:rFonts w:cs="Times New Roman"/>
          <w:sz w:val="22"/>
          <w:szCs w:val="22"/>
        </w:rPr>
      </w:pPr>
      <w:r w:rsidRPr="00F11608">
        <w:rPr>
          <w:rFonts w:cs="Times New Roman"/>
          <w:sz w:val="22"/>
          <w:szCs w:val="22"/>
        </w:rPr>
        <w:t>Lancashire T</w:t>
      </w:r>
      <w:r w:rsidR="00485F91" w:rsidRPr="00F11608">
        <w:rPr>
          <w:rFonts w:cs="Times New Roman"/>
          <w:sz w:val="22"/>
          <w:szCs w:val="22"/>
        </w:rPr>
        <w:t xml:space="preserve">eaching </w:t>
      </w:r>
      <w:r w:rsidRPr="00F11608">
        <w:rPr>
          <w:rFonts w:cs="Times New Roman"/>
          <w:sz w:val="22"/>
          <w:szCs w:val="22"/>
        </w:rPr>
        <w:t>Hospitals</w:t>
      </w:r>
      <w:r w:rsidR="00485F91" w:rsidRPr="00F11608">
        <w:rPr>
          <w:rFonts w:cs="Times New Roman"/>
          <w:sz w:val="22"/>
          <w:szCs w:val="22"/>
        </w:rPr>
        <w:t xml:space="preserve"> NHS Foundation Trust</w:t>
      </w:r>
    </w:p>
    <w:p w14:paraId="0F42177D" w14:textId="6E227C8A" w:rsidR="00E414D9" w:rsidRPr="00F11608" w:rsidRDefault="00AE2CE7" w:rsidP="00F11608">
      <w:pPr>
        <w:pStyle w:val="Standard1"/>
        <w:numPr>
          <w:ilvl w:val="0"/>
          <w:numId w:val="35"/>
        </w:numPr>
        <w:spacing w:line="480" w:lineRule="auto"/>
        <w:ind w:left="270" w:hanging="720"/>
        <w:rPr>
          <w:rFonts w:cs="Times New Roman"/>
          <w:sz w:val="22"/>
          <w:szCs w:val="22"/>
        </w:rPr>
      </w:pPr>
      <w:r w:rsidRPr="00F11608">
        <w:rPr>
          <w:rFonts w:cs="Times New Roman"/>
          <w:sz w:val="22"/>
          <w:szCs w:val="22"/>
        </w:rPr>
        <w:t>Royal Brompton &amp; Harefiel</w:t>
      </w:r>
      <w:r w:rsidR="00961FE8">
        <w:rPr>
          <w:rFonts w:cs="Times New Roman"/>
          <w:sz w:val="22"/>
          <w:szCs w:val="22"/>
        </w:rPr>
        <w:t>d NHS Foundation Trust, London</w:t>
      </w:r>
    </w:p>
    <w:p w14:paraId="4A42810A" w14:textId="745D43CE" w:rsidR="00D26887" w:rsidRPr="00F11608" w:rsidRDefault="00D26887" w:rsidP="00F11608">
      <w:pPr>
        <w:pStyle w:val="Standard1"/>
        <w:numPr>
          <w:ilvl w:val="0"/>
          <w:numId w:val="35"/>
        </w:numPr>
        <w:spacing w:line="480" w:lineRule="auto"/>
        <w:ind w:left="270" w:hanging="720"/>
        <w:rPr>
          <w:rFonts w:cs="Times New Roman"/>
          <w:sz w:val="22"/>
          <w:szCs w:val="22"/>
        </w:rPr>
      </w:pPr>
      <w:r w:rsidRPr="00F11608">
        <w:rPr>
          <w:rFonts w:cs="Times New Roman"/>
          <w:sz w:val="22"/>
          <w:szCs w:val="22"/>
        </w:rPr>
        <w:t>NHS Grampian, Aberdeen</w:t>
      </w:r>
    </w:p>
    <w:p w14:paraId="2200C45F" w14:textId="77CB38A4" w:rsidR="005820CD" w:rsidRPr="00F11608" w:rsidRDefault="005820CD" w:rsidP="00F11608">
      <w:pPr>
        <w:pStyle w:val="Standard1"/>
        <w:numPr>
          <w:ilvl w:val="0"/>
          <w:numId w:val="35"/>
        </w:numPr>
        <w:spacing w:line="480" w:lineRule="auto"/>
        <w:ind w:left="270" w:hanging="720"/>
        <w:rPr>
          <w:rFonts w:cs="Times New Roman"/>
          <w:sz w:val="22"/>
          <w:szCs w:val="22"/>
        </w:rPr>
      </w:pPr>
      <w:r w:rsidRPr="00F11608">
        <w:rPr>
          <w:rFonts w:cs="Times New Roman"/>
          <w:sz w:val="22"/>
          <w:szCs w:val="22"/>
        </w:rPr>
        <w:t>University Hospitals Bristol NHS Foundation Trust</w:t>
      </w:r>
    </w:p>
    <w:p w14:paraId="127A458F" w14:textId="69C0F274" w:rsidR="005820CD" w:rsidRPr="00F11608" w:rsidRDefault="005820CD" w:rsidP="00F11608">
      <w:pPr>
        <w:pStyle w:val="Standard1"/>
        <w:numPr>
          <w:ilvl w:val="0"/>
          <w:numId w:val="35"/>
        </w:numPr>
        <w:spacing w:line="480" w:lineRule="auto"/>
        <w:ind w:left="270" w:hanging="720"/>
        <w:rPr>
          <w:rFonts w:cs="Times New Roman"/>
          <w:sz w:val="22"/>
          <w:szCs w:val="22"/>
        </w:rPr>
      </w:pPr>
      <w:r w:rsidRPr="00F11608">
        <w:rPr>
          <w:rFonts w:cs="Times New Roman"/>
          <w:sz w:val="22"/>
          <w:szCs w:val="22"/>
        </w:rPr>
        <w:t>The Dudley Group NHS Foundation Trust, Dudley</w:t>
      </w:r>
    </w:p>
    <w:p w14:paraId="4A48E689" w14:textId="2CA1A9AB" w:rsidR="005820CD" w:rsidRPr="00F11608" w:rsidRDefault="005820CD" w:rsidP="00F11608">
      <w:pPr>
        <w:pStyle w:val="Standard1"/>
        <w:numPr>
          <w:ilvl w:val="0"/>
          <w:numId w:val="35"/>
        </w:numPr>
        <w:spacing w:line="480" w:lineRule="auto"/>
        <w:ind w:left="270" w:hanging="720"/>
        <w:rPr>
          <w:rFonts w:cs="Times New Roman"/>
          <w:sz w:val="22"/>
          <w:szCs w:val="22"/>
        </w:rPr>
      </w:pPr>
      <w:r w:rsidRPr="00F11608">
        <w:rPr>
          <w:rFonts w:cs="Times New Roman"/>
          <w:sz w:val="22"/>
          <w:szCs w:val="22"/>
        </w:rPr>
        <w:lastRenderedPageBreak/>
        <w:t>Hull &amp; East Yorkshire Hospitals NHS Trust</w:t>
      </w:r>
    </w:p>
    <w:p w14:paraId="50F6C5EF" w14:textId="486122AE" w:rsidR="005820CD" w:rsidRPr="00F11608" w:rsidRDefault="005820CD" w:rsidP="00F11608">
      <w:pPr>
        <w:pStyle w:val="Standard1"/>
        <w:numPr>
          <w:ilvl w:val="0"/>
          <w:numId w:val="35"/>
        </w:numPr>
        <w:spacing w:line="480" w:lineRule="auto"/>
        <w:ind w:left="270" w:hanging="720"/>
        <w:rPr>
          <w:rFonts w:cs="Times New Roman"/>
          <w:sz w:val="22"/>
          <w:szCs w:val="22"/>
        </w:rPr>
      </w:pPr>
      <w:r w:rsidRPr="00F11608">
        <w:rPr>
          <w:rFonts w:cs="Times New Roman"/>
          <w:sz w:val="22"/>
          <w:szCs w:val="22"/>
        </w:rPr>
        <w:t>NHS Tayside, Dundee</w:t>
      </w:r>
    </w:p>
    <w:p w14:paraId="71F1128A" w14:textId="789CED31" w:rsidR="005820CD" w:rsidRPr="00F11608" w:rsidRDefault="005820CD" w:rsidP="00F11608">
      <w:pPr>
        <w:pStyle w:val="Standard1"/>
        <w:numPr>
          <w:ilvl w:val="0"/>
          <w:numId w:val="35"/>
        </w:numPr>
        <w:spacing w:line="480" w:lineRule="auto"/>
        <w:ind w:left="270" w:hanging="720"/>
        <w:rPr>
          <w:rFonts w:cs="Times New Roman"/>
          <w:sz w:val="22"/>
          <w:szCs w:val="22"/>
        </w:rPr>
      </w:pPr>
      <w:r w:rsidRPr="00F11608">
        <w:rPr>
          <w:rFonts w:cs="Times New Roman"/>
          <w:sz w:val="22"/>
          <w:szCs w:val="22"/>
        </w:rPr>
        <w:t>Epsom &amp; St Helier University Hospitals NHS Trust, St Helier</w:t>
      </w:r>
    </w:p>
    <w:p w14:paraId="7E2BFD2F" w14:textId="374475A6" w:rsidR="005820CD" w:rsidRPr="00F11608" w:rsidRDefault="005820CD" w:rsidP="00F11608">
      <w:pPr>
        <w:pStyle w:val="Standard1"/>
        <w:numPr>
          <w:ilvl w:val="0"/>
          <w:numId w:val="35"/>
        </w:numPr>
        <w:spacing w:line="480" w:lineRule="auto"/>
        <w:ind w:left="270" w:hanging="720"/>
        <w:rPr>
          <w:rFonts w:cs="Times New Roman"/>
          <w:sz w:val="22"/>
          <w:szCs w:val="22"/>
        </w:rPr>
      </w:pPr>
      <w:r w:rsidRPr="00F11608">
        <w:rPr>
          <w:rFonts w:cs="Times New Roman"/>
          <w:sz w:val="22"/>
          <w:szCs w:val="22"/>
        </w:rPr>
        <w:t>University Hospitals Birmingham NHS Foundation Trust</w:t>
      </w:r>
    </w:p>
    <w:p w14:paraId="69C85A7F" w14:textId="3E57BDA5" w:rsidR="00601F8C" w:rsidRPr="00F11608" w:rsidRDefault="00601F8C" w:rsidP="00F11608">
      <w:pPr>
        <w:pStyle w:val="Standard1"/>
        <w:numPr>
          <w:ilvl w:val="0"/>
          <w:numId w:val="35"/>
        </w:numPr>
        <w:spacing w:line="480" w:lineRule="auto"/>
        <w:ind w:left="270" w:hanging="720"/>
        <w:rPr>
          <w:rFonts w:cs="Times New Roman"/>
          <w:sz w:val="22"/>
          <w:szCs w:val="22"/>
        </w:rPr>
      </w:pPr>
      <w:r w:rsidRPr="00F11608">
        <w:rPr>
          <w:rFonts w:cs="Times New Roman"/>
          <w:sz w:val="22"/>
          <w:szCs w:val="22"/>
        </w:rPr>
        <w:t>St George’s University Ho</w:t>
      </w:r>
      <w:r w:rsidR="003B772A" w:rsidRPr="00F11608">
        <w:rPr>
          <w:rFonts w:cs="Times New Roman"/>
          <w:sz w:val="22"/>
          <w:szCs w:val="22"/>
        </w:rPr>
        <w:t>sp</w:t>
      </w:r>
      <w:r w:rsidRPr="00F11608">
        <w:rPr>
          <w:rFonts w:cs="Times New Roman"/>
          <w:sz w:val="22"/>
          <w:szCs w:val="22"/>
        </w:rPr>
        <w:t>itals NHS Foundation Trust</w:t>
      </w:r>
    </w:p>
    <w:p w14:paraId="51530D0E" w14:textId="27575E4E" w:rsidR="003B772A" w:rsidRPr="00F11608" w:rsidRDefault="003B772A" w:rsidP="00F11608">
      <w:pPr>
        <w:pStyle w:val="Standard1"/>
        <w:numPr>
          <w:ilvl w:val="0"/>
          <w:numId w:val="35"/>
        </w:numPr>
        <w:spacing w:line="480" w:lineRule="auto"/>
        <w:ind w:left="270" w:hanging="720"/>
        <w:rPr>
          <w:rFonts w:cs="Times New Roman"/>
          <w:sz w:val="22"/>
          <w:szCs w:val="22"/>
        </w:rPr>
      </w:pPr>
      <w:r w:rsidRPr="00F11608">
        <w:rPr>
          <w:rFonts w:cs="Times New Roman"/>
          <w:sz w:val="22"/>
          <w:szCs w:val="22"/>
        </w:rPr>
        <w:t>North Bristol NHS Trust,</w:t>
      </w:r>
      <w:r w:rsidR="00515149" w:rsidRPr="00F11608">
        <w:rPr>
          <w:rFonts w:cs="Times New Roman"/>
          <w:sz w:val="22"/>
          <w:szCs w:val="22"/>
        </w:rPr>
        <w:t xml:space="preserve"> Southmead Hospital,</w:t>
      </w:r>
      <w:r w:rsidRPr="00F11608">
        <w:rPr>
          <w:rFonts w:cs="Times New Roman"/>
          <w:sz w:val="22"/>
          <w:szCs w:val="22"/>
        </w:rPr>
        <w:t xml:space="preserve"> Bristol</w:t>
      </w:r>
    </w:p>
    <w:p w14:paraId="51828226" w14:textId="05B6E6BC" w:rsidR="00C55303" w:rsidRPr="00F11608" w:rsidRDefault="00C55303" w:rsidP="00F11608">
      <w:pPr>
        <w:pStyle w:val="Standard1"/>
        <w:numPr>
          <w:ilvl w:val="0"/>
          <w:numId w:val="35"/>
        </w:numPr>
        <w:spacing w:line="480" w:lineRule="auto"/>
        <w:ind w:left="270" w:hanging="720"/>
        <w:rPr>
          <w:rFonts w:cs="Times New Roman"/>
          <w:sz w:val="22"/>
          <w:szCs w:val="22"/>
        </w:rPr>
      </w:pPr>
      <w:r w:rsidRPr="00F11608">
        <w:rPr>
          <w:rFonts w:cs="Times New Roman"/>
          <w:sz w:val="22"/>
          <w:szCs w:val="22"/>
        </w:rPr>
        <w:t>Alder Hey Children’s NHS Foundation Trust</w:t>
      </w:r>
    </w:p>
    <w:p w14:paraId="54BE73C4" w14:textId="4AD35C87" w:rsidR="00C55303" w:rsidRPr="00F11608" w:rsidRDefault="00C55303" w:rsidP="00F11608">
      <w:pPr>
        <w:pStyle w:val="Standard1"/>
        <w:numPr>
          <w:ilvl w:val="0"/>
          <w:numId w:val="35"/>
        </w:numPr>
        <w:spacing w:line="480" w:lineRule="auto"/>
        <w:ind w:left="270" w:hanging="720"/>
        <w:rPr>
          <w:rFonts w:cs="Times New Roman"/>
          <w:sz w:val="22"/>
          <w:szCs w:val="22"/>
        </w:rPr>
      </w:pPr>
      <w:r w:rsidRPr="00F11608">
        <w:rPr>
          <w:rFonts w:cs="Times New Roman"/>
          <w:sz w:val="22"/>
          <w:szCs w:val="22"/>
        </w:rPr>
        <w:t>NHS Lothian, Edinburgh</w:t>
      </w:r>
    </w:p>
    <w:p w14:paraId="0B27F33E" w14:textId="72E674EF" w:rsidR="00733522" w:rsidRPr="00F11608" w:rsidRDefault="00733522" w:rsidP="005820CD">
      <w:pPr>
        <w:pStyle w:val="Standard1"/>
        <w:spacing w:line="480" w:lineRule="auto"/>
        <w:ind w:left="709"/>
        <w:rPr>
          <w:rFonts w:cs="Times New Roman"/>
          <w:sz w:val="22"/>
          <w:szCs w:val="22"/>
        </w:rPr>
      </w:pPr>
    </w:p>
    <w:p w14:paraId="0E20F854" w14:textId="21E3599A" w:rsidR="004A01AD" w:rsidRPr="00F11608" w:rsidRDefault="004A01AD" w:rsidP="005820CD">
      <w:pPr>
        <w:pStyle w:val="Standard1"/>
        <w:spacing w:line="480" w:lineRule="auto"/>
        <w:ind w:left="709"/>
        <w:rPr>
          <w:rFonts w:cs="Times New Roman"/>
          <w:sz w:val="22"/>
          <w:szCs w:val="22"/>
        </w:rPr>
      </w:pPr>
    </w:p>
    <w:p w14:paraId="29F12D6E" w14:textId="2468AF8D" w:rsidR="004A01AD" w:rsidRPr="00F11608" w:rsidRDefault="004A01AD" w:rsidP="005820CD">
      <w:pPr>
        <w:pStyle w:val="Standard1"/>
        <w:spacing w:line="480" w:lineRule="auto"/>
        <w:ind w:left="709"/>
        <w:rPr>
          <w:rFonts w:cs="Times New Roman"/>
          <w:sz w:val="22"/>
          <w:szCs w:val="22"/>
        </w:rPr>
      </w:pPr>
    </w:p>
    <w:p w14:paraId="5F237EDA" w14:textId="6FC647BC" w:rsidR="004A01AD" w:rsidRPr="00F11608" w:rsidRDefault="004A01AD" w:rsidP="005820CD">
      <w:pPr>
        <w:pStyle w:val="Standard1"/>
        <w:spacing w:line="480" w:lineRule="auto"/>
        <w:ind w:left="709"/>
        <w:rPr>
          <w:rFonts w:cs="Times New Roman"/>
          <w:sz w:val="22"/>
          <w:szCs w:val="22"/>
        </w:rPr>
      </w:pPr>
    </w:p>
    <w:p w14:paraId="24BAEFA2" w14:textId="3287E8E7" w:rsidR="004A01AD" w:rsidRPr="00F11608" w:rsidRDefault="004A01AD" w:rsidP="005820CD">
      <w:pPr>
        <w:pStyle w:val="Standard1"/>
        <w:spacing w:line="480" w:lineRule="auto"/>
        <w:ind w:left="709"/>
        <w:rPr>
          <w:rFonts w:cs="Times New Roman"/>
          <w:sz w:val="22"/>
          <w:szCs w:val="22"/>
        </w:rPr>
      </w:pPr>
    </w:p>
    <w:p w14:paraId="22FEB199" w14:textId="1FEFFF98" w:rsidR="004A01AD" w:rsidRPr="00F11608" w:rsidRDefault="004A01AD" w:rsidP="005820CD">
      <w:pPr>
        <w:pStyle w:val="Standard1"/>
        <w:spacing w:line="480" w:lineRule="auto"/>
        <w:ind w:left="709"/>
        <w:rPr>
          <w:rFonts w:cs="Times New Roman"/>
          <w:sz w:val="22"/>
          <w:szCs w:val="22"/>
        </w:rPr>
      </w:pPr>
    </w:p>
    <w:p w14:paraId="552D28DC" w14:textId="40855411" w:rsidR="004A01AD" w:rsidRPr="00F11608" w:rsidRDefault="004A01AD" w:rsidP="005820CD">
      <w:pPr>
        <w:pStyle w:val="Standard1"/>
        <w:spacing w:line="480" w:lineRule="auto"/>
        <w:ind w:left="709"/>
        <w:rPr>
          <w:rFonts w:cs="Times New Roman"/>
          <w:sz w:val="22"/>
          <w:szCs w:val="22"/>
        </w:rPr>
      </w:pPr>
    </w:p>
    <w:p w14:paraId="55F6E957" w14:textId="7C628E49" w:rsidR="004A01AD" w:rsidRPr="00F11608" w:rsidRDefault="004A01AD" w:rsidP="005820CD">
      <w:pPr>
        <w:pStyle w:val="Standard1"/>
        <w:spacing w:line="480" w:lineRule="auto"/>
        <w:ind w:left="709"/>
        <w:rPr>
          <w:rFonts w:cs="Times New Roman"/>
          <w:sz w:val="22"/>
          <w:szCs w:val="22"/>
        </w:rPr>
      </w:pPr>
    </w:p>
    <w:p w14:paraId="6BF984FF" w14:textId="77777777" w:rsidR="004A01AD" w:rsidRPr="00F11608" w:rsidRDefault="004A01AD" w:rsidP="005820CD">
      <w:pPr>
        <w:pStyle w:val="Standard1"/>
        <w:spacing w:line="480" w:lineRule="auto"/>
        <w:ind w:left="709"/>
        <w:rPr>
          <w:rFonts w:cs="Times New Roman"/>
          <w:sz w:val="22"/>
          <w:szCs w:val="22"/>
        </w:rPr>
      </w:pPr>
    </w:p>
    <w:p w14:paraId="27FDD46F" w14:textId="77777777" w:rsidR="00A713F6" w:rsidRPr="00F11608" w:rsidRDefault="00A713F6" w:rsidP="000E3A09">
      <w:pPr>
        <w:rPr>
          <w:b/>
        </w:rPr>
        <w:sectPr w:rsidR="00A713F6" w:rsidRPr="00F11608" w:rsidSect="000D71E2">
          <w:headerReference w:type="default" r:id="rId8"/>
          <w:footerReference w:type="default" r:id="rId9"/>
          <w:pgSz w:w="11906" w:h="16838"/>
          <w:pgMar w:top="1701" w:right="1701" w:bottom="1701" w:left="1701" w:header="709" w:footer="709" w:gutter="0"/>
          <w:cols w:space="708"/>
          <w:docGrid w:linePitch="360"/>
        </w:sectPr>
      </w:pPr>
    </w:p>
    <w:p w14:paraId="2D76255D" w14:textId="54FDCF12" w:rsidR="000D71E2" w:rsidRPr="00F11608" w:rsidRDefault="000D71E2" w:rsidP="000E3A09">
      <w:pPr>
        <w:rPr>
          <w:b/>
        </w:rPr>
      </w:pPr>
      <w:r w:rsidRPr="00F11608">
        <w:rPr>
          <w:b/>
        </w:rPr>
        <w:lastRenderedPageBreak/>
        <w:t>Key words</w:t>
      </w:r>
    </w:p>
    <w:p w14:paraId="1D493436" w14:textId="49E12A23" w:rsidR="00D517AA" w:rsidRPr="00F11608" w:rsidRDefault="00D517AA" w:rsidP="000E3A09">
      <w:r w:rsidRPr="00F11608">
        <w:t>Primary immunodeficiency, infections, intravenous immunoglobulin (IVIG), registry, therapy/immunotherapy</w:t>
      </w:r>
    </w:p>
    <w:p w14:paraId="440A2845" w14:textId="77919D93" w:rsidR="000C3CAD" w:rsidRPr="00F11608" w:rsidRDefault="000D71E2" w:rsidP="000E3A09">
      <w:pPr>
        <w:rPr>
          <w:b/>
        </w:rPr>
      </w:pPr>
      <w:r w:rsidRPr="00F11608">
        <w:rPr>
          <w:b/>
        </w:rPr>
        <w:t>Abbreviations</w:t>
      </w:r>
    </w:p>
    <w:tbl>
      <w:tblPr>
        <w:tblStyle w:val="TableGrid"/>
        <w:tblW w:w="0" w:type="auto"/>
        <w:tblLook w:val="04A0" w:firstRow="1" w:lastRow="0" w:firstColumn="1" w:lastColumn="0" w:noHBand="0" w:noVBand="1"/>
      </w:tblPr>
      <w:tblGrid>
        <w:gridCol w:w="1951"/>
        <w:gridCol w:w="6769"/>
      </w:tblGrid>
      <w:tr w:rsidR="000C3CAD" w:rsidRPr="00F11608" w14:paraId="412B858E" w14:textId="77777777" w:rsidTr="000E3A09">
        <w:tc>
          <w:tcPr>
            <w:tcW w:w="1951" w:type="dxa"/>
          </w:tcPr>
          <w:p w14:paraId="36B26ABA" w14:textId="4229AFC1" w:rsidR="000C3CAD" w:rsidRPr="00F11608" w:rsidRDefault="000C3CAD" w:rsidP="000C3CAD">
            <w:pPr>
              <w:pStyle w:val="TableText"/>
            </w:pPr>
            <w:r w:rsidRPr="00F11608">
              <w:t>UKPIN</w:t>
            </w:r>
          </w:p>
        </w:tc>
        <w:tc>
          <w:tcPr>
            <w:tcW w:w="6769" w:type="dxa"/>
          </w:tcPr>
          <w:p w14:paraId="75B523CE" w14:textId="675930EC" w:rsidR="000C3CAD" w:rsidRPr="00F11608" w:rsidRDefault="000C3CAD" w:rsidP="000C3CAD">
            <w:pPr>
              <w:pStyle w:val="TableText"/>
            </w:pPr>
            <w:r w:rsidRPr="00F11608">
              <w:t xml:space="preserve">UK Primary </w:t>
            </w:r>
            <w:r w:rsidR="00D517AA" w:rsidRPr="00F11608">
              <w:t>Immunodeficiency</w:t>
            </w:r>
            <w:r w:rsidRPr="00F11608">
              <w:t xml:space="preserve"> Network</w:t>
            </w:r>
          </w:p>
        </w:tc>
      </w:tr>
      <w:tr w:rsidR="000C3CAD" w:rsidRPr="00F11608" w14:paraId="642E7713" w14:textId="77777777" w:rsidTr="000E3A09">
        <w:tc>
          <w:tcPr>
            <w:tcW w:w="1951" w:type="dxa"/>
          </w:tcPr>
          <w:p w14:paraId="3DAF6BD5" w14:textId="678DF9DE" w:rsidR="000C3CAD" w:rsidRPr="00F11608" w:rsidRDefault="000C3CAD" w:rsidP="000C3CAD">
            <w:pPr>
              <w:pStyle w:val="TableText"/>
            </w:pPr>
            <w:r w:rsidRPr="00F11608">
              <w:t>PID</w:t>
            </w:r>
          </w:p>
        </w:tc>
        <w:tc>
          <w:tcPr>
            <w:tcW w:w="6769" w:type="dxa"/>
          </w:tcPr>
          <w:p w14:paraId="0DC89CA7" w14:textId="576B8480" w:rsidR="000C3CAD" w:rsidRPr="00F11608" w:rsidRDefault="000C3CAD" w:rsidP="000C3CAD">
            <w:pPr>
              <w:pStyle w:val="TableText"/>
            </w:pPr>
            <w:r w:rsidRPr="00F11608">
              <w:t xml:space="preserve">Primary </w:t>
            </w:r>
            <w:r w:rsidR="00D517AA" w:rsidRPr="00F11608">
              <w:t>Immunodeficiency</w:t>
            </w:r>
          </w:p>
        </w:tc>
      </w:tr>
      <w:tr w:rsidR="000C3CAD" w:rsidRPr="00F11608" w14:paraId="60BFF025" w14:textId="77777777" w:rsidTr="000E3A09">
        <w:tc>
          <w:tcPr>
            <w:tcW w:w="1951" w:type="dxa"/>
          </w:tcPr>
          <w:p w14:paraId="659B0DE2" w14:textId="5F8CBE04" w:rsidR="000C3CAD" w:rsidRPr="00F11608" w:rsidRDefault="000C3CAD" w:rsidP="000C3CAD">
            <w:pPr>
              <w:pStyle w:val="TableText"/>
            </w:pPr>
            <w:r w:rsidRPr="00F11608">
              <w:t>HSCT</w:t>
            </w:r>
          </w:p>
        </w:tc>
        <w:tc>
          <w:tcPr>
            <w:tcW w:w="6769" w:type="dxa"/>
          </w:tcPr>
          <w:p w14:paraId="08708C38" w14:textId="16492DF2" w:rsidR="000C3CAD" w:rsidRPr="00F11608" w:rsidRDefault="00D517AA" w:rsidP="000C3CAD">
            <w:pPr>
              <w:pStyle w:val="TableText"/>
            </w:pPr>
            <w:r w:rsidRPr="00F11608">
              <w:t>Haematopoietic</w:t>
            </w:r>
            <w:r w:rsidR="000C3CAD" w:rsidRPr="00F11608">
              <w:t xml:space="preserve"> Stem Cell Transplantation</w:t>
            </w:r>
          </w:p>
        </w:tc>
      </w:tr>
      <w:tr w:rsidR="000C3CAD" w:rsidRPr="00F11608" w14:paraId="5CE3B4C4" w14:textId="77777777" w:rsidTr="000E3A09">
        <w:tc>
          <w:tcPr>
            <w:tcW w:w="1951" w:type="dxa"/>
          </w:tcPr>
          <w:p w14:paraId="3E6CB74C" w14:textId="6D7E6720" w:rsidR="000C3CAD" w:rsidRPr="00F11608" w:rsidRDefault="000C3CAD" w:rsidP="000C3CAD">
            <w:pPr>
              <w:pStyle w:val="TableText"/>
            </w:pPr>
            <w:r w:rsidRPr="00F11608">
              <w:t>JAK 3</w:t>
            </w:r>
          </w:p>
        </w:tc>
        <w:tc>
          <w:tcPr>
            <w:tcW w:w="6769" w:type="dxa"/>
          </w:tcPr>
          <w:p w14:paraId="6BC0C21D" w14:textId="216128BB" w:rsidR="000C3CAD" w:rsidRPr="00F11608" w:rsidRDefault="000C3CAD" w:rsidP="000C3CAD">
            <w:pPr>
              <w:pStyle w:val="TableText"/>
            </w:pPr>
            <w:r w:rsidRPr="00F11608">
              <w:t>Janus Kinase 3</w:t>
            </w:r>
          </w:p>
        </w:tc>
      </w:tr>
      <w:tr w:rsidR="000C3CAD" w:rsidRPr="00F11608" w14:paraId="78141A13" w14:textId="77777777" w:rsidTr="000E3A09">
        <w:tc>
          <w:tcPr>
            <w:tcW w:w="1951" w:type="dxa"/>
          </w:tcPr>
          <w:p w14:paraId="269AA224" w14:textId="4C40D2C8" w:rsidR="000C3CAD" w:rsidRPr="00F11608" w:rsidRDefault="000C3CAD" w:rsidP="000C3CAD">
            <w:pPr>
              <w:pStyle w:val="TableText"/>
            </w:pPr>
            <w:r w:rsidRPr="00F11608">
              <w:t>ESID</w:t>
            </w:r>
          </w:p>
        </w:tc>
        <w:tc>
          <w:tcPr>
            <w:tcW w:w="6769" w:type="dxa"/>
          </w:tcPr>
          <w:p w14:paraId="154AF7E0" w14:textId="59793B48" w:rsidR="000C3CAD" w:rsidRPr="00F11608" w:rsidRDefault="00D517AA" w:rsidP="000C3CAD">
            <w:pPr>
              <w:pStyle w:val="TableText"/>
            </w:pPr>
            <w:r w:rsidRPr="00F11608">
              <w:t>European Society for Immunodeficiencies</w:t>
            </w:r>
          </w:p>
        </w:tc>
      </w:tr>
      <w:tr w:rsidR="000C3CAD" w:rsidRPr="00F11608" w14:paraId="697731D3" w14:textId="77777777" w:rsidTr="000E3A09">
        <w:tc>
          <w:tcPr>
            <w:tcW w:w="1951" w:type="dxa"/>
          </w:tcPr>
          <w:p w14:paraId="3639329B" w14:textId="72E995B0" w:rsidR="000C3CAD" w:rsidRPr="00F11608" w:rsidRDefault="00D517AA" w:rsidP="000C3CAD">
            <w:pPr>
              <w:pStyle w:val="TableText"/>
            </w:pPr>
            <w:r w:rsidRPr="00F11608">
              <w:t>CEREDIH</w:t>
            </w:r>
          </w:p>
        </w:tc>
        <w:tc>
          <w:tcPr>
            <w:tcW w:w="6769" w:type="dxa"/>
          </w:tcPr>
          <w:p w14:paraId="4B5726C5" w14:textId="169C54E9" w:rsidR="000C3CAD" w:rsidRPr="00F11608" w:rsidRDefault="00D517AA" w:rsidP="00D517AA">
            <w:pPr>
              <w:pStyle w:val="TableText"/>
            </w:pPr>
            <w:r w:rsidRPr="00F11608">
              <w:t>Le Centre de Référence Déficits Immunitaires Héréditaires</w:t>
            </w:r>
          </w:p>
        </w:tc>
      </w:tr>
      <w:tr w:rsidR="000C3CAD" w:rsidRPr="00F11608" w14:paraId="1048DA99" w14:textId="77777777" w:rsidTr="000E3A09">
        <w:tc>
          <w:tcPr>
            <w:tcW w:w="1951" w:type="dxa"/>
          </w:tcPr>
          <w:p w14:paraId="1CBF58D3" w14:textId="30105E30" w:rsidR="000C3CAD" w:rsidRPr="00F11608" w:rsidRDefault="00D517AA" w:rsidP="000C3CAD">
            <w:pPr>
              <w:pStyle w:val="TableText"/>
            </w:pPr>
            <w:r w:rsidRPr="00F11608">
              <w:t>CVID</w:t>
            </w:r>
          </w:p>
        </w:tc>
        <w:tc>
          <w:tcPr>
            <w:tcW w:w="6769" w:type="dxa"/>
          </w:tcPr>
          <w:p w14:paraId="73BF6314" w14:textId="0553D717" w:rsidR="000C3CAD" w:rsidRPr="00F11608" w:rsidRDefault="00D517AA" w:rsidP="000C3CAD">
            <w:pPr>
              <w:pStyle w:val="TableText"/>
            </w:pPr>
            <w:r w:rsidRPr="00F11608">
              <w:t>Common Variable Immunodeficiency</w:t>
            </w:r>
          </w:p>
        </w:tc>
      </w:tr>
      <w:tr w:rsidR="000C3CAD" w:rsidRPr="00F11608" w14:paraId="1071AA69" w14:textId="77777777" w:rsidTr="000E3A09">
        <w:tc>
          <w:tcPr>
            <w:tcW w:w="1951" w:type="dxa"/>
          </w:tcPr>
          <w:p w14:paraId="55F6DB73" w14:textId="64F156E4" w:rsidR="000C3CAD" w:rsidRPr="00F11608" w:rsidRDefault="00D517AA" w:rsidP="000C3CAD">
            <w:pPr>
              <w:pStyle w:val="TableText"/>
            </w:pPr>
            <w:r w:rsidRPr="00F11608">
              <w:t>HAE</w:t>
            </w:r>
          </w:p>
        </w:tc>
        <w:tc>
          <w:tcPr>
            <w:tcW w:w="6769" w:type="dxa"/>
          </w:tcPr>
          <w:p w14:paraId="7A4DA9A2" w14:textId="796E4CCF" w:rsidR="000C3CAD" w:rsidRPr="00F11608" w:rsidRDefault="00D517AA" w:rsidP="000C3CAD">
            <w:pPr>
              <w:pStyle w:val="TableText"/>
            </w:pPr>
            <w:r w:rsidRPr="00F11608">
              <w:t>Hereditary Angioedema</w:t>
            </w:r>
          </w:p>
        </w:tc>
      </w:tr>
      <w:tr w:rsidR="000C3CAD" w:rsidRPr="00F11608" w14:paraId="14120D4E" w14:textId="77777777" w:rsidTr="000E3A09">
        <w:tc>
          <w:tcPr>
            <w:tcW w:w="1951" w:type="dxa"/>
          </w:tcPr>
          <w:p w14:paraId="73A329AD" w14:textId="634DA9E4" w:rsidR="000C3CAD" w:rsidRPr="00F11608" w:rsidRDefault="00D517AA" w:rsidP="000C3CAD">
            <w:pPr>
              <w:pStyle w:val="TableText"/>
            </w:pPr>
            <w:r w:rsidRPr="00F11608">
              <w:t>IUIS</w:t>
            </w:r>
          </w:p>
        </w:tc>
        <w:tc>
          <w:tcPr>
            <w:tcW w:w="6769" w:type="dxa"/>
          </w:tcPr>
          <w:p w14:paraId="5582C024" w14:textId="085C1FB6" w:rsidR="000C3CAD" w:rsidRPr="00F11608" w:rsidRDefault="00D517AA" w:rsidP="000C3CAD">
            <w:pPr>
              <w:pStyle w:val="TableText"/>
            </w:pPr>
            <w:r w:rsidRPr="00F11608">
              <w:t>International Union of Immunological Societies</w:t>
            </w:r>
          </w:p>
        </w:tc>
      </w:tr>
      <w:tr w:rsidR="000C3CAD" w:rsidRPr="00F11608" w14:paraId="629BF51F" w14:textId="77777777" w:rsidTr="000E3A09">
        <w:tc>
          <w:tcPr>
            <w:tcW w:w="1951" w:type="dxa"/>
          </w:tcPr>
          <w:p w14:paraId="13953637" w14:textId="765338C8" w:rsidR="000C3CAD" w:rsidRPr="00F11608" w:rsidRDefault="00D517AA" w:rsidP="000C3CAD">
            <w:pPr>
              <w:pStyle w:val="TableText"/>
            </w:pPr>
            <w:r w:rsidRPr="00F11608">
              <w:t>IQR</w:t>
            </w:r>
          </w:p>
        </w:tc>
        <w:tc>
          <w:tcPr>
            <w:tcW w:w="6769" w:type="dxa"/>
          </w:tcPr>
          <w:p w14:paraId="5E4D9D64" w14:textId="2DD8CB94" w:rsidR="000C3CAD" w:rsidRPr="00F11608" w:rsidRDefault="00D517AA" w:rsidP="000C3CAD">
            <w:pPr>
              <w:pStyle w:val="TableText"/>
            </w:pPr>
            <w:r w:rsidRPr="00F11608">
              <w:t>Interquartile Range</w:t>
            </w:r>
          </w:p>
        </w:tc>
      </w:tr>
    </w:tbl>
    <w:p w14:paraId="72D6388F" w14:textId="77777777" w:rsidR="000C3CAD" w:rsidRPr="00F11608" w:rsidRDefault="000C3CAD" w:rsidP="000D71E2">
      <w:pPr>
        <w:jc w:val="center"/>
        <w:sectPr w:rsidR="000C3CAD" w:rsidRPr="00F11608" w:rsidSect="000D71E2">
          <w:pgSz w:w="11906" w:h="16838"/>
          <w:pgMar w:top="1701" w:right="1701" w:bottom="1701" w:left="1701" w:header="709" w:footer="709" w:gutter="0"/>
          <w:cols w:space="708"/>
          <w:docGrid w:linePitch="360"/>
        </w:sectPr>
      </w:pPr>
    </w:p>
    <w:p w14:paraId="66976617" w14:textId="494663EE" w:rsidR="000D71E2" w:rsidRPr="00F11608" w:rsidRDefault="000D71E2" w:rsidP="000D71E2">
      <w:pPr>
        <w:pStyle w:val="Heading1"/>
        <w:numPr>
          <w:ilvl w:val="0"/>
          <w:numId w:val="0"/>
        </w:numPr>
        <w:ind w:left="432" w:hanging="432"/>
        <w:jc w:val="left"/>
        <w:rPr>
          <w:rFonts w:ascii="Times New Roman" w:hAnsi="Times New Roman"/>
          <w:sz w:val="22"/>
          <w:szCs w:val="22"/>
        </w:rPr>
      </w:pPr>
      <w:r w:rsidRPr="00F11608">
        <w:rPr>
          <w:rFonts w:ascii="Times New Roman" w:hAnsi="Times New Roman"/>
          <w:sz w:val="22"/>
          <w:szCs w:val="22"/>
        </w:rPr>
        <w:t>Summary</w:t>
      </w:r>
    </w:p>
    <w:p w14:paraId="2C747B87" w14:textId="7B4FCFB4" w:rsidR="000F120A" w:rsidRPr="00F11608" w:rsidRDefault="000F120A" w:rsidP="000F120A">
      <w:pPr>
        <w:sectPr w:rsidR="000F120A" w:rsidRPr="00F11608" w:rsidSect="000D71E2">
          <w:pgSz w:w="11906" w:h="16838"/>
          <w:pgMar w:top="1701" w:right="1701" w:bottom="1701" w:left="1701" w:header="709" w:footer="709" w:gutter="0"/>
          <w:cols w:space="708"/>
          <w:docGrid w:linePitch="360"/>
        </w:sectPr>
      </w:pPr>
      <w:r w:rsidRPr="00F11608">
        <w:t xml:space="preserve">This is the second report of the United Kingdom Primary Immunodeficiency (UKPID) registry.  </w:t>
      </w:r>
      <w:r w:rsidR="007D7092" w:rsidRPr="00F11608">
        <w:rPr>
          <w:rFonts w:cs="Times New Roman"/>
        </w:rPr>
        <w:t>The</w:t>
      </w:r>
      <w:r w:rsidR="002746D9" w:rsidRPr="00F11608">
        <w:t xml:space="preserve"> registry will be a decade old i</w:t>
      </w:r>
      <w:r w:rsidR="00683BDA" w:rsidRPr="00F11608">
        <w:t>n 2018 and</w:t>
      </w:r>
      <w:r w:rsidR="00D72354">
        <w:t>,</w:t>
      </w:r>
      <w:r w:rsidR="00683BDA" w:rsidRPr="00F11608">
        <w:t xml:space="preserve"> as of August</w:t>
      </w:r>
      <w:r w:rsidRPr="00F11608">
        <w:t xml:space="preserve"> 2017</w:t>
      </w:r>
      <w:r w:rsidR="00D72354">
        <w:t>,</w:t>
      </w:r>
      <w:r w:rsidR="00683BDA" w:rsidRPr="00F11608">
        <w:rPr>
          <w:rFonts w:cs="Times New Roman"/>
        </w:rPr>
        <w:t xml:space="preserve"> ha</w:t>
      </w:r>
      <w:r w:rsidR="007D7092" w:rsidRPr="00F11608">
        <w:rPr>
          <w:rFonts w:cs="Times New Roman"/>
        </w:rPr>
        <w:t>d</w:t>
      </w:r>
      <w:r w:rsidR="00683BDA" w:rsidRPr="00F11608">
        <w:t xml:space="preserve"> recruited </w:t>
      </w:r>
      <w:r w:rsidR="00683BDA" w:rsidRPr="00F11608">
        <w:rPr>
          <w:rFonts w:cs="Times New Roman"/>
        </w:rPr>
        <w:t>4758</w:t>
      </w:r>
      <w:r w:rsidRPr="00F11608">
        <w:t xml:space="preserve"> patients encompassing 97% of immunology centres within the UK.</w:t>
      </w:r>
      <w:r w:rsidR="002746D9" w:rsidRPr="00F11608">
        <w:t xml:space="preserve">  </w:t>
      </w:r>
      <w:r w:rsidR="00F44E6B">
        <w:rPr>
          <w:rFonts w:cs="Times New Roman"/>
        </w:rPr>
        <w:t>This represents</w:t>
      </w:r>
      <w:r w:rsidR="007D7092" w:rsidRPr="00F11608">
        <w:rPr>
          <w:rFonts w:cs="Times New Roman"/>
        </w:rPr>
        <w:t xml:space="preserve"> a doubling</w:t>
      </w:r>
      <w:r w:rsidR="00052DAD" w:rsidRPr="00F11608">
        <w:t xml:space="preserve"> of </w:t>
      </w:r>
      <w:r w:rsidR="007D7092" w:rsidRPr="00F11608">
        <w:rPr>
          <w:rFonts w:cs="Times New Roman"/>
        </w:rPr>
        <w:t xml:space="preserve">recruitment into the registry since we reported on </w:t>
      </w:r>
      <w:r w:rsidR="00052DAD" w:rsidRPr="00F11608">
        <w:rPr>
          <w:rFonts w:cs="Times New Roman"/>
        </w:rPr>
        <w:t xml:space="preserve">2229 </w:t>
      </w:r>
      <w:r w:rsidR="007D7092" w:rsidRPr="00F11608">
        <w:rPr>
          <w:rFonts w:cs="Times New Roman"/>
        </w:rPr>
        <w:t xml:space="preserve">patients included in </w:t>
      </w:r>
      <w:r w:rsidR="00566F42" w:rsidRPr="00F11608">
        <w:t xml:space="preserve">our first report </w:t>
      </w:r>
      <w:r w:rsidR="007D7092" w:rsidRPr="00F11608">
        <w:rPr>
          <w:rFonts w:cs="Times New Roman"/>
        </w:rPr>
        <w:t>of</w:t>
      </w:r>
      <w:r w:rsidR="00566F42" w:rsidRPr="00F11608">
        <w:t xml:space="preserve"> 2013</w:t>
      </w:r>
      <w:r w:rsidR="00052DAD" w:rsidRPr="00F11608">
        <w:t>.  Minimum PID preval</w:t>
      </w:r>
      <w:r w:rsidR="0050146E">
        <w:t xml:space="preserve">ence </w:t>
      </w:r>
      <w:r w:rsidR="00D72354">
        <w:t>in the UK is currently 5.90/100</w:t>
      </w:r>
      <w:r w:rsidR="0050146E">
        <w:t xml:space="preserve">000 and an average incidence of PID between 1980 and 2000 of 7.6 cases per 100000 UK live births. </w:t>
      </w:r>
      <w:r w:rsidR="00AA4188" w:rsidRPr="00F11608">
        <w:t xml:space="preserve">  </w:t>
      </w:r>
      <w:r w:rsidR="00052DAD" w:rsidRPr="00F11608">
        <w:t>Data are presented on the frequency of diseases recorded, disease prevalence</w:t>
      </w:r>
      <w:r w:rsidR="00566F42" w:rsidRPr="00F11608">
        <w:t>,</w:t>
      </w:r>
      <w:r w:rsidR="00052DAD" w:rsidRPr="00F11608">
        <w:t xml:space="preserve"> diagnostic delay and treatment modality including </w:t>
      </w:r>
      <w:r w:rsidR="00972383" w:rsidRPr="00F11608">
        <w:t>haematopoietic</w:t>
      </w:r>
      <w:r w:rsidR="00052DAD" w:rsidRPr="00F11608">
        <w:t xml:space="preserve"> stem cell transplantation (HSCT) </w:t>
      </w:r>
      <w:r w:rsidR="00120D55" w:rsidRPr="00F11608">
        <w:t xml:space="preserve">and </w:t>
      </w:r>
      <w:r w:rsidR="00052DAD" w:rsidRPr="00F11608">
        <w:t>gene therapy.  The registry provides valuable information to clinicians, researchers</w:t>
      </w:r>
      <w:r w:rsidR="00515149" w:rsidRPr="00F11608">
        <w:t>, service commissioners</w:t>
      </w:r>
      <w:r w:rsidR="00052DAD" w:rsidRPr="00F11608">
        <w:t xml:space="preserve"> and industry alike on PID within the UK, which may not otherwise be available without the existence of a well-established registry.</w:t>
      </w:r>
    </w:p>
    <w:p w14:paraId="70FD8CC8" w14:textId="2DE5DE8C" w:rsidR="008548CC" w:rsidRPr="00F11608" w:rsidRDefault="008548CC" w:rsidP="008548CC">
      <w:pPr>
        <w:pStyle w:val="Heading1"/>
        <w:numPr>
          <w:ilvl w:val="0"/>
          <w:numId w:val="0"/>
        </w:numPr>
        <w:jc w:val="both"/>
        <w:rPr>
          <w:rFonts w:ascii="Times New Roman" w:hAnsi="Times New Roman"/>
          <w:sz w:val="22"/>
          <w:szCs w:val="22"/>
        </w:rPr>
      </w:pPr>
      <w:r w:rsidRPr="00F11608">
        <w:rPr>
          <w:rFonts w:ascii="Times New Roman" w:hAnsi="Times New Roman"/>
          <w:sz w:val="22"/>
          <w:szCs w:val="22"/>
        </w:rPr>
        <w:t>Introduction</w:t>
      </w:r>
    </w:p>
    <w:p w14:paraId="4876D283" w14:textId="3DCE62AB" w:rsidR="008548CC" w:rsidRPr="00F11608" w:rsidRDefault="008548CC" w:rsidP="008548CC">
      <w:r w:rsidRPr="00F11608">
        <w:t xml:space="preserve">Primary immunodeficiencies (PID) </w:t>
      </w:r>
      <w:r w:rsidR="00AC1832" w:rsidRPr="00F11608">
        <w:t>are</w:t>
      </w:r>
      <w:r w:rsidRPr="00F11608">
        <w:t xml:space="preserve"> rare diseases </w:t>
      </w:r>
      <w:r w:rsidR="002F0A84" w:rsidRPr="00F11608">
        <w:rPr>
          <w:rFonts w:cs="Times New Roman"/>
        </w:rPr>
        <w:t>with a reported preval</w:t>
      </w:r>
      <w:r w:rsidR="00D72354">
        <w:rPr>
          <w:rFonts w:cs="Times New Roman"/>
        </w:rPr>
        <w:t xml:space="preserve">ence between 1:16000 to 1:50000 </w:t>
      </w:r>
      <w:r w:rsidR="002F0A84" w:rsidRPr="00F11608">
        <w:rPr>
          <w:rFonts w:cs="Times New Roman"/>
        </w:rPr>
        <w:fldChar w:fldCharType="begin" w:fldLock="1"/>
      </w:r>
      <w:r w:rsidR="0022310E">
        <w:rPr>
          <w:rFonts w:cs="Times New Roman"/>
        </w:rPr>
        <w:instrText>ADDIN CSL_CITATION { "citationItems" : [ { "id" : "ITEM-1", "itemData" : { "DOI" : "10.1111/cei.12496", "ISSN" : "00099104", "PMID" : "25546747", "author" : [ { "dropping-particle" : "", "family" : "Grimbacher", "given" : "B.", "non-dropping-particle" : "", "parse-names" : false, "suffix" : "" } ], "container-title" : "Clinical &amp; Experimental Immunology", "id" : "ITEM-1", "issue" : "S1", "issued" : { "date-parts" : [ [ "2014", "12" ] ] }, "page" : "18-20", "title" : "The European Society for Immunodeficiencies (ESID) registry 2014", "type" : "article-journal", "volume" : "178" }, "uris" : [ "http://www.mendeley.com/documents/?uuid=8d61bc10-e068-4758-8df8-8ffba87ca126" ] } ], "mendeley" : { "formattedCitation" : "(1)", "plainTextFormattedCitation" : "(1)", "previouslyFormattedCitation" : "(1)" }, "properties" : { "noteIndex" : 0 }, "schema" : "https://github.com/citation-style-language/schema/raw/master/csl-citation.json" }</w:instrText>
      </w:r>
      <w:r w:rsidR="002F0A84" w:rsidRPr="00F11608">
        <w:rPr>
          <w:rFonts w:cs="Times New Roman"/>
        </w:rPr>
        <w:fldChar w:fldCharType="separate"/>
      </w:r>
      <w:r w:rsidR="0022310E" w:rsidRPr="0022310E">
        <w:rPr>
          <w:rFonts w:cs="Times New Roman"/>
          <w:noProof/>
        </w:rPr>
        <w:t>(1)</w:t>
      </w:r>
      <w:r w:rsidR="002F0A84" w:rsidRPr="00F11608">
        <w:rPr>
          <w:rFonts w:cs="Times New Roman"/>
        </w:rPr>
        <w:fldChar w:fldCharType="end"/>
      </w:r>
      <w:r w:rsidR="00D72354">
        <w:rPr>
          <w:rFonts w:cs="Times New Roman"/>
        </w:rPr>
        <w:t>.</w:t>
      </w:r>
      <w:r w:rsidR="002F0A84" w:rsidRPr="00F11608">
        <w:rPr>
          <w:rFonts w:cs="Times New Roman"/>
        </w:rPr>
        <w:t xml:space="preserve"> </w:t>
      </w:r>
      <w:r w:rsidR="00D72354">
        <w:rPr>
          <w:rFonts w:cs="Times New Roman"/>
        </w:rPr>
        <w:t xml:space="preserve"> </w:t>
      </w:r>
      <w:r w:rsidR="002F0A84" w:rsidRPr="00F11608">
        <w:rPr>
          <w:rFonts w:cs="Times New Roman"/>
        </w:rPr>
        <w:t>T</w:t>
      </w:r>
      <w:r w:rsidR="007D7092" w:rsidRPr="00F11608">
        <w:rPr>
          <w:rFonts w:cs="Times New Roman"/>
        </w:rPr>
        <w:t xml:space="preserve">he </w:t>
      </w:r>
      <w:r w:rsidR="00B21CE2" w:rsidRPr="00F11608">
        <w:rPr>
          <w:rFonts w:cs="Times New Roman"/>
        </w:rPr>
        <w:t>small</w:t>
      </w:r>
      <w:r w:rsidRPr="00F11608">
        <w:t xml:space="preserve"> numbers of patients cared for by ind</w:t>
      </w:r>
      <w:r w:rsidR="007E588C" w:rsidRPr="00F11608">
        <w:t>ividu</w:t>
      </w:r>
      <w:r w:rsidR="000E4892" w:rsidRPr="00F11608">
        <w:t xml:space="preserve">al centres provides </w:t>
      </w:r>
      <w:r w:rsidR="007D7092" w:rsidRPr="00F11608">
        <w:rPr>
          <w:rFonts w:cs="Times New Roman"/>
        </w:rPr>
        <w:t xml:space="preserve">challenges </w:t>
      </w:r>
      <w:r w:rsidRPr="00F11608">
        <w:t>to</w:t>
      </w:r>
      <w:r w:rsidR="0039775E" w:rsidRPr="00F11608">
        <w:t xml:space="preserve"> effective diagnosis, clinical care and</w:t>
      </w:r>
      <w:r w:rsidRPr="00F11608">
        <w:t xml:space="preserve"> research.  National and international regi</w:t>
      </w:r>
      <w:r w:rsidR="00731406" w:rsidRPr="00F11608">
        <w:t xml:space="preserve">stries have sought to </w:t>
      </w:r>
      <w:r w:rsidR="007D7092" w:rsidRPr="00F11608">
        <w:rPr>
          <w:rFonts w:cs="Times New Roman"/>
        </w:rPr>
        <w:t>overcome</w:t>
      </w:r>
      <w:r w:rsidR="00731406" w:rsidRPr="00F11608">
        <w:t xml:space="preserve"> the</w:t>
      </w:r>
      <w:r w:rsidRPr="00F11608">
        <w:t xml:space="preserve">se barriers </w:t>
      </w:r>
      <w:r w:rsidR="007D7092" w:rsidRPr="00F11608">
        <w:rPr>
          <w:rFonts w:cs="Times New Roman"/>
        </w:rPr>
        <w:t>by</w:t>
      </w:r>
      <w:r w:rsidRPr="00F11608">
        <w:t xml:space="preserve"> encouraging collaboration and providing valuable datasets to </w:t>
      </w:r>
      <w:r w:rsidR="0039775E" w:rsidRPr="00F11608">
        <w:t xml:space="preserve">clinicians, </w:t>
      </w:r>
      <w:r w:rsidRPr="00F11608">
        <w:t>researchers, pharmaceutical companies and health policy makers.</w:t>
      </w:r>
      <w:r w:rsidR="00731406" w:rsidRPr="00F11608">
        <w:t xml:space="preserve">  </w:t>
      </w:r>
      <w:r w:rsidR="002F0A84" w:rsidRPr="00F11608">
        <w:rPr>
          <w:rFonts w:cs="Times New Roman"/>
        </w:rPr>
        <w:t>The</w:t>
      </w:r>
      <w:r w:rsidR="00766AA0" w:rsidRPr="00F11608">
        <w:t xml:space="preserve"> UK</w:t>
      </w:r>
      <w:r w:rsidR="00566F42" w:rsidRPr="00F11608">
        <w:t xml:space="preserve"> registry </w:t>
      </w:r>
      <w:r w:rsidR="007D7092" w:rsidRPr="00F11608">
        <w:rPr>
          <w:rFonts w:cs="Times New Roman"/>
        </w:rPr>
        <w:t xml:space="preserve">has provided </w:t>
      </w:r>
      <w:r w:rsidR="00566F42" w:rsidRPr="00F11608">
        <w:rPr>
          <w:rFonts w:cs="Times New Roman"/>
        </w:rPr>
        <w:t xml:space="preserve">a </w:t>
      </w:r>
      <w:r w:rsidR="007D7092" w:rsidRPr="00F11608">
        <w:rPr>
          <w:rFonts w:cs="Times New Roman"/>
        </w:rPr>
        <w:t>unique</w:t>
      </w:r>
      <w:r w:rsidR="00566F42" w:rsidRPr="00F11608">
        <w:t xml:space="preserve"> repository of longitudinal data</w:t>
      </w:r>
      <w:r w:rsidR="00566F42" w:rsidRPr="00F11608">
        <w:rPr>
          <w:rFonts w:cs="Times New Roman"/>
        </w:rPr>
        <w:t>.</w:t>
      </w:r>
      <w:r w:rsidR="00F814C4" w:rsidRPr="00F11608">
        <w:rPr>
          <w:rFonts w:cs="Times New Roman"/>
        </w:rPr>
        <w:t xml:space="preserve"> It</w:t>
      </w:r>
      <w:r w:rsidR="00731406" w:rsidRPr="00F11608">
        <w:t xml:space="preserve"> was established in 2008 and </w:t>
      </w:r>
      <w:r w:rsidR="00616789" w:rsidRPr="00F11608">
        <w:rPr>
          <w:rFonts w:cs="Times New Roman"/>
        </w:rPr>
        <w:t>the</w:t>
      </w:r>
      <w:r w:rsidR="00731406" w:rsidRPr="00F11608">
        <w:rPr>
          <w:rFonts w:cs="Times New Roman"/>
        </w:rPr>
        <w:t xml:space="preserve"> </w:t>
      </w:r>
      <w:r w:rsidR="00731406" w:rsidRPr="00F11608">
        <w:t>first</w:t>
      </w:r>
      <w:r w:rsidRPr="00F11608">
        <w:t xml:space="preserve"> report </w:t>
      </w:r>
      <w:r w:rsidR="00616789" w:rsidRPr="00F11608">
        <w:rPr>
          <w:rFonts w:cs="Times New Roman"/>
        </w:rPr>
        <w:t xml:space="preserve">was published </w:t>
      </w:r>
      <w:r w:rsidRPr="00F11608">
        <w:t xml:space="preserve">in 2013 </w:t>
      </w:r>
      <w:r w:rsidR="00D72354">
        <w:rPr>
          <w:rFonts w:cs="Times New Roman"/>
        </w:rPr>
        <w:t>covering</w:t>
      </w:r>
      <w:r w:rsidRPr="00F11608">
        <w:t xml:space="preserve"> the first </w:t>
      </w:r>
      <w:r w:rsidR="00616789" w:rsidRPr="00F11608">
        <w:rPr>
          <w:rFonts w:cs="Times New Roman"/>
        </w:rPr>
        <w:t>four</w:t>
      </w:r>
      <w:r w:rsidRPr="00F11608">
        <w:t xml:space="preserve"> years of </w:t>
      </w:r>
      <w:r w:rsidR="00616789" w:rsidRPr="00F11608">
        <w:rPr>
          <w:rFonts w:cs="Times New Roman"/>
        </w:rPr>
        <w:t>activity</w:t>
      </w:r>
      <w:r w:rsidRPr="00F11608">
        <w:t xml:space="preserve"> (2008-2012)</w:t>
      </w:r>
      <w:r w:rsidR="00716381" w:rsidRPr="00F11608">
        <w:t xml:space="preserve"> </w:t>
      </w:r>
      <w:r w:rsidR="00716381" w:rsidRPr="00F11608">
        <w:fldChar w:fldCharType="begin" w:fldLock="1"/>
      </w:r>
      <w:r w:rsidR="0022310E">
        <w:instrText>ADDIN CSL_CITATION { "citationItems" : [ { "id" : "ITEM-1", "itemData" : { "DOI" : "10.1111/cei.12741", "ISSN" : "00099104", "author" : [ { "dropping-particle" : "", "family" : "Ghurye", "given" : "Rohit", "non-dropping-particle" : "", "parse-names" : false, "suffix" : "" }, { "dropping-particle" : "", "family" : "Hodkinson", "given" : "John", "non-dropping-particle" : "", "parse-names" : false, "suffix" : "" }, { "dropping-particle" : "", "family" : "Longhurst", "given" : "Hilary", "non-dropping-particle" : "", "parse-names" : false, "suffix" : "" } ], "container-title" : "UKPIN 2015 Meeting", "id" : "ITEM-1", "issued" : { "date-parts" : [ [ "2015", "12" ] ] }, "publisher-place" : "Belfast", "title" : "The Use Of Intravenous Pentaglobin In A Subset Of Patients With Severe Mucosal Complications Related To Primary Immune Deficiency", "type" : "paper-conference" }, "uris" : [ "http://www.mendeley.com/documents/?uuid=44f69af4-2843-4db6-b600-a2197e59bfff" ] } ], "mendeley" : { "formattedCitation" : "(2)", "plainTextFormattedCitation" : "(2)", "previouslyFormattedCitation" : "(2)" }, "properties" : { "noteIndex" : 0 }, "schema" : "https://github.com/citation-style-language/schema/raw/master/csl-citation.json" }</w:instrText>
      </w:r>
      <w:r w:rsidR="00716381" w:rsidRPr="00F11608">
        <w:fldChar w:fldCharType="separate"/>
      </w:r>
      <w:r w:rsidR="0022310E" w:rsidRPr="0022310E">
        <w:rPr>
          <w:noProof/>
        </w:rPr>
        <w:t>(2)</w:t>
      </w:r>
      <w:r w:rsidR="00716381" w:rsidRPr="00F11608">
        <w:fldChar w:fldCharType="end"/>
      </w:r>
      <w:r w:rsidR="0065062B" w:rsidRPr="00F11608">
        <w:t>.</w:t>
      </w:r>
      <w:r w:rsidR="000C0C42" w:rsidRPr="00F11608">
        <w:t xml:space="preserve">  </w:t>
      </w:r>
      <w:r w:rsidR="00001D32" w:rsidRPr="00F11608">
        <w:t>The r</w:t>
      </w:r>
      <w:r w:rsidR="00683BDA" w:rsidRPr="00F11608">
        <w:t>egistry has now expanded to 4758</w:t>
      </w:r>
      <w:r w:rsidR="00001D32" w:rsidRPr="00F11608">
        <w:t xml:space="preserve"> patients from </w:t>
      </w:r>
      <w:r w:rsidR="00287BE2" w:rsidRPr="00F11608">
        <w:rPr>
          <w:rFonts w:cs="Times New Roman"/>
        </w:rPr>
        <w:t>the</w:t>
      </w:r>
      <w:r w:rsidR="00001D32" w:rsidRPr="00F11608">
        <w:rPr>
          <w:rFonts w:cs="Times New Roman"/>
        </w:rPr>
        <w:t xml:space="preserve"> </w:t>
      </w:r>
      <w:r w:rsidR="00683BDA" w:rsidRPr="00F11608">
        <w:rPr>
          <w:rFonts w:cs="Times New Roman"/>
        </w:rPr>
        <w:t>2</w:t>
      </w:r>
      <w:r w:rsidR="00001D32" w:rsidRPr="00F11608">
        <w:rPr>
          <w:rFonts w:cs="Times New Roman"/>
        </w:rPr>
        <w:t xml:space="preserve">229 </w:t>
      </w:r>
      <w:r w:rsidR="00287BE2" w:rsidRPr="00F11608">
        <w:rPr>
          <w:rFonts w:cs="Times New Roman"/>
        </w:rPr>
        <w:t>patients</w:t>
      </w:r>
      <w:r w:rsidR="00001D32" w:rsidRPr="00F11608">
        <w:t xml:space="preserve"> in our first report</w:t>
      </w:r>
      <w:r w:rsidR="000C0C42" w:rsidRPr="00F11608">
        <w:t>, highlighting the success</w:t>
      </w:r>
      <w:r w:rsidR="004511E2" w:rsidRPr="00F11608">
        <w:t xml:space="preserve"> and efforts</w:t>
      </w:r>
      <w:r w:rsidR="000C0C42" w:rsidRPr="00F11608">
        <w:t xml:space="preserve"> of the registry</w:t>
      </w:r>
      <w:r w:rsidR="004511E2" w:rsidRPr="00F11608">
        <w:t xml:space="preserve"> team</w:t>
      </w:r>
      <w:r w:rsidR="000C0C42" w:rsidRPr="00F11608">
        <w:t xml:space="preserve"> and local collaborators.</w:t>
      </w:r>
      <w:r w:rsidR="00435148" w:rsidRPr="00F11608">
        <w:t xml:space="preserve">  </w:t>
      </w:r>
    </w:p>
    <w:p w14:paraId="3A01A6CC" w14:textId="242DDF02" w:rsidR="005B431B" w:rsidRPr="00F11608" w:rsidRDefault="000C0C42" w:rsidP="005B431B">
      <w:r w:rsidRPr="00F11608">
        <w:t>Improved recognition of PID and advance</w:t>
      </w:r>
      <w:r w:rsidR="00100FEA" w:rsidRPr="00F11608">
        <w:t>s</w:t>
      </w:r>
      <w:r w:rsidRPr="00F11608">
        <w:t xml:space="preserve"> in molecular diagnostics have </w:t>
      </w:r>
      <w:r w:rsidR="00435148" w:rsidRPr="00F11608">
        <w:t>led</w:t>
      </w:r>
      <w:r w:rsidRPr="00F11608">
        <w:t xml:space="preserve"> to a significant increase in the numbers of indiv</w:t>
      </w:r>
      <w:r w:rsidR="008E17BF" w:rsidRPr="00F11608">
        <w:t>id</w:t>
      </w:r>
      <w:r w:rsidRPr="00F11608">
        <w:t xml:space="preserve">ual PIDs being </w:t>
      </w:r>
      <w:r w:rsidR="008E17BF" w:rsidRPr="00F11608">
        <w:t>recognised</w:t>
      </w:r>
      <w:r w:rsidRPr="00F11608">
        <w:t xml:space="preserve"> with </w:t>
      </w:r>
      <w:r w:rsidR="00AF4C78" w:rsidRPr="00F11608">
        <w:t>nearly 300</w:t>
      </w:r>
      <w:r w:rsidRPr="00F11608">
        <w:t xml:space="preserve"> genes identified</w:t>
      </w:r>
      <w:r w:rsidR="00E36675" w:rsidRPr="00F11608">
        <w:t xml:space="preserve"> </w:t>
      </w:r>
      <w:r w:rsidR="00E36675" w:rsidRPr="00F11608">
        <w:fldChar w:fldCharType="begin" w:fldLock="1"/>
      </w:r>
      <w:r w:rsidR="0022310E">
        <w:instrText>ADDIN CSL_CITATION { "citationItems" : [ { "id" : "ITEM-1", "itemData" : { "DOI" : "10.1007/s10875-015-0201-1", "ISBN" : "1664-3224", "ISSN" : "0271-9142", "PMID" : "26482257", "abstract" : "We report the updated classification of primary immunodeficiencies compiled by the Primary Immunodeficiency Expert Committee (PID EC) of the International Union of Immunological Societies (IUIS). In the two years since the previous version, 34 new gene defects are reported in this updated version. For each disorder, the key clinical and laboratory features are provided. In this new version we continue to see the increasing overlap between immunodeficiency, as manifested by infection and/or malignancy, and immune dysregulation, as manifested by auto-inflammation, auto-immunity, and/or allergy. There is also an increased number of genetic defects that lead to susceptibility to specific organisms which reflects the finely tuned nature of immune defense systems. This classification is the most up to date catalogue of all known and published primary immunodeficiencies and acts as a current reference of the knowledge of these conditions and is an important aid for the genetic and molecular diagnosis of patients with these rare diseases.", "author" : [ { "dropping-particle" : "", "family" : "Picard", "given" : "Capucine", "non-dropping-particle" : "", "parse-names" : false, "suffix" : "" }, { "dropping-particle" : "", "family" : "Al-Herz", "given" : "Waleed", "non-dropping-particle" : "", "parse-names" : false, "suffix" : "" }, { "dropping-particle" : "", "family" : "Bousfiha", "given" : "Aziz", "non-dropping-particle" : "", "parse-names" : false, "suffix" : "" }, { "dropping-particle" : "", "family" : "Casanova", "given" : "Jean-Laurent", "non-dropping-particle" : "", "parse-names" : false, "suffix" : "" }, { "dropping-particle" : "", "family" : "Chatila", "given" : "Talal", "non-dropping-particle" : "", "parse-names" : false, "suffix" : "" }, { "dropping-particle" : "", "family" : "Conley", "given" : "Mary Ellen", "non-dropping-particle" : "", "parse-names" : false, "suffix" : "" }, { "dropping-particle" : "", "family" : "Cunningham-Rundles", "given" : "Charlotte", "non-dropping-particle" : "", "parse-names" : false, "suffix" : "" }, { "dropping-particle" : "", "family" : "Etzioni", "given" : "Amos", "non-dropping-particle" : "", "parse-names" : false, "suffix" : "" }, { "dropping-particle" : "", "family" : "Holland", "given" : "Steven M.", "non-dropping-particle" : "", "parse-names" : false, "suffix" : "" }, { "dropping-particle" : "", "family" : "Klein", "given" : "Christoph", "non-dropping-particle" : "", "parse-names" : false, "suffix" : "" }, { "dropping-particle" : "", "family" : "Nonoyama", "given" : "Shigeaki", "non-dropping-particle" : "", "parse-names" : false, "suffix" : "" }, { "dropping-particle" : "", "family" : "Ochs", "given" : "Hans D.", "non-dropping-particle" : "", "parse-names" : false, "suffix" : "" }, { "dropping-particle" : "", "family" : "Oksenhendler", "given" : "Eric", "non-dropping-particle" : "", "parse-names" : false, "suffix" : "" }, { "dropping-particle" : "", "family" : "Puck", "given" : "Jennifer M.", "non-dropping-particle" : "", "parse-names" : false, "suffix" : "" }, { "dropping-particle" : "", "family" : "Sullivan", "given" : "Kathleen E.", "non-dropping-particle" : "", "parse-names" : false, "suffix" : "" }, { "dropping-particle" : "", "family" : "Tang", "given" : "Mimi L K.", "non-dropping-particle" : "", "parse-names" : false, "suffix" : "" }, { "dropping-particle" : "", "family" : "Franco", "given" : "Jose Luis", "non-dropping-particle" : "", "parse-names" : false, "suffix" : "" }, { "dropping-particle" : "", "family" : "Gaspar", "given" : "H. Bobby", "non-dropping-particle" : "", "parse-names" : false, "suffix" : "" } ], "container-title" : "Journal of Clinical Immunology", "id" : "ITEM-1", "issue" : "8", "issued" : { "date-parts" : [ [ "2015", "11", "19" ] ] }, "page" : "696-726", "title" : "Primary Immunodeficiency Diseases: an Update on the Classification from the International Union of Immunological Societies Expert Committee for Primary Immunodeficiency 2015", "type" : "article-journal", "volume" : "35" }, "uris" : [ "http://www.mendeley.com/documents/?uuid=98aea851-dceb-4918-9b45-ddf7d4ba78fa" ] } ], "mendeley" : { "formattedCitation" : "(3)", "plainTextFormattedCitation" : "(3)", "previouslyFormattedCitation" : "(3)" }, "properties" : { "noteIndex" : 0 }, "schema" : "https://github.com/citation-style-language/schema/raw/master/csl-citation.json" }</w:instrText>
      </w:r>
      <w:r w:rsidR="00E36675" w:rsidRPr="00F11608">
        <w:fldChar w:fldCharType="separate"/>
      </w:r>
      <w:r w:rsidR="0022310E" w:rsidRPr="0022310E">
        <w:rPr>
          <w:noProof/>
        </w:rPr>
        <w:t>(3)</w:t>
      </w:r>
      <w:r w:rsidR="00E36675" w:rsidRPr="00F11608">
        <w:fldChar w:fldCharType="end"/>
      </w:r>
      <w:r w:rsidR="00CB28CD" w:rsidRPr="00F11608">
        <w:t>.</w:t>
      </w:r>
      <w:r w:rsidR="00D937D3" w:rsidRPr="00F11608">
        <w:t xml:space="preserve">  </w:t>
      </w:r>
      <w:r w:rsidR="00CB28CD" w:rsidRPr="00F11608">
        <w:t>It is increasingly recognised these PIDs not only present with increased susceptibility to infections</w:t>
      </w:r>
      <w:r w:rsidR="00287BE2" w:rsidRPr="00F11608">
        <w:rPr>
          <w:rFonts w:cs="Times New Roman"/>
        </w:rPr>
        <w:t>,</w:t>
      </w:r>
      <w:r w:rsidR="00CB28CD" w:rsidRPr="00F11608">
        <w:t xml:space="preserve"> but also immune dysregulation, autoimmunity and an increased susceptibility to malignancy. </w:t>
      </w:r>
      <w:r w:rsidR="00435148" w:rsidRPr="00F11608">
        <w:t>In addition</w:t>
      </w:r>
      <w:r w:rsidR="00435148" w:rsidRPr="00F11608">
        <w:rPr>
          <w:rFonts w:cs="Times New Roman"/>
        </w:rPr>
        <w:t>,</w:t>
      </w:r>
      <w:r w:rsidR="00435148" w:rsidRPr="00F11608">
        <w:t xml:space="preserve"> </w:t>
      </w:r>
      <w:r w:rsidR="00515149" w:rsidRPr="00F11608">
        <w:t xml:space="preserve">an ever-expanding range of treatment options </w:t>
      </w:r>
      <w:r w:rsidR="00D72354">
        <w:t>are now available,</w:t>
      </w:r>
      <w:r w:rsidR="00287BE2" w:rsidRPr="00F11608">
        <w:rPr>
          <w:rFonts w:cs="Times New Roman"/>
        </w:rPr>
        <w:t xml:space="preserve"> </w:t>
      </w:r>
      <w:r w:rsidR="002F0A84" w:rsidRPr="00F11608">
        <w:rPr>
          <w:rFonts w:cs="Times New Roman"/>
        </w:rPr>
        <w:t>resulting</w:t>
      </w:r>
      <w:r w:rsidR="00435148" w:rsidRPr="00F11608">
        <w:t xml:space="preserve"> in </w:t>
      </w:r>
      <w:r w:rsidR="00D72354">
        <w:rPr>
          <w:rFonts w:cs="Times New Roman"/>
        </w:rPr>
        <w:t>improved</w:t>
      </w:r>
      <w:r w:rsidR="00287BE2" w:rsidRPr="00F11608">
        <w:rPr>
          <w:rFonts w:cs="Times New Roman"/>
        </w:rPr>
        <w:t xml:space="preserve"> </w:t>
      </w:r>
      <w:r w:rsidR="00435148" w:rsidRPr="00F11608">
        <w:rPr>
          <w:rFonts w:cs="Times New Roman"/>
        </w:rPr>
        <w:t>patient</w:t>
      </w:r>
      <w:r w:rsidR="00287BE2" w:rsidRPr="00F11608">
        <w:rPr>
          <w:rFonts w:cs="Times New Roman"/>
        </w:rPr>
        <w:t xml:space="preserve"> </w:t>
      </w:r>
      <w:r w:rsidR="00435148" w:rsidRPr="00F11608">
        <w:t>outcomes</w:t>
      </w:r>
      <w:r w:rsidR="00435148" w:rsidRPr="00F11608">
        <w:rPr>
          <w:rFonts w:cs="Times New Roman"/>
        </w:rPr>
        <w:t xml:space="preserve">.  </w:t>
      </w:r>
      <w:r w:rsidR="00287BE2" w:rsidRPr="00F11608">
        <w:rPr>
          <w:rFonts w:cs="Times New Roman"/>
        </w:rPr>
        <w:t>Reduced morbidity and mortality</w:t>
      </w:r>
      <w:r w:rsidR="00435148" w:rsidRPr="00F11608">
        <w:t xml:space="preserve"> following </w:t>
      </w:r>
      <w:r w:rsidR="00100FEA" w:rsidRPr="00F11608">
        <w:t>h</w:t>
      </w:r>
      <w:r w:rsidR="00435148" w:rsidRPr="00F11608">
        <w:t xml:space="preserve">aematopoietic </w:t>
      </w:r>
      <w:r w:rsidR="00100FEA" w:rsidRPr="00F11608">
        <w:t>s</w:t>
      </w:r>
      <w:r w:rsidR="00435148" w:rsidRPr="00F11608">
        <w:t xml:space="preserve">tem </w:t>
      </w:r>
      <w:r w:rsidR="00100FEA" w:rsidRPr="00F11608">
        <w:t>c</w:t>
      </w:r>
      <w:r w:rsidR="00435148" w:rsidRPr="00F11608">
        <w:t xml:space="preserve">ell </w:t>
      </w:r>
      <w:r w:rsidR="00100FEA" w:rsidRPr="00F11608">
        <w:t>t</w:t>
      </w:r>
      <w:r w:rsidR="00435148" w:rsidRPr="00F11608">
        <w:t>ransplantation (HSCT</w:t>
      </w:r>
      <w:r w:rsidR="00435148" w:rsidRPr="00F11608">
        <w:rPr>
          <w:rFonts w:cs="Times New Roman"/>
        </w:rPr>
        <w:t>) mean</w:t>
      </w:r>
      <w:r w:rsidR="00287BE2" w:rsidRPr="00F11608">
        <w:rPr>
          <w:rFonts w:cs="Times New Roman"/>
        </w:rPr>
        <w:t>s that</w:t>
      </w:r>
      <w:r w:rsidR="00435148" w:rsidRPr="00F11608">
        <w:t xml:space="preserve"> clinicians are more willing to offer this </w:t>
      </w:r>
      <w:r w:rsidR="00287BE2" w:rsidRPr="00F11608">
        <w:rPr>
          <w:rFonts w:cs="Times New Roman"/>
        </w:rPr>
        <w:t>therapy</w:t>
      </w:r>
      <w:r w:rsidR="00435148" w:rsidRPr="00F11608">
        <w:t xml:space="preserve"> to a wider range of patients</w:t>
      </w:r>
      <w:r w:rsidR="00D67E05" w:rsidRPr="00F11608">
        <w:t>, including adults with PID, and to a greater range of PIDs</w:t>
      </w:r>
      <w:r w:rsidR="00435148" w:rsidRPr="00F11608">
        <w:t xml:space="preserve"> in a bid for complete cure. Furthermore</w:t>
      </w:r>
      <w:r w:rsidR="00DF7119" w:rsidRPr="00F11608">
        <w:t>,</w:t>
      </w:r>
      <w:r w:rsidR="00435148" w:rsidRPr="00F11608">
        <w:t xml:space="preserve"> new strategies such as gene therapy and new-born screening for </w:t>
      </w:r>
      <w:r w:rsidR="00100FEA" w:rsidRPr="00F11608">
        <w:t>s</w:t>
      </w:r>
      <w:r w:rsidR="00435148" w:rsidRPr="00F11608">
        <w:t xml:space="preserve">evere </w:t>
      </w:r>
      <w:r w:rsidR="00100FEA" w:rsidRPr="00F11608">
        <w:t>c</w:t>
      </w:r>
      <w:r w:rsidR="00435148" w:rsidRPr="00F11608">
        <w:t xml:space="preserve">ombined </w:t>
      </w:r>
      <w:r w:rsidR="00100FEA" w:rsidRPr="00F11608">
        <w:t>i</w:t>
      </w:r>
      <w:r w:rsidR="00435148" w:rsidRPr="00F11608">
        <w:t>mmunodeficiency (SCID)</w:t>
      </w:r>
      <w:r w:rsidR="0053104E" w:rsidRPr="00F11608">
        <w:t>, molecular therapy (e.g. JAK inhibitors) and monoclonal antibody therapy</w:t>
      </w:r>
      <w:r w:rsidR="00435148" w:rsidRPr="00F11608">
        <w:t xml:space="preserve"> are now </w:t>
      </w:r>
      <w:r w:rsidR="00566F42" w:rsidRPr="00F11608">
        <w:t xml:space="preserve">viable </w:t>
      </w:r>
      <w:r w:rsidR="002F0A84" w:rsidRPr="00F11608">
        <w:rPr>
          <w:rFonts w:cs="Times New Roman"/>
        </w:rPr>
        <w:t>options</w:t>
      </w:r>
      <w:r w:rsidR="00435148" w:rsidRPr="00F11608">
        <w:t xml:space="preserve"> to include within the UK health care system.  D</w:t>
      </w:r>
      <w:r w:rsidR="00731406" w:rsidRPr="00F11608">
        <w:t xml:space="preserve">ata from national registries </w:t>
      </w:r>
      <w:r w:rsidR="002F0A84" w:rsidRPr="00F11608">
        <w:rPr>
          <w:rFonts w:cs="Times New Roman"/>
        </w:rPr>
        <w:t>provides</w:t>
      </w:r>
      <w:r w:rsidR="00435148" w:rsidRPr="00F11608">
        <w:t xml:space="preserve"> vital</w:t>
      </w:r>
      <w:r w:rsidR="00435148" w:rsidRPr="00F11608">
        <w:rPr>
          <w:rFonts w:cs="Times New Roman"/>
        </w:rPr>
        <w:t xml:space="preserve"> </w:t>
      </w:r>
      <w:r w:rsidR="002F0A84" w:rsidRPr="00F11608">
        <w:rPr>
          <w:rFonts w:cs="Times New Roman"/>
        </w:rPr>
        <w:t>information</w:t>
      </w:r>
      <w:r w:rsidR="00435148" w:rsidRPr="00F11608">
        <w:t xml:space="preserve"> for clinicians and health policy planners in evaluating the merits of the potential introduction </w:t>
      </w:r>
      <w:r w:rsidR="00D72354">
        <w:t>of such</w:t>
      </w:r>
      <w:r w:rsidR="00435148" w:rsidRPr="00F11608">
        <w:t xml:space="preserve"> strategies.</w:t>
      </w:r>
    </w:p>
    <w:p w14:paraId="274E35FD" w14:textId="77777777" w:rsidR="008548CC" w:rsidRPr="00F11608" w:rsidRDefault="008548CC" w:rsidP="0065062B">
      <w:pPr>
        <w:rPr>
          <w:b/>
        </w:rPr>
      </w:pPr>
      <w:r w:rsidRPr="00F11608">
        <w:rPr>
          <w:b/>
        </w:rPr>
        <w:t>Methods</w:t>
      </w:r>
    </w:p>
    <w:p w14:paraId="19508D50" w14:textId="7FC00C2D" w:rsidR="0060644C" w:rsidRPr="00F11608" w:rsidRDefault="0060644C" w:rsidP="0060644C">
      <w:r w:rsidRPr="00F11608">
        <w:t xml:space="preserve">The </w:t>
      </w:r>
      <w:r w:rsidR="00EE5F37" w:rsidRPr="00F11608">
        <w:rPr>
          <w:rFonts w:cs="Times New Roman"/>
        </w:rPr>
        <w:t>development,</w:t>
      </w:r>
      <w:r w:rsidRPr="00F11608">
        <w:t xml:space="preserve"> ongoing management </w:t>
      </w:r>
      <w:r w:rsidR="00EE5F37" w:rsidRPr="00F11608">
        <w:rPr>
          <w:rFonts w:cs="Times New Roman"/>
        </w:rPr>
        <w:t xml:space="preserve">and technical database structure </w:t>
      </w:r>
      <w:r w:rsidRPr="00F11608">
        <w:t xml:space="preserve">of the registry </w:t>
      </w:r>
      <w:r w:rsidR="00EE5F37" w:rsidRPr="00F11608">
        <w:rPr>
          <w:rFonts w:cs="Times New Roman"/>
        </w:rPr>
        <w:t>was</w:t>
      </w:r>
      <w:r w:rsidRPr="00F11608">
        <w:t xml:space="preserve"> described in our first report</w:t>
      </w:r>
      <w:r w:rsidR="00716381" w:rsidRPr="00F11608">
        <w:t xml:space="preserve"> </w:t>
      </w:r>
      <w:r w:rsidR="00716381" w:rsidRPr="00F11608">
        <w:fldChar w:fldCharType="begin" w:fldLock="1"/>
      </w:r>
      <w:r w:rsidR="004D5CB9" w:rsidRPr="00F11608">
        <w:instrText>ADDIN CSL_CITATION { "citationItems" : [ { "id" : "ITEM-1", "itemData" : { "DOI" : "10.1111/cei.12172", "ISBN" : "1365-2249 (Electronic)\\r0009-9104 (Linking)", "ISSN" : "1365-2249", "PMID" : "23841717", "abstract" : "This report summarizes the establishment of the first national online registry of primary immune deficency in the United Kingdom, the United Kingdom Primary Immunodeficiency (UKPID Registry). This UKPID Registry is based on the European Society for Immune Deficiency (ESID) registry platform, hosted on servers at the Royal Free site of University College, London. It is accessible to users through the website of the United Kingdom Primary Immunodeficiency Network (www.ukpin.org.uk). Twenty-seven centres in the United Kingdom are actively contributing data, with an additional nine centres completing their ethical and governance approvals to participate. This indicates that 36 of 38 (95%) of recognized centres in the United Kingdom have engaged with this project. To date, 2229 patients have been enrolled, with a notable increasing rate of recruitment in the past 12 months. Data are presented on the range of diagnoses recorded, estimated minimum disease prevalence, geographical distribution of patients across the United Kingdom, age at presentation, diagnostic delay, treatment modalities used and evidence of their monitoring and effectiveness.", "author" : [ { "dropping-particle" : "", "family" : "Edgar", "given" : "J D M", "non-dropping-particle" : "", "parse-names" : false, "suffix" : "" }, { "dropping-particle" : "", "family" : "Buckland", "given" : "M", "non-dropping-particle" : "", "parse-names" : false, "suffix" : "" }, { "dropping-particle" : "", "family" : "Guzman", "given" : "D", "non-dropping-particle" : "", "parse-names" : false, "suffix" : "" }, { "dropping-particle" : "", "family" : "Conlon", "given" : "N P", "non-dropping-particle" : "", "parse-names" : false, "suffix" : "" }, { "dropping-particle" : "", "family" : "Knerr", "given" : "V", "non-dropping-particle" : "", "parse-names" : false, "suffix" : "" }, { "dropping-particle" : "", "family" : "Bangs", "given" : "C", "non-dropping-particle" : "", "parse-names" : false, "suffix" : "" }, { "dropping-particle" : "", "family" : "Reiser", "given" : "V", "non-dropping-particle" : "", "parse-names" : false, "suffix" : "" }, { "dropping-particle" : "", "family" : "Panahloo", "given" : "Z", "non-dropping-particle" : "", "parse-names" : false, "suffix" : "" }, { "dropping-particle" : "", "family" : "Workman", "given" : "S", "non-dropping-particle" : "", "parse-names" : false, "suffix" : "" }, { "dropping-particle" : "", "family" : "Slatter", "given" : "M", "non-dropping-particle" : "", "parse-names" : false, "suffix" : "" }, { "dropping-particle" : "", "family" : "Gennery", "given" : "A R", "non-dropping-particle" : "", "parse-names" : false, "suffix" : "" }, { "dropping-particle" : "", "family" : "Davies", "given" : "E G", "non-dropping-particle" : "", "parse-names" : false, "suffix" : "" }, { "dropping-particle" : "", "family" : "Allwood", "given" : "Z", "non-dropping-particle" : "", "parse-names" : false, "suffix" : "" }, { "dropping-particle" : "", "family" : "Arkwright", "given" : "P D", "non-dropping-particle" : "", "parse-names" : false, "suffix" : "" }, { "dropping-particle" : "", "family" : "Helbert", "given" : "M", "non-dropping-particle" : "", "parse-names" : false, "suffix" : "" }, { "dropping-particle" : "", "family" : "Longhurst", "given" : "H J", "non-dropping-particle" : "", "parse-names" : false, "suffix" : "" }, { "dropping-particle" : "", "family" : "Grigoriadou", "given" : "S", "non-dropping-particle" : "", "parse-names" : false, "suffix" : "" }, { "dropping-particle" : "", "family" : "Devlin", "given" : "L A", "non-dropping-particle" : "", "parse-names" : false, "suffix" : "" }, { "dropping-particle" : "", "family" : "Huissoon", "given" : "A", "non-dropping-particle" : "", "parse-names" : false, "suffix" : "" }, { "dropping-particle" : "", "family" : "Krishna", "given" : "M T", "non-dropping-particle" : "", "parse-names" : false, "suffix" : "" }, { "dropping-particle" : "", "family" : "Hackett", "given" : "S", "non-dropping-particle" : "", "parse-names" : false, "suffix" : "" }, { "dropping-particle" : "", "family" : "Kumararatne", "given" : "D S", "non-dropping-particle" : "", "parse-names" : false, "suffix" : "" }, { "dropping-particle" : "", "family" : "Condliffe", "given" : "A M", "non-dropping-particle" : "", "parse-names" : false, "suffix" : "" }, { "dropping-particle" : "", "family" : "Baxendale", "given" : "H", "non-dropping-particle" : "", "parse-names" : false, "suffix" : "" }, { "dropping-particle" : "", "family" : "Henderson", "given" : "K", "non-dropping-particle" : "", "parse-names" : false, "suffix" : "" }, { "dropping-particle" : "", "family" : "Bethune", "given" : "C", "non-dropping-particle" : "", "parse-names" : false, "suffix" : "" }, { "dropping-particle" : "", "family" : "Symons", "given" : "C", "non-dropping-particle" : "", "parse-names" : false, "suffix" : "" }, { "dropping-particle" : "", "family" : "Wood", "given" : "P", "non-dropping-particle" : "", "parse-names" : false, "suffix" : "" }, { "dropping-particle" : "", "family" : "Ford", "given" : "K", "non-dropping-particle" : "", "parse-names" : false, "suffix" : "" }, { "dropping-particle" : "", "family" : "Patel", "given" : "S", "non-dropping-particle" : "", "parse-names" : false, "suffix" : "" }, { "dropping-particle" : "", "family" : "Jain", "given" : "R", "non-dropping-particle" : "", "parse-names" : false, "suffix" : "" }, { "dropping-particle" : "", "family" : "Jolles", "given" : "S", "non-dropping-particle" : "", "parse-names" : false, "suffix" : "" }, { "dropping-particle" : "", "family" : "El-Shanawany", "given" : "T", "non-dropping-particle" : "", "parse-names" : false, "suffix" : "" }, { "dropping-particle" : "", "family" : "Alachkar", "given" : "H", "non-dropping-particle" : "", "parse-names" : false, "suffix" : "" }, { "dropping-particle" : "", "family" : "Herwadkar", "given" : "A", "non-dropping-particle" : "", "parse-names" : false, "suffix" : "" }, { "dropping-particle" : "", "family" : "Sargur", "given" : "R", "non-dropping-particle" : "", "parse-names" : false, "suffix" : "" }, { "dropping-particle" : "", "family" : "Shrimpton", "given" : "A", "non-dropping-particle" : "", "parse-names" : false, "suffix" : "" }, { "dropping-particle" : "", "family" : "Hayman", "given" : "G", "non-dropping-particle" : "", "parse-names" : false, "suffix" : "" }, { "dropping-particle" : "", "family" : "Abuzakouk", "given" : "M", "non-dropping-particle" : "", "parse-names" : false, "suffix" : "" }, { "dropping-particle" : "", "family" : "Spickett", "given" : "G", "non-dropping-particle" : "", "parse-names" : false, "suffix" : "" }, { "dropping-particle" : "", "family" : "Darroch", "given" : "C J", "non-dropping-particle" : "", "parse-names" : false, "suffix" : "" }, { "dropping-particle" : "", "family" : "Paulus", "given" : "S", "non-dropping-particle" : "", "parse-names" : false, "suffix" : "" }, { "dropping-particle" : "", "family" : "Marshall", "given" : "S E", "non-dropping-particle" : "", "parse-names" : false, "suffix" : "" }, { "dropping-particle" : "", "family" : "McDermott", "given" : "E M", "non-dropping-particle" : "", "parse-names" : false, "suffix" : "" }, { "dropping-particle" : "", "family" : "Heath", "given" : "P T", "non-dropping-particle" : "", "parse-names" : false, "suffix" : "" }, { "dropping-particle" : "", "family" : "Herriot", "given" : "R", "non-dropping-particle" : "", "parse-names" : false, "suffix" : "" }, { "dropping-particle" : "", "family" : "Noorani", "given" : "S", "non-dropping-particle" : "", "parse-names" : false, "suffix" : "" }, { "dropping-particle" : "", "family" : "Turner", "given" : "M", "non-dropping-particle" : "", "parse-names" : false, "suffix" : "" }, { "dropping-particle" : "", "family" : "Khan", "given" : "S", "non-dropping-particle" : "", "parse-names" : false, "suffix" : "" }, { "dropping-particle" : "", "family" : "Grimbacher", "given" : "B", "non-dropping-particle" : "", "parse-names" : false, "suffix" : "" } ], "container-title" : "Clinical and experimental immunology", "id" : "ITEM-1", "issue" : "1", "issued" : { "date-parts" : [ [ "2014" ] ] }, "page" : "68-78", "title" : "The United Kingdom Primary Immune Deficiency (UKPID) Registry: report of the first 4 years' activity 2008-2012.", "type" : "article-journal", "volume" : "175" }, "uris" : [ "http://www.mendeley.com/documents/?uuid=5e7ac045-b605-4c5e-8057-8f56e0728acd" ] } ], "mendeley" : { "formattedCitation" : "(4)", "plainTextFormattedCitation" : "(4)", "previouslyFormattedCitation" : "(4)" }, "properties" : { "noteIndex" : 0 }, "schema" : "https://github.com/citation-style-language/schema/raw/master/csl-citation.json" }</w:instrText>
      </w:r>
      <w:r w:rsidR="00716381" w:rsidRPr="00F11608">
        <w:fldChar w:fldCharType="separate"/>
      </w:r>
      <w:r w:rsidR="00036A57" w:rsidRPr="00F11608">
        <w:rPr>
          <w:noProof/>
        </w:rPr>
        <w:t>(4)</w:t>
      </w:r>
      <w:r w:rsidR="00716381" w:rsidRPr="00F11608">
        <w:fldChar w:fldCharType="end"/>
      </w:r>
      <w:r w:rsidR="00716381" w:rsidRPr="00F11608">
        <w:fldChar w:fldCharType="begin" w:fldLock="1"/>
      </w:r>
      <w:r w:rsidR="000C77BD" w:rsidRPr="00F11608">
        <w:instrText>ADDIN CSL_CITATION { "citationItems" : [ { "id" : "ITEM-1", "itemData" : { "DOI" : "10.1111/j.1365-2249.2006.03292.x", "ISBN" : "0009-9104", "ISSN" : "00099104", "PMID" : "17223972", "abstract" : "Because primary immunodeficiencies (PID) are rare diseases, transnational studies are essential to maximize the scientific outcome and lead to improved diagnosis and therapy. Immunologists in Europe have united to determine the prevalence of PID in Europe and to establish and evaluate harmonized guidelines for the diagnosis and treatment of PID as well as to improve the awareness of PID in Europe. In order to achieve this aim we have developed an internet-based database for clinical and research data on patients with PID. This database forms the platform for studies of demographics, the development of new diagnostic and therapeutic strategies and the identification of novel disease-associated genes. The database is completely secure, while providing access to researchers via a standard browser using password and encrypted log-in sessions and conforms to all European and national ethics and data protection guidelines. So far 2386 patients have been documented by 35 documenting centres in 20 countries. Common variable immunodeficiency (CVID) is the most common entity, accounting for almost 30% of all entries. First statistical analyses on the quality of life of patients show the advantages of immunoglobulin replacement therapy, at the same time revealing a mean diagnostic delay of over 4 years. First studies on specific questions on selected PID are now under way. The platform of this database can be used for any type of medical condition.", "author" : [ { "dropping-particle" : "", "family" : "Eades-Perner", "given" : "A.-M. M.", "non-dropping-particle" : "", "parse-names" : false, "suffix" : "" }, { "dropping-particle" : "", "family" : "Gathmann", "given" : "B.", "non-dropping-particle" : "", "parse-names" : false, "suffix" : "" }, { "dropping-particle" : "", "family" : "Knerr", "given" : "V.", "non-dropping-particle" : "", "parse-names" : false, "suffix" : "" }, { "dropping-particle" : "", "family" : "Guzman", "given" : "D.", "non-dropping-particle" : "", "parse-names" : false, "suffix" : "" }, { "dropping-particle" : "", "family" : "Veit", "given" : "D.", "non-dropping-particle" : "", "parse-names" : false, "suffix" : "" }, { "dropping-particle" : "", "family" : "Kindle", "given" : "G.", "non-dropping-particle" : "", "parse-names" : false, "suffix" : "" }, { "dropping-particle" : "", "family" : "Grimbacher", "given" : "B.", "non-dropping-particle" : "", "parse-names" : false, "suffix" : "" } ], "container-title" : "Clinical and Experimental Immunology", "id" : "ITEM-1", "issue" : "2", "issued" : { "date-parts" : [ [ "2007", "1", "9" ] ] }, "page" : "306-312", "title" : "The European internet-based patient and research database for primary immunodeficiencies: results 2004-06", "type" : "article-journal", "volume" : "147" }, "uris" : [ "http://www.mendeley.com/documents/?uuid=fa9b6640-90e6-407e-83f4-0724fe14d522" ] }, { "id" : "ITEM-2", "itemData" : { "DOI" : "10.1111/j.1365-2249.2009.03954.x", "ISBN" : "1365-2249 (Electronic)\\r0009-9104 (Linking)", "ISSN" : "00099104", "PMID" : "19630863", "abstract" : "Primary immunodeficiencies (PID) are rare diseases; therefore transnational studies are essential to maximize the scientific outcome and to improve diagnosis and therapy. In order to estimate the prevalence of PID in Europe as well as to establish and evaluate harmonized guidelines for the diagnosis and treatment of PID, the European Society for Immunodeficiencies (ESID) has developed an internet-based database for clinical and research data on patients with PID. This database is a platform for epidemiological analyses as well as the development of new diagnostic and therapeutic strategies and the identification of novel disease-associated genes. Within 4 years, 7430 patients from 39 countries have been documented in the ESID database. Common variable immunodeficiency (CVID) represents the most common entity, with 1540 patients or 20.7% of all entries, followed by isolated immunoglobulin (Ig)G subclass deficiency (546 patients, 7.4%). Evaluations show that the average life expectancy for PID patients varies from 1 to 49 years (median), depending on the type of PID. The prevalence and incidence of PID remains a key question to be answered. As the registration progress is far from finished we can only calculate minimum values for PID, with e.g. France currently showing a minimum prevalence of 3.72 patients per 100,000 inhabitants. The most frequently documented permanent treatment is immunoglobulin replacement; 2819 patients (42% of all patients alive) currently receive this form of treatment.", "author" : [ { "dropping-particle" : "", "family" : "Gathmann", "given" : "B.", "non-dropping-particle" : "", "parse-names" : false, "suffix" : "" }, { "dropping-particle" : "", "family" : "Grimbacher", "given" : "B.", "non-dropping-particle" : "", "parse-names" : false, "suffix" : "" }, { "dropping-particle" : "", "family" : "Beaut\u00e9", "given" : "J.", "non-dropping-particle" : "", "parse-names" : false, "suffix" : "" }, { "dropping-particle" : "", "family" : "Dudoit", "given" : "Y.", "non-dropping-particle" : "", "parse-names" : false, "suffix" : "" }, { "dropping-particle" : "", "family" : "Mahlaoui", "given" : "N.", "non-dropping-particle" : "", "parse-names" : false, "suffix" : "" }, { "dropping-particle" : "", "family" : "Fischer", "given" : "A.", "non-dropping-particle" : "", "parse-names" : false, "suffix" : "" }, { "dropping-particle" : "", "family" : "Knerr", "given" : "V.", "non-dropping-particle" : "", "parse-names" : false, "suffix" : "" }, { "dropping-particle" : "", "family" : "Kindle", "given" : "G.", "non-dropping-particle" : "", "parse-names" : false, "suffix" : "" }, { "dropping-particle" : "", "family" : "Beaut??", "given" : "J.", "non-dropping-particle" : "", "parse-names" : false, "suffix" : "" }, { "dropping-particle" : "", "family" : "Dudoit", "given" : "Y.", "non-dropping-particle" : "", "parse-names" : false, "suffix" : "" }, { "dropping-particle" : "", "family" : "Mahlaoui", "given" : "N.", "non-dropping-particle" : "", "parse-names" : false, "suffix" : "" }, { "dropping-particle" : "", "family" : "Fischer", "given" : "A.", "non-dropping-particle" : "", "parse-names" : false, "suffix" : "" }, { "dropping-particle" : "", "family" : "Knerr", "given" : "V.", "non-dropping-particle" : "", "parse-names" : false, "suffix" : "" }, { "dropping-particle" : "", "family" : "Kindle", "given" : "G.", "non-dropping-particle" : "", "parse-names" : false, "suffix" : "" }, { "dropping-particle" : "", "family" : "Micol", "given" : "R.", "non-dropping-particle" : "", "parse-names" : false, "suffix" : "" }, { "dropping-particle" : "", "family" : "Benslama", "given" : "L.", "non-dropping-particle" : "", "parse-names" : false, "suffix" : "" }, { "dropping-particle" : "", "family" : "Plebani", "given" : "A.", "non-dropping-particle" : "", "parse-names" : false, "suffix" : "" }, { "dropping-particle" : "", "family" : "Notarangelo", "given" : "L.", "non-dropping-particle" : "", "parse-names" : false, "suffix" : "" }, { "dropping-particle" : "", "family" : "Pignata", "given" : "C.", "non-dropping-particle" : "", "parse-names" : false, "suffix" : "" }, { "dropping-particle" : "", "family" : "Bangs", "given" : "C.", "non-dropping-particle" : "", "parse-names" : false, "suffix" : "" }, { "dropping-particle" : "", "family" : "Lucas", "given" : "M.", "non-dropping-particle" : "", "parse-names" : false, "suffix" : "" }, { "dropping-particle" : "", "family" : "Tierney", "given" : "P.", "non-dropping-particle" : "", "parse-names" : false, "suffix" : "" }, { "dropping-particle" : "", "family" : "Core", "given" : "C.", "non-dropping-particle" : "", "parse-names" : false, "suffix" : "" }, { "dropping-particle" : "", "family" : "Dempster", "given" : "J.", "non-dropping-particle" : "", "parse-names" : false, "suffix" : "" }, { "dropping-particle" : "", "family" : "Exley", "given" : "A.", "non-dropping-particle" : "", "parse-names" : false, "suffix" : "" }, { "dropping-particle" : "", "family" : "Kumararatne", "given" : "D.", "non-dropping-particle" : "", "parse-names" : false, "suffix" : "" }, { "dropping-particle" : "", "family" : "Paschenko", "given" : "O.", "non-dropping-particle" : "", "parse-names" : false, "suffix" : "" }, { "dropping-particle" : "", "family" : "Kondratenko", "given" : "I.", "non-dropping-particle" : "", "parse-names" : false, "suffix" : "" }, { "dropping-particle" : "", "family" : "Shcherbina", "given" : "Anna", "non-dropping-particle" : "", "parse-names" : false, "suffix" : "" }, { "dropping-particle" : "", "family" : "Velbri", "given" : "S.", "non-dropping-particle" : "", "parse-names" : false, "suffix" : "" }, { "dropping-particle" : "", "family" : "Ciznar", "given" : "P.", "non-dropping-particle" : "", "parse-names" : false, "suffix" : "" }, { "dropping-particle" : "", "family" : "Duobiene", "given" : "R.", "non-dropping-particle" : "", "parse-names" : false, "suffix" : "" }, { "dropping-particle" : "", "family" : "Kilic", "given" : "S.", "non-dropping-particle" : "", "parse-names" : false, "suffix" : "" }, { "dropping-particle" : "", "family" : "K??t??kc??ler", "given" : "N.", "non-dropping-particle" : "", "parse-names" : false, "suffix" : "" }, { "dropping-particle" : "", "family" : "Sanal", "given" : "??", "non-dropping-particle" : "", "parse-names" : false, "suffix" : "" }, { "dropping-particle" : "", "family" : "Reisli", "given" : "I.", "non-dropping-particle" : "", "parse-names" : false, "suffix" : "" }, { "dropping-particle" : "", "family" : "Yegin", "given" : "O.", "non-dropping-particle" : "", "parse-names" : false, "suffix" : "" }, { "dropping-particle" : "", "family" : "Kanariou", "given" : "M.", "non-dropping-particle" : "", "parse-names" : false, "suffix" : "" }, { "dropping-particle" : "", "family" : "Papadopoulou-Alataki", "given" : "E.", "non-dropping-particle" : "", "parse-names" : false, "suffix" : "" }, { "dropping-particle" : "", "family" : "Trachana", "given" : "M.", "non-dropping-particle" : "", "parse-names" : false, "suffix" : "" }, { "dropping-particle" : "", "family" : "Hatzistilianou", "given" : "M.", "non-dropping-particle" : "", "parse-names" : false, "suffix" : "" }, { "dropping-particle" : "", "family" : "Farber", "given" : "C. M.", "non-dropping-particle" : "", "parse-names" : false, "suffix" : "" }, { "dropping-particle" : "", "family" : "Meyts", "given" : "I.", "non-dropping-particle" : "", "parse-names" : false, "suffix" : "" }, { "dropping-particle" : "", "family" : "Pasic", "given" : "S.", "non-dropping-particle" : "", "parse-names" : false, "suffix" : "" }, { "dropping-particle" : "", "family" : "Richter", "given" : "D.", "non-dropping-particle" : "", "parse-names" : false, "suffix" : "" }, { "dropping-particle" : "", "family" : "Marodi", "given" : "L.", "non-dropping-particle" : "", "parse-names" : false, "suffix" : "" }, { "dropping-particle" : "", "family" : "Touitou", "given" : "I.", "non-dropping-particle" : "", "parse-names" : false, "suffix" : "" }, { "dropping-particle" : "", "family" : "Abuzakouk", "given" : "M.", "non-dropping-particle" : "", "parse-names" : false, "suffix" : "" }, { "dropping-particle" : "", "family" : "Feighery", "given" : "C.", "non-dropping-particle" : "", "parse-names" : false, "suffix" : "" }, { "dropping-particle" : "", "family" : "Thon", "given" : "V.", "non-dropping-particle" : "", "parse-names" : false, "suffix" : "" }, { "dropping-particle" : "", "family" : "Litzman", "given" : "J.", "non-dropping-particle" : "", "parse-names" : false, "suffix" : "" }, { "dropping-particle" : "", "family" : "Cucuruz", "given" : "M.", "non-dropping-particle" : "", "parse-names" : false, "suffix" : "" }, { "dropping-particle" : "", "family" : "Wolska", "given" : "B.", "non-dropping-particle" : "", "parse-names" : false, "suffix" : "" }, { "dropping-particle" : "", "family" : "Szaflarska", "given" : "A.", "non-dropping-particle" : "", "parse-names" : false, "suffix" : "" }, { "dropping-particle" : "", "family" : "Reda", "given" : "S.", "non-dropping-particle" : "", "parse-names" : false, "suffix" : "" }, { "dropping-particle" : "", "family" : "Soler", "given" : "P.", "non-dropping-particle" : "", "parse-names" : false, "suffix" : "" }, { "dropping-particle" : "", "family" : "Caragol", "given" : "I.", "non-dropping-particle" : "", "parse-names" : false, "suffix" : "" }, { "dropping-particle" : "", "family" : "Llobet", "given" : "P.", "non-dropping-particle" : "", "parse-names" : false, "suffix" : "" }, { "dropping-particle" : "", "family" : "Savchak", "given" : "I.", "non-dropping-particle" : "", "parse-names" : false, "suffix" : "" }, { "dropping-particle" : "", "family" : "Marques", "given" : "L.", "non-dropping-particle" : "", "parse-names" : false, "suffix" : "" }, { "dropping-particle" : "", "family" : "Koren", "given" : "A.", "non-dropping-particle" : "", "parse-names" : false, "suffix" : "" }, { "dropping-particle" : "", "family" : "H??rnes", "given" : "M.", "non-dropping-particle" : "", "parse-names" : false, "suffix" : "" }, { "dropping-particle" : "", "family" : "Shchebet", "given" : "S.", "non-dropping-particle" : "", "parse-names" : false, "suffix" : "" }, { "dropping-particle" : "", "family" : "Goldacker", "given" : "S.", "non-dropping-particle" : "", "parse-names" : false, "suffix" : "" }, { "dropping-particle" : "", "family" : "Ritterbusch", "given" : "H.", "non-dropping-particle" : "", "parse-names" : false, "suffix" : "" }, { "dropping-particle" : "", "family" : "Fa??hauer", "given" : "M.", "non-dropping-particle" : "", "parse-names" : false, "suffix" : "" }, { "dropping-particle" : "", "family" : "Sollinger", "given" : "F.", "non-dropping-particle" : "", "parse-names" : false, "suffix" : "" }, { "dropping-particle" : "", "family" : "Witte", "given" : "T.", "non-dropping-particle" : "", "parse-names" : false, "suffix" : "" }, { "dropping-particle" : "", "family" : "Baumann", "given" : "U.", "non-dropping-particle" : "", "parse-names" : false, "suffix" : "" }, { "dropping-particle" : "", "family" : "Wittkowski", "given" : "H.", "non-dropping-particle" : "", "parse-names" : false, "suffix" : "" }, { "dropping-particle" : "", "family" : "Viemann", "given" : "D.", "non-dropping-particle" : "", "parse-names" : false, "suffix" : "" }, { "dropping-particle" : "", "family" : "Niehues", "given" : "T.", "non-dropping-particle" : "", "parse-names" : false, "suffix" : "" }, { "dropping-particle" : "", "family" : "Stimm", "given" : "H.", "non-dropping-particle" : "", "parse-names" : false, "suffix" : "" }, { "dropping-particle" : "", "family" : "Brodszki", "given" : "N.", "non-dropping-particle" : "", "parse-names" : false, "suffix" : "" }, { "dropping-particle" : "", "family" : "Beaute", "given" : "J.", "non-dropping-particle" : "", "parse-names" : false, "suffix" : "" }, { "dropping-particle" : "", "family" : "Dudoit", "given" : "Y.", "non-dropping-particle" : "", "parse-names" : false, "suffix" : "" }, { "dropping-particle" : "", "family" : "Mahlaoui", "given" : "N.", "non-dropping-particle" : "", "parse-names" : false, "suffix" : "" }, { "dropping-particle" : "", "family" : "Fischer", "given" : "A.", "non-dropping-particle" : "", "parse-names" : false, "suffix" : "" }, { "dropping-particle" : "", "family" : "Knerr", "given" : "V.", "non-dropping-particle" : "", "parse-names" : false, "suffix" : "" }, { "dropping-particle" : "", "family" : "Kindle", "given" : "G.", "non-dropping-particle" : "", "parse-names" : false, "suffix" : "" }, { "dropping-particle" : "", "family" : "Micol", "given" : "R.", "non-dropping-particle" : "", "parse-names" : false, "suffix" : "" }, { "dropping-particle" : "", "family" : "Benslama", "given" : "L.", "non-dropping-particle" : "", "parse-names" : false, "suffix" : "" }, { "dropping-particle" : "", "family" : "Plebani", "given" : "A.", "non-dropping-particle" : "", "parse-names" : false, "suffix" : "" }, { "dropping-particle" : "", "family" : "Notarangelo", "given" : "L.", "non-dropping-particle" : "", "parse-names" : false, "suffix" : "" }, { "dropping-particle" : "", "family" : "Pignata", "given" : "C.", "non-dropping-particle" : "", "parse-names" : false, "suffix" : "" }, { "dropping-particle" : "", "family" : "Bangs", "given" : "C.", "non-dropping-particle" : "", "parse-names" : false, "suffix" : "" }, { "dropping-particle" : "", "family" : "Lucas", "given" : "M.", "non-dropping-particle" : "", "parse-names" : false, "suffix" : "" }, { "dropping-particle" : "", "family" : "Tierney", "given" : "P.", "non-dropping-particle" : "", "parse-names" : false, "suffix" : "" }, { "dropping-particle" : "", "family" : "Core", "given" : "C.", "non-dropping-particle" : "", "parse-names" : false, "suffix" : "" }, { "dropping-particle" : "", "family" : "Dempster", "given" : "J.", "non-dropping-particle" : "", "parse-names" : false, "suffix" : "" }, { "dropping-particle" : "", "family" : "Exley", "given" : "A.", "non-dropping-particle" : "", "parse-names" : false, "suffix" : "" }, { "dropping-particle" : "", "family" : "Kumararatne", "given" : "D.", "non-dropping-particle" : "", "parse-names" : false, "suffix" : "" }, { "dropping-particle" : "", "family" : "Paschenko", "given" : "O.", "non-dropping-particle" : "", "parse-names" : false, "suffix" : "" }, { "dropping-particle" : "", "family" : "Kondratenko", "given" : "I.", "non-dropping-particle" : "", "parse-names" : false, "suffix" : "" }, { "dropping-particle" : "", "family" : "Shcherbina", "given" : "Anna", "non-dropping-particle" : "", "parse-names" : false, "suffix" : "" }, { "dropping-particle" : "", "family" : "Velbri", "given" : "S.", "non-dropping-particle" : "", "parse-names" : false, "suffix" : "" }, { "dropping-particle" : "", "family" : "Ciznar", "given" : "P.", "non-dropping-particle" : "", "parse-names" : false, "suffix" : "" }, { "dropping-particle" : "", "family" : "Duobiene", "given" : "R.", "non-dropping-particle" : "", "parse-names" : false, "suffix" : "" }, { "dropping-particle" : "", "family" : "Kilic", "given" : "S.", "non-dropping-particle" : "", "parse-names" : false, "suffix" : "" }, { "dropping-particle" : "", "family" : "K??t??kc??ler", "given" : "N.", "non-dropping-particle" : "", "parse-names" : false, "suffix" : "" }, { "dropping-particle" : "", "family" : "Sanal", "given" : "??", "non-dropping-particle" : "", "parse-names" : false, "suffix" : "" }, { "dropping-particle" : "", "family" : "Reisli", "given" : "I.", "non-dropping-particle" : "", "parse-names" : false, "suffix" : "" }, { "dropping-particle" : "", "family" : "Yegin", "given" : "O.", "non-dropping-particle" : "", "parse-names" : false, "suffix" : "" }, { "dropping-particle" : "", "family" : "Kanariou", "given" : "M.", "non-dropping-particle" : "", "parse-names" : false, "suffix" : "" }, { "dropping-particle" : "", "family" : "Papadopoulou-Alataki", "given" : "E.", "non-dropping-particle" : "", "parse-names" : false, "suffix" : "" }, { "dropping-particle" : "", "family" : "Trachana", "given" : "M.", "non-dropping-particle" : "", "parse-names" : false, "suffix" : "" }, { "dropping-particle" : "", "family" : "Hatzistilianou", "given" : "M.", "non-dropping-particle" : "", "parse-names" : false, "suffix" : "" }, { "dropping-particle" : "", "family" : "Farber", "given" : "C. M.", "non-dropping-particle" : "", "parse-names" : false, "suffix" : "" }, { "dropping-particle" : "", "family" : "Meyts", "given" : "I.", "non-dropping-particle" : "", "parse-names" : false, "suffix" : "" }, { "dropping-particle" : "", "family" : "Pasic", "given" : "S.", "non-dropping-particle" : "", "parse-names" : false, "suffix" : "" }, { "dropping-particle" : "", "family" : "Richter", "given" : "D.", "non-dropping-particle" : "", "parse-names" : false, "suffix" : "" }, { "dropping-particle" : "", "family" : "Marodi", "given" : "L.", "non-dropping-particle" : "", "parse-names" : false, "suffix" : "" }, { "dropping-particle" : "", "family" : "Touitou", "given" : "I.", "non-dropping-particle" : "", "parse-names" : false, "suffix" : "" }, { "dropping-particle" : "", "family" : "Abuzakouk", "given" : "M.", "non-dropping-particle" : "", "parse-names" : false, "suffix" : "" }, { "dropping-particle" : "", "family" : "Feighery", "given" : "C.", "non-dropping-particle" : "", "parse-names" : false, "suffix" : "" }, { "dropping-particle" : "", "family" : "Thon", "given" : "V.", "non-dropping-particle" : "", "parse-names" : false, "suffix" : "" }, { "dropping-particle" : "", "family" : "Litzman", "given" : "J.", "non-dropping-particle" : "", "parse-names" : false, "suffix" : "" }, { "dropping-particle" : "", "family" : "Cucuruz", "given" : "M.", "non-dropping-particle" : "", "parse-names" : false, "suffix" : "" }, { "dropping-particle" : "", "family" : "Wolska", "given" : "B.", "non-dropping-particle" : "", "parse-names" : false, "suffix" : "" }, { "dropping-particle" : "", "family" : "Szaflarska", "given" : "A.", "non-dropping-particle" : "", "parse-names" : false, "suffix" : "" }, { "dropping-particle" : "", "family" : "Reda", "given" : "S.", "non-dropping-particle" : "", "parse-names" : false, "suffix" : "" }, { "dropping-particle" : "", "family" : "Soler", "given" : "P.", "non-dropping-particle" : "", "parse-names" : false, "suffix" : "" }, { "dropping-particle" : "", "family" : "Caragol", "given" : "I.", "non-dropping-particle" : "", "parse-names" : false, "suffix" : "" }, { "dropping-particle" : "", "family" : "Llobet", "given" : "P.", "non-dropping-particle" : "", "parse-names" : false, "suffix" : "" }, { "dropping-particle" : "", "family" : "Savchak", "given" : "I.", "non-dropping-particle" : "", "parse-names" : false, "suffix" : "" }, { "dropping-particle" : "", "family" : "Marques", "given" : "L.", "non-dropping-particle" : "", "parse-names" : false, "suffix" : "" }, { "dropping-particle" : "", "family" : "Koren", "given" : "A.", "non-dropping-particle" : "", "parse-names" : false, "suffix" : "" }, { "dropping-particle" : "", "family" : "H??rnes", "given" : "M.", "non-dropping-particle" : "", "parse-names" : false, "suffix" : "" }, { "dropping-particle" : "", "family" : "Shchebet", "given" : "S.", "non-dropping-particle" : "", "parse-names" : false, "suffix" : "" }, { "dropping-particle" : "", "family" : "Goldacker", "given" : "S.", "non-dropping-particle" : "", "parse-names" : false, "suffix" : "" }, { "dropping-particle" : "", "family" : "Ritterbusch", "given" : "H.", "non-dropping-particle" : "", "parse-names" : false, "suffix" : "" }, { "dropping-particle" : "", "family" : "Fa??hauer", "given" : "M.", "non-dropping-particle" : "", "parse-names" : false, "suffix" : "" }, { "dropping-particle" : "", "family" : "Sollinger", "given" : "F.", "non-dropping-particle" : "", "parse-names" : false, "suffix" : "" }, { "dropping-particle" : "", "family" : "Witte", "given" : "T.", "non-dropping-particle" : "", "parse-names" : false, "suffix" : "" }, { "dropping-particle" : "", "family" : "Baumann", "given" : "U.", "non-dropping-particle" : "", "parse-names" : false, "suffix" : "" }, { "dropping-particle" : "", "family" : "Wittkowski", "given" : "H.", "non-dropping-particle" : "", "parse-names" : false, "suffix" : "" }, { "dropping-particle" : "", "family" : "Viemann", "given" : "D.", "non-dropping-particle" : "", "parse-names" : false, "suffix" : "" }, { "dropping-particle" : "", "family" : "Niehues", "given" : "T.", "non-dropping-particle" : "", "parse-names" : false, "suffix" : "" }, { "dropping-particle" : "", "family" : "Stimm", "given" : "H.", "non-dropping-particle" : "", "parse-names" : false, "suffix" : "" }, { "dropping-particle" : "", "family" : "Brodszki", "given" : "N.", "non-dropping-particle" : "", "parse-names" : false, "suffix" : "" } ], "container-title" : "Clinical and Experimental Immunology", "id" : "ITEM-2", "issue" : "SUPPL. 1", "issued" : { "date-parts" : [ [ "2009", "9" ] ] }, "page" : "3-11", "publisher" : "Wiley-Blackwell", "title" : "The European internet-based patient and research database for primary immunodeficiencies: Results 2006-2008", "type" : "article-journal", "volume" : "157" }, "uris" : [ "http://www.mendeley.com/documents/?uuid=51e138fb-e4c9-4ece-a1e6-8c99478b361f" ] }, { "id" : "ITEM-3", "itemData" : { "DOI" : "10.1093/bioinformatics/btl675", "ISBN" : "1460-2059 (Electronic)", "ISSN" : "1367-4803", "PMID" : "17237056", "abstract" : "UNLABELLED: Primary immunodeficiencies (PIDs) belong to the group of rare diseases. The European Society for Immunodeficiencies (ESID), is establishing an innovative European patient and research database network for continuous long-term documentation of patients, in order to improve the diagnosis, classification, prognosis and therapy of PIDs. The ESID Online Database is a web-based system aimed at data storage, data entry, reporting and the import of pre-existing data sources in an enterprise business-to-business integration (B2B). The online database is based on Java 2 Enterprise System (J2EE) with high-standard security features, which comply with data protection laws and the demands of a modern research platform.\\n\\nAVAILABILITY: The ESID Online Database is accessible via the official website (http://www.esid.org/).\\n\\nSUPPLEMENTARY INFORMATION: Supplementary data are available at Bioinformatics online.", "author" : [ { "dropping-particle" : "", "family" : "Guzman", "given" : "D.", "non-dropping-particle" : "", "parse-names" : false, "suffix" : "" }, { "dropping-particle" : "", "family" : "Veit", "given" : "D.", "non-dropping-particle" : "", "parse-names" : false, "suffix" : "" }, { "dropping-particle" : "", "family" : "Knerr", "given" : "V.", "non-dropping-particle" : "", "parse-names" : false, "suffix" : "" }, { "dropping-particle" : "", "family" : "Kindle", "given" : "G.", "non-dropping-particle" : "", "parse-names" : false, "suffix" : "" }, { "dropping-particle" : "", "family" : "Gathmann", "given" : "B.", "non-dropping-particle" : "", "parse-names" : false, "suffix" : "" }, { "dropping-particle" : "", "family" : "Eades-Perner", "given" : "A. M.", "non-dropping-particle" : "", "parse-names" : false, "suffix" : "" }, { "dropping-particle" : "", "family" : "Grimbacher", "given" : "B.", "non-dropping-particle" : "", "parse-names" : false, "suffix" : "" } ], "container-title" : "Bioinformatics", "id" : "ITEM-3", "issue" : "5", "issued" : { "date-parts" : [ [ "2007", "3", "1" ] ] }, "page" : "654-655", "title" : "The ESID Online Database network", "type" : "article-journal", "volume" : "23" }, "uris" : [ "http://www.mendeley.com/documents/?uuid=2561a922-1923-30cf-8751-2fd609d5695a" ] } ], "mendeley" : { "formattedCitation" : "(5\u20137)", "plainTextFormattedCitation" : "(5\u20137)", "previouslyFormattedCitation" : "(5\u20137)" }, "properties" : { "noteIndex" : 0 }, "schema" : "https://github.com/citation-style-language/schema/raw/master/csl-citation.json" }</w:instrText>
      </w:r>
      <w:r w:rsidR="00716381" w:rsidRPr="00F11608">
        <w:fldChar w:fldCharType="separate"/>
      </w:r>
      <w:r w:rsidR="00036A57" w:rsidRPr="00F11608">
        <w:rPr>
          <w:noProof/>
        </w:rPr>
        <w:t>(5–7)</w:t>
      </w:r>
      <w:r w:rsidR="00716381" w:rsidRPr="00F11608">
        <w:fldChar w:fldCharType="end"/>
      </w:r>
      <w:r w:rsidRPr="00F11608">
        <w:t xml:space="preserve">.  Multicentre Research Ethics (MREC) approval was </w:t>
      </w:r>
      <w:r w:rsidR="00907BCE" w:rsidRPr="00F11608">
        <w:t>obtained</w:t>
      </w:r>
      <w:r w:rsidR="005A7D33" w:rsidRPr="00F11608">
        <w:t xml:space="preserve"> in 2004 </w:t>
      </w:r>
      <w:r w:rsidR="00DC720C" w:rsidRPr="00F11608">
        <w:t>for</w:t>
      </w:r>
      <w:r w:rsidRPr="00F11608">
        <w:t xml:space="preserve"> the ESID </w:t>
      </w:r>
      <w:r w:rsidR="00907BCE" w:rsidRPr="00F11608">
        <w:t>online</w:t>
      </w:r>
      <w:r w:rsidRPr="00F11608">
        <w:t xml:space="preserve"> database (MREC number: 04/MRE07/68).</w:t>
      </w:r>
      <w:r w:rsidR="0030411C" w:rsidRPr="00F11608">
        <w:t xml:space="preserve"> </w:t>
      </w:r>
      <w:r w:rsidR="00EB63CC" w:rsidRPr="00F11608">
        <w:t xml:space="preserve"> </w:t>
      </w:r>
      <w:r w:rsidR="00EE5F37" w:rsidRPr="00F11608">
        <w:rPr>
          <w:rFonts w:cs="Times New Roman"/>
        </w:rPr>
        <w:t>A</w:t>
      </w:r>
      <w:r w:rsidRPr="00F11608">
        <w:rPr>
          <w:rFonts w:cs="Times New Roman"/>
        </w:rPr>
        <w:t>pproval</w:t>
      </w:r>
      <w:r w:rsidR="0065062B" w:rsidRPr="00F11608">
        <w:rPr>
          <w:rFonts w:cs="Times New Roman"/>
        </w:rPr>
        <w:t>s</w:t>
      </w:r>
      <w:r w:rsidRPr="00F11608">
        <w:t xml:space="preserve"> have been amended to </w:t>
      </w:r>
      <w:r w:rsidR="00907BCE" w:rsidRPr="00F11608">
        <w:t>reflect</w:t>
      </w:r>
      <w:r w:rsidRPr="00F11608">
        <w:t xml:space="preserve"> the </w:t>
      </w:r>
      <w:r w:rsidR="009175E4" w:rsidRPr="00F11608">
        <w:t>establishment</w:t>
      </w:r>
      <w:r w:rsidRPr="00F11608">
        <w:t xml:space="preserve"> of a UK based database.</w:t>
      </w:r>
    </w:p>
    <w:p w14:paraId="5F8E6438" w14:textId="459D9C89" w:rsidR="0060644C" w:rsidRPr="00F11608" w:rsidRDefault="0060644C" w:rsidP="0065062B">
      <w:pPr>
        <w:ind w:firstLine="432"/>
      </w:pPr>
      <w:r w:rsidRPr="00F11608">
        <w:t xml:space="preserve">A </w:t>
      </w:r>
      <w:r w:rsidR="00907BCE" w:rsidRPr="00F11608">
        <w:t>retrospective</w:t>
      </w:r>
      <w:r w:rsidRPr="00F11608">
        <w:t xml:space="preserve"> </w:t>
      </w:r>
      <w:r w:rsidR="00907BCE" w:rsidRPr="00F11608">
        <w:t>analysis</w:t>
      </w:r>
      <w:r w:rsidR="007E588C" w:rsidRPr="00F11608">
        <w:t xml:space="preserve"> of</w:t>
      </w:r>
      <w:r w:rsidRPr="00F11608">
        <w:t xml:space="preserve"> the </w:t>
      </w:r>
      <w:r w:rsidR="0030411C" w:rsidRPr="00F11608">
        <w:t xml:space="preserve">registry </w:t>
      </w:r>
      <w:r w:rsidRPr="00F11608">
        <w:t xml:space="preserve">data was </w:t>
      </w:r>
      <w:r w:rsidR="0030411C" w:rsidRPr="00F11608">
        <w:t xml:space="preserve">performed.  </w:t>
      </w:r>
      <w:r w:rsidR="00AB7725" w:rsidRPr="00F11608">
        <w:rPr>
          <w:rFonts w:cs="Times New Roman"/>
        </w:rPr>
        <w:t>M</w:t>
      </w:r>
      <w:r w:rsidR="00907BCE" w:rsidRPr="00F11608">
        <w:rPr>
          <w:rFonts w:cs="Times New Roman"/>
        </w:rPr>
        <w:t>inimum</w:t>
      </w:r>
      <w:r w:rsidRPr="00F11608">
        <w:t xml:space="preserve"> </w:t>
      </w:r>
      <w:r w:rsidR="00907BCE" w:rsidRPr="00F11608">
        <w:t>prevalence</w:t>
      </w:r>
      <w:r w:rsidR="0030411C" w:rsidRPr="00F11608">
        <w:t xml:space="preserve"> and incidence</w:t>
      </w:r>
      <w:r w:rsidR="000B20A6" w:rsidRPr="00F11608">
        <w:rPr>
          <w:rFonts w:cs="Times New Roman"/>
        </w:rPr>
        <w:t>, as well as live birth data</w:t>
      </w:r>
      <w:r w:rsidR="0030411C" w:rsidRPr="00F11608">
        <w:rPr>
          <w:rFonts w:cs="Times New Roman"/>
        </w:rPr>
        <w:t xml:space="preserve"> w</w:t>
      </w:r>
      <w:r w:rsidR="00AB7725" w:rsidRPr="00F11608">
        <w:rPr>
          <w:rFonts w:cs="Times New Roman"/>
        </w:rPr>
        <w:t>ere</w:t>
      </w:r>
      <w:r w:rsidR="0030411C" w:rsidRPr="00F11608">
        <w:t xml:space="preserve"> </w:t>
      </w:r>
      <w:r w:rsidR="002F506C" w:rsidRPr="00F11608">
        <w:rPr>
          <w:rFonts w:cs="Times New Roman"/>
        </w:rPr>
        <w:t xml:space="preserve">calculated </w:t>
      </w:r>
      <w:r w:rsidR="0030411C" w:rsidRPr="00F11608">
        <w:t xml:space="preserve">using </w:t>
      </w:r>
      <w:r w:rsidR="00D937D3" w:rsidRPr="00F11608">
        <w:t>UK p</w:t>
      </w:r>
      <w:r w:rsidR="0030411C" w:rsidRPr="00F11608">
        <w:t>opulation data</w:t>
      </w:r>
      <w:r w:rsidR="00CF2FC5" w:rsidRPr="00F11608">
        <w:t xml:space="preserve"> sourced from the Office for National Statistics estimates</w:t>
      </w:r>
      <w:r w:rsidR="000B20A6" w:rsidRPr="00F11608">
        <w:rPr>
          <w:rFonts w:cs="Times New Roman"/>
        </w:rPr>
        <w:t>.</w:t>
      </w:r>
      <w:r w:rsidR="00CF2FC5" w:rsidRPr="00F11608">
        <w:fldChar w:fldCharType="begin" w:fldLock="1"/>
      </w:r>
      <w:r w:rsidR="000C77BD" w:rsidRPr="00F11608">
        <w:instrText>ADDIN CSL_CITATION { "citationItems" : [ { "id" : "ITEM-1", "itemData" : { "abstract" : "Background information on the UK population, its size, characteristics and the causes of population change", "author" : [ { "dropping-particle" : "", "family" : "Office for National Statistics", "given" : "", "non-dropping-particle" : "", "parse-names" : false, "suffix" : "" } ], "id" : "ITEM-1", "issue" : "November", "issued" : { "date-parts" : [ [ "2015" ] ] }, "page" : "1-17", "title" : "Overview of the UK population: March 2017", "type" : "article-journal" }, "uris" : [ "http://www.mendeley.com/documents/?uuid=a7ecc27b-9d3b-40cc-9ba7-913ed57971d4" ] } ], "mendeley" : { "formattedCitation" : "(8)", "plainTextFormattedCitation" : "(8)", "previouslyFormattedCitation" : "(8)" }, "properties" : { "noteIndex" : 0 }, "schema" : "https://github.com/citation-style-language/schema/raw/master/csl-citation.json" }</w:instrText>
      </w:r>
      <w:r w:rsidR="00CF2FC5" w:rsidRPr="00F11608">
        <w:fldChar w:fldCharType="separate"/>
      </w:r>
      <w:r w:rsidR="00036A57" w:rsidRPr="00F11608">
        <w:rPr>
          <w:noProof/>
        </w:rPr>
        <w:t>(8)</w:t>
      </w:r>
      <w:r w:rsidR="00CF2FC5" w:rsidRPr="00F11608">
        <w:fldChar w:fldCharType="end"/>
      </w:r>
      <w:r w:rsidR="000B20A6" w:rsidRPr="00F11608">
        <w:rPr>
          <w:rFonts w:cs="Times New Roman"/>
        </w:rPr>
        <w:fldChar w:fldCharType="begin" w:fldLock="1"/>
      </w:r>
      <w:r w:rsidR="000B20A6" w:rsidRPr="00F11608">
        <w:rPr>
          <w:rFonts w:cs="Times New Roman"/>
        </w:rPr>
        <w:instrText>ADDIN CSL_CITATION { "citationItems" : [ { "id" : "ITEM-1", "itemData" : { "URL" : "https://www.ons.gov.uk/peoplepopulationandcommunity/birthsdeathsandmarriages/livebirths", "accessed" : { "date-parts" : [ [ "2017", "6", "16" ] ] }, "author" : [ { "dropping-particle" : "", "family" : "Office for National Statistics", "given" : "", "non-dropping-particle" : "", "parse-names" : false, "suffix" : "" } ], "id" : "ITEM-1", "issued" : { "date-parts" : [ [ "0" ] ] }, "title" : "Enlgland and Wales Live Births 1938-2015", "type" : "webpage" }, "uris" : [ "http://www.mendeley.com/documents/?uuid=a6b4b03b-27d0-44b3-a116-a34b5b5677b3" ] }, { "id" : "ITEM-2", "itemData" : { "URL" : "https://www.nrscotland.gov.uk/statistics-and-data/statistics/statistics-by-theme/vital-events/births", "accessed" : { "date-parts" : [ [ "2017", "6", "16" ] ] }, "author" : [ { "dropping-particle" : "", "family" : "Scotland", "given" : "National Records of", "non-dropping-particle" : "", "parse-names" : false, "suffix" : "" } ], "id" : "ITEM-2", "issued" : { "date-parts" : [ [ "0" ] ] }, "title" : "Scottish Live Births 1918-2015", "type" : "webpage" }, "uris" : [ "http://www.mendeley.com/documents/?uuid=81d559d0-a216-46f7-807e-e01e54ea57ef" ] }, { "id" : "ITEM-3", "itemData" : { "URL" : "https://www.nisra.gov.uk/statistics/births-deaths-and-marriages/births", "accessed" : { "date-parts" : [ [ "2017", "6", "16" ] ] }, "author" : [ { "dropping-particle" : "", "family" : "Northern Ireland Statistics and Research Agency", "given" : "", "non-dropping-particle" : "", "parse-names" : false, "suffix" : "" } ], "id" : "ITEM-3", "issued" : { "date-parts" : [ [ "0" ] ] }, "title" : "Northern Ireland Live Births 1887-2015", "type" : "webpage" }, "uris" : [ "http://www.mendeley.com/documents/?uuid=a5408376-6fa6-48df-93eb-def168026d64" ] } ], "mendeley" : { "formattedCitation" : "(9\u201311)", "plainTextFormattedCitation" : "(9\u201311)", "previouslyFormattedCitation" : "(9\u201311)" }, "properties" : { "noteIndex" : 0 }, "schema" : "https://github.com/citation-style-language/schema/raw/master/csl-citation.json" }</w:instrText>
      </w:r>
      <w:r w:rsidR="000B20A6" w:rsidRPr="00F11608">
        <w:rPr>
          <w:rFonts w:cs="Times New Roman"/>
        </w:rPr>
        <w:fldChar w:fldCharType="separate"/>
      </w:r>
      <w:r w:rsidR="000B20A6" w:rsidRPr="00F11608">
        <w:rPr>
          <w:rFonts w:cs="Times New Roman"/>
          <w:noProof/>
        </w:rPr>
        <w:t>(9–11)</w:t>
      </w:r>
      <w:r w:rsidR="000B20A6" w:rsidRPr="00F11608">
        <w:rPr>
          <w:rFonts w:cs="Times New Roman"/>
        </w:rPr>
        <w:fldChar w:fldCharType="end"/>
      </w:r>
      <w:r w:rsidR="002F506C" w:rsidRPr="00F11608">
        <w:rPr>
          <w:rFonts w:cs="Times New Roman"/>
        </w:rPr>
        <w:t>.</w:t>
      </w:r>
      <w:r w:rsidR="005A7D33" w:rsidRPr="00F11608">
        <w:rPr>
          <w:rFonts w:cs="Times New Roman"/>
        </w:rPr>
        <w:t xml:space="preserve"> </w:t>
      </w:r>
      <w:r w:rsidR="002F506C" w:rsidRPr="00F11608">
        <w:rPr>
          <w:rFonts w:cs="Times New Roman"/>
        </w:rPr>
        <w:t xml:space="preserve"> </w:t>
      </w:r>
      <w:r w:rsidR="005A7D33" w:rsidRPr="00F11608">
        <w:rPr>
          <w:rFonts w:cs="Times New Roman"/>
        </w:rPr>
        <w:t>Annual i</w:t>
      </w:r>
      <w:r w:rsidR="00D937D3" w:rsidRPr="00F11608">
        <w:rPr>
          <w:rFonts w:cs="Times New Roman"/>
        </w:rPr>
        <w:t>ncide</w:t>
      </w:r>
      <w:r w:rsidR="005A7D33" w:rsidRPr="00F11608">
        <w:rPr>
          <w:rFonts w:cs="Times New Roman"/>
        </w:rPr>
        <w:t>nce rates have been calculated</w:t>
      </w:r>
      <w:r w:rsidR="00D937D3" w:rsidRPr="00F11608">
        <w:rPr>
          <w:rFonts w:cs="Times New Roman"/>
        </w:rPr>
        <w:t xml:space="preserve"> per 100</w:t>
      </w:r>
      <w:r w:rsidR="005F696D" w:rsidRPr="00F11608">
        <w:rPr>
          <w:rFonts w:cs="Times New Roman"/>
        </w:rPr>
        <w:t xml:space="preserve">000 UK population.  </w:t>
      </w:r>
      <w:r w:rsidRPr="00F11608">
        <w:rPr>
          <w:rFonts w:cs="Times New Roman"/>
        </w:rPr>
        <w:t xml:space="preserve">Data </w:t>
      </w:r>
      <w:r w:rsidR="00AB7725" w:rsidRPr="00F11608">
        <w:rPr>
          <w:rFonts w:cs="Times New Roman"/>
        </w:rPr>
        <w:t xml:space="preserve">relating to geographical, gender and sex distribution in addition to age of onset and diagnostic delay </w:t>
      </w:r>
      <w:r w:rsidRPr="00F11608">
        <w:rPr>
          <w:rFonts w:cs="Times New Roman"/>
        </w:rPr>
        <w:t xml:space="preserve">were analysed using </w:t>
      </w:r>
      <w:r w:rsidR="00907BCE" w:rsidRPr="00F11608">
        <w:rPr>
          <w:rFonts w:cs="Times New Roman"/>
        </w:rPr>
        <w:t>parametric</w:t>
      </w:r>
      <w:r w:rsidRPr="00F11608">
        <w:rPr>
          <w:rFonts w:cs="Times New Roman"/>
        </w:rPr>
        <w:t xml:space="preserve"> and non-</w:t>
      </w:r>
      <w:r w:rsidR="00907BCE" w:rsidRPr="00F11608">
        <w:rPr>
          <w:rFonts w:cs="Times New Roman"/>
        </w:rPr>
        <w:t>parametric</w:t>
      </w:r>
      <w:r w:rsidRPr="00F11608">
        <w:rPr>
          <w:rFonts w:cs="Times New Roman"/>
        </w:rPr>
        <w:t xml:space="preserve"> </w:t>
      </w:r>
      <w:r w:rsidR="00907BCE" w:rsidRPr="00F11608">
        <w:rPr>
          <w:rFonts w:cs="Times New Roman"/>
        </w:rPr>
        <w:t>analysis</w:t>
      </w:r>
      <w:r w:rsidRPr="00F11608">
        <w:rPr>
          <w:rFonts w:cs="Times New Roman"/>
        </w:rPr>
        <w:t xml:space="preserve"> as appropriate.  Where data </w:t>
      </w:r>
      <w:r w:rsidR="00AB7725" w:rsidRPr="00F11608">
        <w:rPr>
          <w:rFonts w:cs="Times New Roman"/>
        </w:rPr>
        <w:t>we</w:t>
      </w:r>
      <w:r w:rsidRPr="00F11608">
        <w:rPr>
          <w:rFonts w:cs="Times New Roman"/>
        </w:rPr>
        <w:t xml:space="preserve">re only </w:t>
      </w:r>
      <w:r w:rsidR="00907BCE" w:rsidRPr="00F11608">
        <w:rPr>
          <w:rFonts w:cs="Times New Roman"/>
        </w:rPr>
        <w:t>available</w:t>
      </w:r>
      <w:r w:rsidRPr="00F11608">
        <w:rPr>
          <w:rFonts w:cs="Times New Roman"/>
        </w:rPr>
        <w:t xml:space="preserve"> for a subset of the </w:t>
      </w:r>
      <w:r w:rsidR="00907BCE" w:rsidRPr="00F11608">
        <w:rPr>
          <w:rFonts w:cs="Times New Roman"/>
        </w:rPr>
        <w:t>patients</w:t>
      </w:r>
      <w:r w:rsidRPr="00F11608">
        <w:rPr>
          <w:rFonts w:cs="Times New Roman"/>
        </w:rPr>
        <w:t xml:space="preserve"> the </w:t>
      </w:r>
      <w:r w:rsidR="00907BCE" w:rsidRPr="00F11608">
        <w:rPr>
          <w:rFonts w:cs="Times New Roman"/>
        </w:rPr>
        <w:t>denominator</w:t>
      </w:r>
      <w:r w:rsidRPr="00F11608">
        <w:rPr>
          <w:rFonts w:cs="Times New Roman"/>
        </w:rPr>
        <w:t xml:space="preserve"> is stated within the text.</w:t>
      </w:r>
      <w:r w:rsidR="00172066" w:rsidRPr="00F11608">
        <w:rPr>
          <w:rFonts w:cs="Times New Roman"/>
        </w:rPr>
        <w:t xml:space="preserve">  The UKPIN registry also collects data on patients with secondary antibody deficiency.  These patients have been excluded from data pertaining to prevalence</w:t>
      </w:r>
      <w:r w:rsidR="0050146E">
        <w:rPr>
          <w:rFonts w:cs="Times New Roman"/>
        </w:rPr>
        <w:t xml:space="preserve"> and incidence</w:t>
      </w:r>
      <w:r w:rsidR="00172066" w:rsidRPr="00F11608">
        <w:rPr>
          <w:rFonts w:cs="Times New Roman"/>
        </w:rPr>
        <w:t xml:space="preserve"> of PID.</w:t>
      </w:r>
      <w:r w:rsidR="007E588C" w:rsidRPr="00F11608">
        <w:rPr>
          <w:rFonts w:cs="Times New Roman"/>
        </w:rPr>
        <w:t xml:space="preserve">  </w:t>
      </w:r>
    </w:p>
    <w:p w14:paraId="7E79E98C" w14:textId="77777777" w:rsidR="008548CC" w:rsidRPr="00F11608" w:rsidRDefault="008548CC" w:rsidP="008548CC">
      <w:pPr>
        <w:pStyle w:val="Heading1"/>
        <w:numPr>
          <w:ilvl w:val="0"/>
          <w:numId w:val="0"/>
        </w:numPr>
        <w:ind w:left="432" w:hanging="432"/>
        <w:jc w:val="left"/>
        <w:rPr>
          <w:rFonts w:ascii="Times New Roman" w:hAnsi="Times New Roman"/>
          <w:sz w:val="22"/>
          <w:szCs w:val="22"/>
        </w:rPr>
      </w:pPr>
      <w:r w:rsidRPr="00F11608">
        <w:rPr>
          <w:rFonts w:ascii="Times New Roman" w:hAnsi="Times New Roman"/>
          <w:sz w:val="22"/>
          <w:szCs w:val="22"/>
        </w:rPr>
        <w:t>Results</w:t>
      </w:r>
    </w:p>
    <w:p w14:paraId="6EAB63BE" w14:textId="07C982D3" w:rsidR="009057F5" w:rsidRPr="00F11608" w:rsidRDefault="00BF595D" w:rsidP="008612F1">
      <w:r w:rsidRPr="00F11608">
        <w:t xml:space="preserve">There are </w:t>
      </w:r>
      <w:r w:rsidR="000B20A6" w:rsidRPr="00F11608">
        <w:rPr>
          <w:rFonts w:cs="Times New Roman"/>
        </w:rPr>
        <w:t xml:space="preserve">currently </w:t>
      </w:r>
      <w:r w:rsidRPr="00F11608">
        <w:t xml:space="preserve">38 recognised centres in the </w:t>
      </w:r>
      <w:r w:rsidR="000B20A6" w:rsidRPr="00F11608">
        <w:rPr>
          <w:rFonts w:cs="Times New Roman"/>
        </w:rPr>
        <w:t>UK</w:t>
      </w:r>
      <w:r w:rsidRPr="00F11608">
        <w:t xml:space="preserve"> providing specialist immunology services</w:t>
      </w:r>
      <w:r w:rsidR="00625D1C" w:rsidRPr="00F11608">
        <w:t>,</w:t>
      </w:r>
      <w:r w:rsidRPr="00F11608">
        <w:t xml:space="preserve"> 37 of </w:t>
      </w:r>
      <w:r w:rsidR="00625D1C" w:rsidRPr="00F11608">
        <w:t>which</w:t>
      </w:r>
      <w:r w:rsidRPr="00F11608">
        <w:t xml:space="preserve"> (97%) are actively enrolling patients into the UKPIN d</w:t>
      </w:r>
      <w:r w:rsidR="00373354" w:rsidRPr="00F11608">
        <w:t>atabase, compared to 71% in 2012</w:t>
      </w:r>
      <w:r w:rsidRPr="00F11608">
        <w:t>.</w:t>
      </w:r>
      <w:r w:rsidR="000B20A6" w:rsidRPr="00F11608">
        <w:rPr>
          <w:rFonts w:cs="Times New Roman"/>
        </w:rPr>
        <w:t xml:space="preserve"> </w:t>
      </w:r>
      <w:r w:rsidR="00E14BF6">
        <w:rPr>
          <w:rFonts w:cs="Times New Roman"/>
        </w:rPr>
        <w:t xml:space="preserve"> </w:t>
      </w:r>
      <w:r w:rsidRPr="00F11608">
        <w:t xml:space="preserve">As of </w:t>
      </w:r>
      <w:r w:rsidR="00683BDA" w:rsidRPr="00F11608">
        <w:t>August 2017, 4758</w:t>
      </w:r>
      <w:r w:rsidRPr="00F11608">
        <w:t xml:space="preserve"> patients have been </w:t>
      </w:r>
      <w:r w:rsidR="00EB63CC" w:rsidRPr="00F11608">
        <w:t>entered into the</w:t>
      </w:r>
      <w:r w:rsidRPr="00F11608">
        <w:t xml:space="preserve"> registry</w:t>
      </w:r>
      <w:r w:rsidR="00D221E6" w:rsidRPr="00F11608">
        <w:t xml:space="preserve"> </w:t>
      </w:r>
      <w:r w:rsidR="00683BDA" w:rsidRPr="00F11608">
        <w:t>(</w:t>
      </w:r>
      <w:r w:rsidR="000B20A6" w:rsidRPr="00F11608">
        <w:rPr>
          <w:rFonts w:cs="Times New Roman"/>
        </w:rPr>
        <w:t>F</w:t>
      </w:r>
      <w:r w:rsidR="00683BDA" w:rsidRPr="00F11608">
        <w:rPr>
          <w:rFonts w:cs="Times New Roman"/>
        </w:rPr>
        <w:t>igure</w:t>
      </w:r>
      <w:r w:rsidR="00683BDA" w:rsidRPr="00F11608">
        <w:t xml:space="preserve"> 1)</w:t>
      </w:r>
      <w:r w:rsidR="00907BCE" w:rsidRPr="00F11608">
        <w:t>.</w:t>
      </w:r>
      <w:r w:rsidRPr="00F11608">
        <w:t xml:space="preserve">  </w:t>
      </w:r>
      <w:r w:rsidR="000B20A6" w:rsidRPr="00F11608">
        <w:rPr>
          <w:rFonts w:cs="Times New Roman"/>
        </w:rPr>
        <w:t>Recruitment</w:t>
      </w:r>
      <w:r w:rsidRPr="00F11608">
        <w:t xml:space="preserve"> has increased </w:t>
      </w:r>
      <w:r w:rsidR="008E17BF" w:rsidRPr="00F11608">
        <w:t xml:space="preserve">significantly </w:t>
      </w:r>
      <w:r w:rsidR="000B20A6" w:rsidRPr="00F11608">
        <w:rPr>
          <w:rFonts w:cs="Times New Roman"/>
        </w:rPr>
        <w:t>since</w:t>
      </w:r>
      <w:r w:rsidR="008E17BF" w:rsidRPr="00F11608">
        <w:t xml:space="preserve"> ou</w:t>
      </w:r>
      <w:r w:rsidRPr="00F11608">
        <w:t>r 2013 report</w:t>
      </w:r>
      <w:r w:rsidR="000B20A6" w:rsidRPr="00F11608">
        <w:rPr>
          <w:rFonts w:cs="Times New Roman"/>
        </w:rPr>
        <w:t>,</w:t>
      </w:r>
      <w:r w:rsidRPr="00F11608">
        <w:t xml:space="preserve"> which included data on 2229 patients</w:t>
      </w:r>
      <w:r w:rsidRPr="00F11608">
        <w:rPr>
          <w:rFonts w:cs="Times New Roman"/>
        </w:rPr>
        <w:t xml:space="preserve"> </w:t>
      </w:r>
      <w:r w:rsidR="00E744FB" w:rsidRPr="00F11608">
        <w:rPr>
          <w:rFonts w:cs="Times New Roman"/>
        </w:rPr>
        <w:t>(</w:t>
      </w:r>
      <w:r w:rsidR="000B20A6" w:rsidRPr="00F11608">
        <w:rPr>
          <w:rFonts w:cs="Times New Roman"/>
        </w:rPr>
        <w:t>F</w:t>
      </w:r>
      <w:r w:rsidR="00683BDA" w:rsidRPr="00F11608">
        <w:rPr>
          <w:rFonts w:cs="Times New Roman"/>
        </w:rPr>
        <w:t>igure 2)</w:t>
      </w:r>
      <w:r w:rsidR="00A91198" w:rsidRPr="00F11608">
        <w:rPr>
          <w:rFonts w:cs="Times New Roman"/>
        </w:rPr>
        <w:t>.</w:t>
      </w:r>
      <w:r w:rsidR="00E14BF6">
        <w:rPr>
          <w:rFonts w:cs="Times New Roman"/>
        </w:rPr>
        <w:t xml:space="preserve"> </w:t>
      </w:r>
      <w:r w:rsidR="00825CFE" w:rsidRPr="00F11608">
        <w:rPr>
          <w:rFonts w:cs="Times New Roman"/>
        </w:rPr>
        <w:t xml:space="preserve"> </w:t>
      </w:r>
      <w:r w:rsidR="00683BDA" w:rsidRPr="00F11608">
        <w:rPr>
          <w:rFonts w:cs="Times New Roman"/>
        </w:rPr>
        <w:t>4258</w:t>
      </w:r>
      <w:r w:rsidRPr="00F11608">
        <w:t xml:space="preserve"> patients </w:t>
      </w:r>
      <w:r w:rsidR="009057F5" w:rsidRPr="00F11608">
        <w:t>were alive</w:t>
      </w:r>
      <w:r w:rsidR="003348AE" w:rsidRPr="00F11608">
        <w:t xml:space="preserve"> and </w:t>
      </w:r>
      <w:r w:rsidR="00825CFE" w:rsidRPr="00F11608">
        <w:rPr>
          <w:rFonts w:cs="Times New Roman"/>
        </w:rPr>
        <w:t>being</w:t>
      </w:r>
      <w:r w:rsidR="003348AE" w:rsidRPr="00F11608">
        <w:rPr>
          <w:rFonts w:cs="Times New Roman"/>
        </w:rPr>
        <w:t xml:space="preserve"> follow</w:t>
      </w:r>
      <w:r w:rsidR="00825CFE" w:rsidRPr="00F11608">
        <w:rPr>
          <w:rFonts w:cs="Times New Roman"/>
        </w:rPr>
        <w:t>ed</w:t>
      </w:r>
      <w:r w:rsidR="003348AE" w:rsidRPr="00F11608">
        <w:t xml:space="preserve"> up (89.5</w:t>
      </w:r>
      <w:r w:rsidR="009057F5" w:rsidRPr="00F11608">
        <w:t>%).</w:t>
      </w:r>
      <w:r w:rsidR="00192278" w:rsidRPr="00F11608">
        <w:t xml:space="preserve">  </w:t>
      </w:r>
      <w:r w:rsidR="00172066" w:rsidRPr="00F11608">
        <w:t>Excluding those patients with secondary antibody deficiency (n=369), t</w:t>
      </w:r>
      <w:r w:rsidR="00192278" w:rsidRPr="00F11608">
        <w:t xml:space="preserve">his equates to a minimum </w:t>
      </w:r>
      <w:r w:rsidR="00C91E96" w:rsidRPr="00F11608">
        <w:t xml:space="preserve">2017 </w:t>
      </w:r>
      <w:r w:rsidR="00172066" w:rsidRPr="00F11608">
        <w:t>UK PID prevalence of 5.90</w:t>
      </w:r>
      <w:r w:rsidR="00192278" w:rsidRPr="00F11608">
        <w:t xml:space="preserve">/100 000. </w:t>
      </w:r>
      <w:r w:rsidR="00E14BF6">
        <w:t xml:space="preserve"> </w:t>
      </w:r>
      <w:r w:rsidR="003348AE" w:rsidRPr="00F11608">
        <w:t>300</w:t>
      </w:r>
      <w:r w:rsidR="00E14BF6">
        <w:t xml:space="preserve"> (6.3%)</w:t>
      </w:r>
      <w:r w:rsidR="00373354" w:rsidRPr="00F11608">
        <w:t xml:space="preserve"> patients have died since bein</w:t>
      </w:r>
      <w:r w:rsidR="00E14BF6">
        <w:t xml:space="preserve">g entered into the database </w:t>
      </w:r>
      <w:r w:rsidR="00DF748E" w:rsidRPr="00F11608">
        <w:t>from</w:t>
      </w:r>
      <w:r w:rsidR="00373354" w:rsidRPr="00F11608">
        <w:t xml:space="preserve"> the ESID database inception in 2004 and this UKPID registry in 2008.</w:t>
      </w:r>
      <w:r w:rsidR="00825CFE" w:rsidRPr="00F11608">
        <w:rPr>
          <w:rFonts w:cs="Times New Roman"/>
        </w:rPr>
        <w:t xml:space="preserve"> A</w:t>
      </w:r>
      <w:r w:rsidR="00192278" w:rsidRPr="00F11608">
        <w:rPr>
          <w:rFonts w:cs="Times New Roman"/>
        </w:rPr>
        <w:t>ntibody disorders</w:t>
      </w:r>
      <w:r w:rsidR="00192278" w:rsidRPr="00F11608">
        <w:t xml:space="preserve"> make up the largest group of patients within the registry with a minim</w:t>
      </w:r>
      <w:r w:rsidR="00C91E96" w:rsidRPr="00F11608">
        <w:t>um</w:t>
      </w:r>
      <w:r w:rsidR="00192278" w:rsidRPr="00F11608">
        <w:t xml:space="preserve"> UK prevalence of 3.92/100 000</w:t>
      </w:r>
      <w:r w:rsidR="003348AE" w:rsidRPr="00F11608">
        <w:t xml:space="preserve"> (n = 2589, 60</w:t>
      </w:r>
      <w:r w:rsidR="006B39B2" w:rsidRPr="00F11608">
        <w:t>%)</w:t>
      </w:r>
      <w:r w:rsidR="00192278" w:rsidRPr="00F11608">
        <w:t>.  Prevalence data for the eight IUIS classification categories</w:t>
      </w:r>
      <w:r w:rsidR="00E234CC" w:rsidRPr="00F11608">
        <w:t xml:space="preserve"> </w:t>
      </w:r>
      <w:r w:rsidR="00E234CC" w:rsidRPr="00F11608">
        <w:fldChar w:fldCharType="begin" w:fldLock="1"/>
      </w:r>
      <w:r w:rsidR="0022310E">
        <w:instrText>ADDIN CSL_CITATION { "citationItems" : [ { "id" : "ITEM-1", "itemData" : { "DOI" : "10.1007/s10875-015-0201-1", "ISBN" : "1664-3224", "ISSN" : "0271-9142", "PMID" : "26482257", "abstract" : "We report the updated classification of primary immunodeficiencies compiled by the Primary Immunodeficiency Expert Committee (PID EC) of the International Union of Immunological Societies (IUIS). In the two years since the previous version, 34 new gene defects are reported in this updated version. For each disorder, the key clinical and laboratory features are provided. In this new version we continue to see the increasing overlap between immunodeficiency, as manifested by infection and/or malignancy, and immune dysregulation, as manifested by auto-inflammation, auto-immunity, and/or allergy. There is also an increased number of genetic defects that lead to susceptibility to specific organisms which reflects the finely tuned nature of immune defense systems. This classification is the most up to date catalogue of all known and published primary immunodeficiencies and acts as a current reference of the knowledge of these conditions and is an important aid for the genetic and molecular diagnosis of patients with these rare diseases.", "author" : [ { "dropping-particle" : "", "family" : "Picard", "given" : "Capucine", "non-dropping-particle" : "", "parse-names" : false, "suffix" : "" }, { "dropping-particle" : "", "family" : "Al-Herz", "given" : "Waleed", "non-dropping-particle" : "", "parse-names" : false, "suffix" : "" }, { "dropping-particle" : "", "family" : "Bousfiha", "given" : "Aziz", "non-dropping-particle" : "", "parse-names" : false, "suffix" : "" }, { "dropping-particle" : "", "family" : "Casanova", "given" : "Jean-Laurent", "non-dropping-particle" : "", "parse-names" : false, "suffix" : "" }, { "dropping-particle" : "", "family" : "Chatila", "given" : "Talal", "non-dropping-particle" : "", "parse-names" : false, "suffix" : "" }, { "dropping-particle" : "", "family" : "Conley", "given" : "Mary Ellen", "non-dropping-particle" : "", "parse-names" : false, "suffix" : "" }, { "dropping-particle" : "", "family" : "Cunningham-Rundles", "given" : "Charlotte", "non-dropping-particle" : "", "parse-names" : false, "suffix" : "" }, { "dropping-particle" : "", "family" : "Etzioni", "given" : "Amos", "non-dropping-particle" : "", "parse-names" : false, "suffix" : "" }, { "dropping-particle" : "", "family" : "Holland", "given" : "Steven M.", "non-dropping-particle" : "", "parse-names" : false, "suffix" : "" }, { "dropping-particle" : "", "family" : "Klein", "given" : "Christoph", "non-dropping-particle" : "", "parse-names" : false, "suffix" : "" }, { "dropping-particle" : "", "family" : "Nonoyama", "given" : "Shigeaki", "non-dropping-particle" : "", "parse-names" : false, "suffix" : "" }, { "dropping-particle" : "", "family" : "Ochs", "given" : "Hans D.", "non-dropping-particle" : "", "parse-names" : false, "suffix" : "" }, { "dropping-particle" : "", "family" : "Oksenhendler", "given" : "Eric", "non-dropping-particle" : "", "parse-names" : false, "suffix" : "" }, { "dropping-particle" : "", "family" : "Puck", "given" : "Jennifer M.", "non-dropping-particle" : "", "parse-names" : false, "suffix" : "" }, { "dropping-particle" : "", "family" : "Sullivan", "given" : "Kathleen E.", "non-dropping-particle" : "", "parse-names" : false, "suffix" : "" }, { "dropping-particle" : "", "family" : "Tang", "given" : "Mimi L K.", "non-dropping-particle" : "", "parse-names" : false, "suffix" : "" }, { "dropping-particle" : "", "family" : "Franco", "given" : "Jose Luis", "non-dropping-particle" : "", "parse-names" : false, "suffix" : "" }, { "dropping-particle" : "", "family" : "Gaspar", "given" : "H. Bobby", "non-dropping-particle" : "", "parse-names" : false, "suffix" : "" } ], "container-title" : "Journal of Clinical Immunology", "id" : "ITEM-1", "issue" : "8", "issued" : { "date-parts" : [ [ "2015", "11", "19" ] ] }, "page" : "696-726", "title" : "Primary Immunodeficiency Diseases: an Update on the Classification from the International Union of Immunological Societies Expert Committee for Primary Immunodeficiency 2015", "type" : "article-journal", "volume" : "35" }, "uris" : [ "http://www.mendeley.com/documents/?uuid=98aea851-dceb-4918-9b45-ddf7d4ba78fa" ] } ], "mendeley" : { "formattedCitation" : "(3)", "plainTextFormattedCitation" : "(3)", "previouslyFormattedCitation" : "(3)" }, "properties" : { "noteIndex" : 0 }, "schema" : "https://github.com/citation-style-language/schema/raw/master/csl-citation.json" }</w:instrText>
      </w:r>
      <w:r w:rsidR="00E234CC" w:rsidRPr="00F11608">
        <w:fldChar w:fldCharType="separate"/>
      </w:r>
      <w:r w:rsidR="0022310E" w:rsidRPr="0022310E">
        <w:rPr>
          <w:noProof/>
        </w:rPr>
        <w:t>(3)</w:t>
      </w:r>
      <w:r w:rsidR="00E234CC" w:rsidRPr="00F11608">
        <w:fldChar w:fldCharType="end"/>
      </w:r>
      <w:r w:rsidR="00192278" w:rsidRPr="00F11608">
        <w:t xml:space="preserve"> are shown in </w:t>
      </w:r>
      <w:r w:rsidR="00825CFE" w:rsidRPr="00F11608">
        <w:rPr>
          <w:rFonts w:cs="Times New Roman"/>
        </w:rPr>
        <w:t>T</w:t>
      </w:r>
      <w:r w:rsidR="00764E9A" w:rsidRPr="00F11608">
        <w:rPr>
          <w:rFonts w:cs="Times New Roman"/>
        </w:rPr>
        <w:t>able 1</w:t>
      </w:r>
      <w:r w:rsidR="00192278" w:rsidRPr="00F11608">
        <w:rPr>
          <w:rFonts w:cs="Times New Roman"/>
        </w:rPr>
        <w:t xml:space="preserve">. </w:t>
      </w:r>
      <w:r w:rsidR="003348AE" w:rsidRPr="00F11608">
        <w:t>There were 2399 females and 2359 males registered.  888 (18</w:t>
      </w:r>
      <w:r w:rsidR="00337001" w:rsidRPr="00F11608">
        <w:t>.7</w:t>
      </w:r>
      <w:r w:rsidR="009057F5" w:rsidRPr="00F11608">
        <w:t>%)</w:t>
      </w:r>
      <w:r w:rsidR="00B349D3" w:rsidRPr="00F11608">
        <w:t xml:space="preserve"> patients were 18</w:t>
      </w:r>
      <w:r w:rsidR="009057F5" w:rsidRPr="00F11608">
        <w:t xml:space="preserve"> years </w:t>
      </w:r>
      <w:r w:rsidR="00B727C9" w:rsidRPr="00F11608">
        <w:rPr>
          <w:rFonts w:cs="Times New Roman"/>
        </w:rPr>
        <w:t xml:space="preserve">old </w:t>
      </w:r>
      <w:r w:rsidR="009057F5" w:rsidRPr="00F11608">
        <w:t>or less.</w:t>
      </w:r>
    </w:p>
    <w:p w14:paraId="75B679C1" w14:textId="098D2BDF" w:rsidR="0007095F" w:rsidRPr="00F11608" w:rsidRDefault="009057F5" w:rsidP="00B37F34">
      <w:pPr>
        <w:ind w:firstLine="720"/>
      </w:pPr>
      <w:r w:rsidRPr="00F11608">
        <w:t xml:space="preserve">Consanguinity was </w:t>
      </w:r>
      <w:r w:rsidR="008E17BF" w:rsidRPr="00F11608">
        <w:t>reported</w:t>
      </w:r>
      <w:r w:rsidR="003348AE" w:rsidRPr="00F11608">
        <w:t xml:space="preserve"> in 118 of 4097 cases (2.</w:t>
      </w:r>
      <w:r w:rsidR="00A62DBC" w:rsidRPr="00F11608">
        <w:t>9</w:t>
      </w:r>
      <w:r w:rsidRPr="00F11608">
        <w:t>%)</w:t>
      </w:r>
      <w:r w:rsidR="004A3E60" w:rsidRPr="00F11608">
        <w:t xml:space="preserve">, </w:t>
      </w:r>
      <w:r w:rsidR="00A62DBC" w:rsidRPr="00F11608">
        <w:t>equal to the proportio</w:t>
      </w:r>
      <w:r w:rsidR="00175755">
        <w:t>n in our previous report (2.9%)</w:t>
      </w:r>
      <w:r w:rsidR="004A3E60" w:rsidRPr="00F11608">
        <w:t xml:space="preserve">.  </w:t>
      </w:r>
      <w:r w:rsidR="00C25378" w:rsidRPr="00F11608">
        <w:t xml:space="preserve">  </w:t>
      </w:r>
      <w:r w:rsidR="003348AE" w:rsidRPr="00F11608">
        <w:t>968 of 3971</w:t>
      </w:r>
      <w:r w:rsidR="00C25378" w:rsidRPr="00F11608">
        <w:t xml:space="preserve"> </w:t>
      </w:r>
      <w:r w:rsidR="001829DC" w:rsidRPr="00F11608">
        <w:t xml:space="preserve">available </w:t>
      </w:r>
      <w:r w:rsidR="00C25378" w:rsidRPr="00F11608">
        <w:t>cases were ident</w:t>
      </w:r>
      <w:r w:rsidR="003348AE" w:rsidRPr="00F11608">
        <w:t>ified as familial cases (24.4</w:t>
      </w:r>
      <w:r w:rsidR="004A3E60" w:rsidRPr="00F11608">
        <w:t xml:space="preserve">%), </w:t>
      </w:r>
      <w:r w:rsidR="00972383" w:rsidRPr="00F11608">
        <w:t>as per</w:t>
      </w:r>
      <w:r w:rsidR="004A3E60" w:rsidRPr="00F11608">
        <w:t xml:space="preserve"> our previous report of 24</w:t>
      </w:r>
      <w:r w:rsidR="00A62DBC" w:rsidRPr="00F11608">
        <w:t>.0</w:t>
      </w:r>
      <w:r w:rsidR="004A3E60" w:rsidRPr="00F11608">
        <w:rPr>
          <w:rFonts w:cs="Times New Roman"/>
        </w:rPr>
        <w:t>%.</w:t>
      </w:r>
      <w:r w:rsidR="00975A31" w:rsidRPr="00F11608">
        <w:rPr>
          <w:rFonts w:cs="Times New Roman"/>
        </w:rPr>
        <w:t xml:space="preserve"> </w:t>
      </w:r>
      <w:r w:rsidR="006F1D5E" w:rsidRPr="00F11608">
        <w:rPr>
          <w:rFonts w:cs="Times New Roman"/>
        </w:rPr>
        <w:t>1035</w:t>
      </w:r>
      <w:r w:rsidR="00126A1E" w:rsidRPr="00F11608">
        <w:rPr>
          <w:rFonts w:cs="Times New Roman"/>
        </w:rPr>
        <w:t xml:space="preserve"> </w:t>
      </w:r>
      <w:r w:rsidR="00975A31" w:rsidRPr="00F11608">
        <w:rPr>
          <w:rFonts w:cs="Times New Roman"/>
        </w:rPr>
        <w:t>(2</w:t>
      </w:r>
      <w:r w:rsidR="00A62DBC" w:rsidRPr="00F11608">
        <w:rPr>
          <w:rFonts w:cs="Times New Roman"/>
        </w:rPr>
        <w:t>1.8</w:t>
      </w:r>
      <w:r w:rsidR="00975A31" w:rsidRPr="00F11608">
        <w:rPr>
          <w:rFonts w:cs="Times New Roman"/>
        </w:rPr>
        <w:t>%)</w:t>
      </w:r>
      <w:r w:rsidR="00126A1E" w:rsidRPr="00F11608">
        <w:t xml:space="preserve"> patients</w:t>
      </w:r>
      <w:r w:rsidR="006F1D5E" w:rsidRPr="00F11608">
        <w:t xml:space="preserve"> </w:t>
      </w:r>
      <w:r w:rsidR="00975A31" w:rsidRPr="00F11608">
        <w:rPr>
          <w:rFonts w:cs="Times New Roman"/>
        </w:rPr>
        <w:t>had</w:t>
      </w:r>
      <w:r w:rsidR="00126A1E" w:rsidRPr="00F11608">
        <w:t xml:space="preserve"> a proven </w:t>
      </w:r>
      <w:r w:rsidR="006F1D5E" w:rsidRPr="00F11608">
        <w:t>genetic</w:t>
      </w:r>
      <w:r w:rsidR="00126A1E" w:rsidRPr="00F11608">
        <w:t xml:space="preserve"> defect underlying th</w:t>
      </w:r>
      <w:r w:rsidR="006F1D5E" w:rsidRPr="00F11608">
        <w:t xml:space="preserve">eir PID.  </w:t>
      </w:r>
      <w:r w:rsidR="003348AE" w:rsidRPr="00F11608">
        <w:t>5.7</w:t>
      </w:r>
      <w:r w:rsidR="00302445" w:rsidRPr="00F11608">
        <w:t>% (177</w:t>
      </w:r>
      <w:r w:rsidR="00A62DBC" w:rsidRPr="00F11608">
        <w:t>)</w:t>
      </w:r>
      <w:r w:rsidR="0007095F" w:rsidRPr="00F11608">
        <w:t xml:space="preserve"> patients with agammaglobulinemia had a defect in </w:t>
      </w:r>
      <w:r w:rsidR="00975A31" w:rsidRPr="00F11608">
        <w:rPr>
          <w:rFonts w:cs="Times New Roman"/>
          <w:i/>
        </w:rPr>
        <w:t>BTK</w:t>
      </w:r>
      <w:r w:rsidR="0007095F" w:rsidRPr="00F11608">
        <w:t xml:space="preserve"> and one patient had a defect in the Immunoglobulin Heavy Constant Mu (</w:t>
      </w:r>
      <w:r w:rsidR="0007095F" w:rsidRPr="00F11608">
        <w:rPr>
          <w:i/>
        </w:rPr>
        <w:t>IGHM</w:t>
      </w:r>
      <w:r w:rsidR="0007095F" w:rsidRPr="00F11608">
        <w:t>) gene.</w:t>
      </w:r>
      <w:r w:rsidR="003348AE" w:rsidRPr="00F11608">
        <w:t xml:space="preserve"> 75.5% (n=142</w:t>
      </w:r>
      <w:r w:rsidR="00A62DBC" w:rsidRPr="00F11608">
        <w:t>)</w:t>
      </w:r>
      <w:r w:rsidR="0007095F" w:rsidRPr="00F11608">
        <w:t xml:space="preserve"> patients with </w:t>
      </w:r>
      <w:r w:rsidR="00A05C40" w:rsidRPr="00F11608">
        <w:rPr>
          <w:rFonts w:cs="Times New Roman"/>
        </w:rPr>
        <w:t>severe combined immunodeficiency (</w:t>
      </w:r>
      <w:r w:rsidR="0007095F" w:rsidRPr="00F11608">
        <w:t>SCID</w:t>
      </w:r>
      <w:r w:rsidR="00A05C40" w:rsidRPr="00F11608">
        <w:rPr>
          <w:rFonts w:cs="Times New Roman"/>
        </w:rPr>
        <w:t>)</w:t>
      </w:r>
      <w:r w:rsidR="0007095F" w:rsidRPr="00F11608">
        <w:t xml:space="preserve"> had a proven genetic defect, with </w:t>
      </w:r>
      <w:r w:rsidR="00A05C40" w:rsidRPr="00F11608">
        <w:rPr>
          <w:rFonts w:cs="Times New Roman"/>
        </w:rPr>
        <w:t>c</w:t>
      </w:r>
      <w:r w:rsidR="0007095F" w:rsidRPr="00F11608">
        <w:rPr>
          <w:rFonts w:cs="Times New Roman"/>
        </w:rPr>
        <w:t xml:space="preserve">ommon </w:t>
      </w:r>
      <w:r w:rsidR="00A05C40" w:rsidRPr="00F11608">
        <w:rPr>
          <w:rFonts w:cs="Times New Roman"/>
        </w:rPr>
        <w:t>g</w:t>
      </w:r>
      <w:r w:rsidR="0007095F" w:rsidRPr="00F11608">
        <w:rPr>
          <w:rFonts w:cs="Times New Roman"/>
        </w:rPr>
        <w:t xml:space="preserve">amma </w:t>
      </w:r>
      <w:r w:rsidR="00A05C40" w:rsidRPr="00F11608">
        <w:rPr>
          <w:rFonts w:cs="Times New Roman"/>
        </w:rPr>
        <w:t>c</w:t>
      </w:r>
      <w:r w:rsidR="0007095F" w:rsidRPr="00F11608">
        <w:rPr>
          <w:rFonts w:cs="Times New Roman"/>
        </w:rPr>
        <w:t>hain</w:t>
      </w:r>
      <w:r w:rsidR="0007095F" w:rsidRPr="00F11608">
        <w:t xml:space="preserve"> being the comm</w:t>
      </w:r>
      <w:r w:rsidR="003348AE" w:rsidRPr="00F11608">
        <w:t>onest</w:t>
      </w:r>
      <w:r w:rsidR="00A05C40" w:rsidRPr="00F11608">
        <w:rPr>
          <w:rFonts w:cs="Times New Roman"/>
        </w:rPr>
        <w:t>,</w:t>
      </w:r>
      <w:r w:rsidR="003348AE" w:rsidRPr="00F11608">
        <w:t xml:space="preserve"> accounting for 32.4% (n=46</w:t>
      </w:r>
      <w:r w:rsidR="0007095F" w:rsidRPr="00F11608">
        <w:t>) of cases.  A full breakdown of the genetic defects found in the SCID registry patients is sho</w:t>
      </w:r>
      <w:r w:rsidR="003348AE" w:rsidRPr="00F11608">
        <w:t xml:space="preserve">wn in </w:t>
      </w:r>
      <w:r w:rsidR="00A05C40" w:rsidRPr="00F11608">
        <w:rPr>
          <w:rFonts w:cs="Times New Roman"/>
        </w:rPr>
        <w:t>T</w:t>
      </w:r>
      <w:r w:rsidR="003348AE" w:rsidRPr="00F11608">
        <w:rPr>
          <w:rFonts w:cs="Times New Roman"/>
        </w:rPr>
        <w:t>able</w:t>
      </w:r>
      <w:r w:rsidR="003348AE" w:rsidRPr="00F11608">
        <w:t xml:space="preserve"> 3.  66.6% (n=96</w:t>
      </w:r>
      <w:r w:rsidR="0007095F" w:rsidRPr="00F11608">
        <w:t>) of patients with</w:t>
      </w:r>
      <w:r w:rsidR="00A91C54" w:rsidRPr="00F11608">
        <w:t xml:space="preserve"> </w:t>
      </w:r>
      <w:r w:rsidR="00A05C40" w:rsidRPr="00F11608">
        <w:rPr>
          <w:rFonts w:cs="Times New Roman"/>
        </w:rPr>
        <w:t>c</w:t>
      </w:r>
      <w:r w:rsidR="00A91C54" w:rsidRPr="00F11608">
        <w:rPr>
          <w:rFonts w:cs="Times New Roman"/>
        </w:rPr>
        <w:t xml:space="preserve">hronic </w:t>
      </w:r>
      <w:r w:rsidR="00A05C40" w:rsidRPr="00F11608">
        <w:rPr>
          <w:rFonts w:cs="Times New Roman"/>
        </w:rPr>
        <w:t>g</w:t>
      </w:r>
      <w:r w:rsidR="00A91C54" w:rsidRPr="00F11608">
        <w:rPr>
          <w:rFonts w:cs="Times New Roman"/>
        </w:rPr>
        <w:t xml:space="preserve">ranulomatous </w:t>
      </w:r>
      <w:r w:rsidR="00A05C40" w:rsidRPr="00F11608">
        <w:rPr>
          <w:rFonts w:cs="Times New Roman"/>
        </w:rPr>
        <w:t>d</w:t>
      </w:r>
      <w:r w:rsidR="00A91C54" w:rsidRPr="00F11608">
        <w:rPr>
          <w:rFonts w:cs="Times New Roman"/>
        </w:rPr>
        <w:t>isease</w:t>
      </w:r>
      <w:r w:rsidR="0007095F" w:rsidRPr="00F11608">
        <w:t xml:space="preserve"> </w:t>
      </w:r>
      <w:r w:rsidR="00A91C54" w:rsidRPr="00F11608">
        <w:t>(</w:t>
      </w:r>
      <w:r w:rsidR="0007095F" w:rsidRPr="00F11608">
        <w:t>CGD</w:t>
      </w:r>
      <w:r w:rsidR="00A91C54" w:rsidRPr="00F11608">
        <w:t>)</w:t>
      </w:r>
      <w:r w:rsidR="0007095F" w:rsidRPr="00F11608">
        <w:t xml:space="preserve"> had a proven genetic defect</w:t>
      </w:r>
      <w:r w:rsidR="003348AE" w:rsidRPr="00F11608">
        <w:t xml:space="preserve">, with mutations in </w:t>
      </w:r>
      <w:r w:rsidR="003348AE" w:rsidRPr="00F11608">
        <w:rPr>
          <w:i/>
        </w:rPr>
        <w:t>CYBB</w:t>
      </w:r>
      <w:r w:rsidR="003348AE" w:rsidRPr="00F11608">
        <w:t xml:space="preserve"> gene</w:t>
      </w:r>
      <w:r w:rsidR="0007095F" w:rsidRPr="00F11608">
        <w:t xml:space="preserve"> encoding the gp91-phox protein accounti</w:t>
      </w:r>
      <w:r w:rsidR="003348AE" w:rsidRPr="00F11608">
        <w:t>ng for the majority of cases (68.8%, n = 66</w:t>
      </w:r>
      <w:r w:rsidR="0007095F" w:rsidRPr="00F11608">
        <w:t xml:space="preserve">). </w:t>
      </w:r>
      <w:r w:rsidR="00175755">
        <w:t xml:space="preserve"> </w:t>
      </w:r>
      <w:r w:rsidR="00A05C40" w:rsidRPr="00F11608">
        <w:rPr>
          <w:rFonts w:cs="Times New Roman"/>
        </w:rPr>
        <w:t>Eighteen (</w:t>
      </w:r>
      <w:r w:rsidR="00A62DBC" w:rsidRPr="00F11608">
        <w:rPr>
          <w:rFonts w:cs="Times New Roman"/>
        </w:rPr>
        <w:t>2.7</w:t>
      </w:r>
      <w:r w:rsidR="00A05C40" w:rsidRPr="00F11608">
        <w:rPr>
          <w:rFonts w:cs="Times New Roman"/>
        </w:rPr>
        <w:t>%) of the 678 for who</w:t>
      </w:r>
      <w:r w:rsidR="003348AE" w:rsidRPr="00F11608">
        <w:t xml:space="preserve"> data was available </w:t>
      </w:r>
      <w:r w:rsidR="0007095F" w:rsidRPr="00F11608">
        <w:t xml:space="preserve">had their genetic defect </w:t>
      </w:r>
      <w:r w:rsidR="00A05C40" w:rsidRPr="00F11608">
        <w:rPr>
          <w:rFonts w:cs="Times New Roman"/>
        </w:rPr>
        <w:t>diagnosed</w:t>
      </w:r>
      <w:r w:rsidR="0007095F" w:rsidRPr="00F11608">
        <w:t xml:space="preserve"> using whole exome sequencing.</w:t>
      </w:r>
    </w:p>
    <w:p w14:paraId="003F79FF" w14:textId="3DDBAD95" w:rsidR="00C31143" w:rsidRPr="00F11608" w:rsidRDefault="00942286" w:rsidP="00B37F34">
      <w:pPr>
        <w:ind w:firstLine="720"/>
      </w:pPr>
      <w:r w:rsidRPr="00F11608">
        <w:t>Antibody disorders continue to make up the largest group</w:t>
      </w:r>
      <w:r w:rsidR="00DF748E" w:rsidRPr="00F11608">
        <w:t xml:space="preserve"> of all registered patients,</w:t>
      </w:r>
      <w:r w:rsidRPr="00F11608">
        <w:t xml:space="preserve"> </w:t>
      </w:r>
      <w:r w:rsidR="008E17BF" w:rsidRPr="00F11608">
        <w:t>accounting</w:t>
      </w:r>
      <w:r w:rsidR="003348AE" w:rsidRPr="00F11608">
        <w:t xml:space="preserve"> for 2</w:t>
      </w:r>
      <w:r w:rsidR="00750C34" w:rsidRPr="00F11608">
        <w:t>821 (59.7</w:t>
      </w:r>
      <w:r w:rsidRPr="00F11608">
        <w:t xml:space="preserve">%) of </w:t>
      </w:r>
      <w:r w:rsidR="00841498" w:rsidRPr="00F11608">
        <w:t xml:space="preserve">a </w:t>
      </w:r>
      <w:r w:rsidR="00B611A5" w:rsidRPr="00F11608">
        <w:t xml:space="preserve">total </w:t>
      </w:r>
      <w:r w:rsidR="00F96B4B" w:rsidRPr="00F11608">
        <w:t>of 4727</w:t>
      </w:r>
      <w:r w:rsidR="00841498" w:rsidRPr="00F11608">
        <w:t xml:space="preserve"> </w:t>
      </w:r>
      <w:r w:rsidR="00B611A5" w:rsidRPr="00F11608">
        <w:t xml:space="preserve">registry </w:t>
      </w:r>
      <w:r w:rsidRPr="00F11608">
        <w:t>patients</w:t>
      </w:r>
      <w:r w:rsidR="00841498" w:rsidRPr="00F11608">
        <w:t xml:space="preserve"> for whom diagnosis was recorded</w:t>
      </w:r>
      <w:r w:rsidRPr="00F11608">
        <w:rPr>
          <w:rFonts w:cs="Times New Roman"/>
        </w:rPr>
        <w:t xml:space="preserve">.  </w:t>
      </w:r>
      <w:r w:rsidR="00616ED9" w:rsidRPr="00F11608">
        <w:rPr>
          <w:rFonts w:cs="Times New Roman"/>
        </w:rPr>
        <w:t>Sub classification</w:t>
      </w:r>
      <w:r w:rsidR="00F2145B" w:rsidRPr="00F11608">
        <w:rPr>
          <w:rFonts w:cs="Times New Roman"/>
        </w:rPr>
        <w:t xml:space="preserve"> of</w:t>
      </w:r>
      <w:r w:rsidRPr="00F11608">
        <w:rPr>
          <w:rFonts w:cs="Times New Roman"/>
        </w:rPr>
        <w:t xml:space="preserve"> </w:t>
      </w:r>
      <w:r w:rsidR="00F2145B" w:rsidRPr="00F11608">
        <w:rPr>
          <w:rFonts w:cs="Times New Roman"/>
        </w:rPr>
        <w:t>the</w:t>
      </w:r>
      <w:r w:rsidRPr="00F11608">
        <w:t xml:space="preserve"> </w:t>
      </w:r>
      <w:r w:rsidR="00841498" w:rsidRPr="00F11608">
        <w:t xml:space="preserve">total </w:t>
      </w:r>
      <w:r w:rsidR="00F2145B" w:rsidRPr="00F11608">
        <w:rPr>
          <w:rFonts w:cs="Times New Roman"/>
        </w:rPr>
        <w:t>cohort</w:t>
      </w:r>
      <w:r w:rsidRPr="00F11608">
        <w:rPr>
          <w:rFonts w:cs="Times New Roman"/>
        </w:rPr>
        <w:t xml:space="preserve"> </w:t>
      </w:r>
      <w:r w:rsidRPr="00F11608">
        <w:t>into the nine major diagnostic categories is shown in</w:t>
      </w:r>
      <w:r w:rsidR="00E744FB" w:rsidRPr="00F11608">
        <w:t xml:space="preserve"> </w:t>
      </w:r>
      <w:r w:rsidR="00F2145B" w:rsidRPr="00F11608">
        <w:rPr>
          <w:rFonts w:cs="Times New Roman"/>
        </w:rPr>
        <w:t>F</w:t>
      </w:r>
      <w:r w:rsidR="00E744FB" w:rsidRPr="00F11608">
        <w:rPr>
          <w:rFonts w:cs="Times New Roman"/>
        </w:rPr>
        <w:t>igure</w:t>
      </w:r>
      <w:r w:rsidR="00E744FB" w:rsidRPr="00F11608">
        <w:t xml:space="preserve"> 3</w:t>
      </w:r>
      <w:r w:rsidRPr="00F11608">
        <w:t xml:space="preserve">.  The most frequently reported PID is CVID, </w:t>
      </w:r>
      <w:r w:rsidR="00C31143" w:rsidRPr="00F11608">
        <w:t>accounting</w:t>
      </w:r>
      <w:r w:rsidR="00750C34" w:rsidRPr="00F11608">
        <w:t xml:space="preserve"> for 1404 patients (29.7</w:t>
      </w:r>
      <w:r w:rsidRPr="00F11608">
        <w:t>%).</w:t>
      </w:r>
      <w:r w:rsidR="00C31143" w:rsidRPr="00F11608">
        <w:t xml:space="preserve">  The second most frequent diagnosis was </w:t>
      </w:r>
      <w:r w:rsidR="00F2145B" w:rsidRPr="00F11608">
        <w:rPr>
          <w:rFonts w:cs="Times New Roman"/>
        </w:rPr>
        <w:t>h</w:t>
      </w:r>
      <w:r w:rsidR="00C31143" w:rsidRPr="00F11608">
        <w:rPr>
          <w:rFonts w:cs="Times New Roman"/>
        </w:rPr>
        <w:t xml:space="preserve">ereditary </w:t>
      </w:r>
      <w:r w:rsidR="00F2145B" w:rsidRPr="00F11608">
        <w:rPr>
          <w:rFonts w:cs="Times New Roman"/>
        </w:rPr>
        <w:t>a</w:t>
      </w:r>
      <w:r w:rsidR="008E17BF" w:rsidRPr="00F11608">
        <w:rPr>
          <w:rFonts w:cs="Times New Roman"/>
        </w:rPr>
        <w:t>ngioedema</w:t>
      </w:r>
      <w:r w:rsidR="00C31143" w:rsidRPr="00F11608">
        <w:t xml:space="preserve"> (HAE</w:t>
      </w:r>
      <w:r w:rsidR="00750C34" w:rsidRPr="00F11608">
        <w:t>) (n = 514, 10.9</w:t>
      </w:r>
      <w:r w:rsidR="00C31143" w:rsidRPr="00F11608">
        <w:t>%).  Secondary</w:t>
      </w:r>
      <w:r w:rsidR="003348AE" w:rsidRPr="00F11608">
        <w:t xml:space="preserve"> hypo</w:t>
      </w:r>
      <w:r w:rsidR="00750C34" w:rsidRPr="00F11608">
        <w:t>gammaglobulinaemia (n = 409, 8.7</w:t>
      </w:r>
      <w:r w:rsidR="00C31143" w:rsidRPr="00F11608">
        <w:t>%), unclassif</w:t>
      </w:r>
      <w:r w:rsidR="003348AE" w:rsidRPr="00F11608">
        <w:t>ied antibody deficiencies (n= 310</w:t>
      </w:r>
      <w:r w:rsidR="00750C34" w:rsidRPr="00F11608">
        <w:t>, 6.6</w:t>
      </w:r>
      <w:r w:rsidR="003348AE" w:rsidRPr="00F11608">
        <w:t>%), agammaglobulinaemia (n=209, 4.4</w:t>
      </w:r>
      <w:r w:rsidR="00C31143" w:rsidRPr="00F11608">
        <w:t>%), unclassified immunodefi</w:t>
      </w:r>
      <w:r w:rsidR="008E17BF" w:rsidRPr="00F11608">
        <w:t>ci</w:t>
      </w:r>
      <w:r w:rsidR="00AE44B0" w:rsidRPr="00F11608">
        <w:t>e</w:t>
      </w:r>
      <w:r w:rsidR="003348AE" w:rsidRPr="00F11608">
        <w:t>ncies (n= 191, 4.0</w:t>
      </w:r>
      <w:r w:rsidR="00C31143" w:rsidRPr="00F11608">
        <w:t>%)</w:t>
      </w:r>
      <w:r w:rsidR="003348AE" w:rsidRPr="00F11608">
        <w:t>, SCID (n=188, 4.0%)</w:t>
      </w:r>
      <w:r w:rsidR="00C31143" w:rsidRPr="00F11608">
        <w:t xml:space="preserve"> and </w:t>
      </w:r>
      <w:r w:rsidR="008E17BF" w:rsidRPr="00F11608">
        <w:t>specific</w:t>
      </w:r>
      <w:r w:rsidR="00C31143" w:rsidRPr="00F11608">
        <w:t xml:space="preserve"> antibody </w:t>
      </w:r>
      <w:r w:rsidR="008E17BF" w:rsidRPr="00F11608">
        <w:t>deficiency</w:t>
      </w:r>
      <w:r w:rsidR="003348AE" w:rsidRPr="00F11608">
        <w:t xml:space="preserve"> (n = 165, 3.5</w:t>
      </w:r>
      <w:r w:rsidR="00C31143" w:rsidRPr="00F11608">
        <w:t xml:space="preserve">%) </w:t>
      </w:r>
      <w:r w:rsidR="00F135E8" w:rsidRPr="00F11608">
        <w:t>were</w:t>
      </w:r>
      <w:r w:rsidR="00C31143" w:rsidRPr="00F11608">
        <w:t xml:space="preserve"> the next most frequent reported </w:t>
      </w:r>
      <w:r w:rsidR="00C31143" w:rsidRPr="00F11608">
        <w:rPr>
          <w:rFonts w:cs="Times New Roman"/>
        </w:rPr>
        <w:t>diagnos</w:t>
      </w:r>
      <w:r w:rsidR="00F2145B" w:rsidRPr="00F11608">
        <w:rPr>
          <w:rFonts w:cs="Times New Roman"/>
        </w:rPr>
        <w:t>e</w:t>
      </w:r>
      <w:r w:rsidR="00C31143" w:rsidRPr="00F11608">
        <w:rPr>
          <w:rFonts w:cs="Times New Roman"/>
        </w:rPr>
        <w:t>s</w:t>
      </w:r>
      <w:r w:rsidR="0002324A" w:rsidRPr="00F11608">
        <w:rPr>
          <w:rFonts w:cs="Times New Roman"/>
        </w:rPr>
        <w:t>.</w:t>
      </w:r>
      <w:r w:rsidR="0002324A" w:rsidRPr="00F11608">
        <w:t xml:space="preserve">  The minimum UK </w:t>
      </w:r>
      <w:r w:rsidR="0068096C" w:rsidRPr="00F11608">
        <w:t>prevalence</w:t>
      </w:r>
      <w:r w:rsidR="0002324A" w:rsidRPr="00F11608">
        <w:t xml:space="preserve"> </w:t>
      </w:r>
      <w:r w:rsidR="0068096C" w:rsidRPr="00F11608">
        <w:t>for</w:t>
      </w:r>
      <w:r w:rsidR="003348AE" w:rsidRPr="00F11608">
        <w:t xml:space="preserve"> CVID is 1.93</w:t>
      </w:r>
      <w:r w:rsidR="0002324A" w:rsidRPr="00F11608">
        <w:t xml:space="preserve">/100000 population, HAE 0.73/100000, secondary </w:t>
      </w:r>
      <w:r w:rsidR="0068096C" w:rsidRPr="00F11608">
        <w:t>hypogammaglobulinaemia</w:t>
      </w:r>
      <w:r w:rsidR="003348AE" w:rsidRPr="00F11608">
        <w:t xml:space="preserve"> 0.56</w:t>
      </w:r>
      <w:r w:rsidR="0002324A" w:rsidRPr="00F11608">
        <w:t xml:space="preserve">/100000, unclassified antibody </w:t>
      </w:r>
      <w:r w:rsidR="0068096C" w:rsidRPr="00F11608">
        <w:t>deficiency</w:t>
      </w:r>
      <w:r w:rsidR="00750C34" w:rsidRPr="00F11608">
        <w:t xml:space="preserve"> 0.43</w:t>
      </w:r>
      <w:r w:rsidR="003348AE" w:rsidRPr="00F11608">
        <w:t xml:space="preserve">/100000, </w:t>
      </w:r>
      <w:r w:rsidR="0068096C" w:rsidRPr="00F11608">
        <w:t>agammaglobulinaemia</w:t>
      </w:r>
      <w:r w:rsidR="003348AE" w:rsidRPr="00F11608">
        <w:t xml:space="preserve"> 0.30</w:t>
      </w:r>
      <w:r w:rsidR="0002324A" w:rsidRPr="00F11608">
        <w:t>/100000</w:t>
      </w:r>
      <w:r w:rsidR="00750C34" w:rsidRPr="00F11608">
        <w:t xml:space="preserve"> and SCID 0.26</w:t>
      </w:r>
      <w:r w:rsidR="003348AE" w:rsidRPr="00F11608">
        <w:t>/100000</w:t>
      </w:r>
      <w:r w:rsidR="0002324A" w:rsidRPr="00F11608">
        <w:t>.  A full list of prevalence rates for all diseases recorded within the registry can be found in</w:t>
      </w:r>
      <w:r w:rsidR="00894C97" w:rsidRPr="00F11608">
        <w:t xml:space="preserve"> </w:t>
      </w:r>
      <w:r w:rsidR="00764E9A" w:rsidRPr="00F11608">
        <w:t xml:space="preserve">supplementary </w:t>
      </w:r>
      <w:r w:rsidR="005479B7" w:rsidRPr="00F11608">
        <w:rPr>
          <w:rFonts w:cs="Times New Roman"/>
        </w:rPr>
        <w:t>T</w:t>
      </w:r>
      <w:r w:rsidR="00764E9A" w:rsidRPr="00F11608">
        <w:rPr>
          <w:rFonts w:cs="Times New Roman"/>
        </w:rPr>
        <w:t>able</w:t>
      </w:r>
      <w:r w:rsidR="00764E9A" w:rsidRPr="00F11608">
        <w:t xml:space="preserve"> 1</w:t>
      </w:r>
      <w:r w:rsidR="0002324A" w:rsidRPr="00F11608">
        <w:t>.</w:t>
      </w:r>
    </w:p>
    <w:p w14:paraId="02F103C9" w14:textId="62A6C30F" w:rsidR="008612F1" w:rsidRPr="00F11608" w:rsidRDefault="006E4579" w:rsidP="00B37F34">
      <w:pPr>
        <w:ind w:firstLine="720"/>
        <w:rPr>
          <w:rFonts w:cs="Times New Roman"/>
        </w:rPr>
      </w:pPr>
      <w:r w:rsidRPr="00F11608">
        <w:t xml:space="preserve">The median </w:t>
      </w:r>
      <w:r w:rsidR="005F696D" w:rsidRPr="00F11608">
        <w:t xml:space="preserve">annual </w:t>
      </w:r>
      <w:r w:rsidR="00D72354">
        <w:t>prevalence</w:t>
      </w:r>
      <w:r w:rsidRPr="00F11608">
        <w:t xml:space="preserve"> of PID from 2010-2015 </w:t>
      </w:r>
      <w:r w:rsidR="001C1E4F" w:rsidRPr="00F11608">
        <w:t>was</w:t>
      </w:r>
      <w:r w:rsidR="00C31143" w:rsidRPr="00F11608">
        <w:t xml:space="preserve"> </w:t>
      </w:r>
      <w:r w:rsidR="007972DC" w:rsidRPr="00F11608">
        <w:t>0.38</w:t>
      </w:r>
      <w:r w:rsidR="00CC5DA5" w:rsidRPr="00F11608">
        <w:t xml:space="preserve"> new cases</w:t>
      </w:r>
      <w:r w:rsidRPr="00F11608">
        <w:t xml:space="preserve"> per 100000 UK </w:t>
      </w:r>
      <w:r w:rsidR="007972DC" w:rsidRPr="00F11608">
        <w:t>population (1</w:t>
      </w:r>
      <w:r w:rsidR="007D6D68" w:rsidRPr="00F11608">
        <w:t xml:space="preserve"> per </w:t>
      </w:r>
      <w:r w:rsidR="007972DC" w:rsidRPr="00F11608">
        <w:t>270270</w:t>
      </w:r>
      <w:r w:rsidR="00CC5DA5" w:rsidRPr="00F11608">
        <w:t xml:space="preserve">), peaking at 0.44 new cases per </w:t>
      </w:r>
      <w:r w:rsidR="0077644B" w:rsidRPr="00F11608">
        <w:t>100</w:t>
      </w:r>
      <w:r w:rsidR="00CF2FC5" w:rsidRPr="00F11608">
        <w:t>,</w:t>
      </w:r>
      <w:r w:rsidR="0077644B" w:rsidRPr="00F11608">
        <w:t xml:space="preserve">000 </w:t>
      </w:r>
      <w:r w:rsidR="00CC5DA5" w:rsidRPr="00F11608">
        <w:t>UK population</w:t>
      </w:r>
      <w:r w:rsidRPr="00F11608">
        <w:t xml:space="preserve"> in 2012</w:t>
      </w:r>
      <w:r w:rsidR="00CC5DA5" w:rsidRPr="00F11608">
        <w:t xml:space="preserve"> (1</w:t>
      </w:r>
      <w:r w:rsidR="007D6D68" w:rsidRPr="00F11608">
        <w:t xml:space="preserve"> per </w:t>
      </w:r>
      <w:r w:rsidR="00CC5DA5" w:rsidRPr="00F11608">
        <w:t>227518)</w:t>
      </w:r>
      <w:r w:rsidR="00587595" w:rsidRPr="00F11608">
        <w:t>.</w:t>
      </w:r>
      <w:r w:rsidR="006B68D2" w:rsidRPr="00F11608">
        <w:t xml:space="preserve">  The incidence per 100,000 UK live births is shown in</w:t>
      </w:r>
      <w:r w:rsidR="00764E9A" w:rsidRPr="00F11608">
        <w:t xml:space="preserve"> </w:t>
      </w:r>
      <w:r w:rsidR="00497333" w:rsidRPr="00F11608">
        <w:rPr>
          <w:rFonts w:cs="Times New Roman"/>
        </w:rPr>
        <w:t>F</w:t>
      </w:r>
      <w:r w:rsidR="00764E9A" w:rsidRPr="00F11608">
        <w:rPr>
          <w:rFonts w:cs="Times New Roman"/>
        </w:rPr>
        <w:t>igure</w:t>
      </w:r>
      <w:r w:rsidR="00764E9A" w:rsidRPr="00F11608">
        <w:t xml:space="preserve"> 4</w:t>
      </w:r>
      <w:r w:rsidR="006B68D2" w:rsidRPr="00F11608">
        <w:t>.  There is a clear rise in incidence per 100,000 live UK births from the mid-1980s.  This is likely</w:t>
      </w:r>
      <w:r w:rsidR="00E14BF6">
        <w:t xml:space="preserve"> to be</w:t>
      </w:r>
      <w:r w:rsidR="006B68D2" w:rsidRPr="00F11608">
        <w:t xml:space="preserve"> </w:t>
      </w:r>
      <w:r w:rsidR="00E14BF6">
        <w:t xml:space="preserve">due to an increased recognition of PID, </w:t>
      </w:r>
      <w:r w:rsidR="006B68D2" w:rsidRPr="00F11608">
        <w:t>result</w:t>
      </w:r>
      <w:r w:rsidR="00E14BF6">
        <w:t>ing</w:t>
      </w:r>
      <w:r w:rsidR="006B68D2" w:rsidRPr="00F11608">
        <w:t xml:space="preserve"> in more patients being entered into the registry enabling a truer reflection of incidence.  In addition, with modern management</w:t>
      </w:r>
      <w:r w:rsidR="007B273E" w:rsidRPr="00F11608">
        <w:t>,</w:t>
      </w:r>
      <w:r w:rsidR="006B68D2" w:rsidRPr="00F11608">
        <w:t xml:space="preserve"> </w:t>
      </w:r>
      <w:r w:rsidR="00BE7F58" w:rsidRPr="00F11608">
        <w:rPr>
          <w:rFonts w:cs="Times New Roman"/>
        </w:rPr>
        <w:t>many</w:t>
      </w:r>
      <w:r w:rsidR="006B68D2" w:rsidRPr="00F11608">
        <w:t xml:space="preserve"> patients are expected to live into adulthood</w:t>
      </w:r>
      <w:r w:rsidR="007B273E" w:rsidRPr="00F11608">
        <w:t>, thereby</w:t>
      </w:r>
      <w:r w:rsidR="006B68D2" w:rsidRPr="00F11608">
        <w:t xml:space="preserve"> </w:t>
      </w:r>
      <w:r w:rsidR="007B273E" w:rsidRPr="00F11608">
        <w:t xml:space="preserve">increasing the number of </w:t>
      </w:r>
      <w:r w:rsidR="006B68D2" w:rsidRPr="00F11608">
        <w:t xml:space="preserve">cases of inherited PID </w:t>
      </w:r>
      <w:r w:rsidR="00E14BF6">
        <w:t>in addition to any</w:t>
      </w:r>
      <w:r w:rsidR="006B68D2" w:rsidRPr="00F11608">
        <w:t xml:space="preserve"> </w:t>
      </w:r>
      <w:r w:rsidR="006B68D2" w:rsidRPr="00F11608">
        <w:rPr>
          <w:i/>
        </w:rPr>
        <w:t>de novo</w:t>
      </w:r>
      <w:r w:rsidR="006B68D2" w:rsidRPr="00F11608">
        <w:t xml:space="preserve"> genetic mutations.  The drop</w:t>
      </w:r>
      <w:r w:rsidR="00BE7F58" w:rsidRPr="00F11608">
        <w:rPr>
          <w:rFonts w:cs="Times New Roman"/>
        </w:rPr>
        <w:t xml:space="preserve"> </w:t>
      </w:r>
      <w:r w:rsidR="006B68D2" w:rsidRPr="00F11608">
        <w:t xml:space="preserve">in incidence from 2000 is a result of cases born in this time period not yet diagnosed with PID (e.g. CVID).  From 1980 to 2000 the minimum </w:t>
      </w:r>
      <w:r w:rsidR="0050146E">
        <w:t>median incidence of PID was 7.60</w:t>
      </w:r>
      <w:r w:rsidR="006B68D2" w:rsidRPr="00F11608">
        <w:t xml:space="preserve"> cases per 100,</w:t>
      </w:r>
      <w:r w:rsidR="007972DC" w:rsidRPr="00F11608">
        <w:t xml:space="preserve">000 UK live births or 1 </w:t>
      </w:r>
      <w:r w:rsidR="00BE7F58" w:rsidRPr="00F11608">
        <w:rPr>
          <w:rFonts w:cs="Times New Roman"/>
        </w:rPr>
        <w:t xml:space="preserve">per </w:t>
      </w:r>
      <w:r w:rsidR="0050146E">
        <w:rPr>
          <w:rFonts w:cs="Times New Roman"/>
        </w:rPr>
        <w:t>13157</w:t>
      </w:r>
      <w:r w:rsidR="006B68D2" w:rsidRPr="00F11608">
        <w:t xml:space="preserve"> births.</w:t>
      </w:r>
    </w:p>
    <w:p w14:paraId="52DEC132" w14:textId="0CE019C2" w:rsidR="008612F1" w:rsidRPr="00F11608" w:rsidRDefault="008E17BF" w:rsidP="007D6D68">
      <w:pPr>
        <w:ind w:firstLine="720"/>
      </w:pPr>
      <w:r w:rsidRPr="00F11608">
        <w:t>Diagnostic</w:t>
      </w:r>
      <w:r w:rsidR="00CE577C" w:rsidRPr="00F11608">
        <w:t xml:space="preserve"> delay can </w:t>
      </w:r>
      <w:r w:rsidR="00ED21A9" w:rsidRPr="00F11608">
        <w:t>negatively affect outcome in PID.  Prompt diagnosis improves o</w:t>
      </w:r>
      <w:r w:rsidR="009E19D9" w:rsidRPr="00F11608">
        <w:t xml:space="preserve">utcomes following HSCT for SCID </w:t>
      </w:r>
      <w:r w:rsidR="009E19D9" w:rsidRPr="00F11608">
        <w:fldChar w:fldCharType="begin" w:fldLock="1"/>
      </w:r>
      <w:r w:rsidR="00623A2A" w:rsidRPr="00F11608">
        <w:instrText>ADDIN CSL_CITATION { "citationItems" : [ { "id" : "ITEM-1", "itemData" : { "DOI" : "10.1016/j.clim.2010.09.010", "ISBN" : "2156623929", "ISSN" : "1521-7035", "PMID" : "21035402", "abstract" : "Infants affected with severe combined immunodeficiency (SCID) are susceptible to severe and recurrent infections and do not survive unless provided with immune reconstituting treatments. In the absence of population-based newborn screening, infants with SCID who do not have an affected older relative are ascertained only after they have developed infections. However, only limited data are available from the perspective of patients and families to indicate what proportion of SCID cases might benefit from earlier detection by pre-symptomatic screening, whether adequate treatment facilities are available, and how screening could improve SCID treatment outcomes. A survey of parents of children with SCID evaluated family history, pre- and post-diagnosis events, outcomes, and impact of SCID on families. Affected infants diagnosed with SCID as neonates had better survival, demonstrating the potential benefit of universal newborn screening.", "author" : [ { "dropping-particle" : "", "family" : "Chan", "given" : "Alice", "non-dropping-particle" : "", "parse-names" : false, "suffix" : "" }, { "dropping-particle" : "", "family" : "Scalchunes", "given" : "Christopher", "non-dropping-particle" : "", "parse-names" : false, "suffix" : "" }, { "dropping-particle" : "", "family" : "Boyle", "given" : "Marcia", "non-dropping-particle" : "", "parse-names" : false, "suffix" : "" }, { "dropping-particle" : "", "family" : "Puck", "given" : "Jennifer M", "non-dropping-particle" : "", "parse-names" : false, "suffix" : "" } ], "container-title" : "Clinical immunology (Orlando, Fla.)", "id" : "ITEM-1", "issue" : "1", "issued" : { "date-parts" : [ [ "2011", "1" ] ] }, "page" : "3-8", "publisher" : "NIH Public Access", "title" : "Early vs. delayed diagnosis of severe combined immunodeficiency: a family perspective survey.", "type" : "article-journal", "volume" : "138" }, "uris" : [ "http://www.mendeley.com/documents/?uuid=2b32d344-0c7f-3fec-89c2-9b48496c0db9" ] }, { "id" : "ITEM-2", "itemData" : { "DOI" : "10.1182/blood-2010-08-300384", "ISSN" : "0006-4971", "author" : [ { "dropping-particle" : "", "family" : "Brown", "given" : "L.", "non-dropping-particle" : "", "parse-names" : false, "suffix" : "" }, { "dropping-particle" : "", "family" : "Xu-Bayford", "given" : "J.", "non-dropping-particle" : "", "parse-names" : false, "suffix" : "" }, { "dropping-particle" : "", "family" : "Allwood", "given" : "Z.", "non-dropping-particle" : "", "parse-names" : false, "suffix" : "" }, { "dropping-particle" : "", "family" : "Slatter", "given" : "M.", "non-dropping-particle" : "", "parse-names" : false, "suffix" : "" }, { "dropping-particle" : "", "family" : "Cant", "given" : "A.", "non-dropping-particle" : "", "parse-names" : false, "suffix" : "" }, { "dropping-particle" : "", "family" : "Davies", "given" : "E. G.", "non-dropping-particle" : "", "parse-names" : false, "suffix" : "" }, { "dropping-particle" : "", "family" : "Veys", "given" : "P.", "non-dropping-particle" : "", "parse-names" : false, "suffix" : "" }, { "dropping-particle" : "", "family" : "Gennery", "given" : "A. R.", "non-dropping-particle" : "", "parse-names" : false, "suffix" : "" }, { "dropping-particle" : "", "family" : "Gaspar", "given" : "H. B.", "non-dropping-particle" : "", "parse-names" : false, "suffix" : "" } ], "container-title" : "Blood", "id" : "ITEM-2", "issue" : "11", "issued" : { "date-parts" : [ [ "2011", "3", "17" ] ] }, "page" : "3243-3246", "publisher" : "American Society of Hematology", "title" : "Neonatal diagnosis of severe combined immunodeficiency leads to significantly improved survival outcome: the case for newborn screening", "type" : "article-journal", "volume" : "117" }, "uris" : [ "http://www.mendeley.com/documents/?uuid=5072ee42-3c67-353c-91ef-a8b2d550e49c" ] }, { "id" : "ITEM-3", "itemData" : { "DOI" : "10.1182/blood.V99.3.872", "ISBN" : "00064971 (ISSN)", "ISSN" : "00064971", "PMID" : "11806989", "abstract" : "All genetic types of severe combined immunodeficiency (SCID) can be cured by stem cell transplantation from related donors. The survival rate approaches 80%, and most deaths result from opportunistic infections acquired before transplantation. It was hypothesized that the survival rate and kinetics of immune reconstitution would be improved for infants receiving transplants in the neonatal period (first 28 days of life), prior to the development of infections. A 19.2-year retrospective/prospective analysis compared immune function in 21 SCID infants receiving transplants in the neonatal period with that in 70 SCID infants receiving transplants later. Lymphocyte phenotypes, proliferative responses to mitogens, immunoglobulin levels, and T-cell antigen receptor excision circles (TRECs) were measured before transplantation and sequentially after transplantation. Of 21 SCID infants with transplantations in the neonatal period, 20 (95%) survive. Neonates were lymphopenic at birth (1118 \u00b1 128 lymphocytes per cubic millimeter). Infants receiving transplants early developed higher lymphocyte responses to phytohemagglutinin and higher numbers of CD3+ and CD45RA+ T cells in the first 3 years of life than those receiving transplants late (P &lt; .05). TRECs peaked earlier and with higher values (P &lt; .01) in the neonatal transplantations (181 days to 1 year) than in the late transplantations (1 to 3 years). SCID recipients of allogeneic, related hematopoietic stem cells in the neonatal period had higher levels of T-cell reconstitution and thymic output and a higher survival rate than those receiving transplants after 28 days of life. An improved outcome for this otherwise fatal syndrome could be achieved with newborn screening for lymphopenia so that transplantation could be performed under favorable thymopoietic conditions. \u00a9 2002 by The American Society of Hematology.", "author" : [ { "dropping-particle" : "", "family" : "Myers", "given" : "Laurie A.", "non-dropping-particle" : "", "parse-names" : false, "suffix" : "" }, { "dropping-particle" : "", "family" : "Patel", "given" : "Dhavalkumar D.", "non-dropping-particle" : "", "parse-names" : false, "suffix" : "" }, { "dropping-particle" : "", "family" : "Puck", "given" : "Jennifer M.", "non-dropping-particle" : "", "parse-names" : false, "suffix" : "" }, { "dropping-particle" : "", "family" : "Buckley", "given" : "Rebecca H.", "non-dropping-particle" : "", "parse-names" : false, "suffix" : "" } ], "container-title" : "Blood", "id" : "ITEM-3", "issue" : "3", "issued" : { "date-parts" : [ [ "2002" ] ] }, "page" : "872-878", "title" : "Hematopoietic stem cell transplantation for severe combined immunodeficiency in the neonatal period leads to superior thymic output and improved survival", "type" : "article-journal", "volume" : "99" }, "uris" : [ "http://www.mendeley.com/documents/?uuid=7904a828-35a4-32e3-8e65-f1e3631b6766" ] } ], "mendeley" : { "formattedCitation" : "(12\u201314)", "plainTextFormattedCitation" : "(12\u201314)", "previouslyFormattedCitation" : "(12\u201314)" }, "properties" : { "noteIndex" : 0 }, "schema" : "https://github.com/citation-style-language/schema/raw/master/csl-citation.json" }</w:instrText>
      </w:r>
      <w:r w:rsidR="009E19D9" w:rsidRPr="00F11608">
        <w:fldChar w:fldCharType="separate"/>
      </w:r>
      <w:r w:rsidR="000C77BD" w:rsidRPr="00F11608">
        <w:rPr>
          <w:noProof/>
        </w:rPr>
        <w:t>(12–14)</w:t>
      </w:r>
      <w:r w:rsidR="009E19D9" w:rsidRPr="00F11608">
        <w:fldChar w:fldCharType="end"/>
      </w:r>
      <w:r w:rsidR="00FD7623" w:rsidRPr="00F11608">
        <w:t xml:space="preserve"> and is recognised as an important prognostic indicator in antibody deficiencies </w:t>
      </w:r>
      <w:r w:rsidR="00FD7623" w:rsidRPr="00F11608">
        <w:fldChar w:fldCharType="begin" w:fldLock="1"/>
      </w:r>
      <w:r w:rsidR="00623A2A" w:rsidRPr="00F11608">
        <w:instrText>ADDIN CSL_CITATION { "citationItems" : [ { "id" : "ITEM-1", "itemData" : { "ISBN" : "04127994", "ISSN" : "14702118", "PMID" : "20095309", "abstract" : "The primary antibody deficiency syndromes are a rare group of immunodeficiencies where diagnostic delay remains common due to limited awareness of the existence and heterogeneity of their presenting features. Referral for specialist assessment leads to earlier diagnosis and appropriate therapy to prevent or limit structural organ and tissue damage. Greater education of healthcare professionals is required to ensure prompt recognition and referral to specialists with expertise in the care of primary immunodeficiencies, especially since study of these rare conditions is a minor part of undergraduate and general postgraduate training. Greater awareness would lead to reduced morbidity, improved quality of life and survival outcomes in this patient group.", "author" : [ { "dropping-particle" : "", "family" : "Wood", "given" : "Philip", "non-dropping-particle" : "", "parse-names" : false, "suffix" : "" } ], "container-title" : "Clinical Medicine, Journal of the Royal College of Physicians of London", "id" : "ITEM-1", "issue" : "6", "issued" : { "date-parts" : [ [ "2009" ] ] }, "note" : "NULL", "page" : "595-599", "title" : "Primary antibody deficiencies: Recognition, clinical diagnosis and referral of patients", "type" : "article-journal", "volume" : "9" }, "uris" : [ "http://www.mendeley.com/documents/?uuid=800871c8-5b37-47f6-a426-70588bfd4cee" ] }, { "id" : "ITEM-2", "itemData" : { "DOI" : "10.1111/j.1365-2249.2007.03432.x", "ISBN" : "0009-9104 (Print)", "ISSN" : "00099104", "PMID" : "17565605", "abstract" : "The primary purpose of this systematic review was to produce an evidence-based review of the literature as a means of informing current clinical practice in the recognition, diagnosis and management of patients with suspected primary antibody deficiency. Randomized controlled trials (RCTs) were identified from a search of MEDLINE, EMBASE, The Cochrane Library, DARE (CRD website) and CINAHL by combining the search strategies with The Cochrane Collaboration's validated RCT filter. In addition, other types of studies were identified in a separate search of MEDLINE and EMBASE. Patients at any age with recurrent infections, especially in the upper and lower respiratory tracts, should be investigated for possible antibody deficiency. Replacement therapy with immunoglobulin in primary antibody deficiencies increases life expectancy and reduces infection frequency and severity. Higher doses of immunoglobulin are associated with reduced infection frequency. Late diagnosis and delayed institution of immunoglobulin replacement therapy results in increased morbidity and mortality. A wide variety of organ-specific complications can occur in primary antibody deficiency syndromes, including respiratory, gastroenterological, hepatic, haematological, neurological, rheumatological and cutaneous. There is an increased risk of malignancy. Some of these complications appear to be related to diagnostic delay and inadequate therapy. High-quality controlled trial data on the therapy of these complications is generally lacking. The present study has identified a number of key areas for further research, but RCT data, while desirable, is not always obtained easily for rare conditions. Few data from registries or large case-series have been published in the past 5 years and a greater focus on international collaboration and pooling of data is needed.", "author" : [ { "dropping-particle" : "", "family" : "Wood", "given" : "P.", "non-dropping-particle" : "", "parse-names" : false, "suffix" : "" }, { "dropping-particle" : "", "family" : "Stanworth", "given" : "S.", "non-dropping-particle" : "", "parse-names" : false, "suffix" : "" }, { "dropping-particle" : "", "family" : "Burton", "given" : "J.", "non-dropping-particle" : "", "parse-names" : false, "suffix" : "" }, { "dropping-particle" : "", "family" : "Jones", "given" : "a.", "non-dropping-particle" : "", "parse-names" : false, "suffix" : "" }, { "dropping-particle" : "", "family" : "Peckham", "given" : "D. G.", "non-dropping-particle" : "", "parse-names" : false, "suffix" : "" }, { "dropping-particle" : "", "family" : "Green", "given" : "T.", "non-dropping-particle" : "", "parse-names" : false, "suffix" : "" }, { "dropping-particle" : "", "family" : "Hyde", "given" : "C.", "non-dropping-particle" : "", "parse-names" : false, "suffix" : "" }, { "dropping-particle" : "", "family" : "Chapel", "given" : "H.", "non-dropping-particle" : "", "parse-names" : false, "suffix" : "" } ], "container-title" : "Clinical and Experimental Immunology", "id" : "ITEM-2", "issued" : { "date-parts" : [ [ "2007" ] ] }, "page" : "410-423", "title" : "Recognition, clinical diagnosis and management of patients with primary antibody deficiencies: A systematic review", "type" : "article-journal", "volume" : "149" }, "uris" : [ "http://www.mendeley.com/documents/?uuid=8720a0cd-e08a-4495-b32a-f765bbddb4a0" ] }, { "id" : "ITEM-3", "itemData" : { "DOI" : "10.1136/qshc.4.4.263", "ISBN" : "0963-8172", "ISSN" : "1475-3898", "PMID" : "10156396", "abstract" : "Variation in clinical practice and its effect on outcome is little known for rare diseases such as primary antibody deficiency. As part of a national audit a survey of all 30 consultant immunologists in the United Kingdom dealing with primary antibody deficiency syndromes in adults and children was carried out in 1993 to ascertain their practices in diagnosis and management. Consensus guidelines were published after the survey was completed. Comparison of the survey results of clinical practice at the time the guidelines were published with the standards identified highlighted that the practice of a minority of specialists was at variance with their peers and with the consensus document, particularly in the use of intramuscular immunoglobulin, the dose and frequency of intravenous immunoglobulin, and target trough immunoglobulin G concentration, which has implications for the quality of patient care. However, much closer agreement existed in the key areas of management, such as diagnosis and selection of intravenous immunoglobulin. The approach and the problems identified are relevant to the management of other rare diseases, in which diagnosis and management is complex and there are few specialists with the necessary knowledge to undertake such care. This survey, the first attempted audit of practice, shows that within a motivated group of specialists highly significant differences in practice may exist and the authors emphasise the importance of setting clear guidelines against which care can be assessed.", "author" : [ { "dropping-particle" : "", "family" : "Spickett", "given" : "G P", "non-dropping-particle" : "", "parse-names" : false, "suffix" : "" }, { "dropping-particle" : "", "family" : "Askew", "given" : "T", "non-dropping-particle" : "", "parse-names" : false, "suffix" : "" }, { "dropping-particle" : "", "family" : "Chapel", "given" : "H M", "non-dropping-particle" : "", "parse-names" : false, "suffix" : "" } ], "container-title" : "Quality and Safety in Health Care", "id" : "ITEM-3", "issue" : "4", "issued" : { "date-parts" : [ [ "1995", "12", "1" ] ] }, "page" : "263-268", "title" : "Management of primary antibody deficiency by consultant immunologists in the United Kingdom: a paradigm for other rare diseases.", "type" : "article-journal", "volume" : "4" }, "uris" : [ "http://www.mendeley.com/documents/?uuid=827ce2b0-c00b-3672-ac14-adfdc55d8d05" ] } ], "mendeley" : { "formattedCitation" : "(15\u201317)", "plainTextFormattedCitation" : "(15\u201317)", "previouslyFormattedCitation" : "(15\u201317)" }, "properties" : { "noteIndex" : 0 }, "schema" : "https://github.com/citation-style-language/schema/raw/master/csl-citation.json" }</w:instrText>
      </w:r>
      <w:r w:rsidR="00FD7623" w:rsidRPr="00F11608">
        <w:fldChar w:fldCharType="separate"/>
      </w:r>
      <w:r w:rsidR="000C77BD" w:rsidRPr="00F11608">
        <w:rPr>
          <w:noProof/>
        </w:rPr>
        <w:t>(15–17)</w:t>
      </w:r>
      <w:r w:rsidR="00FD7623" w:rsidRPr="00F11608">
        <w:fldChar w:fldCharType="end"/>
      </w:r>
      <w:r w:rsidR="009E19D9" w:rsidRPr="00F11608">
        <w:t>.</w:t>
      </w:r>
      <w:r w:rsidR="007972DC" w:rsidRPr="00F11608">
        <w:t xml:space="preserve">  The current median diagnostic delay for SCID </w:t>
      </w:r>
      <w:r w:rsidR="00BE7F58" w:rsidRPr="00F11608">
        <w:rPr>
          <w:rFonts w:cs="Times New Roman"/>
        </w:rPr>
        <w:t>wa</w:t>
      </w:r>
      <w:r w:rsidR="007972DC" w:rsidRPr="00F11608">
        <w:rPr>
          <w:rFonts w:cs="Times New Roman"/>
        </w:rPr>
        <w:t>s</w:t>
      </w:r>
      <w:r w:rsidR="007972DC" w:rsidRPr="00F11608">
        <w:t xml:space="preserve"> 60 days (I</w:t>
      </w:r>
      <w:r w:rsidR="00175755">
        <w:t>QR 0-121</w:t>
      </w:r>
      <w:r w:rsidR="00264539">
        <w:rPr>
          <w:rFonts w:cs="Times New Roman"/>
        </w:rPr>
        <w:t>)</w:t>
      </w:r>
      <w:r w:rsidR="00764E9A" w:rsidRPr="00F11608">
        <w:t>.</w:t>
      </w:r>
      <w:r w:rsidR="009E19D9" w:rsidRPr="00F11608">
        <w:t xml:space="preserve"> </w:t>
      </w:r>
      <w:r w:rsidR="00ED21A9" w:rsidRPr="00F11608">
        <w:t xml:space="preserve"> The current median diagnostic delay in CVID </w:t>
      </w:r>
      <w:r w:rsidR="00BE7F58" w:rsidRPr="00F11608">
        <w:rPr>
          <w:rFonts w:cs="Times New Roman"/>
        </w:rPr>
        <w:t>wa</w:t>
      </w:r>
      <w:r w:rsidR="00ED21A9" w:rsidRPr="00F11608">
        <w:rPr>
          <w:rFonts w:cs="Times New Roman"/>
        </w:rPr>
        <w:t>s</w:t>
      </w:r>
      <w:r w:rsidR="00ED21A9" w:rsidRPr="00F11608">
        <w:t xml:space="preserve"> 4 years (IQR </w:t>
      </w:r>
      <w:r w:rsidR="00264539">
        <w:t>1-10</w:t>
      </w:r>
      <w:r w:rsidR="00ED21A9" w:rsidRPr="00F11608">
        <w:t>),</w:t>
      </w:r>
      <w:r w:rsidR="00FD7623" w:rsidRPr="00F11608">
        <w:t xml:space="preserve"> an </w:t>
      </w:r>
      <w:r w:rsidR="0068096C" w:rsidRPr="00F11608">
        <w:t>improvement</w:t>
      </w:r>
      <w:r w:rsidR="00FD7623" w:rsidRPr="00F11608">
        <w:t xml:space="preserve"> from our previous report with a median </w:t>
      </w:r>
      <w:r w:rsidR="0068096C" w:rsidRPr="00F11608">
        <w:t>delay</w:t>
      </w:r>
      <w:r w:rsidR="00FD7623" w:rsidRPr="00F11608">
        <w:t xml:space="preserve"> of years 5 years (IQR </w:t>
      </w:r>
      <w:r w:rsidR="00264539">
        <w:t>1-13</w:t>
      </w:r>
      <w:r w:rsidR="00FD7623" w:rsidRPr="00F11608">
        <w:t>).</w:t>
      </w:r>
      <w:r w:rsidR="00ED21A9" w:rsidRPr="00F11608">
        <w:t xml:space="preserve"> </w:t>
      </w:r>
      <w:r w:rsidR="00FD7623" w:rsidRPr="00F11608">
        <w:t xml:space="preserve"> For </w:t>
      </w:r>
      <w:r w:rsidR="0068096C" w:rsidRPr="00F11608">
        <w:t>agammaglobulinaemia</w:t>
      </w:r>
      <w:r w:rsidR="00FD7623" w:rsidRPr="00F11608">
        <w:t xml:space="preserve"> the median delay is </w:t>
      </w:r>
      <w:r w:rsidR="00ED21A9" w:rsidRPr="00F11608">
        <w:t xml:space="preserve">1 year (IQR </w:t>
      </w:r>
      <w:r w:rsidR="00264539">
        <w:t>0-</w:t>
      </w:r>
      <w:r w:rsidR="00ED21A9" w:rsidRPr="00F11608">
        <w:t xml:space="preserve">2). </w:t>
      </w:r>
      <w:r w:rsidR="00CE577C" w:rsidRPr="00F11608">
        <w:t xml:space="preserve">  </w:t>
      </w:r>
      <w:r w:rsidRPr="00F11608">
        <w:t>Diagnostic</w:t>
      </w:r>
      <w:r w:rsidR="00CE577C" w:rsidRPr="00F11608">
        <w:t xml:space="preserve"> delay for the </w:t>
      </w:r>
      <w:r w:rsidR="00625D1C" w:rsidRPr="00F11608">
        <w:t xml:space="preserve">most </w:t>
      </w:r>
      <w:r w:rsidRPr="00F11608">
        <w:t>common</w:t>
      </w:r>
      <w:r w:rsidR="00CE577C" w:rsidRPr="00F11608">
        <w:t xml:space="preserve"> diagnosis </w:t>
      </w:r>
      <w:r w:rsidRPr="00F11608">
        <w:t>within</w:t>
      </w:r>
      <w:r w:rsidR="00CE577C" w:rsidRPr="00F11608">
        <w:t xml:space="preserve"> this UK cohort are shown in</w:t>
      </w:r>
      <w:r w:rsidR="00651CD4" w:rsidRPr="00F11608">
        <w:t xml:space="preserve"> </w:t>
      </w:r>
      <w:r w:rsidR="00501DB4" w:rsidRPr="00F11608">
        <w:rPr>
          <w:rFonts w:cs="Times New Roman"/>
        </w:rPr>
        <w:t>T</w:t>
      </w:r>
      <w:r w:rsidR="00651CD4" w:rsidRPr="00F11608">
        <w:rPr>
          <w:rFonts w:cs="Times New Roman"/>
        </w:rPr>
        <w:t>able</w:t>
      </w:r>
      <w:r w:rsidR="00651CD4" w:rsidRPr="00F11608">
        <w:t xml:space="preserve"> 2.</w:t>
      </w:r>
      <w:r w:rsidR="00D36388" w:rsidRPr="00F11608">
        <w:t xml:space="preserve">  Diagnostic delay by IUIS classification is show in </w:t>
      </w:r>
      <w:r w:rsidR="00651CD4" w:rsidRPr="00F11608">
        <w:t xml:space="preserve">supplementary </w:t>
      </w:r>
      <w:r w:rsidR="00501DB4" w:rsidRPr="00F11608">
        <w:rPr>
          <w:rFonts w:cs="Times New Roman"/>
        </w:rPr>
        <w:t>T</w:t>
      </w:r>
      <w:r w:rsidR="00651CD4" w:rsidRPr="00F11608">
        <w:rPr>
          <w:rFonts w:cs="Times New Roman"/>
        </w:rPr>
        <w:t>able</w:t>
      </w:r>
      <w:r w:rsidR="00651CD4" w:rsidRPr="00F11608">
        <w:t xml:space="preserve"> 2</w:t>
      </w:r>
      <w:r w:rsidR="00D36388" w:rsidRPr="00F11608">
        <w:t>.</w:t>
      </w:r>
    </w:p>
    <w:p w14:paraId="46A6748E" w14:textId="2CBC61EC" w:rsidR="008612F1" w:rsidRPr="00F11608" w:rsidRDefault="00550BFB" w:rsidP="007D6D68">
      <w:pPr>
        <w:ind w:firstLine="720"/>
      </w:pPr>
      <w:r w:rsidRPr="00F11608">
        <w:t xml:space="preserve">A total </w:t>
      </w:r>
      <w:r w:rsidR="008E17BF" w:rsidRPr="00F11608">
        <w:t>of</w:t>
      </w:r>
      <w:r w:rsidR="00CE577C" w:rsidRPr="00F11608">
        <w:t xml:space="preserve"> </w:t>
      </w:r>
      <w:r w:rsidR="00396768" w:rsidRPr="00F11608">
        <w:t>2836</w:t>
      </w:r>
      <w:r w:rsidR="00CE577C" w:rsidRPr="00F11608">
        <w:t xml:space="preserve"> </w:t>
      </w:r>
      <w:r w:rsidR="008E17BF" w:rsidRPr="00F11608">
        <w:t>patients</w:t>
      </w:r>
      <w:r w:rsidR="004C00E6" w:rsidRPr="00F11608">
        <w:t xml:space="preserve"> are</w:t>
      </w:r>
      <w:r w:rsidR="00CE577C" w:rsidRPr="00F11608">
        <w:t xml:space="preserve"> recorded </w:t>
      </w:r>
      <w:r w:rsidR="00501DB4" w:rsidRPr="00F11608">
        <w:rPr>
          <w:rFonts w:cs="Times New Roman"/>
        </w:rPr>
        <w:t>to have</w:t>
      </w:r>
      <w:r w:rsidR="00CE577C" w:rsidRPr="00F11608">
        <w:rPr>
          <w:rFonts w:cs="Times New Roman"/>
        </w:rPr>
        <w:t xml:space="preserve"> </w:t>
      </w:r>
      <w:r w:rsidR="008E17BF" w:rsidRPr="00F11608">
        <w:rPr>
          <w:rFonts w:cs="Times New Roman"/>
        </w:rPr>
        <w:t>receiv</w:t>
      </w:r>
      <w:r w:rsidR="00501DB4" w:rsidRPr="00F11608">
        <w:rPr>
          <w:rFonts w:cs="Times New Roman"/>
        </w:rPr>
        <w:t>ed</w:t>
      </w:r>
      <w:r w:rsidR="00CE577C" w:rsidRPr="00F11608">
        <w:t xml:space="preserve"> immunoglob</w:t>
      </w:r>
      <w:r w:rsidR="007972DC" w:rsidRPr="00F11608">
        <w:t>ulin replacement therapy.   1391 (49</w:t>
      </w:r>
      <w:r w:rsidR="00CE577C" w:rsidRPr="00F11608">
        <w:t xml:space="preserve">%) </w:t>
      </w:r>
      <w:r w:rsidR="00CE577C" w:rsidRPr="00F11608">
        <w:rPr>
          <w:rFonts w:cs="Times New Roman"/>
        </w:rPr>
        <w:t>receiv</w:t>
      </w:r>
      <w:r w:rsidR="00501DB4" w:rsidRPr="00F11608">
        <w:rPr>
          <w:rFonts w:cs="Times New Roman"/>
        </w:rPr>
        <w:t>ed</w:t>
      </w:r>
      <w:r w:rsidR="00CE577C" w:rsidRPr="00F11608">
        <w:t xml:space="preserve"> this by </w:t>
      </w:r>
      <w:r w:rsidR="008E17BF" w:rsidRPr="00F11608">
        <w:t>intravenous</w:t>
      </w:r>
      <w:r w:rsidR="007972DC" w:rsidRPr="00F11608">
        <w:t xml:space="preserve"> route and 1440 (51</w:t>
      </w:r>
      <w:r w:rsidR="00CE577C" w:rsidRPr="00F11608">
        <w:t xml:space="preserve">%) by </w:t>
      </w:r>
      <w:r w:rsidR="008E17BF" w:rsidRPr="00F11608">
        <w:t>subcutaneous</w:t>
      </w:r>
      <w:r w:rsidR="007972DC" w:rsidRPr="00F11608">
        <w:t xml:space="preserve"> route. </w:t>
      </w:r>
      <w:r w:rsidR="007972DC" w:rsidRPr="00F11608">
        <w:rPr>
          <w:rFonts w:cs="Times New Roman"/>
        </w:rPr>
        <w:t>1669</w:t>
      </w:r>
      <w:r w:rsidR="00CE577C" w:rsidRPr="00F11608">
        <w:rPr>
          <w:rFonts w:cs="Times New Roman"/>
        </w:rPr>
        <w:t xml:space="preserve"> (5</w:t>
      </w:r>
      <w:r w:rsidR="007D6D68" w:rsidRPr="00F11608">
        <w:rPr>
          <w:rFonts w:cs="Times New Roman"/>
        </w:rPr>
        <w:t>8.9</w:t>
      </w:r>
      <w:r w:rsidR="00CE577C" w:rsidRPr="00F11608">
        <w:t>%) received their infusion at home.</w:t>
      </w:r>
      <w:r w:rsidR="00ED21A9" w:rsidRPr="00F11608">
        <w:t xml:space="preserve">  The median dose of immuno</w:t>
      </w:r>
      <w:r w:rsidR="007972DC" w:rsidRPr="00F11608">
        <w:t xml:space="preserve">globulin </w:t>
      </w:r>
      <w:r w:rsidR="00501DB4" w:rsidRPr="00F11608">
        <w:rPr>
          <w:rFonts w:cs="Times New Roman"/>
        </w:rPr>
        <w:t>wa</w:t>
      </w:r>
      <w:r w:rsidR="007972DC" w:rsidRPr="00F11608">
        <w:rPr>
          <w:rFonts w:cs="Times New Roman"/>
        </w:rPr>
        <w:t>s</w:t>
      </w:r>
      <w:r w:rsidR="007972DC" w:rsidRPr="00F11608">
        <w:t xml:space="preserve"> 514mg/</w:t>
      </w:r>
      <w:r w:rsidR="00501DB4" w:rsidRPr="00F11608">
        <w:rPr>
          <w:rFonts w:cs="Times New Roman"/>
        </w:rPr>
        <w:t>k</w:t>
      </w:r>
      <w:r w:rsidR="007972DC" w:rsidRPr="00F11608">
        <w:rPr>
          <w:rFonts w:cs="Times New Roman"/>
        </w:rPr>
        <w:t>g</w:t>
      </w:r>
      <w:r w:rsidR="00264539">
        <w:t>/month (IQR 424-645</w:t>
      </w:r>
      <w:r w:rsidR="00ED21A9" w:rsidRPr="00F11608">
        <w:rPr>
          <w:rFonts w:cs="Times New Roman"/>
        </w:rPr>
        <w:t>)</w:t>
      </w:r>
      <w:r w:rsidR="00ED21A9" w:rsidRPr="00F11608">
        <w:t xml:space="preserve"> with a median interval of 3 weeks.</w:t>
      </w:r>
    </w:p>
    <w:p w14:paraId="2DE0A477" w14:textId="7EBA0806" w:rsidR="00913400" w:rsidRPr="00F11608" w:rsidRDefault="007972DC" w:rsidP="007D6D68">
      <w:pPr>
        <w:ind w:firstLine="720"/>
      </w:pPr>
      <w:r w:rsidRPr="00F11608">
        <w:t>A total of 679</w:t>
      </w:r>
      <w:r w:rsidR="00913400" w:rsidRPr="00F11608">
        <w:t xml:space="preserve"> patients </w:t>
      </w:r>
      <w:r w:rsidR="00501DB4" w:rsidRPr="00F11608">
        <w:rPr>
          <w:rFonts w:cs="Times New Roman"/>
        </w:rPr>
        <w:t>we</w:t>
      </w:r>
      <w:r w:rsidR="00913400" w:rsidRPr="00F11608">
        <w:rPr>
          <w:rFonts w:cs="Times New Roman"/>
        </w:rPr>
        <w:t>re</w:t>
      </w:r>
      <w:r w:rsidR="00913400" w:rsidRPr="00F11608">
        <w:t xml:space="preserve"> recorded as having received a </w:t>
      </w:r>
      <w:r w:rsidR="00972383" w:rsidRPr="00F11608">
        <w:t>haematopoietic</w:t>
      </w:r>
      <w:r w:rsidR="00625D1C" w:rsidRPr="00F11608">
        <w:t xml:space="preserve"> stem cell transplant</w:t>
      </w:r>
      <w:r w:rsidR="00501DB4" w:rsidRPr="00F11608">
        <w:rPr>
          <w:rFonts w:cs="Times New Roman"/>
        </w:rPr>
        <w:t xml:space="preserve"> (HSCT</w:t>
      </w:r>
      <w:r w:rsidR="00913400" w:rsidRPr="00F11608">
        <w:rPr>
          <w:rFonts w:cs="Times New Roman"/>
        </w:rPr>
        <w:t xml:space="preserve">) </w:t>
      </w:r>
      <w:r w:rsidR="00501DB4" w:rsidRPr="00F11608">
        <w:rPr>
          <w:rFonts w:cs="Times New Roman"/>
        </w:rPr>
        <w:t>since 1973 with the</w:t>
      </w:r>
      <w:r w:rsidR="00376740" w:rsidRPr="00F11608">
        <w:t xml:space="preserve"> majority </w:t>
      </w:r>
      <w:r w:rsidRPr="00F11608">
        <w:t>(87</w:t>
      </w:r>
      <w:r w:rsidR="007D6D68" w:rsidRPr="00F11608">
        <w:t>.2</w:t>
      </w:r>
      <w:r w:rsidR="00376740" w:rsidRPr="00F11608">
        <w:rPr>
          <w:rFonts w:cs="Times New Roman"/>
        </w:rPr>
        <w:t xml:space="preserve">%) </w:t>
      </w:r>
      <w:r w:rsidR="00501DB4" w:rsidRPr="00F11608">
        <w:rPr>
          <w:rFonts w:cs="Times New Roman"/>
        </w:rPr>
        <w:t>transplanted after</w:t>
      </w:r>
      <w:r w:rsidR="00376740" w:rsidRPr="00F11608">
        <w:rPr>
          <w:rFonts w:cs="Times New Roman"/>
        </w:rPr>
        <w:t xml:space="preserve"> </w:t>
      </w:r>
      <w:r w:rsidR="00376740" w:rsidRPr="00F11608">
        <w:t>2000</w:t>
      </w:r>
      <w:r w:rsidR="00651CD4" w:rsidRPr="00F11608">
        <w:t xml:space="preserve"> (</w:t>
      </w:r>
      <w:r w:rsidR="00501DB4" w:rsidRPr="00F11608">
        <w:rPr>
          <w:rFonts w:cs="Times New Roman"/>
        </w:rPr>
        <w:t>F</w:t>
      </w:r>
      <w:r w:rsidR="00651CD4" w:rsidRPr="00F11608">
        <w:rPr>
          <w:rFonts w:cs="Times New Roman"/>
        </w:rPr>
        <w:t>igure 4)</w:t>
      </w:r>
      <w:r w:rsidR="00376740" w:rsidRPr="00F11608">
        <w:rPr>
          <w:rFonts w:cs="Times New Roman"/>
        </w:rPr>
        <w:t>.</w:t>
      </w:r>
      <w:r w:rsidRPr="00F11608">
        <w:t xml:space="preserve">  310</w:t>
      </w:r>
      <w:r w:rsidR="00913400" w:rsidRPr="00F11608">
        <w:t xml:space="preserve"> (</w:t>
      </w:r>
      <w:r w:rsidR="00457D76" w:rsidRPr="00F11608">
        <w:t>45.7</w:t>
      </w:r>
      <w:r w:rsidR="00913400" w:rsidRPr="00F11608">
        <w:t>%) received their HSCT from donor bloo</w:t>
      </w:r>
      <w:r w:rsidRPr="00F11608">
        <w:t>d marrow, 200 (29.5%</w:t>
      </w:r>
      <w:r w:rsidR="00913400" w:rsidRPr="00F11608">
        <w:t>) from pe</w:t>
      </w:r>
      <w:r w:rsidRPr="00F11608">
        <w:t>ripheral blood stem cells</w:t>
      </w:r>
      <w:r w:rsidR="00501DB4" w:rsidRPr="00F11608">
        <w:rPr>
          <w:rFonts w:cs="Times New Roman"/>
        </w:rPr>
        <w:t>,</w:t>
      </w:r>
      <w:r w:rsidRPr="00F11608">
        <w:rPr>
          <w:rFonts w:cs="Times New Roman"/>
        </w:rPr>
        <w:t xml:space="preserve"> </w:t>
      </w:r>
      <w:r w:rsidR="00501DB4" w:rsidRPr="00F11608">
        <w:rPr>
          <w:rFonts w:cs="Times New Roman"/>
        </w:rPr>
        <w:t>59 (</w:t>
      </w:r>
      <w:r w:rsidR="007D6D68" w:rsidRPr="00F11608">
        <w:rPr>
          <w:rFonts w:cs="Times New Roman"/>
        </w:rPr>
        <w:t>8.7</w:t>
      </w:r>
      <w:r w:rsidR="00501DB4" w:rsidRPr="00F11608">
        <w:rPr>
          <w:rFonts w:cs="Times New Roman"/>
        </w:rPr>
        <w:t>%) from cord blood stem cells</w:t>
      </w:r>
      <w:r w:rsidRPr="00F11608">
        <w:t xml:space="preserve"> and </w:t>
      </w:r>
      <w:r w:rsidR="004317FD" w:rsidRPr="00F11608">
        <w:rPr>
          <w:rFonts w:cs="Times New Roman"/>
        </w:rPr>
        <w:t xml:space="preserve">in </w:t>
      </w:r>
      <w:r w:rsidRPr="00F11608">
        <w:rPr>
          <w:rFonts w:cs="Times New Roman"/>
        </w:rPr>
        <w:t>110</w:t>
      </w:r>
      <w:r w:rsidR="00913400" w:rsidRPr="00F11608">
        <w:rPr>
          <w:rFonts w:cs="Times New Roman"/>
        </w:rPr>
        <w:t xml:space="preserve"> (</w:t>
      </w:r>
      <w:r w:rsidRPr="00F11608">
        <w:rPr>
          <w:rFonts w:cs="Times New Roman"/>
        </w:rPr>
        <w:t>1</w:t>
      </w:r>
      <w:r w:rsidR="007D6D68" w:rsidRPr="00F11608">
        <w:rPr>
          <w:rFonts w:cs="Times New Roman"/>
        </w:rPr>
        <w:t>6.2</w:t>
      </w:r>
      <w:r w:rsidR="00913400" w:rsidRPr="00F11608">
        <w:rPr>
          <w:rFonts w:cs="Times New Roman"/>
        </w:rPr>
        <w:t>%</w:t>
      </w:r>
      <w:r w:rsidRPr="00F11608">
        <w:rPr>
          <w:rFonts w:cs="Times New Roman"/>
        </w:rPr>
        <w:t xml:space="preserve">) </w:t>
      </w:r>
      <w:r w:rsidR="004317FD" w:rsidRPr="00F11608">
        <w:rPr>
          <w:rFonts w:cs="Times New Roman"/>
        </w:rPr>
        <w:t>the donor was not</w:t>
      </w:r>
      <w:r w:rsidR="00396768" w:rsidRPr="00F11608">
        <w:t xml:space="preserve"> recorded.  294 (43.3</w:t>
      </w:r>
      <w:r w:rsidR="00913400" w:rsidRPr="00F11608">
        <w:t xml:space="preserve">%) were </w:t>
      </w:r>
      <w:r w:rsidRPr="00F11608">
        <w:t>matched unrelated donor</w:t>
      </w:r>
      <w:r w:rsidR="00791FDF" w:rsidRPr="00F11608">
        <w:rPr>
          <w:rFonts w:cs="Times New Roman"/>
        </w:rPr>
        <w:t xml:space="preserve"> (MUD</w:t>
      </w:r>
      <w:r w:rsidRPr="00F11608">
        <w:t>), 167 (</w:t>
      </w:r>
      <w:r w:rsidRPr="00F11608">
        <w:rPr>
          <w:rFonts w:cs="Times New Roman"/>
        </w:rPr>
        <w:t>2</w:t>
      </w:r>
      <w:r w:rsidR="007D6D68" w:rsidRPr="00F11608">
        <w:rPr>
          <w:rFonts w:cs="Times New Roman"/>
        </w:rPr>
        <w:t>4.6</w:t>
      </w:r>
      <w:r w:rsidR="00913400" w:rsidRPr="00F11608">
        <w:rPr>
          <w:rFonts w:cs="Times New Roman"/>
        </w:rPr>
        <w:t>%)</w:t>
      </w:r>
      <w:r w:rsidRPr="00F11608">
        <w:rPr>
          <w:rFonts w:cs="Times New Roman"/>
        </w:rPr>
        <w:t xml:space="preserve"> </w:t>
      </w:r>
      <w:r w:rsidRPr="00F11608">
        <w:t>matched sibling donor</w:t>
      </w:r>
      <w:r w:rsidR="00791FDF" w:rsidRPr="00F11608">
        <w:rPr>
          <w:rFonts w:cs="Times New Roman"/>
        </w:rPr>
        <w:t xml:space="preserve"> (MSD</w:t>
      </w:r>
      <w:r w:rsidRPr="00F11608">
        <w:t>), 77</w:t>
      </w:r>
      <w:r w:rsidR="00913400" w:rsidRPr="00F11608">
        <w:t xml:space="preserve"> (</w:t>
      </w:r>
      <w:r w:rsidRPr="00F11608">
        <w:t>11.3</w:t>
      </w:r>
      <w:r w:rsidR="00913400" w:rsidRPr="00F11608">
        <w:t>%) haploidentical,</w:t>
      </w:r>
      <w:r w:rsidR="0002324A" w:rsidRPr="00F11608">
        <w:t xml:space="preserve"> </w:t>
      </w:r>
      <w:r w:rsidRPr="00F11608">
        <w:t>73</w:t>
      </w:r>
      <w:r w:rsidR="0002324A" w:rsidRPr="00F11608">
        <w:t xml:space="preserve"> (</w:t>
      </w:r>
      <w:r w:rsidRPr="00F11608">
        <w:rPr>
          <w:rFonts w:cs="Times New Roman"/>
        </w:rPr>
        <w:t>1</w:t>
      </w:r>
      <w:r w:rsidR="007D6D68" w:rsidRPr="00F11608">
        <w:rPr>
          <w:rFonts w:cs="Times New Roman"/>
        </w:rPr>
        <w:t>0.8</w:t>
      </w:r>
      <w:r w:rsidR="0002324A" w:rsidRPr="00F11608">
        <w:rPr>
          <w:rFonts w:cs="Times New Roman"/>
        </w:rPr>
        <w:t xml:space="preserve">%) </w:t>
      </w:r>
      <w:r w:rsidR="0002324A" w:rsidRPr="00F11608">
        <w:t>mism</w:t>
      </w:r>
      <w:r w:rsidRPr="00F11608">
        <w:t>atched unrelated donor</w:t>
      </w:r>
      <w:r w:rsidR="00791FDF" w:rsidRPr="00F11608">
        <w:rPr>
          <w:rFonts w:cs="Times New Roman"/>
        </w:rPr>
        <w:t xml:space="preserve"> (MMUD</w:t>
      </w:r>
      <w:r w:rsidRPr="00F11608">
        <w:t xml:space="preserve">), 2 (0.3%) autologous and </w:t>
      </w:r>
      <w:r w:rsidR="00791FDF" w:rsidRPr="00F11608">
        <w:rPr>
          <w:rFonts w:cs="Times New Roman"/>
        </w:rPr>
        <w:t xml:space="preserve">in </w:t>
      </w:r>
      <w:r w:rsidRPr="00F11608">
        <w:rPr>
          <w:rFonts w:cs="Times New Roman"/>
        </w:rPr>
        <w:t>66</w:t>
      </w:r>
      <w:r w:rsidR="0002324A" w:rsidRPr="00F11608">
        <w:rPr>
          <w:rFonts w:cs="Times New Roman"/>
        </w:rPr>
        <w:t xml:space="preserve"> (</w:t>
      </w:r>
      <w:r w:rsidR="007D6D68" w:rsidRPr="00F11608">
        <w:rPr>
          <w:rFonts w:cs="Times New Roman"/>
        </w:rPr>
        <w:t>9.7</w:t>
      </w:r>
      <w:r w:rsidRPr="00F11608">
        <w:rPr>
          <w:rFonts w:cs="Times New Roman"/>
        </w:rPr>
        <w:t>%</w:t>
      </w:r>
      <w:r w:rsidR="0002324A" w:rsidRPr="00F11608">
        <w:rPr>
          <w:rFonts w:cs="Times New Roman"/>
        </w:rPr>
        <w:t xml:space="preserve">) </w:t>
      </w:r>
      <w:r w:rsidR="00791FDF" w:rsidRPr="00F11608">
        <w:rPr>
          <w:rFonts w:cs="Times New Roman"/>
        </w:rPr>
        <w:t xml:space="preserve">the </w:t>
      </w:r>
      <w:r w:rsidR="0002324A" w:rsidRPr="00F11608">
        <w:rPr>
          <w:rFonts w:cs="Times New Roman"/>
        </w:rPr>
        <w:t>source</w:t>
      </w:r>
      <w:r w:rsidR="00791FDF" w:rsidRPr="00F11608">
        <w:rPr>
          <w:rFonts w:cs="Times New Roman"/>
        </w:rPr>
        <w:t xml:space="preserve"> was unrecorded</w:t>
      </w:r>
      <w:r w:rsidR="0002324A" w:rsidRPr="00F11608">
        <w:rPr>
          <w:rFonts w:cs="Times New Roman"/>
        </w:rPr>
        <w:t>.</w:t>
      </w:r>
      <w:r w:rsidR="00913400" w:rsidRPr="00F11608">
        <w:rPr>
          <w:rFonts w:cs="Times New Roman"/>
        </w:rPr>
        <w:t xml:space="preserve">  </w:t>
      </w:r>
      <w:r w:rsidR="00501DB4" w:rsidRPr="00F11608">
        <w:rPr>
          <w:rFonts w:cs="Times New Roman"/>
        </w:rPr>
        <w:t xml:space="preserve">Since 2000, 26 patients </w:t>
      </w:r>
      <w:r w:rsidR="00791FDF" w:rsidRPr="00F11608">
        <w:rPr>
          <w:rFonts w:cs="Times New Roman"/>
        </w:rPr>
        <w:t xml:space="preserve">have </w:t>
      </w:r>
      <w:r w:rsidR="00501DB4" w:rsidRPr="00F11608">
        <w:rPr>
          <w:rFonts w:cs="Times New Roman"/>
        </w:rPr>
        <w:t>under</w:t>
      </w:r>
      <w:r w:rsidR="00791FDF" w:rsidRPr="00F11608">
        <w:rPr>
          <w:rFonts w:cs="Times New Roman"/>
        </w:rPr>
        <w:t>gone</w:t>
      </w:r>
      <w:r w:rsidR="00501DB4" w:rsidRPr="00F11608">
        <w:rPr>
          <w:rFonts w:cs="Times New Roman"/>
        </w:rPr>
        <w:t xml:space="preserve"> gene therapy.</w:t>
      </w:r>
      <w:r w:rsidR="00913400" w:rsidRPr="00F11608">
        <w:t xml:space="preserve">  </w:t>
      </w:r>
    </w:p>
    <w:p w14:paraId="26019A5E" w14:textId="77777777" w:rsidR="008548CC" w:rsidRPr="00F11608" w:rsidRDefault="008548CC" w:rsidP="008548CC">
      <w:pPr>
        <w:pStyle w:val="Heading1"/>
        <w:numPr>
          <w:ilvl w:val="0"/>
          <w:numId w:val="0"/>
        </w:numPr>
        <w:ind w:left="432" w:hanging="432"/>
        <w:jc w:val="left"/>
        <w:rPr>
          <w:rFonts w:ascii="Times New Roman" w:hAnsi="Times New Roman"/>
          <w:sz w:val="22"/>
          <w:szCs w:val="22"/>
        </w:rPr>
      </w:pPr>
      <w:r w:rsidRPr="00F11608">
        <w:rPr>
          <w:rFonts w:ascii="Times New Roman" w:hAnsi="Times New Roman"/>
          <w:sz w:val="22"/>
          <w:szCs w:val="22"/>
        </w:rPr>
        <w:t>Discussion</w:t>
      </w:r>
    </w:p>
    <w:p w14:paraId="7E15786A" w14:textId="3295F8FB" w:rsidR="008F3D28" w:rsidRDefault="008D316C" w:rsidP="00A713F6">
      <w:pPr>
        <w:rPr>
          <w:rFonts w:cs="Times New Roman"/>
        </w:rPr>
      </w:pPr>
      <w:r w:rsidRPr="00F11608">
        <w:t xml:space="preserve">The UKPID </w:t>
      </w:r>
      <w:r w:rsidR="008E17BF" w:rsidRPr="00F11608">
        <w:t>registry</w:t>
      </w:r>
      <w:r w:rsidRPr="00F11608">
        <w:t xml:space="preserve"> </w:t>
      </w:r>
      <w:r w:rsidR="008E17BF" w:rsidRPr="00F11608">
        <w:rPr>
          <w:rFonts w:cs="Times New Roman"/>
        </w:rPr>
        <w:t>celebrate</w:t>
      </w:r>
      <w:r w:rsidR="007D7326" w:rsidRPr="00F11608">
        <w:rPr>
          <w:rFonts w:cs="Times New Roman"/>
        </w:rPr>
        <w:t>s</w:t>
      </w:r>
      <w:r w:rsidR="00550BFB" w:rsidRPr="00F11608">
        <w:t xml:space="preserve"> its </w:t>
      </w:r>
      <w:r w:rsidR="007D7326" w:rsidRPr="00F11608">
        <w:rPr>
          <w:rFonts w:cs="Times New Roman"/>
        </w:rPr>
        <w:t>tenth</w:t>
      </w:r>
      <w:r w:rsidR="00550BFB" w:rsidRPr="00F11608">
        <w:t xml:space="preserve"> birthday in 2018.  Over this decade</w:t>
      </w:r>
      <w:r w:rsidR="00550BFB" w:rsidRPr="00F11608">
        <w:rPr>
          <w:rFonts w:cs="Times New Roman"/>
        </w:rPr>
        <w:t xml:space="preserve"> </w:t>
      </w:r>
      <w:r w:rsidR="007D7326" w:rsidRPr="00F11608">
        <w:rPr>
          <w:rFonts w:cs="Times New Roman"/>
        </w:rPr>
        <w:t>almost all</w:t>
      </w:r>
      <w:r w:rsidR="00550BFB" w:rsidRPr="00F11608">
        <w:t xml:space="preserve"> immu</w:t>
      </w:r>
      <w:r w:rsidR="00A91198" w:rsidRPr="00F11608">
        <w:t xml:space="preserve">nology centres </w:t>
      </w:r>
      <w:r w:rsidR="00A91198" w:rsidRPr="00F11608">
        <w:rPr>
          <w:rFonts w:cs="Times New Roman"/>
        </w:rPr>
        <w:t>in</w:t>
      </w:r>
      <w:r w:rsidR="00A91198" w:rsidRPr="00F11608">
        <w:t xml:space="preserve"> the UK have</w:t>
      </w:r>
      <w:r w:rsidR="00550BFB" w:rsidRPr="00F11608">
        <w:t xml:space="preserve"> actively </w:t>
      </w:r>
      <w:r w:rsidR="00037512" w:rsidRPr="00F11608">
        <w:rPr>
          <w:rFonts w:cs="Times New Roman"/>
        </w:rPr>
        <w:t>contribute</w:t>
      </w:r>
      <w:r w:rsidR="007D7326" w:rsidRPr="00F11608">
        <w:rPr>
          <w:rFonts w:cs="Times New Roman"/>
        </w:rPr>
        <w:t>d</w:t>
      </w:r>
      <w:r w:rsidR="00B571F0" w:rsidRPr="00F11608">
        <w:t xml:space="preserve"> to</w:t>
      </w:r>
      <w:r w:rsidR="00550BFB" w:rsidRPr="00F11608">
        <w:t xml:space="preserve"> the database and the number of </w:t>
      </w:r>
      <w:r w:rsidR="008E17BF" w:rsidRPr="00F11608">
        <w:t>recruited</w:t>
      </w:r>
      <w:r w:rsidR="00550BFB" w:rsidRPr="00F11608">
        <w:t xml:space="preserve"> patients </w:t>
      </w:r>
      <w:r w:rsidR="008E17BF" w:rsidRPr="00F11608">
        <w:t>continues</w:t>
      </w:r>
      <w:r w:rsidR="00550BFB" w:rsidRPr="00F11608">
        <w:t xml:space="preserve"> </w:t>
      </w:r>
      <w:r w:rsidR="00037512" w:rsidRPr="00F11608">
        <w:t xml:space="preserve">to </w:t>
      </w:r>
      <w:r w:rsidR="008E17BF" w:rsidRPr="00F11608">
        <w:t>grow</w:t>
      </w:r>
      <w:r w:rsidR="00550BFB" w:rsidRPr="00F11608">
        <w:t xml:space="preserve"> each year.</w:t>
      </w:r>
      <w:r w:rsidR="00732F0B" w:rsidRPr="00F11608">
        <w:t xml:space="preserve">  </w:t>
      </w:r>
      <w:r w:rsidR="00112ADC" w:rsidRPr="00F11608">
        <w:t>London a</w:t>
      </w:r>
      <w:r w:rsidR="006267E5" w:rsidRPr="00F11608">
        <w:t xml:space="preserve">nd </w:t>
      </w:r>
      <w:r w:rsidR="00907BCE" w:rsidRPr="00F11608">
        <w:t>Newcastle</w:t>
      </w:r>
      <w:r w:rsidR="006267E5" w:rsidRPr="00F11608">
        <w:t xml:space="preserve"> </w:t>
      </w:r>
      <w:r w:rsidR="007D7326" w:rsidRPr="00F11608">
        <w:rPr>
          <w:rFonts w:cs="Times New Roman"/>
        </w:rPr>
        <w:t>(supra</w:t>
      </w:r>
      <w:r w:rsidR="00E036E9" w:rsidRPr="00F11608">
        <w:rPr>
          <w:rFonts w:cs="Times New Roman"/>
        </w:rPr>
        <w:t>-</w:t>
      </w:r>
      <w:r w:rsidR="007D7326" w:rsidRPr="00F11608">
        <w:rPr>
          <w:rFonts w:cs="Times New Roman"/>
        </w:rPr>
        <w:t xml:space="preserve">regional centres for </w:t>
      </w:r>
      <w:r w:rsidR="00E036E9" w:rsidRPr="00F11608">
        <w:rPr>
          <w:rFonts w:cs="Times New Roman"/>
        </w:rPr>
        <w:t xml:space="preserve">transplantation of </w:t>
      </w:r>
      <w:r w:rsidR="003E7307" w:rsidRPr="00F11608">
        <w:rPr>
          <w:rFonts w:cs="Times New Roman"/>
        </w:rPr>
        <w:t>paediatric PID</w:t>
      </w:r>
      <w:r w:rsidR="007D7326" w:rsidRPr="00F11608">
        <w:rPr>
          <w:rFonts w:cs="Times New Roman"/>
        </w:rPr>
        <w:t>)</w:t>
      </w:r>
      <w:r w:rsidR="006267E5" w:rsidRPr="00F11608">
        <w:rPr>
          <w:rFonts w:cs="Times New Roman"/>
        </w:rPr>
        <w:t xml:space="preserve"> </w:t>
      </w:r>
      <w:r w:rsidR="006267E5" w:rsidRPr="00F11608">
        <w:t xml:space="preserve">continue to provide a </w:t>
      </w:r>
      <w:r w:rsidR="00907BCE" w:rsidRPr="00F11608">
        <w:t>large</w:t>
      </w:r>
      <w:r w:rsidR="006267E5" w:rsidRPr="00F11608">
        <w:t xml:space="preserve"> contribution to the database</w:t>
      </w:r>
      <w:r w:rsidR="00036A57" w:rsidRPr="00F11608">
        <w:t xml:space="preserve"> (accounting for 25.0% and 12.6% of the total registry respectively</w:t>
      </w:r>
      <w:r w:rsidR="007D7326" w:rsidRPr="00F11608">
        <w:rPr>
          <w:rFonts w:cs="Times New Roman"/>
        </w:rPr>
        <w:t>).</w:t>
      </w:r>
      <w:r w:rsidR="00E14BF6">
        <w:rPr>
          <w:rFonts w:cs="Times New Roman"/>
        </w:rPr>
        <w:t xml:space="preserve"> </w:t>
      </w:r>
      <w:r w:rsidR="006267E5" w:rsidRPr="00F11608">
        <w:rPr>
          <w:rFonts w:cs="Times New Roman"/>
        </w:rPr>
        <w:t xml:space="preserve"> The </w:t>
      </w:r>
      <w:r w:rsidR="006267E5" w:rsidRPr="00F11608">
        <w:t xml:space="preserve">wide geographical </w:t>
      </w:r>
      <w:r w:rsidR="00E036E9" w:rsidRPr="00F11608">
        <w:rPr>
          <w:rFonts w:cs="Times New Roman"/>
        </w:rPr>
        <w:t>spread</w:t>
      </w:r>
      <w:r w:rsidR="006267E5" w:rsidRPr="00F11608">
        <w:t xml:space="preserve"> of actively recruiting centres should ensure the registry accurately reflects the pattern of health care service access and delivery</w:t>
      </w:r>
      <w:r w:rsidR="00E036E9" w:rsidRPr="00F11608">
        <w:rPr>
          <w:rFonts w:cs="Times New Roman"/>
        </w:rPr>
        <w:t xml:space="preserve"> across the UK</w:t>
      </w:r>
      <w:r w:rsidR="006267E5" w:rsidRPr="00F11608">
        <w:rPr>
          <w:rFonts w:cs="Times New Roman"/>
        </w:rPr>
        <w:t>.</w:t>
      </w:r>
    </w:p>
    <w:p w14:paraId="7305423A" w14:textId="7EC5974B" w:rsidR="00264539" w:rsidRPr="00501B17" w:rsidRDefault="00501B17" w:rsidP="00A713F6">
      <w:pPr>
        <w:rPr>
          <w:rFonts w:cs="Times New Roman"/>
        </w:rPr>
      </w:pPr>
      <w:r>
        <w:rPr>
          <w:rFonts w:cs="Times New Roman"/>
        </w:rPr>
        <w:t>The UKPID registry</w:t>
      </w:r>
      <w:r w:rsidR="00264539">
        <w:rPr>
          <w:rFonts w:cs="Times New Roman"/>
        </w:rPr>
        <w:t xml:space="preserve"> allow</w:t>
      </w:r>
      <w:r>
        <w:rPr>
          <w:rFonts w:cs="Times New Roman"/>
        </w:rPr>
        <w:t>s</w:t>
      </w:r>
      <w:r w:rsidR="00264539">
        <w:rPr>
          <w:rFonts w:cs="Times New Roman"/>
        </w:rPr>
        <w:t xml:space="preserve"> easy to access and reliable datasets for clinicians and researchers.  This enables </w:t>
      </w:r>
      <w:r>
        <w:rPr>
          <w:rFonts w:cs="Times New Roman"/>
        </w:rPr>
        <w:t>assessment</w:t>
      </w:r>
      <w:r w:rsidR="00264539">
        <w:rPr>
          <w:rFonts w:cs="Times New Roman"/>
        </w:rPr>
        <w:t xml:space="preserve"> of patient outcomes</w:t>
      </w:r>
      <w:r>
        <w:rPr>
          <w:rFonts w:cs="Times New Roman"/>
        </w:rPr>
        <w:t xml:space="preserve"> to be done in a timely and effective manner such as that seen in the recent work from Stubbs </w:t>
      </w:r>
      <w:r>
        <w:rPr>
          <w:rFonts w:cs="Times New Roman"/>
          <w:i/>
        </w:rPr>
        <w:t xml:space="preserve">et al. </w:t>
      </w:r>
      <w:r>
        <w:rPr>
          <w:rFonts w:cs="Times New Roman"/>
        </w:rPr>
        <w:t xml:space="preserve">suggesting that patients with agammaglobulinaemia in the UK suffer from </w:t>
      </w:r>
      <w:r w:rsidRPr="00501B17">
        <w:rPr>
          <w:rFonts w:cs="Times New Roman"/>
        </w:rPr>
        <w:t>deteriorating</w:t>
      </w:r>
      <w:r>
        <w:rPr>
          <w:rFonts w:cs="Times New Roman"/>
        </w:rPr>
        <w:t xml:space="preserve"> pulmonary health despite current therapies</w:t>
      </w:r>
      <w:r w:rsidR="0022310E">
        <w:rPr>
          <w:rFonts w:cs="Times New Roman"/>
        </w:rPr>
        <w:t xml:space="preserve"> </w:t>
      </w:r>
      <w:r w:rsidR="0022310E">
        <w:rPr>
          <w:rFonts w:cs="Times New Roman"/>
        </w:rPr>
        <w:fldChar w:fldCharType="begin" w:fldLock="1"/>
      </w:r>
      <w:r w:rsidR="00C175C4">
        <w:rPr>
          <w:rFonts w:cs="Times New Roman"/>
        </w:rPr>
        <w:instrText>ADDIN CSL_CITATION { "citationItems" : [ { "id" : "ITEM-1", "itemData" : { "author" : [ { "dropping-particle" : "", "family" : "Stubbs", "given" : "Alexander", "non-dropping-particle" : "", "parse-names" : false, "suffix" : "" }, { "dropping-particle" : "", "family" : "Bangs", "given" : "Catherine", "non-dropping-particle" : "", "parse-names" : false, "suffix" : "" }, { "dropping-particle" : "", "family" : "Shillitoe", "given" : "Ben", "non-dropping-particle" : "", "parse-names" : false, "suffix" : "" }, { "dropping-particle" : "", "family" : "Edgar", "given" : "David", "non-dropping-particle" : "", "parse-names" : false, "suffix" : "" }, { "dropping-particle" : "", "family" : "Burns", "given" : "Siobhan", "non-dropping-particle" : "", "parse-names" : false, "suffix" : "" }, { "dropping-particle" : "", "family" : "Thomas", "given" : "Moira", "non-dropping-particle" : "", "parse-names" : false, "suffix" : "" }, { "dropping-particle" : "", "family" : "Alachkar", "given" : "Hana", "non-dropping-particle" : "", "parse-names" : false, "suffix" : "" }, { "dropping-particle" : "", "family" : "Buckland", "given" : "Matthew", "non-dropping-particle" : "", "parse-names" : false, "suffix" : "" }, { "dropping-particle" : "", "family" : "McDermott", "given" : "Elizabeth", "non-dropping-particle" : "", "parse-names" : false, "suffix" : "" }, { "dropping-particle" : "", "family" : "Arumugakani", "given" : "Gururaj", "non-dropping-particle" : "", "parse-names" : false, "suffix" : "" }, { "dropping-particle" : "", "family" : "Jolles", "given" : "Stephen", "non-dropping-particle" : "", "parse-names" : false, "suffix" : "" }, { "dropping-particle" : "", "family" : "Herriot", "given" : "Richard", "non-dropping-particle" : "", "parse-names" : false, "suffix" : "" }, { "dropping-particle" : "", "family" : "Arkwright", "given" : "Peter", "non-dropping-particle" : "", "parse-names" : false, "suffix" : "" } ], "container-title" : "Clinical and Experimental Immunology", "id" : "ITEM-1", "issued" : { "date-parts" : [ [ "0" ] ] }, "title" : "Bronchiectasus and deteriorating lung function in agammaglobulinaemia despite immunoglobulin replacement therapy", "type" : "article-journal" }, "uris" : [ "http://www.mendeley.com/documents/?uuid=43646507-d0a0-49fc-aa82-8738daf6a8e4" ] } ], "mendeley" : { "formattedCitation" : "(18)", "plainTextFormattedCitation" : "(18)", "previouslyFormattedCitation" : "(18)" }, "properties" : { "noteIndex" : 0 }, "schema" : "https://github.com/citation-style-language/schema/raw/master/csl-citation.json" }</w:instrText>
      </w:r>
      <w:r w:rsidR="0022310E">
        <w:rPr>
          <w:rFonts w:cs="Times New Roman"/>
        </w:rPr>
        <w:fldChar w:fldCharType="separate"/>
      </w:r>
      <w:r w:rsidR="0022310E" w:rsidRPr="0022310E">
        <w:rPr>
          <w:rFonts w:cs="Times New Roman"/>
          <w:noProof/>
        </w:rPr>
        <w:t>(18)</w:t>
      </w:r>
      <w:r w:rsidR="0022310E">
        <w:rPr>
          <w:rFonts w:cs="Times New Roman"/>
        </w:rPr>
        <w:fldChar w:fldCharType="end"/>
      </w:r>
      <w:r>
        <w:rPr>
          <w:rFonts w:cs="Times New Roman"/>
        </w:rPr>
        <w:t>.  Compiling such a body of work without the aid of the UKPID registry</w:t>
      </w:r>
      <w:r w:rsidR="00E14BF6">
        <w:rPr>
          <w:rFonts w:cs="Times New Roman"/>
        </w:rPr>
        <w:t xml:space="preserve"> would result in </w:t>
      </w:r>
      <w:r>
        <w:rPr>
          <w:rFonts w:cs="Times New Roman"/>
        </w:rPr>
        <w:t>considerable</w:t>
      </w:r>
      <w:r w:rsidR="00E14BF6">
        <w:rPr>
          <w:rFonts w:cs="Times New Roman"/>
        </w:rPr>
        <w:t xml:space="preserve"> additional</w:t>
      </w:r>
      <w:r>
        <w:rPr>
          <w:rFonts w:cs="Times New Roman"/>
        </w:rPr>
        <w:t xml:space="preserve"> work load and time to the research process.</w:t>
      </w:r>
    </w:p>
    <w:p w14:paraId="434DE788" w14:textId="18A2673B" w:rsidR="008D316C" w:rsidRPr="00F11608" w:rsidRDefault="00E036E9" w:rsidP="00A713F6">
      <w:r w:rsidRPr="00F11608">
        <w:rPr>
          <w:rFonts w:cs="Times New Roman"/>
        </w:rPr>
        <w:t>Since</w:t>
      </w:r>
      <w:r w:rsidR="00FC056C" w:rsidRPr="00F11608">
        <w:t xml:space="preserve"> our first report, we estimated the number of patients with PID in the </w:t>
      </w:r>
      <w:r w:rsidR="00FC056C" w:rsidRPr="00F11608">
        <w:rPr>
          <w:rFonts w:cs="Times New Roman"/>
        </w:rPr>
        <w:t>U</w:t>
      </w:r>
      <w:r w:rsidRPr="00F11608">
        <w:rPr>
          <w:rFonts w:cs="Times New Roman"/>
        </w:rPr>
        <w:t>K</w:t>
      </w:r>
      <w:r w:rsidR="00FC056C" w:rsidRPr="00F11608">
        <w:t xml:space="preserve"> to be</w:t>
      </w:r>
      <w:r w:rsidR="007D6D68" w:rsidRPr="00F11608">
        <w:t xml:space="preserve"> between</w:t>
      </w:r>
      <w:r w:rsidR="00FC056C" w:rsidRPr="00F11608">
        <w:t xml:space="preserve"> </w:t>
      </w:r>
      <w:r w:rsidR="00FC056C" w:rsidRPr="00F11608">
        <w:rPr>
          <w:rFonts w:cs="Times New Roman"/>
        </w:rPr>
        <w:t>4000</w:t>
      </w:r>
      <w:r w:rsidR="00FC056C" w:rsidRPr="00F11608">
        <w:t xml:space="preserve"> and </w:t>
      </w:r>
      <w:r w:rsidR="00FC056C" w:rsidRPr="00F11608">
        <w:rPr>
          <w:rFonts w:cs="Times New Roman"/>
        </w:rPr>
        <w:t>5000</w:t>
      </w:r>
      <w:r w:rsidR="00FC056C" w:rsidRPr="00F11608">
        <w:t xml:space="preserve">.  Our latest count of </w:t>
      </w:r>
      <w:r w:rsidR="007972DC" w:rsidRPr="00F11608">
        <w:t>4258</w:t>
      </w:r>
      <w:r w:rsidR="00FC056C" w:rsidRPr="00F11608">
        <w:t xml:space="preserve"> verified, </w:t>
      </w:r>
      <w:r w:rsidR="00FC056C" w:rsidRPr="00F11608">
        <w:rPr>
          <w:rFonts w:cs="Times New Roman"/>
        </w:rPr>
        <w:t>live</w:t>
      </w:r>
      <w:r w:rsidR="00FC056C" w:rsidRPr="00F11608">
        <w:t xml:space="preserve"> pati</w:t>
      </w:r>
      <w:r w:rsidR="00E372FF" w:rsidRPr="00F11608">
        <w:t xml:space="preserve">ents is extremely encouraging.  </w:t>
      </w:r>
      <w:r w:rsidR="00104F73" w:rsidRPr="00F11608">
        <w:t xml:space="preserve">The </w:t>
      </w:r>
      <w:r w:rsidR="00732B18" w:rsidRPr="00F11608">
        <w:t xml:space="preserve">minimum </w:t>
      </w:r>
      <w:r w:rsidR="00B571F0" w:rsidRPr="00F11608">
        <w:t>prevalence</w:t>
      </w:r>
      <w:r w:rsidR="00104F73" w:rsidRPr="00F11608">
        <w:t xml:space="preserve"> </w:t>
      </w:r>
      <w:r w:rsidRPr="00F11608">
        <w:rPr>
          <w:rFonts w:cs="Times New Roman"/>
        </w:rPr>
        <w:t>of</w:t>
      </w:r>
      <w:r w:rsidR="00104F73" w:rsidRPr="00F11608">
        <w:rPr>
          <w:rFonts w:cs="Times New Roman"/>
        </w:rPr>
        <w:t xml:space="preserve"> </w:t>
      </w:r>
      <w:r w:rsidRPr="00F11608">
        <w:rPr>
          <w:rFonts w:cs="Times New Roman"/>
        </w:rPr>
        <w:t xml:space="preserve">PID </w:t>
      </w:r>
      <w:r w:rsidR="00104F73" w:rsidRPr="00F11608">
        <w:t xml:space="preserve">in the UK with this latest data stands at </w:t>
      </w:r>
      <w:r w:rsidR="00172066" w:rsidRPr="00F11608">
        <w:t>5.90</w:t>
      </w:r>
      <w:r w:rsidR="00104F73" w:rsidRPr="00F11608">
        <w:t xml:space="preserve">/100 000 population. This </w:t>
      </w:r>
      <w:r w:rsidR="00B571F0" w:rsidRPr="00F11608">
        <w:t>compares</w:t>
      </w:r>
      <w:r w:rsidR="0014559A" w:rsidRPr="00F11608">
        <w:t xml:space="preserve"> favourably</w:t>
      </w:r>
      <w:r w:rsidR="00104F73" w:rsidRPr="00F11608">
        <w:t xml:space="preserve"> with 6.06 per 100000 in France, 4.16 per 100000 in Switzerland and 2.11 per 100000 in Germany</w:t>
      </w:r>
      <w:r w:rsidR="007D6D68" w:rsidRPr="00F11608">
        <w:rPr>
          <w:rFonts w:cs="Times New Roman"/>
        </w:rPr>
        <w:t xml:space="preserve"> </w:t>
      </w:r>
      <w:r w:rsidR="00094F57" w:rsidRPr="00F11608">
        <w:fldChar w:fldCharType="begin" w:fldLock="1"/>
      </w:r>
      <w:r w:rsidR="0022310E">
        <w:instrText>ADDIN CSL_CITATION { "citationItems" : [ { "id" : "ITEM-1", "itemData" : { "DOI" : "10.1111/cei.12496", "ISSN" : "00099104", "PMID" : "25546747", "author" : [ { "dropping-particle" : "", "family" : "Grimbacher", "given" : "B.", "non-dropping-particle" : "", "parse-names" : false, "suffix" : "" } ], "container-title" : "Clinical &amp; Experimental Immunology", "id" : "ITEM-1", "issue" : "S1", "issued" : { "date-parts" : [ [ "2014", "12" ] ] }, "page" : "18-20", "title" : "The European Society for Immunodeficiencies (ESID) registry 2014", "type" : "article-journal", "volume" : "178" }, "uris" : [ "http://www.mendeley.com/documents/?uuid=8d61bc10-e068-4758-8df8-8ffba87ca126" ] } ], "mendeley" : { "formattedCitation" : "(1)", "plainTextFormattedCitation" : "(1)", "previouslyFormattedCitation" : "(1)" }, "properties" : { "noteIndex" : 0 }, "schema" : "https://github.com/citation-style-language/schema/raw/master/csl-citation.json" }</w:instrText>
      </w:r>
      <w:r w:rsidR="00094F57" w:rsidRPr="00F11608">
        <w:fldChar w:fldCharType="separate"/>
      </w:r>
      <w:r w:rsidR="0022310E" w:rsidRPr="0022310E">
        <w:rPr>
          <w:noProof/>
        </w:rPr>
        <w:t>(1)</w:t>
      </w:r>
      <w:r w:rsidR="00094F57" w:rsidRPr="00F11608">
        <w:fldChar w:fldCharType="end"/>
      </w:r>
      <w:r w:rsidR="007D6D68" w:rsidRPr="00F11608">
        <w:t>.</w:t>
      </w:r>
      <w:r w:rsidR="001E1D27" w:rsidRPr="00F11608">
        <w:rPr>
          <w:rFonts w:cs="Times New Roman"/>
        </w:rPr>
        <w:t xml:space="preserve">  </w:t>
      </w:r>
      <w:r w:rsidRPr="00F11608">
        <w:rPr>
          <w:rFonts w:cs="Times New Roman"/>
        </w:rPr>
        <w:t>R</w:t>
      </w:r>
      <w:r w:rsidR="001E1D27" w:rsidRPr="00F11608">
        <w:rPr>
          <w:rFonts w:cs="Times New Roman"/>
        </w:rPr>
        <w:t xml:space="preserve">ecent </w:t>
      </w:r>
      <w:r w:rsidRPr="00F11608">
        <w:rPr>
          <w:rFonts w:cs="Times New Roman"/>
        </w:rPr>
        <w:t xml:space="preserve">studies </w:t>
      </w:r>
      <w:r w:rsidR="001E1D27" w:rsidRPr="00F11608">
        <w:rPr>
          <w:rFonts w:cs="Times New Roman"/>
        </w:rPr>
        <w:t xml:space="preserve">suggest </w:t>
      </w:r>
      <w:r w:rsidR="001E1D27" w:rsidRPr="00F11608">
        <w:t>these n</w:t>
      </w:r>
      <w:r w:rsidR="007C18D3" w:rsidRPr="00F11608">
        <w:t xml:space="preserve">umbers may still significantly </w:t>
      </w:r>
      <w:r w:rsidR="007C18D3" w:rsidRPr="00F11608">
        <w:rPr>
          <w:rFonts w:cs="Times New Roman"/>
        </w:rPr>
        <w:t>underestimat</w:t>
      </w:r>
      <w:r w:rsidRPr="00F11608">
        <w:rPr>
          <w:rFonts w:cs="Times New Roman"/>
        </w:rPr>
        <w:t>e</w:t>
      </w:r>
      <w:r w:rsidR="001E1D27" w:rsidRPr="00F11608">
        <w:t xml:space="preserve"> the true </w:t>
      </w:r>
      <w:r w:rsidR="007C18D3" w:rsidRPr="00F11608">
        <w:t>prevalence</w:t>
      </w:r>
      <w:r w:rsidR="001E1D27" w:rsidRPr="00F11608">
        <w:t xml:space="preserve"> of PID.  </w:t>
      </w:r>
      <w:r w:rsidRPr="00F11608">
        <w:rPr>
          <w:rFonts w:cs="Times New Roman"/>
        </w:rPr>
        <w:t>For instance, a</w:t>
      </w:r>
      <w:r w:rsidR="001E1D27" w:rsidRPr="00F11608">
        <w:rPr>
          <w:rFonts w:cs="Times New Roman"/>
        </w:rPr>
        <w:t>n</w:t>
      </w:r>
      <w:r w:rsidR="001E1D27" w:rsidRPr="00F11608">
        <w:t xml:space="preserve"> </w:t>
      </w:r>
      <w:r w:rsidR="007C18D3" w:rsidRPr="00F11608">
        <w:t>epidemiological</w:t>
      </w:r>
      <w:r w:rsidR="001E1D27" w:rsidRPr="00F11608">
        <w:t xml:space="preserve"> field survey from Mahlaoui </w:t>
      </w:r>
      <w:r w:rsidR="001E1D27" w:rsidRPr="00F11608">
        <w:rPr>
          <w:i/>
        </w:rPr>
        <w:t>et al</w:t>
      </w:r>
      <w:r w:rsidR="001E1D27" w:rsidRPr="00F11608">
        <w:rPr>
          <w:rFonts w:cs="Times New Roman"/>
        </w:rPr>
        <w:t>.</w:t>
      </w:r>
      <w:r w:rsidR="001E1D27" w:rsidRPr="00F11608">
        <w:t xml:space="preserve"> suggests the true minimum </w:t>
      </w:r>
      <w:r w:rsidR="007C18D3" w:rsidRPr="00F11608">
        <w:t>prevalence</w:t>
      </w:r>
      <w:r w:rsidR="001E1D27" w:rsidRPr="00F11608">
        <w:t xml:space="preserve"> of</w:t>
      </w:r>
      <w:r w:rsidR="007C18D3" w:rsidRPr="00F11608">
        <w:t xml:space="preserve"> PID in France</w:t>
      </w:r>
      <w:r w:rsidR="001E1D27" w:rsidRPr="00F11608">
        <w:t xml:space="preserve"> is actually 11 per 100,000 population</w:t>
      </w:r>
      <w:r w:rsidR="00E14BF6">
        <w:t xml:space="preserve"> </w:t>
      </w:r>
      <w:r w:rsidR="003D55FD" w:rsidRPr="00F11608">
        <w:fldChar w:fldCharType="begin" w:fldLock="1"/>
      </w:r>
      <w:r w:rsidR="00C175C4">
        <w:instrText>ADDIN CSL_CITATION { "citationItems" : [ { "id" : "ITEM-1", "itemData" : { "DOI" : "10.1016/j.jaci.2017.06.020", "ISSN" : "00916749", "author" : [ { "dropping-particle" : "", "family" : "Mahlaoui", "given" : "Nizar", "non-dropping-particle" : "", "parse-names" : false, "suffix" : "" }, { "dropping-particle" : "", "family" : "Jais", "given" : "Jean-Philippe", "non-dropping-particle" : "", "parse-names" : false, "suffix" : "" }, { "dropping-particle" : "", "family" : "Brosselin", "given" : "Pauline", "non-dropping-particle" : "", "parse-names" : false, "suffix" : "" }, { "dropping-particle" : "", "family" : "Mignot", "given" : "Cecile", "non-dropping-particle" : "", "parse-names" : false, "suffix" : "" }, { "dropping-particle" : "", "family" : "Beaurain", "given" : "Beatrice", "non-dropping-particle" : "", "parse-names" : false, "suffix" : "" }, { "dropping-particle" : "", "family" : "Brito", "given" : "Carolina", "non-dropping-particle" : "", "parse-names" : false, "suffix" : "" }, { "dropping-particle" : "", "family" : "Costes", "given" : "Laurence", "non-dropping-particle" : "", "parse-names" : false, "suffix" : "" }, { "dropping-particle" : "", "family" : "Courteille", "given" : "Virginie", "non-dropping-particle" : "", "parse-names" : false, "suffix" : "" }, { "dropping-particle" : "", "family" : "Vergnes", "given" : "Nathalie", "non-dropping-particle" : "De", "parse-names" : false, "suffix" : "" }, { "dropping-particle" : "", "family" : "Alca\u00efs", "given" : "Alexandre", "non-dropping-particle" : "", "parse-names" : false, "suffix" : "" }, { "dropping-particle" : "", "family" : "Fischer", "given" : "Alain", "non-dropping-particle" : "", "parse-names" : false, "suffix" : "" }, { "dropping-particle" : "", "family" : "Piguet", "given" : "Christophe", "non-dropping-particle" : "", "parse-names" : false, "suffix" : "" }, { "dropping-particle" : "", "family" : "Jaccard", "given" : "Arnaud", "non-dropping-particle" : "", "parse-names" : false, "suffix" : "" }, { "dropping-particle" : "", "family" : "Jeziorski", "given" : "Eric", "non-dropping-particle" : "", "parse-names" : false, "suffix" : "" }, { "dropping-particle" : "", "family" : "Moing", "given" : "Vincent", "non-dropping-particle" : "Le", "parse-names" : false, "suffix" : "" }, { "dropping-particle" : "", "family" : "Quellec", "given" : "Alain", "non-dropping-particle" : "Le", "parse-names" : false, "suffix" : "" }, { "dropping-particle" : "", "family" : "Pellier", "given" : "Isabelle", "non-dropping-particle" : "", "parse-names" : false, "suffix" : "" }, { "dropping-particle" : "", "family" : "Gardembas", "given" : "Martine", "non-dropping-particle" : "", "parse-names" : false, "suffix" : "" }, { "dropping-particle" : "", "family" : "Levy", "given" : "Yves", "non-dropping-particle" : "", "parse-names" : false, "suffix" : "" }, { "dropping-particle" : "", "family" : "Lambotte", "given" : "Olivier", "non-dropping-particle" : "", "parse-names" : false, "suffix" : "" }, { "dropping-particle" : "", "family" : "Mazingue", "given" : "Fran\u00e7oise", "non-dropping-particle" : "", "parse-names" : false, "suffix" : "" }, { "dropping-particle" : "", "family" : "Hachulla", "given" : "Eric", "non-dropping-particle" : "", "parse-names" : false, "suffix" : "" }, { "dropping-particle" : "", "family" : "Gandemer", "given" : "Virginie", "non-dropping-particle" : "", "parse-names" : false, "suffix" : "" }, { "dropping-particle" : "", "family" : "Perlat", "given" : "Antoinette", "non-dropping-particle" : "", "parse-names" : false, "suffix" : "" }, { "dropping-particle" : "", "family" : "Schleinitz", "given" : "Nicolas", "non-dropping-particle" : "", "parse-names" : false, "suffix" : "" }, { "dropping-particle" : "", "family" : "Barlogis", "given" : "Vincent", "non-dropping-particle" : "", "parse-names" : false, "suffix" : "" }, { "dropping-particle" : "", "family" : "Sarrot-Reynauld", "given" : "Fran\u00e7oise", "non-dropping-particle" : "", "parse-names" : false, "suffix" : "" }, { "dropping-particle" : "", "family" : "Plantaz", "given" : "Dominique", "non-dropping-particle" : "", "parse-names" : false, "suffix" : "" }, { "dropping-particle" : "", "family" : "Lemal", "given" : "Richard", "non-dropping-particle" : "", "parse-names" : false, "suffix" : "" }, { "dropping-particle" : "", "family" : "Dor\u00e9", "given" : "Eric", "non-dropping-particle" : "", "parse-names" : false, "suffix" : "" }, { "dropping-particle" : "", "family" : "Aladjidi", "given" : "Nathalie", "non-dropping-particle" : "", "parse-names" : false, "suffix" : "" }, { "dropping-particle" : "", "family" : "Viallard", "given" : "Jean-Fran\u00e7ois", "non-dropping-particle" : "", "parse-names" : false, "suffix" : "" }, { "dropping-particle" : "", "family" : "Adoue", "given" : "Daniel", "non-dropping-particle" : "", "parse-names" : false, "suffix" : "" }, { "dropping-particle" : "", "family" : "Pasquet", "given" : "Marl\u00e8ne", "non-dropping-particle" : "", "parse-names" : false, "suffix" : "" } ], "container-title" : "Journal of Allergy and Clinical Immunology", "id" : "ITEM-1", "issued" : { "date-parts" : [ [ "2017", "7" ] ] }, "title" : "Prevalence of Primary Immunodeficiencies in France is underestimated", "type" : "article-journal" }, "uris" : [ "http://www.mendeley.com/documents/?uuid=77b78733-d094-378b-b246-5d45325cb668" ] } ], "mendeley" : { "formattedCitation" : "(19)", "plainTextFormattedCitation" : "(19)", "previouslyFormattedCitation" : "(19)" }, "properties" : { "noteIndex" : 0 }, "schema" : "https://github.com/citation-style-language/schema/raw/master/csl-citation.json" }</w:instrText>
      </w:r>
      <w:r w:rsidR="003D55FD" w:rsidRPr="00F11608">
        <w:fldChar w:fldCharType="separate"/>
      </w:r>
      <w:r w:rsidR="0022310E" w:rsidRPr="0022310E">
        <w:rPr>
          <w:noProof/>
        </w:rPr>
        <w:t>(19)</w:t>
      </w:r>
      <w:r w:rsidR="003D55FD" w:rsidRPr="00F11608">
        <w:fldChar w:fldCharType="end"/>
      </w:r>
      <w:r w:rsidR="00264539">
        <w:t>.</w:t>
      </w:r>
    </w:p>
    <w:p w14:paraId="64BE2CED" w14:textId="2C1B3933" w:rsidR="00907BCE" w:rsidRPr="00F11608" w:rsidRDefault="00276DBA" w:rsidP="00A713F6">
      <w:r w:rsidRPr="00F11608">
        <w:t xml:space="preserve">The expansion in registry patients also enables us to calculate a reliable estimate of PID incidence per UK </w:t>
      </w:r>
      <w:r w:rsidR="007B273E" w:rsidRPr="00F11608">
        <w:t xml:space="preserve">annual </w:t>
      </w:r>
      <w:r w:rsidRPr="00F11608">
        <w:t xml:space="preserve">live births.  </w:t>
      </w:r>
      <w:r w:rsidR="001E7807" w:rsidRPr="00F11608">
        <w:rPr>
          <w:rFonts w:cs="Times New Roman"/>
        </w:rPr>
        <w:t>The</w:t>
      </w:r>
      <w:r w:rsidRPr="00F11608">
        <w:t xml:space="preserve"> data showed a median PID incide</w:t>
      </w:r>
      <w:r w:rsidR="007972DC" w:rsidRPr="00F11608">
        <w:t xml:space="preserve">nce from 1980-2000 of 1 in </w:t>
      </w:r>
      <w:r w:rsidR="0050146E">
        <w:rPr>
          <w:rFonts w:cs="Times New Roman"/>
        </w:rPr>
        <w:t>13157</w:t>
      </w:r>
      <w:r w:rsidRPr="00F11608">
        <w:t xml:space="preserve"> births.  This number is still likely to be an underestimate of the true value, with a significant proportion </w:t>
      </w:r>
      <w:r w:rsidR="00515149" w:rsidRPr="00F11608">
        <w:t xml:space="preserve">of </w:t>
      </w:r>
      <w:r w:rsidRPr="00F11608">
        <w:t>patients in this period dying either before</w:t>
      </w:r>
      <w:r w:rsidR="00B37F34" w:rsidRPr="00F11608">
        <w:t xml:space="preserve"> their</w:t>
      </w:r>
      <w:r w:rsidRPr="00F11608">
        <w:t xml:space="preserve"> PID is recognised or before the establishment </w:t>
      </w:r>
      <w:r w:rsidR="00394F3D" w:rsidRPr="00F11608">
        <w:t>of the UKPID registry.  With the</w:t>
      </w:r>
      <w:r w:rsidRPr="00F11608">
        <w:t xml:space="preserve"> registry now firmly established</w:t>
      </w:r>
      <w:r w:rsidR="001E7807" w:rsidRPr="00F11608">
        <w:rPr>
          <w:rFonts w:cs="Times New Roman"/>
        </w:rPr>
        <w:t>,</w:t>
      </w:r>
      <w:r w:rsidRPr="00F11608">
        <w:t xml:space="preserve"> we hope to increase the accuracy of these data </w:t>
      </w:r>
      <w:r w:rsidR="001E7807" w:rsidRPr="00F11608">
        <w:rPr>
          <w:rFonts w:cs="Times New Roman"/>
        </w:rPr>
        <w:t>for</w:t>
      </w:r>
      <w:r w:rsidRPr="00F11608">
        <w:t xml:space="preserve"> future reports. </w:t>
      </w:r>
      <w:r w:rsidR="00337001" w:rsidRPr="00F11608">
        <w:t xml:space="preserve">The proportion of under 18 </w:t>
      </w:r>
      <w:r w:rsidR="000E0A6C" w:rsidRPr="00F11608">
        <w:t>y</w:t>
      </w:r>
      <w:r w:rsidR="00337001" w:rsidRPr="00F11608">
        <w:t>ear olds in t</w:t>
      </w:r>
      <w:r w:rsidR="007972DC" w:rsidRPr="00F11608">
        <w:t>he database is currently 18.7</w:t>
      </w:r>
      <w:r w:rsidR="00F46000" w:rsidRPr="00F11608">
        <w:t>%,</w:t>
      </w:r>
      <w:r w:rsidR="00337001" w:rsidRPr="00F11608">
        <w:t xml:space="preserve"> similar to the </w:t>
      </w:r>
      <w:r w:rsidR="00480663" w:rsidRPr="00F11608">
        <w:t xml:space="preserve">under 16 year old </w:t>
      </w:r>
      <w:r w:rsidR="00337001" w:rsidRPr="00F11608">
        <w:t>proportion of the general UK population at 18.8%</w:t>
      </w:r>
      <w:r w:rsidR="00094F57" w:rsidRPr="00F11608">
        <w:t xml:space="preserve"> </w:t>
      </w:r>
      <w:r w:rsidR="00094F57" w:rsidRPr="00F11608">
        <w:fldChar w:fldCharType="begin" w:fldLock="1"/>
      </w:r>
      <w:r w:rsidR="000C77BD" w:rsidRPr="00F11608">
        <w:instrText>ADDIN CSL_CITATION { "citationItems" : [ { "id" : "ITEM-1", "itemData" : { "abstract" : "Background information on the UK population, its size, characteristics and the causes of population change", "author" : [ { "dropping-particle" : "", "family" : "Office for National Statistics", "given" : "", "non-dropping-particle" : "", "parse-names" : false, "suffix" : "" } ], "id" : "ITEM-1", "issue" : "November", "issued" : { "date-parts" : [ [ "2015" ] ] }, "page" : "1-17", "title" : "Overview of the UK population: March 2017", "type" : "article-journal" }, "uris" : [ "http://www.mendeley.com/documents/?uuid=a7ecc27b-9d3b-40cc-9ba7-913ed57971d4" ] } ], "mendeley" : { "formattedCitation" : "(8)", "plainTextFormattedCitation" : "(8)", "previouslyFormattedCitation" : "(8)" }, "properties" : { "noteIndex" : 0 }, "schema" : "https://github.com/citation-style-language/schema/raw/master/csl-citation.json" }</w:instrText>
      </w:r>
      <w:r w:rsidR="00094F57" w:rsidRPr="00F11608">
        <w:fldChar w:fldCharType="separate"/>
      </w:r>
      <w:r w:rsidR="00036A57" w:rsidRPr="00F11608">
        <w:rPr>
          <w:noProof/>
        </w:rPr>
        <w:t>(8)</w:t>
      </w:r>
      <w:r w:rsidR="00094F57" w:rsidRPr="00F11608">
        <w:fldChar w:fldCharType="end"/>
      </w:r>
      <w:r w:rsidR="00264539">
        <w:t>.</w:t>
      </w:r>
      <w:r w:rsidR="00337001" w:rsidRPr="00F11608">
        <w:t xml:space="preserve"> </w:t>
      </w:r>
    </w:p>
    <w:p w14:paraId="72AF1978" w14:textId="3C8D5A96" w:rsidR="00550BFB" w:rsidRPr="00F11608" w:rsidRDefault="00550BFB" w:rsidP="00A713F6">
      <w:r w:rsidRPr="00F11608">
        <w:t xml:space="preserve">Antibody </w:t>
      </w:r>
      <w:r w:rsidR="008E17BF" w:rsidRPr="00F11608">
        <w:t>deficiencies</w:t>
      </w:r>
      <w:r w:rsidRPr="00F11608">
        <w:t xml:space="preserve"> </w:t>
      </w:r>
      <w:r w:rsidR="008E17BF" w:rsidRPr="00F11608">
        <w:t>continue</w:t>
      </w:r>
      <w:r w:rsidRPr="00F11608">
        <w:t xml:space="preserve"> to account for the </w:t>
      </w:r>
      <w:r w:rsidR="001E7807" w:rsidRPr="00F11608">
        <w:rPr>
          <w:rFonts w:cs="Times New Roman"/>
        </w:rPr>
        <w:t>largest group</w:t>
      </w:r>
      <w:r w:rsidRPr="00F11608">
        <w:t xml:space="preserve"> </w:t>
      </w:r>
      <w:r w:rsidR="007972DC" w:rsidRPr="00F11608">
        <w:t xml:space="preserve">of </w:t>
      </w:r>
      <w:r w:rsidR="001E7807" w:rsidRPr="00F11608">
        <w:rPr>
          <w:rFonts w:cs="Times New Roman"/>
        </w:rPr>
        <w:t>PID</w:t>
      </w:r>
      <w:r w:rsidR="007972DC" w:rsidRPr="00F11608">
        <w:t xml:space="preserve"> </w:t>
      </w:r>
      <w:r w:rsidR="00B37F34" w:rsidRPr="00F11608">
        <w:t xml:space="preserve">cases </w:t>
      </w:r>
      <w:r w:rsidR="007972DC" w:rsidRPr="00F11608">
        <w:t xml:space="preserve">within the </w:t>
      </w:r>
      <w:r w:rsidR="001E7807" w:rsidRPr="00F11608">
        <w:rPr>
          <w:rFonts w:cs="Times New Roman"/>
        </w:rPr>
        <w:t>registry</w:t>
      </w:r>
      <w:r w:rsidR="007972DC" w:rsidRPr="00F11608">
        <w:t xml:space="preserve"> (60</w:t>
      </w:r>
      <w:r w:rsidRPr="00F11608">
        <w:rPr>
          <w:rFonts w:cs="Times New Roman"/>
        </w:rPr>
        <w:t>%)</w:t>
      </w:r>
      <w:r w:rsidR="001E7807" w:rsidRPr="00F11608">
        <w:rPr>
          <w:rFonts w:cs="Times New Roman"/>
        </w:rPr>
        <w:t>,</w:t>
      </w:r>
      <w:r w:rsidRPr="00F11608">
        <w:t xml:space="preserve"> </w:t>
      </w:r>
      <w:r w:rsidR="008E17BF" w:rsidRPr="00F11608">
        <w:t>has</w:t>
      </w:r>
      <w:r w:rsidRPr="00F11608">
        <w:t xml:space="preserve"> remained</w:t>
      </w:r>
      <w:r w:rsidR="004D5CB9" w:rsidRPr="00F11608">
        <w:t xml:space="preserve"> stable </w:t>
      </w:r>
      <w:r w:rsidR="001E7807" w:rsidRPr="00F11608">
        <w:rPr>
          <w:rFonts w:cs="Times New Roman"/>
        </w:rPr>
        <w:t>since</w:t>
      </w:r>
      <w:r w:rsidR="004D5CB9" w:rsidRPr="00F11608">
        <w:t xml:space="preserve"> our first report and </w:t>
      </w:r>
      <w:r w:rsidR="00F668F8" w:rsidRPr="00F11608">
        <w:t xml:space="preserve">is </w:t>
      </w:r>
      <w:r w:rsidR="004D5CB9" w:rsidRPr="00F11608">
        <w:t>in keeping with other registries</w:t>
      </w:r>
      <w:r w:rsidR="001E7807" w:rsidRPr="00F11608">
        <w:rPr>
          <w:rFonts w:cs="Times New Roman"/>
        </w:rPr>
        <w:t>.</w:t>
      </w:r>
      <w:r w:rsidR="004D5CB9" w:rsidRPr="00F11608">
        <w:fldChar w:fldCharType="begin" w:fldLock="1"/>
      </w:r>
      <w:r w:rsidR="0022310E">
        <w:instrText>ADDIN CSL_CITATION { "citationItems" : [ { "id" : "ITEM-1", "itemData" : { "DOI" : "10.1111/cei.12496", "ISSN" : "00099104", "PMID" : "25546747", "author" : [ { "dropping-particle" : "", "family" : "Grimbacher", "given" : "B.", "non-dropping-particle" : "", "parse-names" : false, "suffix" : "" } ], "container-title" : "Clinical &amp; Experimental Immunology", "id" : "ITEM-1", "issue" : "S1", "issued" : { "date-parts" : [ [ "2014", "12" ] ] }, "page" : "18-20", "title" : "The European Society for Immunodeficiencies (ESID) registry 2014", "type" : "article-journal", "volume" : "178" }, "uris" : [ "http://www.mendeley.com/documents/?uuid=8d61bc10-e068-4758-8df8-8ffba87ca126" ] } ], "mendeley" : { "formattedCitation" : "(1)", "plainTextFormattedCitation" : "(1)", "previouslyFormattedCitation" : "(1)" }, "properties" : { "noteIndex" : 0 }, "schema" : "https://github.com/citation-style-language/schema/raw/master/csl-citation.json" }</w:instrText>
      </w:r>
      <w:r w:rsidR="004D5CB9" w:rsidRPr="00F11608">
        <w:fldChar w:fldCharType="separate"/>
      </w:r>
      <w:r w:rsidR="0022310E" w:rsidRPr="0022310E">
        <w:rPr>
          <w:noProof/>
        </w:rPr>
        <w:t>(1)</w:t>
      </w:r>
      <w:r w:rsidR="004D5CB9" w:rsidRPr="00F11608">
        <w:fldChar w:fldCharType="end"/>
      </w:r>
    </w:p>
    <w:p w14:paraId="148047FA" w14:textId="0813359E" w:rsidR="00B349D3" w:rsidRPr="00F11608" w:rsidRDefault="003D0EC9" w:rsidP="00A713F6">
      <w:r w:rsidRPr="00F11608">
        <w:t xml:space="preserve">Clinicians continually strive to </w:t>
      </w:r>
      <w:r w:rsidRPr="00F11608">
        <w:rPr>
          <w:rFonts w:cs="Times New Roman"/>
        </w:rPr>
        <w:t>diagnos</w:t>
      </w:r>
      <w:r w:rsidR="003E7307" w:rsidRPr="00F11608">
        <w:rPr>
          <w:rFonts w:cs="Times New Roman"/>
        </w:rPr>
        <w:t xml:space="preserve">e </w:t>
      </w:r>
      <w:r w:rsidR="001E7807" w:rsidRPr="00F11608">
        <w:rPr>
          <w:rFonts w:cs="Times New Roman"/>
        </w:rPr>
        <w:t>patients earlier</w:t>
      </w:r>
      <w:r w:rsidRPr="00F11608">
        <w:rPr>
          <w:rFonts w:cs="Times New Roman"/>
        </w:rPr>
        <w:t xml:space="preserve"> </w:t>
      </w:r>
      <w:r w:rsidRPr="00F11608">
        <w:t xml:space="preserve">to improve patient outcomes.  Increased awareness of </w:t>
      </w:r>
      <w:r w:rsidR="001E7807" w:rsidRPr="00F11608">
        <w:rPr>
          <w:rFonts w:cs="Times New Roman"/>
        </w:rPr>
        <w:t xml:space="preserve">the genetic basis of </w:t>
      </w:r>
      <w:r w:rsidRPr="00F11608">
        <w:t xml:space="preserve">PID </w:t>
      </w:r>
      <w:r w:rsidR="001E7807" w:rsidRPr="00F11608">
        <w:rPr>
          <w:rFonts w:cs="Times New Roman"/>
        </w:rPr>
        <w:t>and thus the importance of screening newborn siblings of affected patients</w:t>
      </w:r>
      <w:r w:rsidRPr="00F11608">
        <w:t xml:space="preserve"> will help reduce delays.</w:t>
      </w:r>
      <w:r w:rsidR="001B3460" w:rsidRPr="00F11608">
        <w:t xml:space="preserve"> The median diagnostic delay of CVID in this registry has decreased to 4</w:t>
      </w:r>
      <w:r w:rsidR="00264539">
        <w:t xml:space="preserve"> years from 5 years </w:t>
      </w:r>
      <w:r w:rsidR="001B3460" w:rsidRPr="00F11608">
        <w:t xml:space="preserve">in our previous report.  This will be continued to be monitored and hopefully these improvements will continue over time.  </w:t>
      </w:r>
      <w:r w:rsidR="00DE13A5" w:rsidRPr="00F11608">
        <w:rPr>
          <w:rFonts w:cs="Times New Roman"/>
        </w:rPr>
        <w:t>D</w:t>
      </w:r>
      <w:r w:rsidR="001B3460" w:rsidRPr="00F11608">
        <w:rPr>
          <w:rFonts w:cs="Times New Roman"/>
        </w:rPr>
        <w:t>iagnostic</w:t>
      </w:r>
      <w:r w:rsidR="001B3460" w:rsidRPr="00F11608">
        <w:t xml:space="preserve"> delay in</w:t>
      </w:r>
      <w:r w:rsidR="001B3460" w:rsidRPr="00F11608">
        <w:rPr>
          <w:rFonts w:cs="Times New Roman"/>
        </w:rPr>
        <w:t xml:space="preserve"> </w:t>
      </w:r>
      <w:r w:rsidR="00DE13A5" w:rsidRPr="00F11608">
        <w:rPr>
          <w:rFonts w:cs="Times New Roman"/>
        </w:rPr>
        <w:t>the diagnosis of</w:t>
      </w:r>
      <w:r w:rsidR="001B3460" w:rsidRPr="00F11608">
        <w:t xml:space="preserve"> agammaglobulinaemia remains consistent at </w:t>
      </w:r>
      <w:r w:rsidR="00DE13A5" w:rsidRPr="00F11608">
        <w:rPr>
          <w:rFonts w:cs="Times New Roman"/>
        </w:rPr>
        <w:t>one</w:t>
      </w:r>
      <w:r w:rsidR="001B3460" w:rsidRPr="00F11608">
        <w:t xml:space="preserve"> year</w:t>
      </w:r>
      <w:r w:rsidR="00DE13A5" w:rsidRPr="00F11608">
        <w:rPr>
          <w:rFonts w:cs="Times New Roman"/>
        </w:rPr>
        <w:t xml:space="preserve"> old</w:t>
      </w:r>
      <w:r w:rsidR="001B3460" w:rsidRPr="00F11608">
        <w:t xml:space="preserve">.  Plebani </w:t>
      </w:r>
      <w:r w:rsidR="001B3460" w:rsidRPr="00F11608">
        <w:rPr>
          <w:i/>
        </w:rPr>
        <w:t>et al</w:t>
      </w:r>
      <w:r w:rsidR="001B3460" w:rsidRPr="00F11608">
        <w:rPr>
          <w:rFonts w:cs="Times New Roman"/>
        </w:rPr>
        <w:t>.</w:t>
      </w:r>
      <w:r w:rsidR="001B3460" w:rsidRPr="00F11608">
        <w:t xml:space="preserve"> demonstrated an improvement in the age at diagnosis of Italian XLA patients over recent years, but suggested this improvement has now reached a plateau </w:t>
      </w:r>
      <w:r w:rsidR="001B3460" w:rsidRPr="00F11608">
        <w:fldChar w:fldCharType="begin" w:fldLock="1"/>
      </w:r>
      <w:r w:rsidR="00C175C4">
        <w:instrText>ADDIN CSL_CITATION { "citationItems" : [ { "id" : "ITEM-1", "itemData" : { "DOI" : "10.1006/clim.2002.5241", "ISBN" : "1521-6616 (Print)\\n1521-6616 (Linking)", "ISSN" : "15216616", "PMID" : "12217331", "abstract" : "A questionnaire-based retrospective clinical and immunological survey was conducted in 73 males with a definite diagnosis of X-linked agammaglobulinemia based on BTK sequence analysis. Forty-four were sporadic and 29 familial cases. At December 2000, the patients' ages ranged from 2 to 33 years; mean age at diagnosis and mean duration of follow-up were 3.5 and 10 years respectively. After the mid-1980s all but 2 were on intravenous immunoglobulin (IVIG) substitution therapy, with residual IgG &gt;500 mg/dl in 94% of the patients at the time of enrollment. Respiratory infections were the most frequent manifestation both prior to diagnosis and over follow-up. Chronic lung disease (CLD) was present in 24 patients, in 15 already at diagnosis and in 9 more by 2000. The cumulative risk to present at diagnosis with CLD increased from 0.17 to 0.40 and 0.78 when the diagnosis was made at the ages of 5, 10, and 15 years respectively. For the 9 patients who developed CLD during follow-up, the duration of follow-up, rather than age at diagnosis; previous administration of intramuscular immunoglobulin; and residual IgG levels had a significant effect on the development of CLD. Chronic sinusitis was present in 35 patients (48%), in 15 already at diagnosis and in 20 by 2000. Sistemic infections such as sepsis and meningitis/meningoencephalitis decreased over follow-up, probably due to optimal protection provided by high circulating IgG levels reached with IVIG.", "author" : [ { "dropping-particle" : "", "family" : "Plebani", "given" : "Alessandro", "non-dropping-particle" : "", "parse-names" : false, "suffix" : "" }, { "dropping-particle" : "", "family" : "Soresina", "given" : "Annarosa", "non-dropping-particle" : "", "parse-names" : false, "suffix" : "" }, { "dropping-particle" : "", "family" : "Rondelli", "given" : "Roberto", "non-dropping-particle" : "", "parse-names" : false, "suffix" : "" }, { "dropping-particle" : "", "family" : "Amato", "given" : "Giorgio M", "non-dropping-particle" : "", "parse-names" : false, "suffix" : "" }, { "dropping-particle" : "", "family" : "Azzari", "given" : "Chiara", "non-dropping-particle" : "", "parse-names" : false, "suffix" : "" }, { "dropping-particle" : "", "family" : "Cardinale", "given" : "Fabio", "non-dropping-particle" : "", "parse-names" : false, "suffix" : "" }, { "dropping-particle" : "", "family" : "Cazzola", "given" : "Gianantonio", "non-dropping-particle" : "", "parse-names" : false, "suffix" : "" }, { "dropping-particle" : "", "family" : "Consolini", "given" : "Rita", "non-dropping-particle" : "", "parse-names" : false, "suffix" : "" }, { "dropping-particle" : "", "family" : "Mattia", "given" : "D", "non-dropping-particle" : "De", "parse-names" : false, "suffix" : "" }, { "dropping-particle" : "", "family" : "Dell'Erba", "given" : "G", "non-dropping-particle" : "", "parse-names" : false, "suffix" : "" }, { "dropping-particle" : "", "family" : "Duse", "given" : "Marzia", "non-dropping-particle" : "", "parse-names" : false, "suffix" : "" }, { "dropping-particle" : "", "family" : "Fiorini", "given" : "Maurilia", "non-dropping-particle" : "", "parse-names" : false, "suffix" : "" }, { "dropping-particle" : "", "family" : "Martino", "given" : "Silvana", "non-dropping-particle" : "", "parse-names" : false, "suffix" : "" }, { "dropping-particle" : "", "family" : "Martire", "given" : "Baldassarre", "non-dropping-particle" : "", "parse-names" : false, "suffix" : "" }, { "dropping-particle" : "", "family" : "Masi", "given" : "Massimo", "non-dropping-particle" : "", "parse-names" : false, "suffix" : "" }, { "dropping-particle" : "", "family" : "Monafo", "given" : "Virginia", "non-dropping-particle" : "", "parse-names" : false, "suffix" : "" }, { "dropping-particle" : "", "family" : "Moschese", "given" : "Viviana", "non-dropping-particle" : "", "parse-names" : false, "suffix" : "" }, { "dropping-particle" : "", "family" : "Notarangelo", "given" : "Luigi D", "non-dropping-particle" : "", "parse-names" : false, "suffix" : "" }, { "dropping-particle" : "", "family" : "Orlandi", "given" : "Paola", "non-dropping-particle" : "", "parse-names" : false, "suffix" : "" }, { "dropping-particle" : "", "family" : "Panei", "given" : "Pietro", "non-dropping-particle" : "", "parse-names" : false, "suffix" : "" }, { "dropping-particle" : "", "family" : "Pession", "given" : "Andrea", "non-dropping-particle" : "", "parse-names" : false, "suffix" : "" }, { "dropping-particle" : "", "family" : "Pietrogrande", "given" : "Maria C", "non-dropping-particle" : "", "parse-names" : false, "suffix" : "" }, { "dropping-particle" : "", "family" : "Pignata", "given" : "Claudio", "non-dropping-particle" : "", "parse-names" : false, "suffix" : "" }, { "dropping-particle" : "", "family" : "Quinti", "given" : "Isabella", "non-dropping-particle" : "", "parse-names" : false, "suffix" : "" }, { "dropping-particle" : "", "family" : "Ragno", "given" : "Vanda", "non-dropping-particle" : "", "parse-names" : false, "suffix" : "" }, { "dropping-particle" : "", "family" : "Rossi", "given" : "Paolo", "non-dropping-particle" : "", "parse-names" : false, "suffix" : "" }, { "dropping-particle" : "", "family" : "Sciotto", "given" : "A", "non-dropping-particle" : "", "parse-names" : false, "suffix" : "" }, { "dropping-particle" : "", "family" : "Stabile", "given" : "A", "non-dropping-particle" : "", "parse-names" : false, "suffix" : "" } ], "container-title" : "Clin Immunol", "id" : "ITEM-1", "issue" : "3", "issued" : { "date-parts" : [ [ "2002" ] ] }, "page" : "221-230", "title" : "Clinical, immunological, and molecular analysis in a large cohort of patients with X-linked agammaglobulinemia: an Italian multicenter study", "type" : "article-journal", "volume" : "104" }, "uris" : [ "http://www.mendeley.com/documents/?uuid=03e89ec4-45c1-4a9b-b7e8-38572ff389f4" ] } ], "mendeley" : { "formattedCitation" : "(20)", "plainTextFormattedCitation" : "(20)", "previouslyFormattedCitation" : "(20)" }, "properties" : { "noteIndex" : 0 }, "schema" : "https://github.com/citation-style-language/schema/raw/master/csl-citation.json" }</w:instrText>
      </w:r>
      <w:r w:rsidR="001B3460" w:rsidRPr="00F11608">
        <w:fldChar w:fldCharType="separate"/>
      </w:r>
      <w:r w:rsidR="0022310E" w:rsidRPr="0022310E">
        <w:rPr>
          <w:noProof/>
        </w:rPr>
        <w:t>(20)</w:t>
      </w:r>
      <w:r w:rsidR="001B3460" w:rsidRPr="00F11608">
        <w:fldChar w:fldCharType="end"/>
      </w:r>
      <w:r w:rsidR="001B3460" w:rsidRPr="00F11608">
        <w:t>.  Newborn screening for XLA is possible, and pre-symptomatic instigation of immunoglobulin therapy may offer improved outcomes</w:t>
      </w:r>
      <w:r w:rsidR="00264539">
        <w:t xml:space="preserve"> </w:t>
      </w:r>
      <w:r w:rsidR="001B3460" w:rsidRPr="00F11608">
        <w:fldChar w:fldCharType="begin" w:fldLock="1"/>
      </w:r>
      <w:r w:rsidR="00C175C4">
        <w:instrText>ADDIN CSL_CITATION { "citationItems" : [ { "id" : "ITEM-1", "itemData" : { "DOI" : "10.1007/s10875-016-0347-5", "ISSN" : "15732592", "PMID" : "27873105", "abstract" : "Newborn screening for severe primary immunode-ficiencies (PID), characterized by T and/or B cell lymphope-nia, was carried out in a pilot program in the Stockholm County, Sweden, over a 2-year period, encompassing 58,834 children. T cell receptor excision circles (TREC) and kappa-deleting recombination excision circles (KREC) were mea-sured simultaneously using a quantitative PCR-based method on DNA extracted from dried blood spots (DBS), with beta-actin serving as a quality control for DNA quantity. Diagnostic cutoff levels enabling identification of newborns with milder and reversible T and/or B cell lymphopenia were also evaluated. Sixty-four children were recalled for follow-up due to low TREC and/or KREC levels, and three patients with immunodeficiency (Artemis-SCID, ATM, and an as yet un-classified T cell lymphopenia/hypogammaglobulinemia) were identified. Of the positive samples, 24 were associated with prematurity. Thirteen children born to mothers treated with immunosuppressive agents during pregnancy (azathioprine (n = 9), mercaptopurine (n = 1), azathioprine and tacrolimus (n = 3)) showed low KREC levels at birth, which spontane-ously normalized. Twenty-nine newborns had no apparent cause identified for their abnormal results, but normalized with time. Children with trisomy 21 (n = 43) showed a lower median number of both TREC (104 vs. 174 copies/\u03bcL blood) and KREC (45 vs. 100 copies/3.2 mm blood spot), but only one, born prematurely, fell below the cutoff level. Two chil-dren diagnosed with DiGeorge syndrome were found to have low TREC levels, but these were still above the cutoff level. Michela Barbaro, Annika Ohlsson and Stephan Borte contributed equally to this work.", "author" : [ { "dropping-particle" : "", "family" : "Barbaro", "given" : "Michela", "non-dropping-particle" : "", "parse-names" : false, "suffix" : "" }, { "dropping-particle" : "", "family" : "Ohlsson", "given" : "Annika", "non-dropping-particle" : "", "parse-names" : false, "suffix" : "" }, { "dropping-particle" : "", "family" : "Borte", "given" : "Stephan", "non-dropping-particle" : "", "parse-names" : false, "suffix" : "" }, { "dropping-particle" : "", "family" : "Jonsson", "given" : "Susanne", "non-dropping-particle" : "", "parse-names" : false, "suffix" : "" }, { "dropping-particle" : "", "family" : "Zetterstrom", "given" : "Rolf H.", "non-dropping-particle" : "", "parse-names" : false, "suffix" : "" }, { "dropping-particle" : "", "family" : "King", "given" : "Jovanka", "non-dropping-particle" : "", "parse-names" : false, "suffix" : "" }, { "dropping-particle" : "", "family" : "Winiarski", "given" : "Jacek", "non-dropping-particle" : "", "parse-names" : false, "suffix" : "" }, { "dropping-particle" : "", "family" : "D??beln", "given" : "Ulrika", "non-dropping-particle" : "von", "parse-names" : false, "suffix" : "" }, { "dropping-particle" : "", "family" : "Hammarstr??m", "given" : "Lennart", "non-dropping-particle" : "", "parse-names" : false, "suffix" : "" } ], "container-title" : "Journal of Clinical Immunology", "id" : "ITEM-1", "issued" : { "date-parts" : [ [ "2016" ] ] }, "page" : "1-10", "publisher" : "Journal of Clinical Immunology", "title" : "Newborn Screening for Severe Primary Immunodeficiency Diseases in Sweden-a 2-Year Pilot TREC and KREC Screening Study", "type" : "article-journal" }, "uris" : [ "http://www.mendeley.com/documents/?uuid=ce16ada7-6ffa-4285-81b5-68fbe8079ac3" ] } ], "mendeley" : { "formattedCitation" : "(21)", "plainTextFormattedCitation" : "(21)", "previouslyFormattedCitation" : "(21)" }, "properties" : { "noteIndex" : 0 }, "schema" : "https://github.com/citation-style-language/schema/raw/master/csl-citation.json" }</w:instrText>
      </w:r>
      <w:r w:rsidR="001B3460" w:rsidRPr="00F11608">
        <w:fldChar w:fldCharType="separate"/>
      </w:r>
      <w:r w:rsidR="0022310E" w:rsidRPr="0022310E">
        <w:rPr>
          <w:noProof/>
        </w:rPr>
        <w:t>(21)</w:t>
      </w:r>
      <w:r w:rsidR="001B3460" w:rsidRPr="00F11608">
        <w:fldChar w:fldCharType="end"/>
      </w:r>
      <w:r w:rsidR="00264539">
        <w:t>.</w:t>
      </w:r>
      <w:r w:rsidRPr="00F11608">
        <w:t xml:space="preserve"> </w:t>
      </w:r>
      <w:r w:rsidR="00264539">
        <w:t xml:space="preserve"> </w:t>
      </w:r>
      <w:r w:rsidRPr="00F11608">
        <w:t xml:space="preserve">In </w:t>
      </w:r>
      <w:r w:rsidR="0068096C" w:rsidRPr="00F11608">
        <w:t>addition,</w:t>
      </w:r>
      <w:r w:rsidR="001B3460" w:rsidRPr="00F11608">
        <w:t xml:space="preserve"> using similar techniques,</w:t>
      </w:r>
      <w:r w:rsidRPr="00F11608">
        <w:t xml:space="preserve"> newborn screening could play a major role in improving outcomes for SCID</w:t>
      </w:r>
      <w:r w:rsidR="004D5CB9" w:rsidRPr="00F11608">
        <w:t xml:space="preserve"> </w:t>
      </w:r>
      <w:r w:rsidR="004D5CB9" w:rsidRPr="00F11608">
        <w:fldChar w:fldCharType="begin" w:fldLock="1"/>
      </w:r>
      <w:r w:rsidR="00C175C4">
        <w:instrText>ADDIN CSL_CITATION { "citationItems" : [ { "id" : "ITEM-1", "itemData" : { "DOI" : "10.1007/s10875-014-0029-0", "ISBN" : "0271-9142", "ISSN" : "15732592", "PMID" : "24691999", "abstract" : "Severe combined immunodeficiency (SCID) is the most severe form of inherited primary immunodeficiency and is a paediatric emergency. Delay in recognising and detecting SCID can have fatal consequences and also reduces the chances of a successful haematopoietic stem cell transplant (HSCT). Screening for SCID at birth would prevent children from dying before HSCT can be attempted and would increase the success of HSCT. There is strong evidence to show that SCID fulfills the internationally-established criteria for a condition to be screened for at birth. There is also a test (the T-cell receptor excision circle (TREC) assay) that is now being successfully used in an increasing number of US states to screen for SCID in routine newborn Guthrie samples. Concerted lobbying efforts have highlighted the need for newborn screening (NBS) for SCID, and its implementation is being discussed in Europe both at EU and individual country level, but as yet there is no global mandate to screen for this rare and frequently lethal condition. This paper summarizes the current evidence for, and the success of SCID NBS, together with a review of the practical aspects of SCID testing and the arguments in favour of adding SCID to the conditions screened for at birth.", "author" : [ { "dropping-particle" : "", "family" : "Gaspar", "given" : "H. B.", "non-dropping-particle" : "", "parse-names" : false, "suffix" : "" }, { "dropping-particle" : "", "family" : "Hammarstr\u00f6m", "given" : "L.", "non-dropping-particle" : "", "parse-names" : false, "suffix" : "" }, { "dropping-particle" : "", "family" : "Mahlaoui", "given" : "N.", "non-dropping-particle" : "", "parse-names" : false, "suffix" : "" }, { "dropping-particle" : "", "family" : "Borte", "given" : "M.", "non-dropping-particle" : "", "parse-names" : false, "suffix" : "" }, { "dropping-particle" : "", "family" : "Borte", "given" : "S.", "non-dropping-particle" : "", "parse-names" : false, "suffix" : "" } ], "container-title" : "Journal of Clinical Immunology", "id" : "ITEM-1", "issue" : "4", "issued" : { "date-parts" : [ [ "2014" ] ] }, "page" : "393-397", "title" : "The case for mandatory newborn screening for severe combined immunodeficiency (SCID)", "type" : "article-journal", "volume" : "34" }, "uris" : [ "http://www.mendeley.com/documents/?uuid=e9fdb3cd-5106-4786-8d83-0f27ef87a50b" ] } ], "mendeley" : { "formattedCitation" : "(22)", "plainTextFormattedCitation" : "(22)", "previouslyFormattedCitation" : "(22)" }, "properties" : { "noteIndex" : 0 }, "schema" : "https://github.com/citation-style-language/schema/raw/master/csl-citation.json" }</w:instrText>
      </w:r>
      <w:r w:rsidR="004D5CB9" w:rsidRPr="00F11608">
        <w:fldChar w:fldCharType="separate"/>
      </w:r>
      <w:r w:rsidR="0022310E" w:rsidRPr="0022310E">
        <w:rPr>
          <w:noProof/>
        </w:rPr>
        <w:t>(22)</w:t>
      </w:r>
      <w:r w:rsidR="004D5CB9" w:rsidRPr="00F11608">
        <w:fldChar w:fldCharType="end"/>
      </w:r>
      <w:r w:rsidRPr="00F11608">
        <w:t>.</w:t>
      </w:r>
    </w:p>
    <w:p w14:paraId="17D2E067" w14:textId="68B9109A" w:rsidR="006D6CF4" w:rsidRPr="00F11608" w:rsidRDefault="00A43960" w:rsidP="00A713F6">
      <w:r w:rsidRPr="00F11608">
        <w:t>Immunoglobulin</w:t>
      </w:r>
      <w:r w:rsidR="00337001" w:rsidRPr="00F11608">
        <w:t xml:space="preserve"> therapy remains the mainstay of treatment for the vast major</w:t>
      </w:r>
      <w:r w:rsidRPr="00F11608">
        <w:t>it</w:t>
      </w:r>
      <w:r w:rsidR="00337001" w:rsidRPr="00F11608">
        <w:t xml:space="preserve">y of antibody </w:t>
      </w:r>
      <w:r w:rsidRPr="00F11608">
        <w:t>deficiency</w:t>
      </w:r>
      <w:r w:rsidR="00337001" w:rsidRPr="00F11608">
        <w:t xml:space="preserve"> syndromes.</w:t>
      </w:r>
      <w:r w:rsidRPr="00F11608">
        <w:t xml:space="preserve">  The proportion of those patients receiving intravenous immunoglobulin therapy (IVIG) has fallen from 60% in our previous report to an equal </w:t>
      </w:r>
      <w:r w:rsidR="00F668F8" w:rsidRPr="00F11608">
        <w:t>split in the cohort between intravenous</w:t>
      </w:r>
      <w:r w:rsidRPr="00F11608">
        <w:t xml:space="preserve"> and subcutaneo</w:t>
      </w:r>
      <w:r w:rsidR="00394F3D" w:rsidRPr="00F11608">
        <w:t>us therapies</w:t>
      </w:r>
      <w:r w:rsidR="00732F0B" w:rsidRPr="00F11608">
        <w:t xml:space="preserve"> (SCIG).  For the 2836</w:t>
      </w:r>
      <w:r w:rsidRPr="00F11608">
        <w:t xml:space="preserve"> patients recorded as receiving immunoglobulin therapy over half (59%) receive their therapy at home.  This data highlights the patient </w:t>
      </w:r>
      <w:r w:rsidR="00EB7489" w:rsidRPr="00F11608">
        <w:t>preference for therapy at home</w:t>
      </w:r>
      <w:r w:rsidRPr="00F11608">
        <w:t xml:space="preserve"> and should continue to be actively offered to all patients wherever possible. </w:t>
      </w:r>
    </w:p>
    <w:p w14:paraId="201359A9" w14:textId="076A5206" w:rsidR="00807E1B" w:rsidRPr="00F11608" w:rsidRDefault="00807E1B" w:rsidP="00A713F6">
      <w:r w:rsidRPr="00F11608">
        <w:t>Better understan</w:t>
      </w:r>
      <w:r w:rsidR="0007095F" w:rsidRPr="00F11608">
        <w:t>ding of, and access to genetic testing</w:t>
      </w:r>
      <w:r w:rsidRPr="00F11608">
        <w:t xml:space="preserve"> can enable faster and more accurate diagnosis of PID leading to improved outcomes</w:t>
      </w:r>
      <w:r w:rsidR="003C1DC4">
        <w:t xml:space="preserve"> </w:t>
      </w:r>
      <w:r w:rsidR="0022310E">
        <w:fldChar w:fldCharType="begin" w:fldLock="1"/>
      </w:r>
      <w:r w:rsidR="00C175C4">
        <w:instrText>ADDIN CSL_CITATION { "citationItems" : [ { "id" : "ITEM-1", "itemData" : { "DOI" : "10.1007/s11882-014-0468-y", "ISSN" : "1534-6315", "PMID" : "25149170", "abstract" : "Primary immunodeficiencies (PIDs) are a group of genetically heterogeneous disorders that present with very similar symptoms, complicating definitive diagnosis. More than 240 genes have hitherto been associated with PIDs, of which more than 30 have been identified in the last 3 years. Next generation sequencing (NGS) of genomes or exomes of informative families has played a central role in the discovery of novel PID genes. Furthermore, NGS has the potential to transform clinical molecular testing for established PIDs, allowing all PID differential diagnoses to be tested at once, leading to increased diagnostic yield, while decreasing both the time and cost of obtaining a molecular diagnosis. Given that treatment of PID varies by disease gene, early achievement of a molecular diagnosis is likely to enhance treatment decisions and improve patient outcomes.", "author" : [ { "dropping-particle" : "", "family" : "Raje", "given" : "Nikita", "non-dropping-particle" : "", "parse-names" : false, "suffix" : "" }, { "dropping-particle" : "", "family" : "Soden", "given" : "Sarah", "non-dropping-particle" : "", "parse-names" : false, "suffix" : "" }, { "dropping-particle" : "", "family" : "Swanson", "given" : "Douglas", "non-dropping-particle" : "", "parse-names" : false, "suffix" : "" }, { "dropping-particle" : "", "family" : "Ciaccio", "given" : "Christina E", "non-dropping-particle" : "", "parse-names" : false, "suffix" : "" }, { "dropping-particle" : "", "family" : "Kingsmore", "given" : "Stephen F", "non-dropping-particle" : "", "parse-names" : false, "suffix" : "" }, { "dropping-particle" : "", "family" : "Dinwiddie", "given" : "Darrell L", "non-dropping-particle" : "", "parse-names" : false, "suffix" : "" } ], "container-title" : "Current allergy and asthma reports", "id" : "ITEM-1", "issue" : "10", "issued" : { "date-parts" : [ [ "2014", "10" ] ] }, "page" : "468", "publisher" : "NIH Public Access", "title" : "Utility of next generation sequencing in clinical primary immunodeficiencies.", "type" : "article-journal", "volume" : "14" }, "uris" : [ "http://www.mendeley.com/documents/?uuid=a2a6e839-f73a-373e-932e-f3590d19d304" ] } ], "mendeley" : { "formattedCitation" : "(23)", "plainTextFormattedCitation" : "(23)", "previouslyFormattedCitation" : "(23)" }, "properties" : { "noteIndex" : 0 }, "schema" : "https://github.com/citation-style-language/schema/raw/master/csl-citation.json" }</w:instrText>
      </w:r>
      <w:r w:rsidR="0022310E">
        <w:fldChar w:fldCharType="separate"/>
      </w:r>
      <w:r w:rsidR="0022310E" w:rsidRPr="0022310E">
        <w:rPr>
          <w:noProof/>
        </w:rPr>
        <w:t>(23)</w:t>
      </w:r>
      <w:r w:rsidR="0022310E">
        <w:fldChar w:fldCharType="end"/>
      </w:r>
      <w:r w:rsidRPr="00F11608">
        <w:t>.  Nearly a quarter of the registry patients have a proven gene defect underlying their PID.  Diseases like agammaglobulinaemia continue to show a high proportion of cases where a genetic defect is fo</w:t>
      </w:r>
      <w:r w:rsidR="004E4350" w:rsidRPr="00F11608">
        <w:t>und (85</w:t>
      </w:r>
      <w:r w:rsidR="006A1C3B" w:rsidRPr="00F11608">
        <w:t xml:space="preserve">%).  However, </w:t>
      </w:r>
      <w:r w:rsidR="00DE13A5" w:rsidRPr="00F11608">
        <w:rPr>
          <w:rFonts w:cs="Times New Roman"/>
        </w:rPr>
        <w:t>common</w:t>
      </w:r>
      <w:r w:rsidRPr="00F11608">
        <w:t xml:space="preserve"> diseases such as CVID continue to show a low proportion of cases for </w:t>
      </w:r>
      <w:r w:rsidR="00DE13A5" w:rsidRPr="00F11608">
        <w:rPr>
          <w:rFonts w:cs="Times New Roman"/>
        </w:rPr>
        <w:t>which</w:t>
      </w:r>
      <w:r w:rsidRPr="00F11608">
        <w:t xml:space="preserve"> a genetic defect is found (</w:t>
      </w:r>
      <w:r w:rsidR="004E4350" w:rsidRPr="00F11608">
        <w:t>1.78</w:t>
      </w:r>
      <w:r w:rsidRPr="00F11608">
        <w:t xml:space="preserve">%).  Next generation sequencing looks set to supersede conventional Sanger sequencing in the coming years leading to a potentially higher proportion of patients for whom </w:t>
      </w:r>
      <w:r w:rsidR="007C18D3" w:rsidRPr="00F11608">
        <w:t xml:space="preserve">a </w:t>
      </w:r>
      <w:r w:rsidRPr="00F11608">
        <w:t>genetic defect is known and to the discovery of new PIDs</w:t>
      </w:r>
      <w:r w:rsidR="003D55FD" w:rsidRPr="00F11608">
        <w:t xml:space="preserve"> </w:t>
      </w:r>
      <w:r w:rsidR="003D55FD" w:rsidRPr="00F11608">
        <w:fldChar w:fldCharType="begin" w:fldLock="1"/>
      </w:r>
      <w:r w:rsidR="00C175C4">
        <w:instrText>ADDIN CSL_CITATION { "citationItems" : [ { "id" : "ITEM-1", "itemData" : { "DOI" : "10.1002/eji.201444669", "ISBN" : "0014-2980", "ISSN" : "00142980", "PMID" : "25154746", "abstract" : "Primary immunodeficiencies (PIDs) are inborn errors of the immune system. PIDs have been characterized immunologically for the last 60 years and genetically, principally by Sanger DNA sequencing, over the last 30 years. The advent of next-generation sequencing (NGS) in 2011, with the development of whole-exome sequencing in particular, has facilitated the identification of previously unknown genetic lesions. NGS is rapidly generating a stream of candidate variants for an increasing number of genetically undefined PIDs. The use of NGS technology is ushering in a new era, by facilitating the discovery and characterization of new PIDs in patients with infections and other phenotypes, thereby helping to improve diagnostic accuracy. This review provides a historical overview of the identification of PIDs before NGS, and the advances and limitations of the use of NGS for the diagnosis and characterization of PIDs.", "author" : [ { "dropping-particle" : "", "family" : "Picard", "given" : "Capucine", "non-dropping-particle" : "", "parse-names" : false, "suffix" : "" }, { "dropping-particle" : "", "family" : "Fischer", "given" : "Alain", "non-dropping-particle" : "", "parse-names" : false, "suffix" : "" } ], "container-title" : "European Journal of Immunology", "id" : "ITEM-1", "issue" : "10", "issued" : { "date-parts" : [ [ "2014", "10" ] ] }, "page" : "2854-2861", "title" : "Contribution of high-throughput DNA sequencing to the study of primary immunodeficiencies", "type" : "article-journal", "volume" : "44" }, "uris" : [ "http://www.mendeley.com/documents/?uuid=00e3c1a1-4e33-3043-a763-09b8d5f8b2a5" ] } ], "mendeley" : { "formattedCitation" : "(24)", "plainTextFormattedCitation" : "(24)", "previouslyFormattedCitation" : "(24)" }, "properties" : { "noteIndex" : 0 }, "schema" : "https://github.com/citation-style-language/schema/raw/master/csl-citation.json" }</w:instrText>
      </w:r>
      <w:r w:rsidR="003D55FD" w:rsidRPr="00F11608">
        <w:fldChar w:fldCharType="separate"/>
      </w:r>
      <w:r w:rsidR="0022310E" w:rsidRPr="0022310E">
        <w:rPr>
          <w:noProof/>
        </w:rPr>
        <w:t>(24)</w:t>
      </w:r>
      <w:r w:rsidR="003D55FD" w:rsidRPr="00F11608">
        <w:fldChar w:fldCharType="end"/>
      </w:r>
      <w:r w:rsidR="003D55FD" w:rsidRPr="00F11608">
        <w:t>.</w:t>
      </w:r>
    </w:p>
    <w:p w14:paraId="715C1921" w14:textId="4062DF4B" w:rsidR="00B349D3" w:rsidRPr="00F11608" w:rsidRDefault="00456711" w:rsidP="00A713F6">
      <w:r w:rsidRPr="00F11608">
        <w:t xml:space="preserve">The UKPID registry is now firmly established within the UK and data </w:t>
      </w:r>
      <w:r w:rsidR="00DE13A5" w:rsidRPr="00F11608">
        <w:rPr>
          <w:rFonts w:cs="Times New Roman"/>
        </w:rPr>
        <w:t xml:space="preserve">is </w:t>
      </w:r>
      <w:r w:rsidRPr="00F11608">
        <w:t xml:space="preserve">available for the </w:t>
      </w:r>
      <w:r w:rsidR="00AC2C49" w:rsidRPr="00F11608">
        <w:t>majority</w:t>
      </w:r>
      <w:r w:rsidRPr="00F11608">
        <w:t xml:space="preserve"> of PID patients</w:t>
      </w:r>
      <w:r w:rsidRPr="00F11608">
        <w:rPr>
          <w:rFonts w:cs="Times New Roman"/>
        </w:rPr>
        <w:t>.</w:t>
      </w:r>
      <w:r w:rsidR="006C58D1">
        <w:rPr>
          <w:rFonts w:cs="Times New Roman"/>
        </w:rPr>
        <w:t xml:space="preserve">  This </w:t>
      </w:r>
      <w:r w:rsidR="0094524F">
        <w:rPr>
          <w:rFonts w:cs="Times New Roman"/>
        </w:rPr>
        <w:t>dataset enables a relatively accurate estimate of</w:t>
      </w:r>
      <w:r w:rsidR="006C58D1">
        <w:rPr>
          <w:rFonts w:cs="Times New Roman"/>
        </w:rPr>
        <w:t xml:space="preserve"> disease burden of primary immunodeficiency within the UK.  Over the next 5-10 years</w:t>
      </w:r>
      <w:r w:rsidR="006C58D1">
        <w:t xml:space="preserve"> w</w:t>
      </w:r>
      <w:r w:rsidRPr="00F11608">
        <w:t>e hope to continue this successful recru</w:t>
      </w:r>
      <w:r w:rsidR="004D5CB9" w:rsidRPr="00F11608">
        <w:t xml:space="preserve">itment as well as adding </w:t>
      </w:r>
      <w:r w:rsidR="00924A34" w:rsidRPr="00F11608">
        <w:t>the next level of registry data encompassing more detailed diagnostic and follow-up dat</w:t>
      </w:r>
      <w:r w:rsidR="00D7179F" w:rsidRPr="00F11608">
        <w:t>a</w:t>
      </w:r>
      <w:r w:rsidR="00924A34" w:rsidRPr="00F11608">
        <w:t xml:space="preserve"> e.g</w:t>
      </w:r>
      <w:r w:rsidRPr="00F11608">
        <w:t>. infection incidence, medication, vaccinations, lung function, laboratory values</w:t>
      </w:r>
      <w:r w:rsidR="003E7307" w:rsidRPr="00F11608">
        <w:t xml:space="preserve"> and quality of life</w:t>
      </w:r>
      <w:r w:rsidRPr="00F11608">
        <w:t>.</w:t>
      </w:r>
      <w:r w:rsidR="0094524F">
        <w:t xml:space="preserve">  These extra levels of detail</w:t>
      </w:r>
      <w:r w:rsidR="006C58D1">
        <w:t xml:space="preserve"> with further enable </w:t>
      </w:r>
      <w:r w:rsidR="00594AE3">
        <w:t xml:space="preserve">accurate </w:t>
      </w:r>
      <w:r w:rsidR="006C58D1">
        <w:t>assessment of outcomes in PID to be done quickly and with relative ease than would otherwise be possible without such a registry.  As research in PID advances there is likely to be an increasing range of interventions available to patients.  The ability to evaluate current outcomes in a timely manner will be vital to ensuring patients are able access the best possible care.</w:t>
      </w:r>
      <w:r w:rsidR="00977BE0" w:rsidRPr="00F11608">
        <w:t xml:space="preserve">  We look forward to working with researchers and clinicians in providing reliable, detailed data on PID within the UK to aid research</w:t>
      </w:r>
      <w:r w:rsidR="00394F3D" w:rsidRPr="00F11608">
        <w:t>, rational resource allocation</w:t>
      </w:r>
      <w:r w:rsidR="00977BE0" w:rsidRPr="00F11608">
        <w:t xml:space="preserve"> and improvements in clinical care.</w:t>
      </w:r>
    </w:p>
    <w:p w14:paraId="7D7A0BE7" w14:textId="4E27A390" w:rsidR="00AA62DB" w:rsidRPr="00F11608" w:rsidRDefault="00AA62DB" w:rsidP="003E7307">
      <w:pPr>
        <w:ind w:firstLine="720"/>
      </w:pPr>
    </w:p>
    <w:p w14:paraId="61BAB4E2" w14:textId="77777777" w:rsidR="00AA62DB" w:rsidRPr="00F11608" w:rsidRDefault="00AA62DB" w:rsidP="003E7307">
      <w:pPr>
        <w:ind w:firstLine="720"/>
      </w:pPr>
    </w:p>
    <w:p w14:paraId="435CC979" w14:textId="77777777" w:rsidR="00A713F6" w:rsidRPr="00F11608" w:rsidRDefault="00A713F6" w:rsidP="00485165">
      <w:pPr>
        <w:pStyle w:val="Heading1"/>
        <w:numPr>
          <w:ilvl w:val="0"/>
          <w:numId w:val="0"/>
        </w:numPr>
        <w:jc w:val="left"/>
        <w:rPr>
          <w:rFonts w:ascii="Times New Roman" w:hAnsi="Times New Roman" w:cs="Times New Roman"/>
          <w:sz w:val="22"/>
          <w:szCs w:val="22"/>
        </w:rPr>
        <w:sectPr w:rsidR="00A713F6" w:rsidRPr="00F11608" w:rsidSect="000D71E2">
          <w:pgSz w:w="11906" w:h="16838"/>
          <w:pgMar w:top="1701" w:right="1701" w:bottom="1701" w:left="1701" w:header="709" w:footer="709" w:gutter="0"/>
          <w:cols w:space="708"/>
          <w:docGrid w:linePitch="360"/>
        </w:sectPr>
      </w:pPr>
    </w:p>
    <w:p w14:paraId="7151441E" w14:textId="4C03A84F" w:rsidR="00992B5B" w:rsidRPr="00F11608" w:rsidRDefault="00AA62DB" w:rsidP="00485165">
      <w:pPr>
        <w:pStyle w:val="Heading1"/>
        <w:numPr>
          <w:ilvl w:val="0"/>
          <w:numId w:val="0"/>
        </w:numPr>
        <w:jc w:val="left"/>
        <w:rPr>
          <w:sz w:val="22"/>
          <w:szCs w:val="22"/>
        </w:rPr>
      </w:pPr>
      <w:r w:rsidRPr="00F11608">
        <w:rPr>
          <w:rFonts w:ascii="Times New Roman" w:hAnsi="Times New Roman" w:cs="Times New Roman"/>
          <w:sz w:val="22"/>
          <w:szCs w:val="22"/>
        </w:rPr>
        <w:t>Acknowledgements</w:t>
      </w:r>
    </w:p>
    <w:p w14:paraId="5532B3EA" w14:textId="30A3E755" w:rsidR="00A2563F" w:rsidRPr="00F11608" w:rsidRDefault="00A2563F" w:rsidP="00A2563F">
      <w:r w:rsidRPr="00F11608">
        <w:t>D. Mullen (NHS Grampian); L. Lorenzo, J. Dempster, S. Grigoriadou (Barts Health NHS Trust); L. Devlin (Belfast Health and Social Care Trust); C. Jones, M. Kusano (Sandwell and West Birmingham Hospitals); J. Daglish, S. Onyango-Odera, S. Hackett (Heart of England NHS Trust); E. Knight (University Hospitals Birmingham NHS Foundation Trust); F. Manyika (University Hospitals Bristol NHS Foundation Trust); L. Jennings, L. Smith (North Bristol NHS Trust); M. Fordham</w:t>
      </w:r>
      <w:r w:rsidR="00A979F5" w:rsidRPr="00F11608">
        <w:t xml:space="preserve">, A. Chandra, M. Krishna (Cambridge University Hospitals NHS Foundation Trust); K. Henderson, H. Gronlund (Papworth Hospital NHS Foundation Trust); E. Carne, C. Joyce, C. Kingdon, T. El-Shanawany (Cardiff and Vale University Health Board); G. Menzies (NHS Tayside); G. Paul, D. Baxter (NHS Lothian); M. Milarionmayieka (Epsom and St Helier University Hospitals); </w:t>
      </w:r>
      <w:r w:rsidR="00A979F5" w:rsidRPr="00F11608">
        <w:rPr>
          <w:b/>
        </w:rPr>
        <w:t xml:space="preserve"> </w:t>
      </w:r>
      <w:r w:rsidR="00A979F5" w:rsidRPr="00F11608">
        <w:t>C. Quinn (Frimley Health NHS Foundation Trust); M. Brownlie, H. Millar, S. Murng (NHS Greater Glasgow and Clyde), R. Savjani (Great Ormond Street Hospital for Children NHS Foundation Trust); J. Moor, B. Fish (Hull and East Yorkshire Hospitals NHS Trust); K. Ford, J. Toolan, P. Wood, G. Arumugakani (The Leeds Teaching Hospitals NHS Trust); J. Berry (The Royal Liverpool and Broadgreen University Hospitals); C. Beeson (Alder Hey Children’s NHS Foundation Trust); B. Boardman</w:t>
      </w:r>
      <w:r w:rsidR="00485165" w:rsidRPr="00F11608">
        <w:t>, S. Hughes (Manchester University NHS Foundation Trust); T. Green, O. Grix, S. Elcombe, C. Stroud, P. Tierney, A. Cant (The Newcastle upon Tyne Hospitals NHS Foundation Trust); R. Weldon, E. Drewe, P. Madhuri Vaitla (Nottingham University Hospitals NHS Trust)</w:t>
      </w:r>
      <w:r w:rsidR="00450D84" w:rsidRPr="00F11608">
        <w:t>; A. Welby, R. Jain (Oxford University Hospitals NHS Foundation Trust); C. Symons, T. Trump, A. Whyte (</w:t>
      </w:r>
      <w:r w:rsidR="00137F46" w:rsidRPr="00F11608">
        <w:t>Plymouth Hospitals NHS Trust); K. Haworth, A. Anantharachagan (Lancashire Teaching Hospitals NHS Foundation Trust); S. Workman, A. Symes (Royal Free London NHS Foundation Trust); L. Common, I. Jones, M. Fernandez, A. Herwadkar (Salford Royal NHS Foundation Trust);  A. Ford, F. Shackley (Sheffield Children’s NHS Foundation Trust); F. Ashworth, A. Shrimpton (Sheffield Teaching Hospitals NHS Foundation Trust); S. Fenton-Edwards, W. Rae, E. Eren (University Hospital Southampton NHS Foundation Trust); C. Bowmar-Scothern (St George’s University Hospitals NHS Foundation Trust)</w:t>
      </w:r>
    </w:p>
    <w:p w14:paraId="736FDA8C" w14:textId="77777777" w:rsidR="00A2563F" w:rsidRPr="00B37F34" w:rsidRDefault="00A2563F" w:rsidP="00B349D3">
      <w:pPr>
        <w:rPr>
          <w:sz w:val="24"/>
        </w:rPr>
        <w:sectPr w:rsidR="00A2563F" w:rsidRPr="00B37F34" w:rsidSect="000D71E2">
          <w:pgSz w:w="11906" w:h="16838"/>
          <w:pgMar w:top="1701" w:right="1701" w:bottom="1701" w:left="1701" w:header="709" w:footer="709" w:gutter="0"/>
          <w:cols w:space="708"/>
          <w:docGrid w:linePitch="360"/>
        </w:sectPr>
      </w:pPr>
    </w:p>
    <w:p w14:paraId="7B508333" w14:textId="5BE1591E" w:rsidR="00505A85" w:rsidRPr="00B37F34" w:rsidRDefault="00505A85" w:rsidP="0082118E">
      <w:pPr>
        <w:pStyle w:val="Heading1"/>
        <w:numPr>
          <w:ilvl w:val="0"/>
          <w:numId w:val="0"/>
        </w:numPr>
        <w:jc w:val="left"/>
        <w:rPr>
          <w:rFonts w:ascii="Times New Roman" w:hAnsi="Times New Roman"/>
          <w:sz w:val="24"/>
        </w:rPr>
      </w:pPr>
      <w:r w:rsidRPr="00B37F34">
        <w:rPr>
          <w:rFonts w:ascii="Times New Roman" w:hAnsi="Times New Roman"/>
          <w:sz w:val="24"/>
        </w:rPr>
        <w:t>References</w:t>
      </w:r>
    </w:p>
    <w:p w14:paraId="3D9FDA6E" w14:textId="0945D83C" w:rsidR="00C175C4" w:rsidRPr="00C175C4" w:rsidRDefault="00716381" w:rsidP="00C175C4">
      <w:pPr>
        <w:widowControl w:val="0"/>
        <w:autoSpaceDE w:val="0"/>
        <w:autoSpaceDN w:val="0"/>
        <w:adjustRightInd w:val="0"/>
        <w:ind w:left="640" w:hanging="640"/>
        <w:rPr>
          <w:rFonts w:cs="Times New Roman"/>
          <w:noProof/>
          <w:szCs w:val="24"/>
        </w:rPr>
      </w:pPr>
      <w:r w:rsidRPr="00B37F34">
        <w:rPr>
          <w:sz w:val="24"/>
        </w:rPr>
        <w:fldChar w:fldCharType="begin" w:fldLock="1"/>
      </w:r>
      <w:r>
        <w:instrText xml:space="preserve">ADDIN Mendeley Bibliography CSL_BIBLIOGRAPHY </w:instrText>
      </w:r>
      <w:r w:rsidRPr="00B37F34">
        <w:rPr>
          <w:sz w:val="24"/>
        </w:rPr>
        <w:fldChar w:fldCharType="separate"/>
      </w:r>
      <w:r w:rsidR="00C175C4" w:rsidRPr="00C175C4">
        <w:rPr>
          <w:rFonts w:cs="Times New Roman"/>
          <w:noProof/>
          <w:szCs w:val="24"/>
        </w:rPr>
        <w:t xml:space="preserve">1. </w:t>
      </w:r>
      <w:r w:rsidR="00C175C4" w:rsidRPr="00C175C4">
        <w:rPr>
          <w:rFonts w:cs="Times New Roman"/>
          <w:noProof/>
          <w:szCs w:val="24"/>
        </w:rPr>
        <w:tab/>
        <w:t xml:space="preserve">Grimbacher B. The European Society for Immunodeficiencies (ESID) registry 2014. Clin Exp Immunol. 2014 Dec;178(S1):18–20. </w:t>
      </w:r>
    </w:p>
    <w:p w14:paraId="388B7538" w14:textId="77777777" w:rsidR="00C175C4" w:rsidRPr="00C175C4" w:rsidRDefault="00C175C4" w:rsidP="00C175C4">
      <w:pPr>
        <w:widowControl w:val="0"/>
        <w:autoSpaceDE w:val="0"/>
        <w:autoSpaceDN w:val="0"/>
        <w:adjustRightInd w:val="0"/>
        <w:ind w:left="640" w:hanging="640"/>
        <w:rPr>
          <w:rFonts w:cs="Times New Roman"/>
          <w:noProof/>
          <w:szCs w:val="24"/>
        </w:rPr>
      </w:pPr>
      <w:r w:rsidRPr="00C175C4">
        <w:rPr>
          <w:rFonts w:cs="Times New Roman"/>
          <w:noProof/>
          <w:szCs w:val="24"/>
        </w:rPr>
        <w:t xml:space="preserve">2. </w:t>
      </w:r>
      <w:r w:rsidRPr="00C175C4">
        <w:rPr>
          <w:rFonts w:cs="Times New Roman"/>
          <w:noProof/>
          <w:szCs w:val="24"/>
        </w:rPr>
        <w:tab/>
        <w:t xml:space="preserve">Ghurye R, Hodkinson J, Longhurst H. The Use Of Intravenous Pentaglobin In A Subset Of Patients With Severe Mucosal Complications Related To Primary Immune Deficiency. In: UKPIN 2015 Meeting. Belfast; 2015. </w:t>
      </w:r>
    </w:p>
    <w:p w14:paraId="591CB537" w14:textId="77777777" w:rsidR="00C175C4" w:rsidRPr="00C175C4" w:rsidRDefault="00C175C4" w:rsidP="00C175C4">
      <w:pPr>
        <w:widowControl w:val="0"/>
        <w:autoSpaceDE w:val="0"/>
        <w:autoSpaceDN w:val="0"/>
        <w:adjustRightInd w:val="0"/>
        <w:ind w:left="640" w:hanging="640"/>
        <w:rPr>
          <w:rFonts w:cs="Times New Roman"/>
          <w:noProof/>
          <w:szCs w:val="24"/>
        </w:rPr>
      </w:pPr>
      <w:r w:rsidRPr="00C175C4">
        <w:rPr>
          <w:rFonts w:cs="Times New Roman"/>
          <w:noProof/>
          <w:szCs w:val="24"/>
        </w:rPr>
        <w:t xml:space="preserve">3. </w:t>
      </w:r>
      <w:r w:rsidRPr="00C175C4">
        <w:rPr>
          <w:rFonts w:cs="Times New Roman"/>
          <w:noProof/>
          <w:szCs w:val="24"/>
        </w:rPr>
        <w:tab/>
        <w:t xml:space="preserve">Picard C, Al-Herz W, Bousfiha A, Casanova J-L, Chatila T, Conley ME, et al. Primary Immunodeficiency Diseases: an Update on the Classification from the International Union of Immunological Societies Expert Committee for Primary Immunodeficiency 2015. J Clin Immunol. 2015 Nov 19;35(8):696–726. </w:t>
      </w:r>
    </w:p>
    <w:p w14:paraId="3D60F0F2" w14:textId="77777777" w:rsidR="00C175C4" w:rsidRPr="00C175C4" w:rsidRDefault="00C175C4" w:rsidP="00C175C4">
      <w:pPr>
        <w:widowControl w:val="0"/>
        <w:autoSpaceDE w:val="0"/>
        <w:autoSpaceDN w:val="0"/>
        <w:adjustRightInd w:val="0"/>
        <w:ind w:left="640" w:hanging="640"/>
        <w:rPr>
          <w:rFonts w:cs="Times New Roman"/>
          <w:noProof/>
          <w:szCs w:val="24"/>
        </w:rPr>
      </w:pPr>
      <w:r w:rsidRPr="00C175C4">
        <w:rPr>
          <w:rFonts w:cs="Times New Roman"/>
          <w:noProof/>
          <w:szCs w:val="24"/>
        </w:rPr>
        <w:t xml:space="preserve">4. </w:t>
      </w:r>
      <w:r w:rsidRPr="00C175C4">
        <w:rPr>
          <w:rFonts w:cs="Times New Roman"/>
          <w:noProof/>
          <w:szCs w:val="24"/>
        </w:rPr>
        <w:tab/>
        <w:t xml:space="preserve">Edgar JDM, Buckland M, Guzman D, Conlon NP, Knerr V, Bangs C, et al. The United Kingdom Primary Immune Deficiency (UKPID) Registry: report of the first 4 years’ activity 2008-2012. Clin Exp Immunol. 2014;175(1):68–78. </w:t>
      </w:r>
    </w:p>
    <w:p w14:paraId="4B085851" w14:textId="77777777" w:rsidR="00C175C4" w:rsidRPr="00C175C4" w:rsidRDefault="00C175C4" w:rsidP="00C175C4">
      <w:pPr>
        <w:widowControl w:val="0"/>
        <w:autoSpaceDE w:val="0"/>
        <w:autoSpaceDN w:val="0"/>
        <w:adjustRightInd w:val="0"/>
        <w:ind w:left="640" w:hanging="640"/>
        <w:rPr>
          <w:rFonts w:cs="Times New Roman"/>
          <w:noProof/>
          <w:szCs w:val="24"/>
        </w:rPr>
      </w:pPr>
      <w:r w:rsidRPr="00C175C4">
        <w:rPr>
          <w:rFonts w:cs="Times New Roman"/>
          <w:noProof/>
          <w:szCs w:val="24"/>
        </w:rPr>
        <w:t xml:space="preserve">5. </w:t>
      </w:r>
      <w:r w:rsidRPr="00C175C4">
        <w:rPr>
          <w:rFonts w:cs="Times New Roman"/>
          <w:noProof/>
          <w:szCs w:val="24"/>
        </w:rPr>
        <w:tab/>
        <w:t xml:space="preserve">Eades-Perner A-MM, Gathmann B, Knerr V, Guzman D, Veit D, Kindle G, et al. The European internet-based patient and research database for primary immunodeficiencies: results 2004-06. Clin Exp Immunol. 2007 Jan 9;147(2):306–12. </w:t>
      </w:r>
    </w:p>
    <w:p w14:paraId="1A31048E" w14:textId="77777777" w:rsidR="00C175C4" w:rsidRPr="00C175C4" w:rsidRDefault="00C175C4" w:rsidP="00C175C4">
      <w:pPr>
        <w:widowControl w:val="0"/>
        <w:autoSpaceDE w:val="0"/>
        <w:autoSpaceDN w:val="0"/>
        <w:adjustRightInd w:val="0"/>
        <w:ind w:left="640" w:hanging="640"/>
        <w:rPr>
          <w:rFonts w:cs="Times New Roman"/>
          <w:noProof/>
          <w:szCs w:val="24"/>
        </w:rPr>
      </w:pPr>
      <w:r w:rsidRPr="00C175C4">
        <w:rPr>
          <w:rFonts w:cs="Times New Roman"/>
          <w:noProof/>
          <w:szCs w:val="24"/>
        </w:rPr>
        <w:t xml:space="preserve">6. </w:t>
      </w:r>
      <w:r w:rsidRPr="00C175C4">
        <w:rPr>
          <w:rFonts w:cs="Times New Roman"/>
          <w:noProof/>
          <w:szCs w:val="24"/>
        </w:rPr>
        <w:tab/>
        <w:t xml:space="preserve">Gathmann B, Grimbacher B, Beauté J, Dudoit Y, Mahlaoui N, Fischer A, et al. The European internet-based patient and research database for primary immunodeficiencies: Results 2006-2008. Clin Exp Immunol. 2009 Sep;157(SUPPL. 1):3–11. </w:t>
      </w:r>
    </w:p>
    <w:p w14:paraId="658868FE" w14:textId="77777777" w:rsidR="00C175C4" w:rsidRPr="00C175C4" w:rsidRDefault="00C175C4" w:rsidP="00C175C4">
      <w:pPr>
        <w:widowControl w:val="0"/>
        <w:autoSpaceDE w:val="0"/>
        <w:autoSpaceDN w:val="0"/>
        <w:adjustRightInd w:val="0"/>
        <w:ind w:left="640" w:hanging="640"/>
        <w:rPr>
          <w:rFonts w:cs="Times New Roman"/>
          <w:noProof/>
          <w:szCs w:val="24"/>
        </w:rPr>
      </w:pPr>
      <w:r w:rsidRPr="00C175C4">
        <w:rPr>
          <w:rFonts w:cs="Times New Roman"/>
          <w:noProof/>
          <w:szCs w:val="24"/>
        </w:rPr>
        <w:t xml:space="preserve">7. </w:t>
      </w:r>
      <w:r w:rsidRPr="00C175C4">
        <w:rPr>
          <w:rFonts w:cs="Times New Roman"/>
          <w:noProof/>
          <w:szCs w:val="24"/>
        </w:rPr>
        <w:tab/>
        <w:t xml:space="preserve">Guzman D, Veit D, Knerr V, Kindle G, Gathmann B, Eades-Perner AM, et al. The ESID Online Database network. Bioinformatics. 2007 Mar 1;23(5):654–5. </w:t>
      </w:r>
    </w:p>
    <w:p w14:paraId="3D30B4F6" w14:textId="77777777" w:rsidR="00C175C4" w:rsidRPr="00C175C4" w:rsidRDefault="00C175C4" w:rsidP="00C175C4">
      <w:pPr>
        <w:widowControl w:val="0"/>
        <w:autoSpaceDE w:val="0"/>
        <w:autoSpaceDN w:val="0"/>
        <w:adjustRightInd w:val="0"/>
        <w:ind w:left="640" w:hanging="640"/>
        <w:rPr>
          <w:rFonts w:cs="Times New Roman"/>
          <w:noProof/>
          <w:szCs w:val="24"/>
        </w:rPr>
      </w:pPr>
      <w:r w:rsidRPr="00C175C4">
        <w:rPr>
          <w:rFonts w:cs="Times New Roman"/>
          <w:noProof/>
          <w:szCs w:val="24"/>
        </w:rPr>
        <w:t xml:space="preserve">8. </w:t>
      </w:r>
      <w:r w:rsidRPr="00C175C4">
        <w:rPr>
          <w:rFonts w:cs="Times New Roman"/>
          <w:noProof/>
          <w:szCs w:val="24"/>
        </w:rPr>
        <w:tab/>
        <w:t xml:space="preserve">Office for National Statistics. Overview of the UK population: March 2017. 2015;(November):1–17. </w:t>
      </w:r>
    </w:p>
    <w:p w14:paraId="109B0F4C" w14:textId="77777777" w:rsidR="00C175C4" w:rsidRPr="00C175C4" w:rsidRDefault="00C175C4" w:rsidP="00C175C4">
      <w:pPr>
        <w:widowControl w:val="0"/>
        <w:autoSpaceDE w:val="0"/>
        <w:autoSpaceDN w:val="0"/>
        <w:adjustRightInd w:val="0"/>
        <w:ind w:left="640" w:hanging="640"/>
        <w:rPr>
          <w:rFonts w:cs="Times New Roman"/>
          <w:noProof/>
          <w:szCs w:val="24"/>
        </w:rPr>
      </w:pPr>
      <w:r w:rsidRPr="00C175C4">
        <w:rPr>
          <w:rFonts w:cs="Times New Roman"/>
          <w:noProof/>
          <w:szCs w:val="24"/>
        </w:rPr>
        <w:t xml:space="preserve">9. </w:t>
      </w:r>
      <w:r w:rsidRPr="00C175C4">
        <w:rPr>
          <w:rFonts w:cs="Times New Roman"/>
          <w:noProof/>
          <w:szCs w:val="24"/>
        </w:rPr>
        <w:tab/>
        <w:t>Office for National Statistics. Enlgland and Wales Live Births 1938-2015 [Internet]. [cited 2017 Jun 16]. Available from: https://www.ons.gov.uk/peoplepopulationandcommunity/birthsdeathsandmarriages/livebirths</w:t>
      </w:r>
    </w:p>
    <w:p w14:paraId="27A6867E" w14:textId="77777777" w:rsidR="00C175C4" w:rsidRPr="00C175C4" w:rsidRDefault="00C175C4" w:rsidP="00C175C4">
      <w:pPr>
        <w:widowControl w:val="0"/>
        <w:autoSpaceDE w:val="0"/>
        <w:autoSpaceDN w:val="0"/>
        <w:adjustRightInd w:val="0"/>
        <w:ind w:left="640" w:hanging="640"/>
        <w:rPr>
          <w:rFonts w:cs="Times New Roman"/>
          <w:noProof/>
          <w:szCs w:val="24"/>
        </w:rPr>
      </w:pPr>
      <w:r w:rsidRPr="00C175C4">
        <w:rPr>
          <w:rFonts w:cs="Times New Roman"/>
          <w:noProof/>
          <w:szCs w:val="24"/>
        </w:rPr>
        <w:t xml:space="preserve">10. </w:t>
      </w:r>
      <w:r w:rsidRPr="00C175C4">
        <w:rPr>
          <w:rFonts w:cs="Times New Roman"/>
          <w:noProof/>
          <w:szCs w:val="24"/>
        </w:rPr>
        <w:tab/>
        <w:t>Scotland NR of. Scottish Live Births 1918-2015 [Internet]. [cited 2017 Jun 16]. Available from: https://www.nrscotland.gov.uk/statistics-and-data/statistics/statistics-by-theme/vital-events/births</w:t>
      </w:r>
    </w:p>
    <w:p w14:paraId="3A8245DF" w14:textId="77777777" w:rsidR="00C175C4" w:rsidRPr="00C175C4" w:rsidRDefault="00C175C4" w:rsidP="00C175C4">
      <w:pPr>
        <w:widowControl w:val="0"/>
        <w:autoSpaceDE w:val="0"/>
        <w:autoSpaceDN w:val="0"/>
        <w:adjustRightInd w:val="0"/>
        <w:ind w:left="640" w:hanging="640"/>
        <w:rPr>
          <w:rFonts w:cs="Times New Roman"/>
          <w:noProof/>
          <w:szCs w:val="24"/>
        </w:rPr>
      </w:pPr>
      <w:r w:rsidRPr="00C175C4">
        <w:rPr>
          <w:rFonts w:cs="Times New Roman"/>
          <w:noProof/>
          <w:szCs w:val="24"/>
        </w:rPr>
        <w:t xml:space="preserve">11. </w:t>
      </w:r>
      <w:r w:rsidRPr="00C175C4">
        <w:rPr>
          <w:rFonts w:cs="Times New Roman"/>
          <w:noProof/>
          <w:szCs w:val="24"/>
        </w:rPr>
        <w:tab/>
        <w:t>Northern Ireland Statistics and Research Agency. Northern Ireland Live Births 1887-2015 [Internet]. [cited 2017 Jun 16]. Available from: https://www.nisra.gov.uk/statistics/births-deaths-and-marriages/births</w:t>
      </w:r>
    </w:p>
    <w:p w14:paraId="32BF5B66" w14:textId="77777777" w:rsidR="00C175C4" w:rsidRPr="00C175C4" w:rsidRDefault="00C175C4" w:rsidP="00C175C4">
      <w:pPr>
        <w:widowControl w:val="0"/>
        <w:autoSpaceDE w:val="0"/>
        <w:autoSpaceDN w:val="0"/>
        <w:adjustRightInd w:val="0"/>
        <w:ind w:left="640" w:hanging="640"/>
        <w:rPr>
          <w:rFonts w:cs="Times New Roman"/>
          <w:noProof/>
          <w:szCs w:val="24"/>
        </w:rPr>
      </w:pPr>
      <w:r w:rsidRPr="00C175C4">
        <w:rPr>
          <w:rFonts w:cs="Times New Roman"/>
          <w:noProof/>
          <w:szCs w:val="24"/>
        </w:rPr>
        <w:t xml:space="preserve">12. </w:t>
      </w:r>
      <w:r w:rsidRPr="00C175C4">
        <w:rPr>
          <w:rFonts w:cs="Times New Roman"/>
          <w:noProof/>
          <w:szCs w:val="24"/>
        </w:rPr>
        <w:tab/>
        <w:t xml:space="preserve">Chan A, Scalchunes C, Boyle M, Puck JM. Early vs. delayed diagnosis of severe combined immunodeficiency: a family perspective survey. Clin Immunol. 2011 Jan;138(1):3–8. </w:t>
      </w:r>
    </w:p>
    <w:p w14:paraId="7222144B" w14:textId="77777777" w:rsidR="00C175C4" w:rsidRPr="00C175C4" w:rsidRDefault="00C175C4" w:rsidP="00C175C4">
      <w:pPr>
        <w:widowControl w:val="0"/>
        <w:autoSpaceDE w:val="0"/>
        <w:autoSpaceDN w:val="0"/>
        <w:adjustRightInd w:val="0"/>
        <w:ind w:left="640" w:hanging="640"/>
        <w:rPr>
          <w:rFonts w:cs="Times New Roman"/>
          <w:noProof/>
          <w:szCs w:val="24"/>
        </w:rPr>
      </w:pPr>
      <w:r w:rsidRPr="00C175C4">
        <w:rPr>
          <w:rFonts w:cs="Times New Roman"/>
          <w:noProof/>
          <w:szCs w:val="24"/>
        </w:rPr>
        <w:t xml:space="preserve">13. </w:t>
      </w:r>
      <w:r w:rsidRPr="00C175C4">
        <w:rPr>
          <w:rFonts w:cs="Times New Roman"/>
          <w:noProof/>
          <w:szCs w:val="24"/>
        </w:rPr>
        <w:tab/>
        <w:t xml:space="preserve">Brown L, Xu-Bayford J, Allwood Z, Slatter M, Cant A, Davies EG, et al. Neonatal diagnosis of severe combined immunodeficiency leads to significantly improved survival outcome: the case for newborn screening. Blood. 2011 Mar 17;117(11):3243–6. </w:t>
      </w:r>
    </w:p>
    <w:p w14:paraId="207182F3" w14:textId="77777777" w:rsidR="00C175C4" w:rsidRPr="00C175C4" w:rsidRDefault="00C175C4" w:rsidP="00C175C4">
      <w:pPr>
        <w:widowControl w:val="0"/>
        <w:autoSpaceDE w:val="0"/>
        <w:autoSpaceDN w:val="0"/>
        <w:adjustRightInd w:val="0"/>
        <w:ind w:left="640" w:hanging="640"/>
        <w:rPr>
          <w:rFonts w:cs="Times New Roman"/>
          <w:noProof/>
          <w:szCs w:val="24"/>
        </w:rPr>
      </w:pPr>
      <w:r w:rsidRPr="00C175C4">
        <w:rPr>
          <w:rFonts w:cs="Times New Roman"/>
          <w:noProof/>
          <w:szCs w:val="24"/>
        </w:rPr>
        <w:t xml:space="preserve">14. </w:t>
      </w:r>
      <w:r w:rsidRPr="00C175C4">
        <w:rPr>
          <w:rFonts w:cs="Times New Roman"/>
          <w:noProof/>
          <w:szCs w:val="24"/>
        </w:rPr>
        <w:tab/>
        <w:t xml:space="preserve">Myers LA, Patel DD, Puck JM, Buckley RH. Hematopoietic stem cell transplantation for severe combined immunodeficiency in the neonatal period leads to superior thymic output and improved survival. Blood. 2002;99(3):872–8. </w:t>
      </w:r>
    </w:p>
    <w:p w14:paraId="3DB967F0" w14:textId="77777777" w:rsidR="00C175C4" w:rsidRPr="00C175C4" w:rsidRDefault="00C175C4" w:rsidP="00C175C4">
      <w:pPr>
        <w:widowControl w:val="0"/>
        <w:autoSpaceDE w:val="0"/>
        <w:autoSpaceDN w:val="0"/>
        <w:adjustRightInd w:val="0"/>
        <w:ind w:left="640" w:hanging="640"/>
        <w:rPr>
          <w:rFonts w:cs="Times New Roman"/>
          <w:noProof/>
          <w:szCs w:val="24"/>
        </w:rPr>
      </w:pPr>
      <w:r w:rsidRPr="00C175C4">
        <w:rPr>
          <w:rFonts w:cs="Times New Roman"/>
          <w:noProof/>
          <w:szCs w:val="24"/>
        </w:rPr>
        <w:t xml:space="preserve">15. </w:t>
      </w:r>
      <w:r w:rsidRPr="00C175C4">
        <w:rPr>
          <w:rFonts w:cs="Times New Roman"/>
          <w:noProof/>
          <w:szCs w:val="24"/>
        </w:rPr>
        <w:tab/>
        <w:t xml:space="preserve">Wood P. Primary antibody deficiencies: Recognition, clinical diagnosis and referral of patients. Clin Med J R Coll Physicians London. 2009;9(6):595–9. </w:t>
      </w:r>
    </w:p>
    <w:p w14:paraId="0CD53CDB" w14:textId="77777777" w:rsidR="00C175C4" w:rsidRPr="00C175C4" w:rsidRDefault="00C175C4" w:rsidP="00C175C4">
      <w:pPr>
        <w:widowControl w:val="0"/>
        <w:autoSpaceDE w:val="0"/>
        <w:autoSpaceDN w:val="0"/>
        <w:adjustRightInd w:val="0"/>
        <w:ind w:left="640" w:hanging="640"/>
        <w:rPr>
          <w:rFonts w:cs="Times New Roman"/>
          <w:noProof/>
          <w:szCs w:val="24"/>
        </w:rPr>
      </w:pPr>
      <w:r w:rsidRPr="00C175C4">
        <w:rPr>
          <w:rFonts w:cs="Times New Roman"/>
          <w:noProof/>
          <w:szCs w:val="24"/>
        </w:rPr>
        <w:t xml:space="preserve">16. </w:t>
      </w:r>
      <w:r w:rsidRPr="00C175C4">
        <w:rPr>
          <w:rFonts w:cs="Times New Roman"/>
          <w:noProof/>
          <w:szCs w:val="24"/>
        </w:rPr>
        <w:tab/>
        <w:t xml:space="preserve">Wood P, Stanworth S, Burton J, Jones  a., Peckham DG, Green T, et al. Recognition, clinical diagnosis and management of patients with primary antibody deficiencies: A systematic review. Clin Exp Immunol. 2007;149:410–23. </w:t>
      </w:r>
    </w:p>
    <w:p w14:paraId="6B8C48CA" w14:textId="77777777" w:rsidR="00C175C4" w:rsidRPr="00C175C4" w:rsidRDefault="00C175C4" w:rsidP="00C175C4">
      <w:pPr>
        <w:widowControl w:val="0"/>
        <w:autoSpaceDE w:val="0"/>
        <w:autoSpaceDN w:val="0"/>
        <w:adjustRightInd w:val="0"/>
        <w:ind w:left="640" w:hanging="640"/>
        <w:rPr>
          <w:rFonts w:cs="Times New Roman"/>
          <w:noProof/>
          <w:szCs w:val="24"/>
        </w:rPr>
      </w:pPr>
      <w:r w:rsidRPr="00C175C4">
        <w:rPr>
          <w:rFonts w:cs="Times New Roman"/>
          <w:noProof/>
          <w:szCs w:val="24"/>
        </w:rPr>
        <w:t xml:space="preserve">17. </w:t>
      </w:r>
      <w:r w:rsidRPr="00C175C4">
        <w:rPr>
          <w:rFonts w:cs="Times New Roman"/>
          <w:noProof/>
          <w:szCs w:val="24"/>
        </w:rPr>
        <w:tab/>
        <w:t xml:space="preserve">Spickett GP, Askew T, Chapel HM. Management of primary antibody deficiency by consultant immunologists in the United Kingdom: a paradigm for other rare diseases. Qual Saf Heal Care. 1995 Dec 1;4(4):263–8. </w:t>
      </w:r>
    </w:p>
    <w:p w14:paraId="7FD1662A" w14:textId="632B7142" w:rsidR="00C175C4" w:rsidRPr="00C175C4" w:rsidRDefault="00C175C4" w:rsidP="00C175C4">
      <w:pPr>
        <w:widowControl w:val="0"/>
        <w:autoSpaceDE w:val="0"/>
        <w:autoSpaceDN w:val="0"/>
        <w:adjustRightInd w:val="0"/>
        <w:ind w:left="640" w:hanging="640"/>
        <w:rPr>
          <w:rFonts w:cs="Times New Roman"/>
          <w:noProof/>
          <w:szCs w:val="24"/>
        </w:rPr>
      </w:pPr>
      <w:r w:rsidRPr="00C175C4">
        <w:rPr>
          <w:rFonts w:cs="Times New Roman"/>
          <w:noProof/>
          <w:szCs w:val="24"/>
        </w:rPr>
        <w:t xml:space="preserve">18. </w:t>
      </w:r>
      <w:r w:rsidRPr="00C175C4">
        <w:rPr>
          <w:rFonts w:cs="Times New Roman"/>
          <w:noProof/>
          <w:szCs w:val="24"/>
        </w:rPr>
        <w:tab/>
        <w:t>Stubbs A, Bangs C, Shillitoe B, Edgar D, Burns S, Thomas M, et al.</w:t>
      </w:r>
      <w:r>
        <w:rPr>
          <w:rFonts w:cs="Times New Roman"/>
          <w:noProof/>
          <w:szCs w:val="24"/>
        </w:rPr>
        <w:t xml:space="preserve"> (in press). </w:t>
      </w:r>
      <w:r w:rsidRPr="00C175C4">
        <w:rPr>
          <w:rFonts w:cs="Times New Roman"/>
          <w:noProof/>
          <w:szCs w:val="24"/>
        </w:rPr>
        <w:t xml:space="preserve"> Bronchiectasus and deteriorating lung function in agammaglobulinaemia despite immunoglobulin replacement therapy. Clin Exp Immunol. </w:t>
      </w:r>
    </w:p>
    <w:p w14:paraId="1F4951F8" w14:textId="29723CF8" w:rsidR="00C175C4" w:rsidRPr="00C175C4" w:rsidRDefault="00C175C4" w:rsidP="00C175C4">
      <w:pPr>
        <w:widowControl w:val="0"/>
        <w:autoSpaceDE w:val="0"/>
        <w:autoSpaceDN w:val="0"/>
        <w:adjustRightInd w:val="0"/>
        <w:ind w:left="640" w:hanging="640"/>
        <w:rPr>
          <w:rFonts w:cs="Times New Roman"/>
          <w:noProof/>
          <w:szCs w:val="24"/>
        </w:rPr>
      </w:pPr>
      <w:r w:rsidRPr="00C175C4">
        <w:rPr>
          <w:rFonts w:cs="Times New Roman"/>
          <w:noProof/>
          <w:szCs w:val="24"/>
        </w:rPr>
        <w:t xml:space="preserve">19. </w:t>
      </w:r>
      <w:r w:rsidRPr="00C175C4">
        <w:rPr>
          <w:rFonts w:cs="Times New Roman"/>
          <w:noProof/>
          <w:szCs w:val="24"/>
        </w:rPr>
        <w:tab/>
        <w:t>Mahlaoui N, Jais J-P, Brosselin P, Mignot C, Beaurain B, Brito C, et al.</w:t>
      </w:r>
      <w:r>
        <w:rPr>
          <w:rFonts w:cs="Times New Roman"/>
          <w:noProof/>
          <w:szCs w:val="24"/>
        </w:rPr>
        <w:t xml:space="preserve"> (in press)</w:t>
      </w:r>
      <w:r w:rsidR="004150B0">
        <w:rPr>
          <w:rFonts w:cs="Times New Roman"/>
          <w:noProof/>
          <w:szCs w:val="24"/>
        </w:rPr>
        <w:t xml:space="preserve">. </w:t>
      </w:r>
      <w:r w:rsidRPr="00C175C4">
        <w:rPr>
          <w:rFonts w:cs="Times New Roman"/>
          <w:noProof/>
          <w:szCs w:val="24"/>
        </w:rPr>
        <w:t xml:space="preserve"> Prevalence of Primary Immunodeficiencies in France is underestimated. </w:t>
      </w:r>
      <w:r>
        <w:rPr>
          <w:rFonts w:cs="Times New Roman"/>
          <w:noProof/>
          <w:szCs w:val="24"/>
        </w:rPr>
        <w:t>J Allergy Clin Immunol.</w:t>
      </w:r>
      <w:r w:rsidRPr="00C175C4">
        <w:rPr>
          <w:rFonts w:cs="Times New Roman"/>
          <w:noProof/>
          <w:szCs w:val="24"/>
        </w:rPr>
        <w:t xml:space="preserve"> </w:t>
      </w:r>
    </w:p>
    <w:p w14:paraId="5ADA628C" w14:textId="77777777" w:rsidR="00C175C4" w:rsidRPr="00C175C4" w:rsidRDefault="00C175C4" w:rsidP="00C175C4">
      <w:pPr>
        <w:widowControl w:val="0"/>
        <w:autoSpaceDE w:val="0"/>
        <w:autoSpaceDN w:val="0"/>
        <w:adjustRightInd w:val="0"/>
        <w:ind w:left="640" w:hanging="640"/>
        <w:rPr>
          <w:rFonts w:cs="Times New Roman"/>
          <w:noProof/>
          <w:szCs w:val="24"/>
        </w:rPr>
      </w:pPr>
      <w:r w:rsidRPr="00C175C4">
        <w:rPr>
          <w:rFonts w:cs="Times New Roman"/>
          <w:noProof/>
          <w:szCs w:val="24"/>
        </w:rPr>
        <w:t xml:space="preserve">20. </w:t>
      </w:r>
      <w:r w:rsidRPr="00C175C4">
        <w:rPr>
          <w:rFonts w:cs="Times New Roman"/>
          <w:noProof/>
          <w:szCs w:val="24"/>
        </w:rPr>
        <w:tab/>
        <w:t xml:space="preserve">Plebani A, Soresina A, Rondelli R, Amato GM, Azzari C, Cardinale F, et al. Clinical, immunological, and molecular analysis in a large cohort of patients with X-linked agammaglobulinemia: an Italian multicenter study. Clin Immunol. 2002;104(3):221–30. </w:t>
      </w:r>
    </w:p>
    <w:p w14:paraId="07036B55" w14:textId="77777777" w:rsidR="00C175C4" w:rsidRPr="00C175C4" w:rsidRDefault="00C175C4" w:rsidP="00C175C4">
      <w:pPr>
        <w:widowControl w:val="0"/>
        <w:autoSpaceDE w:val="0"/>
        <w:autoSpaceDN w:val="0"/>
        <w:adjustRightInd w:val="0"/>
        <w:ind w:left="640" w:hanging="640"/>
        <w:rPr>
          <w:rFonts w:cs="Times New Roman"/>
          <w:noProof/>
          <w:szCs w:val="24"/>
        </w:rPr>
      </w:pPr>
      <w:r w:rsidRPr="00C175C4">
        <w:rPr>
          <w:rFonts w:cs="Times New Roman"/>
          <w:noProof/>
          <w:szCs w:val="24"/>
        </w:rPr>
        <w:t xml:space="preserve">21. </w:t>
      </w:r>
      <w:r w:rsidRPr="00C175C4">
        <w:rPr>
          <w:rFonts w:cs="Times New Roman"/>
          <w:noProof/>
          <w:szCs w:val="24"/>
        </w:rPr>
        <w:tab/>
        <w:t xml:space="preserve">Barbaro M, Ohlsson A, Borte S, Jonsson S, Zetterstrom RH, King J, et al. Newborn Screening for Severe Primary Immunodeficiency Diseases in Sweden-a 2-Year Pilot TREC and KREC Screening Study. J Clin Immunol. 2016;1–10. </w:t>
      </w:r>
    </w:p>
    <w:p w14:paraId="29394085" w14:textId="77777777" w:rsidR="00C175C4" w:rsidRPr="00C175C4" w:rsidRDefault="00C175C4" w:rsidP="00C175C4">
      <w:pPr>
        <w:widowControl w:val="0"/>
        <w:autoSpaceDE w:val="0"/>
        <w:autoSpaceDN w:val="0"/>
        <w:adjustRightInd w:val="0"/>
        <w:ind w:left="640" w:hanging="640"/>
        <w:rPr>
          <w:rFonts w:cs="Times New Roman"/>
          <w:noProof/>
          <w:szCs w:val="24"/>
        </w:rPr>
      </w:pPr>
      <w:r w:rsidRPr="00C175C4">
        <w:rPr>
          <w:rFonts w:cs="Times New Roman"/>
          <w:noProof/>
          <w:szCs w:val="24"/>
        </w:rPr>
        <w:t xml:space="preserve">22. </w:t>
      </w:r>
      <w:r w:rsidRPr="00C175C4">
        <w:rPr>
          <w:rFonts w:cs="Times New Roman"/>
          <w:noProof/>
          <w:szCs w:val="24"/>
        </w:rPr>
        <w:tab/>
        <w:t xml:space="preserve">Gaspar HB, Hammarström L, Mahlaoui N, Borte M, Borte S. The case for mandatory newborn screening for severe combined immunodeficiency (SCID). J Clin Immunol. 2014;34(4):393–7. </w:t>
      </w:r>
    </w:p>
    <w:p w14:paraId="146D0157" w14:textId="77777777" w:rsidR="00C175C4" w:rsidRPr="00C175C4" w:rsidRDefault="00C175C4" w:rsidP="00C175C4">
      <w:pPr>
        <w:widowControl w:val="0"/>
        <w:autoSpaceDE w:val="0"/>
        <w:autoSpaceDN w:val="0"/>
        <w:adjustRightInd w:val="0"/>
        <w:ind w:left="640" w:hanging="640"/>
        <w:rPr>
          <w:rFonts w:cs="Times New Roman"/>
          <w:noProof/>
          <w:szCs w:val="24"/>
        </w:rPr>
      </w:pPr>
      <w:r w:rsidRPr="00C175C4">
        <w:rPr>
          <w:rFonts w:cs="Times New Roman"/>
          <w:noProof/>
          <w:szCs w:val="24"/>
        </w:rPr>
        <w:t xml:space="preserve">23. </w:t>
      </w:r>
      <w:r w:rsidRPr="00C175C4">
        <w:rPr>
          <w:rFonts w:cs="Times New Roman"/>
          <w:noProof/>
          <w:szCs w:val="24"/>
        </w:rPr>
        <w:tab/>
        <w:t xml:space="preserve">Raje N, Soden S, Swanson D, Ciaccio CE, Kingsmore SF, Dinwiddie DL. Utility of next generation sequencing in clinical primary immunodeficiencies. Curr Allergy Asthma Rep. 2014 Oct;14(10):468. </w:t>
      </w:r>
    </w:p>
    <w:p w14:paraId="34D923F9" w14:textId="77777777" w:rsidR="00C175C4" w:rsidRPr="00C175C4" w:rsidRDefault="00C175C4" w:rsidP="00C175C4">
      <w:pPr>
        <w:widowControl w:val="0"/>
        <w:autoSpaceDE w:val="0"/>
        <w:autoSpaceDN w:val="0"/>
        <w:adjustRightInd w:val="0"/>
        <w:ind w:left="640" w:hanging="640"/>
        <w:rPr>
          <w:rFonts w:cs="Times New Roman"/>
          <w:noProof/>
        </w:rPr>
      </w:pPr>
      <w:r w:rsidRPr="00C175C4">
        <w:rPr>
          <w:rFonts w:cs="Times New Roman"/>
          <w:noProof/>
          <w:szCs w:val="24"/>
        </w:rPr>
        <w:t xml:space="preserve">24. </w:t>
      </w:r>
      <w:r w:rsidRPr="00C175C4">
        <w:rPr>
          <w:rFonts w:cs="Times New Roman"/>
          <w:noProof/>
          <w:szCs w:val="24"/>
        </w:rPr>
        <w:tab/>
        <w:t xml:space="preserve">Picard C, Fischer A. Contribution of high-throughput DNA sequencing to the study of primary immunodeficiencies. Eur J Immunol. 2014 Oct;44(10):2854–61. </w:t>
      </w:r>
    </w:p>
    <w:p w14:paraId="6F24C38A" w14:textId="485D6D5C" w:rsidR="00716381" w:rsidRPr="00B37F34" w:rsidRDefault="00716381" w:rsidP="00B37F34">
      <w:pPr>
        <w:ind w:left="180" w:hanging="180"/>
        <w:rPr>
          <w:sz w:val="24"/>
        </w:rPr>
      </w:pPr>
      <w:r w:rsidRPr="00B37F34">
        <w:rPr>
          <w:sz w:val="24"/>
        </w:rPr>
        <w:fldChar w:fldCharType="end"/>
      </w:r>
    </w:p>
    <w:p w14:paraId="1C012D8C" w14:textId="77777777" w:rsidR="00505A85" w:rsidRPr="00B37F34" w:rsidRDefault="00505A85" w:rsidP="0082118E">
      <w:pPr>
        <w:pStyle w:val="Heading1"/>
        <w:numPr>
          <w:ilvl w:val="0"/>
          <w:numId w:val="0"/>
        </w:numPr>
        <w:jc w:val="left"/>
        <w:rPr>
          <w:rFonts w:ascii="Times New Roman" w:hAnsi="Times New Roman"/>
          <w:sz w:val="24"/>
        </w:rPr>
        <w:sectPr w:rsidR="00505A85" w:rsidRPr="00B37F34">
          <w:pgSz w:w="11906" w:h="16838"/>
          <w:pgMar w:top="1440" w:right="1440" w:bottom="1440" w:left="1440" w:header="708" w:footer="708" w:gutter="0"/>
          <w:cols w:space="708"/>
          <w:docGrid w:linePitch="360"/>
        </w:sectPr>
      </w:pPr>
    </w:p>
    <w:p w14:paraId="18D06FE6" w14:textId="77777777" w:rsidR="00E33871" w:rsidRPr="00F11608" w:rsidRDefault="00E33871">
      <w:pPr>
        <w:rPr>
          <w:rFonts w:cs="Times New Roman"/>
          <w:b/>
          <w:color w:val="000000" w:themeColor="text1"/>
        </w:rPr>
      </w:pPr>
      <w:r w:rsidRPr="00F11608">
        <w:rPr>
          <w:rFonts w:cs="Times New Roman"/>
          <w:b/>
          <w:color w:val="000000" w:themeColor="text1"/>
        </w:rPr>
        <w:t>Figure legends</w:t>
      </w:r>
    </w:p>
    <w:p w14:paraId="54482505" w14:textId="543D7D64" w:rsidR="00D221E6" w:rsidRPr="00F11608" w:rsidRDefault="00D221E6" w:rsidP="00D221E6">
      <w:pPr>
        <w:pStyle w:val="Caption"/>
        <w:rPr>
          <w:i w:val="0"/>
          <w:color w:val="000000" w:themeColor="text1"/>
          <w:szCs w:val="22"/>
        </w:rPr>
      </w:pPr>
      <w:r w:rsidRPr="00F11608">
        <w:rPr>
          <w:i w:val="0"/>
          <w:color w:val="000000" w:themeColor="text1"/>
          <w:szCs w:val="22"/>
        </w:rPr>
        <w:t xml:space="preserve">Figure </w:t>
      </w:r>
      <w:r w:rsidR="000E3A09" w:rsidRPr="00F11608">
        <w:rPr>
          <w:i w:val="0"/>
          <w:color w:val="000000" w:themeColor="text1"/>
          <w:szCs w:val="22"/>
        </w:rPr>
        <w:fldChar w:fldCharType="begin"/>
      </w:r>
      <w:r w:rsidR="000E3A09" w:rsidRPr="00F11608">
        <w:rPr>
          <w:i w:val="0"/>
          <w:color w:val="000000" w:themeColor="text1"/>
          <w:szCs w:val="22"/>
        </w:rPr>
        <w:instrText xml:space="preserve"> SEQ Figure \* ARABIC </w:instrText>
      </w:r>
      <w:r w:rsidR="000E3A09" w:rsidRPr="00F11608">
        <w:rPr>
          <w:i w:val="0"/>
          <w:color w:val="000000" w:themeColor="text1"/>
          <w:szCs w:val="22"/>
        </w:rPr>
        <w:fldChar w:fldCharType="separate"/>
      </w:r>
      <w:r w:rsidR="007B273E" w:rsidRPr="00F11608">
        <w:rPr>
          <w:i w:val="0"/>
          <w:color w:val="000000" w:themeColor="text1"/>
          <w:szCs w:val="22"/>
        </w:rPr>
        <w:t>1</w:t>
      </w:r>
      <w:r w:rsidR="000E3A09" w:rsidRPr="00F11608">
        <w:rPr>
          <w:i w:val="0"/>
          <w:color w:val="000000" w:themeColor="text1"/>
          <w:szCs w:val="22"/>
        </w:rPr>
        <w:fldChar w:fldCharType="end"/>
      </w:r>
      <w:r w:rsidRPr="00F11608">
        <w:rPr>
          <w:i w:val="0"/>
          <w:color w:val="000000" w:themeColor="text1"/>
          <w:szCs w:val="22"/>
        </w:rPr>
        <w:t xml:space="preserve"> Geographical distribution of patients enrolled in the UKPID Registry by city or town of documenting centre.  The diameter of the circle is directly proportional to the number of patients enrolled in each centre.</w:t>
      </w:r>
    </w:p>
    <w:p w14:paraId="1683C1DD" w14:textId="15CAAAEC" w:rsidR="00753408" w:rsidRPr="00F11608" w:rsidRDefault="0082118E" w:rsidP="00753408">
      <w:pPr>
        <w:pStyle w:val="Caption"/>
        <w:rPr>
          <w:rFonts w:cs="Times New Roman"/>
          <w:i w:val="0"/>
          <w:color w:val="000000" w:themeColor="text1"/>
          <w:szCs w:val="22"/>
        </w:rPr>
      </w:pPr>
      <w:r w:rsidRPr="00F11608">
        <w:rPr>
          <w:i w:val="0"/>
          <w:color w:val="000000" w:themeColor="text1"/>
          <w:szCs w:val="22"/>
        </w:rPr>
        <w:t xml:space="preserve">Figure </w:t>
      </w:r>
      <w:r w:rsidR="000E3A09" w:rsidRPr="00F11608">
        <w:rPr>
          <w:i w:val="0"/>
          <w:color w:val="000000" w:themeColor="text1"/>
          <w:szCs w:val="22"/>
        </w:rPr>
        <w:fldChar w:fldCharType="begin"/>
      </w:r>
      <w:r w:rsidR="000E3A09" w:rsidRPr="00F11608">
        <w:rPr>
          <w:i w:val="0"/>
          <w:color w:val="000000" w:themeColor="text1"/>
          <w:szCs w:val="22"/>
        </w:rPr>
        <w:instrText xml:space="preserve"> SEQ Figure \* ARABIC </w:instrText>
      </w:r>
      <w:r w:rsidR="000E3A09" w:rsidRPr="00F11608">
        <w:rPr>
          <w:i w:val="0"/>
          <w:color w:val="000000" w:themeColor="text1"/>
          <w:szCs w:val="22"/>
        </w:rPr>
        <w:fldChar w:fldCharType="separate"/>
      </w:r>
      <w:r w:rsidR="007B273E" w:rsidRPr="00F11608">
        <w:rPr>
          <w:i w:val="0"/>
          <w:color w:val="000000" w:themeColor="text1"/>
          <w:szCs w:val="22"/>
        </w:rPr>
        <w:t>2</w:t>
      </w:r>
      <w:r w:rsidR="000E3A09" w:rsidRPr="00F11608">
        <w:rPr>
          <w:i w:val="0"/>
          <w:color w:val="000000" w:themeColor="text1"/>
          <w:szCs w:val="22"/>
        </w:rPr>
        <w:fldChar w:fldCharType="end"/>
      </w:r>
      <w:r w:rsidRPr="00F11608">
        <w:rPr>
          <w:i w:val="0"/>
          <w:color w:val="000000" w:themeColor="text1"/>
          <w:szCs w:val="22"/>
        </w:rPr>
        <w:t xml:space="preserve"> Recruitment of total patient numbers into the United Kingdom Primary Imm</w:t>
      </w:r>
      <w:r w:rsidR="00FD040C" w:rsidRPr="00F11608">
        <w:rPr>
          <w:i w:val="0"/>
          <w:color w:val="000000" w:themeColor="text1"/>
          <w:szCs w:val="22"/>
        </w:rPr>
        <w:t>unodeficiency Registry</w:t>
      </w:r>
      <w:r w:rsidR="00753408" w:rsidRPr="00F11608">
        <w:rPr>
          <w:rFonts w:cs="Times New Roman"/>
          <w:i w:val="0"/>
          <w:color w:val="000000" w:themeColor="text1"/>
          <w:szCs w:val="22"/>
        </w:rPr>
        <w:t>.</w:t>
      </w:r>
    </w:p>
    <w:p w14:paraId="6EC10974" w14:textId="77777777" w:rsidR="00942286" w:rsidRPr="00F11608" w:rsidRDefault="00942286" w:rsidP="00942286">
      <w:pPr>
        <w:pStyle w:val="Caption"/>
        <w:rPr>
          <w:i w:val="0"/>
          <w:color w:val="000000" w:themeColor="text1"/>
          <w:szCs w:val="22"/>
        </w:rPr>
      </w:pPr>
      <w:r w:rsidRPr="00F11608">
        <w:rPr>
          <w:i w:val="0"/>
          <w:color w:val="000000" w:themeColor="text1"/>
          <w:szCs w:val="22"/>
        </w:rPr>
        <w:t xml:space="preserve">Figure </w:t>
      </w:r>
      <w:r w:rsidR="000E3A09" w:rsidRPr="00F11608">
        <w:rPr>
          <w:i w:val="0"/>
          <w:color w:val="000000" w:themeColor="text1"/>
          <w:szCs w:val="22"/>
        </w:rPr>
        <w:fldChar w:fldCharType="begin"/>
      </w:r>
      <w:r w:rsidR="000E3A09" w:rsidRPr="00F11608">
        <w:rPr>
          <w:i w:val="0"/>
          <w:color w:val="000000" w:themeColor="text1"/>
          <w:szCs w:val="22"/>
        </w:rPr>
        <w:instrText xml:space="preserve"> SEQ Figure \* ARABIC </w:instrText>
      </w:r>
      <w:r w:rsidR="000E3A09" w:rsidRPr="00F11608">
        <w:rPr>
          <w:i w:val="0"/>
          <w:color w:val="000000" w:themeColor="text1"/>
          <w:szCs w:val="22"/>
        </w:rPr>
        <w:fldChar w:fldCharType="separate"/>
      </w:r>
      <w:r w:rsidR="007B273E" w:rsidRPr="00F11608">
        <w:rPr>
          <w:i w:val="0"/>
          <w:color w:val="000000" w:themeColor="text1"/>
          <w:szCs w:val="22"/>
        </w:rPr>
        <w:t>3</w:t>
      </w:r>
      <w:r w:rsidR="000E3A09" w:rsidRPr="00F11608">
        <w:rPr>
          <w:i w:val="0"/>
          <w:color w:val="000000" w:themeColor="text1"/>
          <w:szCs w:val="22"/>
        </w:rPr>
        <w:fldChar w:fldCharType="end"/>
      </w:r>
      <w:r w:rsidRPr="00F11608">
        <w:rPr>
          <w:i w:val="0"/>
          <w:color w:val="000000" w:themeColor="text1"/>
          <w:szCs w:val="22"/>
        </w:rPr>
        <w:t xml:space="preserve"> Breakdown of registered patients into the nine major diagnostic categories</w:t>
      </w:r>
    </w:p>
    <w:p w14:paraId="7E94A2C5" w14:textId="77777777" w:rsidR="007B273E" w:rsidRPr="00F11608" w:rsidRDefault="007B273E" w:rsidP="007B273E">
      <w:pPr>
        <w:pStyle w:val="Caption"/>
        <w:rPr>
          <w:i w:val="0"/>
          <w:color w:val="000000" w:themeColor="text1"/>
          <w:szCs w:val="22"/>
        </w:rPr>
      </w:pPr>
      <w:r w:rsidRPr="00F11608">
        <w:rPr>
          <w:i w:val="0"/>
          <w:color w:val="000000" w:themeColor="text1"/>
          <w:szCs w:val="22"/>
        </w:rPr>
        <w:t>Figure 4 UK Incidence of PID per 100,000 live births</w:t>
      </w:r>
    </w:p>
    <w:p w14:paraId="273554AE" w14:textId="77777777" w:rsidR="007B273E" w:rsidRPr="00F11608" w:rsidRDefault="007B273E" w:rsidP="007B273E">
      <w:pPr>
        <w:pStyle w:val="Caption"/>
        <w:rPr>
          <w:i w:val="0"/>
          <w:color w:val="000000" w:themeColor="text1"/>
          <w:szCs w:val="22"/>
        </w:rPr>
        <w:sectPr w:rsidR="007B273E" w:rsidRPr="00F11608">
          <w:pgSz w:w="11906" w:h="16838"/>
          <w:pgMar w:top="1440" w:right="1440" w:bottom="1440" w:left="1440" w:header="708" w:footer="708" w:gutter="0"/>
          <w:cols w:space="708"/>
          <w:docGrid w:linePitch="360"/>
        </w:sectPr>
      </w:pPr>
      <w:r w:rsidRPr="00F11608">
        <w:rPr>
          <w:i w:val="0"/>
          <w:color w:val="000000" w:themeColor="text1"/>
          <w:szCs w:val="22"/>
        </w:rPr>
        <w:t xml:space="preserve">Figure 5 </w:t>
      </w:r>
      <w:r w:rsidRPr="00F11608">
        <w:rPr>
          <w:i w:val="0"/>
          <w:color w:val="auto"/>
          <w:szCs w:val="22"/>
        </w:rPr>
        <w:t>Number of PID patients undergoing HSCT or Gene Therapy</w:t>
      </w:r>
    </w:p>
    <w:p w14:paraId="6F19A2C3" w14:textId="60B95F1A" w:rsidR="00E33871" w:rsidRPr="00F11608" w:rsidRDefault="006E4579" w:rsidP="00E33871">
      <w:pPr>
        <w:pStyle w:val="Heading1"/>
        <w:numPr>
          <w:ilvl w:val="0"/>
          <w:numId w:val="0"/>
        </w:numPr>
        <w:jc w:val="left"/>
        <w:rPr>
          <w:rFonts w:ascii="Times New Roman" w:hAnsi="Times New Roman" w:cs="Times New Roman"/>
          <w:b w:val="0"/>
          <w:color w:val="auto"/>
          <w:sz w:val="22"/>
          <w:szCs w:val="22"/>
        </w:rPr>
      </w:pPr>
      <w:r w:rsidRPr="00F11608">
        <w:rPr>
          <w:rFonts w:ascii="Times New Roman" w:hAnsi="Times New Roman"/>
          <w:sz w:val="22"/>
          <w:szCs w:val="22"/>
        </w:rPr>
        <w:t xml:space="preserve">Table </w:t>
      </w:r>
      <w:r w:rsidR="000E3A09" w:rsidRPr="00F11608">
        <w:rPr>
          <w:rFonts w:ascii="Times New Roman" w:hAnsi="Times New Roman"/>
          <w:sz w:val="22"/>
          <w:szCs w:val="22"/>
        </w:rPr>
        <w:fldChar w:fldCharType="begin"/>
      </w:r>
      <w:r w:rsidR="000E3A09" w:rsidRPr="00F11608">
        <w:rPr>
          <w:rFonts w:ascii="Times New Roman" w:hAnsi="Times New Roman"/>
          <w:sz w:val="22"/>
          <w:szCs w:val="22"/>
        </w:rPr>
        <w:instrText xml:space="preserve"> SEQ Table \* ARABIC </w:instrText>
      </w:r>
      <w:r w:rsidR="000E3A09" w:rsidRPr="00F11608">
        <w:rPr>
          <w:rFonts w:ascii="Times New Roman" w:hAnsi="Times New Roman"/>
          <w:sz w:val="22"/>
          <w:szCs w:val="22"/>
        </w:rPr>
        <w:fldChar w:fldCharType="separate"/>
      </w:r>
      <w:r w:rsidR="003E6277" w:rsidRPr="00F11608">
        <w:rPr>
          <w:rFonts w:ascii="Times New Roman" w:hAnsi="Times New Roman"/>
          <w:sz w:val="22"/>
          <w:szCs w:val="22"/>
        </w:rPr>
        <w:t>1</w:t>
      </w:r>
      <w:r w:rsidR="000E3A09" w:rsidRPr="00F11608">
        <w:rPr>
          <w:rFonts w:ascii="Times New Roman" w:hAnsi="Times New Roman"/>
          <w:sz w:val="22"/>
          <w:szCs w:val="22"/>
        </w:rPr>
        <w:fldChar w:fldCharType="end"/>
      </w:r>
      <w:r w:rsidR="00192278" w:rsidRPr="00F11608">
        <w:rPr>
          <w:rFonts w:ascii="Times New Roman" w:hAnsi="Times New Roman"/>
          <w:b w:val="0"/>
          <w:sz w:val="22"/>
          <w:szCs w:val="22"/>
        </w:rPr>
        <w:t xml:space="preserve"> </w:t>
      </w:r>
      <w:r w:rsidRPr="00F11608">
        <w:rPr>
          <w:rFonts w:ascii="Times New Roman" w:hAnsi="Times New Roman"/>
          <w:b w:val="0"/>
          <w:color w:val="auto"/>
          <w:sz w:val="22"/>
          <w:szCs w:val="22"/>
        </w:rPr>
        <w:t>Frequency table for International Union of Immunological Sciences (IUIS) classification and minimum disease prevalence.  Estimated minimum prevalence data for PID in the United Kingdom is based on a national population of 66</w:t>
      </w:r>
      <w:r w:rsidR="00394F3D" w:rsidRPr="00F11608">
        <w:rPr>
          <w:rFonts w:ascii="Times New Roman" w:hAnsi="Times New Roman"/>
          <w:b w:val="0"/>
          <w:color w:val="auto"/>
          <w:sz w:val="22"/>
          <w:szCs w:val="22"/>
        </w:rPr>
        <w:t>,029,990 (Source: Office for National Statistics)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5"/>
        <w:gridCol w:w="1909"/>
        <w:gridCol w:w="2348"/>
      </w:tblGrid>
      <w:tr w:rsidR="00192278" w:rsidRPr="00F11608" w14:paraId="1DDF8F20" w14:textId="77777777" w:rsidTr="00B37F34">
        <w:trPr>
          <w:trHeight w:val="255"/>
        </w:trPr>
        <w:tc>
          <w:tcPr>
            <w:tcW w:w="3055" w:type="pct"/>
            <w:shd w:val="clear" w:color="auto" w:fill="auto"/>
            <w:noWrap/>
            <w:vAlign w:val="bottom"/>
          </w:tcPr>
          <w:p w14:paraId="43FE6D74" w14:textId="77777777" w:rsidR="00192278" w:rsidRPr="00F11608" w:rsidRDefault="00192278" w:rsidP="00192278">
            <w:pPr>
              <w:spacing w:after="0" w:line="240" w:lineRule="auto"/>
              <w:jc w:val="right"/>
              <w:rPr>
                <w:b/>
              </w:rPr>
            </w:pPr>
            <w:r w:rsidRPr="00F11608">
              <w:rPr>
                <w:b/>
              </w:rPr>
              <w:t>IUIS Classification</w:t>
            </w:r>
          </w:p>
        </w:tc>
        <w:tc>
          <w:tcPr>
            <w:tcW w:w="1391" w:type="pct"/>
            <w:shd w:val="clear" w:color="auto" w:fill="auto"/>
            <w:noWrap/>
            <w:vAlign w:val="bottom"/>
          </w:tcPr>
          <w:p w14:paraId="12B9D79B" w14:textId="77777777" w:rsidR="00192278" w:rsidRPr="00F11608" w:rsidRDefault="00587595" w:rsidP="00192278">
            <w:pPr>
              <w:spacing w:after="0" w:line="240" w:lineRule="auto"/>
              <w:jc w:val="right"/>
              <w:rPr>
                <w:b/>
              </w:rPr>
            </w:pPr>
            <w:r w:rsidRPr="00F11608">
              <w:rPr>
                <w:b/>
              </w:rPr>
              <w:t>n (alive patients)</w:t>
            </w:r>
          </w:p>
        </w:tc>
        <w:tc>
          <w:tcPr>
            <w:tcW w:w="555" w:type="pct"/>
            <w:shd w:val="clear" w:color="auto" w:fill="auto"/>
            <w:noWrap/>
            <w:vAlign w:val="bottom"/>
          </w:tcPr>
          <w:p w14:paraId="7E910E53" w14:textId="77777777" w:rsidR="00192278" w:rsidRPr="00F11608" w:rsidRDefault="00192278" w:rsidP="00192278">
            <w:pPr>
              <w:spacing w:after="0" w:line="240" w:lineRule="auto"/>
              <w:jc w:val="right"/>
              <w:rPr>
                <w:b/>
              </w:rPr>
            </w:pPr>
            <w:r w:rsidRPr="00F11608">
              <w:rPr>
                <w:b/>
              </w:rPr>
              <w:t>UK Prevalence/100 000</w:t>
            </w:r>
          </w:p>
        </w:tc>
      </w:tr>
      <w:tr w:rsidR="00192278" w:rsidRPr="00F11608" w14:paraId="7B420A29" w14:textId="77777777" w:rsidTr="00B37F34">
        <w:trPr>
          <w:trHeight w:val="255"/>
        </w:trPr>
        <w:tc>
          <w:tcPr>
            <w:tcW w:w="3055" w:type="pct"/>
            <w:shd w:val="clear" w:color="auto" w:fill="auto"/>
            <w:noWrap/>
            <w:vAlign w:val="bottom"/>
            <w:hideMark/>
          </w:tcPr>
          <w:p w14:paraId="2482739A" w14:textId="77777777" w:rsidR="00192278" w:rsidRPr="00F11608" w:rsidRDefault="00192278" w:rsidP="00192278">
            <w:pPr>
              <w:spacing w:after="0" w:line="240" w:lineRule="auto"/>
              <w:jc w:val="right"/>
            </w:pPr>
            <w:r w:rsidRPr="00F11608">
              <w:t>Auto inflammatory disorders</w:t>
            </w:r>
          </w:p>
        </w:tc>
        <w:tc>
          <w:tcPr>
            <w:tcW w:w="1391" w:type="pct"/>
            <w:shd w:val="clear" w:color="auto" w:fill="auto"/>
            <w:noWrap/>
            <w:vAlign w:val="bottom"/>
            <w:hideMark/>
          </w:tcPr>
          <w:p w14:paraId="3B999E88" w14:textId="77777777" w:rsidR="00192278" w:rsidRPr="00F11608" w:rsidRDefault="00192278" w:rsidP="00192278">
            <w:pPr>
              <w:spacing w:after="0" w:line="240" w:lineRule="auto"/>
              <w:jc w:val="right"/>
            </w:pPr>
            <w:r w:rsidRPr="00F11608">
              <w:t>25</w:t>
            </w:r>
          </w:p>
        </w:tc>
        <w:tc>
          <w:tcPr>
            <w:tcW w:w="555" w:type="pct"/>
            <w:shd w:val="clear" w:color="auto" w:fill="auto"/>
            <w:noWrap/>
            <w:vAlign w:val="bottom"/>
            <w:hideMark/>
          </w:tcPr>
          <w:p w14:paraId="0F639B1B" w14:textId="77777777" w:rsidR="00192278" w:rsidRPr="00F11608" w:rsidRDefault="00192278" w:rsidP="00192278">
            <w:pPr>
              <w:spacing w:after="0" w:line="240" w:lineRule="auto"/>
              <w:jc w:val="right"/>
            </w:pPr>
            <w:r w:rsidRPr="00F11608">
              <w:t>0.04</w:t>
            </w:r>
          </w:p>
        </w:tc>
      </w:tr>
      <w:tr w:rsidR="00192278" w:rsidRPr="00F11608" w14:paraId="1C597BE5" w14:textId="77777777" w:rsidTr="00B37F34">
        <w:trPr>
          <w:trHeight w:val="255"/>
        </w:trPr>
        <w:tc>
          <w:tcPr>
            <w:tcW w:w="3055" w:type="pct"/>
            <w:shd w:val="clear" w:color="auto" w:fill="auto"/>
            <w:noWrap/>
            <w:vAlign w:val="bottom"/>
            <w:hideMark/>
          </w:tcPr>
          <w:p w14:paraId="2F8CBF4E" w14:textId="77777777" w:rsidR="00192278" w:rsidRPr="00F11608" w:rsidRDefault="00192278" w:rsidP="00192278">
            <w:pPr>
              <w:spacing w:after="0" w:line="240" w:lineRule="auto"/>
              <w:jc w:val="right"/>
            </w:pPr>
            <w:r w:rsidRPr="00F11608">
              <w:t>Combined immunodeficiencies</w:t>
            </w:r>
          </w:p>
        </w:tc>
        <w:tc>
          <w:tcPr>
            <w:tcW w:w="1391" w:type="pct"/>
            <w:shd w:val="clear" w:color="auto" w:fill="auto"/>
            <w:noWrap/>
            <w:vAlign w:val="bottom"/>
            <w:hideMark/>
          </w:tcPr>
          <w:p w14:paraId="4593E947" w14:textId="77777777" w:rsidR="00192278" w:rsidRPr="00F11608" w:rsidRDefault="009C2BC2" w:rsidP="00192278">
            <w:pPr>
              <w:spacing w:after="0" w:line="240" w:lineRule="auto"/>
              <w:jc w:val="right"/>
            </w:pPr>
            <w:r w:rsidRPr="00F11608">
              <w:t>329</w:t>
            </w:r>
          </w:p>
        </w:tc>
        <w:tc>
          <w:tcPr>
            <w:tcW w:w="555" w:type="pct"/>
            <w:shd w:val="clear" w:color="auto" w:fill="auto"/>
            <w:noWrap/>
            <w:vAlign w:val="bottom"/>
            <w:hideMark/>
          </w:tcPr>
          <w:p w14:paraId="56692FBE" w14:textId="77777777" w:rsidR="00192278" w:rsidRPr="00F11608" w:rsidRDefault="009C2BC2" w:rsidP="00192278">
            <w:pPr>
              <w:spacing w:after="0" w:line="240" w:lineRule="auto"/>
              <w:jc w:val="right"/>
            </w:pPr>
            <w:r w:rsidRPr="00F11608">
              <w:t>0.50</w:t>
            </w:r>
          </w:p>
        </w:tc>
      </w:tr>
      <w:tr w:rsidR="00192278" w:rsidRPr="00F11608" w14:paraId="3C23B99C" w14:textId="77777777" w:rsidTr="00B37F34">
        <w:trPr>
          <w:trHeight w:val="255"/>
        </w:trPr>
        <w:tc>
          <w:tcPr>
            <w:tcW w:w="3055" w:type="pct"/>
            <w:shd w:val="clear" w:color="auto" w:fill="auto"/>
            <w:noWrap/>
            <w:vAlign w:val="bottom"/>
            <w:hideMark/>
          </w:tcPr>
          <w:p w14:paraId="2FF2BAF0" w14:textId="77777777" w:rsidR="00192278" w:rsidRPr="00F11608" w:rsidRDefault="00192278" w:rsidP="00192278">
            <w:pPr>
              <w:spacing w:after="0" w:line="240" w:lineRule="auto"/>
              <w:jc w:val="right"/>
            </w:pPr>
            <w:r w:rsidRPr="00F11608">
              <w:t>Complement deficiencies</w:t>
            </w:r>
          </w:p>
        </w:tc>
        <w:tc>
          <w:tcPr>
            <w:tcW w:w="1391" w:type="pct"/>
            <w:shd w:val="clear" w:color="auto" w:fill="auto"/>
            <w:noWrap/>
            <w:vAlign w:val="bottom"/>
            <w:hideMark/>
          </w:tcPr>
          <w:p w14:paraId="0DFA4C40" w14:textId="77777777" w:rsidR="00192278" w:rsidRPr="00F11608" w:rsidRDefault="00192278" w:rsidP="00192278">
            <w:pPr>
              <w:spacing w:after="0" w:line="240" w:lineRule="auto"/>
              <w:jc w:val="right"/>
            </w:pPr>
            <w:r w:rsidRPr="00F11608">
              <w:t>559</w:t>
            </w:r>
          </w:p>
        </w:tc>
        <w:tc>
          <w:tcPr>
            <w:tcW w:w="555" w:type="pct"/>
            <w:shd w:val="clear" w:color="auto" w:fill="auto"/>
            <w:noWrap/>
            <w:vAlign w:val="bottom"/>
            <w:hideMark/>
          </w:tcPr>
          <w:p w14:paraId="564BFC87" w14:textId="77777777" w:rsidR="00192278" w:rsidRPr="00F11608" w:rsidRDefault="00192278" w:rsidP="00192278">
            <w:pPr>
              <w:spacing w:after="0" w:line="240" w:lineRule="auto"/>
              <w:jc w:val="right"/>
            </w:pPr>
            <w:r w:rsidRPr="00F11608">
              <w:t>0.85</w:t>
            </w:r>
          </w:p>
        </w:tc>
      </w:tr>
      <w:tr w:rsidR="00192278" w:rsidRPr="00F11608" w14:paraId="57BB351F" w14:textId="77777777" w:rsidTr="00B37F34">
        <w:trPr>
          <w:trHeight w:val="255"/>
        </w:trPr>
        <w:tc>
          <w:tcPr>
            <w:tcW w:w="3055" w:type="pct"/>
            <w:shd w:val="clear" w:color="auto" w:fill="auto"/>
            <w:noWrap/>
            <w:vAlign w:val="bottom"/>
            <w:hideMark/>
          </w:tcPr>
          <w:p w14:paraId="41946519" w14:textId="77777777" w:rsidR="00192278" w:rsidRPr="00F11608" w:rsidRDefault="00192278" w:rsidP="00192278">
            <w:pPr>
              <w:spacing w:after="0" w:line="240" w:lineRule="auto"/>
              <w:jc w:val="right"/>
            </w:pPr>
            <w:r w:rsidRPr="00F11608">
              <w:t>Defects in innate immunity</w:t>
            </w:r>
          </w:p>
        </w:tc>
        <w:tc>
          <w:tcPr>
            <w:tcW w:w="1391" w:type="pct"/>
            <w:shd w:val="clear" w:color="auto" w:fill="auto"/>
            <w:noWrap/>
            <w:vAlign w:val="bottom"/>
            <w:hideMark/>
          </w:tcPr>
          <w:p w14:paraId="74F7383C" w14:textId="77777777" w:rsidR="00192278" w:rsidRPr="00F11608" w:rsidRDefault="009C2BC2" w:rsidP="00192278">
            <w:pPr>
              <w:spacing w:after="0" w:line="240" w:lineRule="auto"/>
              <w:jc w:val="right"/>
            </w:pPr>
            <w:r w:rsidRPr="00F11608">
              <w:t>39</w:t>
            </w:r>
          </w:p>
        </w:tc>
        <w:tc>
          <w:tcPr>
            <w:tcW w:w="555" w:type="pct"/>
            <w:shd w:val="clear" w:color="auto" w:fill="auto"/>
            <w:noWrap/>
            <w:vAlign w:val="bottom"/>
            <w:hideMark/>
          </w:tcPr>
          <w:p w14:paraId="4B3552ED" w14:textId="77777777" w:rsidR="00192278" w:rsidRPr="00F11608" w:rsidRDefault="00192278" w:rsidP="00192278">
            <w:pPr>
              <w:spacing w:after="0" w:line="240" w:lineRule="auto"/>
              <w:jc w:val="right"/>
            </w:pPr>
            <w:r w:rsidRPr="00F11608">
              <w:t>0.06</w:t>
            </w:r>
          </w:p>
        </w:tc>
      </w:tr>
      <w:tr w:rsidR="00192278" w:rsidRPr="00F11608" w14:paraId="11C58A95" w14:textId="77777777" w:rsidTr="00B37F34">
        <w:trPr>
          <w:trHeight w:val="255"/>
        </w:trPr>
        <w:tc>
          <w:tcPr>
            <w:tcW w:w="3055" w:type="pct"/>
            <w:shd w:val="clear" w:color="auto" w:fill="auto"/>
            <w:noWrap/>
            <w:vAlign w:val="bottom"/>
            <w:hideMark/>
          </w:tcPr>
          <w:p w14:paraId="43F1DD19" w14:textId="77777777" w:rsidR="00192278" w:rsidRPr="00F11608" w:rsidRDefault="00192278" w:rsidP="00192278">
            <w:pPr>
              <w:spacing w:after="0" w:line="240" w:lineRule="auto"/>
              <w:jc w:val="right"/>
            </w:pPr>
            <w:r w:rsidRPr="00F11608">
              <w:t>Diseases of immune dysregulation</w:t>
            </w:r>
          </w:p>
        </w:tc>
        <w:tc>
          <w:tcPr>
            <w:tcW w:w="1391" w:type="pct"/>
            <w:shd w:val="clear" w:color="auto" w:fill="auto"/>
            <w:noWrap/>
            <w:vAlign w:val="bottom"/>
            <w:hideMark/>
          </w:tcPr>
          <w:p w14:paraId="30BBE512" w14:textId="77777777" w:rsidR="00192278" w:rsidRPr="00F11608" w:rsidRDefault="009C2BC2" w:rsidP="00192278">
            <w:pPr>
              <w:spacing w:after="0" w:line="240" w:lineRule="auto"/>
              <w:jc w:val="right"/>
            </w:pPr>
            <w:r w:rsidRPr="00F11608">
              <w:t>94</w:t>
            </w:r>
          </w:p>
        </w:tc>
        <w:tc>
          <w:tcPr>
            <w:tcW w:w="555" w:type="pct"/>
            <w:shd w:val="clear" w:color="auto" w:fill="auto"/>
            <w:noWrap/>
            <w:vAlign w:val="bottom"/>
            <w:hideMark/>
          </w:tcPr>
          <w:p w14:paraId="334FA6FA" w14:textId="77777777" w:rsidR="00192278" w:rsidRPr="00F11608" w:rsidRDefault="009C2BC2" w:rsidP="00192278">
            <w:pPr>
              <w:spacing w:after="0" w:line="240" w:lineRule="auto"/>
              <w:jc w:val="right"/>
            </w:pPr>
            <w:r w:rsidRPr="00F11608">
              <w:t>0.14</w:t>
            </w:r>
          </w:p>
        </w:tc>
      </w:tr>
      <w:tr w:rsidR="00192278" w:rsidRPr="00F11608" w14:paraId="36BF5EC8" w14:textId="77777777" w:rsidTr="00B37F34">
        <w:trPr>
          <w:trHeight w:val="255"/>
        </w:trPr>
        <w:tc>
          <w:tcPr>
            <w:tcW w:w="3055" w:type="pct"/>
            <w:shd w:val="clear" w:color="auto" w:fill="auto"/>
            <w:noWrap/>
            <w:vAlign w:val="bottom"/>
            <w:hideMark/>
          </w:tcPr>
          <w:p w14:paraId="62622DB9" w14:textId="77777777" w:rsidR="00192278" w:rsidRPr="00F11608" w:rsidRDefault="00192278" w:rsidP="00192278">
            <w:pPr>
              <w:spacing w:after="0" w:line="240" w:lineRule="auto"/>
              <w:jc w:val="right"/>
            </w:pPr>
            <w:r w:rsidRPr="00F11608">
              <w:t>Other well defined PIDs</w:t>
            </w:r>
          </w:p>
        </w:tc>
        <w:tc>
          <w:tcPr>
            <w:tcW w:w="1391" w:type="pct"/>
            <w:shd w:val="clear" w:color="auto" w:fill="auto"/>
            <w:noWrap/>
            <w:vAlign w:val="bottom"/>
            <w:hideMark/>
          </w:tcPr>
          <w:p w14:paraId="6B8109DD" w14:textId="77777777" w:rsidR="00192278" w:rsidRPr="00F11608" w:rsidRDefault="009C2BC2" w:rsidP="00192278">
            <w:pPr>
              <w:spacing w:after="0" w:line="240" w:lineRule="auto"/>
              <w:jc w:val="right"/>
            </w:pPr>
            <w:r w:rsidRPr="00F11608">
              <w:t>325</w:t>
            </w:r>
          </w:p>
        </w:tc>
        <w:tc>
          <w:tcPr>
            <w:tcW w:w="555" w:type="pct"/>
            <w:shd w:val="clear" w:color="auto" w:fill="auto"/>
            <w:noWrap/>
            <w:vAlign w:val="bottom"/>
            <w:hideMark/>
          </w:tcPr>
          <w:p w14:paraId="5064668F" w14:textId="77777777" w:rsidR="00192278" w:rsidRPr="00F11608" w:rsidRDefault="009C2BC2" w:rsidP="00192278">
            <w:pPr>
              <w:spacing w:after="0" w:line="240" w:lineRule="auto"/>
              <w:jc w:val="right"/>
            </w:pPr>
            <w:r w:rsidRPr="00F11608">
              <w:t>0.49</w:t>
            </w:r>
          </w:p>
        </w:tc>
      </w:tr>
      <w:tr w:rsidR="00192278" w:rsidRPr="00F11608" w14:paraId="77B292E3" w14:textId="77777777" w:rsidTr="00B37F34">
        <w:trPr>
          <w:trHeight w:val="255"/>
        </w:trPr>
        <w:tc>
          <w:tcPr>
            <w:tcW w:w="3055" w:type="pct"/>
            <w:shd w:val="clear" w:color="auto" w:fill="auto"/>
            <w:noWrap/>
            <w:vAlign w:val="bottom"/>
            <w:hideMark/>
          </w:tcPr>
          <w:p w14:paraId="66A3E889" w14:textId="77777777" w:rsidR="00192278" w:rsidRPr="00F11608" w:rsidRDefault="00192278" w:rsidP="00192278">
            <w:pPr>
              <w:spacing w:after="0" w:line="240" w:lineRule="auto"/>
              <w:jc w:val="right"/>
            </w:pPr>
            <w:r w:rsidRPr="00F11608">
              <w:t>Phagocytic disorders</w:t>
            </w:r>
          </w:p>
        </w:tc>
        <w:tc>
          <w:tcPr>
            <w:tcW w:w="1391" w:type="pct"/>
            <w:shd w:val="clear" w:color="auto" w:fill="auto"/>
            <w:noWrap/>
            <w:vAlign w:val="bottom"/>
            <w:hideMark/>
          </w:tcPr>
          <w:p w14:paraId="391CAD5B" w14:textId="77777777" w:rsidR="00192278" w:rsidRPr="00F11608" w:rsidRDefault="009C2BC2" w:rsidP="00192278">
            <w:pPr>
              <w:spacing w:after="0" w:line="240" w:lineRule="auto"/>
              <w:jc w:val="right"/>
            </w:pPr>
            <w:r w:rsidRPr="00F11608">
              <w:t>177</w:t>
            </w:r>
          </w:p>
        </w:tc>
        <w:tc>
          <w:tcPr>
            <w:tcW w:w="555" w:type="pct"/>
            <w:shd w:val="clear" w:color="auto" w:fill="auto"/>
            <w:noWrap/>
            <w:vAlign w:val="bottom"/>
            <w:hideMark/>
          </w:tcPr>
          <w:p w14:paraId="1C3350E1" w14:textId="77777777" w:rsidR="00192278" w:rsidRPr="00F11608" w:rsidRDefault="009C2BC2" w:rsidP="00192278">
            <w:pPr>
              <w:spacing w:after="0" w:line="240" w:lineRule="auto"/>
              <w:jc w:val="right"/>
            </w:pPr>
            <w:r w:rsidRPr="00F11608">
              <w:t>0.27</w:t>
            </w:r>
          </w:p>
        </w:tc>
      </w:tr>
      <w:tr w:rsidR="00192278" w:rsidRPr="00F11608" w14:paraId="5E14B3FC" w14:textId="77777777" w:rsidTr="00B37F34">
        <w:trPr>
          <w:trHeight w:val="255"/>
        </w:trPr>
        <w:tc>
          <w:tcPr>
            <w:tcW w:w="3055" w:type="pct"/>
            <w:shd w:val="clear" w:color="auto" w:fill="auto"/>
            <w:noWrap/>
            <w:vAlign w:val="bottom"/>
            <w:hideMark/>
          </w:tcPr>
          <w:p w14:paraId="18BA15CA" w14:textId="77777777" w:rsidR="00192278" w:rsidRPr="00F11608" w:rsidRDefault="00192278" w:rsidP="00192278">
            <w:pPr>
              <w:spacing w:after="0" w:line="240" w:lineRule="auto"/>
              <w:jc w:val="right"/>
            </w:pPr>
            <w:r w:rsidRPr="00F11608">
              <w:t>Predominantly antibody disorders</w:t>
            </w:r>
          </w:p>
        </w:tc>
        <w:tc>
          <w:tcPr>
            <w:tcW w:w="1391" w:type="pct"/>
            <w:shd w:val="clear" w:color="auto" w:fill="auto"/>
            <w:noWrap/>
            <w:vAlign w:val="bottom"/>
            <w:hideMark/>
          </w:tcPr>
          <w:p w14:paraId="35E29BA8" w14:textId="77777777" w:rsidR="00192278" w:rsidRPr="00F11608" w:rsidRDefault="009C2BC2" w:rsidP="00192278">
            <w:pPr>
              <w:spacing w:after="0" w:line="240" w:lineRule="auto"/>
              <w:jc w:val="right"/>
            </w:pPr>
            <w:r w:rsidRPr="00F11608">
              <w:t>2589</w:t>
            </w:r>
          </w:p>
        </w:tc>
        <w:tc>
          <w:tcPr>
            <w:tcW w:w="555" w:type="pct"/>
            <w:shd w:val="clear" w:color="auto" w:fill="auto"/>
            <w:noWrap/>
            <w:vAlign w:val="bottom"/>
            <w:hideMark/>
          </w:tcPr>
          <w:p w14:paraId="517A5B7D" w14:textId="77777777" w:rsidR="00192278" w:rsidRPr="00F11608" w:rsidRDefault="00192278" w:rsidP="00192278">
            <w:pPr>
              <w:spacing w:after="0" w:line="240" w:lineRule="auto"/>
              <w:jc w:val="right"/>
            </w:pPr>
            <w:r w:rsidRPr="00F11608">
              <w:t>3.92</w:t>
            </w:r>
          </w:p>
        </w:tc>
      </w:tr>
      <w:tr w:rsidR="00192278" w:rsidRPr="00F11608" w14:paraId="5534D270" w14:textId="77777777" w:rsidTr="00B37F34">
        <w:trPr>
          <w:trHeight w:val="255"/>
        </w:trPr>
        <w:tc>
          <w:tcPr>
            <w:tcW w:w="3055" w:type="pct"/>
            <w:shd w:val="clear" w:color="auto" w:fill="auto"/>
            <w:noWrap/>
            <w:vAlign w:val="bottom"/>
            <w:hideMark/>
          </w:tcPr>
          <w:p w14:paraId="5B49A1C3" w14:textId="77777777" w:rsidR="00192278" w:rsidRPr="00F11608" w:rsidRDefault="00192278" w:rsidP="00192278">
            <w:pPr>
              <w:spacing w:after="0" w:line="240" w:lineRule="auto"/>
              <w:jc w:val="right"/>
            </w:pPr>
            <w:r w:rsidRPr="00F11608">
              <w:t>Unclassified Immunodeficiencies</w:t>
            </w:r>
          </w:p>
        </w:tc>
        <w:tc>
          <w:tcPr>
            <w:tcW w:w="1391" w:type="pct"/>
            <w:shd w:val="clear" w:color="auto" w:fill="auto"/>
            <w:noWrap/>
            <w:vAlign w:val="bottom"/>
            <w:hideMark/>
          </w:tcPr>
          <w:p w14:paraId="32CFA02A" w14:textId="77777777" w:rsidR="00192278" w:rsidRPr="00F11608" w:rsidRDefault="009C2BC2" w:rsidP="00192278">
            <w:pPr>
              <w:spacing w:after="0" w:line="240" w:lineRule="auto"/>
              <w:jc w:val="right"/>
            </w:pPr>
            <w:r w:rsidRPr="00F11608">
              <w:t>160</w:t>
            </w:r>
          </w:p>
        </w:tc>
        <w:tc>
          <w:tcPr>
            <w:tcW w:w="555" w:type="pct"/>
            <w:shd w:val="clear" w:color="auto" w:fill="auto"/>
            <w:noWrap/>
            <w:vAlign w:val="bottom"/>
            <w:hideMark/>
          </w:tcPr>
          <w:p w14:paraId="62403B6E" w14:textId="77777777" w:rsidR="00192278" w:rsidRPr="00F11608" w:rsidRDefault="009C2BC2" w:rsidP="00192278">
            <w:pPr>
              <w:spacing w:after="0" w:line="240" w:lineRule="auto"/>
              <w:jc w:val="right"/>
            </w:pPr>
            <w:r w:rsidRPr="00F11608">
              <w:t>0.24</w:t>
            </w:r>
          </w:p>
        </w:tc>
      </w:tr>
    </w:tbl>
    <w:p w14:paraId="40CF6A96" w14:textId="77777777" w:rsidR="00A569F6" w:rsidRPr="00DA5C04" w:rsidRDefault="00A569F6" w:rsidP="0082118E">
      <w:pPr>
        <w:pStyle w:val="Heading1"/>
        <w:numPr>
          <w:ilvl w:val="0"/>
          <w:numId w:val="0"/>
        </w:numPr>
        <w:jc w:val="left"/>
        <w:rPr>
          <w:rFonts w:ascii="Times New Roman" w:hAnsi="Times New Roman" w:cs="Times New Roman"/>
          <w:sz w:val="24"/>
          <w:szCs w:val="24"/>
        </w:rPr>
      </w:pPr>
    </w:p>
    <w:p w14:paraId="2335E2F7" w14:textId="77777777" w:rsidR="00A569F6" w:rsidRPr="00DA5C04" w:rsidRDefault="00A569F6">
      <w:pPr>
        <w:rPr>
          <w:rFonts w:cs="Times New Roman"/>
          <w:sz w:val="24"/>
          <w:szCs w:val="24"/>
        </w:rPr>
      </w:pPr>
      <w:r w:rsidRPr="00DA5C04">
        <w:rPr>
          <w:rFonts w:cs="Times New Roman"/>
          <w:sz w:val="24"/>
          <w:szCs w:val="24"/>
        </w:rPr>
        <w:br w:type="page"/>
      </w:r>
    </w:p>
    <w:p w14:paraId="6679E69B" w14:textId="77777777" w:rsidR="0082118E" w:rsidRPr="00F11608" w:rsidRDefault="00CE577C" w:rsidP="00CE577C">
      <w:pPr>
        <w:pStyle w:val="Caption"/>
        <w:rPr>
          <w:i w:val="0"/>
          <w:color w:val="000000" w:themeColor="text1"/>
          <w:szCs w:val="22"/>
        </w:rPr>
      </w:pPr>
      <w:r w:rsidRPr="00F11608">
        <w:rPr>
          <w:b/>
          <w:i w:val="0"/>
          <w:color w:val="000000" w:themeColor="text1"/>
          <w:szCs w:val="22"/>
        </w:rPr>
        <w:t xml:space="preserve">Table </w:t>
      </w:r>
      <w:r w:rsidR="000E3A09" w:rsidRPr="00F11608">
        <w:rPr>
          <w:b/>
          <w:i w:val="0"/>
          <w:color w:val="000000" w:themeColor="text1"/>
          <w:szCs w:val="22"/>
        </w:rPr>
        <w:fldChar w:fldCharType="begin"/>
      </w:r>
      <w:r w:rsidR="000E3A09" w:rsidRPr="00F11608">
        <w:rPr>
          <w:b/>
          <w:i w:val="0"/>
          <w:color w:val="000000" w:themeColor="text1"/>
          <w:szCs w:val="22"/>
        </w:rPr>
        <w:instrText xml:space="preserve"> SEQ Table \* ARABIC </w:instrText>
      </w:r>
      <w:r w:rsidR="000E3A09" w:rsidRPr="00F11608">
        <w:rPr>
          <w:b/>
          <w:i w:val="0"/>
          <w:color w:val="000000" w:themeColor="text1"/>
          <w:szCs w:val="22"/>
        </w:rPr>
        <w:fldChar w:fldCharType="separate"/>
      </w:r>
      <w:r w:rsidR="003E6277" w:rsidRPr="00F11608">
        <w:rPr>
          <w:b/>
          <w:i w:val="0"/>
          <w:color w:val="000000" w:themeColor="text1"/>
          <w:szCs w:val="22"/>
        </w:rPr>
        <w:t>2</w:t>
      </w:r>
      <w:r w:rsidR="000E3A09" w:rsidRPr="00F11608">
        <w:rPr>
          <w:b/>
          <w:i w:val="0"/>
          <w:color w:val="000000" w:themeColor="text1"/>
          <w:szCs w:val="22"/>
        </w:rPr>
        <w:fldChar w:fldCharType="end"/>
      </w:r>
      <w:r w:rsidRPr="00F11608">
        <w:rPr>
          <w:i w:val="0"/>
          <w:color w:val="000000" w:themeColor="text1"/>
          <w:szCs w:val="22"/>
        </w:rPr>
        <w:t xml:space="preserve"> Diagnostic delay for the </w:t>
      </w:r>
      <w:r w:rsidR="008E17BF" w:rsidRPr="00F11608">
        <w:rPr>
          <w:i w:val="0"/>
          <w:color w:val="000000" w:themeColor="text1"/>
          <w:szCs w:val="22"/>
        </w:rPr>
        <w:t>commonest</w:t>
      </w:r>
      <w:r w:rsidRPr="00F11608">
        <w:rPr>
          <w:i w:val="0"/>
          <w:color w:val="000000" w:themeColor="text1"/>
          <w:szCs w:val="22"/>
        </w:rPr>
        <w:t xml:space="preserve"> PIDs</w:t>
      </w:r>
      <w:r w:rsidR="00D36388" w:rsidRPr="00F11608">
        <w:rPr>
          <w:i w:val="0"/>
          <w:color w:val="000000" w:themeColor="text1"/>
          <w:szCs w:val="22"/>
        </w:rPr>
        <w:t xml:space="preserve"> in years</w:t>
      </w:r>
      <w:r w:rsidRPr="00F11608">
        <w:rPr>
          <w:i w:val="0"/>
          <w:color w:val="000000" w:themeColor="text1"/>
          <w:szCs w:val="22"/>
        </w:rPr>
        <w:t xml:space="preserve"> (median, 25th and 75th quartiles)</w:t>
      </w:r>
    </w:p>
    <w:p w14:paraId="6D90B2EE" w14:textId="77777777" w:rsidR="0082118E" w:rsidRPr="00F11608" w:rsidRDefault="0082118E" w:rsidP="00B37F34">
      <w:pPr>
        <w:rPr>
          <w:b/>
          <w:color w:val="262626" w:themeColor="text1" w:themeTint="D9"/>
        </w:rPr>
      </w:pPr>
    </w:p>
    <w:tbl>
      <w:tblPr>
        <w:tblStyle w:val="TableGrid"/>
        <w:tblW w:w="9085" w:type="dxa"/>
        <w:tblLook w:val="04A0" w:firstRow="1" w:lastRow="0" w:firstColumn="1" w:lastColumn="0" w:noHBand="0" w:noVBand="1"/>
      </w:tblPr>
      <w:tblGrid>
        <w:gridCol w:w="3509"/>
        <w:gridCol w:w="858"/>
        <w:gridCol w:w="1414"/>
        <w:gridCol w:w="1130"/>
        <w:gridCol w:w="1463"/>
        <w:gridCol w:w="711"/>
      </w:tblGrid>
      <w:tr w:rsidR="00A569F6" w:rsidRPr="00F11608" w14:paraId="2D9D968B" w14:textId="77777777" w:rsidTr="006A3B2B">
        <w:trPr>
          <w:trHeight w:val="255"/>
        </w:trPr>
        <w:tc>
          <w:tcPr>
            <w:tcW w:w="3509" w:type="dxa"/>
            <w:noWrap/>
            <w:hideMark/>
          </w:tcPr>
          <w:p w14:paraId="6FC5F7A2" w14:textId="77777777" w:rsidR="00A569F6" w:rsidRPr="00F11608" w:rsidRDefault="00A569F6" w:rsidP="00501DB4">
            <w:pPr>
              <w:rPr>
                <w:rFonts w:eastAsia="Times New Roman" w:cs="Times New Roman"/>
                <w:b/>
                <w:lang w:eastAsia="en-GB"/>
              </w:rPr>
            </w:pPr>
            <w:r w:rsidRPr="00F11608">
              <w:rPr>
                <w:rFonts w:eastAsia="Times New Roman" w:cs="Times New Roman"/>
                <w:b/>
                <w:lang w:eastAsia="en-GB"/>
              </w:rPr>
              <w:t>PIDs</w:t>
            </w:r>
          </w:p>
        </w:tc>
        <w:tc>
          <w:tcPr>
            <w:tcW w:w="858" w:type="dxa"/>
            <w:noWrap/>
            <w:hideMark/>
          </w:tcPr>
          <w:p w14:paraId="18B9E25D" w14:textId="77777777" w:rsidR="00A569F6" w:rsidRPr="00F11608" w:rsidRDefault="00A569F6" w:rsidP="00501DB4">
            <w:pPr>
              <w:rPr>
                <w:rFonts w:eastAsia="Times New Roman" w:cs="Times New Roman"/>
                <w:b/>
                <w:lang w:eastAsia="en-GB"/>
              </w:rPr>
            </w:pPr>
            <w:r w:rsidRPr="00F11608">
              <w:rPr>
                <w:rFonts w:eastAsia="Times New Roman" w:cs="Times New Roman"/>
                <w:b/>
                <w:lang w:eastAsia="en-GB"/>
              </w:rPr>
              <w:t>Min</w:t>
            </w:r>
          </w:p>
        </w:tc>
        <w:tc>
          <w:tcPr>
            <w:tcW w:w="1414" w:type="dxa"/>
            <w:noWrap/>
            <w:hideMark/>
          </w:tcPr>
          <w:p w14:paraId="2E2DBB77" w14:textId="77777777" w:rsidR="00A569F6" w:rsidRPr="00F11608" w:rsidRDefault="00A569F6" w:rsidP="00501DB4">
            <w:pPr>
              <w:rPr>
                <w:rFonts w:eastAsia="Times New Roman" w:cs="Times New Roman"/>
                <w:b/>
                <w:lang w:eastAsia="en-GB"/>
              </w:rPr>
            </w:pPr>
            <w:r w:rsidRPr="00F11608">
              <w:rPr>
                <w:rFonts w:eastAsia="Times New Roman" w:cs="Times New Roman"/>
                <w:b/>
                <w:lang w:eastAsia="en-GB"/>
              </w:rPr>
              <w:t>25</w:t>
            </w:r>
            <w:r w:rsidRPr="00F11608">
              <w:rPr>
                <w:rFonts w:eastAsia="Times New Roman" w:cs="Times New Roman"/>
                <w:b/>
                <w:vertAlign w:val="superscript"/>
                <w:lang w:eastAsia="en-GB"/>
              </w:rPr>
              <w:t>th</w:t>
            </w:r>
            <w:r w:rsidRPr="00F11608">
              <w:rPr>
                <w:rFonts w:eastAsia="Times New Roman" w:cs="Times New Roman"/>
                <w:b/>
                <w:lang w:eastAsia="en-GB"/>
              </w:rPr>
              <w:t xml:space="preserve"> quartile</w:t>
            </w:r>
          </w:p>
        </w:tc>
        <w:tc>
          <w:tcPr>
            <w:tcW w:w="1130" w:type="dxa"/>
            <w:noWrap/>
            <w:hideMark/>
          </w:tcPr>
          <w:p w14:paraId="2B7D881E" w14:textId="77777777" w:rsidR="00A569F6" w:rsidRPr="00F11608" w:rsidRDefault="00A569F6" w:rsidP="00501DB4">
            <w:pPr>
              <w:rPr>
                <w:rFonts w:eastAsia="Times New Roman" w:cs="Times New Roman"/>
                <w:b/>
                <w:lang w:eastAsia="en-GB"/>
              </w:rPr>
            </w:pPr>
            <w:r w:rsidRPr="00F11608">
              <w:rPr>
                <w:rFonts w:eastAsia="Times New Roman" w:cs="Times New Roman"/>
                <w:b/>
                <w:lang w:eastAsia="en-GB"/>
              </w:rPr>
              <w:t>Median</w:t>
            </w:r>
          </w:p>
        </w:tc>
        <w:tc>
          <w:tcPr>
            <w:tcW w:w="1463" w:type="dxa"/>
            <w:noWrap/>
            <w:hideMark/>
          </w:tcPr>
          <w:p w14:paraId="09DBB01B" w14:textId="77777777" w:rsidR="00A569F6" w:rsidRPr="00F11608" w:rsidRDefault="00A569F6" w:rsidP="00501DB4">
            <w:pPr>
              <w:rPr>
                <w:rFonts w:eastAsia="Times New Roman" w:cs="Times New Roman"/>
                <w:b/>
                <w:lang w:eastAsia="en-GB"/>
              </w:rPr>
            </w:pPr>
            <w:r w:rsidRPr="00F11608">
              <w:rPr>
                <w:rFonts w:eastAsia="Times New Roman" w:cs="Times New Roman"/>
                <w:b/>
                <w:lang w:eastAsia="en-GB"/>
              </w:rPr>
              <w:t>75</w:t>
            </w:r>
            <w:r w:rsidRPr="00F11608">
              <w:rPr>
                <w:rFonts w:eastAsia="Times New Roman" w:cs="Times New Roman"/>
                <w:b/>
                <w:vertAlign w:val="superscript"/>
                <w:lang w:eastAsia="en-GB"/>
              </w:rPr>
              <w:t>th</w:t>
            </w:r>
            <w:r w:rsidRPr="00F11608">
              <w:rPr>
                <w:rFonts w:eastAsia="Times New Roman" w:cs="Times New Roman"/>
                <w:b/>
                <w:lang w:eastAsia="en-GB"/>
              </w:rPr>
              <w:t xml:space="preserve"> quartile</w:t>
            </w:r>
          </w:p>
        </w:tc>
        <w:tc>
          <w:tcPr>
            <w:tcW w:w="711" w:type="dxa"/>
            <w:noWrap/>
            <w:hideMark/>
          </w:tcPr>
          <w:p w14:paraId="4BFFC10B" w14:textId="77777777" w:rsidR="00A569F6" w:rsidRPr="00F11608" w:rsidRDefault="00A569F6" w:rsidP="00501DB4">
            <w:pPr>
              <w:rPr>
                <w:rFonts w:eastAsia="Times New Roman" w:cs="Times New Roman"/>
                <w:b/>
                <w:lang w:eastAsia="en-GB"/>
              </w:rPr>
            </w:pPr>
            <w:r w:rsidRPr="00F11608">
              <w:rPr>
                <w:rFonts w:eastAsia="Times New Roman" w:cs="Times New Roman"/>
                <w:b/>
                <w:lang w:eastAsia="en-GB"/>
              </w:rPr>
              <w:t>Max</w:t>
            </w:r>
          </w:p>
        </w:tc>
      </w:tr>
      <w:tr w:rsidR="00A569F6" w:rsidRPr="00F11608" w14:paraId="4B1F576B" w14:textId="77777777" w:rsidTr="006A3B2B">
        <w:trPr>
          <w:trHeight w:val="255"/>
        </w:trPr>
        <w:tc>
          <w:tcPr>
            <w:tcW w:w="3509" w:type="dxa"/>
            <w:noWrap/>
            <w:hideMark/>
          </w:tcPr>
          <w:p w14:paraId="11A51A48" w14:textId="77777777" w:rsidR="00A569F6" w:rsidRPr="00F11608" w:rsidRDefault="00A569F6" w:rsidP="00501DB4">
            <w:pPr>
              <w:rPr>
                <w:rFonts w:eastAsia="Times New Roman" w:cs="Times New Roman"/>
                <w:lang w:eastAsia="en-GB"/>
              </w:rPr>
            </w:pPr>
            <w:r w:rsidRPr="00F11608">
              <w:rPr>
                <w:rFonts w:eastAsia="Times New Roman" w:cs="Times New Roman"/>
                <w:lang w:eastAsia="en-GB"/>
              </w:rPr>
              <w:t>Common variable immunodeficiency disorders</w:t>
            </w:r>
          </w:p>
        </w:tc>
        <w:tc>
          <w:tcPr>
            <w:tcW w:w="858" w:type="dxa"/>
            <w:noWrap/>
            <w:hideMark/>
          </w:tcPr>
          <w:p w14:paraId="05EDF016" w14:textId="77777777" w:rsidR="00A569F6" w:rsidRPr="00F11608" w:rsidRDefault="00A569F6" w:rsidP="00501DB4">
            <w:pPr>
              <w:jc w:val="right"/>
              <w:rPr>
                <w:rFonts w:eastAsia="Times New Roman" w:cs="Times New Roman"/>
                <w:lang w:eastAsia="en-GB"/>
              </w:rPr>
            </w:pPr>
            <w:r w:rsidRPr="00F11608">
              <w:rPr>
                <w:rFonts w:eastAsia="Times New Roman" w:cs="Times New Roman"/>
                <w:lang w:eastAsia="en-GB"/>
              </w:rPr>
              <w:t>0</w:t>
            </w:r>
          </w:p>
        </w:tc>
        <w:tc>
          <w:tcPr>
            <w:tcW w:w="1414" w:type="dxa"/>
            <w:noWrap/>
            <w:hideMark/>
          </w:tcPr>
          <w:p w14:paraId="14202AC0" w14:textId="77777777" w:rsidR="00A569F6" w:rsidRPr="00F11608" w:rsidRDefault="00A569F6" w:rsidP="00501DB4">
            <w:pPr>
              <w:jc w:val="right"/>
              <w:rPr>
                <w:rFonts w:eastAsia="Times New Roman" w:cs="Times New Roman"/>
                <w:lang w:eastAsia="en-GB"/>
              </w:rPr>
            </w:pPr>
            <w:r w:rsidRPr="00F11608">
              <w:rPr>
                <w:rFonts w:eastAsia="Times New Roman" w:cs="Times New Roman"/>
                <w:lang w:eastAsia="en-GB"/>
              </w:rPr>
              <w:t>1</w:t>
            </w:r>
          </w:p>
        </w:tc>
        <w:tc>
          <w:tcPr>
            <w:tcW w:w="1130" w:type="dxa"/>
            <w:noWrap/>
            <w:hideMark/>
          </w:tcPr>
          <w:p w14:paraId="3114C86A" w14:textId="77777777" w:rsidR="00A569F6" w:rsidRPr="00F11608" w:rsidRDefault="00A569F6" w:rsidP="00501DB4">
            <w:pPr>
              <w:jc w:val="right"/>
              <w:rPr>
                <w:rFonts w:eastAsia="Times New Roman" w:cs="Times New Roman"/>
                <w:lang w:eastAsia="en-GB"/>
              </w:rPr>
            </w:pPr>
            <w:r w:rsidRPr="00F11608">
              <w:rPr>
                <w:rFonts w:eastAsia="Times New Roman" w:cs="Times New Roman"/>
                <w:lang w:eastAsia="en-GB"/>
              </w:rPr>
              <w:t>4</w:t>
            </w:r>
          </w:p>
        </w:tc>
        <w:tc>
          <w:tcPr>
            <w:tcW w:w="1463" w:type="dxa"/>
            <w:noWrap/>
            <w:hideMark/>
          </w:tcPr>
          <w:p w14:paraId="05595AFC" w14:textId="77777777" w:rsidR="00A569F6" w:rsidRPr="00F11608" w:rsidRDefault="00A569F6" w:rsidP="00501DB4">
            <w:pPr>
              <w:jc w:val="right"/>
              <w:rPr>
                <w:rFonts w:eastAsia="Times New Roman" w:cs="Times New Roman"/>
                <w:lang w:eastAsia="en-GB"/>
              </w:rPr>
            </w:pPr>
            <w:r w:rsidRPr="00F11608">
              <w:rPr>
                <w:rFonts w:eastAsia="Times New Roman" w:cs="Times New Roman"/>
                <w:lang w:eastAsia="en-GB"/>
              </w:rPr>
              <w:t>10</w:t>
            </w:r>
          </w:p>
        </w:tc>
        <w:tc>
          <w:tcPr>
            <w:tcW w:w="711" w:type="dxa"/>
            <w:noWrap/>
            <w:hideMark/>
          </w:tcPr>
          <w:p w14:paraId="50042C2B" w14:textId="77777777" w:rsidR="00A569F6" w:rsidRPr="00F11608" w:rsidRDefault="00A569F6" w:rsidP="00501DB4">
            <w:pPr>
              <w:jc w:val="right"/>
              <w:rPr>
                <w:rFonts w:eastAsia="Times New Roman" w:cs="Times New Roman"/>
                <w:lang w:eastAsia="en-GB"/>
              </w:rPr>
            </w:pPr>
            <w:r w:rsidRPr="00F11608">
              <w:rPr>
                <w:rFonts w:eastAsia="Times New Roman" w:cs="Times New Roman"/>
                <w:lang w:eastAsia="en-GB"/>
              </w:rPr>
              <w:t>69</w:t>
            </w:r>
          </w:p>
        </w:tc>
      </w:tr>
      <w:tr w:rsidR="00A569F6" w:rsidRPr="00F11608" w14:paraId="3F9954B5" w14:textId="77777777" w:rsidTr="006A3B2B">
        <w:trPr>
          <w:trHeight w:val="255"/>
        </w:trPr>
        <w:tc>
          <w:tcPr>
            <w:tcW w:w="3509" w:type="dxa"/>
            <w:noWrap/>
            <w:hideMark/>
          </w:tcPr>
          <w:p w14:paraId="0C698FFF" w14:textId="77777777" w:rsidR="00A569F6" w:rsidRPr="00F11608" w:rsidRDefault="00A569F6" w:rsidP="00501DB4">
            <w:pPr>
              <w:rPr>
                <w:rFonts w:eastAsia="Times New Roman" w:cs="Times New Roman"/>
                <w:lang w:eastAsia="en-GB"/>
              </w:rPr>
            </w:pPr>
            <w:r w:rsidRPr="00F11608">
              <w:rPr>
                <w:rFonts w:eastAsia="Times New Roman" w:cs="Times New Roman"/>
                <w:lang w:eastAsia="en-GB"/>
              </w:rPr>
              <w:t xml:space="preserve">Hereditary Angioedema </w:t>
            </w:r>
          </w:p>
        </w:tc>
        <w:tc>
          <w:tcPr>
            <w:tcW w:w="858" w:type="dxa"/>
            <w:noWrap/>
            <w:hideMark/>
          </w:tcPr>
          <w:p w14:paraId="48C5E13C" w14:textId="77777777" w:rsidR="00A569F6" w:rsidRPr="00F11608" w:rsidRDefault="00A569F6" w:rsidP="00501DB4">
            <w:pPr>
              <w:jc w:val="right"/>
              <w:rPr>
                <w:rFonts w:eastAsia="Times New Roman" w:cs="Times New Roman"/>
                <w:lang w:eastAsia="en-GB"/>
              </w:rPr>
            </w:pPr>
            <w:r w:rsidRPr="00F11608">
              <w:rPr>
                <w:rFonts w:eastAsia="Times New Roman" w:cs="Times New Roman"/>
                <w:lang w:eastAsia="en-GB"/>
              </w:rPr>
              <w:t>0</w:t>
            </w:r>
          </w:p>
        </w:tc>
        <w:tc>
          <w:tcPr>
            <w:tcW w:w="1414" w:type="dxa"/>
            <w:noWrap/>
            <w:hideMark/>
          </w:tcPr>
          <w:p w14:paraId="6A5E8C18" w14:textId="77777777" w:rsidR="00A569F6" w:rsidRPr="00F11608" w:rsidRDefault="00A569F6" w:rsidP="00501DB4">
            <w:pPr>
              <w:jc w:val="right"/>
              <w:rPr>
                <w:rFonts w:eastAsia="Times New Roman" w:cs="Times New Roman"/>
                <w:lang w:eastAsia="en-GB"/>
              </w:rPr>
            </w:pPr>
            <w:r w:rsidRPr="00F11608">
              <w:rPr>
                <w:rFonts w:eastAsia="Times New Roman" w:cs="Times New Roman"/>
                <w:lang w:eastAsia="en-GB"/>
              </w:rPr>
              <w:t>0</w:t>
            </w:r>
          </w:p>
        </w:tc>
        <w:tc>
          <w:tcPr>
            <w:tcW w:w="1130" w:type="dxa"/>
            <w:noWrap/>
            <w:hideMark/>
          </w:tcPr>
          <w:p w14:paraId="483151A1" w14:textId="77777777" w:rsidR="00A569F6" w:rsidRPr="00F11608" w:rsidRDefault="00A569F6" w:rsidP="00501DB4">
            <w:pPr>
              <w:jc w:val="right"/>
              <w:rPr>
                <w:rFonts w:eastAsia="Times New Roman" w:cs="Times New Roman"/>
                <w:lang w:eastAsia="en-GB"/>
              </w:rPr>
            </w:pPr>
            <w:r w:rsidRPr="00F11608">
              <w:rPr>
                <w:rFonts w:eastAsia="Times New Roman" w:cs="Times New Roman"/>
                <w:lang w:eastAsia="en-GB"/>
              </w:rPr>
              <w:t>2</w:t>
            </w:r>
          </w:p>
        </w:tc>
        <w:tc>
          <w:tcPr>
            <w:tcW w:w="1463" w:type="dxa"/>
            <w:noWrap/>
            <w:hideMark/>
          </w:tcPr>
          <w:p w14:paraId="27157052" w14:textId="77777777" w:rsidR="00A569F6" w:rsidRPr="00F11608" w:rsidRDefault="00A569F6" w:rsidP="00501DB4">
            <w:pPr>
              <w:jc w:val="right"/>
              <w:rPr>
                <w:rFonts w:eastAsia="Times New Roman" w:cs="Times New Roman"/>
                <w:lang w:eastAsia="en-GB"/>
              </w:rPr>
            </w:pPr>
            <w:r w:rsidRPr="00F11608">
              <w:rPr>
                <w:rFonts w:eastAsia="Times New Roman" w:cs="Times New Roman"/>
                <w:lang w:eastAsia="en-GB"/>
              </w:rPr>
              <w:t>10</w:t>
            </w:r>
          </w:p>
        </w:tc>
        <w:tc>
          <w:tcPr>
            <w:tcW w:w="711" w:type="dxa"/>
            <w:noWrap/>
            <w:hideMark/>
          </w:tcPr>
          <w:p w14:paraId="7C82C3AA" w14:textId="77777777" w:rsidR="00A569F6" w:rsidRPr="00F11608" w:rsidRDefault="00A569F6" w:rsidP="00501DB4">
            <w:pPr>
              <w:jc w:val="right"/>
              <w:rPr>
                <w:rFonts w:eastAsia="Times New Roman" w:cs="Times New Roman"/>
                <w:lang w:eastAsia="en-GB"/>
              </w:rPr>
            </w:pPr>
            <w:r w:rsidRPr="00F11608">
              <w:rPr>
                <w:rFonts w:eastAsia="Times New Roman" w:cs="Times New Roman"/>
                <w:lang w:eastAsia="en-GB"/>
              </w:rPr>
              <w:t>55</w:t>
            </w:r>
          </w:p>
        </w:tc>
      </w:tr>
      <w:tr w:rsidR="00A569F6" w:rsidRPr="00F11608" w14:paraId="66A441E5" w14:textId="77777777" w:rsidTr="006A3B2B">
        <w:trPr>
          <w:trHeight w:val="255"/>
        </w:trPr>
        <w:tc>
          <w:tcPr>
            <w:tcW w:w="3509" w:type="dxa"/>
            <w:noWrap/>
            <w:hideMark/>
          </w:tcPr>
          <w:p w14:paraId="785378A5" w14:textId="77777777" w:rsidR="00A569F6" w:rsidRPr="00F11608" w:rsidRDefault="00A569F6" w:rsidP="00501DB4">
            <w:pPr>
              <w:rPr>
                <w:rFonts w:eastAsia="Times New Roman" w:cs="Times New Roman"/>
                <w:lang w:eastAsia="en-GB"/>
              </w:rPr>
            </w:pPr>
            <w:r w:rsidRPr="00F11608">
              <w:rPr>
                <w:rFonts w:eastAsia="Times New Roman" w:cs="Times New Roman"/>
                <w:lang w:eastAsia="en-GB"/>
              </w:rPr>
              <w:t>Secondary hypogammaglobulinaemia</w:t>
            </w:r>
          </w:p>
        </w:tc>
        <w:tc>
          <w:tcPr>
            <w:tcW w:w="858" w:type="dxa"/>
            <w:noWrap/>
            <w:hideMark/>
          </w:tcPr>
          <w:p w14:paraId="35484A6D" w14:textId="77777777" w:rsidR="00A569F6" w:rsidRPr="00F11608" w:rsidRDefault="00A569F6" w:rsidP="00501DB4">
            <w:pPr>
              <w:jc w:val="right"/>
              <w:rPr>
                <w:rFonts w:eastAsia="Times New Roman" w:cs="Times New Roman"/>
                <w:lang w:eastAsia="en-GB"/>
              </w:rPr>
            </w:pPr>
            <w:r w:rsidRPr="00F11608">
              <w:rPr>
                <w:rFonts w:eastAsia="Times New Roman" w:cs="Times New Roman"/>
                <w:lang w:eastAsia="en-GB"/>
              </w:rPr>
              <w:t>0</w:t>
            </w:r>
          </w:p>
        </w:tc>
        <w:tc>
          <w:tcPr>
            <w:tcW w:w="1414" w:type="dxa"/>
            <w:noWrap/>
            <w:hideMark/>
          </w:tcPr>
          <w:p w14:paraId="315C146F" w14:textId="77777777" w:rsidR="00A569F6" w:rsidRPr="00F11608" w:rsidRDefault="00A569F6" w:rsidP="00501DB4">
            <w:pPr>
              <w:jc w:val="right"/>
              <w:rPr>
                <w:rFonts w:eastAsia="Times New Roman" w:cs="Times New Roman"/>
                <w:lang w:eastAsia="en-GB"/>
              </w:rPr>
            </w:pPr>
            <w:r w:rsidRPr="00F11608">
              <w:rPr>
                <w:rFonts w:eastAsia="Times New Roman" w:cs="Times New Roman"/>
                <w:lang w:eastAsia="en-GB"/>
              </w:rPr>
              <w:t>0</w:t>
            </w:r>
          </w:p>
        </w:tc>
        <w:tc>
          <w:tcPr>
            <w:tcW w:w="1130" w:type="dxa"/>
            <w:noWrap/>
            <w:hideMark/>
          </w:tcPr>
          <w:p w14:paraId="3488C230" w14:textId="77777777" w:rsidR="00A569F6" w:rsidRPr="00F11608" w:rsidRDefault="00A569F6" w:rsidP="00501DB4">
            <w:pPr>
              <w:jc w:val="right"/>
              <w:rPr>
                <w:rFonts w:eastAsia="Times New Roman" w:cs="Times New Roman"/>
                <w:lang w:eastAsia="en-GB"/>
              </w:rPr>
            </w:pPr>
            <w:r w:rsidRPr="00F11608">
              <w:rPr>
                <w:rFonts w:eastAsia="Times New Roman" w:cs="Times New Roman"/>
                <w:lang w:eastAsia="en-GB"/>
              </w:rPr>
              <w:t>1</w:t>
            </w:r>
          </w:p>
        </w:tc>
        <w:tc>
          <w:tcPr>
            <w:tcW w:w="1463" w:type="dxa"/>
            <w:noWrap/>
            <w:hideMark/>
          </w:tcPr>
          <w:p w14:paraId="7D8E796F" w14:textId="77777777" w:rsidR="00A569F6" w:rsidRPr="00F11608" w:rsidRDefault="00A569F6" w:rsidP="00501DB4">
            <w:pPr>
              <w:jc w:val="right"/>
              <w:rPr>
                <w:rFonts w:eastAsia="Times New Roman" w:cs="Times New Roman"/>
                <w:lang w:eastAsia="en-GB"/>
              </w:rPr>
            </w:pPr>
            <w:r w:rsidRPr="00F11608">
              <w:rPr>
                <w:rFonts w:eastAsia="Times New Roman" w:cs="Times New Roman"/>
                <w:lang w:eastAsia="en-GB"/>
              </w:rPr>
              <w:t>3</w:t>
            </w:r>
          </w:p>
        </w:tc>
        <w:tc>
          <w:tcPr>
            <w:tcW w:w="711" w:type="dxa"/>
            <w:noWrap/>
            <w:hideMark/>
          </w:tcPr>
          <w:p w14:paraId="5DD59AE6" w14:textId="77777777" w:rsidR="00A569F6" w:rsidRPr="00F11608" w:rsidRDefault="00A569F6" w:rsidP="00501DB4">
            <w:pPr>
              <w:jc w:val="right"/>
              <w:rPr>
                <w:rFonts w:eastAsia="Times New Roman" w:cs="Times New Roman"/>
                <w:lang w:eastAsia="en-GB"/>
              </w:rPr>
            </w:pPr>
            <w:r w:rsidRPr="00F11608">
              <w:rPr>
                <w:rFonts w:eastAsia="Times New Roman" w:cs="Times New Roman"/>
                <w:lang w:eastAsia="en-GB"/>
              </w:rPr>
              <w:t>64</w:t>
            </w:r>
          </w:p>
        </w:tc>
      </w:tr>
      <w:tr w:rsidR="00A569F6" w:rsidRPr="00F11608" w14:paraId="787C5D3A" w14:textId="77777777" w:rsidTr="006A3B2B">
        <w:trPr>
          <w:trHeight w:val="155"/>
        </w:trPr>
        <w:tc>
          <w:tcPr>
            <w:tcW w:w="3509" w:type="dxa"/>
            <w:noWrap/>
            <w:hideMark/>
          </w:tcPr>
          <w:p w14:paraId="4680CDF3" w14:textId="77777777" w:rsidR="00A569F6" w:rsidRPr="00F11608" w:rsidRDefault="00A569F6" w:rsidP="00501DB4">
            <w:pPr>
              <w:rPr>
                <w:rFonts w:eastAsia="Times New Roman" w:cs="Times New Roman"/>
                <w:lang w:eastAsia="en-GB"/>
              </w:rPr>
            </w:pPr>
            <w:r w:rsidRPr="00F11608">
              <w:rPr>
                <w:rFonts w:eastAsia="Times New Roman" w:cs="Times New Roman"/>
                <w:lang w:eastAsia="en-GB"/>
              </w:rPr>
              <w:t>Agammaglobulinemia</w:t>
            </w:r>
          </w:p>
        </w:tc>
        <w:tc>
          <w:tcPr>
            <w:tcW w:w="858" w:type="dxa"/>
            <w:noWrap/>
            <w:hideMark/>
          </w:tcPr>
          <w:p w14:paraId="5669C25C" w14:textId="77777777" w:rsidR="00A569F6" w:rsidRPr="00F11608" w:rsidRDefault="00A569F6" w:rsidP="00501DB4">
            <w:pPr>
              <w:jc w:val="right"/>
              <w:rPr>
                <w:rFonts w:eastAsia="Times New Roman" w:cs="Times New Roman"/>
                <w:lang w:eastAsia="en-GB"/>
              </w:rPr>
            </w:pPr>
            <w:r w:rsidRPr="00F11608">
              <w:rPr>
                <w:rFonts w:eastAsia="Times New Roman" w:cs="Times New Roman"/>
                <w:lang w:eastAsia="en-GB"/>
              </w:rPr>
              <w:t>0</w:t>
            </w:r>
          </w:p>
        </w:tc>
        <w:tc>
          <w:tcPr>
            <w:tcW w:w="1414" w:type="dxa"/>
            <w:noWrap/>
            <w:hideMark/>
          </w:tcPr>
          <w:p w14:paraId="32523085" w14:textId="77777777" w:rsidR="00A569F6" w:rsidRPr="00F11608" w:rsidRDefault="00A569F6" w:rsidP="00501DB4">
            <w:pPr>
              <w:jc w:val="right"/>
              <w:rPr>
                <w:rFonts w:eastAsia="Times New Roman" w:cs="Times New Roman"/>
                <w:lang w:eastAsia="en-GB"/>
              </w:rPr>
            </w:pPr>
            <w:r w:rsidRPr="00F11608">
              <w:rPr>
                <w:rFonts w:eastAsia="Times New Roman" w:cs="Times New Roman"/>
                <w:lang w:eastAsia="en-GB"/>
              </w:rPr>
              <w:t>0</w:t>
            </w:r>
          </w:p>
        </w:tc>
        <w:tc>
          <w:tcPr>
            <w:tcW w:w="1130" w:type="dxa"/>
            <w:noWrap/>
            <w:hideMark/>
          </w:tcPr>
          <w:p w14:paraId="161C23C7" w14:textId="77777777" w:rsidR="00A569F6" w:rsidRPr="00F11608" w:rsidRDefault="00A569F6" w:rsidP="00501DB4">
            <w:pPr>
              <w:jc w:val="right"/>
              <w:rPr>
                <w:rFonts w:eastAsia="Times New Roman" w:cs="Times New Roman"/>
                <w:lang w:eastAsia="en-GB"/>
              </w:rPr>
            </w:pPr>
            <w:r w:rsidRPr="00F11608">
              <w:rPr>
                <w:rFonts w:eastAsia="Times New Roman" w:cs="Times New Roman"/>
                <w:lang w:eastAsia="en-GB"/>
              </w:rPr>
              <w:t>1</w:t>
            </w:r>
          </w:p>
        </w:tc>
        <w:tc>
          <w:tcPr>
            <w:tcW w:w="1463" w:type="dxa"/>
            <w:noWrap/>
            <w:hideMark/>
          </w:tcPr>
          <w:p w14:paraId="50954B61" w14:textId="77777777" w:rsidR="00A569F6" w:rsidRPr="00F11608" w:rsidRDefault="00A569F6" w:rsidP="00501DB4">
            <w:pPr>
              <w:jc w:val="right"/>
              <w:rPr>
                <w:rFonts w:eastAsia="Times New Roman" w:cs="Times New Roman"/>
                <w:lang w:eastAsia="en-GB"/>
              </w:rPr>
            </w:pPr>
            <w:r w:rsidRPr="00F11608">
              <w:rPr>
                <w:rFonts w:eastAsia="Times New Roman" w:cs="Times New Roman"/>
                <w:lang w:eastAsia="en-GB"/>
              </w:rPr>
              <w:t>2</w:t>
            </w:r>
          </w:p>
        </w:tc>
        <w:tc>
          <w:tcPr>
            <w:tcW w:w="711" w:type="dxa"/>
            <w:noWrap/>
            <w:hideMark/>
          </w:tcPr>
          <w:p w14:paraId="0A79AA06" w14:textId="77777777" w:rsidR="00A569F6" w:rsidRPr="00F11608" w:rsidRDefault="00A569F6" w:rsidP="00501DB4">
            <w:pPr>
              <w:jc w:val="right"/>
              <w:rPr>
                <w:rFonts w:eastAsia="Times New Roman" w:cs="Times New Roman"/>
                <w:lang w:eastAsia="en-GB"/>
              </w:rPr>
            </w:pPr>
            <w:r w:rsidRPr="00F11608">
              <w:rPr>
                <w:rFonts w:eastAsia="Times New Roman" w:cs="Times New Roman"/>
                <w:lang w:eastAsia="en-GB"/>
              </w:rPr>
              <w:t>44</w:t>
            </w:r>
          </w:p>
        </w:tc>
      </w:tr>
      <w:tr w:rsidR="00A569F6" w:rsidRPr="00F11608" w14:paraId="4FB49CE2" w14:textId="77777777" w:rsidTr="006A3B2B">
        <w:trPr>
          <w:trHeight w:val="255"/>
        </w:trPr>
        <w:tc>
          <w:tcPr>
            <w:tcW w:w="3509" w:type="dxa"/>
            <w:noWrap/>
            <w:hideMark/>
          </w:tcPr>
          <w:p w14:paraId="56116AFC" w14:textId="77777777" w:rsidR="00A569F6" w:rsidRPr="00F11608" w:rsidRDefault="00A569F6" w:rsidP="00501DB4">
            <w:pPr>
              <w:rPr>
                <w:rFonts w:eastAsia="Times New Roman" w:cs="Times New Roman"/>
                <w:lang w:eastAsia="en-GB"/>
              </w:rPr>
            </w:pPr>
            <w:r w:rsidRPr="00F11608">
              <w:rPr>
                <w:rFonts w:eastAsia="Times New Roman" w:cs="Times New Roman"/>
                <w:lang w:eastAsia="en-GB"/>
              </w:rPr>
              <w:t>Unclassified antibody deficiency</w:t>
            </w:r>
          </w:p>
        </w:tc>
        <w:tc>
          <w:tcPr>
            <w:tcW w:w="858" w:type="dxa"/>
            <w:noWrap/>
            <w:hideMark/>
          </w:tcPr>
          <w:p w14:paraId="75423B8E" w14:textId="77777777" w:rsidR="00A569F6" w:rsidRPr="00F11608" w:rsidRDefault="00A569F6" w:rsidP="00501DB4">
            <w:pPr>
              <w:jc w:val="right"/>
              <w:rPr>
                <w:rFonts w:eastAsia="Times New Roman" w:cs="Times New Roman"/>
                <w:lang w:eastAsia="en-GB"/>
              </w:rPr>
            </w:pPr>
            <w:r w:rsidRPr="00F11608">
              <w:rPr>
                <w:rFonts w:eastAsia="Times New Roman" w:cs="Times New Roman"/>
                <w:lang w:eastAsia="en-GB"/>
              </w:rPr>
              <w:t>0</w:t>
            </w:r>
          </w:p>
        </w:tc>
        <w:tc>
          <w:tcPr>
            <w:tcW w:w="1414" w:type="dxa"/>
            <w:noWrap/>
            <w:hideMark/>
          </w:tcPr>
          <w:p w14:paraId="08F3BA04" w14:textId="77777777" w:rsidR="00A569F6" w:rsidRPr="00F11608" w:rsidRDefault="00A569F6" w:rsidP="00501DB4">
            <w:pPr>
              <w:jc w:val="right"/>
              <w:rPr>
                <w:rFonts w:eastAsia="Times New Roman" w:cs="Times New Roman"/>
                <w:lang w:eastAsia="en-GB"/>
              </w:rPr>
            </w:pPr>
            <w:r w:rsidRPr="00F11608">
              <w:rPr>
                <w:rFonts w:eastAsia="Times New Roman" w:cs="Times New Roman"/>
                <w:lang w:eastAsia="en-GB"/>
              </w:rPr>
              <w:t>1</w:t>
            </w:r>
          </w:p>
        </w:tc>
        <w:tc>
          <w:tcPr>
            <w:tcW w:w="1130" w:type="dxa"/>
            <w:noWrap/>
            <w:hideMark/>
          </w:tcPr>
          <w:p w14:paraId="0933CFA6" w14:textId="77777777" w:rsidR="00A569F6" w:rsidRPr="00F11608" w:rsidRDefault="00A569F6" w:rsidP="00501DB4">
            <w:pPr>
              <w:jc w:val="right"/>
              <w:rPr>
                <w:rFonts w:eastAsia="Times New Roman" w:cs="Times New Roman"/>
                <w:lang w:eastAsia="en-GB"/>
              </w:rPr>
            </w:pPr>
            <w:r w:rsidRPr="00F11608">
              <w:rPr>
                <w:rFonts w:eastAsia="Times New Roman" w:cs="Times New Roman"/>
                <w:lang w:eastAsia="en-GB"/>
              </w:rPr>
              <w:t>2</w:t>
            </w:r>
          </w:p>
        </w:tc>
        <w:tc>
          <w:tcPr>
            <w:tcW w:w="1463" w:type="dxa"/>
            <w:noWrap/>
            <w:hideMark/>
          </w:tcPr>
          <w:p w14:paraId="23B1BC84" w14:textId="77777777" w:rsidR="00A569F6" w:rsidRPr="00F11608" w:rsidRDefault="00A569F6" w:rsidP="00501DB4">
            <w:pPr>
              <w:jc w:val="right"/>
              <w:rPr>
                <w:rFonts w:eastAsia="Times New Roman" w:cs="Times New Roman"/>
                <w:lang w:eastAsia="en-GB"/>
              </w:rPr>
            </w:pPr>
            <w:r w:rsidRPr="00F11608">
              <w:rPr>
                <w:rFonts w:eastAsia="Times New Roman" w:cs="Times New Roman"/>
                <w:lang w:eastAsia="en-GB"/>
              </w:rPr>
              <w:t>5</w:t>
            </w:r>
          </w:p>
        </w:tc>
        <w:tc>
          <w:tcPr>
            <w:tcW w:w="711" w:type="dxa"/>
            <w:noWrap/>
            <w:hideMark/>
          </w:tcPr>
          <w:p w14:paraId="7499EA0B" w14:textId="77777777" w:rsidR="00A569F6" w:rsidRPr="00F11608" w:rsidRDefault="00A569F6" w:rsidP="00501DB4">
            <w:pPr>
              <w:jc w:val="right"/>
              <w:rPr>
                <w:rFonts w:eastAsia="Times New Roman" w:cs="Times New Roman"/>
                <w:lang w:eastAsia="en-GB"/>
              </w:rPr>
            </w:pPr>
            <w:r w:rsidRPr="00F11608">
              <w:rPr>
                <w:rFonts w:eastAsia="Times New Roman" w:cs="Times New Roman"/>
                <w:lang w:eastAsia="en-GB"/>
              </w:rPr>
              <w:t>61</w:t>
            </w:r>
          </w:p>
        </w:tc>
      </w:tr>
      <w:tr w:rsidR="00A569F6" w:rsidRPr="00F11608" w14:paraId="21EAB734" w14:textId="77777777" w:rsidTr="006A3B2B">
        <w:trPr>
          <w:trHeight w:val="255"/>
        </w:trPr>
        <w:tc>
          <w:tcPr>
            <w:tcW w:w="3509" w:type="dxa"/>
            <w:noWrap/>
            <w:hideMark/>
          </w:tcPr>
          <w:p w14:paraId="5EF371BA" w14:textId="77777777" w:rsidR="00A569F6" w:rsidRPr="00F11608" w:rsidRDefault="00A569F6" w:rsidP="00501DB4">
            <w:pPr>
              <w:rPr>
                <w:rFonts w:eastAsia="Times New Roman" w:cs="Times New Roman"/>
                <w:lang w:eastAsia="en-GB"/>
              </w:rPr>
            </w:pPr>
            <w:r w:rsidRPr="00F11608">
              <w:rPr>
                <w:rFonts w:eastAsia="Times New Roman" w:cs="Times New Roman"/>
                <w:lang w:eastAsia="en-GB"/>
              </w:rPr>
              <w:t>&lt; 18 years</w:t>
            </w:r>
          </w:p>
        </w:tc>
        <w:tc>
          <w:tcPr>
            <w:tcW w:w="858" w:type="dxa"/>
            <w:noWrap/>
            <w:hideMark/>
          </w:tcPr>
          <w:p w14:paraId="3C5ECE6D" w14:textId="77777777" w:rsidR="00A569F6" w:rsidRPr="00F11608" w:rsidRDefault="00A569F6" w:rsidP="00501DB4">
            <w:pPr>
              <w:jc w:val="right"/>
              <w:rPr>
                <w:rFonts w:eastAsia="Times New Roman" w:cs="Times New Roman"/>
                <w:lang w:eastAsia="en-GB"/>
              </w:rPr>
            </w:pPr>
            <w:r w:rsidRPr="00F11608">
              <w:rPr>
                <w:rFonts w:eastAsia="Times New Roman" w:cs="Times New Roman"/>
                <w:lang w:eastAsia="en-GB"/>
              </w:rPr>
              <w:t>0</w:t>
            </w:r>
          </w:p>
        </w:tc>
        <w:tc>
          <w:tcPr>
            <w:tcW w:w="1414" w:type="dxa"/>
            <w:noWrap/>
            <w:hideMark/>
          </w:tcPr>
          <w:p w14:paraId="1C220DFB" w14:textId="77777777" w:rsidR="00A569F6" w:rsidRPr="00F11608" w:rsidRDefault="00A569F6" w:rsidP="00501DB4">
            <w:pPr>
              <w:jc w:val="right"/>
              <w:rPr>
                <w:rFonts w:eastAsia="Times New Roman" w:cs="Times New Roman"/>
                <w:lang w:eastAsia="en-GB"/>
              </w:rPr>
            </w:pPr>
            <w:r w:rsidRPr="00F11608">
              <w:rPr>
                <w:rFonts w:eastAsia="Times New Roman" w:cs="Times New Roman"/>
                <w:lang w:eastAsia="en-GB"/>
              </w:rPr>
              <w:t>0</w:t>
            </w:r>
          </w:p>
        </w:tc>
        <w:tc>
          <w:tcPr>
            <w:tcW w:w="1130" w:type="dxa"/>
            <w:noWrap/>
            <w:hideMark/>
          </w:tcPr>
          <w:p w14:paraId="617F1C9D" w14:textId="77777777" w:rsidR="00A569F6" w:rsidRPr="00F11608" w:rsidRDefault="00A569F6" w:rsidP="00501DB4">
            <w:pPr>
              <w:jc w:val="right"/>
              <w:rPr>
                <w:rFonts w:eastAsia="Times New Roman" w:cs="Times New Roman"/>
                <w:lang w:eastAsia="en-GB"/>
              </w:rPr>
            </w:pPr>
            <w:r w:rsidRPr="00F11608">
              <w:rPr>
                <w:rFonts w:eastAsia="Times New Roman" w:cs="Times New Roman"/>
                <w:lang w:eastAsia="en-GB"/>
              </w:rPr>
              <w:t>0</w:t>
            </w:r>
          </w:p>
        </w:tc>
        <w:tc>
          <w:tcPr>
            <w:tcW w:w="1463" w:type="dxa"/>
            <w:noWrap/>
            <w:hideMark/>
          </w:tcPr>
          <w:p w14:paraId="6479A958" w14:textId="77777777" w:rsidR="00A569F6" w:rsidRPr="00F11608" w:rsidRDefault="00A569F6" w:rsidP="00501DB4">
            <w:pPr>
              <w:jc w:val="right"/>
              <w:rPr>
                <w:rFonts w:eastAsia="Times New Roman" w:cs="Times New Roman"/>
                <w:lang w:eastAsia="en-GB"/>
              </w:rPr>
            </w:pPr>
            <w:r w:rsidRPr="00F11608">
              <w:rPr>
                <w:rFonts w:eastAsia="Times New Roman" w:cs="Times New Roman"/>
                <w:lang w:eastAsia="en-GB"/>
              </w:rPr>
              <w:t>1</w:t>
            </w:r>
          </w:p>
        </w:tc>
        <w:tc>
          <w:tcPr>
            <w:tcW w:w="711" w:type="dxa"/>
            <w:noWrap/>
            <w:hideMark/>
          </w:tcPr>
          <w:p w14:paraId="2A628DE8" w14:textId="77777777" w:rsidR="00A569F6" w:rsidRPr="00F11608" w:rsidRDefault="00A569F6" w:rsidP="00501DB4">
            <w:pPr>
              <w:jc w:val="right"/>
              <w:rPr>
                <w:rFonts w:eastAsia="Times New Roman" w:cs="Times New Roman"/>
                <w:lang w:eastAsia="en-GB"/>
              </w:rPr>
            </w:pPr>
            <w:r w:rsidRPr="00F11608">
              <w:rPr>
                <w:rFonts w:eastAsia="Times New Roman" w:cs="Times New Roman"/>
                <w:lang w:eastAsia="en-GB"/>
              </w:rPr>
              <w:t>14</w:t>
            </w:r>
          </w:p>
        </w:tc>
      </w:tr>
      <w:tr w:rsidR="00A569F6" w:rsidRPr="00F11608" w14:paraId="3F99431D" w14:textId="77777777" w:rsidTr="006A3B2B">
        <w:trPr>
          <w:trHeight w:val="255"/>
        </w:trPr>
        <w:tc>
          <w:tcPr>
            <w:tcW w:w="3509" w:type="dxa"/>
            <w:noWrap/>
            <w:hideMark/>
          </w:tcPr>
          <w:p w14:paraId="44830907" w14:textId="77777777" w:rsidR="00A569F6" w:rsidRPr="00F11608" w:rsidRDefault="00A569F6" w:rsidP="00501DB4">
            <w:pPr>
              <w:rPr>
                <w:rFonts w:eastAsia="Times New Roman" w:cs="Times New Roman"/>
                <w:lang w:eastAsia="en-GB"/>
              </w:rPr>
            </w:pPr>
            <w:r w:rsidRPr="00F11608">
              <w:rPr>
                <w:rFonts w:eastAsia="Times New Roman" w:cs="Times New Roman"/>
                <w:lang w:eastAsia="en-GB"/>
              </w:rPr>
              <w:t>between 18 and 65</w:t>
            </w:r>
          </w:p>
        </w:tc>
        <w:tc>
          <w:tcPr>
            <w:tcW w:w="858" w:type="dxa"/>
            <w:noWrap/>
            <w:hideMark/>
          </w:tcPr>
          <w:p w14:paraId="71FE21CA" w14:textId="77777777" w:rsidR="00A569F6" w:rsidRPr="00F11608" w:rsidRDefault="00A569F6" w:rsidP="00501DB4">
            <w:pPr>
              <w:jc w:val="right"/>
              <w:rPr>
                <w:rFonts w:eastAsia="Times New Roman" w:cs="Times New Roman"/>
                <w:lang w:eastAsia="en-GB"/>
              </w:rPr>
            </w:pPr>
            <w:r w:rsidRPr="00F11608">
              <w:rPr>
                <w:rFonts w:eastAsia="Times New Roman" w:cs="Times New Roman"/>
                <w:lang w:eastAsia="en-GB"/>
              </w:rPr>
              <w:t>0</w:t>
            </w:r>
          </w:p>
        </w:tc>
        <w:tc>
          <w:tcPr>
            <w:tcW w:w="1414" w:type="dxa"/>
            <w:noWrap/>
            <w:hideMark/>
          </w:tcPr>
          <w:p w14:paraId="3D6330D4" w14:textId="77777777" w:rsidR="00A569F6" w:rsidRPr="00F11608" w:rsidRDefault="00A569F6" w:rsidP="00501DB4">
            <w:pPr>
              <w:jc w:val="right"/>
              <w:rPr>
                <w:rFonts w:eastAsia="Times New Roman" w:cs="Times New Roman"/>
                <w:lang w:eastAsia="en-GB"/>
              </w:rPr>
            </w:pPr>
            <w:r w:rsidRPr="00F11608">
              <w:rPr>
                <w:rFonts w:eastAsia="Times New Roman" w:cs="Times New Roman"/>
                <w:lang w:eastAsia="en-GB"/>
              </w:rPr>
              <w:t>1</w:t>
            </w:r>
          </w:p>
        </w:tc>
        <w:tc>
          <w:tcPr>
            <w:tcW w:w="1130" w:type="dxa"/>
            <w:noWrap/>
            <w:hideMark/>
          </w:tcPr>
          <w:p w14:paraId="215504F7" w14:textId="77777777" w:rsidR="00A569F6" w:rsidRPr="00F11608" w:rsidRDefault="00A569F6" w:rsidP="00501DB4">
            <w:pPr>
              <w:jc w:val="right"/>
              <w:rPr>
                <w:rFonts w:eastAsia="Times New Roman" w:cs="Times New Roman"/>
                <w:lang w:eastAsia="en-GB"/>
              </w:rPr>
            </w:pPr>
            <w:r w:rsidRPr="00F11608">
              <w:rPr>
                <w:rFonts w:eastAsia="Times New Roman" w:cs="Times New Roman"/>
                <w:lang w:eastAsia="en-GB"/>
              </w:rPr>
              <w:t>3</w:t>
            </w:r>
          </w:p>
        </w:tc>
        <w:tc>
          <w:tcPr>
            <w:tcW w:w="1463" w:type="dxa"/>
            <w:noWrap/>
            <w:hideMark/>
          </w:tcPr>
          <w:p w14:paraId="55AC4A4D" w14:textId="77777777" w:rsidR="00A569F6" w:rsidRPr="00F11608" w:rsidRDefault="00A569F6" w:rsidP="00501DB4">
            <w:pPr>
              <w:jc w:val="right"/>
              <w:rPr>
                <w:rFonts w:eastAsia="Times New Roman" w:cs="Times New Roman"/>
                <w:lang w:eastAsia="en-GB"/>
              </w:rPr>
            </w:pPr>
            <w:r w:rsidRPr="00F11608">
              <w:rPr>
                <w:rFonts w:eastAsia="Times New Roman" w:cs="Times New Roman"/>
                <w:lang w:eastAsia="en-GB"/>
              </w:rPr>
              <w:t>8</w:t>
            </w:r>
          </w:p>
        </w:tc>
        <w:tc>
          <w:tcPr>
            <w:tcW w:w="711" w:type="dxa"/>
            <w:noWrap/>
            <w:hideMark/>
          </w:tcPr>
          <w:p w14:paraId="4DAB4C41" w14:textId="77777777" w:rsidR="00A569F6" w:rsidRPr="00F11608" w:rsidRDefault="00A569F6" w:rsidP="00501DB4">
            <w:pPr>
              <w:jc w:val="right"/>
              <w:rPr>
                <w:rFonts w:eastAsia="Times New Roman" w:cs="Times New Roman"/>
                <w:lang w:eastAsia="en-GB"/>
              </w:rPr>
            </w:pPr>
            <w:r w:rsidRPr="00F11608">
              <w:rPr>
                <w:rFonts w:eastAsia="Times New Roman" w:cs="Times New Roman"/>
                <w:lang w:eastAsia="en-GB"/>
              </w:rPr>
              <w:t>48</w:t>
            </w:r>
          </w:p>
        </w:tc>
      </w:tr>
      <w:tr w:rsidR="00A569F6" w:rsidRPr="00F11608" w14:paraId="7B700D96" w14:textId="77777777" w:rsidTr="006A3B2B">
        <w:trPr>
          <w:trHeight w:val="255"/>
        </w:trPr>
        <w:tc>
          <w:tcPr>
            <w:tcW w:w="3509" w:type="dxa"/>
            <w:noWrap/>
            <w:hideMark/>
          </w:tcPr>
          <w:p w14:paraId="75B07FC8" w14:textId="77777777" w:rsidR="00A569F6" w:rsidRPr="00F11608" w:rsidRDefault="00A569F6" w:rsidP="00501DB4">
            <w:pPr>
              <w:rPr>
                <w:rFonts w:eastAsia="Times New Roman" w:cs="Times New Roman"/>
                <w:lang w:eastAsia="en-GB"/>
              </w:rPr>
            </w:pPr>
            <w:r w:rsidRPr="00F11608">
              <w:rPr>
                <w:rFonts w:eastAsia="Times New Roman" w:cs="Times New Roman"/>
                <w:lang w:eastAsia="en-GB"/>
              </w:rPr>
              <w:t>&gt; 65 years</w:t>
            </w:r>
          </w:p>
        </w:tc>
        <w:tc>
          <w:tcPr>
            <w:tcW w:w="858" w:type="dxa"/>
            <w:noWrap/>
            <w:hideMark/>
          </w:tcPr>
          <w:p w14:paraId="0F230A1B" w14:textId="77777777" w:rsidR="00A569F6" w:rsidRPr="00F11608" w:rsidRDefault="00A569F6" w:rsidP="00501DB4">
            <w:pPr>
              <w:jc w:val="right"/>
              <w:rPr>
                <w:rFonts w:eastAsia="Times New Roman" w:cs="Times New Roman"/>
                <w:lang w:eastAsia="en-GB"/>
              </w:rPr>
            </w:pPr>
            <w:r w:rsidRPr="00F11608">
              <w:rPr>
                <w:rFonts w:eastAsia="Times New Roman" w:cs="Times New Roman"/>
                <w:lang w:eastAsia="en-GB"/>
              </w:rPr>
              <w:t>0</w:t>
            </w:r>
          </w:p>
        </w:tc>
        <w:tc>
          <w:tcPr>
            <w:tcW w:w="1414" w:type="dxa"/>
            <w:noWrap/>
            <w:hideMark/>
          </w:tcPr>
          <w:p w14:paraId="4E475765" w14:textId="77777777" w:rsidR="00A569F6" w:rsidRPr="00F11608" w:rsidRDefault="00A569F6" w:rsidP="00501DB4">
            <w:pPr>
              <w:jc w:val="right"/>
              <w:rPr>
                <w:rFonts w:eastAsia="Times New Roman" w:cs="Times New Roman"/>
                <w:lang w:eastAsia="en-GB"/>
              </w:rPr>
            </w:pPr>
            <w:r w:rsidRPr="00F11608">
              <w:rPr>
                <w:rFonts w:eastAsia="Times New Roman" w:cs="Times New Roman"/>
                <w:lang w:eastAsia="en-GB"/>
              </w:rPr>
              <w:t>1</w:t>
            </w:r>
          </w:p>
        </w:tc>
        <w:tc>
          <w:tcPr>
            <w:tcW w:w="1130" w:type="dxa"/>
            <w:noWrap/>
            <w:hideMark/>
          </w:tcPr>
          <w:p w14:paraId="21F09044" w14:textId="77777777" w:rsidR="00A569F6" w:rsidRPr="00F11608" w:rsidRDefault="00A569F6" w:rsidP="00501DB4">
            <w:pPr>
              <w:jc w:val="right"/>
              <w:rPr>
                <w:rFonts w:eastAsia="Times New Roman" w:cs="Times New Roman"/>
                <w:lang w:eastAsia="en-GB"/>
              </w:rPr>
            </w:pPr>
            <w:r w:rsidRPr="00F11608">
              <w:rPr>
                <w:rFonts w:eastAsia="Times New Roman" w:cs="Times New Roman"/>
                <w:lang w:eastAsia="en-GB"/>
              </w:rPr>
              <w:t>3</w:t>
            </w:r>
          </w:p>
        </w:tc>
        <w:tc>
          <w:tcPr>
            <w:tcW w:w="1463" w:type="dxa"/>
            <w:noWrap/>
            <w:hideMark/>
          </w:tcPr>
          <w:p w14:paraId="24DB3AA0" w14:textId="77777777" w:rsidR="00A569F6" w:rsidRPr="00F11608" w:rsidRDefault="00A569F6" w:rsidP="00501DB4">
            <w:pPr>
              <w:jc w:val="right"/>
              <w:rPr>
                <w:rFonts w:eastAsia="Times New Roman" w:cs="Times New Roman"/>
                <w:lang w:eastAsia="en-GB"/>
              </w:rPr>
            </w:pPr>
            <w:r w:rsidRPr="00F11608">
              <w:rPr>
                <w:rFonts w:eastAsia="Times New Roman" w:cs="Times New Roman"/>
                <w:lang w:eastAsia="en-GB"/>
              </w:rPr>
              <w:t>10</w:t>
            </w:r>
          </w:p>
        </w:tc>
        <w:tc>
          <w:tcPr>
            <w:tcW w:w="711" w:type="dxa"/>
            <w:noWrap/>
            <w:hideMark/>
          </w:tcPr>
          <w:p w14:paraId="0964CF44" w14:textId="77777777" w:rsidR="00A569F6" w:rsidRPr="00F11608" w:rsidRDefault="00A569F6" w:rsidP="00501DB4">
            <w:pPr>
              <w:keepNext/>
              <w:jc w:val="right"/>
              <w:rPr>
                <w:rFonts w:eastAsia="Times New Roman" w:cs="Times New Roman"/>
                <w:lang w:eastAsia="en-GB"/>
              </w:rPr>
            </w:pPr>
            <w:r w:rsidRPr="00F11608">
              <w:rPr>
                <w:rFonts w:eastAsia="Times New Roman" w:cs="Times New Roman"/>
                <w:lang w:eastAsia="en-GB"/>
              </w:rPr>
              <w:t>69</w:t>
            </w:r>
          </w:p>
        </w:tc>
      </w:tr>
    </w:tbl>
    <w:p w14:paraId="1010C424" w14:textId="77777777" w:rsidR="00A569F6" w:rsidRPr="00DA5C04" w:rsidRDefault="00A569F6" w:rsidP="00A569F6">
      <w:pPr>
        <w:rPr>
          <w:rFonts w:cs="Times New Roman"/>
          <w:sz w:val="24"/>
          <w:szCs w:val="24"/>
        </w:rPr>
      </w:pPr>
    </w:p>
    <w:p w14:paraId="6E414549" w14:textId="77777777" w:rsidR="00A569F6" w:rsidRPr="00DA5C04" w:rsidRDefault="00A569F6" w:rsidP="00A569F6">
      <w:pPr>
        <w:rPr>
          <w:rFonts w:cs="Times New Roman"/>
          <w:sz w:val="24"/>
          <w:szCs w:val="24"/>
        </w:rPr>
      </w:pPr>
    </w:p>
    <w:p w14:paraId="590BE1CD" w14:textId="77777777" w:rsidR="00A569F6" w:rsidRPr="00DA5C04" w:rsidRDefault="00A569F6" w:rsidP="00A569F6">
      <w:pPr>
        <w:rPr>
          <w:rFonts w:cs="Times New Roman"/>
          <w:sz w:val="24"/>
          <w:szCs w:val="24"/>
        </w:rPr>
      </w:pPr>
    </w:p>
    <w:p w14:paraId="37E25F0C" w14:textId="77777777" w:rsidR="00A569F6" w:rsidRPr="00DA5C04" w:rsidRDefault="00A569F6" w:rsidP="00A569F6">
      <w:pPr>
        <w:rPr>
          <w:rFonts w:cs="Times New Roman"/>
          <w:sz w:val="24"/>
          <w:szCs w:val="24"/>
        </w:rPr>
      </w:pPr>
    </w:p>
    <w:p w14:paraId="02652694" w14:textId="77777777" w:rsidR="00A569F6" w:rsidRPr="00DA5C04" w:rsidRDefault="00A569F6" w:rsidP="00A569F6">
      <w:pPr>
        <w:rPr>
          <w:rFonts w:cs="Times New Roman"/>
          <w:sz w:val="24"/>
          <w:szCs w:val="24"/>
        </w:rPr>
      </w:pPr>
    </w:p>
    <w:p w14:paraId="7D85BFB9" w14:textId="77777777" w:rsidR="00A569F6" w:rsidRPr="00DA5C04" w:rsidRDefault="00A569F6" w:rsidP="00A569F6">
      <w:pPr>
        <w:rPr>
          <w:rFonts w:cs="Times New Roman"/>
          <w:sz w:val="24"/>
          <w:szCs w:val="24"/>
        </w:rPr>
      </w:pPr>
    </w:p>
    <w:p w14:paraId="0F1912C0" w14:textId="77777777" w:rsidR="00A569F6" w:rsidRPr="00DA5C04" w:rsidRDefault="00A569F6" w:rsidP="00A569F6">
      <w:pPr>
        <w:rPr>
          <w:rFonts w:cs="Times New Roman"/>
          <w:sz w:val="24"/>
          <w:szCs w:val="24"/>
        </w:rPr>
      </w:pPr>
    </w:p>
    <w:p w14:paraId="4FF10194" w14:textId="77777777" w:rsidR="00A569F6" w:rsidRPr="00DA5C04" w:rsidRDefault="00A569F6" w:rsidP="00A569F6">
      <w:pPr>
        <w:rPr>
          <w:rFonts w:cs="Times New Roman"/>
          <w:sz w:val="24"/>
          <w:szCs w:val="24"/>
        </w:rPr>
      </w:pPr>
    </w:p>
    <w:p w14:paraId="6BD65C96" w14:textId="77777777" w:rsidR="00A569F6" w:rsidRPr="00DA5C04" w:rsidRDefault="00A569F6" w:rsidP="00A569F6">
      <w:pPr>
        <w:rPr>
          <w:rFonts w:cs="Times New Roman"/>
          <w:sz w:val="24"/>
          <w:szCs w:val="24"/>
        </w:rPr>
      </w:pPr>
    </w:p>
    <w:p w14:paraId="19AACDD2" w14:textId="77777777" w:rsidR="00A569F6" w:rsidRPr="00DA5C04" w:rsidRDefault="00A569F6" w:rsidP="00A569F6">
      <w:pPr>
        <w:rPr>
          <w:rFonts w:cs="Times New Roman"/>
          <w:sz w:val="24"/>
          <w:szCs w:val="24"/>
        </w:rPr>
      </w:pPr>
    </w:p>
    <w:p w14:paraId="48A6B759" w14:textId="77777777" w:rsidR="00A569F6" w:rsidRPr="00DA5C04" w:rsidRDefault="00A569F6" w:rsidP="00A569F6">
      <w:pPr>
        <w:rPr>
          <w:rFonts w:cs="Times New Roman"/>
          <w:sz w:val="24"/>
          <w:szCs w:val="24"/>
        </w:rPr>
      </w:pPr>
    </w:p>
    <w:p w14:paraId="3ED4A4CD" w14:textId="77777777" w:rsidR="00A569F6" w:rsidRPr="00DA5C04" w:rsidRDefault="00A569F6" w:rsidP="00A569F6">
      <w:pPr>
        <w:rPr>
          <w:rFonts w:cs="Times New Roman"/>
          <w:sz w:val="24"/>
          <w:szCs w:val="24"/>
        </w:rPr>
      </w:pPr>
    </w:p>
    <w:p w14:paraId="7EC333A5" w14:textId="77777777" w:rsidR="00A569F6" w:rsidRPr="00DA5C04" w:rsidRDefault="00A569F6" w:rsidP="00A569F6">
      <w:pPr>
        <w:rPr>
          <w:rFonts w:cs="Times New Roman"/>
          <w:sz w:val="24"/>
          <w:szCs w:val="24"/>
        </w:rPr>
      </w:pPr>
    </w:p>
    <w:p w14:paraId="21A145B7" w14:textId="77777777" w:rsidR="00A569F6" w:rsidRPr="00F11608" w:rsidRDefault="00A569F6" w:rsidP="00A569F6">
      <w:pPr>
        <w:rPr>
          <w:rFonts w:cs="Times New Roman"/>
        </w:rPr>
      </w:pPr>
    </w:p>
    <w:p w14:paraId="632D4081" w14:textId="77777777" w:rsidR="0002324A" w:rsidRPr="00F11608" w:rsidRDefault="003E6277" w:rsidP="00B37F34">
      <w:pPr>
        <w:pStyle w:val="Caption"/>
        <w:rPr>
          <w:i w:val="0"/>
          <w:color w:val="000000" w:themeColor="text1"/>
          <w:szCs w:val="22"/>
        </w:rPr>
      </w:pPr>
      <w:r w:rsidRPr="00F11608">
        <w:rPr>
          <w:b/>
          <w:i w:val="0"/>
          <w:color w:val="000000" w:themeColor="text1"/>
          <w:szCs w:val="22"/>
        </w:rPr>
        <w:t xml:space="preserve">Table </w:t>
      </w:r>
      <w:r w:rsidR="000E3A09" w:rsidRPr="00F11608">
        <w:rPr>
          <w:b/>
          <w:i w:val="0"/>
          <w:color w:val="000000" w:themeColor="text1"/>
          <w:szCs w:val="22"/>
        </w:rPr>
        <w:fldChar w:fldCharType="begin"/>
      </w:r>
      <w:r w:rsidR="000E3A09" w:rsidRPr="00F11608">
        <w:rPr>
          <w:b/>
          <w:i w:val="0"/>
          <w:color w:val="000000" w:themeColor="text1"/>
          <w:szCs w:val="22"/>
        </w:rPr>
        <w:instrText xml:space="preserve"> SEQ Table \* ARABIC </w:instrText>
      </w:r>
      <w:r w:rsidR="000E3A09" w:rsidRPr="00F11608">
        <w:rPr>
          <w:b/>
          <w:i w:val="0"/>
          <w:color w:val="000000" w:themeColor="text1"/>
          <w:szCs w:val="22"/>
        </w:rPr>
        <w:fldChar w:fldCharType="separate"/>
      </w:r>
      <w:r w:rsidRPr="00F11608">
        <w:rPr>
          <w:b/>
          <w:i w:val="0"/>
          <w:color w:val="000000" w:themeColor="text1"/>
          <w:szCs w:val="22"/>
        </w:rPr>
        <w:t>3</w:t>
      </w:r>
      <w:r w:rsidR="000E3A09" w:rsidRPr="00F11608">
        <w:rPr>
          <w:b/>
          <w:i w:val="0"/>
          <w:color w:val="000000" w:themeColor="text1"/>
          <w:szCs w:val="22"/>
        </w:rPr>
        <w:fldChar w:fldCharType="end"/>
      </w:r>
      <w:r w:rsidRPr="00F11608">
        <w:rPr>
          <w:i w:val="0"/>
          <w:color w:val="000000" w:themeColor="text1"/>
          <w:szCs w:val="22"/>
        </w:rPr>
        <w:t xml:space="preserve"> Genetic Defects in SCID registry patients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4"/>
        <w:gridCol w:w="1954"/>
        <w:gridCol w:w="1954"/>
      </w:tblGrid>
      <w:tr w:rsidR="003E6277" w:rsidRPr="00F11608" w14:paraId="3F3D25A2" w14:textId="77777777" w:rsidTr="00B37F34">
        <w:trPr>
          <w:trHeight w:val="300"/>
        </w:trPr>
        <w:tc>
          <w:tcPr>
            <w:tcW w:w="2885" w:type="pct"/>
            <w:shd w:val="clear" w:color="auto" w:fill="auto"/>
            <w:noWrap/>
            <w:vAlign w:val="bottom"/>
            <w:hideMark/>
          </w:tcPr>
          <w:p w14:paraId="5A10925E" w14:textId="77777777" w:rsidR="003E6277" w:rsidRPr="00F11608" w:rsidRDefault="003E6277" w:rsidP="003E6277">
            <w:pPr>
              <w:spacing w:after="0" w:line="240" w:lineRule="auto"/>
              <w:rPr>
                <w:b/>
              </w:rPr>
            </w:pPr>
            <w:r w:rsidRPr="00F11608">
              <w:rPr>
                <w:b/>
              </w:rPr>
              <w:t xml:space="preserve">Genetic Defect    </w:t>
            </w:r>
          </w:p>
        </w:tc>
        <w:tc>
          <w:tcPr>
            <w:tcW w:w="1057" w:type="pct"/>
            <w:shd w:val="clear" w:color="auto" w:fill="auto"/>
            <w:noWrap/>
            <w:vAlign w:val="bottom"/>
            <w:hideMark/>
          </w:tcPr>
          <w:p w14:paraId="48CC0381" w14:textId="77777777" w:rsidR="003E6277" w:rsidRPr="00F11608" w:rsidRDefault="003E6277" w:rsidP="003E6277">
            <w:pPr>
              <w:spacing w:after="0" w:line="240" w:lineRule="auto"/>
              <w:rPr>
                <w:b/>
              </w:rPr>
            </w:pPr>
            <w:r w:rsidRPr="00F11608">
              <w:rPr>
                <w:b/>
              </w:rPr>
              <w:t>Number of Cases</w:t>
            </w:r>
          </w:p>
        </w:tc>
        <w:tc>
          <w:tcPr>
            <w:tcW w:w="1057" w:type="pct"/>
            <w:shd w:val="clear" w:color="auto" w:fill="auto"/>
            <w:noWrap/>
            <w:vAlign w:val="bottom"/>
            <w:hideMark/>
          </w:tcPr>
          <w:p w14:paraId="55AF4028" w14:textId="77777777" w:rsidR="003E6277" w:rsidRPr="00F11608" w:rsidRDefault="003E6277" w:rsidP="003E6277">
            <w:pPr>
              <w:spacing w:after="0" w:line="240" w:lineRule="auto"/>
              <w:rPr>
                <w:b/>
              </w:rPr>
            </w:pPr>
            <w:r w:rsidRPr="00F11608">
              <w:rPr>
                <w:b/>
              </w:rPr>
              <w:t>Proportion (%)</w:t>
            </w:r>
          </w:p>
        </w:tc>
      </w:tr>
      <w:tr w:rsidR="003E6277" w:rsidRPr="00F11608" w14:paraId="0E985592" w14:textId="77777777" w:rsidTr="00B37F34">
        <w:trPr>
          <w:trHeight w:val="300"/>
        </w:trPr>
        <w:tc>
          <w:tcPr>
            <w:tcW w:w="2885" w:type="pct"/>
            <w:shd w:val="clear" w:color="auto" w:fill="auto"/>
            <w:noWrap/>
            <w:vAlign w:val="bottom"/>
            <w:hideMark/>
          </w:tcPr>
          <w:p w14:paraId="27D98F4B" w14:textId="77777777" w:rsidR="003E6277" w:rsidRPr="00F11608" w:rsidRDefault="003E6277" w:rsidP="003E6277">
            <w:pPr>
              <w:spacing w:after="0" w:line="240" w:lineRule="auto"/>
            </w:pPr>
            <w:r w:rsidRPr="00F11608">
              <w:t>Common Gamma Chain (X-linked)</w:t>
            </w:r>
          </w:p>
        </w:tc>
        <w:tc>
          <w:tcPr>
            <w:tcW w:w="1057" w:type="pct"/>
            <w:shd w:val="clear" w:color="auto" w:fill="auto"/>
            <w:noWrap/>
            <w:vAlign w:val="bottom"/>
            <w:hideMark/>
          </w:tcPr>
          <w:p w14:paraId="605B091C" w14:textId="77777777" w:rsidR="003E6277" w:rsidRPr="00F11608" w:rsidRDefault="007F2733" w:rsidP="003E6277">
            <w:pPr>
              <w:spacing w:after="0" w:line="240" w:lineRule="auto"/>
            </w:pPr>
            <w:r w:rsidRPr="00F11608">
              <w:t>46</w:t>
            </w:r>
          </w:p>
        </w:tc>
        <w:tc>
          <w:tcPr>
            <w:tcW w:w="1057" w:type="pct"/>
            <w:shd w:val="clear" w:color="auto" w:fill="auto"/>
            <w:noWrap/>
            <w:vAlign w:val="bottom"/>
            <w:hideMark/>
          </w:tcPr>
          <w:p w14:paraId="1F796159" w14:textId="77777777" w:rsidR="003E6277" w:rsidRPr="00F11608" w:rsidRDefault="007F2733" w:rsidP="003E6277">
            <w:pPr>
              <w:spacing w:after="0" w:line="240" w:lineRule="auto"/>
            </w:pPr>
            <w:r w:rsidRPr="00F11608">
              <w:t>32.39</w:t>
            </w:r>
          </w:p>
        </w:tc>
      </w:tr>
      <w:tr w:rsidR="003E6277" w:rsidRPr="00F11608" w14:paraId="12492277" w14:textId="77777777" w:rsidTr="00B37F34">
        <w:trPr>
          <w:trHeight w:val="300"/>
        </w:trPr>
        <w:tc>
          <w:tcPr>
            <w:tcW w:w="2885" w:type="pct"/>
            <w:shd w:val="clear" w:color="auto" w:fill="auto"/>
            <w:noWrap/>
            <w:vAlign w:val="bottom"/>
            <w:hideMark/>
          </w:tcPr>
          <w:p w14:paraId="05178B66" w14:textId="77777777" w:rsidR="003E6277" w:rsidRPr="00F11608" w:rsidRDefault="003E6277" w:rsidP="003E6277">
            <w:pPr>
              <w:spacing w:after="0" w:line="240" w:lineRule="auto"/>
            </w:pPr>
            <w:r w:rsidRPr="00F11608">
              <w:t>ADA</w:t>
            </w:r>
          </w:p>
        </w:tc>
        <w:tc>
          <w:tcPr>
            <w:tcW w:w="1057" w:type="pct"/>
            <w:shd w:val="clear" w:color="auto" w:fill="auto"/>
            <w:noWrap/>
            <w:vAlign w:val="bottom"/>
            <w:hideMark/>
          </w:tcPr>
          <w:p w14:paraId="734B74DC" w14:textId="77777777" w:rsidR="003E6277" w:rsidRPr="00F11608" w:rsidRDefault="007F2733" w:rsidP="003E6277">
            <w:pPr>
              <w:spacing w:after="0" w:line="240" w:lineRule="auto"/>
            </w:pPr>
            <w:r w:rsidRPr="00F11608">
              <w:t>38</w:t>
            </w:r>
          </w:p>
        </w:tc>
        <w:tc>
          <w:tcPr>
            <w:tcW w:w="1057" w:type="pct"/>
            <w:shd w:val="clear" w:color="auto" w:fill="auto"/>
            <w:noWrap/>
            <w:vAlign w:val="bottom"/>
            <w:hideMark/>
          </w:tcPr>
          <w:p w14:paraId="30CF0D97" w14:textId="77777777" w:rsidR="003E6277" w:rsidRPr="00F11608" w:rsidRDefault="007F2733" w:rsidP="003E6277">
            <w:pPr>
              <w:spacing w:after="0" w:line="240" w:lineRule="auto"/>
            </w:pPr>
            <w:r w:rsidRPr="00F11608">
              <w:t>26.76</w:t>
            </w:r>
          </w:p>
        </w:tc>
      </w:tr>
      <w:tr w:rsidR="003E6277" w:rsidRPr="00F11608" w14:paraId="0CA2A227" w14:textId="77777777" w:rsidTr="00B37F34">
        <w:trPr>
          <w:trHeight w:val="300"/>
        </w:trPr>
        <w:tc>
          <w:tcPr>
            <w:tcW w:w="2885" w:type="pct"/>
            <w:shd w:val="clear" w:color="auto" w:fill="auto"/>
            <w:noWrap/>
            <w:vAlign w:val="bottom"/>
            <w:hideMark/>
          </w:tcPr>
          <w:p w14:paraId="1ABBE315" w14:textId="77777777" w:rsidR="003E6277" w:rsidRPr="00F11608" w:rsidRDefault="003E6277" w:rsidP="003E6277">
            <w:pPr>
              <w:spacing w:after="0" w:line="240" w:lineRule="auto"/>
            </w:pPr>
            <w:r w:rsidRPr="00F11608">
              <w:t>IL7Ralpha</w:t>
            </w:r>
          </w:p>
        </w:tc>
        <w:tc>
          <w:tcPr>
            <w:tcW w:w="1057" w:type="pct"/>
            <w:shd w:val="clear" w:color="auto" w:fill="auto"/>
            <w:noWrap/>
            <w:vAlign w:val="bottom"/>
            <w:hideMark/>
          </w:tcPr>
          <w:p w14:paraId="35036AC8" w14:textId="77777777" w:rsidR="003E6277" w:rsidRPr="00F11608" w:rsidRDefault="007F2733" w:rsidP="003E6277">
            <w:pPr>
              <w:spacing w:after="0" w:line="240" w:lineRule="auto"/>
            </w:pPr>
            <w:r w:rsidRPr="00F11608">
              <w:t>14</w:t>
            </w:r>
          </w:p>
        </w:tc>
        <w:tc>
          <w:tcPr>
            <w:tcW w:w="1057" w:type="pct"/>
            <w:shd w:val="clear" w:color="auto" w:fill="auto"/>
            <w:noWrap/>
            <w:vAlign w:val="bottom"/>
            <w:hideMark/>
          </w:tcPr>
          <w:p w14:paraId="5F243F70" w14:textId="77777777" w:rsidR="003E6277" w:rsidRPr="00F11608" w:rsidRDefault="007F2733" w:rsidP="003E6277">
            <w:pPr>
              <w:spacing w:after="0" w:line="240" w:lineRule="auto"/>
            </w:pPr>
            <w:r w:rsidRPr="00F11608">
              <w:t>9.86</w:t>
            </w:r>
          </w:p>
        </w:tc>
      </w:tr>
      <w:tr w:rsidR="003E6277" w:rsidRPr="00F11608" w14:paraId="551E01DE" w14:textId="77777777" w:rsidTr="00B37F34">
        <w:trPr>
          <w:trHeight w:val="300"/>
        </w:trPr>
        <w:tc>
          <w:tcPr>
            <w:tcW w:w="2885" w:type="pct"/>
            <w:shd w:val="clear" w:color="auto" w:fill="auto"/>
            <w:noWrap/>
            <w:vAlign w:val="bottom"/>
            <w:hideMark/>
          </w:tcPr>
          <w:p w14:paraId="56336C50" w14:textId="77777777" w:rsidR="003E6277" w:rsidRPr="00F11608" w:rsidRDefault="003E6277" w:rsidP="003E6277">
            <w:pPr>
              <w:spacing w:after="0" w:line="240" w:lineRule="auto"/>
            </w:pPr>
            <w:r w:rsidRPr="00F11608">
              <w:t>JAK3</w:t>
            </w:r>
          </w:p>
        </w:tc>
        <w:tc>
          <w:tcPr>
            <w:tcW w:w="1057" w:type="pct"/>
            <w:shd w:val="clear" w:color="auto" w:fill="auto"/>
            <w:noWrap/>
            <w:vAlign w:val="bottom"/>
            <w:hideMark/>
          </w:tcPr>
          <w:p w14:paraId="0DCF111B" w14:textId="77777777" w:rsidR="003E6277" w:rsidRPr="00F11608" w:rsidRDefault="007F2733" w:rsidP="003E6277">
            <w:pPr>
              <w:spacing w:after="0" w:line="240" w:lineRule="auto"/>
            </w:pPr>
            <w:r w:rsidRPr="00F11608">
              <w:t>11</w:t>
            </w:r>
          </w:p>
        </w:tc>
        <w:tc>
          <w:tcPr>
            <w:tcW w:w="1057" w:type="pct"/>
            <w:shd w:val="clear" w:color="auto" w:fill="auto"/>
            <w:noWrap/>
            <w:vAlign w:val="bottom"/>
            <w:hideMark/>
          </w:tcPr>
          <w:p w14:paraId="5BCFFCB1" w14:textId="77777777" w:rsidR="003E6277" w:rsidRPr="00F11608" w:rsidRDefault="007F2733" w:rsidP="003E6277">
            <w:pPr>
              <w:spacing w:after="0" w:line="240" w:lineRule="auto"/>
            </w:pPr>
            <w:r w:rsidRPr="00F11608">
              <w:t>7.75</w:t>
            </w:r>
          </w:p>
        </w:tc>
      </w:tr>
      <w:tr w:rsidR="003E6277" w:rsidRPr="00F11608" w14:paraId="207B6CF8" w14:textId="77777777" w:rsidTr="00B37F34">
        <w:trPr>
          <w:trHeight w:val="300"/>
        </w:trPr>
        <w:tc>
          <w:tcPr>
            <w:tcW w:w="2885" w:type="pct"/>
            <w:shd w:val="clear" w:color="auto" w:fill="auto"/>
            <w:noWrap/>
            <w:vAlign w:val="bottom"/>
            <w:hideMark/>
          </w:tcPr>
          <w:p w14:paraId="7B3A8D3E" w14:textId="77777777" w:rsidR="003E6277" w:rsidRPr="00F11608" w:rsidRDefault="003E6277" w:rsidP="003E6277">
            <w:pPr>
              <w:spacing w:after="0" w:line="240" w:lineRule="auto"/>
            </w:pPr>
            <w:r w:rsidRPr="00F11608">
              <w:t>RAG1</w:t>
            </w:r>
          </w:p>
        </w:tc>
        <w:tc>
          <w:tcPr>
            <w:tcW w:w="1057" w:type="pct"/>
            <w:shd w:val="clear" w:color="auto" w:fill="auto"/>
            <w:noWrap/>
            <w:vAlign w:val="bottom"/>
            <w:hideMark/>
          </w:tcPr>
          <w:p w14:paraId="10497D6F" w14:textId="77777777" w:rsidR="003E6277" w:rsidRPr="00F11608" w:rsidRDefault="007F2733" w:rsidP="003E6277">
            <w:pPr>
              <w:spacing w:after="0" w:line="240" w:lineRule="auto"/>
            </w:pPr>
            <w:r w:rsidRPr="00F11608">
              <w:t>15</w:t>
            </w:r>
          </w:p>
        </w:tc>
        <w:tc>
          <w:tcPr>
            <w:tcW w:w="1057" w:type="pct"/>
            <w:shd w:val="clear" w:color="auto" w:fill="auto"/>
            <w:noWrap/>
            <w:vAlign w:val="bottom"/>
            <w:hideMark/>
          </w:tcPr>
          <w:p w14:paraId="6E5DD32E" w14:textId="77777777" w:rsidR="003E6277" w:rsidRPr="00F11608" w:rsidRDefault="007F2733" w:rsidP="003E6277">
            <w:pPr>
              <w:spacing w:after="0" w:line="240" w:lineRule="auto"/>
            </w:pPr>
            <w:r w:rsidRPr="00F11608">
              <w:t>10.56</w:t>
            </w:r>
          </w:p>
        </w:tc>
      </w:tr>
      <w:tr w:rsidR="003E6277" w:rsidRPr="00F11608" w14:paraId="11D9DBC0" w14:textId="77777777" w:rsidTr="00B37F34">
        <w:trPr>
          <w:trHeight w:val="300"/>
        </w:trPr>
        <w:tc>
          <w:tcPr>
            <w:tcW w:w="2885" w:type="pct"/>
            <w:shd w:val="clear" w:color="auto" w:fill="auto"/>
            <w:noWrap/>
            <w:vAlign w:val="bottom"/>
            <w:hideMark/>
          </w:tcPr>
          <w:p w14:paraId="3A10373E" w14:textId="77777777" w:rsidR="003E6277" w:rsidRPr="00F11608" w:rsidRDefault="003E6277" w:rsidP="003E6277">
            <w:pPr>
              <w:spacing w:after="0" w:line="240" w:lineRule="auto"/>
            </w:pPr>
            <w:r w:rsidRPr="00F11608">
              <w:t>Artemis</w:t>
            </w:r>
          </w:p>
        </w:tc>
        <w:tc>
          <w:tcPr>
            <w:tcW w:w="1057" w:type="pct"/>
            <w:shd w:val="clear" w:color="auto" w:fill="auto"/>
            <w:noWrap/>
            <w:vAlign w:val="bottom"/>
            <w:hideMark/>
          </w:tcPr>
          <w:p w14:paraId="1B241480" w14:textId="77777777" w:rsidR="003E6277" w:rsidRPr="00F11608" w:rsidRDefault="007F2733" w:rsidP="003E6277">
            <w:pPr>
              <w:spacing w:after="0" w:line="240" w:lineRule="auto"/>
            </w:pPr>
            <w:r w:rsidRPr="00F11608">
              <w:t>10</w:t>
            </w:r>
          </w:p>
        </w:tc>
        <w:tc>
          <w:tcPr>
            <w:tcW w:w="1057" w:type="pct"/>
            <w:shd w:val="clear" w:color="auto" w:fill="auto"/>
            <w:noWrap/>
            <w:vAlign w:val="bottom"/>
            <w:hideMark/>
          </w:tcPr>
          <w:p w14:paraId="52333735" w14:textId="77777777" w:rsidR="003E6277" w:rsidRPr="00F11608" w:rsidRDefault="007F2733" w:rsidP="003E6277">
            <w:pPr>
              <w:spacing w:after="0" w:line="240" w:lineRule="auto"/>
            </w:pPr>
            <w:r w:rsidRPr="00F11608">
              <w:t>7.04</w:t>
            </w:r>
          </w:p>
        </w:tc>
      </w:tr>
      <w:tr w:rsidR="003E6277" w:rsidRPr="00F11608" w14:paraId="5C6B91AC" w14:textId="77777777" w:rsidTr="00B37F34">
        <w:trPr>
          <w:trHeight w:val="300"/>
        </w:trPr>
        <w:tc>
          <w:tcPr>
            <w:tcW w:w="2885" w:type="pct"/>
            <w:shd w:val="clear" w:color="auto" w:fill="auto"/>
            <w:noWrap/>
            <w:vAlign w:val="bottom"/>
            <w:hideMark/>
          </w:tcPr>
          <w:p w14:paraId="6DD01303" w14:textId="77777777" w:rsidR="003E6277" w:rsidRPr="00F11608" w:rsidRDefault="003E6277" w:rsidP="003E6277">
            <w:pPr>
              <w:spacing w:after="0" w:line="240" w:lineRule="auto"/>
            </w:pPr>
            <w:r w:rsidRPr="00F11608">
              <w:t>RAG2</w:t>
            </w:r>
          </w:p>
        </w:tc>
        <w:tc>
          <w:tcPr>
            <w:tcW w:w="1057" w:type="pct"/>
            <w:shd w:val="clear" w:color="auto" w:fill="auto"/>
            <w:noWrap/>
            <w:vAlign w:val="bottom"/>
            <w:hideMark/>
          </w:tcPr>
          <w:p w14:paraId="6276581E" w14:textId="77777777" w:rsidR="003E6277" w:rsidRPr="00F11608" w:rsidRDefault="003E6277" w:rsidP="003E6277">
            <w:pPr>
              <w:spacing w:after="0" w:line="240" w:lineRule="auto"/>
            </w:pPr>
            <w:r w:rsidRPr="00F11608">
              <w:t>3</w:t>
            </w:r>
          </w:p>
        </w:tc>
        <w:tc>
          <w:tcPr>
            <w:tcW w:w="1057" w:type="pct"/>
            <w:shd w:val="clear" w:color="auto" w:fill="auto"/>
            <w:noWrap/>
            <w:vAlign w:val="bottom"/>
            <w:hideMark/>
          </w:tcPr>
          <w:p w14:paraId="711F64D1" w14:textId="77777777" w:rsidR="003E6277" w:rsidRPr="00F11608" w:rsidRDefault="007F2733" w:rsidP="003E6277">
            <w:pPr>
              <w:spacing w:after="0" w:line="240" w:lineRule="auto"/>
            </w:pPr>
            <w:r w:rsidRPr="00F11608">
              <w:t>2.11</w:t>
            </w:r>
          </w:p>
        </w:tc>
      </w:tr>
      <w:tr w:rsidR="003E6277" w:rsidRPr="00F11608" w14:paraId="45C12B4F" w14:textId="77777777" w:rsidTr="00B37F34">
        <w:trPr>
          <w:trHeight w:val="300"/>
        </w:trPr>
        <w:tc>
          <w:tcPr>
            <w:tcW w:w="2885" w:type="pct"/>
            <w:shd w:val="clear" w:color="auto" w:fill="auto"/>
            <w:noWrap/>
            <w:vAlign w:val="bottom"/>
            <w:hideMark/>
          </w:tcPr>
          <w:p w14:paraId="25C0551E" w14:textId="77777777" w:rsidR="003E6277" w:rsidRPr="00F11608" w:rsidRDefault="003E6277" w:rsidP="003E6277">
            <w:pPr>
              <w:spacing w:after="0" w:line="240" w:lineRule="auto"/>
            </w:pPr>
            <w:r w:rsidRPr="00F11608">
              <w:t>IL21R</w:t>
            </w:r>
          </w:p>
        </w:tc>
        <w:tc>
          <w:tcPr>
            <w:tcW w:w="1057" w:type="pct"/>
            <w:shd w:val="clear" w:color="auto" w:fill="auto"/>
            <w:noWrap/>
            <w:vAlign w:val="bottom"/>
            <w:hideMark/>
          </w:tcPr>
          <w:p w14:paraId="5E8E2D5F" w14:textId="77777777" w:rsidR="003E6277" w:rsidRPr="00F11608" w:rsidRDefault="007F2733" w:rsidP="003E6277">
            <w:pPr>
              <w:spacing w:after="0" w:line="240" w:lineRule="auto"/>
            </w:pPr>
            <w:r w:rsidRPr="00F11608">
              <w:t>3</w:t>
            </w:r>
          </w:p>
        </w:tc>
        <w:tc>
          <w:tcPr>
            <w:tcW w:w="1057" w:type="pct"/>
            <w:shd w:val="clear" w:color="auto" w:fill="auto"/>
            <w:noWrap/>
            <w:vAlign w:val="bottom"/>
            <w:hideMark/>
          </w:tcPr>
          <w:p w14:paraId="0F6F8EAD" w14:textId="77777777" w:rsidR="003E6277" w:rsidRPr="00F11608" w:rsidRDefault="007F2733" w:rsidP="003E6277">
            <w:pPr>
              <w:spacing w:after="0" w:line="240" w:lineRule="auto"/>
            </w:pPr>
            <w:r w:rsidRPr="00F11608">
              <w:t>2.11</w:t>
            </w:r>
          </w:p>
        </w:tc>
      </w:tr>
      <w:tr w:rsidR="003E6277" w:rsidRPr="00F11608" w14:paraId="3D716238" w14:textId="77777777" w:rsidTr="00B37F34">
        <w:trPr>
          <w:trHeight w:val="300"/>
        </w:trPr>
        <w:tc>
          <w:tcPr>
            <w:tcW w:w="2885" w:type="pct"/>
            <w:shd w:val="clear" w:color="auto" w:fill="auto"/>
            <w:noWrap/>
            <w:vAlign w:val="bottom"/>
            <w:hideMark/>
          </w:tcPr>
          <w:p w14:paraId="1EA752D6" w14:textId="77777777" w:rsidR="003E6277" w:rsidRPr="00F11608" w:rsidRDefault="003E6277" w:rsidP="003E6277">
            <w:pPr>
              <w:spacing w:after="0" w:line="240" w:lineRule="auto"/>
            </w:pPr>
            <w:r w:rsidRPr="00F11608">
              <w:t>CD3e</w:t>
            </w:r>
          </w:p>
        </w:tc>
        <w:tc>
          <w:tcPr>
            <w:tcW w:w="1057" w:type="pct"/>
            <w:shd w:val="clear" w:color="auto" w:fill="auto"/>
            <w:noWrap/>
            <w:vAlign w:val="bottom"/>
            <w:hideMark/>
          </w:tcPr>
          <w:p w14:paraId="1421AD1E" w14:textId="77777777" w:rsidR="003E6277" w:rsidRPr="00F11608" w:rsidRDefault="003E6277" w:rsidP="003E6277">
            <w:pPr>
              <w:spacing w:after="0" w:line="240" w:lineRule="auto"/>
            </w:pPr>
            <w:r w:rsidRPr="00F11608">
              <w:t>1</w:t>
            </w:r>
          </w:p>
        </w:tc>
        <w:tc>
          <w:tcPr>
            <w:tcW w:w="1057" w:type="pct"/>
            <w:shd w:val="clear" w:color="auto" w:fill="auto"/>
            <w:noWrap/>
            <w:vAlign w:val="bottom"/>
            <w:hideMark/>
          </w:tcPr>
          <w:p w14:paraId="6AFB156A" w14:textId="77777777" w:rsidR="003E6277" w:rsidRPr="00F11608" w:rsidRDefault="007F2733" w:rsidP="003E6277">
            <w:pPr>
              <w:spacing w:after="0" w:line="240" w:lineRule="auto"/>
            </w:pPr>
            <w:r w:rsidRPr="00F11608">
              <w:t>0.70</w:t>
            </w:r>
          </w:p>
        </w:tc>
      </w:tr>
      <w:tr w:rsidR="003E6277" w:rsidRPr="00F11608" w14:paraId="44E70258" w14:textId="77777777" w:rsidTr="00B37F34">
        <w:trPr>
          <w:trHeight w:val="300"/>
        </w:trPr>
        <w:tc>
          <w:tcPr>
            <w:tcW w:w="2885" w:type="pct"/>
            <w:shd w:val="clear" w:color="auto" w:fill="auto"/>
            <w:noWrap/>
            <w:vAlign w:val="bottom"/>
            <w:hideMark/>
          </w:tcPr>
          <w:p w14:paraId="41D1C899" w14:textId="77777777" w:rsidR="003E6277" w:rsidRPr="00F11608" w:rsidRDefault="003E6277" w:rsidP="003E6277">
            <w:pPr>
              <w:spacing w:after="0" w:line="240" w:lineRule="auto"/>
            </w:pPr>
            <w:r w:rsidRPr="00F11608">
              <w:t>LIG4</w:t>
            </w:r>
          </w:p>
        </w:tc>
        <w:tc>
          <w:tcPr>
            <w:tcW w:w="1057" w:type="pct"/>
            <w:shd w:val="clear" w:color="auto" w:fill="auto"/>
            <w:noWrap/>
            <w:vAlign w:val="bottom"/>
            <w:hideMark/>
          </w:tcPr>
          <w:p w14:paraId="28096FA6" w14:textId="77777777" w:rsidR="003E6277" w:rsidRPr="00F11608" w:rsidRDefault="003E6277" w:rsidP="003E6277">
            <w:pPr>
              <w:spacing w:after="0" w:line="240" w:lineRule="auto"/>
            </w:pPr>
            <w:r w:rsidRPr="00F11608">
              <w:t>1</w:t>
            </w:r>
          </w:p>
        </w:tc>
        <w:tc>
          <w:tcPr>
            <w:tcW w:w="1057" w:type="pct"/>
            <w:shd w:val="clear" w:color="auto" w:fill="auto"/>
            <w:noWrap/>
            <w:vAlign w:val="bottom"/>
            <w:hideMark/>
          </w:tcPr>
          <w:p w14:paraId="0D0CF386" w14:textId="77777777" w:rsidR="003E6277" w:rsidRPr="00F11608" w:rsidRDefault="007F2733" w:rsidP="003E6277">
            <w:pPr>
              <w:keepNext/>
              <w:spacing w:after="0" w:line="240" w:lineRule="auto"/>
            </w:pPr>
            <w:r w:rsidRPr="00F11608">
              <w:t>0.70</w:t>
            </w:r>
          </w:p>
        </w:tc>
      </w:tr>
    </w:tbl>
    <w:p w14:paraId="15E96E3B" w14:textId="77777777" w:rsidR="00E46F49" w:rsidRDefault="00E46F49">
      <w:pPr>
        <w:rPr>
          <w:rFonts w:cs="Times New Roman"/>
          <w:sz w:val="24"/>
          <w:szCs w:val="24"/>
        </w:rPr>
      </w:pPr>
    </w:p>
    <w:p w14:paraId="445D7564" w14:textId="77777777" w:rsidR="00E46F49" w:rsidRDefault="00E46F49">
      <w:pPr>
        <w:rPr>
          <w:rFonts w:cs="Times New Roman"/>
          <w:sz w:val="24"/>
          <w:szCs w:val="24"/>
        </w:rPr>
      </w:pPr>
    </w:p>
    <w:p w14:paraId="0BB91530" w14:textId="77777777" w:rsidR="00E46F49" w:rsidRDefault="00E46F49">
      <w:pPr>
        <w:rPr>
          <w:rFonts w:cs="Times New Roman"/>
          <w:sz w:val="24"/>
          <w:szCs w:val="24"/>
        </w:rPr>
      </w:pPr>
    </w:p>
    <w:p w14:paraId="6917138C" w14:textId="77777777" w:rsidR="00E46F49" w:rsidRDefault="00E46F49">
      <w:pPr>
        <w:rPr>
          <w:rFonts w:cs="Times New Roman"/>
          <w:sz w:val="24"/>
          <w:szCs w:val="24"/>
        </w:rPr>
      </w:pPr>
    </w:p>
    <w:p w14:paraId="3A1EF960" w14:textId="77777777" w:rsidR="00E46F49" w:rsidRDefault="00E46F49">
      <w:pPr>
        <w:rPr>
          <w:rFonts w:cs="Times New Roman"/>
          <w:sz w:val="24"/>
          <w:szCs w:val="24"/>
        </w:rPr>
      </w:pPr>
    </w:p>
    <w:p w14:paraId="4378098B" w14:textId="77777777" w:rsidR="00E46F49" w:rsidRDefault="00E46F49">
      <w:pPr>
        <w:rPr>
          <w:rFonts w:cs="Times New Roman"/>
          <w:sz w:val="24"/>
          <w:szCs w:val="24"/>
        </w:rPr>
      </w:pPr>
    </w:p>
    <w:p w14:paraId="46640C86" w14:textId="77777777" w:rsidR="00E46F49" w:rsidRDefault="00E46F49">
      <w:pPr>
        <w:rPr>
          <w:rFonts w:cs="Times New Roman"/>
          <w:sz w:val="24"/>
          <w:szCs w:val="24"/>
        </w:rPr>
      </w:pPr>
    </w:p>
    <w:p w14:paraId="70055447" w14:textId="77777777" w:rsidR="00E46F49" w:rsidRDefault="00E46F49">
      <w:pPr>
        <w:rPr>
          <w:rFonts w:cs="Times New Roman"/>
          <w:sz w:val="24"/>
          <w:szCs w:val="24"/>
        </w:rPr>
      </w:pPr>
    </w:p>
    <w:p w14:paraId="01E3CDC5" w14:textId="77777777" w:rsidR="00E46F49" w:rsidRDefault="00E46F49">
      <w:pPr>
        <w:rPr>
          <w:rFonts w:cs="Times New Roman"/>
          <w:sz w:val="24"/>
          <w:szCs w:val="24"/>
        </w:rPr>
      </w:pPr>
    </w:p>
    <w:p w14:paraId="5B8BBC1C" w14:textId="77777777" w:rsidR="00E46F49" w:rsidRDefault="00E46F49">
      <w:pPr>
        <w:rPr>
          <w:rFonts w:cs="Times New Roman"/>
          <w:sz w:val="24"/>
          <w:szCs w:val="24"/>
        </w:rPr>
      </w:pPr>
    </w:p>
    <w:p w14:paraId="465B3ED5" w14:textId="77777777" w:rsidR="00E46F49" w:rsidRDefault="00E46F49">
      <w:pPr>
        <w:rPr>
          <w:rFonts w:cs="Times New Roman"/>
          <w:sz w:val="24"/>
          <w:szCs w:val="24"/>
        </w:rPr>
      </w:pPr>
    </w:p>
    <w:p w14:paraId="7A514869" w14:textId="77777777" w:rsidR="00E46F49" w:rsidRDefault="00E46F49">
      <w:pPr>
        <w:rPr>
          <w:rFonts w:cs="Times New Roman"/>
          <w:sz w:val="24"/>
          <w:szCs w:val="24"/>
        </w:rPr>
      </w:pPr>
    </w:p>
    <w:p w14:paraId="7D01755A" w14:textId="77777777" w:rsidR="00E46F49" w:rsidRDefault="00E46F49">
      <w:pPr>
        <w:rPr>
          <w:rFonts w:cs="Times New Roman"/>
          <w:sz w:val="24"/>
          <w:szCs w:val="24"/>
        </w:rPr>
      </w:pPr>
    </w:p>
    <w:p w14:paraId="6457EDEC" w14:textId="77777777" w:rsidR="00E46F49" w:rsidRDefault="00E46F49">
      <w:pPr>
        <w:rPr>
          <w:rFonts w:cs="Times New Roman"/>
          <w:sz w:val="24"/>
          <w:szCs w:val="24"/>
        </w:rPr>
      </w:pPr>
    </w:p>
    <w:p w14:paraId="2B28F9B0" w14:textId="77777777" w:rsidR="00E46F49" w:rsidRDefault="00E46F49">
      <w:pPr>
        <w:rPr>
          <w:rFonts w:cs="Times New Roman"/>
          <w:sz w:val="24"/>
          <w:szCs w:val="24"/>
        </w:rPr>
      </w:pPr>
    </w:p>
    <w:p w14:paraId="304EEE9A" w14:textId="77777777" w:rsidR="00E46F49" w:rsidRDefault="00E46F49">
      <w:pPr>
        <w:rPr>
          <w:rFonts w:cs="Times New Roman"/>
          <w:sz w:val="24"/>
          <w:szCs w:val="24"/>
        </w:rPr>
      </w:pPr>
    </w:p>
    <w:p w14:paraId="10689AF7" w14:textId="77777777" w:rsidR="00E46F49" w:rsidRDefault="00E46F49">
      <w:pPr>
        <w:rPr>
          <w:rFonts w:cs="Times New Roman"/>
          <w:sz w:val="24"/>
          <w:szCs w:val="24"/>
        </w:rPr>
      </w:pPr>
    </w:p>
    <w:p w14:paraId="5F188850" w14:textId="77777777" w:rsidR="00E46F49" w:rsidRDefault="00E46F49">
      <w:pPr>
        <w:rPr>
          <w:rFonts w:cs="Times New Roman"/>
          <w:sz w:val="24"/>
          <w:szCs w:val="24"/>
        </w:rPr>
      </w:pPr>
    </w:p>
    <w:p w14:paraId="4817BE5A" w14:textId="77777777" w:rsidR="00E46F49" w:rsidRDefault="00E46F49">
      <w:pPr>
        <w:rPr>
          <w:rFonts w:cs="Times New Roman"/>
          <w:sz w:val="24"/>
          <w:szCs w:val="24"/>
        </w:rPr>
      </w:pPr>
    </w:p>
    <w:p w14:paraId="409762FC" w14:textId="77777777" w:rsidR="00E46F49" w:rsidRDefault="00E46F49">
      <w:pPr>
        <w:rPr>
          <w:rFonts w:cs="Times New Roman"/>
          <w:sz w:val="24"/>
          <w:szCs w:val="24"/>
        </w:rPr>
      </w:pPr>
    </w:p>
    <w:p w14:paraId="16BD1B1D" w14:textId="07EE3CE6" w:rsidR="00A569F6" w:rsidRPr="00DA5C04" w:rsidRDefault="00E46F49">
      <w:pPr>
        <w:rPr>
          <w:rFonts w:eastAsiaTheme="majorEastAsia" w:cs="Times New Roman"/>
          <w:b/>
          <w:color w:val="262626" w:themeColor="text1" w:themeTint="D9"/>
          <w:sz w:val="24"/>
          <w:szCs w:val="24"/>
        </w:rPr>
      </w:pPr>
      <w:r w:rsidRPr="00DA5C04">
        <w:rPr>
          <w:rFonts w:cs="Times New Roman"/>
          <w:sz w:val="24"/>
          <w:szCs w:val="24"/>
        </w:rPr>
        <w:t xml:space="preserve"> </w:t>
      </w:r>
      <w:r w:rsidR="00A569F6" w:rsidRPr="00DA5C04">
        <w:rPr>
          <w:rFonts w:cs="Times New Roman"/>
          <w:sz w:val="24"/>
          <w:szCs w:val="24"/>
        </w:rPr>
        <w:br w:type="page"/>
      </w:r>
    </w:p>
    <w:p w14:paraId="6AEAC7B8" w14:textId="3634A094" w:rsidR="0082118E" w:rsidRPr="00B37F34" w:rsidRDefault="00942286" w:rsidP="0082118E">
      <w:pPr>
        <w:pStyle w:val="Heading1"/>
        <w:numPr>
          <w:ilvl w:val="0"/>
          <w:numId w:val="0"/>
        </w:numPr>
        <w:jc w:val="left"/>
        <w:rPr>
          <w:rFonts w:ascii="Times New Roman" w:hAnsi="Times New Roman"/>
          <w:i/>
          <w:sz w:val="24"/>
        </w:rPr>
      </w:pPr>
      <w:r w:rsidRPr="00BD2FF6">
        <w:rPr>
          <w:rFonts w:ascii="Times New Roman" w:hAnsi="Times New Roman" w:cs="Times New Roman"/>
          <w:i/>
          <w:sz w:val="24"/>
          <w:szCs w:val="24"/>
        </w:rPr>
        <w:t>Figure</w:t>
      </w:r>
      <w:r w:rsidR="00753408" w:rsidRPr="00BD2FF6">
        <w:rPr>
          <w:rFonts w:ascii="Times New Roman" w:hAnsi="Times New Roman" w:cs="Times New Roman"/>
          <w:i/>
          <w:sz w:val="24"/>
          <w:szCs w:val="24"/>
        </w:rPr>
        <w:t xml:space="preserve"> 1</w:t>
      </w:r>
    </w:p>
    <w:p w14:paraId="781E2635" w14:textId="46B11F91" w:rsidR="00D221E6" w:rsidRPr="00B37F34" w:rsidRDefault="00D221E6" w:rsidP="00D221E6">
      <w:pPr>
        <w:keepNext/>
        <w:rPr>
          <w:sz w:val="24"/>
        </w:rPr>
      </w:pPr>
      <w:r>
        <w:rPr>
          <w:noProof/>
          <w:lang w:eastAsia="en-GB"/>
        </w:rPr>
        <w:drawing>
          <wp:inline distT="0" distB="0" distL="0" distR="0" wp14:anchorId="02BF9A6F" wp14:editId="2DE60F55">
            <wp:extent cx="5731510" cy="7163435"/>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tudysitemap.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7163435"/>
                    </a:xfrm>
                    <a:prstGeom prst="rect">
                      <a:avLst/>
                    </a:prstGeom>
                  </pic:spPr>
                </pic:pic>
              </a:graphicData>
            </a:graphic>
          </wp:inline>
        </w:drawing>
      </w:r>
    </w:p>
    <w:p w14:paraId="36FCF426" w14:textId="7A891AAD" w:rsidR="0082118E" w:rsidRPr="00B37F34" w:rsidRDefault="001A460E" w:rsidP="00B37F34">
      <w:pPr>
        <w:rPr>
          <w:b/>
          <w:color w:val="262626" w:themeColor="text1" w:themeTint="D9"/>
          <w:sz w:val="24"/>
        </w:rPr>
      </w:pPr>
      <w:r w:rsidRPr="00DA5C04">
        <w:rPr>
          <w:rFonts w:cs="Times New Roman"/>
          <w:sz w:val="24"/>
          <w:szCs w:val="24"/>
        </w:rPr>
        <w:br w:type="page"/>
      </w:r>
    </w:p>
    <w:p w14:paraId="4E4ED645" w14:textId="3EFECE8E" w:rsidR="0082118E" w:rsidRPr="00BD2FF6" w:rsidRDefault="001A460E" w:rsidP="0082118E">
      <w:pPr>
        <w:pStyle w:val="Heading1"/>
        <w:numPr>
          <w:ilvl w:val="0"/>
          <w:numId w:val="0"/>
        </w:numPr>
        <w:jc w:val="left"/>
        <w:rPr>
          <w:rFonts w:ascii="Times New Roman" w:hAnsi="Times New Roman" w:cs="Times New Roman"/>
          <w:i/>
          <w:sz w:val="24"/>
          <w:szCs w:val="24"/>
        </w:rPr>
      </w:pPr>
      <w:bookmarkStart w:id="1" w:name="_Ref482948848"/>
      <w:r w:rsidRPr="00BD2FF6">
        <w:rPr>
          <w:rFonts w:ascii="Times New Roman" w:hAnsi="Times New Roman" w:cs="Times New Roman"/>
          <w:i/>
          <w:sz w:val="24"/>
          <w:szCs w:val="24"/>
        </w:rPr>
        <w:t>Figure 2</w:t>
      </w:r>
    </w:p>
    <w:p w14:paraId="78D14C8A" w14:textId="4FCAA4EE" w:rsidR="00FD040C" w:rsidRPr="00B37F34" w:rsidRDefault="00DA6429" w:rsidP="0082118E">
      <w:pPr>
        <w:pStyle w:val="Caption"/>
        <w:rPr>
          <w:sz w:val="24"/>
        </w:rPr>
      </w:pPr>
      <w:r w:rsidRPr="00DA5C04">
        <w:rPr>
          <w:rFonts w:cs="Times New Roman"/>
          <w:noProof/>
          <w:sz w:val="24"/>
          <w:szCs w:val="24"/>
          <w:lang w:eastAsia="en-GB"/>
        </w:rPr>
        <w:drawing>
          <wp:inline distT="0" distB="0" distL="0" distR="0" wp14:anchorId="7763D097" wp14:editId="4C6844DF">
            <wp:extent cx="5805488" cy="3819525"/>
            <wp:effectExtent l="0" t="0" r="5080" b="9525"/>
            <wp:docPr id="3" name="Chart 3">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bookmarkEnd w:id="1"/>
    <w:p w14:paraId="5BDDC6EA" w14:textId="44BECE32" w:rsidR="001A460E" w:rsidRPr="00DA5C04" w:rsidRDefault="001A460E">
      <w:pPr>
        <w:rPr>
          <w:rFonts w:cs="Times New Roman"/>
          <w:sz w:val="24"/>
          <w:szCs w:val="24"/>
        </w:rPr>
      </w:pPr>
      <w:r w:rsidRPr="00DA5C04">
        <w:rPr>
          <w:rFonts w:cs="Times New Roman"/>
          <w:sz w:val="24"/>
          <w:szCs w:val="24"/>
        </w:rPr>
        <w:br w:type="page"/>
      </w:r>
    </w:p>
    <w:p w14:paraId="331ABAE7" w14:textId="2EDC8382" w:rsidR="001A460E" w:rsidRPr="00BD2FF6" w:rsidRDefault="001A460E" w:rsidP="001A460E">
      <w:pPr>
        <w:rPr>
          <w:rFonts w:cs="Times New Roman"/>
          <w:b/>
          <w:i/>
          <w:sz w:val="24"/>
          <w:szCs w:val="24"/>
        </w:rPr>
      </w:pPr>
      <w:r w:rsidRPr="00BD2FF6">
        <w:rPr>
          <w:rFonts w:cs="Times New Roman"/>
          <w:b/>
          <w:i/>
          <w:sz w:val="24"/>
          <w:szCs w:val="24"/>
        </w:rPr>
        <w:t>Figure 3</w:t>
      </w:r>
    </w:p>
    <w:p w14:paraId="6CCEAB8B" w14:textId="000170C7" w:rsidR="00942286" w:rsidRPr="00B37F34" w:rsidRDefault="009C2BC2" w:rsidP="00942286">
      <w:pPr>
        <w:rPr>
          <w:sz w:val="24"/>
        </w:rPr>
      </w:pPr>
      <w:r w:rsidRPr="00DA5C04">
        <w:rPr>
          <w:rFonts w:cs="Times New Roman"/>
          <w:noProof/>
          <w:sz w:val="24"/>
          <w:szCs w:val="24"/>
          <w:lang w:eastAsia="en-GB"/>
        </w:rPr>
        <w:drawing>
          <wp:inline distT="0" distB="0" distL="0" distR="0" wp14:anchorId="67119388" wp14:editId="2E5AFA0D">
            <wp:extent cx="5448300" cy="4329113"/>
            <wp:effectExtent l="0" t="0" r="0" b="1460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57653B0" w14:textId="77777777" w:rsidR="007E3945" w:rsidRPr="00B37F34" w:rsidRDefault="007E3945" w:rsidP="007E3945">
      <w:pPr>
        <w:rPr>
          <w:sz w:val="24"/>
        </w:rPr>
      </w:pPr>
    </w:p>
    <w:p w14:paraId="06A31343" w14:textId="77777777" w:rsidR="006E4579" w:rsidRPr="00B37F34" w:rsidRDefault="006E4579" w:rsidP="006E4579">
      <w:pPr>
        <w:rPr>
          <w:sz w:val="24"/>
        </w:rPr>
      </w:pPr>
    </w:p>
    <w:p w14:paraId="39269EF9" w14:textId="77777777" w:rsidR="006E4579" w:rsidRPr="00B37F34" w:rsidRDefault="006E4579" w:rsidP="006E4579">
      <w:pPr>
        <w:rPr>
          <w:sz w:val="24"/>
        </w:rPr>
      </w:pPr>
    </w:p>
    <w:p w14:paraId="454EE21D" w14:textId="2B4D98BA" w:rsidR="007210BC" w:rsidRPr="00B37F34" w:rsidRDefault="007210BC" w:rsidP="007210BC">
      <w:pPr>
        <w:pStyle w:val="Caption"/>
        <w:rPr>
          <w:sz w:val="24"/>
        </w:rPr>
      </w:pPr>
    </w:p>
    <w:p w14:paraId="6944F91A" w14:textId="318C6543" w:rsidR="007E3945" w:rsidRPr="00B37F34" w:rsidRDefault="007E3945" w:rsidP="007210BC">
      <w:pPr>
        <w:pStyle w:val="Caption"/>
        <w:rPr>
          <w:sz w:val="24"/>
        </w:rPr>
      </w:pPr>
    </w:p>
    <w:p w14:paraId="0E1494DA" w14:textId="3087A032" w:rsidR="007E3945" w:rsidRPr="00B37F34" w:rsidRDefault="007E3945" w:rsidP="007E3945">
      <w:pPr>
        <w:pStyle w:val="Caption"/>
        <w:rPr>
          <w:sz w:val="24"/>
        </w:rPr>
      </w:pPr>
    </w:p>
    <w:p w14:paraId="7DAEA453" w14:textId="77777777" w:rsidR="007E3945" w:rsidRPr="00B37F34" w:rsidRDefault="007E3945" w:rsidP="007E3945">
      <w:pPr>
        <w:pStyle w:val="Heading1"/>
        <w:numPr>
          <w:ilvl w:val="0"/>
          <w:numId w:val="0"/>
        </w:numPr>
        <w:jc w:val="left"/>
        <w:rPr>
          <w:rFonts w:ascii="Times New Roman" w:hAnsi="Times New Roman"/>
          <w:sz w:val="24"/>
        </w:rPr>
      </w:pPr>
    </w:p>
    <w:p w14:paraId="2FE30122" w14:textId="77777777" w:rsidR="007E3945" w:rsidRPr="00B37F34" w:rsidRDefault="007E3945" w:rsidP="007E3945">
      <w:pPr>
        <w:rPr>
          <w:sz w:val="24"/>
        </w:rPr>
      </w:pPr>
    </w:p>
    <w:p w14:paraId="51EE1805" w14:textId="77777777" w:rsidR="00417198" w:rsidRPr="00DA5C04" w:rsidRDefault="00417198">
      <w:pPr>
        <w:rPr>
          <w:rFonts w:cs="Times New Roman"/>
          <w:sz w:val="24"/>
          <w:szCs w:val="24"/>
        </w:rPr>
      </w:pPr>
      <w:r w:rsidRPr="00DA5C04">
        <w:rPr>
          <w:rFonts w:cs="Times New Roman"/>
          <w:sz w:val="24"/>
          <w:szCs w:val="24"/>
        </w:rPr>
        <w:br w:type="page"/>
      </w:r>
    </w:p>
    <w:p w14:paraId="32AF4E4B" w14:textId="77777777" w:rsidR="007E3945" w:rsidRPr="00B37F34" w:rsidRDefault="00D77590" w:rsidP="007E3945">
      <w:pPr>
        <w:rPr>
          <w:b/>
          <w:i/>
          <w:sz w:val="24"/>
        </w:rPr>
      </w:pPr>
      <w:r w:rsidRPr="00BD2FF6">
        <w:rPr>
          <w:rFonts w:cs="Times New Roman"/>
          <w:b/>
          <w:i/>
          <w:sz w:val="24"/>
          <w:szCs w:val="24"/>
        </w:rPr>
        <w:t>Figure 4</w:t>
      </w:r>
    </w:p>
    <w:p w14:paraId="0A5B5E07" w14:textId="68250DCC" w:rsidR="007E3945" w:rsidRPr="00B37F34" w:rsidRDefault="0050146E" w:rsidP="007E3945">
      <w:pPr>
        <w:rPr>
          <w:sz w:val="24"/>
        </w:rPr>
      </w:pPr>
      <w:r>
        <w:rPr>
          <w:noProof/>
          <w:lang w:eastAsia="en-GB"/>
        </w:rPr>
        <w:drawing>
          <wp:inline distT="0" distB="0" distL="0" distR="0" wp14:anchorId="708F2B77" wp14:editId="1F3AAB09">
            <wp:extent cx="5731510" cy="3947160"/>
            <wp:effectExtent l="0" t="0" r="2540" b="15240"/>
            <wp:docPr id="1" name="Chart 1">
              <a:extLst xmlns:a="http://schemas.openxmlformats.org/drawingml/2006/main">
                <a:ext uri="{FF2B5EF4-FFF2-40B4-BE49-F238E27FC236}">
                  <a16:creationId xmlns:a16="http://schemas.microsoft.com/office/drawing/2014/main" id="{A4E4BD52-E881-4AE0-86C0-1827A8E103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E32F0A8" w14:textId="77777777" w:rsidR="007E3945" w:rsidRPr="00B37F34" w:rsidRDefault="005F6F3D" w:rsidP="00B37F34">
      <w:pPr>
        <w:rPr>
          <w:sz w:val="24"/>
        </w:rPr>
      </w:pPr>
      <w:r w:rsidRPr="00DA5C04">
        <w:rPr>
          <w:rFonts w:cs="Times New Roman"/>
          <w:sz w:val="24"/>
          <w:szCs w:val="24"/>
        </w:rPr>
        <w:br w:type="page"/>
      </w:r>
    </w:p>
    <w:p w14:paraId="51ADBBC9" w14:textId="7E4E3D25" w:rsidR="00F11608" w:rsidRDefault="005F6F3D" w:rsidP="00961FE8">
      <w:r w:rsidRPr="00BD2FF6">
        <w:rPr>
          <w:rFonts w:cs="Times New Roman"/>
          <w:b/>
          <w:i/>
          <w:sz w:val="24"/>
          <w:szCs w:val="24"/>
        </w:rPr>
        <w:t>Figure 5</w:t>
      </w:r>
      <w:r w:rsidR="00E70812" w:rsidRPr="00DA5C04">
        <w:rPr>
          <w:rFonts w:cs="Times New Roman"/>
          <w:noProof/>
          <w:sz w:val="24"/>
          <w:szCs w:val="24"/>
          <w:lang w:eastAsia="en-GB"/>
        </w:rPr>
        <w:drawing>
          <wp:inline distT="0" distB="0" distL="0" distR="0" wp14:anchorId="4C27875C" wp14:editId="631926C3">
            <wp:extent cx="5519738" cy="3395662"/>
            <wp:effectExtent l="0" t="0" r="5080" b="1460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749AF7A" w14:textId="77777777" w:rsidR="00F11608" w:rsidRDefault="00F11608" w:rsidP="007B273E">
      <w:pPr>
        <w:pStyle w:val="Heading1"/>
        <w:numPr>
          <w:ilvl w:val="0"/>
          <w:numId w:val="0"/>
        </w:numPr>
        <w:jc w:val="left"/>
      </w:pPr>
    </w:p>
    <w:p w14:paraId="05648D18" w14:textId="77777777" w:rsidR="00F11608" w:rsidRDefault="00F11608" w:rsidP="007B273E">
      <w:pPr>
        <w:pStyle w:val="Heading1"/>
        <w:numPr>
          <w:ilvl w:val="0"/>
          <w:numId w:val="0"/>
        </w:numPr>
        <w:jc w:val="left"/>
      </w:pPr>
    </w:p>
    <w:p w14:paraId="07FD0DB3" w14:textId="77777777" w:rsidR="00F11608" w:rsidRDefault="00F11608" w:rsidP="007B273E">
      <w:pPr>
        <w:pStyle w:val="Heading1"/>
        <w:numPr>
          <w:ilvl w:val="0"/>
          <w:numId w:val="0"/>
        </w:numPr>
        <w:jc w:val="left"/>
      </w:pPr>
    </w:p>
    <w:p w14:paraId="22320354" w14:textId="77777777" w:rsidR="00F11608" w:rsidRDefault="00F11608" w:rsidP="007B273E">
      <w:pPr>
        <w:pStyle w:val="Heading1"/>
        <w:numPr>
          <w:ilvl w:val="0"/>
          <w:numId w:val="0"/>
        </w:numPr>
        <w:jc w:val="left"/>
      </w:pPr>
    </w:p>
    <w:p w14:paraId="3B7C4ADA" w14:textId="77777777" w:rsidR="00F11608" w:rsidRDefault="00F11608" w:rsidP="007B273E">
      <w:pPr>
        <w:pStyle w:val="Heading1"/>
        <w:numPr>
          <w:ilvl w:val="0"/>
          <w:numId w:val="0"/>
        </w:numPr>
        <w:jc w:val="left"/>
      </w:pPr>
    </w:p>
    <w:p w14:paraId="6ADB06F0" w14:textId="77777777" w:rsidR="00F11608" w:rsidRDefault="00F11608" w:rsidP="007B273E">
      <w:pPr>
        <w:pStyle w:val="Heading1"/>
        <w:numPr>
          <w:ilvl w:val="0"/>
          <w:numId w:val="0"/>
        </w:numPr>
        <w:jc w:val="left"/>
      </w:pPr>
    </w:p>
    <w:p w14:paraId="513D9E5F" w14:textId="77777777" w:rsidR="00F11608" w:rsidRDefault="00F11608" w:rsidP="007B273E">
      <w:pPr>
        <w:pStyle w:val="Heading1"/>
        <w:numPr>
          <w:ilvl w:val="0"/>
          <w:numId w:val="0"/>
        </w:numPr>
        <w:jc w:val="left"/>
      </w:pPr>
    </w:p>
    <w:p w14:paraId="56BB6B0F" w14:textId="3A802AF5" w:rsidR="000D71E2" w:rsidRDefault="000D71E2" w:rsidP="006E4579">
      <w:pPr>
        <w:pStyle w:val="Caption"/>
        <w:rPr>
          <w:rFonts w:ascii="Arial" w:eastAsiaTheme="majorEastAsia" w:hAnsi="Arial" w:cstheme="majorBidi"/>
          <w:b/>
          <w:i w:val="0"/>
          <w:iCs w:val="0"/>
          <w:color w:val="262626" w:themeColor="text1" w:themeTint="D9"/>
          <w:sz w:val="32"/>
          <w:szCs w:val="32"/>
        </w:rPr>
      </w:pPr>
    </w:p>
    <w:p w14:paraId="61FCDD42" w14:textId="3CC1082A" w:rsidR="00E46F49" w:rsidRDefault="00E46F49" w:rsidP="00E46F49"/>
    <w:p w14:paraId="02077E78" w14:textId="5B7E72A7" w:rsidR="00E46F49" w:rsidRPr="00E46F49" w:rsidRDefault="00E46F49" w:rsidP="00E46F49">
      <w:pPr>
        <w:sectPr w:rsidR="00E46F49" w:rsidRPr="00E46F49">
          <w:pgSz w:w="11906" w:h="16838"/>
          <w:pgMar w:top="1440" w:right="1440" w:bottom="1440" w:left="1440" w:header="708" w:footer="708" w:gutter="0"/>
          <w:cols w:space="708"/>
          <w:docGrid w:linePitch="360"/>
        </w:sectPr>
      </w:pPr>
    </w:p>
    <w:p w14:paraId="7798A3B3" w14:textId="2E4F89B7" w:rsidR="0002324A" w:rsidRPr="00B37F34" w:rsidRDefault="0002324A" w:rsidP="00B37F34">
      <w:pPr>
        <w:pStyle w:val="Heading1"/>
        <w:numPr>
          <w:ilvl w:val="0"/>
          <w:numId w:val="0"/>
        </w:numPr>
        <w:jc w:val="left"/>
        <w:rPr>
          <w:rFonts w:ascii="Times New Roman" w:hAnsi="Times New Roman"/>
          <w:sz w:val="24"/>
        </w:rPr>
      </w:pPr>
      <w:r w:rsidRPr="00B37F34">
        <w:rPr>
          <w:rFonts w:ascii="Times New Roman" w:hAnsi="Times New Roman"/>
          <w:sz w:val="24"/>
        </w:rPr>
        <w:t>Supplementary Tables</w:t>
      </w:r>
    </w:p>
    <w:p w14:paraId="590847BD" w14:textId="2FCBB6C0" w:rsidR="00894C97" w:rsidRPr="004A01AD" w:rsidRDefault="00894C97" w:rsidP="00894C97">
      <w:pPr>
        <w:pStyle w:val="Caption"/>
        <w:rPr>
          <w:i w:val="0"/>
          <w:color w:val="auto"/>
          <w:sz w:val="24"/>
          <w:szCs w:val="24"/>
        </w:rPr>
      </w:pPr>
      <w:bookmarkStart w:id="2" w:name="_Ref484544204"/>
      <w:r w:rsidRPr="004A01AD">
        <w:rPr>
          <w:b/>
          <w:i w:val="0"/>
          <w:color w:val="auto"/>
          <w:sz w:val="24"/>
          <w:szCs w:val="24"/>
        </w:rPr>
        <w:t xml:space="preserve">Table </w:t>
      </w:r>
      <w:r w:rsidR="00EA4CA4" w:rsidRPr="004A01AD">
        <w:rPr>
          <w:rFonts w:cs="Times New Roman"/>
          <w:b/>
          <w:i w:val="0"/>
          <w:color w:val="auto"/>
          <w:sz w:val="24"/>
          <w:szCs w:val="24"/>
        </w:rPr>
        <w:t>S</w:t>
      </w:r>
      <w:r w:rsidR="000E3A09" w:rsidRPr="004A01AD">
        <w:rPr>
          <w:b/>
          <w:i w:val="0"/>
          <w:color w:val="auto"/>
          <w:sz w:val="24"/>
          <w:szCs w:val="24"/>
        </w:rPr>
        <w:fldChar w:fldCharType="begin"/>
      </w:r>
      <w:r w:rsidR="000E3A09" w:rsidRPr="004A01AD">
        <w:rPr>
          <w:b/>
          <w:i w:val="0"/>
          <w:color w:val="auto"/>
          <w:sz w:val="24"/>
          <w:szCs w:val="24"/>
        </w:rPr>
        <w:instrText xml:space="preserve"> SEQ Supplementary_Table \* ARABIC </w:instrText>
      </w:r>
      <w:r w:rsidR="000E3A09" w:rsidRPr="004A01AD">
        <w:rPr>
          <w:b/>
          <w:i w:val="0"/>
          <w:color w:val="auto"/>
          <w:sz w:val="24"/>
          <w:szCs w:val="24"/>
        </w:rPr>
        <w:fldChar w:fldCharType="separate"/>
      </w:r>
      <w:r w:rsidR="00D36388" w:rsidRPr="004A01AD">
        <w:rPr>
          <w:b/>
          <w:i w:val="0"/>
          <w:color w:val="auto"/>
          <w:sz w:val="24"/>
          <w:szCs w:val="24"/>
        </w:rPr>
        <w:t>1</w:t>
      </w:r>
      <w:r w:rsidR="000E3A09" w:rsidRPr="004A01AD">
        <w:rPr>
          <w:b/>
          <w:i w:val="0"/>
          <w:color w:val="auto"/>
          <w:sz w:val="24"/>
          <w:szCs w:val="24"/>
        </w:rPr>
        <w:fldChar w:fldCharType="end"/>
      </w:r>
      <w:bookmarkEnd w:id="2"/>
      <w:r w:rsidRPr="004A01AD">
        <w:rPr>
          <w:i w:val="0"/>
          <w:color w:val="auto"/>
          <w:sz w:val="24"/>
          <w:szCs w:val="24"/>
        </w:rPr>
        <w:t xml:space="preserve"> Frequency table for individual diagnosis</w:t>
      </w:r>
      <w:r w:rsidR="007A5D88" w:rsidRPr="004A01AD">
        <w:rPr>
          <w:i w:val="0"/>
          <w:color w:val="auto"/>
          <w:sz w:val="24"/>
          <w:szCs w:val="24"/>
        </w:rPr>
        <w:t xml:space="preserve"> for </w:t>
      </w:r>
      <w:r w:rsidR="007A5D88" w:rsidRPr="004A01AD">
        <w:rPr>
          <w:rFonts w:cs="Times New Roman"/>
          <w:i w:val="0"/>
          <w:noProof/>
          <w:color w:val="auto"/>
          <w:sz w:val="24"/>
          <w:szCs w:val="24"/>
        </w:rPr>
        <w:t>live</w:t>
      </w:r>
      <w:r w:rsidR="007A5D88" w:rsidRPr="004A01AD">
        <w:rPr>
          <w:i w:val="0"/>
          <w:color w:val="auto"/>
          <w:sz w:val="24"/>
          <w:szCs w:val="24"/>
        </w:rPr>
        <w:t xml:space="preserve"> patients</w:t>
      </w:r>
      <w:r w:rsidRPr="004A01AD">
        <w:rPr>
          <w:i w:val="0"/>
          <w:color w:val="auto"/>
          <w:sz w:val="24"/>
          <w:szCs w:val="24"/>
        </w:rPr>
        <w:t xml:space="preserve"> and disease prevalence.  Estimated data for PID in the UK based on national population of 66,029,900 (Source: Office for National Statistics)</w:t>
      </w:r>
    </w:p>
    <w:tbl>
      <w:tblPr>
        <w:tblW w:w="47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6"/>
        <w:gridCol w:w="1107"/>
        <w:gridCol w:w="2260"/>
      </w:tblGrid>
      <w:tr w:rsidR="00457D76" w:rsidRPr="00141805" w14:paraId="23503EDD" w14:textId="77777777" w:rsidTr="00B37F34">
        <w:trPr>
          <w:trHeight w:val="255"/>
        </w:trPr>
        <w:tc>
          <w:tcPr>
            <w:tcW w:w="3068" w:type="pct"/>
            <w:shd w:val="clear" w:color="auto" w:fill="auto"/>
            <w:noWrap/>
            <w:vAlign w:val="bottom"/>
          </w:tcPr>
          <w:p w14:paraId="28A763ED" w14:textId="77777777" w:rsidR="00457D76" w:rsidRPr="00141805" w:rsidRDefault="00457D76" w:rsidP="00141805">
            <w:pPr>
              <w:spacing w:after="0" w:line="240" w:lineRule="auto"/>
              <w:jc w:val="right"/>
              <w:rPr>
                <w:rFonts w:eastAsia="Times New Roman" w:cs="Times New Roman"/>
                <w:sz w:val="24"/>
                <w:szCs w:val="24"/>
                <w:lang w:eastAsia="en-GB"/>
              </w:rPr>
            </w:pPr>
          </w:p>
        </w:tc>
        <w:tc>
          <w:tcPr>
            <w:tcW w:w="635" w:type="pct"/>
            <w:shd w:val="clear" w:color="auto" w:fill="auto"/>
            <w:noWrap/>
            <w:vAlign w:val="bottom"/>
          </w:tcPr>
          <w:p w14:paraId="38B13877" w14:textId="77777777" w:rsidR="00457D76" w:rsidRPr="00141805" w:rsidRDefault="00457D76" w:rsidP="00141805">
            <w:pPr>
              <w:spacing w:after="0" w:line="240" w:lineRule="auto"/>
              <w:jc w:val="right"/>
              <w:rPr>
                <w:rFonts w:eastAsia="Times New Roman" w:cs="Times New Roman"/>
                <w:b/>
                <w:sz w:val="24"/>
                <w:szCs w:val="24"/>
                <w:lang w:eastAsia="en-GB"/>
              </w:rPr>
            </w:pPr>
            <w:r w:rsidRPr="00141805">
              <w:rPr>
                <w:rFonts w:eastAsia="Times New Roman" w:cs="Times New Roman"/>
                <w:b/>
                <w:sz w:val="24"/>
                <w:szCs w:val="24"/>
                <w:lang w:eastAsia="en-GB"/>
              </w:rPr>
              <w:t>n</w:t>
            </w:r>
          </w:p>
        </w:tc>
        <w:tc>
          <w:tcPr>
            <w:tcW w:w="1297" w:type="pct"/>
            <w:shd w:val="clear" w:color="auto" w:fill="auto"/>
            <w:noWrap/>
            <w:vAlign w:val="bottom"/>
          </w:tcPr>
          <w:p w14:paraId="01CFFE02" w14:textId="77777777" w:rsidR="00457D76" w:rsidRPr="00141805" w:rsidRDefault="00457D76" w:rsidP="00141805">
            <w:pPr>
              <w:spacing w:after="0" w:line="240" w:lineRule="auto"/>
              <w:jc w:val="right"/>
              <w:rPr>
                <w:rFonts w:eastAsia="Times New Roman" w:cs="Times New Roman"/>
                <w:b/>
                <w:sz w:val="24"/>
                <w:szCs w:val="24"/>
                <w:lang w:eastAsia="en-GB"/>
              </w:rPr>
            </w:pPr>
            <w:r w:rsidRPr="00141805">
              <w:rPr>
                <w:rFonts w:eastAsia="Times New Roman" w:cs="Times New Roman"/>
                <w:b/>
                <w:sz w:val="24"/>
                <w:szCs w:val="24"/>
                <w:lang w:eastAsia="en-GB"/>
              </w:rPr>
              <w:t>Minimum Prevalence/100,000</w:t>
            </w:r>
          </w:p>
        </w:tc>
      </w:tr>
      <w:tr w:rsidR="00457D76" w:rsidRPr="00141805" w14:paraId="367B156D" w14:textId="77777777" w:rsidTr="00B37F34">
        <w:trPr>
          <w:trHeight w:val="255"/>
        </w:trPr>
        <w:tc>
          <w:tcPr>
            <w:tcW w:w="3068" w:type="pct"/>
            <w:shd w:val="clear" w:color="auto" w:fill="auto"/>
            <w:noWrap/>
            <w:vAlign w:val="bottom"/>
            <w:hideMark/>
          </w:tcPr>
          <w:p w14:paraId="5888573D" w14:textId="77777777" w:rsidR="00457D76" w:rsidRPr="00141805" w:rsidRDefault="00457D76" w:rsidP="00141805">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CVID</w:t>
            </w:r>
          </w:p>
        </w:tc>
        <w:tc>
          <w:tcPr>
            <w:tcW w:w="635" w:type="pct"/>
            <w:shd w:val="clear" w:color="auto" w:fill="auto"/>
            <w:noWrap/>
            <w:vAlign w:val="bottom"/>
            <w:hideMark/>
          </w:tcPr>
          <w:p w14:paraId="01879D6D" w14:textId="77777777" w:rsidR="00457D76" w:rsidRPr="00141805" w:rsidRDefault="00457D76" w:rsidP="00141805">
            <w:pPr>
              <w:spacing w:after="0" w:line="240" w:lineRule="auto"/>
              <w:jc w:val="right"/>
              <w:rPr>
                <w:rFonts w:eastAsia="Times New Roman" w:cs="Times New Roman"/>
                <w:sz w:val="24"/>
                <w:szCs w:val="24"/>
                <w:lang w:eastAsia="en-GB"/>
              </w:rPr>
            </w:pPr>
            <w:r w:rsidRPr="00141805">
              <w:rPr>
                <w:rFonts w:cs="Times New Roman"/>
                <w:sz w:val="24"/>
                <w:szCs w:val="24"/>
              </w:rPr>
              <w:t>1273</w:t>
            </w:r>
          </w:p>
        </w:tc>
        <w:tc>
          <w:tcPr>
            <w:tcW w:w="1297" w:type="pct"/>
            <w:shd w:val="clear" w:color="auto" w:fill="auto"/>
            <w:noWrap/>
            <w:vAlign w:val="bottom"/>
            <w:hideMark/>
          </w:tcPr>
          <w:p w14:paraId="4AAEFF0B" w14:textId="77777777" w:rsidR="00457D76" w:rsidRPr="00141805" w:rsidRDefault="00457D76" w:rsidP="00141805">
            <w:pPr>
              <w:spacing w:after="0" w:line="240" w:lineRule="auto"/>
              <w:jc w:val="right"/>
              <w:rPr>
                <w:rFonts w:eastAsia="Times New Roman" w:cs="Times New Roman"/>
                <w:sz w:val="24"/>
                <w:szCs w:val="24"/>
                <w:lang w:eastAsia="en-GB"/>
              </w:rPr>
            </w:pPr>
            <w:r w:rsidRPr="00141805">
              <w:rPr>
                <w:rFonts w:cs="Times New Roman"/>
                <w:sz w:val="24"/>
                <w:szCs w:val="24"/>
              </w:rPr>
              <w:t>1.93</w:t>
            </w:r>
          </w:p>
        </w:tc>
      </w:tr>
      <w:tr w:rsidR="00457D76" w:rsidRPr="00141805" w14:paraId="51C53162" w14:textId="77777777" w:rsidTr="00B37F34">
        <w:trPr>
          <w:trHeight w:val="255"/>
        </w:trPr>
        <w:tc>
          <w:tcPr>
            <w:tcW w:w="3068" w:type="pct"/>
            <w:shd w:val="clear" w:color="auto" w:fill="auto"/>
            <w:noWrap/>
            <w:vAlign w:val="bottom"/>
            <w:hideMark/>
          </w:tcPr>
          <w:p w14:paraId="2AF1C007" w14:textId="77777777" w:rsidR="00457D76" w:rsidRPr="00141805" w:rsidRDefault="00457D76" w:rsidP="00141805">
            <w:pPr>
              <w:spacing w:after="0" w:line="240" w:lineRule="auto"/>
              <w:jc w:val="right"/>
              <w:rPr>
                <w:rFonts w:eastAsia="Times New Roman" w:cs="Times New Roman"/>
                <w:sz w:val="24"/>
                <w:szCs w:val="24"/>
                <w:lang w:eastAsia="en-GB"/>
              </w:rPr>
            </w:pPr>
            <w:r w:rsidRPr="00141805">
              <w:rPr>
                <w:rFonts w:cs="Times New Roman"/>
                <w:color w:val="000000"/>
                <w:sz w:val="24"/>
                <w:szCs w:val="24"/>
                <w:lang w:eastAsia="en-GB"/>
              </w:rPr>
              <w:t>Hereditary Angioedema (HAE)</w:t>
            </w:r>
          </w:p>
        </w:tc>
        <w:tc>
          <w:tcPr>
            <w:tcW w:w="635" w:type="pct"/>
            <w:shd w:val="clear" w:color="auto" w:fill="auto"/>
            <w:noWrap/>
            <w:vAlign w:val="bottom"/>
            <w:hideMark/>
          </w:tcPr>
          <w:p w14:paraId="1760A6AF" w14:textId="77777777" w:rsidR="00457D76" w:rsidRPr="00141805" w:rsidRDefault="00457D76" w:rsidP="00141805">
            <w:pPr>
              <w:spacing w:after="0" w:line="240" w:lineRule="auto"/>
              <w:jc w:val="right"/>
              <w:rPr>
                <w:rFonts w:eastAsia="Times New Roman" w:cs="Times New Roman"/>
                <w:sz w:val="24"/>
                <w:szCs w:val="24"/>
                <w:lang w:eastAsia="en-GB"/>
              </w:rPr>
            </w:pPr>
            <w:r w:rsidRPr="00141805">
              <w:rPr>
                <w:rFonts w:cs="Times New Roman"/>
                <w:sz w:val="24"/>
                <w:szCs w:val="24"/>
              </w:rPr>
              <w:t>482</w:t>
            </w:r>
          </w:p>
        </w:tc>
        <w:tc>
          <w:tcPr>
            <w:tcW w:w="1297" w:type="pct"/>
            <w:shd w:val="clear" w:color="auto" w:fill="auto"/>
            <w:noWrap/>
            <w:vAlign w:val="bottom"/>
            <w:hideMark/>
          </w:tcPr>
          <w:p w14:paraId="71E74EC1" w14:textId="77777777" w:rsidR="00457D76" w:rsidRPr="00141805" w:rsidRDefault="00457D76" w:rsidP="00141805">
            <w:pPr>
              <w:spacing w:after="0" w:line="240" w:lineRule="auto"/>
              <w:jc w:val="right"/>
              <w:rPr>
                <w:rFonts w:eastAsia="Times New Roman" w:cs="Times New Roman"/>
                <w:sz w:val="24"/>
                <w:szCs w:val="24"/>
                <w:lang w:eastAsia="en-GB"/>
              </w:rPr>
            </w:pPr>
            <w:r w:rsidRPr="00141805">
              <w:rPr>
                <w:rFonts w:cs="Times New Roman"/>
                <w:sz w:val="24"/>
                <w:szCs w:val="24"/>
              </w:rPr>
              <w:t>0.73</w:t>
            </w:r>
          </w:p>
        </w:tc>
      </w:tr>
      <w:tr w:rsidR="00457D76" w:rsidRPr="00141805" w14:paraId="73FC38A2" w14:textId="77777777" w:rsidTr="00B37F34">
        <w:trPr>
          <w:trHeight w:val="255"/>
        </w:trPr>
        <w:tc>
          <w:tcPr>
            <w:tcW w:w="3068" w:type="pct"/>
            <w:shd w:val="clear" w:color="auto" w:fill="auto"/>
            <w:noWrap/>
            <w:vAlign w:val="bottom"/>
            <w:hideMark/>
          </w:tcPr>
          <w:p w14:paraId="15044C67" w14:textId="77777777" w:rsidR="00457D76" w:rsidRPr="00141805" w:rsidRDefault="00457D76" w:rsidP="00141805">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Secondary hypogammaglobulinaemia</w:t>
            </w:r>
          </w:p>
        </w:tc>
        <w:tc>
          <w:tcPr>
            <w:tcW w:w="635" w:type="pct"/>
            <w:shd w:val="clear" w:color="auto" w:fill="auto"/>
            <w:noWrap/>
            <w:vAlign w:val="bottom"/>
            <w:hideMark/>
          </w:tcPr>
          <w:p w14:paraId="60F3D00D" w14:textId="77777777" w:rsidR="00457D76" w:rsidRPr="00141805" w:rsidRDefault="00457D76" w:rsidP="00141805">
            <w:pPr>
              <w:spacing w:after="0" w:line="240" w:lineRule="auto"/>
              <w:jc w:val="right"/>
              <w:rPr>
                <w:rFonts w:eastAsia="Times New Roman" w:cs="Times New Roman"/>
                <w:sz w:val="24"/>
                <w:szCs w:val="24"/>
                <w:lang w:eastAsia="en-GB"/>
              </w:rPr>
            </w:pPr>
            <w:r w:rsidRPr="00141805">
              <w:rPr>
                <w:rFonts w:cs="Times New Roman"/>
                <w:sz w:val="24"/>
                <w:szCs w:val="24"/>
              </w:rPr>
              <w:t>369</w:t>
            </w:r>
          </w:p>
        </w:tc>
        <w:tc>
          <w:tcPr>
            <w:tcW w:w="1297" w:type="pct"/>
            <w:shd w:val="clear" w:color="auto" w:fill="auto"/>
            <w:noWrap/>
            <w:vAlign w:val="bottom"/>
            <w:hideMark/>
          </w:tcPr>
          <w:p w14:paraId="04816B40" w14:textId="77777777" w:rsidR="00457D76" w:rsidRPr="00141805" w:rsidRDefault="00457D76" w:rsidP="00141805">
            <w:pPr>
              <w:spacing w:after="0" w:line="240" w:lineRule="auto"/>
              <w:jc w:val="right"/>
              <w:rPr>
                <w:rFonts w:eastAsia="Times New Roman" w:cs="Times New Roman"/>
                <w:sz w:val="24"/>
                <w:szCs w:val="24"/>
                <w:lang w:eastAsia="en-GB"/>
              </w:rPr>
            </w:pPr>
            <w:r w:rsidRPr="00141805">
              <w:rPr>
                <w:rFonts w:cs="Times New Roman"/>
                <w:sz w:val="24"/>
                <w:szCs w:val="24"/>
              </w:rPr>
              <w:t>0.56</w:t>
            </w:r>
          </w:p>
        </w:tc>
      </w:tr>
      <w:tr w:rsidR="00457D76" w:rsidRPr="00141805" w14:paraId="5F8A09DE" w14:textId="77777777" w:rsidTr="00B37F34">
        <w:trPr>
          <w:trHeight w:val="255"/>
        </w:trPr>
        <w:tc>
          <w:tcPr>
            <w:tcW w:w="3068" w:type="pct"/>
            <w:shd w:val="clear" w:color="auto" w:fill="auto"/>
            <w:noWrap/>
            <w:vAlign w:val="bottom"/>
            <w:hideMark/>
          </w:tcPr>
          <w:p w14:paraId="2E159C82" w14:textId="77777777" w:rsidR="00457D76" w:rsidRPr="00141805" w:rsidRDefault="00457D76" w:rsidP="00141805">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Unclassified antibody deficiency</w:t>
            </w:r>
          </w:p>
        </w:tc>
        <w:tc>
          <w:tcPr>
            <w:tcW w:w="635" w:type="pct"/>
            <w:shd w:val="clear" w:color="auto" w:fill="auto"/>
            <w:noWrap/>
            <w:vAlign w:val="bottom"/>
            <w:hideMark/>
          </w:tcPr>
          <w:p w14:paraId="0E21F23C" w14:textId="77777777" w:rsidR="00457D76" w:rsidRPr="00141805" w:rsidRDefault="00457D76" w:rsidP="00141805">
            <w:pPr>
              <w:spacing w:after="0" w:line="240" w:lineRule="auto"/>
              <w:jc w:val="right"/>
              <w:rPr>
                <w:rFonts w:eastAsia="Times New Roman" w:cs="Times New Roman"/>
                <w:sz w:val="24"/>
                <w:szCs w:val="24"/>
                <w:lang w:eastAsia="en-GB"/>
              </w:rPr>
            </w:pPr>
            <w:r w:rsidRPr="00141805">
              <w:rPr>
                <w:rFonts w:cs="Times New Roman"/>
                <w:sz w:val="24"/>
                <w:szCs w:val="24"/>
              </w:rPr>
              <w:t>285</w:t>
            </w:r>
          </w:p>
        </w:tc>
        <w:tc>
          <w:tcPr>
            <w:tcW w:w="1297" w:type="pct"/>
            <w:shd w:val="clear" w:color="auto" w:fill="auto"/>
            <w:noWrap/>
            <w:vAlign w:val="bottom"/>
            <w:hideMark/>
          </w:tcPr>
          <w:p w14:paraId="47569474" w14:textId="77777777" w:rsidR="00457D76" w:rsidRPr="00141805" w:rsidRDefault="00457D76" w:rsidP="00141805">
            <w:pPr>
              <w:spacing w:after="0" w:line="240" w:lineRule="auto"/>
              <w:jc w:val="right"/>
              <w:rPr>
                <w:rFonts w:eastAsia="Times New Roman" w:cs="Times New Roman"/>
                <w:sz w:val="24"/>
                <w:szCs w:val="24"/>
                <w:lang w:eastAsia="en-GB"/>
              </w:rPr>
            </w:pPr>
            <w:r w:rsidRPr="00141805">
              <w:rPr>
                <w:rFonts w:cs="Times New Roman"/>
                <w:sz w:val="24"/>
                <w:szCs w:val="24"/>
              </w:rPr>
              <w:t>0.43</w:t>
            </w:r>
          </w:p>
        </w:tc>
      </w:tr>
      <w:tr w:rsidR="00457D76" w:rsidRPr="00141805" w14:paraId="15CB5453" w14:textId="77777777" w:rsidTr="00B37F34">
        <w:trPr>
          <w:trHeight w:val="255"/>
        </w:trPr>
        <w:tc>
          <w:tcPr>
            <w:tcW w:w="3068" w:type="pct"/>
            <w:shd w:val="clear" w:color="auto" w:fill="auto"/>
            <w:noWrap/>
            <w:vAlign w:val="bottom"/>
            <w:hideMark/>
          </w:tcPr>
          <w:p w14:paraId="4DA980C9" w14:textId="77777777" w:rsidR="00457D76" w:rsidRPr="00141805" w:rsidRDefault="00457D76" w:rsidP="00141805">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Agammaglobulinemia</w:t>
            </w:r>
          </w:p>
        </w:tc>
        <w:tc>
          <w:tcPr>
            <w:tcW w:w="635" w:type="pct"/>
            <w:shd w:val="clear" w:color="auto" w:fill="auto"/>
            <w:noWrap/>
            <w:vAlign w:val="bottom"/>
            <w:hideMark/>
          </w:tcPr>
          <w:p w14:paraId="7ABE7183" w14:textId="77777777" w:rsidR="00457D76" w:rsidRPr="00141805" w:rsidRDefault="00457D76" w:rsidP="00141805">
            <w:pPr>
              <w:spacing w:after="0" w:line="240" w:lineRule="auto"/>
              <w:jc w:val="right"/>
              <w:rPr>
                <w:rFonts w:eastAsia="Times New Roman" w:cs="Times New Roman"/>
                <w:sz w:val="24"/>
                <w:szCs w:val="24"/>
                <w:lang w:eastAsia="en-GB"/>
              </w:rPr>
            </w:pPr>
            <w:r w:rsidRPr="00141805">
              <w:rPr>
                <w:rFonts w:cs="Times New Roman"/>
                <w:sz w:val="24"/>
                <w:szCs w:val="24"/>
              </w:rPr>
              <w:t>195</w:t>
            </w:r>
          </w:p>
        </w:tc>
        <w:tc>
          <w:tcPr>
            <w:tcW w:w="1297" w:type="pct"/>
            <w:shd w:val="clear" w:color="auto" w:fill="auto"/>
            <w:noWrap/>
            <w:vAlign w:val="bottom"/>
            <w:hideMark/>
          </w:tcPr>
          <w:p w14:paraId="7715AE44" w14:textId="77777777" w:rsidR="00457D76" w:rsidRPr="00141805" w:rsidRDefault="00457D76" w:rsidP="00141805">
            <w:pPr>
              <w:spacing w:after="0" w:line="240" w:lineRule="auto"/>
              <w:jc w:val="right"/>
              <w:rPr>
                <w:rFonts w:eastAsia="Times New Roman" w:cs="Times New Roman"/>
                <w:sz w:val="24"/>
                <w:szCs w:val="24"/>
                <w:lang w:eastAsia="en-GB"/>
              </w:rPr>
            </w:pPr>
            <w:r w:rsidRPr="00141805">
              <w:rPr>
                <w:rFonts w:cs="Times New Roman"/>
                <w:sz w:val="24"/>
                <w:szCs w:val="24"/>
              </w:rPr>
              <w:t>0.30</w:t>
            </w:r>
          </w:p>
        </w:tc>
      </w:tr>
      <w:tr w:rsidR="00457D76" w:rsidRPr="00141805" w14:paraId="6A4656CB" w14:textId="77777777" w:rsidTr="00B37F34">
        <w:trPr>
          <w:trHeight w:val="255"/>
        </w:trPr>
        <w:tc>
          <w:tcPr>
            <w:tcW w:w="3068" w:type="pct"/>
            <w:shd w:val="clear" w:color="auto" w:fill="auto"/>
            <w:noWrap/>
            <w:vAlign w:val="bottom"/>
          </w:tcPr>
          <w:p w14:paraId="346EC41A"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Severe Combined Immunodeficiency (SCID)</w:t>
            </w:r>
          </w:p>
        </w:tc>
        <w:tc>
          <w:tcPr>
            <w:tcW w:w="635" w:type="pct"/>
            <w:shd w:val="clear" w:color="auto" w:fill="auto"/>
            <w:noWrap/>
            <w:vAlign w:val="bottom"/>
          </w:tcPr>
          <w:p w14:paraId="1865EC05" w14:textId="77777777" w:rsidR="00457D76" w:rsidRPr="00141805" w:rsidRDefault="00457D76" w:rsidP="00457D76">
            <w:pPr>
              <w:spacing w:after="0" w:line="240" w:lineRule="auto"/>
              <w:jc w:val="right"/>
              <w:rPr>
                <w:rFonts w:cs="Times New Roman"/>
                <w:sz w:val="24"/>
                <w:szCs w:val="24"/>
              </w:rPr>
            </w:pPr>
            <w:r>
              <w:rPr>
                <w:rFonts w:cs="Times New Roman"/>
                <w:sz w:val="24"/>
                <w:szCs w:val="24"/>
              </w:rPr>
              <w:t>170</w:t>
            </w:r>
          </w:p>
        </w:tc>
        <w:tc>
          <w:tcPr>
            <w:tcW w:w="1297" w:type="pct"/>
            <w:shd w:val="clear" w:color="auto" w:fill="auto"/>
            <w:noWrap/>
            <w:vAlign w:val="bottom"/>
          </w:tcPr>
          <w:p w14:paraId="191C35BD" w14:textId="77777777" w:rsidR="00457D76" w:rsidRPr="00141805" w:rsidRDefault="00457D76" w:rsidP="00457D76">
            <w:pPr>
              <w:spacing w:after="0" w:line="240" w:lineRule="auto"/>
              <w:jc w:val="right"/>
              <w:rPr>
                <w:rFonts w:cs="Times New Roman"/>
                <w:sz w:val="24"/>
                <w:szCs w:val="24"/>
              </w:rPr>
            </w:pPr>
            <w:r>
              <w:rPr>
                <w:rFonts w:cs="Times New Roman"/>
                <w:sz w:val="24"/>
                <w:szCs w:val="24"/>
              </w:rPr>
              <w:t>0.26</w:t>
            </w:r>
          </w:p>
        </w:tc>
      </w:tr>
      <w:tr w:rsidR="00457D76" w:rsidRPr="00141805" w14:paraId="51834B77" w14:textId="77777777" w:rsidTr="00B37F34">
        <w:trPr>
          <w:trHeight w:val="255"/>
        </w:trPr>
        <w:tc>
          <w:tcPr>
            <w:tcW w:w="3068" w:type="pct"/>
            <w:shd w:val="clear" w:color="auto" w:fill="auto"/>
            <w:noWrap/>
            <w:vAlign w:val="bottom"/>
            <w:hideMark/>
          </w:tcPr>
          <w:p w14:paraId="277CA05C"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Unclassified immunodeficiency</w:t>
            </w:r>
          </w:p>
        </w:tc>
        <w:tc>
          <w:tcPr>
            <w:tcW w:w="635" w:type="pct"/>
            <w:shd w:val="clear" w:color="auto" w:fill="auto"/>
            <w:noWrap/>
            <w:vAlign w:val="bottom"/>
            <w:hideMark/>
          </w:tcPr>
          <w:p w14:paraId="7320B180" w14:textId="77777777" w:rsidR="00457D76" w:rsidRPr="00141805" w:rsidRDefault="00457D76" w:rsidP="00457D76">
            <w:pPr>
              <w:spacing w:after="0" w:line="240" w:lineRule="auto"/>
              <w:jc w:val="right"/>
              <w:rPr>
                <w:rFonts w:eastAsia="Times New Roman" w:cs="Times New Roman"/>
                <w:sz w:val="24"/>
                <w:szCs w:val="24"/>
                <w:lang w:eastAsia="en-GB"/>
              </w:rPr>
            </w:pPr>
            <w:r>
              <w:rPr>
                <w:rFonts w:cs="Times New Roman"/>
                <w:sz w:val="24"/>
                <w:szCs w:val="24"/>
              </w:rPr>
              <w:t>159</w:t>
            </w:r>
          </w:p>
        </w:tc>
        <w:tc>
          <w:tcPr>
            <w:tcW w:w="1297" w:type="pct"/>
            <w:shd w:val="clear" w:color="auto" w:fill="auto"/>
            <w:noWrap/>
            <w:vAlign w:val="bottom"/>
            <w:hideMark/>
          </w:tcPr>
          <w:p w14:paraId="484671A9" w14:textId="77777777" w:rsidR="00457D76" w:rsidRPr="00141805" w:rsidRDefault="00457D76" w:rsidP="00457D76">
            <w:pPr>
              <w:spacing w:after="0" w:line="240" w:lineRule="auto"/>
              <w:jc w:val="right"/>
              <w:rPr>
                <w:rFonts w:eastAsia="Times New Roman" w:cs="Times New Roman"/>
                <w:sz w:val="24"/>
                <w:szCs w:val="24"/>
                <w:lang w:eastAsia="en-GB"/>
              </w:rPr>
            </w:pPr>
            <w:r>
              <w:rPr>
                <w:rFonts w:cs="Times New Roman"/>
                <w:sz w:val="24"/>
                <w:szCs w:val="24"/>
              </w:rPr>
              <w:t>0.21</w:t>
            </w:r>
          </w:p>
        </w:tc>
      </w:tr>
      <w:tr w:rsidR="00457D76" w:rsidRPr="00141805" w14:paraId="72E67C8C" w14:textId="77777777" w:rsidTr="00B37F34">
        <w:trPr>
          <w:trHeight w:val="255"/>
        </w:trPr>
        <w:tc>
          <w:tcPr>
            <w:tcW w:w="3068" w:type="pct"/>
            <w:shd w:val="clear" w:color="auto" w:fill="auto"/>
            <w:noWrap/>
            <w:vAlign w:val="bottom"/>
            <w:hideMark/>
          </w:tcPr>
          <w:p w14:paraId="34F303BA"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Specific IgG deficiency (SPAD)</w:t>
            </w:r>
          </w:p>
        </w:tc>
        <w:tc>
          <w:tcPr>
            <w:tcW w:w="635" w:type="pct"/>
            <w:shd w:val="clear" w:color="auto" w:fill="auto"/>
            <w:noWrap/>
            <w:vAlign w:val="bottom"/>
            <w:hideMark/>
          </w:tcPr>
          <w:p w14:paraId="69E2B4D5" w14:textId="77777777" w:rsidR="00457D76" w:rsidRPr="00141805" w:rsidRDefault="00457D76" w:rsidP="00457D76">
            <w:pPr>
              <w:spacing w:after="0" w:line="240" w:lineRule="auto"/>
              <w:jc w:val="right"/>
              <w:rPr>
                <w:rFonts w:eastAsia="Times New Roman" w:cs="Times New Roman"/>
                <w:sz w:val="24"/>
                <w:szCs w:val="24"/>
                <w:lang w:eastAsia="en-GB"/>
              </w:rPr>
            </w:pPr>
            <w:r>
              <w:rPr>
                <w:rFonts w:cs="Times New Roman"/>
                <w:sz w:val="24"/>
                <w:szCs w:val="24"/>
              </w:rPr>
              <w:t>13</w:t>
            </w:r>
            <w:r w:rsidRPr="00141805">
              <w:rPr>
                <w:rFonts w:cs="Times New Roman"/>
                <w:sz w:val="24"/>
                <w:szCs w:val="24"/>
              </w:rPr>
              <w:t>9</w:t>
            </w:r>
          </w:p>
        </w:tc>
        <w:tc>
          <w:tcPr>
            <w:tcW w:w="1297" w:type="pct"/>
            <w:shd w:val="clear" w:color="auto" w:fill="auto"/>
            <w:noWrap/>
            <w:vAlign w:val="bottom"/>
            <w:hideMark/>
          </w:tcPr>
          <w:p w14:paraId="39404D69"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0.2</w:t>
            </w:r>
            <w:r>
              <w:rPr>
                <w:rFonts w:cs="Times New Roman"/>
                <w:sz w:val="24"/>
                <w:szCs w:val="24"/>
              </w:rPr>
              <w:t>1</w:t>
            </w:r>
          </w:p>
        </w:tc>
      </w:tr>
      <w:tr w:rsidR="00457D76" w:rsidRPr="00141805" w14:paraId="510779A9" w14:textId="77777777" w:rsidTr="00B37F34">
        <w:trPr>
          <w:trHeight w:val="255"/>
        </w:trPr>
        <w:tc>
          <w:tcPr>
            <w:tcW w:w="3068" w:type="pct"/>
            <w:shd w:val="clear" w:color="auto" w:fill="auto"/>
            <w:noWrap/>
            <w:vAlign w:val="bottom"/>
            <w:hideMark/>
          </w:tcPr>
          <w:p w14:paraId="0F450B09"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color w:val="000000"/>
                <w:sz w:val="24"/>
                <w:szCs w:val="24"/>
                <w:lang w:eastAsia="en-GB"/>
              </w:rPr>
              <w:t>Chronic Granulomatous Disease (CGD)</w:t>
            </w:r>
          </w:p>
        </w:tc>
        <w:tc>
          <w:tcPr>
            <w:tcW w:w="635" w:type="pct"/>
            <w:shd w:val="clear" w:color="auto" w:fill="auto"/>
            <w:noWrap/>
            <w:vAlign w:val="bottom"/>
            <w:hideMark/>
          </w:tcPr>
          <w:p w14:paraId="66C51BA1"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123</w:t>
            </w:r>
          </w:p>
        </w:tc>
        <w:tc>
          <w:tcPr>
            <w:tcW w:w="1297" w:type="pct"/>
            <w:shd w:val="clear" w:color="auto" w:fill="auto"/>
            <w:noWrap/>
            <w:vAlign w:val="bottom"/>
            <w:hideMark/>
          </w:tcPr>
          <w:p w14:paraId="32C1D4A5"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0.19</w:t>
            </w:r>
          </w:p>
        </w:tc>
      </w:tr>
      <w:tr w:rsidR="00457D76" w:rsidRPr="00141805" w14:paraId="0A067EA5" w14:textId="77777777" w:rsidTr="00B37F34">
        <w:trPr>
          <w:trHeight w:val="255"/>
        </w:trPr>
        <w:tc>
          <w:tcPr>
            <w:tcW w:w="3068" w:type="pct"/>
            <w:shd w:val="clear" w:color="auto" w:fill="auto"/>
            <w:noWrap/>
            <w:vAlign w:val="bottom"/>
            <w:hideMark/>
          </w:tcPr>
          <w:p w14:paraId="26D31952"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Combined Immunodeficiency</w:t>
            </w:r>
          </w:p>
        </w:tc>
        <w:tc>
          <w:tcPr>
            <w:tcW w:w="635" w:type="pct"/>
            <w:shd w:val="clear" w:color="auto" w:fill="auto"/>
            <w:noWrap/>
            <w:vAlign w:val="bottom"/>
            <w:hideMark/>
          </w:tcPr>
          <w:p w14:paraId="0B7F18DD"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117</w:t>
            </w:r>
          </w:p>
        </w:tc>
        <w:tc>
          <w:tcPr>
            <w:tcW w:w="1297" w:type="pct"/>
            <w:shd w:val="clear" w:color="auto" w:fill="auto"/>
            <w:noWrap/>
            <w:vAlign w:val="bottom"/>
            <w:hideMark/>
          </w:tcPr>
          <w:p w14:paraId="25E980FF"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0.18</w:t>
            </w:r>
          </w:p>
        </w:tc>
      </w:tr>
      <w:tr w:rsidR="00457D76" w:rsidRPr="00141805" w14:paraId="06891E7B" w14:textId="77777777" w:rsidTr="00B37F34">
        <w:trPr>
          <w:trHeight w:val="255"/>
        </w:trPr>
        <w:tc>
          <w:tcPr>
            <w:tcW w:w="3068" w:type="pct"/>
            <w:shd w:val="clear" w:color="auto" w:fill="auto"/>
            <w:noWrap/>
            <w:vAlign w:val="bottom"/>
            <w:hideMark/>
          </w:tcPr>
          <w:p w14:paraId="363548C6"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color w:val="000000"/>
                <w:sz w:val="24"/>
                <w:szCs w:val="24"/>
                <w:lang w:eastAsia="en-GB"/>
              </w:rPr>
              <w:t>Di George syndrome</w:t>
            </w:r>
          </w:p>
        </w:tc>
        <w:tc>
          <w:tcPr>
            <w:tcW w:w="635" w:type="pct"/>
            <w:shd w:val="clear" w:color="auto" w:fill="auto"/>
            <w:noWrap/>
            <w:vAlign w:val="bottom"/>
            <w:hideMark/>
          </w:tcPr>
          <w:p w14:paraId="35359CB0"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99</w:t>
            </w:r>
          </w:p>
        </w:tc>
        <w:tc>
          <w:tcPr>
            <w:tcW w:w="1297" w:type="pct"/>
            <w:shd w:val="clear" w:color="auto" w:fill="auto"/>
            <w:noWrap/>
            <w:vAlign w:val="bottom"/>
            <w:hideMark/>
          </w:tcPr>
          <w:p w14:paraId="64C8CDB9"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0.15</w:t>
            </w:r>
          </w:p>
        </w:tc>
      </w:tr>
      <w:tr w:rsidR="00457D76" w:rsidRPr="00141805" w14:paraId="201EED45" w14:textId="77777777" w:rsidTr="00B37F34">
        <w:trPr>
          <w:trHeight w:val="255"/>
        </w:trPr>
        <w:tc>
          <w:tcPr>
            <w:tcW w:w="3068" w:type="pct"/>
            <w:shd w:val="clear" w:color="auto" w:fill="auto"/>
            <w:noWrap/>
            <w:vAlign w:val="bottom"/>
            <w:hideMark/>
          </w:tcPr>
          <w:p w14:paraId="55631A37"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IgA deficiency</w:t>
            </w:r>
          </w:p>
        </w:tc>
        <w:tc>
          <w:tcPr>
            <w:tcW w:w="635" w:type="pct"/>
            <w:shd w:val="clear" w:color="auto" w:fill="auto"/>
            <w:noWrap/>
            <w:vAlign w:val="bottom"/>
            <w:hideMark/>
          </w:tcPr>
          <w:p w14:paraId="55F19F66"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71</w:t>
            </w:r>
          </w:p>
        </w:tc>
        <w:tc>
          <w:tcPr>
            <w:tcW w:w="1297" w:type="pct"/>
            <w:shd w:val="clear" w:color="auto" w:fill="auto"/>
            <w:noWrap/>
            <w:vAlign w:val="bottom"/>
            <w:hideMark/>
          </w:tcPr>
          <w:p w14:paraId="317CE9B7"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0.11</w:t>
            </w:r>
          </w:p>
        </w:tc>
      </w:tr>
      <w:tr w:rsidR="00457D76" w:rsidRPr="00141805" w14:paraId="39D64A3D" w14:textId="77777777" w:rsidTr="00B37F34">
        <w:trPr>
          <w:trHeight w:val="255"/>
        </w:trPr>
        <w:tc>
          <w:tcPr>
            <w:tcW w:w="3068" w:type="pct"/>
            <w:shd w:val="clear" w:color="auto" w:fill="auto"/>
            <w:noWrap/>
            <w:vAlign w:val="bottom"/>
            <w:hideMark/>
          </w:tcPr>
          <w:p w14:paraId="5D813719"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Thymoma</w:t>
            </w:r>
          </w:p>
        </w:tc>
        <w:tc>
          <w:tcPr>
            <w:tcW w:w="635" w:type="pct"/>
            <w:shd w:val="clear" w:color="auto" w:fill="auto"/>
            <w:noWrap/>
            <w:vAlign w:val="bottom"/>
            <w:hideMark/>
          </w:tcPr>
          <w:p w14:paraId="412B9B6A"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68</w:t>
            </w:r>
          </w:p>
        </w:tc>
        <w:tc>
          <w:tcPr>
            <w:tcW w:w="1297" w:type="pct"/>
            <w:shd w:val="clear" w:color="auto" w:fill="auto"/>
            <w:noWrap/>
            <w:vAlign w:val="bottom"/>
            <w:hideMark/>
          </w:tcPr>
          <w:p w14:paraId="40F60979"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0.10</w:t>
            </w:r>
          </w:p>
        </w:tc>
      </w:tr>
      <w:tr w:rsidR="00457D76" w:rsidRPr="00141805" w14:paraId="6EFE299B" w14:textId="77777777" w:rsidTr="00B37F34">
        <w:trPr>
          <w:trHeight w:val="255"/>
        </w:trPr>
        <w:tc>
          <w:tcPr>
            <w:tcW w:w="3068" w:type="pct"/>
            <w:shd w:val="clear" w:color="auto" w:fill="auto"/>
            <w:noWrap/>
            <w:vAlign w:val="bottom"/>
            <w:hideMark/>
          </w:tcPr>
          <w:p w14:paraId="6CEAD37C"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CSR / HIGM (Hyper-IgM)</w:t>
            </w:r>
          </w:p>
        </w:tc>
        <w:tc>
          <w:tcPr>
            <w:tcW w:w="635" w:type="pct"/>
            <w:shd w:val="clear" w:color="auto" w:fill="auto"/>
            <w:noWrap/>
            <w:vAlign w:val="bottom"/>
            <w:hideMark/>
          </w:tcPr>
          <w:p w14:paraId="07C02746"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68</w:t>
            </w:r>
          </w:p>
        </w:tc>
        <w:tc>
          <w:tcPr>
            <w:tcW w:w="1297" w:type="pct"/>
            <w:shd w:val="clear" w:color="auto" w:fill="auto"/>
            <w:noWrap/>
            <w:vAlign w:val="bottom"/>
            <w:hideMark/>
          </w:tcPr>
          <w:p w14:paraId="71AF5935"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0.10</w:t>
            </w:r>
          </w:p>
        </w:tc>
      </w:tr>
      <w:tr w:rsidR="00457D76" w:rsidRPr="00141805" w14:paraId="0A600C74" w14:textId="77777777" w:rsidTr="00B37F34">
        <w:trPr>
          <w:trHeight w:val="255"/>
        </w:trPr>
        <w:tc>
          <w:tcPr>
            <w:tcW w:w="3068" w:type="pct"/>
            <w:shd w:val="clear" w:color="auto" w:fill="auto"/>
            <w:noWrap/>
            <w:vAlign w:val="bottom"/>
            <w:hideMark/>
          </w:tcPr>
          <w:p w14:paraId="278F1A1E"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color w:val="000000"/>
                <w:sz w:val="24"/>
                <w:szCs w:val="24"/>
                <w:lang w:eastAsia="en-GB"/>
              </w:rPr>
              <w:t>Wiskott-Aldrich syndrome</w:t>
            </w:r>
          </w:p>
        </w:tc>
        <w:tc>
          <w:tcPr>
            <w:tcW w:w="635" w:type="pct"/>
            <w:shd w:val="clear" w:color="auto" w:fill="auto"/>
            <w:noWrap/>
            <w:vAlign w:val="bottom"/>
            <w:hideMark/>
          </w:tcPr>
          <w:p w14:paraId="37E9BFA6"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66</w:t>
            </w:r>
          </w:p>
        </w:tc>
        <w:tc>
          <w:tcPr>
            <w:tcW w:w="1297" w:type="pct"/>
            <w:shd w:val="clear" w:color="auto" w:fill="auto"/>
            <w:noWrap/>
            <w:vAlign w:val="bottom"/>
            <w:hideMark/>
          </w:tcPr>
          <w:p w14:paraId="1D6A197A"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0.10</w:t>
            </w:r>
          </w:p>
        </w:tc>
      </w:tr>
      <w:tr w:rsidR="00457D76" w:rsidRPr="00141805" w14:paraId="5E934DFE" w14:textId="77777777" w:rsidTr="00B37F34">
        <w:trPr>
          <w:trHeight w:val="255"/>
        </w:trPr>
        <w:tc>
          <w:tcPr>
            <w:tcW w:w="3068" w:type="pct"/>
            <w:shd w:val="clear" w:color="auto" w:fill="auto"/>
            <w:noWrap/>
            <w:vAlign w:val="bottom"/>
            <w:hideMark/>
          </w:tcPr>
          <w:p w14:paraId="21CA7B49"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Hyper IgE Syndrome (HIES)</w:t>
            </w:r>
          </w:p>
        </w:tc>
        <w:tc>
          <w:tcPr>
            <w:tcW w:w="635" w:type="pct"/>
            <w:shd w:val="clear" w:color="auto" w:fill="auto"/>
            <w:noWrap/>
            <w:vAlign w:val="bottom"/>
            <w:hideMark/>
          </w:tcPr>
          <w:p w14:paraId="6FE85B62"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53</w:t>
            </w:r>
          </w:p>
        </w:tc>
        <w:tc>
          <w:tcPr>
            <w:tcW w:w="1297" w:type="pct"/>
            <w:shd w:val="clear" w:color="auto" w:fill="auto"/>
            <w:noWrap/>
            <w:vAlign w:val="bottom"/>
            <w:hideMark/>
          </w:tcPr>
          <w:p w14:paraId="4006C3D3"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0.08</w:t>
            </w:r>
          </w:p>
        </w:tc>
      </w:tr>
      <w:tr w:rsidR="00457D76" w:rsidRPr="00141805" w14:paraId="15C31330" w14:textId="77777777" w:rsidTr="00B37F34">
        <w:trPr>
          <w:trHeight w:val="255"/>
        </w:trPr>
        <w:tc>
          <w:tcPr>
            <w:tcW w:w="3068" w:type="pct"/>
            <w:shd w:val="clear" w:color="auto" w:fill="auto"/>
            <w:noWrap/>
            <w:vAlign w:val="bottom"/>
            <w:hideMark/>
          </w:tcPr>
          <w:p w14:paraId="5423E908"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IgG subclass deficiency</w:t>
            </w:r>
          </w:p>
        </w:tc>
        <w:tc>
          <w:tcPr>
            <w:tcW w:w="635" w:type="pct"/>
            <w:shd w:val="clear" w:color="auto" w:fill="auto"/>
            <w:noWrap/>
            <w:vAlign w:val="bottom"/>
            <w:hideMark/>
          </w:tcPr>
          <w:p w14:paraId="00AFB6FF"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44</w:t>
            </w:r>
          </w:p>
        </w:tc>
        <w:tc>
          <w:tcPr>
            <w:tcW w:w="1297" w:type="pct"/>
            <w:shd w:val="clear" w:color="auto" w:fill="auto"/>
            <w:noWrap/>
            <w:vAlign w:val="bottom"/>
            <w:hideMark/>
          </w:tcPr>
          <w:p w14:paraId="700BF501"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0.07</w:t>
            </w:r>
          </w:p>
        </w:tc>
      </w:tr>
      <w:tr w:rsidR="00457D76" w:rsidRPr="00141805" w14:paraId="3082AE24" w14:textId="77777777" w:rsidTr="00B37F34">
        <w:trPr>
          <w:trHeight w:val="255"/>
        </w:trPr>
        <w:tc>
          <w:tcPr>
            <w:tcW w:w="3068" w:type="pct"/>
            <w:shd w:val="clear" w:color="auto" w:fill="auto"/>
            <w:noWrap/>
            <w:vAlign w:val="bottom"/>
            <w:hideMark/>
          </w:tcPr>
          <w:p w14:paraId="77C3E623"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shd w:val="clear" w:color="auto" w:fill="FFFFFF"/>
              </w:rPr>
              <w:t>Ataxia-Telangiectasia</w:t>
            </w:r>
          </w:p>
        </w:tc>
        <w:tc>
          <w:tcPr>
            <w:tcW w:w="635" w:type="pct"/>
            <w:shd w:val="clear" w:color="auto" w:fill="auto"/>
            <w:noWrap/>
            <w:vAlign w:val="bottom"/>
            <w:hideMark/>
          </w:tcPr>
          <w:p w14:paraId="3160B46B"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40</w:t>
            </w:r>
          </w:p>
        </w:tc>
        <w:tc>
          <w:tcPr>
            <w:tcW w:w="1297" w:type="pct"/>
            <w:shd w:val="clear" w:color="auto" w:fill="auto"/>
            <w:noWrap/>
            <w:vAlign w:val="bottom"/>
            <w:hideMark/>
          </w:tcPr>
          <w:p w14:paraId="65F62F55"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0.06</w:t>
            </w:r>
          </w:p>
        </w:tc>
      </w:tr>
      <w:tr w:rsidR="00457D76" w:rsidRPr="00141805" w14:paraId="275B88B0" w14:textId="77777777" w:rsidTr="00B37F34">
        <w:trPr>
          <w:trHeight w:val="255"/>
        </w:trPr>
        <w:tc>
          <w:tcPr>
            <w:tcW w:w="3068" w:type="pct"/>
            <w:shd w:val="clear" w:color="auto" w:fill="auto"/>
            <w:noWrap/>
            <w:vAlign w:val="bottom"/>
            <w:hideMark/>
          </w:tcPr>
          <w:p w14:paraId="205F61E3"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color w:val="000000"/>
                <w:sz w:val="24"/>
                <w:szCs w:val="24"/>
                <w:lang w:eastAsia="en-GB"/>
              </w:rPr>
              <w:t>Autoimmune lymphoproliferative syndrome (ALPS)</w:t>
            </w:r>
          </w:p>
        </w:tc>
        <w:tc>
          <w:tcPr>
            <w:tcW w:w="635" w:type="pct"/>
            <w:shd w:val="clear" w:color="auto" w:fill="auto"/>
            <w:noWrap/>
            <w:vAlign w:val="bottom"/>
            <w:hideMark/>
          </w:tcPr>
          <w:p w14:paraId="063B0DE5"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29</w:t>
            </w:r>
          </w:p>
        </w:tc>
        <w:tc>
          <w:tcPr>
            <w:tcW w:w="1297" w:type="pct"/>
            <w:shd w:val="clear" w:color="auto" w:fill="auto"/>
            <w:noWrap/>
            <w:vAlign w:val="bottom"/>
            <w:hideMark/>
          </w:tcPr>
          <w:p w14:paraId="2290C829"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0.04</w:t>
            </w:r>
          </w:p>
        </w:tc>
      </w:tr>
      <w:tr w:rsidR="00457D76" w:rsidRPr="00141805" w14:paraId="15CBB738" w14:textId="77777777" w:rsidTr="00B37F34">
        <w:trPr>
          <w:trHeight w:val="255"/>
        </w:trPr>
        <w:tc>
          <w:tcPr>
            <w:tcW w:w="3068" w:type="pct"/>
            <w:shd w:val="clear" w:color="auto" w:fill="auto"/>
            <w:noWrap/>
            <w:vAlign w:val="bottom"/>
            <w:hideMark/>
          </w:tcPr>
          <w:p w14:paraId="7D979FD3"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Acquired angioedema</w:t>
            </w:r>
          </w:p>
        </w:tc>
        <w:tc>
          <w:tcPr>
            <w:tcW w:w="635" w:type="pct"/>
            <w:shd w:val="clear" w:color="auto" w:fill="auto"/>
            <w:noWrap/>
            <w:vAlign w:val="bottom"/>
            <w:hideMark/>
          </w:tcPr>
          <w:p w14:paraId="3CDB6454"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22</w:t>
            </w:r>
          </w:p>
        </w:tc>
        <w:tc>
          <w:tcPr>
            <w:tcW w:w="1297" w:type="pct"/>
            <w:shd w:val="clear" w:color="auto" w:fill="auto"/>
            <w:noWrap/>
            <w:vAlign w:val="bottom"/>
            <w:hideMark/>
          </w:tcPr>
          <w:p w14:paraId="47A4BBF6"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0.03</w:t>
            </w:r>
          </w:p>
        </w:tc>
      </w:tr>
      <w:tr w:rsidR="00457D76" w:rsidRPr="00141805" w14:paraId="15354BBB" w14:textId="77777777" w:rsidTr="00B37F34">
        <w:trPr>
          <w:trHeight w:val="255"/>
        </w:trPr>
        <w:tc>
          <w:tcPr>
            <w:tcW w:w="3068" w:type="pct"/>
            <w:shd w:val="clear" w:color="auto" w:fill="auto"/>
            <w:noWrap/>
            <w:vAlign w:val="bottom"/>
            <w:hideMark/>
          </w:tcPr>
          <w:p w14:paraId="43409392"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Omenn syndrome</w:t>
            </w:r>
          </w:p>
        </w:tc>
        <w:tc>
          <w:tcPr>
            <w:tcW w:w="635" w:type="pct"/>
            <w:shd w:val="clear" w:color="auto" w:fill="auto"/>
            <w:noWrap/>
            <w:vAlign w:val="bottom"/>
            <w:hideMark/>
          </w:tcPr>
          <w:p w14:paraId="1F6A12AC"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22</w:t>
            </w:r>
          </w:p>
        </w:tc>
        <w:tc>
          <w:tcPr>
            <w:tcW w:w="1297" w:type="pct"/>
            <w:shd w:val="clear" w:color="auto" w:fill="auto"/>
            <w:noWrap/>
            <w:vAlign w:val="bottom"/>
            <w:hideMark/>
          </w:tcPr>
          <w:p w14:paraId="435B00AA"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0.03</w:t>
            </w:r>
          </w:p>
        </w:tc>
      </w:tr>
      <w:tr w:rsidR="00457D76" w:rsidRPr="00141805" w14:paraId="4527C7F0" w14:textId="77777777" w:rsidTr="00B37F34">
        <w:trPr>
          <w:trHeight w:val="255"/>
        </w:trPr>
        <w:tc>
          <w:tcPr>
            <w:tcW w:w="3068" w:type="pct"/>
            <w:shd w:val="clear" w:color="auto" w:fill="auto"/>
            <w:noWrap/>
            <w:vAlign w:val="bottom"/>
            <w:hideMark/>
          </w:tcPr>
          <w:p w14:paraId="38A713D5"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Immune dysregulation, unclassified</w:t>
            </w:r>
          </w:p>
        </w:tc>
        <w:tc>
          <w:tcPr>
            <w:tcW w:w="635" w:type="pct"/>
            <w:shd w:val="clear" w:color="auto" w:fill="auto"/>
            <w:noWrap/>
            <w:vAlign w:val="bottom"/>
            <w:hideMark/>
          </w:tcPr>
          <w:p w14:paraId="7CB0B67B"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18</w:t>
            </w:r>
          </w:p>
        </w:tc>
        <w:tc>
          <w:tcPr>
            <w:tcW w:w="1297" w:type="pct"/>
            <w:shd w:val="clear" w:color="auto" w:fill="auto"/>
            <w:noWrap/>
            <w:vAlign w:val="bottom"/>
            <w:hideMark/>
          </w:tcPr>
          <w:p w14:paraId="2255804D"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0.03</w:t>
            </w:r>
          </w:p>
        </w:tc>
      </w:tr>
      <w:tr w:rsidR="00457D76" w:rsidRPr="00141805" w14:paraId="62D5063E" w14:textId="77777777" w:rsidTr="00B37F34">
        <w:trPr>
          <w:trHeight w:val="70"/>
        </w:trPr>
        <w:tc>
          <w:tcPr>
            <w:tcW w:w="3068" w:type="pct"/>
            <w:shd w:val="clear" w:color="auto" w:fill="auto"/>
            <w:noWrap/>
            <w:vAlign w:val="bottom"/>
            <w:hideMark/>
          </w:tcPr>
          <w:p w14:paraId="222E2459"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Congenital neutropenia</w:t>
            </w:r>
          </w:p>
        </w:tc>
        <w:tc>
          <w:tcPr>
            <w:tcW w:w="635" w:type="pct"/>
            <w:shd w:val="clear" w:color="auto" w:fill="auto"/>
            <w:noWrap/>
            <w:vAlign w:val="bottom"/>
            <w:hideMark/>
          </w:tcPr>
          <w:p w14:paraId="5F351BDC"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18</w:t>
            </w:r>
          </w:p>
        </w:tc>
        <w:tc>
          <w:tcPr>
            <w:tcW w:w="1297" w:type="pct"/>
            <w:shd w:val="clear" w:color="auto" w:fill="auto"/>
            <w:noWrap/>
            <w:vAlign w:val="bottom"/>
            <w:hideMark/>
          </w:tcPr>
          <w:p w14:paraId="137AA33D"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0.03</w:t>
            </w:r>
          </w:p>
        </w:tc>
      </w:tr>
      <w:tr w:rsidR="00457D76" w:rsidRPr="00141805" w14:paraId="10AA9D73" w14:textId="77777777" w:rsidTr="00B37F34">
        <w:trPr>
          <w:trHeight w:val="255"/>
        </w:trPr>
        <w:tc>
          <w:tcPr>
            <w:tcW w:w="3068" w:type="pct"/>
            <w:shd w:val="clear" w:color="auto" w:fill="auto"/>
            <w:noWrap/>
            <w:vAlign w:val="bottom"/>
            <w:hideMark/>
          </w:tcPr>
          <w:p w14:paraId="215D6360"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Cartilage hair hypoplasia</w:t>
            </w:r>
          </w:p>
        </w:tc>
        <w:tc>
          <w:tcPr>
            <w:tcW w:w="635" w:type="pct"/>
            <w:shd w:val="clear" w:color="auto" w:fill="auto"/>
            <w:noWrap/>
            <w:vAlign w:val="bottom"/>
            <w:hideMark/>
          </w:tcPr>
          <w:p w14:paraId="16BA0E1A" w14:textId="77777777" w:rsidR="00457D76" w:rsidRPr="00141805" w:rsidRDefault="00457D76" w:rsidP="00457D76">
            <w:pPr>
              <w:spacing w:after="0" w:line="240" w:lineRule="auto"/>
              <w:jc w:val="right"/>
              <w:rPr>
                <w:rFonts w:eastAsia="Times New Roman" w:cs="Times New Roman"/>
                <w:sz w:val="24"/>
                <w:szCs w:val="24"/>
                <w:lang w:eastAsia="en-GB"/>
              </w:rPr>
            </w:pPr>
            <w:r>
              <w:rPr>
                <w:rFonts w:cs="Times New Roman"/>
                <w:sz w:val="24"/>
                <w:szCs w:val="24"/>
              </w:rPr>
              <w:t>16</w:t>
            </w:r>
          </w:p>
        </w:tc>
        <w:tc>
          <w:tcPr>
            <w:tcW w:w="1297" w:type="pct"/>
            <w:shd w:val="clear" w:color="auto" w:fill="auto"/>
            <w:noWrap/>
            <w:vAlign w:val="bottom"/>
            <w:hideMark/>
          </w:tcPr>
          <w:p w14:paraId="7ABBC612"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0.02</w:t>
            </w:r>
          </w:p>
        </w:tc>
      </w:tr>
      <w:tr w:rsidR="00457D76" w:rsidRPr="00141805" w14:paraId="08BB0787" w14:textId="77777777" w:rsidTr="00B37F34">
        <w:trPr>
          <w:trHeight w:val="255"/>
        </w:trPr>
        <w:tc>
          <w:tcPr>
            <w:tcW w:w="3068" w:type="pct"/>
            <w:shd w:val="clear" w:color="auto" w:fill="auto"/>
            <w:noWrap/>
            <w:vAlign w:val="bottom"/>
            <w:hideMark/>
          </w:tcPr>
          <w:p w14:paraId="7C66F075"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color w:val="000000"/>
                <w:sz w:val="24"/>
                <w:szCs w:val="24"/>
                <w:lang w:eastAsia="en-GB"/>
              </w:rPr>
              <w:t>Mendelian susceptibility to mycobacterial infection</w:t>
            </w:r>
          </w:p>
        </w:tc>
        <w:tc>
          <w:tcPr>
            <w:tcW w:w="635" w:type="pct"/>
            <w:shd w:val="clear" w:color="auto" w:fill="auto"/>
            <w:noWrap/>
            <w:vAlign w:val="bottom"/>
            <w:hideMark/>
          </w:tcPr>
          <w:p w14:paraId="1423B4BD" w14:textId="77777777" w:rsidR="00457D76" w:rsidRPr="00141805" w:rsidRDefault="00457D76" w:rsidP="00457D76">
            <w:pPr>
              <w:spacing w:after="0" w:line="240" w:lineRule="auto"/>
              <w:jc w:val="right"/>
              <w:rPr>
                <w:rFonts w:eastAsia="Times New Roman" w:cs="Times New Roman"/>
                <w:sz w:val="24"/>
                <w:szCs w:val="24"/>
                <w:lang w:eastAsia="en-GB"/>
              </w:rPr>
            </w:pPr>
            <w:r>
              <w:rPr>
                <w:rFonts w:cs="Times New Roman"/>
                <w:sz w:val="24"/>
                <w:szCs w:val="24"/>
              </w:rPr>
              <w:t>15</w:t>
            </w:r>
          </w:p>
        </w:tc>
        <w:tc>
          <w:tcPr>
            <w:tcW w:w="1297" w:type="pct"/>
            <w:shd w:val="clear" w:color="auto" w:fill="auto"/>
            <w:noWrap/>
            <w:vAlign w:val="bottom"/>
            <w:hideMark/>
          </w:tcPr>
          <w:p w14:paraId="38D9706E"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0.02</w:t>
            </w:r>
          </w:p>
        </w:tc>
      </w:tr>
      <w:tr w:rsidR="00457D76" w:rsidRPr="00141805" w14:paraId="70ECDF8C" w14:textId="77777777" w:rsidTr="00B37F34">
        <w:trPr>
          <w:trHeight w:val="255"/>
        </w:trPr>
        <w:tc>
          <w:tcPr>
            <w:tcW w:w="3068" w:type="pct"/>
            <w:shd w:val="clear" w:color="auto" w:fill="auto"/>
            <w:noWrap/>
            <w:vAlign w:val="bottom"/>
            <w:hideMark/>
          </w:tcPr>
          <w:p w14:paraId="0A1C782C"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IgA with IgG subclass deficiency</w:t>
            </w:r>
          </w:p>
        </w:tc>
        <w:tc>
          <w:tcPr>
            <w:tcW w:w="635" w:type="pct"/>
            <w:shd w:val="clear" w:color="auto" w:fill="auto"/>
            <w:noWrap/>
            <w:vAlign w:val="bottom"/>
            <w:hideMark/>
          </w:tcPr>
          <w:p w14:paraId="013AF752" w14:textId="77777777" w:rsidR="00457D76" w:rsidRPr="00141805" w:rsidRDefault="00457D76" w:rsidP="00457D76">
            <w:pPr>
              <w:spacing w:after="0" w:line="240" w:lineRule="auto"/>
              <w:jc w:val="right"/>
              <w:rPr>
                <w:rFonts w:eastAsia="Times New Roman" w:cs="Times New Roman"/>
                <w:sz w:val="24"/>
                <w:szCs w:val="24"/>
                <w:lang w:eastAsia="en-GB"/>
              </w:rPr>
            </w:pPr>
            <w:r>
              <w:rPr>
                <w:rFonts w:cs="Times New Roman"/>
                <w:sz w:val="24"/>
                <w:szCs w:val="24"/>
              </w:rPr>
              <w:t>14</w:t>
            </w:r>
          </w:p>
        </w:tc>
        <w:tc>
          <w:tcPr>
            <w:tcW w:w="1297" w:type="pct"/>
            <w:shd w:val="clear" w:color="auto" w:fill="auto"/>
            <w:noWrap/>
            <w:vAlign w:val="bottom"/>
            <w:hideMark/>
          </w:tcPr>
          <w:p w14:paraId="4E2EB544"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0.02</w:t>
            </w:r>
          </w:p>
        </w:tc>
      </w:tr>
      <w:tr w:rsidR="00457D76" w:rsidRPr="00141805" w14:paraId="1554CAA8" w14:textId="77777777" w:rsidTr="00B37F34">
        <w:trPr>
          <w:trHeight w:val="255"/>
        </w:trPr>
        <w:tc>
          <w:tcPr>
            <w:tcW w:w="3068" w:type="pct"/>
            <w:shd w:val="clear" w:color="auto" w:fill="auto"/>
            <w:noWrap/>
            <w:vAlign w:val="bottom"/>
            <w:hideMark/>
          </w:tcPr>
          <w:p w14:paraId="4A48EE1A"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TLR/NFkappa-B</w:t>
            </w:r>
          </w:p>
        </w:tc>
        <w:tc>
          <w:tcPr>
            <w:tcW w:w="635" w:type="pct"/>
            <w:shd w:val="clear" w:color="auto" w:fill="auto"/>
            <w:noWrap/>
            <w:vAlign w:val="bottom"/>
            <w:hideMark/>
          </w:tcPr>
          <w:p w14:paraId="6AE3392E"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14</w:t>
            </w:r>
          </w:p>
        </w:tc>
        <w:tc>
          <w:tcPr>
            <w:tcW w:w="1297" w:type="pct"/>
            <w:shd w:val="clear" w:color="auto" w:fill="auto"/>
            <w:noWrap/>
            <w:vAlign w:val="bottom"/>
            <w:hideMark/>
          </w:tcPr>
          <w:p w14:paraId="2A157C78"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0.02</w:t>
            </w:r>
          </w:p>
        </w:tc>
      </w:tr>
      <w:tr w:rsidR="00457D76" w:rsidRPr="00141805" w14:paraId="1FB72304" w14:textId="77777777" w:rsidTr="00B37F34">
        <w:trPr>
          <w:trHeight w:val="255"/>
        </w:trPr>
        <w:tc>
          <w:tcPr>
            <w:tcW w:w="3068" w:type="pct"/>
            <w:shd w:val="clear" w:color="auto" w:fill="auto"/>
            <w:noWrap/>
            <w:vAlign w:val="bottom"/>
            <w:hideMark/>
          </w:tcPr>
          <w:p w14:paraId="70EF584F"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Complement ID, unclassified</w:t>
            </w:r>
          </w:p>
        </w:tc>
        <w:tc>
          <w:tcPr>
            <w:tcW w:w="635" w:type="pct"/>
            <w:shd w:val="clear" w:color="auto" w:fill="auto"/>
            <w:noWrap/>
            <w:vAlign w:val="bottom"/>
            <w:hideMark/>
          </w:tcPr>
          <w:p w14:paraId="291BC144" w14:textId="77777777" w:rsidR="00457D76" w:rsidRPr="00141805" w:rsidRDefault="00457D76" w:rsidP="00457D76">
            <w:pPr>
              <w:spacing w:after="0" w:line="240" w:lineRule="auto"/>
              <w:jc w:val="right"/>
              <w:rPr>
                <w:rFonts w:eastAsia="Times New Roman" w:cs="Times New Roman"/>
                <w:sz w:val="24"/>
                <w:szCs w:val="24"/>
                <w:lang w:eastAsia="en-GB"/>
              </w:rPr>
            </w:pPr>
            <w:r>
              <w:rPr>
                <w:rFonts w:cs="Times New Roman"/>
                <w:sz w:val="24"/>
                <w:szCs w:val="24"/>
              </w:rPr>
              <w:t>14</w:t>
            </w:r>
          </w:p>
        </w:tc>
        <w:tc>
          <w:tcPr>
            <w:tcW w:w="1297" w:type="pct"/>
            <w:shd w:val="clear" w:color="auto" w:fill="auto"/>
            <w:noWrap/>
            <w:vAlign w:val="bottom"/>
            <w:hideMark/>
          </w:tcPr>
          <w:p w14:paraId="28D21D34"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0.02</w:t>
            </w:r>
          </w:p>
        </w:tc>
      </w:tr>
      <w:tr w:rsidR="00457D76" w:rsidRPr="00141805" w14:paraId="214E939A" w14:textId="77777777" w:rsidTr="00B37F34">
        <w:trPr>
          <w:trHeight w:val="255"/>
        </w:trPr>
        <w:tc>
          <w:tcPr>
            <w:tcW w:w="3068" w:type="pct"/>
            <w:shd w:val="clear" w:color="auto" w:fill="auto"/>
            <w:noWrap/>
            <w:vAlign w:val="bottom"/>
            <w:hideMark/>
          </w:tcPr>
          <w:p w14:paraId="4FC72319"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color w:val="000000"/>
                <w:sz w:val="24"/>
                <w:szCs w:val="24"/>
                <w:lang w:eastAsia="en-GB"/>
              </w:rPr>
              <w:t>Mannan Binding Lectin Deficiency (MBL)</w:t>
            </w:r>
          </w:p>
        </w:tc>
        <w:tc>
          <w:tcPr>
            <w:tcW w:w="635" w:type="pct"/>
            <w:shd w:val="clear" w:color="auto" w:fill="auto"/>
            <w:noWrap/>
            <w:vAlign w:val="bottom"/>
            <w:hideMark/>
          </w:tcPr>
          <w:p w14:paraId="259A5D56" w14:textId="77777777" w:rsidR="00457D76" w:rsidRPr="00141805" w:rsidRDefault="00457D76" w:rsidP="00457D76">
            <w:pPr>
              <w:spacing w:after="0" w:line="240" w:lineRule="auto"/>
              <w:jc w:val="right"/>
              <w:rPr>
                <w:rFonts w:eastAsia="Times New Roman" w:cs="Times New Roman"/>
                <w:sz w:val="24"/>
                <w:szCs w:val="24"/>
                <w:lang w:eastAsia="en-GB"/>
              </w:rPr>
            </w:pPr>
            <w:r>
              <w:rPr>
                <w:rFonts w:cs="Times New Roman"/>
                <w:sz w:val="24"/>
                <w:szCs w:val="24"/>
              </w:rPr>
              <w:t>13</w:t>
            </w:r>
          </w:p>
        </w:tc>
        <w:tc>
          <w:tcPr>
            <w:tcW w:w="1297" w:type="pct"/>
            <w:shd w:val="clear" w:color="auto" w:fill="auto"/>
            <w:noWrap/>
            <w:vAlign w:val="bottom"/>
            <w:hideMark/>
          </w:tcPr>
          <w:p w14:paraId="2DFB6B42"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0.02</w:t>
            </w:r>
          </w:p>
        </w:tc>
      </w:tr>
      <w:tr w:rsidR="00457D76" w:rsidRPr="00141805" w14:paraId="5DF2F1F0" w14:textId="77777777" w:rsidTr="00B37F34">
        <w:trPr>
          <w:trHeight w:val="255"/>
        </w:trPr>
        <w:tc>
          <w:tcPr>
            <w:tcW w:w="3068" w:type="pct"/>
            <w:shd w:val="clear" w:color="auto" w:fill="auto"/>
            <w:noWrap/>
            <w:vAlign w:val="bottom"/>
            <w:hideMark/>
          </w:tcPr>
          <w:p w14:paraId="5E813F81"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color w:val="000000"/>
                <w:sz w:val="24"/>
                <w:szCs w:val="24"/>
                <w:lang w:eastAsia="en-GB"/>
              </w:rPr>
              <w:t>Chronic mucocutaneous candidiasis (CMC)</w:t>
            </w:r>
          </w:p>
        </w:tc>
        <w:tc>
          <w:tcPr>
            <w:tcW w:w="635" w:type="pct"/>
            <w:shd w:val="clear" w:color="auto" w:fill="auto"/>
            <w:noWrap/>
            <w:vAlign w:val="bottom"/>
            <w:hideMark/>
          </w:tcPr>
          <w:p w14:paraId="1F6E196C" w14:textId="77777777" w:rsidR="00457D76" w:rsidRPr="00141805" w:rsidRDefault="00457D76" w:rsidP="00457D76">
            <w:pPr>
              <w:spacing w:after="0" w:line="240" w:lineRule="auto"/>
              <w:jc w:val="right"/>
              <w:rPr>
                <w:rFonts w:eastAsia="Times New Roman" w:cs="Times New Roman"/>
                <w:sz w:val="24"/>
                <w:szCs w:val="24"/>
                <w:lang w:eastAsia="en-GB"/>
              </w:rPr>
            </w:pPr>
            <w:r>
              <w:rPr>
                <w:rFonts w:cs="Times New Roman"/>
                <w:sz w:val="24"/>
                <w:szCs w:val="24"/>
              </w:rPr>
              <w:t>13</w:t>
            </w:r>
          </w:p>
        </w:tc>
        <w:tc>
          <w:tcPr>
            <w:tcW w:w="1297" w:type="pct"/>
            <w:shd w:val="clear" w:color="auto" w:fill="auto"/>
            <w:noWrap/>
            <w:vAlign w:val="bottom"/>
            <w:hideMark/>
          </w:tcPr>
          <w:p w14:paraId="5DD20ABE"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0.02</w:t>
            </w:r>
          </w:p>
        </w:tc>
      </w:tr>
      <w:tr w:rsidR="00457D76" w:rsidRPr="00141805" w14:paraId="53D252BB" w14:textId="77777777" w:rsidTr="00B37F34">
        <w:trPr>
          <w:trHeight w:val="255"/>
        </w:trPr>
        <w:tc>
          <w:tcPr>
            <w:tcW w:w="3068" w:type="pct"/>
            <w:shd w:val="clear" w:color="auto" w:fill="auto"/>
            <w:noWrap/>
            <w:vAlign w:val="bottom"/>
            <w:hideMark/>
          </w:tcPr>
          <w:p w14:paraId="4C387900"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bCs/>
                <w:sz w:val="24"/>
                <w:szCs w:val="24"/>
                <w:shd w:val="clear" w:color="auto" w:fill="FFFFFF"/>
              </w:rPr>
              <w:t>Activated PI3K-delta syndrome (APDS)</w:t>
            </w:r>
          </w:p>
        </w:tc>
        <w:tc>
          <w:tcPr>
            <w:tcW w:w="635" w:type="pct"/>
            <w:shd w:val="clear" w:color="auto" w:fill="auto"/>
            <w:noWrap/>
            <w:vAlign w:val="bottom"/>
            <w:hideMark/>
          </w:tcPr>
          <w:p w14:paraId="2D86D5A9" w14:textId="77777777" w:rsidR="00457D76" w:rsidRPr="00141805" w:rsidRDefault="00457D76" w:rsidP="00457D76">
            <w:pPr>
              <w:spacing w:after="0" w:line="240" w:lineRule="auto"/>
              <w:jc w:val="right"/>
              <w:rPr>
                <w:rFonts w:eastAsia="Times New Roman" w:cs="Times New Roman"/>
                <w:sz w:val="24"/>
                <w:szCs w:val="24"/>
                <w:lang w:eastAsia="en-GB"/>
              </w:rPr>
            </w:pPr>
            <w:r>
              <w:rPr>
                <w:rFonts w:cs="Times New Roman"/>
                <w:sz w:val="24"/>
                <w:szCs w:val="24"/>
              </w:rPr>
              <w:t>13</w:t>
            </w:r>
          </w:p>
        </w:tc>
        <w:tc>
          <w:tcPr>
            <w:tcW w:w="1297" w:type="pct"/>
            <w:shd w:val="clear" w:color="auto" w:fill="auto"/>
            <w:noWrap/>
            <w:vAlign w:val="bottom"/>
            <w:hideMark/>
          </w:tcPr>
          <w:p w14:paraId="28BF7403"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0.02</w:t>
            </w:r>
          </w:p>
        </w:tc>
      </w:tr>
      <w:tr w:rsidR="00457D76" w:rsidRPr="00141805" w14:paraId="301F394C" w14:textId="77777777" w:rsidTr="00B37F34">
        <w:trPr>
          <w:trHeight w:val="255"/>
        </w:trPr>
        <w:tc>
          <w:tcPr>
            <w:tcW w:w="3068" w:type="pct"/>
            <w:shd w:val="clear" w:color="auto" w:fill="auto"/>
            <w:noWrap/>
            <w:vAlign w:val="bottom"/>
            <w:hideMark/>
          </w:tcPr>
          <w:p w14:paraId="46BCC040"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Unclassified autoinflammatory</w:t>
            </w:r>
          </w:p>
        </w:tc>
        <w:tc>
          <w:tcPr>
            <w:tcW w:w="635" w:type="pct"/>
            <w:shd w:val="clear" w:color="auto" w:fill="auto"/>
            <w:noWrap/>
            <w:vAlign w:val="bottom"/>
            <w:hideMark/>
          </w:tcPr>
          <w:p w14:paraId="52283BCE" w14:textId="77777777" w:rsidR="00457D76" w:rsidRPr="00141805" w:rsidRDefault="00457D76" w:rsidP="00457D76">
            <w:pPr>
              <w:spacing w:after="0" w:line="240" w:lineRule="auto"/>
              <w:jc w:val="right"/>
              <w:rPr>
                <w:rFonts w:eastAsia="Times New Roman" w:cs="Times New Roman"/>
                <w:sz w:val="24"/>
                <w:szCs w:val="24"/>
                <w:lang w:eastAsia="en-GB"/>
              </w:rPr>
            </w:pPr>
            <w:r>
              <w:rPr>
                <w:rFonts w:cs="Times New Roman"/>
                <w:sz w:val="24"/>
                <w:szCs w:val="24"/>
              </w:rPr>
              <w:t>12</w:t>
            </w:r>
          </w:p>
        </w:tc>
        <w:tc>
          <w:tcPr>
            <w:tcW w:w="1297" w:type="pct"/>
            <w:shd w:val="clear" w:color="auto" w:fill="auto"/>
            <w:noWrap/>
            <w:vAlign w:val="bottom"/>
            <w:hideMark/>
          </w:tcPr>
          <w:p w14:paraId="6C8B1E88"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0.02</w:t>
            </w:r>
          </w:p>
        </w:tc>
      </w:tr>
      <w:tr w:rsidR="00457D76" w:rsidRPr="00141805" w14:paraId="6F2CD994" w14:textId="77777777" w:rsidTr="00B37F34">
        <w:trPr>
          <w:trHeight w:val="255"/>
        </w:trPr>
        <w:tc>
          <w:tcPr>
            <w:tcW w:w="3068" w:type="pct"/>
            <w:shd w:val="clear" w:color="auto" w:fill="auto"/>
            <w:noWrap/>
            <w:vAlign w:val="bottom"/>
            <w:hideMark/>
          </w:tcPr>
          <w:p w14:paraId="38E5F60C"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Transient hypogammaglobulinaemia</w:t>
            </w:r>
          </w:p>
        </w:tc>
        <w:tc>
          <w:tcPr>
            <w:tcW w:w="635" w:type="pct"/>
            <w:shd w:val="clear" w:color="auto" w:fill="auto"/>
            <w:noWrap/>
            <w:vAlign w:val="bottom"/>
            <w:hideMark/>
          </w:tcPr>
          <w:p w14:paraId="691CF13D" w14:textId="77777777" w:rsidR="00457D76" w:rsidRPr="00141805" w:rsidRDefault="00457D76" w:rsidP="00457D76">
            <w:pPr>
              <w:spacing w:after="0" w:line="240" w:lineRule="auto"/>
              <w:jc w:val="right"/>
              <w:rPr>
                <w:rFonts w:eastAsia="Times New Roman" w:cs="Times New Roman"/>
                <w:sz w:val="24"/>
                <w:szCs w:val="24"/>
                <w:lang w:eastAsia="en-GB"/>
              </w:rPr>
            </w:pPr>
            <w:r>
              <w:rPr>
                <w:rFonts w:cs="Times New Roman"/>
                <w:sz w:val="24"/>
                <w:szCs w:val="24"/>
              </w:rPr>
              <w:t>12</w:t>
            </w:r>
          </w:p>
        </w:tc>
        <w:tc>
          <w:tcPr>
            <w:tcW w:w="1297" w:type="pct"/>
            <w:shd w:val="clear" w:color="auto" w:fill="auto"/>
            <w:noWrap/>
            <w:vAlign w:val="bottom"/>
            <w:hideMark/>
          </w:tcPr>
          <w:p w14:paraId="165FAAEC"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0.02</w:t>
            </w:r>
          </w:p>
        </w:tc>
      </w:tr>
      <w:tr w:rsidR="00457D76" w:rsidRPr="00141805" w14:paraId="20556431" w14:textId="77777777" w:rsidTr="00B37F34">
        <w:trPr>
          <w:trHeight w:val="255"/>
        </w:trPr>
        <w:tc>
          <w:tcPr>
            <w:tcW w:w="3068" w:type="pct"/>
            <w:shd w:val="clear" w:color="auto" w:fill="auto"/>
            <w:noWrap/>
            <w:vAlign w:val="bottom"/>
            <w:hideMark/>
          </w:tcPr>
          <w:p w14:paraId="26A3E54C"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Syndromic PID, unclassified</w:t>
            </w:r>
          </w:p>
        </w:tc>
        <w:tc>
          <w:tcPr>
            <w:tcW w:w="635" w:type="pct"/>
            <w:shd w:val="clear" w:color="auto" w:fill="auto"/>
            <w:noWrap/>
            <w:vAlign w:val="bottom"/>
            <w:hideMark/>
          </w:tcPr>
          <w:p w14:paraId="78A0690D" w14:textId="77777777" w:rsidR="00457D76" w:rsidRPr="00141805" w:rsidRDefault="00457D76" w:rsidP="00457D76">
            <w:pPr>
              <w:spacing w:after="0" w:line="240" w:lineRule="auto"/>
              <w:jc w:val="right"/>
              <w:rPr>
                <w:rFonts w:eastAsia="Times New Roman" w:cs="Times New Roman"/>
                <w:sz w:val="24"/>
                <w:szCs w:val="24"/>
                <w:lang w:eastAsia="en-GB"/>
              </w:rPr>
            </w:pPr>
            <w:r>
              <w:rPr>
                <w:rFonts w:cs="Times New Roman"/>
                <w:sz w:val="24"/>
                <w:szCs w:val="24"/>
              </w:rPr>
              <w:t>12</w:t>
            </w:r>
          </w:p>
        </w:tc>
        <w:tc>
          <w:tcPr>
            <w:tcW w:w="1297" w:type="pct"/>
            <w:shd w:val="clear" w:color="auto" w:fill="auto"/>
            <w:noWrap/>
            <w:vAlign w:val="bottom"/>
            <w:hideMark/>
          </w:tcPr>
          <w:p w14:paraId="3CEB0CC3"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0.02</w:t>
            </w:r>
          </w:p>
        </w:tc>
      </w:tr>
      <w:tr w:rsidR="00457D76" w:rsidRPr="00141805" w14:paraId="4265E518" w14:textId="77777777" w:rsidTr="00B37F34">
        <w:trPr>
          <w:trHeight w:val="255"/>
        </w:trPr>
        <w:tc>
          <w:tcPr>
            <w:tcW w:w="3068" w:type="pct"/>
            <w:shd w:val="clear" w:color="auto" w:fill="auto"/>
            <w:noWrap/>
            <w:vAlign w:val="bottom"/>
            <w:hideMark/>
          </w:tcPr>
          <w:p w14:paraId="06F16CFE"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C2 deficiency</w:t>
            </w:r>
          </w:p>
        </w:tc>
        <w:tc>
          <w:tcPr>
            <w:tcW w:w="635" w:type="pct"/>
            <w:shd w:val="clear" w:color="auto" w:fill="auto"/>
            <w:noWrap/>
            <w:vAlign w:val="bottom"/>
            <w:hideMark/>
          </w:tcPr>
          <w:p w14:paraId="76EF00CC" w14:textId="77777777" w:rsidR="00457D76" w:rsidRPr="00141805" w:rsidRDefault="00457D76" w:rsidP="00457D76">
            <w:pPr>
              <w:spacing w:after="0" w:line="240" w:lineRule="auto"/>
              <w:jc w:val="right"/>
              <w:rPr>
                <w:rFonts w:eastAsia="Times New Roman" w:cs="Times New Roman"/>
                <w:sz w:val="24"/>
                <w:szCs w:val="24"/>
                <w:lang w:eastAsia="en-GB"/>
              </w:rPr>
            </w:pPr>
            <w:r>
              <w:rPr>
                <w:rFonts w:cs="Times New Roman"/>
                <w:sz w:val="24"/>
                <w:szCs w:val="24"/>
              </w:rPr>
              <w:t>11</w:t>
            </w:r>
          </w:p>
        </w:tc>
        <w:tc>
          <w:tcPr>
            <w:tcW w:w="1297" w:type="pct"/>
            <w:shd w:val="clear" w:color="auto" w:fill="auto"/>
            <w:noWrap/>
            <w:vAlign w:val="bottom"/>
            <w:hideMark/>
          </w:tcPr>
          <w:p w14:paraId="49FE789C"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0.02</w:t>
            </w:r>
          </w:p>
        </w:tc>
      </w:tr>
      <w:tr w:rsidR="00457D76" w:rsidRPr="00141805" w14:paraId="12D88429" w14:textId="77777777" w:rsidTr="00B37F34">
        <w:trPr>
          <w:trHeight w:val="255"/>
        </w:trPr>
        <w:tc>
          <w:tcPr>
            <w:tcW w:w="3068" w:type="pct"/>
            <w:shd w:val="clear" w:color="auto" w:fill="auto"/>
            <w:noWrap/>
            <w:vAlign w:val="bottom"/>
            <w:hideMark/>
          </w:tcPr>
          <w:p w14:paraId="5A129D30"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Innate ID, unclassified</w:t>
            </w:r>
          </w:p>
        </w:tc>
        <w:tc>
          <w:tcPr>
            <w:tcW w:w="635" w:type="pct"/>
            <w:shd w:val="clear" w:color="auto" w:fill="auto"/>
            <w:noWrap/>
            <w:vAlign w:val="bottom"/>
            <w:hideMark/>
          </w:tcPr>
          <w:p w14:paraId="1725219E"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10</w:t>
            </w:r>
          </w:p>
        </w:tc>
        <w:tc>
          <w:tcPr>
            <w:tcW w:w="1297" w:type="pct"/>
            <w:shd w:val="clear" w:color="auto" w:fill="auto"/>
            <w:noWrap/>
            <w:vAlign w:val="bottom"/>
            <w:hideMark/>
          </w:tcPr>
          <w:p w14:paraId="06876273"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0.02</w:t>
            </w:r>
          </w:p>
        </w:tc>
      </w:tr>
      <w:tr w:rsidR="00457D76" w:rsidRPr="00141805" w14:paraId="403C4EAC" w14:textId="77777777" w:rsidTr="00B37F34">
        <w:trPr>
          <w:trHeight w:val="255"/>
        </w:trPr>
        <w:tc>
          <w:tcPr>
            <w:tcW w:w="3068" w:type="pct"/>
            <w:shd w:val="clear" w:color="auto" w:fill="auto"/>
            <w:noWrap/>
            <w:vAlign w:val="bottom"/>
            <w:hideMark/>
          </w:tcPr>
          <w:p w14:paraId="1752DD15"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color w:val="000000"/>
                <w:sz w:val="24"/>
                <w:szCs w:val="24"/>
                <w:lang w:eastAsia="en-GB"/>
              </w:rPr>
              <w:t>Leucocyte adhesion deficiency (LAD)</w:t>
            </w:r>
          </w:p>
        </w:tc>
        <w:tc>
          <w:tcPr>
            <w:tcW w:w="635" w:type="pct"/>
            <w:shd w:val="clear" w:color="auto" w:fill="auto"/>
            <w:noWrap/>
            <w:vAlign w:val="bottom"/>
            <w:hideMark/>
          </w:tcPr>
          <w:p w14:paraId="60F82D58" w14:textId="77777777" w:rsidR="00457D76" w:rsidRPr="00141805" w:rsidRDefault="00457D76" w:rsidP="00457D76">
            <w:pPr>
              <w:spacing w:after="0" w:line="240" w:lineRule="auto"/>
              <w:jc w:val="right"/>
              <w:rPr>
                <w:rFonts w:eastAsia="Times New Roman" w:cs="Times New Roman"/>
                <w:sz w:val="24"/>
                <w:szCs w:val="24"/>
                <w:lang w:eastAsia="en-GB"/>
              </w:rPr>
            </w:pPr>
            <w:r>
              <w:rPr>
                <w:rFonts w:cs="Times New Roman"/>
                <w:sz w:val="24"/>
                <w:szCs w:val="24"/>
              </w:rPr>
              <w:t>10</w:t>
            </w:r>
          </w:p>
        </w:tc>
        <w:tc>
          <w:tcPr>
            <w:tcW w:w="1297" w:type="pct"/>
            <w:shd w:val="clear" w:color="auto" w:fill="auto"/>
            <w:noWrap/>
            <w:vAlign w:val="bottom"/>
            <w:hideMark/>
          </w:tcPr>
          <w:p w14:paraId="2BF06415" w14:textId="77777777" w:rsidR="00457D76" w:rsidRPr="00141805" w:rsidRDefault="00457D76" w:rsidP="00457D76">
            <w:pPr>
              <w:spacing w:after="0" w:line="240" w:lineRule="auto"/>
              <w:jc w:val="right"/>
              <w:rPr>
                <w:rFonts w:eastAsia="Times New Roman" w:cs="Times New Roman"/>
                <w:sz w:val="24"/>
                <w:szCs w:val="24"/>
                <w:lang w:eastAsia="en-GB"/>
              </w:rPr>
            </w:pPr>
            <w:r>
              <w:rPr>
                <w:rFonts w:cs="Times New Roman"/>
                <w:sz w:val="24"/>
                <w:szCs w:val="24"/>
              </w:rPr>
              <w:t>0.02</w:t>
            </w:r>
          </w:p>
        </w:tc>
      </w:tr>
      <w:tr w:rsidR="00457D76" w:rsidRPr="00141805" w14:paraId="19F3E40E" w14:textId="77777777" w:rsidTr="00B37F34">
        <w:trPr>
          <w:trHeight w:val="255"/>
        </w:trPr>
        <w:tc>
          <w:tcPr>
            <w:tcW w:w="3068" w:type="pct"/>
            <w:shd w:val="clear" w:color="auto" w:fill="auto"/>
            <w:noWrap/>
            <w:vAlign w:val="bottom"/>
            <w:hideMark/>
          </w:tcPr>
          <w:p w14:paraId="64A2FC8A"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Unclassified phagocytic disorders</w:t>
            </w:r>
          </w:p>
        </w:tc>
        <w:tc>
          <w:tcPr>
            <w:tcW w:w="635" w:type="pct"/>
            <w:shd w:val="clear" w:color="auto" w:fill="auto"/>
            <w:noWrap/>
            <w:vAlign w:val="bottom"/>
            <w:hideMark/>
          </w:tcPr>
          <w:p w14:paraId="5BBF3517" w14:textId="77777777" w:rsidR="00457D76" w:rsidRPr="00141805" w:rsidRDefault="00457D76" w:rsidP="00457D76">
            <w:pPr>
              <w:spacing w:after="0" w:line="240" w:lineRule="auto"/>
              <w:jc w:val="right"/>
              <w:rPr>
                <w:rFonts w:eastAsia="Times New Roman" w:cs="Times New Roman"/>
                <w:sz w:val="24"/>
                <w:szCs w:val="24"/>
                <w:lang w:eastAsia="en-GB"/>
              </w:rPr>
            </w:pPr>
            <w:r>
              <w:rPr>
                <w:rFonts w:cs="Times New Roman"/>
                <w:sz w:val="24"/>
                <w:szCs w:val="24"/>
              </w:rPr>
              <w:t>9</w:t>
            </w:r>
          </w:p>
        </w:tc>
        <w:tc>
          <w:tcPr>
            <w:tcW w:w="1297" w:type="pct"/>
            <w:shd w:val="clear" w:color="auto" w:fill="auto"/>
            <w:noWrap/>
            <w:vAlign w:val="bottom"/>
            <w:hideMark/>
          </w:tcPr>
          <w:p w14:paraId="51648FF7"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0.02</w:t>
            </w:r>
          </w:p>
        </w:tc>
      </w:tr>
      <w:tr w:rsidR="00457D76" w:rsidRPr="00141805" w14:paraId="2FE70FD5" w14:textId="77777777" w:rsidTr="00B37F34">
        <w:trPr>
          <w:trHeight w:val="255"/>
        </w:trPr>
        <w:tc>
          <w:tcPr>
            <w:tcW w:w="3068" w:type="pct"/>
            <w:shd w:val="clear" w:color="auto" w:fill="auto"/>
            <w:noWrap/>
            <w:vAlign w:val="bottom"/>
            <w:hideMark/>
          </w:tcPr>
          <w:p w14:paraId="3C80A116"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color w:val="000000"/>
                <w:sz w:val="24"/>
                <w:szCs w:val="24"/>
                <w:lang w:eastAsia="en-GB"/>
              </w:rPr>
              <w:t>Autoimmune polyendocrinopathy candidiasis and ectodermal dystrophy (APECED)</w:t>
            </w:r>
          </w:p>
        </w:tc>
        <w:tc>
          <w:tcPr>
            <w:tcW w:w="635" w:type="pct"/>
            <w:shd w:val="clear" w:color="auto" w:fill="auto"/>
            <w:noWrap/>
            <w:vAlign w:val="bottom"/>
            <w:hideMark/>
          </w:tcPr>
          <w:p w14:paraId="2DB0A515" w14:textId="77777777" w:rsidR="00457D76" w:rsidRPr="00141805" w:rsidRDefault="00457D76" w:rsidP="00457D76">
            <w:pPr>
              <w:spacing w:after="0" w:line="240" w:lineRule="auto"/>
              <w:rPr>
                <w:rFonts w:eastAsia="Times New Roman" w:cs="Times New Roman"/>
                <w:sz w:val="24"/>
                <w:szCs w:val="24"/>
                <w:lang w:eastAsia="en-GB"/>
              </w:rPr>
            </w:pPr>
            <w:r>
              <w:rPr>
                <w:rFonts w:cs="Times New Roman"/>
                <w:sz w:val="24"/>
                <w:szCs w:val="24"/>
              </w:rPr>
              <w:t xml:space="preserve">        </w:t>
            </w:r>
            <w:r w:rsidRPr="00141805">
              <w:rPr>
                <w:rFonts w:cs="Times New Roman"/>
                <w:sz w:val="24"/>
                <w:szCs w:val="24"/>
              </w:rPr>
              <w:t>8</w:t>
            </w:r>
          </w:p>
        </w:tc>
        <w:tc>
          <w:tcPr>
            <w:tcW w:w="1297" w:type="pct"/>
            <w:shd w:val="clear" w:color="auto" w:fill="auto"/>
            <w:noWrap/>
            <w:vAlign w:val="bottom"/>
            <w:hideMark/>
          </w:tcPr>
          <w:p w14:paraId="6CB9D32B"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0.01</w:t>
            </w:r>
          </w:p>
        </w:tc>
      </w:tr>
      <w:tr w:rsidR="00457D76" w:rsidRPr="00141805" w14:paraId="75A475F1" w14:textId="77777777" w:rsidTr="00B37F34">
        <w:trPr>
          <w:trHeight w:val="255"/>
        </w:trPr>
        <w:tc>
          <w:tcPr>
            <w:tcW w:w="3068" w:type="pct"/>
            <w:shd w:val="clear" w:color="auto" w:fill="auto"/>
            <w:noWrap/>
            <w:vAlign w:val="bottom"/>
            <w:hideMark/>
          </w:tcPr>
          <w:p w14:paraId="4E5737EB"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color w:val="000000"/>
                <w:sz w:val="24"/>
                <w:szCs w:val="24"/>
                <w:lang w:eastAsia="en-GB"/>
              </w:rPr>
              <w:t>TNF-receptor associated periodic fever syndrome (TRAPS)</w:t>
            </w:r>
          </w:p>
        </w:tc>
        <w:tc>
          <w:tcPr>
            <w:tcW w:w="635" w:type="pct"/>
            <w:shd w:val="clear" w:color="auto" w:fill="auto"/>
            <w:noWrap/>
            <w:vAlign w:val="bottom"/>
            <w:hideMark/>
          </w:tcPr>
          <w:p w14:paraId="03090E89" w14:textId="77777777" w:rsidR="00457D76" w:rsidRPr="00141805" w:rsidRDefault="00457D76" w:rsidP="00457D76">
            <w:pPr>
              <w:spacing w:after="0" w:line="240" w:lineRule="auto"/>
              <w:jc w:val="right"/>
              <w:rPr>
                <w:rFonts w:eastAsia="Times New Roman" w:cs="Times New Roman"/>
                <w:sz w:val="24"/>
                <w:szCs w:val="24"/>
                <w:lang w:eastAsia="en-GB"/>
              </w:rPr>
            </w:pPr>
            <w:r>
              <w:rPr>
                <w:rFonts w:eastAsia="Times New Roman" w:cs="Times New Roman"/>
                <w:sz w:val="24"/>
                <w:szCs w:val="24"/>
                <w:lang w:eastAsia="en-GB"/>
              </w:rPr>
              <w:t>8</w:t>
            </w:r>
          </w:p>
        </w:tc>
        <w:tc>
          <w:tcPr>
            <w:tcW w:w="1297" w:type="pct"/>
            <w:shd w:val="clear" w:color="auto" w:fill="auto"/>
            <w:noWrap/>
            <w:vAlign w:val="bottom"/>
            <w:hideMark/>
          </w:tcPr>
          <w:p w14:paraId="0D7F6149" w14:textId="77777777" w:rsidR="00457D76" w:rsidRDefault="00457D76" w:rsidP="00457D76">
            <w:pPr>
              <w:spacing w:after="0" w:line="240" w:lineRule="auto"/>
              <w:jc w:val="right"/>
              <w:rPr>
                <w:rFonts w:cs="Times New Roman"/>
                <w:sz w:val="24"/>
                <w:szCs w:val="24"/>
              </w:rPr>
            </w:pPr>
          </w:p>
          <w:p w14:paraId="6AC3D3E2"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0.01</w:t>
            </w:r>
          </w:p>
        </w:tc>
      </w:tr>
      <w:tr w:rsidR="00457D76" w:rsidRPr="00141805" w14:paraId="1D8178A0" w14:textId="77777777" w:rsidTr="00B37F34">
        <w:trPr>
          <w:trHeight w:val="255"/>
        </w:trPr>
        <w:tc>
          <w:tcPr>
            <w:tcW w:w="3068" w:type="pct"/>
            <w:shd w:val="clear" w:color="auto" w:fill="auto"/>
            <w:noWrap/>
            <w:vAlign w:val="bottom"/>
            <w:hideMark/>
          </w:tcPr>
          <w:p w14:paraId="414D8D85"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CD4 deficiency</w:t>
            </w:r>
          </w:p>
        </w:tc>
        <w:tc>
          <w:tcPr>
            <w:tcW w:w="635" w:type="pct"/>
            <w:shd w:val="clear" w:color="auto" w:fill="auto"/>
            <w:noWrap/>
            <w:vAlign w:val="bottom"/>
            <w:hideMark/>
          </w:tcPr>
          <w:p w14:paraId="573B019B" w14:textId="77777777" w:rsidR="00457D76" w:rsidRPr="00141805" w:rsidRDefault="00457D76" w:rsidP="00457D76">
            <w:pPr>
              <w:spacing w:after="0" w:line="240" w:lineRule="auto"/>
              <w:jc w:val="right"/>
              <w:rPr>
                <w:rFonts w:eastAsia="Times New Roman" w:cs="Times New Roman"/>
                <w:sz w:val="24"/>
                <w:szCs w:val="24"/>
                <w:lang w:eastAsia="en-GB"/>
              </w:rPr>
            </w:pPr>
            <w:r>
              <w:rPr>
                <w:rFonts w:cs="Times New Roman"/>
                <w:sz w:val="24"/>
                <w:szCs w:val="24"/>
              </w:rPr>
              <w:t>7</w:t>
            </w:r>
          </w:p>
        </w:tc>
        <w:tc>
          <w:tcPr>
            <w:tcW w:w="1297" w:type="pct"/>
            <w:shd w:val="clear" w:color="auto" w:fill="auto"/>
            <w:noWrap/>
            <w:vAlign w:val="bottom"/>
            <w:hideMark/>
          </w:tcPr>
          <w:p w14:paraId="0DB96C6E" w14:textId="77777777" w:rsidR="00457D76" w:rsidRPr="00141805" w:rsidRDefault="00457D76" w:rsidP="00457D76">
            <w:pPr>
              <w:spacing w:after="0" w:line="240" w:lineRule="auto"/>
              <w:jc w:val="right"/>
              <w:rPr>
                <w:rFonts w:eastAsia="Times New Roman" w:cs="Times New Roman"/>
                <w:sz w:val="24"/>
                <w:szCs w:val="24"/>
                <w:lang w:eastAsia="en-GB"/>
              </w:rPr>
            </w:pPr>
            <w:r>
              <w:rPr>
                <w:rFonts w:cs="Times New Roman"/>
                <w:sz w:val="24"/>
                <w:szCs w:val="24"/>
              </w:rPr>
              <w:t>1</w:t>
            </w:r>
            <w:r w:rsidRPr="00141805">
              <w:rPr>
                <w:rFonts w:cs="Times New Roman"/>
                <w:sz w:val="24"/>
                <w:szCs w:val="24"/>
              </w:rPr>
              <w:t>0.02</w:t>
            </w:r>
          </w:p>
        </w:tc>
      </w:tr>
      <w:tr w:rsidR="00457D76" w:rsidRPr="00141805" w14:paraId="7DCB2613" w14:textId="77777777" w:rsidTr="00B37F34">
        <w:trPr>
          <w:trHeight w:val="255"/>
        </w:trPr>
        <w:tc>
          <w:tcPr>
            <w:tcW w:w="3068" w:type="pct"/>
            <w:shd w:val="clear" w:color="auto" w:fill="auto"/>
            <w:noWrap/>
            <w:vAlign w:val="bottom"/>
            <w:hideMark/>
          </w:tcPr>
          <w:p w14:paraId="0AFD629A"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HLA class II deficiency</w:t>
            </w:r>
          </w:p>
        </w:tc>
        <w:tc>
          <w:tcPr>
            <w:tcW w:w="635" w:type="pct"/>
            <w:shd w:val="clear" w:color="auto" w:fill="auto"/>
            <w:noWrap/>
            <w:vAlign w:val="bottom"/>
            <w:hideMark/>
          </w:tcPr>
          <w:p w14:paraId="35BC6492"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7</w:t>
            </w:r>
          </w:p>
        </w:tc>
        <w:tc>
          <w:tcPr>
            <w:tcW w:w="1297" w:type="pct"/>
            <w:shd w:val="clear" w:color="auto" w:fill="auto"/>
            <w:noWrap/>
            <w:vAlign w:val="bottom"/>
            <w:hideMark/>
          </w:tcPr>
          <w:p w14:paraId="176AF87A"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0.01</w:t>
            </w:r>
          </w:p>
        </w:tc>
      </w:tr>
      <w:tr w:rsidR="00457D76" w:rsidRPr="00141805" w14:paraId="357385EF" w14:textId="77777777" w:rsidTr="00B37F34">
        <w:trPr>
          <w:trHeight w:val="255"/>
        </w:trPr>
        <w:tc>
          <w:tcPr>
            <w:tcW w:w="3068" w:type="pct"/>
            <w:shd w:val="clear" w:color="auto" w:fill="auto"/>
            <w:noWrap/>
            <w:vAlign w:val="bottom"/>
            <w:hideMark/>
          </w:tcPr>
          <w:p w14:paraId="7580AB39"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IPEX-like disease</w:t>
            </w:r>
          </w:p>
        </w:tc>
        <w:tc>
          <w:tcPr>
            <w:tcW w:w="635" w:type="pct"/>
            <w:shd w:val="clear" w:color="auto" w:fill="auto"/>
            <w:noWrap/>
            <w:vAlign w:val="bottom"/>
            <w:hideMark/>
          </w:tcPr>
          <w:p w14:paraId="6435A184"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7</w:t>
            </w:r>
          </w:p>
        </w:tc>
        <w:tc>
          <w:tcPr>
            <w:tcW w:w="1297" w:type="pct"/>
            <w:shd w:val="clear" w:color="auto" w:fill="auto"/>
            <w:noWrap/>
            <w:vAlign w:val="bottom"/>
            <w:hideMark/>
          </w:tcPr>
          <w:p w14:paraId="78822FDF"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0.01</w:t>
            </w:r>
          </w:p>
        </w:tc>
      </w:tr>
      <w:tr w:rsidR="00457D76" w:rsidRPr="00141805" w14:paraId="7715C202" w14:textId="77777777" w:rsidTr="00B37F34">
        <w:trPr>
          <w:trHeight w:val="255"/>
        </w:trPr>
        <w:tc>
          <w:tcPr>
            <w:tcW w:w="3068" w:type="pct"/>
            <w:shd w:val="clear" w:color="auto" w:fill="auto"/>
            <w:noWrap/>
            <w:vAlign w:val="bottom"/>
            <w:hideMark/>
          </w:tcPr>
          <w:p w14:paraId="2BE5E87C" w14:textId="1CAB281E"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shd w:val="clear" w:color="auto" w:fill="FFFFFF"/>
              </w:rPr>
              <w:t>Nijmegen breakage syndrome</w:t>
            </w:r>
            <w:r w:rsidRPr="00DA5C04">
              <w:rPr>
                <w:rFonts w:cs="Times New Roman"/>
                <w:sz w:val="24"/>
                <w:szCs w:val="24"/>
                <w:shd w:val="clear" w:color="auto" w:fill="FFFFFF"/>
              </w:rPr>
              <w:t xml:space="preserve"> </w:t>
            </w:r>
            <w:r w:rsidR="00EA4CA4">
              <w:rPr>
                <w:rFonts w:cs="Times New Roman"/>
                <w:sz w:val="24"/>
                <w:szCs w:val="24"/>
                <w:shd w:val="clear" w:color="auto" w:fill="FFFFFF"/>
              </w:rPr>
              <w:t>(</w:t>
            </w:r>
            <w:r w:rsidRPr="00141805">
              <w:rPr>
                <w:rFonts w:eastAsia="Times New Roman" w:cs="Times New Roman"/>
                <w:sz w:val="24"/>
                <w:szCs w:val="24"/>
                <w:lang w:eastAsia="en-GB"/>
              </w:rPr>
              <w:t>NBS1</w:t>
            </w:r>
            <w:r w:rsidR="00EA4CA4">
              <w:rPr>
                <w:rFonts w:eastAsia="Times New Roman" w:cs="Times New Roman"/>
                <w:sz w:val="24"/>
                <w:szCs w:val="24"/>
                <w:lang w:eastAsia="en-GB"/>
              </w:rPr>
              <w:t>)</w:t>
            </w:r>
          </w:p>
        </w:tc>
        <w:tc>
          <w:tcPr>
            <w:tcW w:w="635" w:type="pct"/>
            <w:shd w:val="clear" w:color="auto" w:fill="auto"/>
            <w:noWrap/>
            <w:vAlign w:val="bottom"/>
            <w:hideMark/>
          </w:tcPr>
          <w:p w14:paraId="2E149B8A"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7</w:t>
            </w:r>
          </w:p>
        </w:tc>
        <w:tc>
          <w:tcPr>
            <w:tcW w:w="1297" w:type="pct"/>
            <w:shd w:val="clear" w:color="auto" w:fill="auto"/>
            <w:noWrap/>
            <w:vAlign w:val="bottom"/>
            <w:hideMark/>
          </w:tcPr>
          <w:p w14:paraId="679FC357"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0.01</w:t>
            </w:r>
          </w:p>
        </w:tc>
      </w:tr>
      <w:tr w:rsidR="00457D76" w:rsidRPr="00141805" w14:paraId="5A10C5ED" w14:textId="77777777" w:rsidTr="00B37F34">
        <w:trPr>
          <w:trHeight w:val="255"/>
        </w:trPr>
        <w:tc>
          <w:tcPr>
            <w:tcW w:w="3068" w:type="pct"/>
            <w:shd w:val="clear" w:color="auto" w:fill="auto"/>
            <w:noWrap/>
            <w:vAlign w:val="bottom"/>
            <w:hideMark/>
          </w:tcPr>
          <w:p w14:paraId="18C0CC07"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shd w:val="clear" w:color="auto" w:fill="FFFFFF"/>
              </w:rPr>
              <w:t>X-linked lymphoproliferative syndrome (XLP)</w:t>
            </w:r>
          </w:p>
        </w:tc>
        <w:tc>
          <w:tcPr>
            <w:tcW w:w="635" w:type="pct"/>
            <w:shd w:val="clear" w:color="auto" w:fill="auto"/>
            <w:noWrap/>
            <w:vAlign w:val="bottom"/>
            <w:hideMark/>
          </w:tcPr>
          <w:p w14:paraId="375FE16A"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6</w:t>
            </w:r>
          </w:p>
        </w:tc>
        <w:tc>
          <w:tcPr>
            <w:tcW w:w="1297" w:type="pct"/>
            <w:shd w:val="clear" w:color="auto" w:fill="auto"/>
            <w:noWrap/>
            <w:vAlign w:val="bottom"/>
            <w:hideMark/>
          </w:tcPr>
          <w:p w14:paraId="7457742D"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0.01</w:t>
            </w:r>
          </w:p>
        </w:tc>
      </w:tr>
      <w:tr w:rsidR="00457D76" w:rsidRPr="00141805" w14:paraId="62AEF00E" w14:textId="77777777" w:rsidTr="00B37F34">
        <w:trPr>
          <w:trHeight w:val="255"/>
        </w:trPr>
        <w:tc>
          <w:tcPr>
            <w:tcW w:w="3068" w:type="pct"/>
            <w:shd w:val="clear" w:color="auto" w:fill="auto"/>
            <w:noWrap/>
            <w:vAlign w:val="bottom"/>
            <w:hideMark/>
          </w:tcPr>
          <w:p w14:paraId="5085FE5F"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color w:val="000000"/>
                <w:sz w:val="24"/>
                <w:szCs w:val="24"/>
                <w:lang w:eastAsia="en-GB"/>
              </w:rPr>
              <w:t>Familial haemophagocytic lymphohistiocytosis syndromes (FHLH)</w:t>
            </w:r>
          </w:p>
        </w:tc>
        <w:tc>
          <w:tcPr>
            <w:tcW w:w="635" w:type="pct"/>
            <w:shd w:val="clear" w:color="auto" w:fill="auto"/>
            <w:noWrap/>
            <w:vAlign w:val="bottom"/>
            <w:hideMark/>
          </w:tcPr>
          <w:p w14:paraId="3F7C6438"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6</w:t>
            </w:r>
          </w:p>
        </w:tc>
        <w:tc>
          <w:tcPr>
            <w:tcW w:w="1297" w:type="pct"/>
            <w:shd w:val="clear" w:color="auto" w:fill="auto"/>
            <w:noWrap/>
            <w:vAlign w:val="bottom"/>
            <w:hideMark/>
          </w:tcPr>
          <w:p w14:paraId="221D8CCA"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0.01</w:t>
            </w:r>
          </w:p>
        </w:tc>
      </w:tr>
      <w:tr w:rsidR="00457D76" w:rsidRPr="00141805" w14:paraId="1845FD41" w14:textId="77777777" w:rsidTr="00B37F34">
        <w:trPr>
          <w:trHeight w:val="255"/>
        </w:trPr>
        <w:tc>
          <w:tcPr>
            <w:tcW w:w="3068" w:type="pct"/>
            <w:shd w:val="clear" w:color="auto" w:fill="auto"/>
            <w:noWrap/>
            <w:vAlign w:val="bottom"/>
            <w:hideMark/>
          </w:tcPr>
          <w:p w14:paraId="6C3C3EA5"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color w:val="000000"/>
                <w:sz w:val="24"/>
                <w:szCs w:val="24"/>
                <w:lang w:eastAsia="en-GB"/>
              </w:rPr>
              <w:t>FOXP3 deficiency (IPEX)</w:t>
            </w:r>
          </w:p>
        </w:tc>
        <w:tc>
          <w:tcPr>
            <w:tcW w:w="635" w:type="pct"/>
            <w:shd w:val="clear" w:color="auto" w:fill="auto"/>
            <w:noWrap/>
            <w:vAlign w:val="bottom"/>
            <w:hideMark/>
          </w:tcPr>
          <w:p w14:paraId="5E3C3FEB"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5</w:t>
            </w:r>
          </w:p>
        </w:tc>
        <w:tc>
          <w:tcPr>
            <w:tcW w:w="1297" w:type="pct"/>
            <w:shd w:val="clear" w:color="auto" w:fill="auto"/>
            <w:noWrap/>
            <w:vAlign w:val="bottom"/>
            <w:hideMark/>
          </w:tcPr>
          <w:p w14:paraId="486CFD80"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0.01</w:t>
            </w:r>
          </w:p>
        </w:tc>
      </w:tr>
      <w:tr w:rsidR="00457D76" w:rsidRPr="00141805" w14:paraId="31CE1B66" w14:textId="77777777" w:rsidTr="00B37F34">
        <w:trPr>
          <w:trHeight w:val="255"/>
        </w:trPr>
        <w:tc>
          <w:tcPr>
            <w:tcW w:w="3068" w:type="pct"/>
            <w:shd w:val="clear" w:color="auto" w:fill="auto"/>
            <w:noWrap/>
            <w:vAlign w:val="bottom"/>
            <w:hideMark/>
          </w:tcPr>
          <w:p w14:paraId="501173B7"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Factor I deficiency</w:t>
            </w:r>
          </w:p>
        </w:tc>
        <w:tc>
          <w:tcPr>
            <w:tcW w:w="635" w:type="pct"/>
            <w:shd w:val="clear" w:color="auto" w:fill="auto"/>
            <w:noWrap/>
            <w:vAlign w:val="bottom"/>
            <w:hideMark/>
          </w:tcPr>
          <w:p w14:paraId="489109CC"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5</w:t>
            </w:r>
          </w:p>
        </w:tc>
        <w:tc>
          <w:tcPr>
            <w:tcW w:w="1297" w:type="pct"/>
            <w:shd w:val="clear" w:color="auto" w:fill="auto"/>
            <w:noWrap/>
            <w:vAlign w:val="bottom"/>
            <w:hideMark/>
          </w:tcPr>
          <w:p w14:paraId="7F31BA89"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0.01</w:t>
            </w:r>
          </w:p>
        </w:tc>
      </w:tr>
      <w:tr w:rsidR="00457D76" w:rsidRPr="00141805" w14:paraId="4E334E66" w14:textId="77777777" w:rsidTr="00B37F34">
        <w:trPr>
          <w:trHeight w:val="255"/>
        </w:trPr>
        <w:tc>
          <w:tcPr>
            <w:tcW w:w="3068" w:type="pct"/>
            <w:shd w:val="clear" w:color="auto" w:fill="auto"/>
            <w:noWrap/>
            <w:vAlign w:val="bottom"/>
            <w:hideMark/>
          </w:tcPr>
          <w:p w14:paraId="4AFDD4D2"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shd w:val="clear" w:color="auto" w:fill="FFFFFF"/>
              </w:rPr>
              <w:t>Immunodeficiency with Centromere Instability and Facial Anomalies (ICF)</w:t>
            </w:r>
          </w:p>
        </w:tc>
        <w:tc>
          <w:tcPr>
            <w:tcW w:w="635" w:type="pct"/>
            <w:shd w:val="clear" w:color="auto" w:fill="auto"/>
            <w:noWrap/>
            <w:vAlign w:val="bottom"/>
            <w:hideMark/>
          </w:tcPr>
          <w:p w14:paraId="06DA620C" w14:textId="77777777" w:rsidR="00457D76" w:rsidRPr="00141805" w:rsidRDefault="00457D76" w:rsidP="00457D76">
            <w:pPr>
              <w:spacing w:after="0" w:line="240" w:lineRule="auto"/>
              <w:jc w:val="right"/>
              <w:rPr>
                <w:rFonts w:eastAsia="Times New Roman" w:cs="Times New Roman"/>
                <w:sz w:val="24"/>
                <w:szCs w:val="24"/>
                <w:lang w:eastAsia="en-GB"/>
              </w:rPr>
            </w:pPr>
            <w:r>
              <w:rPr>
                <w:rFonts w:cs="Times New Roman"/>
                <w:sz w:val="24"/>
                <w:szCs w:val="24"/>
              </w:rPr>
              <w:t>5</w:t>
            </w:r>
          </w:p>
        </w:tc>
        <w:tc>
          <w:tcPr>
            <w:tcW w:w="1297" w:type="pct"/>
            <w:shd w:val="clear" w:color="auto" w:fill="auto"/>
            <w:noWrap/>
            <w:vAlign w:val="bottom"/>
            <w:hideMark/>
          </w:tcPr>
          <w:p w14:paraId="02F00D1A"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0.01</w:t>
            </w:r>
          </w:p>
        </w:tc>
      </w:tr>
      <w:tr w:rsidR="00457D76" w:rsidRPr="00141805" w14:paraId="78999675" w14:textId="77777777" w:rsidTr="00B37F34">
        <w:trPr>
          <w:trHeight w:val="255"/>
        </w:trPr>
        <w:tc>
          <w:tcPr>
            <w:tcW w:w="3068" w:type="pct"/>
            <w:shd w:val="clear" w:color="auto" w:fill="auto"/>
            <w:noWrap/>
            <w:vAlign w:val="bottom"/>
            <w:hideMark/>
          </w:tcPr>
          <w:p w14:paraId="2153827D"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C7 deficiency</w:t>
            </w:r>
          </w:p>
        </w:tc>
        <w:tc>
          <w:tcPr>
            <w:tcW w:w="635" w:type="pct"/>
            <w:shd w:val="clear" w:color="auto" w:fill="auto"/>
            <w:noWrap/>
            <w:vAlign w:val="bottom"/>
            <w:hideMark/>
          </w:tcPr>
          <w:p w14:paraId="1BC1C151" w14:textId="77777777" w:rsidR="00457D76" w:rsidRPr="00141805" w:rsidRDefault="00457D76" w:rsidP="00457D76">
            <w:pPr>
              <w:spacing w:after="0" w:line="240" w:lineRule="auto"/>
              <w:jc w:val="right"/>
              <w:rPr>
                <w:rFonts w:eastAsia="Times New Roman" w:cs="Times New Roman"/>
                <w:sz w:val="24"/>
                <w:szCs w:val="24"/>
                <w:lang w:eastAsia="en-GB"/>
              </w:rPr>
            </w:pPr>
            <w:r>
              <w:rPr>
                <w:rFonts w:cs="Times New Roman"/>
                <w:sz w:val="24"/>
                <w:szCs w:val="24"/>
              </w:rPr>
              <w:t>3</w:t>
            </w:r>
          </w:p>
        </w:tc>
        <w:tc>
          <w:tcPr>
            <w:tcW w:w="1297" w:type="pct"/>
            <w:shd w:val="clear" w:color="auto" w:fill="auto"/>
            <w:noWrap/>
            <w:vAlign w:val="bottom"/>
            <w:hideMark/>
          </w:tcPr>
          <w:p w14:paraId="7321F3F9" w14:textId="77777777" w:rsidR="00457D76" w:rsidRPr="00141805" w:rsidRDefault="00457D76" w:rsidP="00457D76">
            <w:pPr>
              <w:spacing w:after="0" w:line="240" w:lineRule="auto"/>
              <w:jc w:val="right"/>
              <w:rPr>
                <w:rFonts w:eastAsia="Times New Roman" w:cs="Times New Roman"/>
                <w:sz w:val="24"/>
                <w:szCs w:val="24"/>
                <w:lang w:eastAsia="en-GB"/>
              </w:rPr>
            </w:pPr>
            <w:r>
              <w:rPr>
                <w:rFonts w:cs="Times New Roman"/>
                <w:sz w:val="24"/>
                <w:szCs w:val="24"/>
              </w:rPr>
              <w:t>&lt;</w:t>
            </w:r>
            <w:r w:rsidRPr="00141805">
              <w:rPr>
                <w:rFonts w:cs="Times New Roman"/>
                <w:sz w:val="24"/>
                <w:szCs w:val="24"/>
              </w:rPr>
              <w:t>0.01</w:t>
            </w:r>
          </w:p>
        </w:tc>
      </w:tr>
      <w:tr w:rsidR="00457D76" w:rsidRPr="00141805" w14:paraId="0AE36303" w14:textId="77777777" w:rsidTr="00B37F34">
        <w:trPr>
          <w:trHeight w:val="255"/>
        </w:trPr>
        <w:tc>
          <w:tcPr>
            <w:tcW w:w="3068" w:type="pct"/>
            <w:shd w:val="clear" w:color="auto" w:fill="auto"/>
            <w:noWrap/>
            <w:vAlign w:val="bottom"/>
            <w:hideMark/>
          </w:tcPr>
          <w:p w14:paraId="372E0236"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Factor D deficiency</w:t>
            </w:r>
          </w:p>
        </w:tc>
        <w:tc>
          <w:tcPr>
            <w:tcW w:w="635" w:type="pct"/>
            <w:shd w:val="clear" w:color="auto" w:fill="auto"/>
            <w:noWrap/>
            <w:vAlign w:val="bottom"/>
            <w:hideMark/>
          </w:tcPr>
          <w:p w14:paraId="7B17A742"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3</w:t>
            </w:r>
          </w:p>
        </w:tc>
        <w:tc>
          <w:tcPr>
            <w:tcW w:w="1297" w:type="pct"/>
            <w:shd w:val="clear" w:color="auto" w:fill="auto"/>
            <w:noWrap/>
            <w:vAlign w:val="bottom"/>
            <w:hideMark/>
          </w:tcPr>
          <w:p w14:paraId="5578806B"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&lt;0.01</w:t>
            </w:r>
          </w:p>
        </w:tc>
      </w:tr>
      <w:tr w:rsidR="00457D76" w:rsidRPr="00141805" w14:paraId="5CF27CC2" w14:textId="77777777" w:rsidTr="00B37F34">
        <w:trPr>
          <w:trHeight w:val="255"/>
        </w:trPr>
        <w:tc>
          <w:tcPr>
            <w:tcW w:w="3068" w:type="pct"/>
            <w:shd w:val="clear" w:color="auto" w:fill="auto"/>
            <w:noWrap/>
            <w:vAlign w:val="bottom"/>
            <w:hideMark/>
          </w:tcPr>
          <w:p w14:paraId="505A3145"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Chediak Higashi syndrome</w:t>
            </w:r>
          </w:p>
        </w:tc>
        <w:tc>
          <w:tcPr>
            <w:tcW w:w="635" w:type="pct"/>
            <w:shd w:val="clear" w:color="auto" w:fill="auto"/>
            <w:noWrap/>
            <w:vAlign w:val="bottom"/>
            <w:hideMark/>
          </w:tcPr>
          <w:p w14:paraId="2F211356" w14:textId="77777777" w:rsidR="00457D76" w:rsidRPr="00141805" w:rsidRDefault="00457D76" w:rsidP="00457D76">
            <w:pPr>
              <w:spacing w:after="0" w:line="240" w:lineRule="auto"/>
              <w:jc w:val="right"/>
              <w:rPr>
                <w:rFonts w:eastAsia="Times New Roman" w:cs="Times New Roman"/>
                <w:sz w:val="24"/>
                <w:szCs w:val="24"/>
                <w:lang w:eastAsia="en-GB"/>
              </w:rPr>
            </w:pPr>
            <w:r>
              <w:rPr>
                <w:rFonts w:cs="Times New Roman"/>
                <w:sz w:val="24"/>
                <w:szCs w:val="24"/>
              </w:rPr>
              <w:t>3</w:t>
            </w:r>
          </w:p>
        </w:tc>
        <w:tc>
          <w:tcPr>
            <w:tcW w:w="1297" w:type="pct"/>
            <w:shd w:val="clear" w:color="auto" w:fill="auto"/>
            <w:noWrap/>
            <w:vAlign w:val="bottom"/>
            <w:hideMark/>
          </w:tcPr>
          <w:p w14:paraId="22EF99F8"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&lt;0.01</w:t>
            </w:r>
          </w:p>
        </w:tc>
      </w:tr>
      <w:tr w:rsidR="00457D76" w:rsidRPr="00141805" w14:paraId="5F0F0013" w14:textId="77777777" w:rsidTr="00B37F34">
        <w:trPr>
          <w:trHeight w:val="255"/>
        </w:trPr>
        <w:tc>
          <w:tcPr>
            <w:tcW w:w="3068" w:type="pct"/>
            <w:shd w:val="clear" w:color="auto" w:fill="auto"/>
            <w:noWrap/>
            <w:vAlign w:val="bottom"/>
            <w:hideMark/>
          </w:tcPr>
          <w:p w14:paraId="5DA90B1F"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Early-onset multi-organ AI</w:t>
            </w:r>
          </w:p>
        </w:tc>
        <w:tc>
          <w:tcPr>
            <w:tcW w:w="635" w:type="pct"/>
            <w:shd w:val="clear" w:color="auto" w:fill="auto"/>
            <w:noWrap/>
            <w:vAlign w:val="bottom"/>
            <w:hideMark/>
          </w:tcPr>
          <w:p w14:paraId="391C8CA3" w14:textId="77777777" w:rsidR="00457D76" w:rsidRPr="00141805" w:rsidRDefault="00457D76" w:rsidP="00457D76">
            <w:pPr>
              <w:spacing w:after="0" w:line="240" w:lineRule="auto"/>
              <w:jc w:val="right"/>
              <w:rPr>
                <w:rFonts w:eastAsia="Times New Roman" w:cs="Times New Roman"/>
                <w:sz w:val="24"/>
                <w:szCs w:val="24"/>
                <w:lang w:eastAsia="en-GB"/>
              </w:rPr>
            </w:pPr>
            <w:r>
              <w:rPr>
                <w:rFonts w:cs="Times New Roman"/>
                <w:sz w:val="24"/>
                <w:szCs w:val="24"/>
              </w:rPr>
              <w:t>3</w:t>
            </w:r>
          </w:p>
        </w:tc>
        <w:tc>
          <w:tcPr>
            <w:tcW w:w="1297" w:type="pct"/>
            <w:shd w:val="clear" w:color="auto" w:fill="auto"/>
            <w:noWrap/>
            <w:vAlign w:val="bottom"/>
            <w:hideMark/>
          </w:tcPr>
          <w:p w14:paraId="174C2408"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&lt;0.01</w:t>
            </w:r>
          </w:p>
        </w:tc>
      </w:tr>
      <w:tr w:rsidR="00457D76" w:rsidRPr="00141805" w14:paraId="674C16BF" w14:textId="77777777" w:rsidTr="00B37F34">
        <w:trPr>
          <w:trHeight w:val="255"/>
        </w:trPr>
        <w:tc>
          <w:tcPr>
            <w:tcW w:w="3068" w:type="pct"/>
            <w:shd w:val="clear" w:color="auto" w:fill="auto"/>
            <w:noWrap/>
            <w:vAlign w:val="bottom"/>
            <w:hideMark/>
          </w:tcPr>
          <w:p w14:paraId="5D82C971"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Hyper IgD syndrome (MVK)</w:t>
            </w:r>
          </w:p>
        </w:tc>
        <w:tc>
          <w:tcPr>
            <w:tcW w:w="635" w:type="pct"/>
            <w:shd w:val="clear" w:color="auto" w:fill="auto"/>
            <w:noWrap/>
            <w:vAlign w:val="bottom"/>
            <w:hideMark/>
          </w:tcPr>
          <w:p w14:paraId="7D76ED82" w14:textId="77777777" w:rsidR="00457D76" w:rsidRPr="00141805" w:rsidRDefault="00457D76" w:rsidP="00457D76">
            <w:pPr>
              <w:spacing w:after="0" w:line="240" w:lineRule="auto"/>
              <w:jc w:val="right"/>
              <w:rPr>
                <w:rFonts w:eastAsia="Times New Roman" w:cs="Times New Roman"/>
                <w:sz w:val="24"/>
                <w:szCs w:val="24"/>
                <w:lang w:eastAsia="en-GB"/>
              </w:rPr>
            </w:pPr>
            <w:r>
              <w:rPr>
                <w:rFonts w:cs="Times New Roman"/>
                <w:sz w:val="24"/>
                <w:szCs w:val="24"/>
              </w:rPr>
              <w:t>3</w:t>
            </w:r>
          </w:p>
        </w:tc>
        <w:tc>
          <w:tcPr>
            <w:tcW w:w="1297" w:type="pct"/>
            <w:shd w:val="clear" w:color="auto" w:fill="auto"/>
            <w:noWrap/>
            <w:vAlign w:val="bottom"/>
            <w:hideMark/>
          </w:tcPr>
          <w:p w14:paraId="56827EEC"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&lt;0.01</w:t>
            </w:r>
          </w:p>
        </w:tc>
      </w:tr>
      <w:tr w:rsidR="00457D76" w:rsidRPr="00141805" w14:paraId="7F62048F" w14:textId="77777777" w:rsidTr="00B37F34">
        <w:trPr>
          <w:trHeight w:val="255"/>
        </w:trPr>
        <w:tc>
          <w:tcPr>
            <w:tcW w:w="3068" w:type="pct"/>
            <w:shd w:val="clear" w:color="auto" w:fill="auto"/>
            <w:noWrap/>
            <w:vAlign w:val="bottom"/>
            <w:hideMark/>
          </w:tcPr>
          <w:p w14:paraId="6D11969E"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Ivemark syndrome</w:t>
            </w:r>
          </w:p>
        </w:tc>
        <w:tc>
          <w:tcPr>
            <w:tcW w:w="635" w:type="pct"/>
            <w:shd w:val="clear" w:color="auto" w:fill="auto"/>
            <w:noWrap/>
            <w:vAlign w:val="bottom"/>
            <w:hideMark/>
          </w:tcPr>
          <w:p w14:paraId="56CC278E" w14:textId="77777777" w:rsidR="00457D76" w:rsidRPr="00141805" w:rsidRDefault="00457D76" w:rsidP="00457D76">
            <w:pPr>
              <w:spacing w:after="0" w:line="240" w:lineRule="auto"/>
              <w:jc w:val="right"/>
              <w:rPr>
                <w:rFonts w:eastAsia="Times New Roman" w:cs="Times New Roman"/>
                <w:sz w:val="24"/>
                <w:szCs w:val="24"/>
                <w:lang w:eastAsia="en-GB"/>
              </w:rPr>
            </w:pPr>
            <w:r>
              <w:rPr>
                <w:rFonts w:cs="Times New Roman"/>
                <w:sz w:val="24"/>
                <w:szCs w:val="24"/>
              </w:rPr>
              <w:t>2</w:t>
            </w:r>
          </w:p>
        </w:tc>
        <w:tc>
          <w:tcPr>
            <w:tcW w:w="1297" w:type="pct"/>
            <w:shd w:val="clear" w:color="auto" w:fill="auto"/>
            <w:noWrap/>
            <w:vAlign w:val="bottom"/>
            <w:hideMark/>
          </w:tcPr>
          <w:p w14:paraId="71164BAC"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&lt;0.01</w:t>
            </w:r>
          </w:p>
        </w:tc>
      </w:tr>
      <w:tr w:rsidR="00457D76" w:rsidRPr="00141805" w14:paraId="28816EB0" w14:textId="77777777" w:rsidTr="00B37F34">
        <w:trPr>
          <w:trHeight w:val="255"/>
        </w:trPr>
        <w:tc>
          <w:tcPr>
            <w:tcW w:w="3068" w:type="pct"/>
            <w:shd w:val="clear" w:color="auto" w:fill="auto"/>
            <w:noWrap/>
            <w:vAlign w:val="bottom"/>
            <w:hideMark/>
          </w:tcPr>
          <w:p w14:paraId="6E55E48C"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AT-like disorder</w:t>
            </w:r>
          </w:p>
        </w:tc>
        <w:tc>
          <w:tcPr>
            <w:tcW w:w="635" w:type="pct"/>
            <w:shd w:val="clear" w:color="auto" w:fill="auto"/>
            <w:noWrap/>
            <w:vAlign w:val="bottom"/>
            <w:hideMark/>
          </w:tcPr>
          <w:p w14:paraId="702DBFC6" w14:textId="77777777" w:rsidR="00457D76" w:rsidRPr="00141805" w:rsidRDefault="00457D76" w:rsidP="00457D76">
            <w:pPr>
              <w:spacing w:after="0" w:line="240" w:lineRule="auto"/>
              <w:jc w:val="right"/>
              <w:rPr>
                <w:rFonts w:eastAsia="Times New Roman" w:cs="Times New Roman"/>
                <w:sz w:val="24"/>
                <w:szCs w:val="24"/>
                <w:lang w:eastAsia="en-GB"/>
              </w:rPr>
            </w:pPr>
            <w:r>
              <w:rPr>
                <w:rFonts w:eastAsia="Times New Roman" w:cs="Times New Roman"/>
                <w:sz w:val="24"/>
                <w:szCs w:val="24"/>
                <w:lang w:eastAsia="en-GB"/>
              </w:rPr>
              <w:t>2</w:t>
            </w:r>
          </w:p>
        </w:tc>
        <w:tc>
          <w:tcPr>
            <w:tcW w:w="1297" w:type="pct"/>
            <w:shd w:val="clear" w:color="auto" w:fill="auto"/>
            <w:noWrap/>
            <w:vAlign w:val="bottom"/>
            <w:hideMark/>
          </w:tcPr>
          <w:p w14:paraId="262304F2"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&lt;0.01</w:t>
            </w:r>
          </w:p>
        </w:tc>
      </w:tr>
      <w:tr w:rsidR="00457D76" w:rsidRPr="00141805" w14:paraId="66573B92" w14:textId="77777777" w:rsidTr="00B37F34">
        <w:trPr>
          <w:trHeight w:val="255"/>
        </w:trPr>
        <w:tc>
          <w:tcPr>
            <w:tcW w:w="3068" w:type="pct"/>
            <w:shd w:val="clear" w:color="auto" w:fill="auto"/>
            <w:noWrap/>
            <w:vAlign w:val="bottom"/>
            <w:hideMark/>
          </w:tcPr>
          <w:p w14:paraId="08802750"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C1 deficiency</w:t>
            </w:r>
          </w:p>
        </w:tc>
        <w:tc>
          <w:tcPr>
            <w:tcW w:w="635" w:type="pct"/>
            <w:shd w:val="clear" w:color="auto" w:fill="auto"/>
            <w:noWrap/>
            <w:vAlign w:val="bottom"/>
            <w:hideMark/>
          </w:tcPr>
          <w:p w14:paraId="3770E594" w14:textId="77777777" w:rsidR="00457D76" w:rsidRPr="00141805" w:rsidRDefault="00457D76" w:rsidP="00457D76">
            <w:pPr>
              <w:spacing w:after="0" w:line="240" w:lineRule="auto"/>
              <w:jc w:val="right"/>
              <w:rPr>
                <w:rFonts w:eastAsia="Times New Roman" w:cs="Times New Roman"/>
                <w:sz w:val="24"/>
                <w:szCs w:val="24"/>
                <w:lang w:eastAsia="en-GB"/>
              </w:rPr>
            </w:pPr>
            <w:r>
              <w:rPr>
                <w:rFonts w:cs="Times New Roman"/>
                <w:sz w:val="24"/>
                <w:szCs w:val="24"/>
              </w:rPr>
              <w:t>2</w:t>
            </w:r>
          </w:p>
        </w:tc>
        <w:tc>
          <w:tcPr>
            <w:tcW w:w="1297" w:type="pct"/>
            <w:shd w:val="clear" w:color="auto" w:fill="auto"/>
            <w:noWrap/>
            <w:vAlign w:val="bottom"/>
            <w:hideMark/>
          </w:tcPr>
          <w:p w14:paraId="01243D7B"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&lt;0.01</w:t>
            </w:r>
          </w:p>
        </w:tc>
      </w:tr>
      <w:tr w:rsidR="00457D76" w:rsidRPr="00141805" w14:paraId="23DC76B1" w14:textId="77777777" w:rsidTr="00B37F34">
        <w:trPr>
          <w:trHeight w:val="255"/>
        </w:trPr>
        <w:tc>
          <w:tcPr>
            <w:tcW w:w="3068" w:type="pct"/>
            <w:shd w:val="clear" w:color="auto" w:fill="auto"/>
            <w:noWrap/>
            <w:vAlign w:val="bottom"/>
            <w:hideMark/>
          </w:tcPr>
          <w:p w14:paraId="3B955078"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C8 deficiency</w:t>
            </w:r>
          </w:p>
        </w:tc>
        <w:tc>
          <w:tcPr>
            <w:tcW w:w="635" w:type="pct"/>
            <w:shd w:val="clear" w:color="auto" w:fill="auto"/>
            <w:noWrap/>
            <w:vAlign w:val="bottom"/>
            <w:hideMark/>
          </w:tcPr>
          <w:p w14:paraId="6A3CD745" w14:textId="77777777" w:rsidR="00457D76" w:rsidRPr="00141805" w:rsidRDefault="00457D76" w:rsidP="00457D76">
            <w:pPr>
              <w:spacing w:after="0" w:line="240" w:lineRule="auto"/>
              <w:jc w:val="right"/>
              <w:rPr>
                <w:rFonts w:eastAsia="Times New Roman" w:cs="Times New Roman"/>
                <w:sz w:val="24"/>
                <w:szCs w:val="24"/>
                <w:lang w:eastAsia="en-GB"/>
              </w:rPr>
            </w:pPr>
            <w:r>
              <w:rPr>
                <w:rFonts w:cs="Times New Roman"/>
                <w:sz w:val="24"/>
                <w:szCs w:val="24"/>
              </w:rPr>
              <w:t>2</w:t>
            </w:r>
          </w:p>
        </w:tc>
        <w:tc>
          <w:tcPr>
            <w:tcW w:w="1297" w:type="pct"/>
            <w:shd w:val="clear" w:color="auto" w:fill="auto"/>
            <w:noWrap/>
            <w:vAlign w:val="bottom"/>
            <w:hideMark/>
          </w:tcPr>
          <w:p w14:paraId="3B1B5D70"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&lt;0.01</w:t>
            </w:r>
          </w:p>
        </w:tc>
      </w:tr>
      <w:tr w:rsidR="00457D76" w:rsidRPr="00141805" w14:paraId="4E88C2E4" w14:textId="77777777" w:rsidTr="00B37F34">
        <w:trPr>
          <w:trHeight w:val="255"/>
        </w:trPr>
        <w:tc>
          <w:tcPr>
            <w:tcW w:w="3068" w:type="pct"/>
            <w:shd w:val="clear" w:color="auto" w:fill="auto"/>
            <w:noWrap/>
            <w:vAlign w:val="bottom"/>
            <w:hideMark/>
          </w:tcPr>
          <w:p w14:paraId="5BC23872"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Cyclic neutropenia</w:t>
            </w:r>
          </w:p>
        </w:tc>
        <w:tc>
          <w:tcPr>
            <w:tcW w:w="635" w:type="pct"/>
            <w:shd w:val="clear" w:color="auto" w:fill="auto"/>
            <w:noWrap/>
            <w:vAlign w:val="bottom"/>
            <w:hideMark/>
          </w:tcPr>
          <w:p w14:paraId="44FC4694"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2</w:t>
            </w:r>
          </w:p>
        </w:tc>
        <w:tc>
          <w:tcPr>
            <w:tcW w:w="1297" w:type="pct"/>
            <w:shd w:val="clear" w:color="auto" w:fill="auto"/>
            <w:noWrap/>
            <w:vAlign w:val="bottom"/>
            <w:hideMark/>
          </w:tcPr>
          <w:p w14:paraId="1D2C7B74"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&lt;0.01</w:t>
            </w:r>
          </w:p>
        </w:tc>
      </w:tr>
      <w:tr w:rsidR="00457D76" w:rsidRPr="00141805" w14:paraId="5F6ACBF1" w14:textId="77777777" w:rsidTr="00B37F34">
        <w:trPr>
          <w:trHeight w:val="255"/>
        </w:trPr>
        <w:tc>
          <w:tcPr>
            <w:tcW w:w="3068" w:type="pct"/>
            <w:shd w:val="clear" w:color="auto" w:fill="auto"/>
            <w:noWrap/>
            <w:vAlign w:val="bottom"/>
            <w:hideMark/>
          </w:tcPr>
          <w:p w14:paraId="6FA9960B"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Vitamin B12 and Folate metabolism</w:t>
            </w:r>
          </w:p>
        </w:tc>
        <w:tc>
          <w:tcPr>
            <w:tcW w:w="635" w:type="pct"/>
            <w:shd w:val="clear" w:color="auto" w:fill="auto"/>
            <w:noWrap/>
            <w:vAlign w:val="bottom"/>
            <w:hideMark/>
          </w:tcPr>
          <w:p w14:paraId="57EE0F71"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2</w:t>
            </w:r>
          </w:p>
        </w:tc>
        <w:tc>
          <w:tcPr>
            <w:tcW w:w="1297" w:type="pct"/>
            <w:shd w:val="clear" w:color="auto" w:fill="auto"/>
            <w:noWrap/>
            <w:vAlign w:val="bottom"/>
            <w:hideMark/>
          </w:tcPr>
          <w:p w14:paraId="62D34E2C"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&lt;0.01</w:t>
            </w:r>
          </w:p>
        </w:tc>
      </w:tr>
      <w:tr w:rsidR="00457D76" w:rsidRPr="00141805" w14:paraId="15559C55" w14:textId="77777777" w:rsidTr="00B37F34">
        <w:trPr>
          <w:trHeight w:val="255"/>
        </w:trPr>
        <w:tc>
          <w:tcPr>
            <w:tcW w:w="3068" w:type="pct"/>
            <w:shd w:val="clear" w:color="auto" w:fill="auto"/>
            <w:noWrap/>
            <w:vAlign w:val="bottom"/>
            <w:hideMark/>
          </w:tcPr>
          <w:p w14:paraId="1F1ED437"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CD25 deficiency</w:t>
            </w:r>
          </w:p>
        </w:tc>
        <w:tc>
          <w:tcPr>
            <w:tcW w:w="635" w:type="pct"/>
            <w:shd w:val="clear" w:color="auto" w:fill="auto"/>
            <w:noWrap/>
            <w:vAlign w:val="bottom"/>
            <w:hideMark/>
          </w:tcPr>
          <w:p w14:paraId="7CBFF886"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2</w:t>
            </w:r>
          </w:p>
        </w:tc>
        <w:tc>
          <w:tcPr>
            <w:tcW w:w="1297" w:type="pct"/>
            <w:shd w:val="clear" w:color="auto" w:fill="auto"/>
            <w:noWrap/>
            <w:vAlign w:val="bottom"/>
            <w:hideMark/>
          </w:tcPr>
          <w:p w14:paraId="6BAE35DF"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&lt;0.01</w:t>
            </w:r>
          </w:p>
        </w:tc>
      </w:tr>
      <w:tr w:rsidR="00457D76" w:rsidRPr="00141805" w14:paraId="5409FE93" w14:textId="77777777" w:rsidTr="00B37F34">
        <w:trPr>
          <w:trHeight w:val="255"/>
        </w:trPr>
        <w:tc>
          <w:tcPr>
            <w:tcW w:w="3068" w:type="pct"/>
            <w:shd w:val="clear" w:color="auto" w:fill="auto"/>
            <w:noWrap/>
            <w:vAlign w:val="bottom"/>
            <w:hideMark/>
          </w:tcPr>
          <w:p w14:paraId="105B2726"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MonoMAC</w:t>
            </w:r>
          </w:p>
        </w:tc>
        <w:tc>
          <w:tcPr>
            <w:tcW w:w="635" w:type="pct"/>
            <w:shd w:val="clear" w:color="auto" w:fill="auto"/>
            <w:noWrap/>
            <w:vAlign w:val="bottom"/>
            <w:hideMark/>
          </w:tcPr>
          <w:p w14:paraId="13F98E1C"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2</w:t>
            </w:r>
          </w:p>
        </w:tc>
        <w:tc>
          <w:tcPr>
            <w:tcW w:w="1297" w:type="pct"/>
            <w:shd w:val="clear" w:color="auto" w:fill="auto"/>
            <w:noWrap/>
            <w:vAlign w:val="bottom"/>
            <w:hideMark/>
          </w:tcPr>
          <w:p w14:paraId="67CD8F94"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&lt;0.01</w:t>
            </w:r>
          </w:p>
        </w:tc>
      </w:tr>
      <w:tr w:rsidR="00457D76" w:rsidRPr="00141805" w14:paraId="487ADACC" w14:textId="77777777" w:rsidTr="00B37F34">
        <w:trPr>
          <w:trHeight w:val="255"/>
        </w:trPr>
        <w:tc>
          <w:tcPr>
            <w:tcW w:w="3068" w:type="pct"/>
            <w:shd w:val="clear" w:color="auto" w:fill="auto"/>
            <w:noWrap/>
            <w:vAlign w:val="bottom"/>
            <w:hideMark/>
          </w:tcPr>
          <w:p w14:paraId="1E783721"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Netherton syndrome</w:t>
            </w:r>
          </w:p>
        </w:tc>
        <w:tc>
          <w:tcPr>
            <w:tcW w:w="635" w:type="pct"/>
            <w:shd w:val="clear" w:color="auto" w:fill="auto"/>
            <w:noWrap/>
            <w:vAlign w:val="bottom"/>
            <w:hideMark/>
          </w:tcPr>
          <w:p w14:paraId="04E7ABC8"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2</w:t>
            </w:r>
          </w:p>
        </w:tc>
        <w:tc>
          <w:tcPr>
            <w:tcW w:w="1297" w:type="pct"/>
            <w:shd w:val="clear" w:color="auto" w:fill="auto"/>
            <w:noWrap/>
            <w:vAlign w:val="bottom"/>
            <w:hideMark/>
          </w:tcPr>
          <w:p w14:paraId="46B5D360"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&lt;0.01</w:t>
            </w:r>
          </w:p>
        </w:tc>
      </w:tr>
      <w:tr w:rsidR="00457D76" w:rsidRPr="00141805" w14:paraId="23E2BB31" w14:textId="77777777" w:rsidTr="00B37F34">
        <w:trPr>
          <w:trHeight w:val="255"/>
        </w:trPr>
        <w:tc>
          <w:tcPr>
            <w:tcW w:w="3068" w:type="pct"/>
            <w:shd w:val="clear" w:color="auto" w:fill="auto"/>
            <w:noWrap/>
            <w:vAlign w:val="bottom"/>
            <w:hideMark/>
          </w:tcPr>
          <w:p w14:paraId="2C28A48B"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shd w:val="clear" w:color="auto" w:fill="FFFFFF"/>
              </w:rPr>
              <w:t>Properdin</w:t>
            </w:r>
            <w:r w:rsidRPr="00141805">
              <w:rPr>
                <w:rStyle w:val="apple-converted-space"/>
                <w:rFonts w:cs="Times New Roman"/>
                <w:sz w:val="24"/>
                <w:szCs w:val="24"/>
                <w:shd w:val="clear" w:color="auto" w:fill="FFFFFF"/>
              </w:rPr>
              <w:t> </w:t>
            </w:r>
            <w:r w:rsidRPr="00141805">
              <w:rPr>
                <w:rStyle w:val="Emphasis"/>
                <w:rFonts w:cs="Times New Roman"/>
                <w:bCs/>
                <w:i w:val="0"/>
                <w:iCs w:val="0"/>
                <w:sz w:val="24"/>
                <w:szCs w:val="24"/>
                <w:shd w:val="clear" w:color="auto" w:fill="FFFFFF"/>
              </w:rPr>
              <w:t>P factor complement</w:t>
            </w:r>
            <w:r w:rsidRPr="00141805">
              <w:rPr>
                <w:rStyle w:val="apple-converted-space"/>
                <w:rFonts w:cs="Times New Roman"/>
                <w:sz w:val="24"/>
                <w:szCs w:val="24"/>
                <w:shd w:val="clear" w:color="auto" w:fill="FFFFFF"/>
              </w:rPr>
              <w:t> </w:t>
            </w:r>
            <w:r w:rsidRPr="00141805">
              <w:rPr>
                <w:rFonts w:cs="Times New Roman"/>
                <w:sz w:val="24"/>
                <w:szCs w:val="24"/>
                <w:shd w:val="clear" w:color="auto" w:fill="FFFFFF"/>
              </w:rPr>
              <w:t>deficiency</w:t>
            </w:r>
            <w:r w:rsidRPr="00141805">
              <w:rPr>
                <w:rFonts w:eastAsia="Times New Roman" w:cs="Times New Roman"/>
                <w:sz w:val="24"/>
                <w:szCs w:val="24"/>
                <w:lang w:eastAsia="en-GB"/>
              </w:rPr>
              <w:t xml:space="preserve"> (PFC)</w:t>
            </w:r>
          </w:p>
        </w:tc>
        <w:tc>
          <w:tcPr>
            <w:tcW w:w="635" w:type="pct"/>
            <w:shd w:val="clear" w:color="auto" w:fill="auto"/>
            <w:noWrap/>
            <w:vAlign w:val="bottom"/>
            <w:hideMark/>
          </w:tcPr>
          <w:p w14:paraId="2E3D3992"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2</w:t>
            </w:r>
          </w:p>
        </w:tc>
        <w:tc>
          <w:tcPr>
            <w:tcW w:w="1297" w:type="pct"/>
            <w:shd w:val="clear" w:color="auto" w:fill="auto"/>
            <w:noWrap/>
            <w:vAlign w:val="bottom"/>
            <w:hideMark/>
          </w:tcPr>
          <w:p w14:paraId="7DD65E0B"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&lt;0.01</w:t>
            </w:r>
          </w:p>
        </w:tc>
      </w:tr>
      <w:tr w:rsidR="00457D76" w:rsidRPr="00141805" w14:paraId="33E69093" w14:textId="77777777" w:rsidTr="00B37F34">
        <w:trPr>
          <w:trHeight w:val="255"/>
        </w:trPr>
        <w:tc>
          <w:tcPr>
            <w:tcW w:w="3068" w:type="pct"/>
            <w:shd w:val="clear" w:color="auto" w:fill="auto"/>
            <w:noWrap/>
            <w:vAlign w:val="bottom"/>
            <w:hideMark/>
          </w:tcPr>
          <w:p w14:paraId="4C340F8E"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IgM deficiency</w:t>
            </w:r>
          </w:p>
        </w:tc>
        <w:tc>
          <w:tcPr>
            <w:tcW w:w="635" w:type="pct"/>
            <w:shd w:val="clear" w:color="auto" w:fill="auto"/>
            <w:noWrap/>
            <w:vAlign w:val="bottom"/>
            <w:hideMark/>
          </w:tcPr>
          <w:p w14:paraId="0445A2BD"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2</w:t>
            </w:r>
          </w:p>
        </w:tc>
        <w:tc>
          <w:tcPr>
            <w:tcW w:w="1297" w:type="pct"/>
            <w:shd w:val="clear" w:color="auto" w:fill="auto"/>
            <w:noWrap/>
            <w:vAlign w:val="bottom"/>
            <w:hideMark/>
          </w:tcPr>
          <w:p w14:paraId="7E80F291"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&lt;0.01</w:t>
            </w:r>
          </w:p>
        </w:tc>
      </w:tr>
      <w:tr w:rsidR="00457D76" w:rsidRPr="00141805" w14:paraId="6C537464" w14:textId="77777777" w:rsidTr="00B37F34">
        <w:trPr>
          <w:trHeight w:val="255"/>
        </w:trPr>
        <w:tc>
          <w:tcPr>
            <w:tcW w:w="3068" w:type="pct"/>
            <w:shd w:val="clear" w:color="auto" w:fill="auto"/>
            <w:noWrap/>
            <w:vAlign w:val="bottom"/>
            <w:hideMark/>
          </w:tcPr>
          <w:p w14:paraId="2F452075"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Atypical SCID</w:t>
            </w:r>
          </w:p>
        </w:tc>
        <w:tc>
          <w:tcPr>
            <w:tcW w:w="635" w:type="pct"/>
            <w:shd w:val="clear" w:color="auto" w:fill="auto"/>
            <w:noWrap/>
            <w:vAlign w:val="bottom"/>
            <w:hideMark/>
          </w:tcPr>
          <w:p w14:paraId="09FB062B"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2</w:t>
            </w:r>
          </w:p>
        </w:tc>
        <w:tc>
          <w:tcPr>
            <w:tcW w:w="1297" w:type="pct"/>
            <w:shd w:val="clear" w:color="auto" w:fill="auto"/>
            <w:noWrap/>
            <w:vAlign w:val="bottom"/>
            <w:hideMark/>
          </w:tcPr>
          <w:p w14:paraId="7E28550B"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&lt;0.01</w:t>
            </w:r>
          </w:p>
        </w:tc>
      </w:tr>
      <w:tr w:rsidR="00457D76" w:rsidRPr="00141805" w14:paraId="625E749B" w14:textId="77777777" w:rsidTr="00B37F34">
        <w:trPr>
          <w:trHeight w:val="255"/>
        </w:trPr>
        <w:tc>
          <w:tcPr>
            <w:tcW w:w="3068" w:type="pct"/>
            <w:shd w:val="clear" w:color="auto" w:fill="auto"/>
            <w:noWrap/>
            <w:vAlign w:val="bottom"/>
            <w:hideMark/>
          </w:tcPr>
          <w:p w14:paraId="58A501A9"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CD8 deficiency</w:t>
            </w:r>
          </w:p>
        </w:tc>
        <w:tc>
          <w:tcPr>
            <w:tcW w:w="635" w:type="pct"/>
            <w:shd w:val="clear" w:color="auto" w:fill="auto"/>
            <w:noWrap/>
            <w:vAlign w:val="bottom"/>
            <w:hideMark/>
          </w:tcPr>
          <w:p w14:paraId="4D3D886F"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2</w:t>
            </w:r>
          </w:p>
        </w:tc>
        <w:tc>
          <w:tcPr>
            <w:tcW w:w="1297" w:type="pct"/>
            <w:shd w:val="clear" w:color="auto" w:fill="auto"/>
            <w:noWrap/>
            <w:vAlign w:val="bottom"/>
            <w:hideMark/>
          </w:tcPr>
          <w:p w14:paraId="4CA7F492"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&lt;0.01</w:t>
            </w:r>
          </w:p>
        </w:tc>
      </w:tr>
      <w:tr w:rsidR="00457D76" w:rsidRPr="00141805" w14:paraId="4E604466" w14:textId="77777777" w:rsidTr="00B37F34">
        <w:trPr>
          <w:trHeight w:val="255"/>
        </w:trPr>
        <w:tc>
          <w:tcPr>
            <w:tcW w:w="3068" w:type="pct"/>
            <w:shd w:val="clear" w:color="auto" w:fill="auto"/>
            <w:noWrap/>
            <w:vAlign w:val="bottom"/>
            <w:hideMark/>
          </w:tcPr>
          <w:p w14:paraId="5CAC49E7"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CHARGE syndrome</w:t>
            </w:r>
          </w:p>
        </w:tc>
        <w:tc>
          <w:tcPr>
            <w:tcW w:w="635" w:type="pct"/>
            <w:shd w:val="clear" w:color="auto" w:fill="auto"/>
            <w:noWrap/>
            <w:vAlign w:val="bottom"/>
            <w:hideMark/>
          </w:tcPr>
          <w:p w14:paraId="589C1CD3"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1</w:t>
            </w:r>
          </w:p>
        </w:tc>
        <w:tc>
          <w:tcPr>
            <w:tcW w:w="1297" w:type="pct"/>
            <w:shd w:val="clear" w:color="auto" w:fill="auto"/>
            <w:noWrap/>
            <w:vAlign w:val="bottom"/>
            <w:hideMark/>
          </w:tcPr>
          <w:p w14:paraId="780AB8CB"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&lt;0.01</w:t>
            </w:r>
          </w:p>
        </w:tc>
      </w:tr>
      <w:tr w:rsidR="00457D76" w:rsidRPr="00141805" w14:paraId="4333E994" w14:textId="77777777" w:rsidTr="00B37F34">
        <w:trPr>
          <w:trHeight w:val="255"/>
        </w:trPr>
        <w:tc>
          <w:tcPr>
            <w:tcW w:w="3068" w:type="pct"/>
            <w:shd w:val="clear" w:color="auto" w:fill="auto"/>
            <w:noWrap/>
            <w:vAlign w:val="bottom"/>
            <w:hideMark/>
          </w:tcPr>
          <w:p w14:paraId="5E2CD23F"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C4 deficiency</w:t>
            </w:r>
          </w:p>
        </w:tc>
        <w:tc>
          <w:tcPr>
            <w:tcW w:w="635" w:type="pct"/>
            <w:shd w:val="clear" w:color="auto" w:fill="auto"/>
            <w:noWrap/>
            <w:vAlign w:val="bottom"/>
            <w:hideMark/>
          </w:tcPr>
          <w:p w14:paraId="788AA8E1"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1</w:t>
            </w:r>
          </w:p>
        </w:tc>
        <w:tc>
          <w:tcPr>
            <w:tcW w:w="1297" w:type="pct"/>
            <w:shd w:val="clear" w:color="auto" w:fill="auto"/>
            <w:noWrap/>
            <w:vAlign w:val="bottom"/>
            <w:hideMark/>
          </w:tcPr>
          <w:p w14:paraId="7A7DB273"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&lt;0.01</w:t>
            </w:r>
          </w:p>
        </w:tc>
      </w:tr>
      <w:tr w:rsidR="00457D76" w:rsidRPr="00141805" w14:paraId="658FBF87" w14:textId="77777777" w:rsidTr="00B37F34">
        <w:trPr>
          <w:trHeight w:val="255"/>
        </w:trPr>
        <w:tc>
          <w:tcPr>
            <w:tcW w:w="3068" w:type="pct"/>
            <w:shd w:val="clear" w:color="auto" w:fill="auto"/>
            <w:noWrap/>
            <w:vAlign w:val="bottom"/>
            <w:hideMark/>
          </w:tcPr>
          <w:p w14:paraId="399499B9"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Griscelli, type 2</w:t>
            </w:r>
          </w:p>
        </w:tc>
        <w:tc>
          <w:tcPr>
            <w:tcW w:w="635" w:type="pct"/>
            <w:shd w:val="clear" w:color="auto" w:fill="auto"/>
            <w:noWrap/>
            <w:vAlign w:val="bottom"/>
            <w:hideMark/>
          </w:tcPr>
          <w:p w14:paraId="14DA2893"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1</w:t>
            </w:r>
          </w:p>
        </w:tc>
        <w:tc>
          <w:tcPr>
            <w:tcW w:w="1297" w:type="pct"/>
            <w:shd w:val="clear" w:color="auto" w:fill="auto"/>
            <w:noWrap/>
            <w:vAlign w:val="bottom"/>
            <w:hideMark/>
          </w:tcPr>
          <w:p w14:paraId="10534521"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&lt;0.01</w:t>
            </w:r>
          </w:p>
        </w:tc>
      </w:tr>
      <w:tr w:rsidR="00457D76" w:rsidRPr="00141805" w14:paraId="3177F280" w14:textId="77777777" w:rsidTr="00B37F34">
        <w:trPr>
          <w:trHeight w:val="255"/>
        </w:trPr>
        <w:tc>
          <w:tcPr>
            <w:tcW w:w="3068" w:type="pct"/>
            <w:shd w:val="clear" w:color="auto" w:fill="auto"/>
            <w:noWrap/>
            <w:vAlign w:val="bottom"/>
            <w:hideMark/>
          </w:tcPr>
          <w:p w14:paraId="56B39541"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HLA class I deficiency</w:t>
            </w:r>
          </w:p>
        </w:tc>
        <w:tc>
          <w:tcPr>
            <w:tcW w:w="635" w:type="pct"/>
            <w:shd w:val="clear" w:color="auto" w:fill="auto"/>
            <w:noWrap/>
            <w:vAlign w:val="bottom"/>
            <w:hideMark/>
          </w:tcPr>
          <w:p w14:paraId="4271B814"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1</w:t>
            </w:r>
          </w:p>
        </w:tc>
        <w:tc>
          <w:tcPr>
            <w:tcW w:w="1297" w:type="pct"/>
            <w:shd w:val="clear" w:color="auto" w:fill="auto"/>
            <w:noWrap/>
            <w:vAlign w:val="bottom"/>
            <w:hideMark/>
          </w:tcPr>
          <w:p w14:paraId="1FAFAC76"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&lt;0.01</w:t>
            </w:r>
          </w:p>
        </w:tc>
      </w:tr>
      <w:tr w:rsidR="00457D76" w:rsidRPr="00141805" w14:paraId="6BA88ACD" w14:textId="77777777" w:rsidTr="00B37F34">
        <w:trPr>
          <w:trHeight w:val="255"/>
        </w:trPr>
        <w:tc>
          <w:tcPr>
            <w:tcW w:w="3068" w:type="pct"/>
            <w:shd w:val="clear" w:color="auto" w:fill="auto"/>
            <w:noWrap/>
            <w:vAlign w:val="bottom"/>
            <w:hideMark/>
          </w:tcPr>
          <w:p w14:paraId="619EE4DA"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Muckle-Wells syndrome</w:t>
            </w:r>
          </w:p>
        </w:tc>
        <w:tc>
          <w:tcPr>
            <w:tcW w:w="635" w:type="pct"/>
            <w:shd w:val="clear" w:color="auto" w:fill="auto"/>
            <w:noWrap/>
            <w:vAlign w:val="bottom"/>
            <w:hideMark/>
          </w:tcPr>
          <w:p w14:paraId="27BE5C8F"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1</w:t>
            </w:r>
          </w:p>
        </w:tc>
        <w:tc>
          <w:tcPr>
            <w:tcW w:w="1297" w:type="pct"/>
            <w:shd w:val="clear" w:color="auto" w:fill="auto"/>
            <w:noWrap/>
            <w:vAlign w:val="bottom"/>
            <w:hideMark/>
          </w:tcPr>
          <w:p w14:paraId="4CF199DD"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&lt;0.01</w:t>
            </w:r>
          </w:p>
        </w:tc>
      </w:tr>
      <w:tr w:rsidR="00457D76" w:rsidRPr="00141805" w14:paraId="2A83BB47" w14:textId="77777777" w:rsidTr="00B37F34">
        <w:trPr>
          <w:trHeight w:val="255"/>
        </w:trPr>
        <w:tc>
          <w:tcPr>
            <w:tcW w:w="3068" w:type="pct"/>
            <w:shd w:val="clear" w:color="auto" w:fill="auto"/>
            <w:noWrap/>
            <w:vAlign w:val="bottom"/>
            <w:hideMark/>
          </w:tcPr>
          <w:p w14:paraId="3BE1BA4E"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color w:val="000000"/>
                <w:sz w:val="24"/>
                <w:szCs w:val="24"/>
                <w:lang w:eastAsia="en-GB"/>
              </w:rPr>
              <w:t>Periodic fever aphthous stomatitis, pharyngitis and adenopathy (PFAPA)</w:t>
            </w:r>
          </w:p>
        </w:tc>
        <w:tc>
          <w:tcPr>
            <w:tcW w:w="635" w:type="pct"/>
            <w:shd w:val="clear" w:color="auto" w:fill="auto"/>
            <w:noWrap/>
            <w:vAlign w:val="bottom"/>
            <w:hideMark/>
          </w:tcPr>
          <w:p w14:paraId="5DB52876"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1</w:t>
            </w:r>
          </w:p>
        </w:tc>
        <w:tc>
          <w:tcPr>
            <w:tcW w:w="1297" w:type="pct"/>
            <w:shd w:val="clear" w:color="auto" w:fill="auto"/>
            <w:noWrap/>
            <w:vAlign w:val="bottom"/>
            <w:hideMark/>
          </w:tcPr>
          <w:p w14:paraId="09DE26D0"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&lt;0.01</w:t>
            </w:r>
          </w:p>
        </w:tc>
      </w:tr>
      <w:tr w:rsidR="00457D76" w:rsidRPr="00141805" w14:paraId="521371F8" w14:textId="77777777" w:rsidTr="00B37F34">
        <w:trPr>
          <w:trHeight w:val="255"/>
        </w:trPr>
        <w:tc>
          <w:tcPr>
            <w:tcW w:w="3068" w:type="pct"/>
            <w:shd w:val="clear" w:color="auto" w:fill="auto"/>
            <w:noWrap/>
            <w:vAlign w:val="bottom"/>
          </w:tcPr>
          <w:p w14:paraId="1AB451BC" w14:textId="7F6689BC" w:rsidR="00457D76" w:rsidRPr="00141805" w:rsidRDefault="00457D76" w:rsidP="00457D76">
            <w:pPr>
              <w:spacing w:after="0" w:line="240" w:lineRule="auto"/>
              <w:jc w:val="right"/>
              <w:rPr>
                <w:rFonts w:cs="Times New Roman"/>
                <w:color w:val="000000"/>
                <w:sz w:val="24"/>
                <w:szCs w:val="24"/>
                <w:lang w:eastAsia="en-GB"/>
              </w:rPr>
            </w:pPr>
            <w:r>
              <w:rPr>
                <w:rFonts w:cs="Times New Roman"/>
                <w:color w:val="000000"/>
                <w:sz w:val="24"/>
                <w:szCs w:val="24"/>
                <w:lang w:eastAsia="en-GB"/>
              </w:rPr>
              <w:t>Ras</w:t>
            </w:r>
            <w:r w:rsidR="00257174">
              <w:rPr>
                <w:rFonts w:cs="Times New Roman"/>
                <w:color w:val="000000"/>
                <w:sz w:val="24"/>
                <w:szCs w:val="24"/>
                <w:lang w:eastAsia="en-GB"/>
              </w:rPr>
              <w:t>-</w:t>
            </w:r>
            <w:r>
              <w:rPr>
                <w:rFonts w:cs="Times New Roman"/>
                <w:color w:val="000000"/>
                <w:sz w:val="24"/>
                <w:szCs w:val="24"/>
                <w:lang w:eastAsia="en-GB"/>
              </w:rPr>
              <w:t>associated lymphoproliferative disease (RALD)</w:t>
            </w:r>
          </w:p>
        </w:tc>
        <w:tc>
          <w:tcPr>
            <w:tcW w:w="635" w:type="pct"/>
            <w:shd w:val="clear" w:color="auto" w:fill="auto"/>
            <w:noWrap/>
            <w:vAlign w:val="bottom"/>
          </w:tcPr>
          <w:p w14:paraId="12B062F4" w14:textId="77777777" w:rsidR="00457D76" w:rsidRPr="00141805" w:rsidRDefault="00457D76" w:rsidP="00457D76">
            <w:pPr>
              <w:spacing w:after="0" w:line="240" w:lineRule="auto"/>
              <w:jc w:val="right"/>
              <w:rPr>
                <w:rFonts w:cs="Times New Roman"/>
                <w:sz w:val="24"/>
                <w:szCs w:val="24"/>
              </w:rPr>
            </w:pPr>
            <w:r>
              <w:rPr>
                <w:rFonts w:cs="Times New Roman"/>
                <w:sz w:val="24"/>
                <w:szCs w:val="24"/>
              </w:rPr>
              <w:t>1</w:t>
            </w:r>
          </w:p>
        </w:tc>
        <w:tc>
          <w:tcPr>
            <w:tcW w:w="1297" w:type="pct"/>
            <w:shd w:val="clear" w:color="auto" w:fill="auto"/>
            <w:noWrap/>
            <w:vAlign w:val="bottom"/>
          </w:tcPr>
          <w:p w14:paraId="13D0F353" w14:textId="77777777" w:rsidR="00457D76" w:rsidRPr="00141805" w:rsidRDefault="00457D76" w:rsidP="00457D76">
            <w:pPr>
              <w:spacing w:after="0" w:line="240" w:lineRule="auto"/>
              <w:jc w:val="right"/>
              <w:rPr>
                <w:rFonts w:cs="Times New Roman"/>
                <w:sz w:val="24"/>
                <w:szCs w:val="24"/>
              </w:rPr>
            </w:pPr>
          </w:p>
        </w:tc>
      </w:tr>
      <w:tr w:rsidR="00457D76" w:rsidRPr="00141805" w14:paraId="3847954D" w14:textId="77777777" w:rsidTr="00B37F34">
        <w:trPr>
          <w:trHeight w:val="255"/>
        </w:trPr>
        <w:tc>
          <w:tcPr>
            <w:tcW w:w="3068" w:type="pct"/>
            <w:shd w:val="clear" w:color="auto" w:fill="auto"/>
            <w:noWrap/>
            <w:vAlign w:val="bottom"/>
            <w:hideMark/>
          </w:tcPr>
          <w:p w14:paraId="4F08277C"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Severe viral infection</w:t>
            </w:r>
          </w:p>
        </w:tc>
        <w:tc>
          <w:tcPr>
            <w:tcW w:w="635" w:type="pct"/>
            <w:shd w:val="clear" w:color="auto" w:fill="auto"/>
            <w:noWrap/>
            <w:vAlign w:val="bottom"/>
            <w:hideMark/>
          </w:tcPr>
          <w:p w14:paraId="06DFAB93"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1</w:t>
            </w:r>
          </w:p>
        </w:tc>
        <w:tc>
          <w:tcPr>
            <w:tcW w:w="1297" w:type="pct"/>
            <w:shd w:val="clear" w:color="auto" w:fill="auto"/>
            <w:noWrap/>
            <w:vAlign w:val="bottom"/>
            <w:hideMark/>
          </w:tcPr>
          <w:p w14:paraId="4DC5CC9E"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&lt;0.01</w:t>
            </w:r>
          </w:p>
        </w:tc>
      </w:tr>
      <w:tr w:rsidR="00457D76" w:rsidRPr="00141805" w14:paraId="52C1A3DD" w14:textId="77777777" w:rsidTr="00B37F34">
        <w:trPr>
          <w:trHeight w:val="255"/>
        </w:trPr>
        <w:tc>
          <w:tcPr>
            <w:tcW w:w="3068" w:type="pct"/>
            <w:shd w:val="clear" w:color="auto" w:fill="auto"/>
            <w:noWrap/>
            <w:vAlign w:val="bottom"/>
            <w:hideMark/>
          </w:tcPr>
          <w:p w14:paraId="2D3784E3" w14:textId="39EEC7D8"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 xml:space="preserve">Reticular Dysgenesis </w:t>
            </w:r>
            <w:r w:rsidR="00257174">
              <w:rPr>
                <w:rFonts w:eastAsia="Times New Roman" w:cs="Times New Roman"/>
                <w:sz w:val="24"/>
                <w:szCs w:val="24"/>
                <w:lang w:eastAsia="en-GB"/>
              </w:rPr>
              <w:t>(</w:t>
            </w:r>
            <w:r w:rsidRPr="00141805">
              <w:rPr>
                <w:rFonts w:eastAsia="Times New Roman" w:cs="Times New Roman"/>
                <w:sz w:val="24"/>
                <w:szCs w:val="24"/>
                <w:lang w:eastAsia="en-GB"/>
              </w:rPr>
              <w:t>AK2)</w:t>
            </w:r>
          </w:p>
        </w:tc>
        <w:tc>
          <w:tcPr>
            <w:tcW w:w="635" w:type="pct"/>
            <w:shd w:val="clear" w:color="auto" w:fill="auto"/>
            <w:noWrap/>
            <w:vAlign w:val="bottom"/>
            <w:hideMark/>
          </w:tcPr>
          <w:p w14:paraId="45F1D11B"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1</w:t>
            </w:r>
          </w:p>
        </w:tc>
        <w:tc>
          <w:tcPr>
            <w:tcW w:w="1297" w:type="pct"/>
            <w:shd w:val="clear" w:color="auto" w:fill="auto"/>
            <w:noWrap/>
            <w:vAlign w:val="bottom"/>
            <w:hideMark/>
          </w:tcPr>
          <w:p w14:paraId="68EFCE13"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&lt;0.01</w:t>
            </w:r>
          </w:p>
        </w:tc>
      </w:tr>
      <w:tr w:rsidR="00457D76" w:rsidRPr="00141805" w14:paraId="3489EF64" w14:textId="77777777" w:rsidTr="00B37F34">
        <w:trPr>
          <w:trHeight w:val="255"/>
        </w:trPr>
        <w:tc>
          <w:tcPr>
            <w:tcW w:w="3068" w:type="pct"/>
            <w:shd w:val="clear" w:color="auto" w:fill="auto"/>
            <w:noWrap/>
            <w:vAlign w:val="bottom"/>
            <w:hideMark/>
          </w:tcPr>
          <w:p w14:paraId="69B843E1"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Shwachman-Diamond-syndrome</w:t>
            </w:r>
          </w:p>
        </w:tc>
        <w:tc>
          <w:tcPr>
            <w:tcW w:w="635" w:type="pct"/>
            <w:shd w:val="clear" w:color="auto" w:fill="auto"/>
            <w:noWrap/>
            <w:vAlign w:val="bottom"/>
            <w:hideMark/>
          </w:tcPr>
          <w:p w14:paraId="5D10EC79"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1</w:t>
            </w:r>
          </w:p>
        </w:tc>
        <w:tc>
          <w:tcPr>
            <w:tcW w:w="1297" w:type="pct"/>
            <w:shd w:val="clear" w:color="auto" w:fill="auto"/>
            <w:noWrap/>
            <w:vAlign w:val="bottom"/>
            <w:hideMark/>
          </w:tcPr>
          <w:p w14:paraId="6D4CC0B6"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&lt;0.01</w:t>
            </w:r>
          </w:p>
        </w:tc>
      </w:tr>
      <w:tr w:rsidR="00457D76" w:rsidRPr="00141805" w14:paraId="47D95702" w14:textId="77777777" w:rsidTr="00B37F34">
        <w:trPr>
          <w:trHeight w:val="255"/>
        </w:trPr>
        <w:tc>
          <w:tcPr>
            <w:tcW w:w="3068" w:type="pct"/>
            <w:shd w:val="clear" w:color="auto" w:fill="auto"/>
            <w:noWrap/>
            <w:vAlign w:val="bottom"/>
            <w:hideMark/>
          </w:tcPr>
          <w:p w14:paraId="2AB1B11C"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color w:val="000000"/>
                <w:sz w:val="24"/>
                <w:szCs w:val="24"/>
                <w:lang w:eastAsia="en-GB"/>
              </w:rPr>
              <w:t>Warts hypogammaglobulinaemia infections and myelokathexis (WHIM)</w:t>
            </w:r>
          </w:p>
        </w:tc>
        <w:tc>
          <w:tcPr>
            <w:tcW w:w="635" w:type="pct"/>
            <w:shd w:val="clear" w:color="auto" w:fill="auto"/>
            <w:noWrap/>
            <w:vAlign w:val="bottom"/>
            <w:hideMark/>
          </w:tcPr>
          <w:p w14:paraId="7DE45A95"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1</w:t>
            </w:r>
          </w:p>
        </w:tc>
        <w:tc>
          <w:tcPr>
            <w:tcW w:w="1297" w:type="pct"/>
            <w:shd w:val="clear" w:color="auto" w:fill="auto"/>
            <w:noWrap/>
            <w:vAlign w:val="bottom"/>
            <w:hideMark/>
          </w:tcPr>
          <w:p w14:paraId="3C73F70C"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cs="Times New Roman"/>
                <w:sz w:val="24"/>
                <w:szCs w:val="24"/>
              </w:rPr>
              <w:t>&lt;0.01</w:t>
            </w:r>
          </w:p>
        </w:tc>
      </w:tr>
      <w:tr w:rsidR="00457D76" w:rsidRPr="00141805" w14:paraId="4158A406" w14:textId="77777777" w:rsidTr="00B37F34">
        <w:trPr>
          <w:trHeight w:val="255"/>
        </w:trPr>
        <w:tc>
          <w:tcPr>
            <w:tcW w:w="3068" w:type="pct"/>
            <w:shd w:val="clear" w:color="auto" w:fill="auto"/>
            <w:noWrap/>
            <w:vAlign w:val="bottom"/>
            <w:hideMark/>
          </w:tcPr>
          <w:p w14:paraId="77EBC4C9" w14:textId="77777777" w:rsidR="00457D76" w:rsidRPr="00141805" w:rsidRDefault="00457D76" w:rsidP="00457D76">
            <w:pPr>
              <w:spacing w:after="0" w:line="240" w:lineRule="auto"/>
              <w:jc w:val="right"/>
              <w:rPr>
                <w:rFonts w:eastAsia="Times New Roman" w:cs="Times New Roman"/>
                <w:sz w:val="24"/>
                <w:szCs w:val="24"/>
                <w:lang w:eastAsia="en-GB"/>
              </w:rPr>
            </w:pPr>
            <w:r w:rsidRPr="00141805">
              <w:rPr>
                <w:rFonts w:eastAsia="Times New Roman" w:cs="Times New Roman"/>
                <w:sz w:val="24"/>
                <w:szCs w:val="24"/>
                <w:lang w:eastAsia="en-GB"/>
              </w:rPr>
              <w:t>XLT (WASP)</w:t>
            </w:r>
          </w:p>
        </w:tc>
        <w:tc>
          <w:tcPr>
            <w:tcW w:w="635" w:type="pct"/>
            <w:shd w:val="clear" w:color="auto" w:fill="auto"/>
            <w:noWrap/>
            <w:vAlign w:val="bottom"/>
            <w:hideMark/>
          </w:tcPr>
          <w:p w14:paraId="2AE943CA" w14:textId="77777777" w:rsidR="00457D76" w:rsidRPr="002676A2" w:rsidRDefault="00457D76" w:rsidP="00457D76">
            <w:pPr>
              <w:spacing w:after="0" w:line="240" w:lineRule="auto"/>
              <w:jc w:val="right"/>
              <w:rPr>
                <w:rFonts w:cs="Times New Roman"/>
                <w:sz w:val="24"/>
                <w:szCs w:val="24"/>
              </w:rPr>
            </w:pPr>
            <w:r w:rsidRPr="00141805">
              <w:rPr>
                <w:rFonts w:cs="Times New Roman"/>
                <w:sz w:val="24"/>
                <w:szCs w:val="24"/>
              </w:rPr>
              <w:t>1</w:t>
            </w:r>
          </w:p>
        </w:tc>
        <w:tc>
          <w:tcPr>
            <w:tcW w:w="1297" w:type="pct"/>
            <w:shd w:val="clear" w:color="auto" w:fill="auto"/>
            <w:noWrap/>
            <w:vAlign w:val="bottom"/>
            <w:hideMark/>
          </w:tcPr>
          <w:p w14:paraId="51DA5E18" w14:textId="77777777" w:rsidR="00457D76" w:rsidRPr="00141805" w:rsidRDefault="00457D76" w:rsidP="00457D76">
            <w:pPr>
              <w:keepNext/>
              <w:spacing w:after="0" w:line="240" w:lineRule="auto"/>
              <w:jc w:val="right"/>
              <w:rPr>
                <w:rFonts w:eastAsia="Times New Roman" w:cs="Times New Roman"/>
                <w:sz w:val="24"/>
                <w:szCs w:val="24"/>
                <w:lang w:eastAsia="en-GB"/>
              </w:rPr>
            </w:pPr>
            <w:r w:rsidRPr="00141805">
              <w:rPr>
                <w:rFonts w:cs="Times New Roman"/>
                <w:sz w:val="24"/>
                <w:szCs w:val="24"/>
              </w:rPr>
              <w:t>&lt;0.01</w:t>
            </w:r>
          </w:p>
        </w:tc>
      </w:tr>
    </w:tbl>
    <w:p w14:paraId="4F956B11" w14:textId="59FE1E45" w:rsidR="0002324A" w:rsidRPr="00B37F34" w:rsidRDefault="0002324A" w:rsidP="00894C97">
      <w:pPr>
        <w:pStyle w:val="Caption"/>
        <w:rPr>
          <w:sz w:val="24"/>
        </w:rPr>
      </w:pPr>
    </w:p>
    <w:p w14:paraId="04DC3555" w14:textId="0EF69F73" w:rsidR="00D36388" w:rsidRPr="00B37F34" w:rsidRDefault="00D36388" w:rsidP="00D36388">
      <w:pPr>
        <w:rPr>
          <w:sz w:val="24"/>
        </w:rPr>
      </w:pPr>
    </w:p>
    <w:p w14:paraId="264FC0A4" w14:textId="5C9E2074" w:rsidR="00D36388" w:rsidRPr="00B37F34" w:rsidRDefault="00D36388" w:rsidP="00D36388">
      <w:pPr>
        <w:rPr>
          <w:sz w:val="24"/>
        </w:rPr>
      </w:pPr>
    </w:p>
    <w:p w14:paraId="217D0BD1" w14:textId="0F93F667" w:rsidR="00D36388" w:rsidRPr="00B37F34" w:rsidRDefault="00D36388" w:rsidP="00D36388">
      <w:pPr>
        <w:pStyle w:val="Caption"/>
        <w:rPr>
          <w:i w:val="0"/>
          <w:color w:val="000000" w:themeColor="text1"/>
          <w:sz w:val="24"/>
        </w:rPr>
      </w:pPr>
      <w:bookmarkStart w:id="3" w:name="_Ref484609635"/>
      <w:r w:rsidRPr="00B37F34">
        <w:rPr>
          <w:b/>
          <w:i w:val="0"/>
          <w:color w:val="000000" w:themeColor="text1"/>
          <w:sz w:val="24"/>
        </w:rPr>
        <w:t xml:space="preserve">Supplementary Table </w:t>
      </w:r>
      <w:r w:rsidR="000E3A09" w:rsidRPr="00B37F34">
        <w:rPr>
          <w:b/>
          <w:i w:val="0"/>
          <w:color w:val="000000" w:themeColor="text1"/>
          <w:sz w:val="24"/>
        </w:rPr>
        <w:fldChar w:fldCharType="begin"/>
      </w:r>
      <w:r w:rsidR="000E3A09" w:rsidRPr="00B37F34">
        <w:rPr>
          <w:b/>
          <w:i w:val="0"/>
          <w:color w:val="000000" w:themeColor="text1"/>
          <w:sz w:val="24"/>
        </w:rPr>
        <w:instrText xml:space="preserve"> SEQ Supplementary_Table \* ARABIC </w:instrText>
      </w:r>
      <w:r w:rsidR="000E3A09" w:rsidRPr="00B37F34">
        <w:rPr>
          <w:b/>
          <w:i w:val="0"/>
          <w:color w:val="000000" w:themeColor="text1"/>
          <w:sz w:val="24"/>
        </w:rPr>
        <w:fldChar w:fldCharType="separate"/>
      </w:r>
      <w:r w:rsidRPr="00B37F34">
        <w:rPr>
          <w:b/>
          <w:i w:val="0"/>
          <w:color w:val="000000" w:themeColor="text1"/>
          <w:sz w:val="24"/>
        </w:rPr>
        <w:t>2</w:t>
      </w:r>
      <w:r w:rsidR="000E3A09" w:rsidRPr="00B37F34">
        <w:rPr>
          <w:b/>
          <w:i w:val="0"/>
          <w:color w:val="000000" w:themeColor="text1"/>
          <w:sz w:val="24"/>
        </w:rPr>
        <w:fldChar w:fldCharType="end"/>
      </w:r>
      <w:bookmarkEnd w:id="3"/>
      <w:r w:rsidRPr="004A01AD">
        <w:rPr>
          <w:i w:val="0"/>
          <w:color w:val="auto"/>
          <w:sz w:val="24"/>
          <w:szCs w:val="24"/>
        </w:rPr>
        <w:t xml:space="preserve"> Diagnostic delay by IUIS category in years (median, 25th and 75th quartiles)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2"/>
        <w:gridCol w:w="645"/>
        <w:gridCol w:w="1439"/>
        <w:gridCol w:w="982"/>
        <w:gridCol w:w="1439"/>
        <w:gridCol w:w="655"/>
      </w:tblGrid>
      <w:tr w:rsidR="00D36388" w:rsidRPr="00D36388" w14:paraId="340D6E70" w14:textId="77777777" w:rsidTr="00B37F34">
        <w:trPr>
          <w:trHeight w:val="255"/>
        </w:trPr>
        <w:tc>
          <w:tcPr>
            <w:tcW w:w="2237" w:type="pct"/>
            <w:shd w:val="clear" w:color="auto" w:fill="auto"/>
            <w:noWrap/>
            <w:vAlign w:val="bottom"/>
            <w:hideMark/>
          </w:tcPr>
          <w:p w14:paraId="7E39AA84" w14:textId="77777777" w:rsidR="00D36388" w:rsidRPr="00B37F34" w:rsidRDefault="00D36388" w:rsidP="00D36388">
            <w:pPr>
              <w:spacing w:after="0" w:line="240" w:lineRule="auto"/>
              <w:rPr>
                <w:b/>
                <w:sz w:val="24"/>
              </w:rPr>
            </w:pPr>
            <w:r w:rsidRPr="00B37F34">
              <w:rPr>
                <w:b/>
                <w:sz w:val="24"/>
              </w:rPr>
              <w:t>PID category</w:t>
            </w:r>
          </w:p>
        </w:tc>
        <w:tc>
          <w:tcPr>
            <w:tcW w:w="377" w:type="pct"/>
            <w:shd w:val="clear" w:color="auto" w:fill="auto"/>
            <w:noWrap/>
            <w:vAlign w:val="bottom"/>
            <w:hideMark/>
          </w:tcPr>
          <w:p w14:paraId="054F74CE" w14:textId="77777777" w:rsidR="00D36388" w:rsidRPr="00B37F34" w:rsidRDefault="00D36388" w:rsidP="00D36388">
            <w:pPr>
              <w:spacing w:after="0" w:line="240" w:lineRule="auto"/>
              <w:rPr>
                <w:b/>
                <w:sz w:val="24"/>
              </w:rPr>
            </w:pPr>
            <w:r w:rsidRPr="00B37F34">
              <w:rPr>
                <w:b/>
                <w:sz w:val="24"/>
              </w:rPr>
              <w:t>Min</w:t>
            </w:r>
          </w:p>
        </w:tc>
        <w:tc>
          <w:tcPr>
            <w:tcW w:w="755" w:type="pct"/>
            <w:shd w:val="clear" w:color="auto" w:fill="auto"/>
            <w:noWrap/>
            <w:vAlign w:val="bottom"/>
            <w:hideMark/>
          </w:tcPr>
          <w:p w14:paraId="5440B736" w14:textId="16E2EB4C" w:rsidR="00D36388" w:rsidRPr="00B37F34" w:rsidRDefault="00D36388" w:rsidP="00D36388">
            <w:pPr>
              <w:spacing w:after="0" w:line="240" w:lineRule="auto"/>
              <w:rPr>
                <w:b/>
                <w:sz w:val="24"/>
              </w:rPr>
            </w:pPr>
            <w:r w:rsidRPr="00B37F34">
              <w:rPr>
                <w:b/>
                <w:sz w:val="24"/>
              </w:rPr>
              <w:t>25</w:t>
            </w:r>
            <w:r w:rsidRPr="00B37F34">
              <w:rPr>
                <w:b/>
                <w:sz w:val="24"/>
                <w:vertAlign w:val="superscript"/>
              </w:rPr>
              <w:t>th</w:t>
            </w:r>
            <w:r w:rsidRPr="00B37F34">
              <w:rPr>
                <w:b/>
                <w:sz w:val="24"/>
              </w:rPr>
              <w:t xml:space="preserve"> quartile</w:t>
            </w:r>
          </w:p>
        </w:tc>
        <w:tc>
          <w:tcPr>
            <w:tcW w:w="520" w:type="pct"/>
            <w:shd w:val="clear" w:color="auto" w:fill="auto"/>
            <w:noWrap/>
            <w:vAlign w:val="bottom"/>
            <w:hideMark/>
          </w:tcPr>
          <w:p w14:paraId="51C16B2F" w14:textId="77777777" w:rsidR="00D36388" w:rsidRPr="00B37F34" w:rsidRDefault="00D36388" w:rsidP="00D36388">
            <w:pPr>
              <w:spacing w:after="0" w:line="240" w:lineRule="auto"/>
              <w:rPr>
                <w:b/>
                <w:sz w:val="24"/>
              </w:rPr>
            </w:pPr>
            <w:r w:rsidRPr="00B37F34">
              <w:rPr>
                <w:b/>
                <w:sz w:val="24"/>
              </w:rPr>
              <w:t>Median</w:t>
            </w:r>
          </w:p>
        </w:tc>
        <w:tc>
          <w:tcPr>
            <w:tcW w:w="755" w:type="pct"/>
            <w:shd w:val="clear" w:color="auto" w:fill="auto"/>
            <w:noWrap/>
            <w:vAlign w:val="bottom"/>
            <w:hideMark/>
          </w:tcPr>
          <w:p w14:paraId="0439B861" w14:textId="647718DE" w:rsidR="00D36388" w:rsidRPr="00B37F34" w:rsidRDefault="00D36388" w:rsidP="00D36388">
            <w:pPr>
              <w:spacing w:after="0" w:line="240" w:lineRule="auto"/>
              <w:rPr>
                <w:b/>
                <w:sz w:val="24"/>
              </w:rPr>
            </w:pPr>
            <w:r w:rsidRPr="00B37F34">
              <w:rPr>
                <w:b/>
                <w:sz w:val="24"/>
              </w:rPr>
              <w:t>75</w:t>
            </w:r>
            <w:r w:rsidRPr="00B37F34">
              <w:rPr>
                <w:b/>
                <w:sz w:val="24"/>
                <w:vertAlign w:val="superscript"/>
              </w:rPr>
              <w:t>th</w:t>
            </w:r>
            <w:r w:rsidRPr="00B37F34">
              <w:rPr>
                <w:b/>
                <w:sz w:val="24"/>
              </w:rPr>
              <w:t xml:space="preserve"> quartile</w:t>
            </w:r>
          </w:p>
        </w:tc>
        <w:tc>
          <w:tcPr>
            <w:tcW w:w="357" w:type="pct"/>
            <w:shd w:val="clear" w:color="auto" w:fill="auto"/>
            <w:noWrap/>
            <w:vAlign w:val="bottom"/>
            <w:hideMark/>
          </w:tcPr>
          <w:p w14:paraId="35630D99" w14:textId="77777777" w:rsidR="00D36388" w:rsidRPr="00B37F34" w:rsidRDefault="00D36388" w:rsidP="00D36388">
            <w:pPr>
              <w:spacing w:after="0" w:line="240" w:lineRule="auto"/>
              <w:rPr>
                <w:b/>
                <w:sz w:val="24"/>
              </w:rPr>
            </w:pPr>
            <w:r w:rsidRPr="00B37F34">
              <w:rPr>
                <w:b/>
                <w:sz w:val="24"/>
              </w:rPr>
              <w:t>Max</w:t>
            </w:r>
          </w:p>
        </w:tc>
      </w:tr>
      <w:tr w:rsidR="00D36388" w:rsidRPr="00D36388" w14:paraId="617F1AF8" w14:textId="77777777" w:rsidTr="00B37F34">
        <w:trPr>
          <w:trHeight w:val="255"/>
        </w:trPr>
        <w:tc>
          <w:tcPr>
            <w:tcW w:w="2237" w:type="pct"/>
            <w:shd w:val="clear" w:color="auto" w:fill="auto"/>
            <w:noWrap/>
            <w:vAlign w:val="bottom"/>
            <w:hideMark/>
          </w:tcPr>
          <w:p w14:paraId="02529FF3" w14:textId="351893FE" w:rsidR="00D36388" w:rsidRPr="00B37F34" w:rsidRDefault="00D36388" w:rsidP="008A7D61">
            <w:pPr>
              <w:spacing w:after="0" w:line="240" w:lineRule="auto"/>
              <w:jc w:val="both"/>
              <w:rPr>
                <w:sz w:val="24"/>
              </w:rPr>
            </w:pPr>
            <w:r w:rsidRPr="00B37F34">
              <w:rPr>
                <w:sz w:val="24"/>
              </w:rPr>
              <w:t>Autoinflammatory disorders</w:t>
            </w:r>
          </w:p>
        </w:tc>
        <w:tc>
          <w:tcPr>
            <w:tcW w:w="377" w:type="pct"/>
            <w:shd w:val="clear" w:color="auto" w:fill="auto"/>
            <w:noWrap/>
            <w:vAlign w:val="bottom"/>
            <w:hideMark/>
          </w:tcPr>
          <w:p w14:paraId="36CED7EA" w14:textId="77777777" w:rsidR="00D36388" w:rsidRPr="00B37F34" w:rsidRDefault="00D36388" w:rsidP="00D36388">
            <w:pPr>
              <w:spacing w:after="0" w:line="240" w:lineRule="auto"/>
              <w:jc w:val="right"/>
              <w:rPr>
                <w:sz w:val="24"/>
              </w:rPr>
            </w:pPr>
            <w:r w:rsidRPr="00B37F34">
              <w:rPr>
                <w:sz w:val="24"/>
              </w:rPr>
              <w:t>0</w:t>
            </w:r>
          </w:p>
        </w:tc>
        <w:tc>
          <w:tcPr>
            <w:tcW w:w="755" w:type="pct"/>
            <w:shd w:val="clear" w:color="auto" w:fill="auto"/>
            <w:noWrap/>
            <w:vAlign w:val="bottom"/>
            <w:hideMark/>
          </w:tcPr>
          <w:p w14:paraId="383DED0C" w14:textId="77777777" w:rsidR="00D36388" w:rsidRPr="00B37F34" w:rsidRDefault="00D36388" w:rsidP="00D36388">
            <w:pPr>
              <w:spacing w:after="0" w:line="240" w:lineRule="auto"/>
              <w:jc w:val="right"/>
              <w:rPr>
                <w:sz w:val="24"/>
              </w:rPr>
            </w:pPr>
            <w:r w:rsidRPr="00B37F34">
              <w:rPr>
                <w:sz w:val="24"/>
              </w:rPr>
              <w:t>2.5</w:t>
            </w:r>
          </w:p>
        </w:tc>
        <w:tc>
          <w:tcPr>
            <w:tcW w:w="520" w:type="pct"/>
            <w:shd w:val="clear" w:color="auto" w:fill="auto"/>
            <w:noWrap/>
            <w:vAlign w:val="bottom"/>
            <w:hideMark/>
          </w:tcPr>
          <w:p w14:paraId="3ABBC950" w14:textId="77777777" w:rsidR="00D36388" w:rsidRPr="00B37F34" w:rsidRDefault="00D36388" w:rsidP="00D36388">
            <w:pPr>
              <w:spacing w:after="0" w:line="240" w:lineRule="auto"/>
              <w:jc w:val="right"/>
              <w:rPr>
                <w:sz w:val="24"/>
              </w:rPr>
            </w:pPr>
            <w:r w:rsidRPr="00B37F34">
              <w:rPr>
                <w:sz w:val="24"/>
              </w:rPr>
              <w:t>6</w:t>
            </w:r>
          </w:p>
        </w:tc>
        <w:tc>
          <w:tcPr>
            <w:tcW w:w="755" w:type="pct"/>
            <w:shd w:val="clear" w:color="auto" w:fill="auto"/>
            <w:noWrap/>
            <w:vAlign w:val="bottom"/>
            <w:hideMark/>
          </w:tcPr>
          <w:p w14:paraId="5126E7BD" w14:textId="77777777" w:rsidR="00D36388" w:rsidRPr="00B37F34" w:rsidRDefault="00D36388" w:rsidP="00D36388">
            <w:pPr>
              <w:spacing w:after="0" w:line="240" w:lineRule="auto"/>
              <w:jc w:val="right"/>
              <w:rPr>
                <w:sz w:val="24"/>
              </w:rPr>
            </w:pPr>
            <w:r w:rsidRPr="00B37F34">
              <w:rPr>
                <w:sz w:val="24"/>
              </w:rPr>
              <w:t>10.5</w:t>
            </w:r>
          </w:p>
        </w:tc>
        <w:tc>
          <w:tcPr>
            <w:tcW w:w="357" w:type="pct"/>
            <w:shd w:val="clear" w:color="auto" w:fill="auto"/>
            <w:noWrap/>
            <w:vAlign w:val="bottom"/>
            <w:hideMark/>
          </w:tcPr>
          <w:p w14:paraId="5C952A28" w14:textId="77777777" w:rsidR="00D36388" w:rsidRPr="00B37F34" w:rsidRDefault="00D36388" w:rsidP="00D36388">
            <w:pPr>
              <w:spacing w:after="0" w:line="240" w:lineRule="auto"/>
              <w:jc w:val="right"/>
              <w:rPr>
                <w:sz w:val="24"/>
              </w:rPr>
            </w:pPr>
            <w:r w:rsidRPr="00B37F34">
              <w:rPr>
                <w:sz w:val="24"/>
              </w:rPr>
              <w:t>33</w:t>
            </w:r>
          </w:p>
        </w:tc>
      </w:tr>
      <w:tr w:rsidR="00D36388" w:rsidRPr="00D36388" w14:paraId="5183CF53" w14:textId="77777777" w:rsidTr="00B37F34">
        <w:trPr>
          <w:trHeight w:val="255"/>
        </w:trPr>
        <w:tc>
          <w:tcPr>
            <w:tcW w:w="2237" w:type="pct"/>
            <w:shd w:val="clear" w:color="auto" w:fill="auto"/>
            <w:noWrap/>
            <w:vAlign w:val="bottom"/>
            <w:hideMark/>
          </w:tcPr>
          <w:p w14:paraId="643A7F26" w14:textId="6637199A" w:rsidR="00D36388" w:rsidRPr="00B37F34" w:rsidRDefault="00D36388" w:rsidP="008A7D61">
            <w:pPr>
              <w:spacing w:after="0" w:line="240" w:lineRule="auto"/>
              <w:jc w:val="both"/>
              <w:rPr>
                <w:sz w:val="24"/>
              </w:rPr>
            </w:pPr>
            <w:r w:rsidRPr="00B37F34">
              <w:rPr>
                <w:sz w:val="24"/>
              </w:rPr>
              <w:t>Combined immunodeficiencies</w:t>
            </w:r>
          </w:p>
        </w:tc>
        <w:tc>
          <w:tcPr>
            <w:tcW w:w="377" w:type="pct"/>
            <w:shd w:val="clear" w:color="auto" w:fill="auto"/>
            <w:noWrap/>
            <w:vAlign w:val="bottom"/>
            <w:hideMark/>
          </w:tcPr>
          <w:p w14:paraId="332CB397" w14:textId="77777777" w:rsidR="00D36388" w:rsidRPr="00B37F34" w:rsidRDefault="00D36388" w:rsidP="00D36388">
            <w:pPr>
              <w:spacing w:after="0" w:line="240" w:lineRule="auto"/>
              <w:jc w:val="right"/>
              <w:rPr>
                <w:sz w:val="24"/>
              </w:rPr>
            </w:pPr>
            <w:r w:rsidRPr="00B37F34">
              <w:rPr>
                <w:sz w:val="24"/>
              </w:rPr>
              <w:t>0</w:t>
            </w:r>
          </w:p>
        </w:tc>
        <w:tc>
          <w:tcPr>
            <w:tcW w:w="755" w:type="pct"/>
            <w:shd w:val="clear" w:color="auto" w:fill="auto"/>
            <w:noWrap/>
            <w:vAlign w:val="bottom"/>
            <w:hideMark/>
          </w:tcPr>
          <w:p w14:paraId="54F27914" w14:textId="77777777" w:rsidR="00D36388" w:rsidRPr="00B37F34" w:rsidRDefault="00D36388" w:rsidP="00D36388">
            <w:pPr>
              <w:spacing w:after="0" w:line="240" w:lineRule="auto"/>
              <w:jc w:val="right"/>
              <w:rPr>
                <w:sz w:val="24"/>
              </w:rPr>
            </w:pPr>
            <w:r w:rsidRPr="00B37F34">
              <w:rPr>
                <w:sz w:val="24"/>
              </w:rPr>
              <w:t>0</w:t>
            </w:r>
          </w:p>
        </w:tc>
        <w:tc>
          <w:tcPr>
            <w:tcW w:w="520" w:type="pct"/>
            <w:shd w:val="clear" w:color="auto" w:fill="auto"/>
            <w:noWrap/>
            <w:vAlign w:val="bottom"/>
            <w:hideMark/>
          </w:tcPr>
          <w:p w14:paraId="751BCA35" w14:textId="77777777" w:rsidR="00D36388" w:rsidRPr="00B37F34" w:rsidRDefault="00D36388" w:rsidP="00D36388">
            <w:pPr>
              <w:spacing w:after="0" w:line="240" w:lineRule="auto"/>
              <w:jc w:val="right"/>
              <w:rPr>
                <w:sz w:val="24"/>
              </w:rPr>
            </w:pPr>
            <w:r w:rsidRPr="00B37F34">
              <w:rPr>
                <w:sz w:val="24"/>
              </w:rPr>
              <w:t>0</w:t>
            </w:r>
          </w:p>
        </w:tc>
        <w:tc>
          <w:tcPr>
            <w:tcW w:w="755" w:type="pct"/>
            <w:shd w:val="clear" w:color="auto" w:fill="auto"/>
            <w:noWrap/>
            <w:vAlign w:val="bottom"/>
            <w:hideMark/>
          </w:tcPr>
          <w:p w14:paraId="46293A35" w14:textId="22772E20" w:rsidR="00D36388" w:rsidRPr="00B37F34" w:rsidRDefault="007F7861" w:rsidP="00D36388">
            <w:pPr>
              <w:spacing w:after="0" w:line="240" w:lineRule="auto"/>
              <w:jc w:val="right"/>
              <w:rPr>
                <w:sz w:val="24"/>
              </w:rPr>
            </w:pPr>
            <w:r w:rsidRPr="00B37F34">
              <w:rPr>
                <w:sz w:val="24"/>
              </w:rPr>
              <w:t>1</w:t>
            </w:r>
          </w:p>
        </w:tc>
        <w:tc>
          <w:tcPr>
            <w:tcW w:w="357" w:type="pct"/>
            <w:shd w:val="clear" w:color="auto" w:fill="auto"/>
            <w:noWrap/>
            <w:vAlign w:val="bottom"/>
            <w:hideMark/>
          </w:tcPr>
          <w:p w14:paraId="36AACCE9" w14:textId="77777777" w:rsidR="00D36388" w:rsidRPr="00B37F34" w:rsidRDefault="00D36388" w:rsidP="00D36388">
            <w:pPr>
              <w:spacing w:after="0" w:line="240" w:lineRule="auto"/>
              <w:jc w:val="right"/>
              <w:rPr>
                <w:sz w:val="24"/>
              </w:rPr>
            </w:pPr>
            <w:r w:rsidRPr="00B37F34">
              <w:rPr>
                <w:sz w:val="24"/>
              </w:rPr>
              <w:t>47</w:t>
            </w:r>
          </w:p>
        </w:tc>
      </w:tr>
      <w:tr w:rsidR="00D36388" w:rsidRPr="00D36388" w14:paraId="344E7C77" w14:textId="77777777" w:rsidTr="00B37F34">
        <w:trPr>
          <w:trHeight w:val="255"/>
        </w:trPr>
        <w:tc>
          <w:tcPr>
            <w:tcW w:w="2237" w:type="pct"/>
            <w:shd w:val="clear" w:color="auto" w:fill="auto"/>
            <w:noWrap/>
            <w:vAlign w:val="bottom"/>
            <w:hideMark/>
          </w:tcPr>
          <w:p w14:paraId="48B58456" w14:textId="3ED66A41" w:rsidR="00D36388" w:rsidRPr="00B37F34" w:rsidRDefault="00D36388" w:rsidP="008A7D61">
            <w:pPr>
              <w:spacing w:after="0" w:line="240" w:lineRule="auto"/>
              <w:jc w:val="both"/>
              <w:rPr>
                <w:sz w:val="24"/>
              </w:rPr>
            </w:pPr>
            <w:r w:rsidRPr="00B37F34">
              <w:rPr>
                <w:sz w:val="24"/>
              </w:rPr>
              <w:t>Complement deficiencies</w:t>
            </w:r>
          </w:p>
        </w:tc>
        <w:tc>
          <w:tcPr>
            <w:tcW w:w="377" w:type="pct"/>
            <w:shd w:val="clear" w:color="auto" w:fill="auto"/>
            <w:noWrap/>
            <w:vAlign w:val="bottom"/>
            <w:hideMark/>
          </w:tcPr>
          <w:p w14:paraId="76A2A145" w14:textId="77777777" w:rsidR="00D36388" w:rsidRPr="00B37F34" w:rsidRDefault="00D36388" w:rsidP="00D36388">
            <w:pPr>
              <w:spacing w:after="0" w:line="240" w:lineRule="auto"/>
              <w:jc w:val="right"/>
              <w:rPr>
                <w:sz w:val="24"/>
              </w:rPr>
            </w:pPr>
            <w:r w:rsidRPr="00B37F34">
              <w:rPr>
                <w:sz w:val="24"/>
              </w:rPr>
              <w:t>0</w:t>
            </w:r>
          </w:p>
        </w:tc>
        <w:tc>
          <w:tcPr>
            <w:tcW w:w="755" w:type="pct"/>
            <w:shd w:val="clear" w:color="auto" w:fill="auto"/>
            <w:noWrap/>
            <w:vAlign w:val="bottom"/>
            <w:hideMark/>
          </w:tcPr>
          <w:p w14:paraId="5811BF96" w14:textId="77777777" w:rsidR="00D36388" w:rsidRPr="00B37F34" w:rsidRDefault="00D36388" w:rsidP="00D36388">
            <w:pPr>
              <w:spacing w:after="0" w:line="240" w:lineRule="auto"/>
              <w:jc w:val="right"/>
              <w:rPr>
                <w:sz w:val="24"/>
              </w:rPr>
            </w:pPr>
            <w:r w:rsidRPr="00B37F34">
              <w:rPr>
                <w:sz w:val="24"/>
              </w:rPr>
              <w:t>0</w:t>
            </w:r>
          </w:p>
        </w:tc>
        <w:tc>
          <w:tcPr>
            <w:tcW w:w="520" w:type="pct"/>
            <w:shd w:val="clear" w:color="auto" w:fill="auto"/>
            <w:noWrap/>
            <w:vAlign w:val="bottom"/>
            <w:hideMark/>
          </w:tcPr>
          <w:p w14:paraId="3BEFD082" w14:textId="77777777" w:rsidR="00D36388" w:rsidRPr="00B37F34" w:rsidRDefault="00D36388" w:rsidP="00D36388">
            <w:pPr>
              <w:spacing w:after="0" w:line="240" w:lineRule="auto"/>
              <w:jc w:val="right"/>
              <w:rPr>
                <w:sz w:val="24"/>
              </w:rPr>
            </w:pPr>
            <w:r w:rsidRPr="00B37F34">
              <w:rPr>
                <w:sz w:val="24"/>
              </w:rPr>
              <w:t>1</w:t>
            </w:r>
          </w:p>
        </w:tc>
        <w:tc>
          <w:tcPr>
            <w:tcW w:w="755" w:type="pct"/>
            <w:shd w:val="clear" w:color="auto" w:fill="auto"/>
            <w:noWrap/>
            <w:vAlign w:val="bottom"/>
            <w:hideMark/>
          </w:tcPr>
          <w:p w14:paraId="7A1EDE18" w14:textId="77777777" w:rsidR="00D36388" w:rsidRPr="00B37F34" w:rsidRDefault="00D36388" w:rsidP="00D36388">
            <w:pPr>
              <w:spacing w:after="0" w:line="240" w:lineRule="auto"/>
              <w:jc w:val="right"/>
              <w:rPr>
                <w:sz w:val="24"/>
              </w:rPr>
            </w:pPr>
            <w:r w:rsidRPr="00B37F34">
              <w:rPr>
                <w:sz w:val="24"/>
              </w:rPr>
              <w:t>8</w:t>
            </w:r>
          </w:p>
        </w:tc>
        <w:tc>
          <w:tcPr>
            <w:tcW w:w="357" w:type="pct"/>
            <w:shd w:val="clear" w:color="auto" w:fill="auto"/>
            <w:noWrap/>
            <w:vAlign w:val="bottom"/>
            <w:hideMark/>
          </w:tcPr>
          <w:p w14:paraId="0D3B3AE1" w14:textId="77777777" w:rsidR="00D36388" w:rsidRPr="00B37F34" w:rsidRDefault="00D36388" w:rsidP="00D36388">
            <w:pPr>
              <w:spacing w:after="0" w:line="240" w:lineRule="auto"/>
              <w:jc w:val="right"/>
              <w:rPr>
                <w:sz w:val="24"/>
              </w:rPr>
            </w:pPr>
            <w:r w:rsidRPr="00B37F34">
              <w:rPr>
                <w:sz w:val="24"/>
              </w:rPr>
              <w:t>55</w:t>
            </w:r>
          </w:p>
        </w:tc>
      </w:tr>
      <w:tr w:rsidR="00D36388" w:rsidRPr="00D36388" w14:paraId="58E7AAAF" w14:textId="77777777" w:rsidTr="00B37F34">
        <w:trPr>
          <w:trHeight w:val="255"/>
        </w:trPr>
        <w:tc>
          <w:tcPr>
            <w:tcW w:w="2237" w:type="pct"/>
            <w:shd w:val="clear" w:color="auto" w:fill="auto"/>
            <w:noWrap/>
            <w:vAlign w:val="bottom"/>
            <w:hideMark/>
          </w:tcPr>
          <w:p w14:paraId="4209B9F2" w14:textId="1D975FA5" w:rsidR="00D36388" w:rsidRPr="00B37F34" w:rsidRDefault="00D36388" w:rsidP="008A7D61">
            <w:pPr>
              <w:spacing w:after="0" w:line="240" w:lineRule="auto"/>
              <w:jc w:val="both"/>
              <w:rPr>
                <w:sz w:val="24"/>
              </w:rPr>
            </w:pPr>
            <w:r w:rsidRPr="00B37F34">
              <w:rPr>
                <w:sz w:val="24"/>
              </w:rPr>
              <w:t>Defects in innate immunity</w:t>
            </w:r>
          </w:p>
        </w:tc>
        <w:tc>
          <w:tcPr>
            <w:tcW w:w="377" w:type="pct"/>
            <w:shd w:val="clear" w:color="auto" w:fill="auto"/>
            <w:noWrap/>
            <w:vAlign w:val="bottom"/>
            <w:hideMark/>
          </w:tcPr>
          <w:p w14:paraId="0A2F5528" w14:textId="77777777" w:rsidR="00D36388" w:rsidRPr="00B37F34" w:rsidRDefault="00D36388" w:rsidP="00D36388">
            <w:pPr>
              <w:spacing w:after="0" w:line="240" w:lineRule="auto"/>
              <w:jc w:val="right"/>
              <w:rPr>
                <w:sz w:val="24"/>
              </w:rPr>
            </w:pPr>
            <w:r w:rsidRPr="00B37F34">
              <w:rPr>
                <w:sz w:val="24"/>
              </w:rPr>
              <w:t>0</w:t>
            </w:r>
          </w:p>
        </w:tc>
        <w:tc>
          <w:tcPr>
            <w:tcW w:w="755" w:type="pct"/>
            <w:shd w:val="clear" w:color="auto" w:fill="auto"/>
            <w:noWrap/>
            <w:vAlign w:val="bottom"/>
            <w:hideMark/>
          </w:tcPr>
          <w:p w14:paraId="54E283A5" w14:textId="77777777" w:rsidR="00D36388" w:rsidRPr="00B37F34" w:rsidRDefault="00D36388" w:rsidP="00D36388">
            <w:pPr>
              <w:spacing w:after="0" w:line="240" w:lineRule="auto"/>
              <w:jc w:val="right"/>
              <w:rPr>
                <w:sz w:val="24"/>
              </w:rPr>
            </w:pPr>
            <w:r w:rsidRPr="00B37F34">
              <w:rPr>
                <w:sz w:val="24"/>
              </w:rPr>
              <w:t>1</w:t>
            </w:r>
          </w:p>
        </w:tc>
        <w:tc>
          <w:tcPr>
            <w:tcW w:w="520" w:type="pct"/>
            <w:shd w:val="clear" w:color="auto" w:fill="auto"/>
            <w:noWrap/>
            <w:vAlign w:val="bottom"/>
            <w:hideMark/>
          </w:tcPr>
          <w:p w14:paraId="10E13FEA" w14:textId="77777777" w:rsidR="00D36388" w:rsidRPr="00B37F34" w:rsidRDefault="00D36388" w:rsidP="00D36388">
            <w:pPr>
              <w:spacing w:after="0" w:line="240" w:lineRule="auto"/>
              <w:jc w:val="right"/>
              <w:rPr>
                <w:sz w:val="24"/>
              </w:rPr>
            </w:pPr>
            <w:r w:rsidRPr="00B37F34">
              <w:rPr>
                <w:sz w:val="24"/>
              </w:rPr>
              <w:t>2</w:t>
            </w:r>
          </w:p>
        </w:tc>
        <w:tc>
          <w:tcPr>
            <w:tcW w:w="755" w:type="pct"/>
            <w:shd w:val="clear" w:color="auto" w:fill="auto"/>
            <w:noWrap/>
            <w:vAlign w:val="bottom"/>
            <w:hideMark/>
          </w:tcPr>
          <w:p w14:paraId="2C5DA7DC" w14:textId="0C6DBCB2" w:rsidR="00D36388" w:rsidRPr="00B37F34" w:rsidRDefault="007F7861" w:rsidP="00D36388">
            <w:pPr>
              <w:spacing w:after="0" w:line="240" w:lineRule="auto"/>
              <w:jc w:val="right"/>
              <w:rPr>
                <w:sz w:val="24"/>
              </w:rPr>
            </w:pPr>
            <w:r w:rsidRPr="00B37F34">
              <w:rPr>
                <w:sz w:val="24"/>
              </w:rPr>
              <w:t>6</w:t>
            </w:r>
          </w:p>
        </w:tc>
        <w:tc>
          <w:tcPr>
            <w:tcW w:w="357" w:type="pct"/>
            <w:shd w:val="clear" w:color="auto" w:fill="auto"/>
            <w:noWrap/>
            <w:vAlign w:val="bottom"/>
            <w:hideMark/>
          </w:tcPr>
          <w:p w14:paraId="1FFD7113" w14:textId="77777777" w:rsidR="00D36388" w:rsidRPr="00B37F34" w:rsidRDefault="00D36388" w:rsidP="00D36388">
            <w:pPr>
              <w:spacing w:after="0" w:line="240" w:lineRule="auto"/>
              <w:jc w:val="right"/>
              <w:rPr>
                <w:sz w:val="24"/>
              </w:rPr>
            </w:pPr>
            <w:r w:rsidRPr="00B37F34">
              <w:rPr>
                <w:sz w:val="24"/>
              </w:rPr>
              <w:t>61</w:t>
            </w:r>
          </w:p>
        </w:tc>
      </w:tr>
      <w:tr w:rsidR="00D36388" w:rsidRPr="00D36388" w14:paraId="037C74D9" w14:textId="77777777" w:rsidTr="00B37F34">
        <w:trPr>
          <w:trHeight w:val="255"/>
        </w:trPr>
        <w:tc>
          <w:tcPr>
            <w:tcW w:w="2237" w:type="pct"/>
            <w:shd w:val="clear" w:color="auto" w:fill="auto"/>
            <w:noWrap/>
            <w:vAlign w:val="bottom"/>
            <w:hideMark/>
          </w:tcPr>
          <w:p w14:paraId="4A8BF209" w14:textId="77777777" w:rsidR="00D36388" w:rsidRPr="00B37F34" w:rsidRDefault="00D36388" w:rsidP="008A7D61">
            <w:pPr>
              <w:spacing w:after="0" w:line="240" w:lineRule="auto"/>
              <w:jc w:val="both"/>
              <w:rPr>
                <w:sz w:val="24"/>
              </w:rPr>
            </w:pPr>
            <w:r w:rsidRPr="00B37F34">
              <w:rPr>
                <w:sz w:val="24"/>
              </w:rPr>
              <w:t>Diseases of immune dysregulation</w:t>
            </w:r>
          </w:p>
        </w:tc>
        <w:tc>
          <w:tcPr>
            <w:tcW w:w="377" w:type="pct"/>
            <w:shd w:val="clear" w:color="auto" w:fill="auto"/>
            <w:noWrap/>
            <w:vAlign w:val="bottom"/>
            <w:hideMark/>
          </w:tcPr>
          <w:p w14:paraId="75D123C6" w14:textId="77777777" w:rsidR="00D36388" w:rsidRPr="00B37F34" w:rsidRDefault="00D36388" w:rsidP="00D36388">
            <w:pPr>
              <w:spacing w:after="0" w:line="240" w:lineRule="auto"/>
              <w:jc w:val="right"/>
              <w:rPr>
                <w:sz w:val="24"/>
              </w:rPr>
            </w:pPr>
            <w:r w:rsidRPr="00B37F34">
              <w:rPr>
                <w:sz w:val="24"/>
              </w:rPr>
              <w:t>0</w:t>
            </w:r>
          </w:p>
        </w:tc>
        <w:tc>
          <w:tcPr>
            <w:tcW w:w="755" w:type="pct"/>
            <w:shd w:val="clear" w:color="auto" w:fill="auto"/>
            <w:noWrap/>
            <w:vAlign w:val="bottom"/>
            <w:hideMark/>
          </w:tcPr>
          <w:p w14:paraId="73566155" w14:textId="77777777" w:rsidR="00D36388" w:rsidRPr="00B37F34" w:rsidRDefault="00D36388" w:rsidP="00D36388">
            <w:pPr>
              <w:spacing w:after="0" w:line="240" w:lineRule="auto"/>
              <w:jc w:val="right"/>
              <w:rPr>
                <w:sz w:val="24"/>
              </w:rPr>
            </w:pPr>
            <w:r w:rsidRPr="00B37F34">
              <w:rPr>
                <w:sz w:val="24"/>
              </w:rPr>
              <w:t>0</w:t>
            </w:r>
          </w:p>
        </w:tc>
        <w:tc>
          <w:tcPr>
            <w:tcW w:w="520" w:type="pct"/>
            <w:shd w:val="clear" w:color="auto" w:fill="auto"/>
            <w:noWrap/>
            <w:vAlign w:val="bottom"/>
            <w:hideMark/>
          </w:tcPr>
          <w:p w14:paraId="53E0E434" w14:textId="77777777" w:rsidR="00D36388" w:rsidRPr="00B37F34" w:rsidRDefault="00D36388" w:rsidP="00D36388">
            <w:pPr>
              <w:spacing w:after="0" w:line="240" w:lineRule="auto"/>
              <w:jc w:val="right"/>
              <w:rPr>
                <w:sz w:val="24"/>
              </w:rPr>
            </w:pPr>
            <w:r w:rsidRPr="00B37F34">
              <w:rPr>
                <w:sz w:val="24"/>
              </w:rPr>
              <w:t>1</w:t>
            </w:r>
          </w:p>
        </w:tc>
        <w:tc>
          <w:tcPr>
            <w:tcW w:w="755" w:type="pct"/>
            <w:shd w:val="clear" w:color="auto" w:fill="auto"/>
            <w:noWrap/>
            <w:vAlign w:val="bottom"/>
            <w:hideMark/>
          </w:tcPr>
          <w:p w14:paraId="759F6F23" w14:textId="33CB7CE5" w:rsidR="00D36388" w:rsidRPr="00B37F34" w:rsidRDefault="007F7861" w:rsidP="00D36388">
            <w:pPr>
              <w:spacing w:after="0" w:line="240" w:lineRule="auto"/>
              <w:jc w:val="right"/>
              <w:rPr>
                <w:sz w:val="24"/>
              </w:rPr>
            </w:pPr>
            <w:r w:rsidRPr="00B37F34">
              <w:rPr>
                <w:sz w:val="24"/>
              </w:rPr>
              <w:t>4</w:t>
            </w:r>
          </w:p>
        </w:tc>
        <w:tc>
          <w:tcPr>
            <w:tcW w:w="357" w:type="pct"/>
            <w:shd w:val="clear" w:color="auto" w:fill="auto"/>
            <w:noWrap/>
            <w:vAlign w:val="bottom"/>
            <w:hideMark/>
          </w:tcPr>
          <w:p w14:paraId="0077802A" w14:textId="77777777" w:rsidR="00D36388" w:rsidRPr="00B37F34" w:rsidRDefault="00D36388" w:rsidP="00D36388">
            <w:pPr>
              <w:spacing w:after="0" w:line="240" w:lineRule="auto"/>
              <w:jc w:val="right"/>
              <w:rPr>
                <w:sz w:val="24"/>
              </w:rPr>
            </w:pPr>
            <w:r w:rsidRPr="00B37F34">
              <w:rPr>
                <w:sz w:val="24"/>
              </w:rPr>
              <w:t>43</w:t>
            </w:r>
          </w:p>
        </w:tc>
      </w:tr>
      <w:tr w:rsidR="00D36388" w:rsidRPr="00D36388" w14:paraId="5B0A6A3D" w14:textId="77777777" w:rsidTr="00B37F34">
        <w:trPr>
          <w:trHeight w:val="255"/>
        </w:trPr>
        <w:tc>
          <w:tcPr>
            <w:tcW w:w="2237" w:type="pct"/>
            <w:shd w:val="clear" w:color="auto" w:fill="auto"/>
            <w:noWrap/>
            <w:vAlign w:val="bottom"/>
            <w:hideMark/>
          </w:tcPr>
          <w:p w14:paraId="589B550A" w14:textId="67D7D3BE" w:rsidR="00D36388" w:rsidRPr="00B37F34" w:rsidRDefault="00D36388" w:rsidP="008A7D61">
            <w:pPr>
              <w:spacing w:after="0" w:line="240" w:lineRule="auto"/>
              <w:jc w:val="both"/>
              <w:rPr>
                <w:sz w:val="24"/>
              </w:rPr>
            </w:pPr>
            <w:r w:rsidRPr="00B37F34">
              <w:rPr>
                <w:sz w:val="24"/>
              </w:rPr>
              <w:t>Other well defined PIDs</w:t>
            </w:r>
          </w:p>
        </w:tc>
        <w:tc>
          <w:tcPr>
            <w:tcW w:w="377" w:type="pct"/>
            <w:shd w:val="clear" w:color="auto" w:fill="auto"/>
            <w:noWrap/>
            <w:vAlign w:val="bottom"/>
            <w:hideMark/>
          </w:tcPr>
          <w:p w14:paraId="5A1A4C69" w14:textId="77777777" w:rsidR="00D36388" w:rsidRPr="00B37F34" w:rsidRDefault="00D36388" w:rsidP="00D36388">
            <w:pPr>
              <w:spacing w:after="0" w:line="240" w:lineRule="auto"/>
              <w:jc w:val="right"/>
              <w:rPr>
                <w:sz w:val="24"/>
              </w:rPr>
            </w:pPr>
            <w:r w:rsidRPr="00B37F34">
              <w:rPr>
                <w:sz w:val="24"/>
              </w:rPr>
              <w:t>0</w:t>
            </w:r>
          </w:p>
        </w:tc>
        <w:tc>
          <w:tcPr>
            <w:tcW w:w="755" w:type="pct"/>
            <w:shd w:val="clear" w:color="auto" w:fill="auto"/>
            <w:noWrap/>
            <w:vAlign w:val="bottom"/>
            <w:hideMark/>
          </w:tcPr>
          <w:p w14:paraId="3DF248B0" w14:textId="77777777" w:rsidR="00D36388" w:rsidRPr="00B37F34" w:rsidRDefault="00D36388" w:rsidP="00D36388">
            <w:pPr>
              <w:spacing w:after="0" w:line="240" w:lineRule="auto"/>
              <w:jc w:val="right"/>
              <w:rPr>
                <w:sz w:val="24"/>
              </w:rPr>
            </w:pPr>
            <w:r w:rsidRPr="00B37F34">
              <w:rPr>
                <w:sz w:val="24"/>
              </w:rPr>
              <w:t>0</w:t>
            </w:r>
          </w:p>
        </w:tc>
        <w:tc>
          <w:tcPr>
            <w:tcW w:w="520" w:type="pct"/>
            <w:shd w:val="clear" w:color="auto" w:fill="auto"/>
            <w:noWrap/>
            <w:vAlign w:val="bottom"/>
            <w:hideMark/>
          </w:tcPr>
          <w:p w14:paraId="12DB5B09" w14:textId="77777777" w:rsidR="00D36388" w:rsidRPr="00B37F34" w:rsidRDefault="00D36388" w:rsidP="00D36388">
            <w:pPr>
              <w:spacing w:after="0" w:line="240" w:lineRule="auto"/>
              <w:jc w:val="right"/>
              <w:rPr>
                <w:sz w:val="24"/>
              </w:rPr>
            </w:pPr>
            <w:r w:rsidRPr="00B37F34">
              <w:rPr>
                <w:sz w:val="24"/>
              </w:rPr>
              <w:t>1</w:t>
            </w:r>
          </w:p>
        </w:tc>
        <w:tc>
          <w:tcPr>
            <w:tcW w:w="755" w:type="pct"/>
            <w:shd w:val="clear" w:color="auto" w:fill="auto"/>
            <w:noWrap/>
            <w:vAlign w:val="bottom"/>
            <w:hideMark/>
          </w:tcPr>
          <w:p w14:paraId="04402C9C" w14:textId="07525E8C" w:rsidR="00D36388" w:rsidRPr="00B37F34" w:rsidRDefault="007F7861" w:rsidP="00D36388">
            <w:pPr>
              <w:spacing w:after="0" w:line="240" w:lineRule="auto"/>
              <w:jc w:val="right"/>
              <w:rPr>
                <w:sz w:val="24"/>
              </w:rPr>
            </w:pPr>
            <w:r w:rsidRPr="00B37F34">
              <w:rPr>
                <w:sz w:val="24"/>
              </w:rPr>
              <w:t>3.5</w:t>
            </w:r>
          </w:p>
        </w:tc>
        <w:tc>
          <w:tcPr>
            <w:tcW w:w="357" w:type="pct"/>
            <w:shd w:val="clear" w:color="auto" w:fill="auto"/>
            <w:noWrap/>
            <w:vAlign w:val="bottom"/>
            <w:hideMark/>
          </w:tcPr>
          <w:p w14:paraId="2CFC02F6" w14:textId="77777777" w:rsidR="00D36388" w:rsidRPr="00B37F34" w:rsidRDefault="00D36388" w:rsidP="00D36388">
            <w:pPr>
              <w:spacing w:after="0" w:line="240" w:lineRule="auto"/>
              <w:jc w:val="right"/>
              <w:rPr>
                <w:sz w:val="24"/>
              </w:rPr>
            </w:pPr>
            <w:r w:rsidRPr="00B37F34">
              <w:rPr>
                <w:sz w:val="24"/>
              </w:rPr>
              <w:t>66</w:t>
            </w:r>
          </w:p>
        </w:tc>
      </w:tr>
      <w:tr w:rsidR="00D36388" w:rsidRPr="00D36388" w14:paraId="60DB0FEC" w14:textId="77777777" w:rsidTr="00B37F34">
        <w:trPr>
          <w:trHeight w:val="255"/>
        </w:trPr>
        <w:tc>
          <w:tcPr>
            <w:tcW w:w="2237" w:type="pct"/>
            <w:shd w:val="clear" w:color="auto" w:fill="auto"/>
            <w:noWrap/>
            <w:vAlign w:val="bottom"/>
            <w:hideMark/>
          </w:tcPr>
          <w:p w14:paraId="399A7BF4" w14:textId="0E09E3A8" w:rsidR="00D36388" w:rsidRPr="00B37F34" w:rsidRDefault="00D36388" w:rsidP="008A7D61">
            <w:pPr>
              <w:spacing w:after="0" w:line="240" w:lineRule="auto"/>
              <w:jc w:val="both"/>
              <w:rPr>
                <w:sz w:val="24"/>
              </w:rPr>
            </w:pPr>
            <w:r w:rsidRPr="00B37F34">
              <w:rPr>
                <w:sz w:val="24"/>
              </w:rPr>
              <w:t>Phagocytic disorders</w:t>
            </w:r>
          </w:p>
        </w:tc>
        <w:tc>
          <w:tcPr>
            <w:tcW w:w="377" w:type="pct"/>
            <w:shd w:val="clear" w:color="auto" w:fill="auto"/>
            <w:noWrap/>
            <w:vAlign w:val="bottom"/>
            <w:hideMark/>
          </w:tcPr>
          <w:p w14:paraId="769218A7" w14:textId="77777777" w:rsidR="00D36388" w:rsidRPr="00B37F34" w:rsidRDefault="00D36388" w:rsidP="00D36388">
            <w:pPr>
              <w:spacing w:after="0" w:line="240" w:lineRule="auto"/>
              <w:jc w:val="right"/>
              <w:rPr>
                <w:sz w:val="24"/>
              </w:rPr>
            </w:pPr>
            <w:r w:rsidRPr="00B37F34">
              <w:rPr>
                <w:sz w:val="24"/>
              </w:rPr>
              <w:t>0</w:t>
            </w:r>
          </w:p>
        </w:tc>
        <w:tc>
          <w:tcPr>
            <w:tcW w:w="755" w:type="pct"/>
            <w:shd w:val="clear" w:color="auto" w:fill="auto"/>
            <w:noWrap/>
            <w:vAlign w:val="bottom"/>
            <w:hideMark/>
          </w:tcPr>
          <w:p w14:paraId="5DC8B6C7" w14:textId="77777777" w:rsidR="00D36388" w:rsidRPr="00B37F34" w:rsidRDefault="00D36388" w:rsidP="00D36388">
            <w:pPr>
              <w:spacing w:after="0" w:line="240" w:lineRule="auto"/>
              <w:jc w:val="right"/>
              <w:rPr>
                <w:sz w:val="24"/>
              </w:rPr>
            </w:pPr>
            <w:r w:rsidRPr="00B37F34">
              <w:rPr>
                <w:sz w:val="24"/>
              </w:rPr>
              <w:t>0</w:t>
            </w:r>
          </w:p>
        </w:tc>
        <w:tc>
          <w:tcPr>
            <w:tcW w:w="520" w:type="pct"/>
            <w:shd w:val="clear" w:color="auto" w:fill="auto"/>
            <w:noWrap/>
            <w:vAlign w:val="bottom"/>
            <w:hideMark/>
          </w:tcPr>
          <w:p w14:paraId="7818D0B9" w14:textId="14AD62F7" w:rsidR="00D36388" w:rsidRPr="00B37F34" w:rsidRDefault="007F7861" w:rsidP="00D36388">
            <w:pPr>
              <w:spacing w:after="0" w:line="240" w:lineRule="auto"/>
              <w:jc w:val="right"/>
              <w:rPr>
                <w:sz w:val="24"/>
              </w:rPr>
            </w:pPr>
            <w:r w:rsidRPr="00B37F34">
              <w:rPr>
                <w:sz w:val="24"/>
              </w:rPr>
              <w:t>1</w:t>
            </w:r>
          </w:p>
        </w:tc>
        <w:tc>
          <w:tcPr>
            <w:tcW w:w="755" w:type="pct"/>
            <w:shd w:val="clear" w:color="auto" w:fill="auto"/>
            <w:noWrap/>
            <w:vAlign w:val="bottom"/>
            <w:hideMark/>
          </w:tcPr>
          <w:p w14:paraId="6B0C40A4" w14:textId="77777777" w:rsidR="00D36388" w:rsidRPr="00B37F34" w:rsidRDefault="00D36388" w:rsidP="00D36388">
            <w:pPr>
              <w:spacing w:after="0" w:line="240" w:lineRule="auto"/>
              <w:jc w:val="right"/>
              <w:rPr>
                <w:sz w:val="24"/>
              </w:rPr>
            </w:pPr>
            <w:r w:rsidRPr="00B37F34">
              <w:rPr>
                <w:sz w:val="24"/>
              </w:rPr>
              <w:t>3</w:t>
            </w:r>
          </w:p>
        </w:tc>
        <w:tc>
          <w:tcPr>
            <w:tcW w:w="357" w:type="pct"/>
            <w:shd w:val="clear" w:color="auto" w:fill="auto"/>
            <w:noWrap/>
            <w:vAlign w:val="bottom"/>
            <w:hideMark/>
          </w:tcPr>
          <w:p w14:paraId="5018C219" w14:textId="77777777" w:rsidR="00D36388" w:rsidRPr="00B37F34" w:rsidRDefault="00D36388" w:rsidP="00D36388">
            <w:pPr>
              <w:spacing w:after="0" w:line="240" w:lineRule="auto"/>
              <w:jc w:val="right"/>
              <w:rPr>
                <w:sz w:val="24"/>
              </w:rPr>
            </w:pPr>
            <w:r w:rsidRPr="00B37F34">
              <w:rPr>
                <w:sz w:val="24"/>
              </w:rPr>
              <w:t>37</w:t>
            </w:r>
          </w:p>
        </w:tc>
      </w:tr>
      <w:tr w:rsidR="00D36388" w:rsidRPr="00D36388" w14:paraId="6E4C89D7" w14:textId="77777777" w:rsidTr="00B37F34">
        <w:trPr>
          <w:trHeight w:val="255"/>
        </w:trPr>
        <w:tc>
          <w:tcPr>
            <w:tcW w:w="2237" w:type="pct"/>
            <w:shd w:val="clear" w:color="auto" w:fill="auto"/>
            <w:noWrap/>
            <w:vAlign w:val="bottom"/>
            <w:hideMark/>
          </w:tcPr>
          <w:p w14:paraId="4EFEBE94" w14:textId="77777777" w:rsidR="00D36388" w:rsidRPr="00B37F34" w:rsidRDefault="00D36388" w:rsidP="008A7D61">
            <w:pPr>
              <w:spacing w:after="0" w:line="240" w:lineRule="auto"/>
              <w:jc w:val="both"/>
              <w:rPr>
                <w:sz w:val="24"/>
              </w:rPr>
            </w:pPr>
            <w:r w:rsidRPr="00B37F34">
              <w:rPr>
                <w:sz w:val="24"/>
              </w:rPr>
              <w:t>Predominantly antibody disorders</w:t>
            </w:r>
          </w:p>
        </w:tc>
        <w:tc>
          <w:tcPr>
            <w:tcW w:w="377" w:type="pct"/>
            <w:shd w:val="clear" w:color="auto" w:fill="auto"/>
            <w:noWrap/>
            <w:vAlign w:val="bottom"/>
            <w:hideMark/>
          </w:tcPr>
          <w:p w14:paraId="1DE2188C" w14:textId="77777777" w:rsidR="00D36388" w:rsidRPr="00B37F34" w:rsidRDefault="00D36388" w:rsidP="00D36388">
            <w:pPr>
              <w:spacing w:after="0" w:line="240" w:lineRule="auto"/>
              <w:jc w:val="right"/>
              <w:rPr>
                <w:sz w:val="24"/>
              </w:rPr>
            </w:pPr>
            <w:r w:rsidRPr="00B37F34">
              <w:rPr>
                <w:sz w:val="24"/>
              </w:rPr>
              <w:t>0</w:t>
            </w:r>
          </w:p>
        </w:tc>
        <w:tc>
          <w:tcPr>
            <w:tcW w:w="755" w:type="pct"/>
            <w:shd w:val="clear" w:color="auto" w:fill="auto"/>
            <w:noWrap/>
            <w:vAlign w:val="bottom"/>
            <w:hideMark/>
          </w:tcPr>
          <w:p w14:paraId="05D4721A" w14:textId="77777777" w:rsidR="00D36388" w:rsidRPr="00B37F34" w:rsidRDefault="00D36388" w:rsidP="00D36388">
            <w:pPr>
              <w:spacing w:after="0" w:line="240" w:lineRule="auto"/>
              <w:jc w:val="right"/>
              <w:rPr>
                <w:sz w:val="24"/>
              </w:rPr>
            </w:pPr>
            <w:r w:rsidRPr="00B37F34">
              <w:rPr>
                <w:sz w:val="24"/>
              </w:rPr>
              <w:t>1</w:t>
            </w:r>
          </w:p>
        </w:tc>
        <w:tc>
          <w:tcPr>
            <w:tcW w:w="520" w:type="pct"/>
            <w:shd w:val="clear" w:color="auto" w:fill="auto"/>
            <w:noWrap/>
            <w:vAlign w:val="bottom"/>
            <w:hideMark/>
          </w:tcPr>
          <w:p w14:paraId="422A0E9C" w14:textId="77777777" w:rsidR="00D36388" w:rsidRPr="00B37F34" w:rsidRDefault="00D36388" w:rsidP="00D36388">
            <w:pPr>
              <w:spacing w:after="0" w:line="240" w:lineRule="auto"/>
              <w:jc w:val="right"/>
              <w:rPr>
                <w:sz w:val="24"/>
              </w:rPr>
            </w:pPr>
            <w:r w:rsidRPr="00B37F34">
              <w:rPr>
                <w:sz w:val="24"/>
              </w:rPr>
              <w:t>3</w:t>
            </w:r>
          </w:p>
        </w:tc>
        <w:tc>
          <w:tcPr>
            <w:tcW w:w="755" w:type="pct"/>
            <w:shd w:val="clear" w:color="auto" w:fill="auto"/>
            <w:noWrap/>
            <w:vAlign w:val="bottom"/>
            <w:hideMark/>
          </w:tcPr>
          <w:p w14:paraId="627F553B" w14:textId="77777777" w:rsidR="00D36388" w:rsidRPr="00B37F34" w:rsidRDefault="00D36388" w:rsidP="00D36388">
            <w:pPr>
              <w:spacing w:after="0" w:line="240" w:lineRule="auto"/>
              <w:jc w:val="right"/>
              <w:rPr>
                <w:sz w:val="24"/>
              </w:rPr>
            </w:pPr>
            <w:r w:rsidRPr="00B37F34">
              <w:rPr>
                <w:sz w:val="24"/>
              </w:rPr>
              <w:t>8</w:t>
            </w:r>
          </w:p>
        </w:tc>
        <w:tc>
          <w:tcPr>
            <w:tcW w:w="357" w:type="pct"/>
            <w:shd w:val="clear" w:color="auto" w:fill="auto"/>
            <w:noWrap/>
            <w:vAlign w:val="bottom"/>
            <w:hideMark/>
          </w:tcPr>
          <w:p w14:paraId="49F59B1D" w14:textId="77777777" w:rsidR="00D36388" w:rsidRPr="00B37F34" w:rsidRDefault="00D36388" w:rsidP="00D36388">
            <w:pPr>
              <w:spacing w:after="0" w:line="240" w:lineRule="auto"/>
              <w:jc w:val="right"/>
              <w:rPr>
                <w:sz w:val="24"/>
              </w:rPr>
            </w:pPr>
            <w:r w:rsidRPr="00B37F34">
              <w:rPr>
                <w:sz w:val="24"/>
              </w:rPr>
              <w:t>69</w:t>
            </w:r>
          </w:p>
        </w:tc>
      </w:tr>
      <w:tr w:rsidR="00D36388" w:rsidRPr="00D36388" w14:paraId="030DA1FC" w14:textId="77777777" w:rsidTr="00B37F34">
        <w:trPr>
          <w:trHeight w:val="255"/>
        </w:trPr>
        <w:tc>
          <w:tcPr>
            <w:tcW w:w="2237" w:type="pct"/>
            <w:shd w:val="clear" w:color="auto" w:fill="auto"/>
            <w:noWrap/>
            <w:vAlign w:val="bottom"/>
            <w:hideMark/>
          </w:tcPr>
          <w:p w14:paraId="0950E2F0" w14:textId="2C6F4D2B" w:rsidR="00D36388" w:rsidRPr="00B37F34" w:rsidRDefault="00D36388" w:rsidP="008A7D61">
            <w:pPr>
              <w:spacing w:after="0" w:line="240" w:lineRule="auto"/>
              <w:jc w:val="both"/>
              <w:rPr>
                <w:sz w:val="24"/>
              </w:rPr>
            </w:pPr>
            <w:r w:rsidRPr="00B37F34">
              <w:rPr>
                <w:sz w:val="24"/>
              </w:rPr>
              <w:t>Unclassified Immunodeficiencies</w:t>
            </w:r>
          </w:p>
        </w:tc>
        <w:tc>
          <w:tcPr>
            <w:tcW w:w="377" w:type="pct"/>
            <w:shd w:val="clear" w:color="auto" w:fill="auto"/>
            <w:noWrap/>
            <w:vAlign w:val="bottom"/>
            <w:hideMark/>
          </w:tcPr>
          <w:p w14:paraId="7F1EBEF7" w14:textId="77777777" w:rsidR="00D36388" w:rsidRPr="00B37F34" w:rsidRDefault="00D36388" w:rsidP="00D36388">
            <w:pPr>
              <w:spacing w:after="0" w:line="240" w:lineRule="auto"/>
              <w:jc w:val="right"/>
              <w:rPr>
                <w:sz w:val="24"/>
              </w:rPr>
            </w:pPr>
            <w:r w:rsidRPr="00B37F34">
              <w:rPr>
                <w:sz w:val="24"/>
              </w:rPr>
              <w:t>0</w:t>
            </w:r>
          </w:p>
        </w:tc>
        <w:tc>
          <w:tcPr>
            <w:tcW w:w="755" w:type="pct"/>
            <w:shd w:val="clear" w:color="auto" w:fill="auto"/>
            <w:noWrap/>
            <w:vAlign w:val="bottom"/>
            <w:hideMark/>
          </w:tcPr>
          <w:p w14:paraId="59910942" w14:textId="77777777" w:rsidR="00D36388" w:rsidRPr="00B37F34" w:rsidRDefault="00D36388" w:rsidP="00D36388">
            <w:pPr>
              <w:spacing w:after="0" w:line="240" w:lineRule="auto"/>
              <w:jc w:val="right"/>
              <w:rPr>
                <w:sz w:val="24"/>
              </w:rPr>
            </w:pPr>
            <w:r w:rsidRPr="00B37F34">
              <w:rPr>
                <w:sz w:val="24"/>
              </w:rPr>
              <w:t>0</w:t>
            </w:r>
          </w:p>
        </w:tc>
        <w:tc>
          <w:tcPr>
            <w:tcW w:w="520" w:type="pct"/>
            <w:shd w:val="clear" w:color="auto" w:fill="auto"/>
            <w:noWrap/>
            <w:vAlign w:val="bottom"/>
            <w:hideMark/>
          </w:tcPr>
          <w:p w14:paraId="2C1D08D0" w14:textId="77777777" w:rsidR="00D36388" w:rsidRPr="00B37F34" w:rsidRDefault="00D36388" w:rsidP="00D36388">
            <w:pPr>
              <w:spacing w:after="0" w:line="240" w:lineRule="auto"/>
              <w:jc w:val="right"/>
              <w:rPr>
                <w:sz w:val="24"/>
              </w:rPr>
            </w:pPr>
            <w:r w:rsidRPr="00B37F34">
              <w:rPr>
                <w:sz w:val="24"/>
              </w:rPr>
              <w:t>2</w:t>
            </w:r>
          </w:p>
        </w:tc>
        <w:tc>
          <w:tcPr>
            <w:tcW w:w="755" w:type="pct"/>
            <w:shd w:val="clear" w:color="auto" w:fill="auto"/>
            <w:noWrap/>
            <w:vAlign w:val="bottom"/>
            <w:hideMark/>
          </w:tcPr>
          <w:p w14:paraId="70E7D340" w14:textId="77777777" w:rsidR="00D36388" w:rsidRPr="00B37F34" w:rsidRDefault="00D36388" w:rsidP="00D36388">
            <w:pPr>
              <w:spacing w:after="0" w:line="240" w:lineRule="auto"/>
              <w:jc w:val="right"/>
              <w:rPr>
                <w:sz w:val="24"/>
              </w:rPr>
            </w:pPr>
            <w:r w:rsidRPr="00B37F34">
              <w:rPr>
                <w:sz w:val="24"/>
              </w:rPr>
              <w:t>9</w:t>
            </w:r>
          </w:p>
        </w:tc>
        <w:tc>
          <w:tcPr>
            <w:tcW w:w="357" w:type="pct"/>
            <w:shd w:val="clear" w:color="auto" w:fill="auto"/>
            <w:noWrap/>
            <w:vAlign w:val="bottom"/>
            <w:hideMark/>
          </w:tcPr>
          <w:p w14:paraId="08A0273A" w14:textId="77777777" w:rsidR="00D36388" w:rsidRPr="00B37F34" w:rsidRDefault="00D36388" w:rsidP="00D36388">
            <w:pPr>
              <w:spacing w:after="0" w:line="240" w:lineRule="auto"/>
              <w:jc w:val="right"/>
              <w:rPr>
                <w:sz w:val="24"/>
              </w:rPr>
            </w:pPr>
            <w:r w:rsidRPr="00B37F34">
              <w:rPr>
                <w:sz w:val="24"/>
              </w:rPr>
              <w:t>66</w:t>
            </w:r>
          </w:p>
        </w:tc>
      </w:tr>
    </w:tbl>
    <w:p w14:paraId="2B004184" w14:textId="66D1C298" w:rsidR="00D36388" w:rsidRPr="00E7157B" w:rsidRDefault="00D36388" w:rsidP="00D36388">
      <w:pPr>
        <w:rPr>
          <w:sz w:val="24"/>
        </w:rPr>
      </w:pPr>
    </w:p>
    <w:sectPr w:rsidR="00D36388" w:rsidRPr="00E7157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ABB103" w14:textId="77777777" w:rsidR="00092786" w:rsidRDefault="00092786" w:rsidP="009E19D9">
      <w:pPr>
        <w:spacing w:after="0" w:line="240" w:lineRule="auto"/>
      </w:pPr>
      <w:r>
        <w:separator/>
      </w:r>
    </w:p>
  </w:endnote>
  <w:endnote w:type="continuationSeparator" w:id="0">
    <w:p w14:paraId="0C8291DC" w14:textId="77777777" w:rsidR="00092786" w:rsidRDefault="00092786" w:rsidP="009E19D9">
      <w:pPr>
        <w:spacing w:after="0" w:line="240" w:lineRule="auto"/>
      </w:pPr>
      <w:r>
        <w:continuationSeparator/>
      </w:r>
    </w:p>
  </w:endnote>
  <w:endnote w:type="continuationNotice" w:id="1">
    <w:p w14:paraId="2A13224E" w14:textId="77777777" w:rsidR="00092786" w:rsidRDefault="000927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DejaVu Sans">
    <w:altName w:val="Times New Roman"/>
    <w:charset w:val="00"/>
    <w:family w:val="swiss"/>
    <w:pitch w:val="variable"/>
    <w:sig w:usb0="E7002EFF" w:usb1="D200F5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E9399" w14:textId="77777777" w:rsidR="00175755" w:rsidRDefault="001757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3AFF7A" w14:textId="77777777" w:rsidR="00092786" w:rsidRDefault="00092786" w:rsidP="009E19D9">
      <w:pPr>
        <w:spacing w:after="0" w:line="240" w:lineRule="auto"/>
      </w:pPr>
      <w:r>
        <w:separator/>
      </w:r>
    </w:p>
  </w:footnote>
  <w:footnote w:type="continuationSeparator" w:id="0">
    <w:p w14:paraId="4E9DE72F" w14:textId="77777777" w:rsidR="00092786" w:rsidRDefault="00092786" w:rsidP="009E19D9">
      <w:pPr>
        <w:spacing w:after="0" w:line="240" w:lineRule="auto"/>
      </w:pPr>
      <w:r>
        <w:continuationSeparator/>
      </w:r>
    </w:p>
  </w:footnote>
  <w:footnote w:type="continuationNotice" w:id="1">
    <w:p w14:paraId="0A54465E" w14:textId="77777777" w:rsidR="00092786" w:rsidRDefault="0009278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32031" w14:textId="77777777" w:rsidR="00175755" w:rsidRDefault="001757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83024708"/>
    <w:lvl w:ilvl="0">
      <w:start w:val="1"/>
      <w:numFmt w:val="decimal"/>
      <w:pStyle w:val="Heading9"/>
      <w:lvlText w:val="%1."/>
      <w:lvlJc w:val="left"/>
      <w:pPr>
        <w:tabs>
          <w:tab w:val="num" w:pos="360"/>
        </w:tabs>
        <w:ind w:left="360" w:hanging="360"/>
      </w:pPr>
    </w:lvl>
  </w:abstractNum>
  <w:abstractNum w:abstractNumId="1" w15:restartNumberingAfterBreak="0">
    <w:nsid w:val="FFFFFF89"/>
    <w:multiLevelType w:val="singleLevel"/>
    <w:tmpl w:val="9D625FF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1555059A"/>
    <w:multiLevelType w:val="hybridMultilevel"/>
    <w:tmpl w:val="B1603B52"/>
    <w:lvl w:ilvl="0" w:tplc="C5EC7414">
      <w:start w:val="1"/>
      <w:numFmt w:val="decimal"/>
      <w:lvlText w:val="%1."/>
      <w:lvlJc w:val="left"/>
      <w:pPr>
        <w:ind w:left="1069" w:hanging="360"/>
      </w:pPr>
      <w:rPr>
        <w:rFonts w:cs="Times New Roman" w:hint="default"/>
      </w:rPr>
    </w:lvl>
    <w:lvl w:ilvl="1" w:tplc="08090019" w:tentative="1">
      <w:start w:val="1"/>
      <w:numFmt w:val="lowerLetter"/>
      <w:lvlText w:val="%2."/>
      <w:lvlJc w:val="left"/>
      <w:pPr>
        <w:ind w:left="1789" w:hanging="360"/>
      </w:pPr>
      <w:rPr>
        <w:rFonts w:cs="Times New Roman"/>
      </w:rPr>
    </w:lvl>
    <w:lvl w:ilvl="2" w:tplc="0809001B" w:tentative="1">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3" w15:restartNumberingAfterBreak="0">
    <w:nsid w:val="15A0523A"/>
    <w:multiLevelType w:val="multilevel"/>
    <w:tmpl w:val="3CF842E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D3A14F7"/>
    <w:multiLevelType w:val="multilevel"/>
    <w:tmpl w:val="A4084702"/>
    <w:lvl w:ilvl="0">
      <w:start w:val="1"/>
      <mc:AlternateContent>
        <mc:Choice Requires="w14">
          <w:numFmt w:val="custom" w:format="001, 002, 003, ..."/>
        </mc:Choice>
        <mc:Fallback>
          <w:numFmt w:val="decimal"/>
        </mc:Fallback>
      </mc:AlternateContent>
      <w:lvlText w:val="%1"/>
      <w:lvlJc w:val="center"/>
      <w:pPr>
        <w:ind w:left="360" w:hanging="360"/>
      </w:pPr>
      <w:rPr>
        <w:rFonts w:hint="default"/>
        <w:b/>
        <w:i w: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3E993DF1"/>
    <w:multiLevelType w:val="hybridMultilevel"/>
    <w:tmpl w:val="25103D68"/>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6" w15:restartNumberingAfterBreak="0">
    <w:nsid w:val="57B27DEA"/>
    <w:multiLevelType w:val="multilevel"/>
    <w:tmpl w:val="41664C60"/>
    <w:lvl w:ilvl="0">
      <w:start w:val="1"/>
      <w:numFmt w:val="decimal"/>
      <w:suff w:val="space"/>
      <w:lvlText w:val="Chapter %1"/>
      <w:lvlJc w:val="left"/>
      <w:pPr>
        <w:ind w:left="432" w:hanging="432"/>
      </w:pPr>
      <w:rPr>
        <w:rFonts w:hint="default"/>
      </w:rPr>
    </w:lvl>
    <w:lvl w:ilvl="1">
      <w:start w:val="1"/>
      <w:numFmt w:val="decimal"/>
      <w:suff w:val="space"/>
      <w:lvlText w:val="%1.%2"/>
      <w:lvlJc w:val="left"/>
      <w:pPr>
        <w:ind w:left="3836" w:hanging="576"/>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698605FF"/>
    <w:multiLevelType w:val="multilevel"/>
    <w:tmpl w:val="6BFC3BAA"/>
    <w:lvl w:ilvl="0">
      <w:start w:val="1"/>
      <w:numFmt w:val="decimal"/>
      <w:pStyle w:val="Heading1"/>
      <w:suff w:val="space"/>
      <w:lvlText w:val="Chapter %1"/>
      <w:lvlJc w:val="left"/>
      <w:pPr>
        <w:ind w:left="432" w:hanging="432"/>
      </w:pPr>
      <w:rPr>
        <w:rFonts w:hint="default"/>
      </w:rPr>
    </w:lvl>
    <w:lvl w:ilvl="1">
      <w:start w:val="1"/>
      <w:numFmt w:val="decimal"/>
      <w:pStyle w:val="Heading2"/>
      <w:lvlText w:val="%1.%2"/>
      <w:lvlJc w:val="left"/>
      <w:pPr>
        <w:ind w:left="576" w:hanging="576"/>
      </w:pPr>
      <w:rPr>
        <w:rFonts w:hint="default"/>
        <w:b/>
        <w:i w:val="0"/>
      </w:rPr>
    </w:lvl>
    <w:lvl w:ilvl="2">
      <w:start w:val="1"/>
      <w:numFmt w:val="decimal"/>
      <w:pStyle w:val="Heading3"/>
      <w:lvlText w:val="%1.%2.%3"/>
      <w:lvlJc w:val="left"/>
      <w:pPr>
        <w:ind w:left="720" w:hanging="720"/>
      </w:pPr>
      <w:rPr>
        <w:rFonts w:hint="default"/>
        <w:b/>
        <w:i w:val="0"/>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6F415180"/>
    <w:multiLevelType w:val="hybridMultilevel"/>
    <w:tmpl w:val="E32A55B0"/>
    <w:lvl w:ilvl="0" w:tplc="08090001">
      <w:start w:val="1"/>
      <w:numFmt w:val="bullet"/>
      <w:lvlText w:val=""/>
      <w:lvlJc w:val="left"/>
      <w:pPr>
        <w:ind w:left="1069" w:hanging="360"/>
      </w:pPr>
      <w:rPr>
        <w:rFonts w:ascii="Symbol" w:hAnsi="Symbol" w:hint="default"/>
      </w:rPr>
    </w:lvl>
    <w:lvl w:ilvl="1" w:tplc="08090019" w:tentative="1">
      <w:start w:val="1"/>
      <w:numFmt w:val="lowerLetter"/>
      <w:lvlText w:val="%2."/>
      <w:lvlJc w:val="left"/>
      <w:pPr>
        <w:ind w:left="1789" w:hanging="360"/>
      </w:pPr>
      <w:rPr>
        <w:rFonts w:cs="Times New Roman"/>
      </w:rPr>
    </w:lvl>
    <w:lvl w:ilvl="2" w:tplc="0809001B" w:tentative="1">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9" w15:restartNumberingAfterBreak="0">
    <w:nsid w:val="725C09D2"/>
    <w:multiLevelType w:val="hybridMultilevel"/>
    <w:tmpl w:val="F9607BC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86F1BBB"/>
    <w:multiLevelType w:val="hybridMultilevel"/>
    <w:tmpl w:val="DB3061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C785226"/>
    <w:multiLevelType w:val="hybridMultilevel"/>
    <w:tmpl w:val="8BE2EC9E"/>
    <w:lvl w:ilvl="0" w:tplc="0809000F">
      <w:start w:val="1"/>
      <w:numFmt w:val="decimal"/>
      <w:lvlText w:val="%1."/>
      <w:lvlJc w:val="left"/>
      <w:pPr>
        <w:ind w:left="1429" w:hanging="360"/>
      </w:pPr>
    </w:lvl>
    <w:lvl w:ilvl="1" w:tplc="08090019">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num w:numId="1">
    <w:abstractNumId w:val="4"/>
  </w:num>
  <w:num w:numId="2">
    <w:abstractNumId w:val="1"/>
  </w:num>
  <w:num w:numId="3">
    <w:abstractNumId w:val="7"/>
  </w:num>
  <w:num w:numId="4">
    <w:abstractNumId w:val="1"/>
  </w:num>
  <w:num w:numId="5">
    <w:abstractNumId w:val="0"/>
  </w:num>
  <w:num w:numId="6">
    <w:abstractNumId w:val="1"/>
  </w:num>
  <w:num w:numId="7">
    <w:abstractNumId w:val="0"/>
  </w:num>
  <w:num w:numId="8">
    <w:abstractNumId w:val="6"/>
  </w:num>
  <w:num w:numId="9">
    <w:abstractNumId w:val="6"/>
  </w:num>
  <w:num w:numId="10">
    <w:abstractNumId w:val="6"/>
  </w:num>
  <w:num w:numId="11">
    <w:abstractNumId w:val="6"/>
  </w:num>
  <w:num w:numId="12">
    <w:abstractNumId w:val="6"/>
  </w:num>
  <w:num w:numId="13">
    <w:abstractNumId w:val="6"/>
  </w:num>
  <w:num w:numId="14">
    <w:abstractNumId w:val="6"/>
  </w:num>
  <w:num w:numId="15">
    <w:abstractNumId w:val="1"/>
  </w:num>
  <w:num w:numId="16">
    <w:abstractNumId w:val="0"/>
  </w:num>
  <w:num w:numId="17">
    <w:abstractNumId w:val="6"/>
  </w:num>
  <w:num w:numId="18">
    <w:abstractNumId w:val="7"/>
  </w:num>
  <w:num w:numId="19">
    <w:abstractNumId w:val="7"/>
  </w:num>
  <w:num w:numId="20">
    <w:abstractNumId w:val="7"/>
  </w:num>
  <w:num w:numId="21">
    <w:abstractNumId w:val="7"/>
  </w:num>
  <w:num w:numId="22">
    <w:abstractNumId w:val="7"/>
  </w:num>
  <w:num w:numId="23">
    <w:abstractNumId w:val="7"/>
  </w:num>
  <w:num w:numId="24">
    <w:abstractNumId w:val="7"/>
  </w:num>
  <w:num w:numId="25">
    <w:abstractNumId w:val="7"/>
  </w:num>
  <w:num w:numId="26">
    <w:abstractNumId w:val="6"/>
  </w:num>
  <w:num w:numId="27">
    <w:abstractNumId w:val="1"/>
  </w:num>
  <w:num w:numId="28">
    <w:abstractNumId w:val="0"/>
  </w:num>
  <w:num w:numId="29">
    <w:abstractNumId w:val="9"/>
  </w:num>
  <w:num w:numId="30">
    <w:abstractNumId w:val="3"/>
  </w:num>
  <w:num w:numId="31">
    <w:abstractNumId w:val="10"/>
  </w:num>
  <w:num w:numId="32">
    <w:abstractNumId w:val="2"/>
  </w:num>
  <w:num w:numId="33">
    <w:abstractNumId w:val="8"/>
  </w:num>
  <w:num w:numId="34">
    <w:abstractNumId w:val="5"/>
  </w:num>
  <w:num w:numId="35">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linkStyle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B69"/>
    <w:rsid w:val="00001D32"/>
    <w:rsid w:val="00013486"/>
    <w:rsid w:val="0002324A"/>
    <w:rsid w:val="000265B0"/>
    <w:rsid w:val="0002714D"/>
    <w:rsid w:val="00036A57"/>
    <w:rsid w:val="00037512"/>
    <w:rsid w:val="000432EA"/>
    <w:rsid w:val="00052DAD"/>
    <w:rsid w:val="00063569"/>
    <w:rsid w:val="00065526"/>
    <w:rsid w:val="0006770D"/>
    <w:rsid w:val="0007095F"/>
    <w:rsid w:val="00092786"/>
    <w:rsid w:val="00094F57"/>
    <w:rsid w:val="000A5E0C"/>
    <w:rsid w:val="000B20A6"/>
    <w:rsid w:val="000C0C42"/>
    <w:rsid w:val="000C2EAB"/>
    <w:rsid w:val="000C3CAD"/>
    <w:rsid w:val="000C77BD"/>
    <w:rsid w:val="000D0AE5"/>
    <w:rsid w:val="000D71E2"/>
    <w:rsid w:val="000E0A6C"/>
    <w:rsid w:val="000E3A09"/>
    <w:rsid w:val="000E4892"/>
    <w:rsid w:val="000F120A"/>
    <w:rsid w:val="000F178B"/>
    <w:rsid w:val="00100FEA"/>
    <w:rsid w:val="00104F73"/>
    <w:rsid w:val="00112ADC"/>
    <w:rsid w:val="00120D55"/>
    <w:rsid w:val="00126A1E"/>
    <w:rsid w:val="001369AE"/>
    <w:rsid w:val="00137F46"/>
    <w:rsid w:val="00141805"/>
    <w:rsid w:val="00141CD3"/>
    <w:rsid w:val="00144775"/>
    <w:rsid w:val="0014559A"/>
    <w:rsid w:val="001458BA"/>
    <w:rsid w:val="0015754D"/>
    <w:rsid w:val="0016074C"/>
    <w:rsid w:val="00172066"/>
    <w:rsid w:val="001743AF"/>
    <w:rsid w:val="00175755"/>
    <w:rsid w:val="00177B25"/>
    <w:rsid w:val="001829DC"/>
    <w:rsid w:val="00192278"/>
    <w:rsid w:val="0019430E"/>
    <w:rsid w:val="001A460E"/>
    <w:rsid w:val="001B3460"/>
    <w:rsid w:val="001C1E4F"/>
    <w:rsid w:val="001C67DE"/>
    <w:rsid w:val="001D538D"/>
    <w:rsid w:val="001E1D27"/>
    <w:rsid w:val="001E7807"/>
    <w:rsid w:val="001F4F98"/>
    <w:rsid w:val="00204D47"/>
    <w:rsid w:val="002109B7"/>
    <w:rsid w:val="0021230C"/>
    <w:rsid w:val="0022310E"/>
    <w:rsid w:val="00232BF7"/>
    <w:rsid w:val="00233109"/>
    <w:rsid w:val="002370FF"/>
    <w:rsid w:val="00257174"/>
    <w:rsid w:val="00264539"/>
    <w:rsid w:val="002676A2"/>
    <w:rsid w:val="002746D9"/>
    <w:rsid w:val="00274B66"/>
    <w:rsid w:val="00276DBA"/>
    <w:rsid w:val="00287619"/>
    <w:rsid w:val="00287BE2"/>
    <w:rsid w:val="002A06F4"/>
    <w:rsid w:val="002A07BA"/>
    <w:rsid w:val="002A1817"/>
    <w:rsid w:val="002A2B7B"/>
    <w:rsid w:val="002F0237"/>
    <w:rsid w:val="002F0A84"/>
    <w:rsid w:val="002F481D"/>
    <w:rsid w:val="002F506C"/>
    <w:rsid w:val="00302445"/>
    <w:rsid w:val="0030411C"/>
    <w:rsid w:val="00312EDD"/>
    <w:rsid w:val="00334068"/>
    <w:rsid w:val="003348AE"/>
    <w:rsid w:val="003355AE"/>
    <w:rsid w:val="00337001"/>
    <w:rsid w:val="00373354"/>
    <w:rsid w:val="00376740"/>
    <w:rsid w:val="00394F3D"/>
    <w:rsid w:val="00396768"/>
    <w:rsid w:val="0039775E"/>
    <w:rsid w:val="003B4621"/>
    <w:rsid w:val="003B772A"/>
    <w:rsid w:val="003C1DC4"/>
    <w:rsid w:val="003D0EC9"/>
    <w:rsid w:val="003D55FD"/>
    <w:rsid w:val="003E162F"/>
    <w:rsid w:val="003E6277"/>
    <w:rsid w:val="003E7307"/>
    <w:rsid w:val="004039AA"/>
    <w:rsid w:val="004150B0"/>
    <w:rsid w:val="00417198"/>
    <w:rsid w:val="004317FD"/>
    <w:rsid w:val="00435148"/>
    <w:rsid w:val="00450D84"/>
    <w:rsid w:val="004511E2"/>
    <w:rsid w:val="00455881"/>
    <w:rsid w:val="00455C55"/>
    <w:rsid w:val="00456711"/>
    <w:rsid w:val="00457D76"/>
    <w:rsid w:val="00466B16"/>
    <w:rsid w:val="00477F00"/>
    <w:rsid w:val="00480663"/>
    <w:rsid w:val="00481BA0"/>
    <w:rsid w:val="00481C08"/>
    <w:rsid w:val="00485165"/>
    <w:rsid w:val="00485F91"/>
    <w:rsid w:val="0048742E"/>
    <w:rsid w:val="00497333"/>
    <w:rsid w:val="004A01AD"/>
    <w:rsid w:val="004A3E60"/>
    <w:rsid w:val="004C00E6"/>
    <w:rsid w:val="004D2ACC"/>
    <w:rsid w:val="004D5CB9"/>
    <w:rsid w:val="004E4350"/>
    <w:rsid w:val="004E6434"/>
    <w:rsid w:val="0050146E"/>
    <w:rsid w:val="00501B17"/>
    <w:rsid w:val="00501DB4"/>
    <w:rsid w:val="00504DCC"/>
    <w:rsid w:val="00505A85"/>
    <w:rsid w:val="00514FC8"/>
    <w:rsid w:val="00515149"/>
    <w:rsid w:val="00523409"/>
    <w:rsid w:val="0053086A"/>
    <w:rsid w:val="0053104E"/>
    <w:rsid w:val="00536A43"/>
    <w:rsid w:val="00536D44"/>
    <w:rsid w:val="00545B99"/>
    <w:rsid w:val="00545DBD"/>
    <w:rsid w:val="005479B7"/>
    <w:rsid w:val="0055036B"/>
    <w:rsid w:val="00550BFB"/>
    <w:rsid w:val="00566F42"/>
    <w:rsid w:val="005820CD"/>
    <w:rsid w:val="00587595"/>
    <w:rsid w:val="00594AE3"/>
    <w:rsid w:val="005A3CD1"/>
    <w:rsid w:val="005A7D33"/>
    <w:rsid w:val="005B431B"/>
    <w:rsid w:val="005C7F57"/>
    <w:rsid w:val="005D4C71"/>
    <w:rsid w:val="005E73FB"/>
    <w:rsid w:val="005F0AB0"/>
    <w:rsid w:val="005F556C"/>
    <w:rsid w:val="005F696D"/>
    <w:rsid w:val="005F6F3D"/>
    <w:rsid w:val="00601020"/>
    <w:rsid w:val="00601F8C"/>
    <w:rsid w:val="0060472F"/>
    <w:rsid w:val="0060644C"/>
    <w:rsid w:val="006070C9"/>
    <w:rsid w:val="00610183"/>
    <w:rsid w:val="006136FF"/>
    <w:rsid w:val="00616789"/>
    <w:rsid w:val="00616ED9"/>
    <w:rsid w:val="00623A2A"/>
    <w:rsid w:val="00625D1C"/>
    <w:rsid w:val="006267E5"/>
    <w:rsid w:val="0065062B"/>
    <w:rsid w:val="00651CD4"/>
    <w:rsid w:val="006539F9"/>
    <w:rsid w:val="0068096C"/>
    <w:rsid w:val="00683BDA"/>
    <w:rsid w:val="006A1C3B"/>
    <w:rsid w:val="006A3B2B"/>
    <w:rsid w:val="006B39B2"/>
    <w:rsid w:val="006B455E"/>
    <w:rsid w:val="006B68D2"/>
    <w:rsid w:val="006C2865"/>
    <w:rsid w:val="006C58D1"/>
    <w:rsid w:val="006D6CF4"/>
    <w:rsid w:val="006E396A"/>
    <w:rsid w:val="006E4579"/>
    <w:rsid w:val="006F1D5E"/>
    <w:rsid w:val="007046C8"/>
    <w:rsid w:val="00712E33"/>
    <w:rsid w:val="00716381"/>
    <w:rsid w:val="007210BC"/>
    <w:rsid w:val="00724F18"/>
    <w:rsid w:val="00731406"/>
    <w:rsid w:val="00732B18"/>
    <w:rsid w:val="00732F0B"/>
    <w:rsid w:val="00733522"/>
    <w:rsid w:val="00750C34"/>
    <w:rsid w:val="00753408"/>
    <w:rsid w:val="007561C2"/>
    <w:rsid w:val="00757099"/>
    <w:rsid w:val="00764E9A"/>
    <w:rsid w:val="00766AA0"/>
    <w:rsid w:val="0077644B"/>
    <w:rsid w:val="0077752F"/>
    <w:rsid w:val="007819C7"/>
    <w:rsid w:val="00791FDF"/>
    <w:rsid w:val="007972DC"/>
    <w:rsid w:val="007A5D88"/>
    <w:rsid w:val="007B273E"/>
    <w:rsid w:val="007C18D3"/>
    <w:rsid w:val="007D2AEE"/>
    <w:rsid w:val="007D5D09"/>
    <w:rsid w:val="007D65F7"/>
    <w:rsid w:val="007D6D68"/>
    <w:rsid w:val="007D7092"/>
    <w:rsid w:val="007D7326"/>
    <w:rsid w:val="007E221D"/>
    <w:rsid w:val="007E3945"/>
    <w:rsid w:val="007E588C"/>
    <w:rsid w:val="007F2733"/>
    <w:rsid w:val="007F294C"/>
    <w:rsid w:val="007F7861"/>
    <w:rsid w:val="0080244B"/>
    <w:rsid w:val="00807E1B"/>
    <w:rsid w:val="0082118E"/>
    <w:rsid w:val="00825CFE"/>
    <w:rsid w:val="00826E48"/>
    <w:rsid w:val="00841498"/>
    <w:rsid w:val="008548CC"/>
    <w:rsid w:val="008577CB"/>
    <w:rsid w:val="00857EEB"/>
    <w:rsid w:val="008612F1"/>
    <w:rsid w:val="00894C97"/>
    <w:rsid w:val="00896FA4"/>
    <w:rsid w:val="00897B56"/>
    <w:rsid w:val="008A7D61"/>
    <w:rsid w:val="008B50A1"/>
    <w:rsid w:val="008D316C"/>
    <w:rsid w:val="008D3B69"/>
    <w:rsid w:val="008E17BF"/>
    <w:rsid w:val="008F3D28"/>
    <w:rsid w:val="009057F5"/>
    <w:rsid w:val="00907BCE"/>
    <w:rsid w:val="00913400"/>
    <w:rsid w:val="00915C25"/>
    <w:rsid w:val="009175E4"/>
    <w:rsid w:val="00924A34"/>
    <w:rsid w:val="00936B69"/>
    <w:rsid w:val="00942286"/>
    <w:rsid w:val="009438D5"/>
    <w:rsid w:val="0094524F"/>
    <w:rsid w:val="00961FE8"/>
    <w:rsid w:val="00972383"/>
    <w:rsid w:val="00975A31"/>
    <w:rsid w:val="00977BE0"/>
    <w:rsid w:val="00990018"/>
    <w:rsid w:val="00992B5B"/>
    <w:rsid w:val="009A150A"/>
    <w:rsid w:val="009B7915"/>
    <w:rsid w:val="009C2BC2"/>
    <w:rsid w:val="009C49F7"/>
    <w:rsid w:val="009D03E2"/>
    <w:rsid w:val="009E19D9"/>
    <w:rsid w:val="009E542D"/>
    <w:rsid w:val="00A022A4"/>
    <w:rsid w:val="00A05C40"/>
    <w:rsid w:val="00A1763C"/>
    <w:rsid w:val="00A2563F"/>
    <w:rsid w:val="00A403ED"/>
    <w:rsid w:val="00A43960"/>
    <w:rsid w:val="00A46DAA"/>
    <w:rsid w:val="00A569F6"/>
    <w:rsid w:val="00A5742C"/>
    <w:rsid w:val="00A6283F"/>
    <w:rsid w:val="00A62DBC"/>
    <w:rsid w:val="00A713F6"/>
    <w:rsid w:val="00A721F4"/>
    <w:rsid w:val="00A774E6"/>
    <w:rsid w:val="00A91198"/>
    <w:rsid w:val="00A91C54"/>
    <w:rsid w:val="00A979F5"/>
    <w:rsid w:val="00AA4188"/>
    <w:rsid w:val="00AA62DB"/>
    <w:rsid w:val="00AB4767"/>
    <w:rsid w:val="00AB7725"/>
    <w:rsid w:val="00AC1832"/>
    <w:rsid w:val="00AC2C49"/>
    <w:rsid w:val="00AC7C34"/>
    <w:rsid w:val="00AD4171"/>
    <w:rsid w:val="00AE2CE7"/>
    <w:rsid w:val="00AE44B0"/>
    <w:rsid w:val="00AF4C78"/>
    <w:rsid w:val="00AF5BDC"/>
    <w:rsid w:val="00B041DF"/>
    <w:rsid w:val="00B21CE2"/>
    <w:rsid w:val="00B238B6"/>
    <w:rsid w:val="00B349D3"/>
    <w:rsid w:val="00B37F34"/>
    <w:rsid w:val="00B571F0"/>
    <w:rsid w:val="00B611A5"/>
    <w:rsid w:val="00B727C9"/>
    <w:rsid w:val="00B73C93"/>
    <w:rsid w:val="00BB4E35"/>
    <w:rsid w:val="00BD04E0"/>
    <w:rsid w:val="00BD2FF6"/>
    <w:rsid w:val="00BE3A02"/>
    <w:rsid w:val="00BE7F58"/>
    <w:rsid w:val="00BF4DB4"/>
    <w:rsid w:val="00BF595D"/>
    <w:rsid w:val="00C175C4"/>
    <w:rsid w:val="00C25378"/>
    <w:rsid w:val="00C26B4B"/>
    <w:rsid w:val="00C27BEF"/>
    <w:rsid w:val="00C31143"/>
    <w:rsid w:val="00C55303"/>
    <w:rsid w:val="00C56D08"/>
    <w:rsid w:val="00C5767D"/>
    <w:rsid w:val="00C91E96"/>
    <w:rsid w:val="00CB28CD"/>
    <w:rsid w:val="00CB5343"/>
    <w:rsid w:val="00CC3F00"/>
    <w:rsid w:val="00CC5DA5"/>
    <w:rsid w:val="00CE577C"/>
    <w:rsid w:val="00CF2FC5"/>
    <w:rsid w:val="00CF7FB6"/>
    <w:rsid w:val="00D030A9"/>
    <w:rsid w:val="00D05D1B"/>
    <w:rsid w:val="00D10444"/>
    <w:rsid w:val="00D175EB"/>
    <w:rsid w:val="00D221E6"/>
    <w:rsid w:val="00D26887"/>
    <w:rsid w:val="00D31FC5"/>
    <w:rsid w:val="00D36388"/>
    <w:rsid w:val="00D4662E"/>
    <w:rsid w:val="00D517AA"/>
    <w:rsid w:val="00D67E05"/>
    <w:rsid w:val="00D7179F"/>
    <w:rsid w:val="00D72354"/>
    <w:rsid w:val="00D76EE3"/>
    <w:rsid w:val="00D77590"/>
    <w:rsid w:val="00D937D3"/>
    <w:rsid w:val="00DA5C04"/>
    <w:rsid w:val="00DA6429"/>
    <w:rsid w:val="00DA6A27"/>
    <w:rsid w:val="00DB0A75"/>
    <w:rsid w:val="00DB1F34"/>
    <w:rsid w:val="00DC720C"/>
    <w:rsid w:val="00DD1F09"/>
    <w:rsid w:val="00DE13A5"/>
    <w:rsid w:val="00DE58F9"/>
    <w:rsid w:val="00DF7119"/>
    <w:rsid w:val="00DF748E"/>
    <w:rsid w:val="00E036E9"/>
    <w:rsid w:val="00E14BF6"/>
    <w:rsid w:val="00E234CC"/>
    <w:rsid w:val="00E33871"/>
    <w:rsid w:val="00E36675"/>
    <w:rsid w:val="00E372FF"/>
    <w:rsid w:val="00E414D9"/>
    <w:rsid w:val="00E46F49"/>
    <w:rsid w:val="00E70812"/>
    <w:rsid w:val="00E7157B"/>
    <w:rsid w:val="00E744FB"/>
    <w:rsid w:val="00E945B9"/>
    <w:rsid w:val="00EA183B"/>
    <w:rsid w:val="00EA4CA4"/>
    <w:rsid w:val="00EB63CC"/>
    <w:rsid w:val="00EB7489"/>
    <w:rsid w:val="00EB7AFA"/>
    <w:rsid w:val="00EC6F64"/>
    <w:rsid w:val="00ED21A9"/>
    <w:rsid w:val="00EE2F26"/>
    <w:rsid w:val="00EE5F37"/>
    <w:rsid w:val="00EF3B92"/>
    <w:rsid w:val="00F11608"/>
    <w:rsid w:val="00F135E8"/>
    <w:rsid w:val="00F2145B"/>
    <w:rsid w:val="00F23BBC"/>
    <w:rsid w:val="00F27474"/>
    <w:rsid w:val="00F41E28"/>
    <w:rsid w:val="00F44E6B"/>
    <w:rsid w:val="00F46000"/>
    <w:rsid w:val="00F54D53"/>
    <w:rsid w:val="00F63970"/>
    <w:rsid w:val="00F668F8"/>
    <w:rsid w:val="00F72DC6"/>
    <w:rsid w:val="00F814C4"/>
    <w:rsid w:val="00F96B4B"/>
    <w:rsid w:val="00FA478F"/>
    <w:rsid w:val="00FB7F09"/>
    <w:rsid w:val="00FC056C"/>
    <w:rsid w:val="00FC3769"/>
    <w:rsid w:val="00FC485C"/>
    <w:rsid w:val="00FD040C"/>
    <w:rsid w:val="00FD3ACA"/>
    <w:rsid w:val="00FD762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3531CA"/>
  <w15:docId w15:val="{3B49A043-60A1-47A2-8B11-D282678D3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2EAB"/>
    <w:rPr>
      <w:rFonts w:eastAsiaTheme="minorHAnsi"/>
    </w:rPr>
  </w:style>
  <w:style w:type="paragraph" w:styleId="Heading1">
    <w:name w:val="heading 1"/>
    <w:basedOn w:val="Normal"/>
    <w:next w:val="Normal"/>
    <w:link w:val="Heading1Char"/>
    <w:uiPriority w:val="9"/>
    <w:qFormat/>
    <w:rsid w:val="00175755"/>
    <w:pPr>
      <w:keepNext/>
      <w:keepLines/>
      <w:numPr>
        <w:numId w:val="3"/>
      </w:numPr>
      <w:spacing w:before="240" w:line="240" w:lineRule="auto"/>
      <w:jc w:val="center"/>
      <w:outlineLvl w:val="0"/>
    </w:pPr>
    <w:rPr>
      <w:rFonts w:ascii="Arial" w:eastAsiaTheme="majorEastAsia" w:hAnsi="Arial" w:cstheme="majorBidi"/>
      <w:b/>
      <w:color w:val="262626" w:themeColor="text1" w:themeTint="D9"/>
      <w:sz w:val="32"/>
      <w:szCs w:val="32"/>
    </w:rPr>
  </w:style>
  <w:style w:type="paragraph" w:styleId="Heading2">
    <w:name w:val="heading 2"/>
    <w:basedOn w:val="Normal"/>
    <w:next w:val="Normal"/>
    <w:link w:val="Heading2Char"/>
    <w:uiPriority w:val="9"/>
    <w:qFormat/>
    <w:rsid w:val="00175755"/>
    <w:pPr>
      <w:keepNext/>
      <w:keepLines/>
      <w:numPr>
        <w:ilvl w:val="1"/>
        <w:numId w:val="3"/>
      </w:numPr>
      <w:spacing w:before="240" w:line="240" w:lineRule="auto"/>
      <w:outlineLvl w:val="1"/>
    </w:pPr>
    <w:rPr>
      <w:rFonts w:ascii="Arial" w:eastAsiaTheme="majorEastAsia" w:hAnsi="Arial" w:cstheme="majorBidi"/>
      <w:b/>
      <w:color w:val="262626" w:themeColor="text1" w:themeTint="D9"/>
      <w:sz w:val="28"/>
      <w:szCs w:val="28"/>
    </w:rPr>
  </w:style>
  <w:style w:type="paragraph" w:styleId="Heading3">
    <w:name w:val="heading 3"/>
    <w:basedOn w:val="Normal"/>
    <w:next w:val="Normal"/>
    <w:link w:val="Heading3Char"/>
    <w:uiPriority w:val="9"/>
    <w:qFormat/>
    <w:rsid w:val="00175755"/>
    <w:pPr>
      <w:keepNext/>
      <w:keepLines/>
      <w:numPr>
        <w:ilvl w:val="2"/>
        <w:numId w:val="3"/>
      </w:numPr>
      <w:spacing w:before="240" w:after="120"/>
      <w:outlineLvl w:val="2"/>
    </w:pPr>
    <w:rPr>
      <w:rFonts w:ascii="Arial" w:eastAsiaTheme="majorEastAsia" w:hAnsi="Arial" w:cstheme="majorBidi"/>
      <w:b/>
      <w:color w:val="0D0D0D" w:themeColor="text1" w:themeTint="F2"/>
      <w:sz w:val="24"/>
      <w:szCs w:val="24"/>
    </w:rPr>
  </w:style>
  <w:style w:type="paragraph" w:styleId="Heading4">
    <w:name w:val="heading 4"/>
    <w:basedOn w:val="Normal"/>
    <w:next w:val="Normal"/>
    <w:link w:val="Heading4Char"/>
    <w:uiPriority w:val="9"/>
    <w:unhideWhenUsed/>
    <w:qFormat/>
    <w:rsid w:val="00175755"/>
    <w:pPr>
      <w:keepNext/>
      <w:keepLines/>
      <w:numPr>
        <w:ilvl w:val="3"/>
        <w:numId w:val="3"/>
      </w:numPr>
      <w:spacing w:before="40" w:after="0"/>
      <w:outlineLvl w:val="3"/>
    </w:pPr>
    <w:rPr>
      <w:rFonts w:ascii="Arial" w:eastAsiaTheme="majorEastAsia" w:hAnsi="Arial" w:cstheme="majorBidi"/>
      <w:i/>
      <w:iCs/>
      <w:color w:val="404040" w:themeColor="text1" w:themeTint="BF"/>
    </w:rPr>
  </w:style>
  <w:style w:type="paragraph" w:styleId="Heading5">
    <w:name w:val="heading 5"/>
    <w:basedOn w:val="Normal"/>
    <w:next w:val="Normal"/>
    <w:link w:val="Heading5Char"/>
    <w:uiPriority w:val="9"/>
    <w:semiHidden/>
    <w:unhideWhenUsed/>
    <w:qFormat/>
    <w:rsid w:val="00175755"/>
    <w:pPr>
      <w:keepNext/>
      <w:keepLines/>
      <w:numPr>
        <w:ilvl w:val="4"/>
        <w:numId w:val="3"/>
      </w:numPr>
      <w:spacing w:before="40" w:after="0"/>
      <w:outlineLvl w:val="4"/>
    </w:pPr>
    <w:rPr>
      <w:rFonts w:asciiTheme="majorHAnsi" w:eastAsiaTheme="majorEastAsia" w:hAnsiTheme="majorHAnsi" w:cstheme="majorBidi"/>
      <w:color w:val="404040" w:themeColor="text1" w:themeTint="BF"/>
    </w:rPr>
  </w:style>
  <w:style w:type="paragraph" w:styleId="Heading6">
    <w:name w:val="heading 6"/>
    <w:basedOn w:val="Normal"/>
    <w:next w:val="Normal"/>
    <w:link w:val="Heading6Char"/>
    <w:uiPriority w:val="9"/>
    <w:semiHidden/>
    <w:unhideWhenUsed/>
    <w:qFormat/>
    <w:rsid w:val="00175755"/>
    <w:pPr>
      <w:keepNext/>
      <w:keepLines/>
      <w:numPr>
        <w:ilvl w:val="5"/>
        <w:numId w:val="3"/>
      </w:numPr>
      <w:spacing w:before="40" w:after="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175755"/>
    <w:pPr>
      <w:keepNext/>
      <w:keepLines/>
      <w:numPr>
        <w:ilvl w:val="6"/>
        <w:numId w:val="3"/>
      </w:numPr>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175755"/>
    <w:pPr>
      <w:keepNext/>
      <w:keepLines/>
      <w:numPr>
        <w:ilvl w:val="7"/>
        <w:numId w:val="30"/>
      </w:numPr>
      <w:spacing w:before="40" w:after="0"/>
      <w:ind w:left="1440" w:hanging="144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175755"/>
    <w:pPr>
      <w:keepNext/>
      <w:keepLines/>
      <w:numPr>
        <w:numId w:val="5"/>
      </w:numPr>
      <w:tabs>
        <w:tab w:val="clear" w:pos="360"/>
      </w:tabs>
      <w:spacing w:before="40" w:after="0"/>
      <w:ind w:left="1584" w:hanging="1584"/>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rsid w:val="000C2E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2EAB"/>
  </w:style>
  <w:style w:type="character" w:customStyle="1" w:styleId="Heading1Char">
    <w:name w:val="Heading 1 Char"/>
    <w:basedOn w:val="DefaultParagraphFont"/>
    <w:link w:val="Heading1"/>
    <w:uiPriority w:val="9"/>
    <w:rsid w:val="00175755"/>
    <w:rPr>
      <w:rFonts w:ascii="Arial" w:eastAsiaTheme="majorEastAsia" w:hAnsi="Arial" w:cstheme="majorBidi"/>
      <w:b/>
      <w:color w:val="262626" w:themeColor="text1" w:themeTint="D9"/>
      <w:sz w:val="32"/>
      <w:szCs w:val="32"/>
    </w:rPr>
  </w:style>
  <w:style w:type="character" w:customStyle="1" w:styleId="Heading2Char">
    <w:name w:val="Heading 2 Char"/>
    <w:basedOn w:val="DefaultParagraphFont"/>
    <w:link w:val="Heading2"/>
    <w:uiPriority w:val="9"/>
    <w:rsid w:val="00175755"/>
    <w:rPr>
      <w:rFonts w:ascii="Arial" w:eastAsiaTheme="majorEastAsia" w:hAnsi="Arial" w:cstheme="majorBidi"/>
      <w:b/>
      <w:color w:val="262626" w:themeColor="text1" w:themeTint="D9"/>
      <w:sz w:val="28"/>
      <w:szCs w:val="28"/>
    </w:rPr>
  </w:style>
  <w:style w:type="character" w:customStyle="1" w:styleId="Heading3Char">
    <w:name w:val="Heading 3 Char"/>
    <w:basedOn w:val="DefaultParagraphFont"/>
    <w:link w:val="Heading3"/>
    <w:uiPriority w:val="9"/>
    <w:rsid w:val="00175755"/>
    <w:rPr>
      <w:rFonts w:ascii="Arial" w:eastAsiaTheme="majorEastAsia" w:hAnsi="Arial" w:cstheme="majorBidi"/>
      <w:b/>
      <w:color w:val="0D0D0D" w:themeColor="text1" w:themeTint="F2"/>
      <w:sz w:val="24"/>
      <w:szCs w:val="24"/>
    </w:rPr>
  </w:style>
  <w:style w:type="character" w:customStyle="1" w:styleId="Heading4Char">
    <w:name w:val="Heading 4 Char"/>
    <w:basedOn w:val="DefaultParagraphFont"/>
    <w:link w:val="Heading4"/>
    <w:uiPriority w:val="9"/>
    <w:rsid w:val="00175755"/>
    <w:rPr>
      <w:rFonts w:ascii="Arial" w:eastAsiaTheme="majorEastAsia" w:hAnsi="Arial" w:cstheme="majorBidi"/>
      <w:i/>
      <w:iCs/>
      <w:color w:val="404040" w:themeColor="text1" w:themeTint="BF"/>
    </w:rPr>
  </w:style>
  <w:style w:type="character" w:customStyle="1" w:styleId="Heading5Char">
    <w:name w:val="Heading 5 Char"/>
    <w:basedOn w:val="DefaultParagraphFont"/>
    <w:link w:val="Heading5"/>
    <w:uiPriority w:val="9"/>
    <w:semiHidden/>
    <w:rsid w:val="00175755"/>
    <w:rPr>
      <w:rFonts w:asciiTheme="majorHAnsi" w:eastAsiaTheme="majorEastAsia" w:hAnsiTheme="majorHAnsi" w:cstheme="majorBidi"/>
      <w:color w:val="404040" w:themeColor="text1" w:themeTint="BF"/>
    </w:rPr>
  </w:style>
  <w:style w:type="character" w:customStyle="1" w:styleId="Heading6Char">
    <w:name w:val="Heading 6 Char"/>
    <w:basedOn w:val="DefaultParagraphFont"/>
    <w:link w:val="Heading6"/>
    <w:uiPriority w:val="9"/>
    <w:semiHidden/>
    <w:rsid w:val="00175755"/>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175755"/>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175755"/>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17575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qFormat/>
    <w:rsid w:val="00175755"/>
    <w:pPr>
      <w:keepNext/>
      <w:spacing w:before="240" w:after="60" w:line="240" w:lineRule="auto"/>
    </w:pPr>
    <w:rPr>
      <w:i/>
      <w:iCs/>
      <w:color w:val="44546A" w:themeColor="text2"/>
      <w:szCs w:val="18"/>
    </w:rPr>
  </w:style>
  <w:style w:type="paragraph" w:styleId="ListBullet">
    <w:name w:val="List Bullet"/>
    <w:basedOn w:val="Normal"/>
    <w:uiPriority w:val="99"/>
    <w:qFormat/>
    <w:rsid w:val="00175755"/>
    <w:pPr>
      <w:numPr>
        <w:numId w:val="2"/>
      </w:numPr>
      <w:spacing w:after="120"/>
      <w:contextualSpacing/>
    </w:pPr>
  </w:style>
  <w:style w:type="paragraph" w:styleId="ListNumber">
    <w:name w:val="List Number"/>
    <w:basedOn w:val="Normal"/>
    <w:uiPriority w:val="99"/>
    <w:qFormat/>
    <w:rsid w:val="00175755"/>
    <w:pPr>
      <w:tabs>
        <w:tab w:val="num" w:pos="360"/>
      </w:tabs>
      <w:spacing w:after="120"/>
      <w:ind w:left="360" w:hanging="360"/>
      <w:contextualSpacing/>
    </w:pPr>
  </w:style>
  <w:style w:type="paragraph" w:styleId="Title">
    <w:name w:val="Title"/>
    <w:basedOn w:val="Normal"/>
    <w:next w:val="Normal"/>
    <w:link w:val="TitleChar"/>
    <w:uiPriority w:val="10"/>
    <w:qFormat/>
    <w:rsid w:val="0017575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17575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17575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175755"/>
    <w:rPr>
      <w:color w:val="5A5A5A" w:themeColor="text1" w:themeTint="A5"/>
      <w:spacing w:val="15"/>
    </w:rPr>
  </w:style>
  <w:style w:type="character" w:styleId="Strong">
    <w:name w:val="Strong"/>
    <w:basedOn w:val="DefaultParagraphFont"/>
    <w:uiPriority w:val="22"/>
    <w:qFormat/>
    <w:rsid w:val="00175755"/>
    <w:rPr>
      <w:b/>
      <w:bCs/>
      <w:color w:val="auto"/>
    </w:rPr>
  </w:style>
  <w:style w:type="character" w:styleId="Emphasis">
    <w:name w:val="Emphasis"/>
    <w:basedOn w:val="DefaultParagraphFont"/>
    <w:uiPriority w:val="20"/>
    <w:qFormat/>
    <w:rsid w:val="00175755"/>
    <w:rPr>
      <w:i/>
      <w:iCs/>
      <w:color w:val="auto"/>
    </w:rPr>
  </w:style>
  <w:style w:type="paragraph" w:styleId="NoSpacing">
    <w:name w:val="No Spacing"/>
    <w:link w:val="NoSpacingChar"/>
    <w:uiPriority w:val="1"/>
    <w:qFormat/>
    <w:rsid w:val="00175755"/>
    <w:pPr>
      <w:spacing w:after="0" w:line="240" w:lineRule="auto"/>
    </w:pPr>
  </w:style>
  <w:style w:type="paragraph" w:styleId="Quote">
    <w:name w:val="Quote"/>
    <w:basedOn w:val="Normal"/>
    <w:next w:val="Normal"/>
    <w:link w:val="QuoteChar"/>
    <w:uiPriority w:val="29"/>
    <w:qFormat/>
    <w:rsid w:val="0017575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175755"/>
    <w:rPr>
      <w:i/>
      <w:iCs/>
      <w:color w:val="404040" w:themeColor="text1" w:themeTint="BF"/>
    </w:rPr>
  </w:style>
  <w:style w:type="paragraph" w:styleId="IntenseQuote">
    <w:name w:val="Intense Quote"/>
    <w:basedOn w:val="Normal"/>
    <w:next w:val="Normal"/>
    <w:link w:val="IntenseQuoteChar"/>
    <w:uiPriority w:val="30"/>
    <w:qFormat/>
    <w:rsid w:val="00175755"/>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175755"/>
    <w:rPr>
      <w:i/>
      <w:iCs/>
      <w:color w:val="404040" w:themeColor="text1" w:themeTint="BF"/>
    </w:rPr>
  </w:style>
  <w:style w:type="character" w:styleId="SubtleEmphasis">
    <w:name w:val="Subtle Emphasis"/>
    <w:basedOn w:val="DefaultParagraphFont"/>
    <w:uiPriority w:val="19"/>
    <w:qFormat/>
    <w:rsid w:val="00175755"/>
    <w:rPr>
      <w:i/>
      <w:iCs/>
      <w:color w:val="404040" w:themeColor="text1" w:themeTint="BF"/>
    </w:rPr>
  </w:style>
  <w:style w:type="character" w:styleId="IntenseEmphasis">
    <w:name w:val="Intense Emphasis"/>
    <w:basedOn w:val="DefaultParagraphFont"/>
    <w:uiPriority w:val="21"/>
    <w:qFormat/>
    <w:rsid w:val="00175755"/>
    <w:rPr>
      <w:b/>
      <w:bCs/>
      <w:i/>
      <w:iCs/>
      <w:color w:val="auto"/>
    </w:rPr>
  </w:style>
  <w:style w:type="character" w:styleId="SubtleReference">
    <w:name w:val="Subtle Reference"/>
    <w:basedOn w:val="DefaultParagraphFont"/>
    <w:uiPriority w:val="31"/>
    <w:qFormat/>
    <w:rsid w:val="00175755"/>
    <w:rPr>
      <w:smallCaps/>
      <w:color w:val="404040" w:themeColor="text1" w:themeTint="BF"/>
    </w:rPr>
  </w:style>
  <w:style w:type="character" w:styleId="IntenseReference">
    <w:name w:val="Intense Reference"/>
    <w:basedOn w:val="DefaultParagraphFont"/>
    <w:uiPriority w:val="32"/>
    <w:qFormat/>
    <w:rsid w:val="00175755"/>
    <w:rPr>
      <w:b/>
      <w:bCs/>
      <w:smallCaps/>
      <w:color w:val="404040" w:themeColor="text1" w:themeTint="BF"/>
      <w:spacing w:val="5"/>
    </w:rPr>
  </w:style>
  <w:style w:type="character" w:styleId="BookTitle">
    <w:name w:val="Book Title"/>
    <w:basedOn w:val="DefaultParagraphFont"/>
    <w:uiPriority w:val="33"/>
    <w:qFormat/>
    <w:rsid w:val="00175755"/>
    <w:rPr>
      <w:b/>
      <w:bCs/>
      <w:i/>
      <w:iCs/>
      <w:spacing w:val="5"/>
    </w:rPr>
  </w:style>
  <w:style w:type="paragraph" w:styleId="TOCHeading">
    <w:name w:val="TOC Heading"/>
    <w:next w:val="Normal"/>
    <w:uiPriority w:val="39"/>
    <w:unhideWhenUsed/>
    <w:qFormat/>
    <w:rsid w:val="00175755"/>
    <w:pPr>
      <w:jc w:val="center"/>
    </w:pPr>
    <w:rPr>
      <w:rFonts w:ascii="Arial" w:hAnsi="Arial"/>
      <w:b/>
      <w:sz w:val="32"/>
    </w:rPr>
  </w:style>
  <w:style w:type="paragraph" w:customStyle="1" w:styleId="TableText">
    <w:name w:val="Table Text"/>
    <w:basedOn w:val="Normal"/>
    <w:qFormat/>
    <w:rsid w:val="00175755"/>
    <w:pPr>
      <w:spacing w:after="120" w:line="240" w:lineRule="auto"/>
    </w:pPr>
  </w:style>
  <w:style w:type="character" w:customStyle="1" w:styleId="NoSpacingChar">
    <w:name w:val="No Spacing Char"/>
    <w:basedOn w:val="DefaultParagraphFont"/>
    <w:link w:val="NoSpacing"/>
    <w:uiPriority w:val="1"/>
    <w:rsid w:val="00175755"/>
  </w:style>
  <w:style w:type="paragraph" w:styleId="ListParagraph">
    <w:name w:val="List Paragraph"/>
    <w:basedOn w:val="Normal"/>
    <w:uiPriority w:val="34"/>
    <w:qFormat/>
    <w:rsid w:val="00175755"/>
    <w:pPr>
      <w:ind w:left="720"/>
      <w:contextualSpacing/>
    </w:pPr>
  </w:style>
  <w:style w:type="paragraph" w:customStyle="1" w:styleId="UnlinkedHeading4">
    <w:name w:val="Unlinked Heading 4"/>
    <w:qFormat/>
    <w:rsid w:val="00175755"/>
    <w:rPr>
      <w:rFonts w:ascii="Arial" w:eastAsiaTheme="majorEastAsia" w:hAnsi="Arial" w:cstheme="majorBidi"/>
      <w:i/>
      <w:iCs/>
      <w:color w:val="404040" w:themeColor="text1" w:themeTint="BF"/>
    </w:rPr>
  </w:style>
  <w:style w:type="character" w:styleId="CommentReference">
    <w:name w:val="annotation reference"/>
    <w:basedOn w:val="DefaultParagraphFont"/>
    <w:uiPriority w:val="99"/>
    <w:semiHidden/>
    <w:unhideWhenUsed/>
    <w:rsid w:val="00175755"/>
    <w:rPr>
      <w:sz w:val="16"/>
      <w:szCs w:val="16"/>
    </w:rPr>
  </w:style>
  <w:style w:type="paragraph" w:styleId="CommentText">
    <w:name w:val="annotation text"/>
    <w:basedOn w:val="Normal"/>
    <w:link w:val="CommentTextChar"/>
    <w:uiPriority w:val="99"/>
    <w:semiHidden/>
    <w:unhideWhenUsed/>
    <w:rsid w:val="00175755"/>
    <w:pPr>
      <w:spacing w:line="240" w:lineRule="auto"/>
    </w:pPr>
    <w:rPr>
      <w:sz w:val="20"/>
      <w:szCs w:val="20"/>
    </w:rPr>
  </w:style>
  <w:style w:type="character" w:customStyle="1" w:styleId="CommentTextChar">
    <w:name w:val="Comment Text Char"/>
    <w:basedOn w:val="DefaultParagraphFont"/>
    <w:link w:val="CommentText"/>
    <w:uiPriority w:val="99"/>
    <w:semiHidden/>
    <w:rsid w:val="0017575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175755"/>
    <w:rPr>
      <w:b/>
      <w:bCs/>
    </w:rPr>
  </w:style>
  <w:style w:type="character" w:customStyle="1" w:styleId="CommentSubjectChar">
    <w:name w:val="Comment Subject Char"/>
    <w:basedOn w:val="CommentTextChar"/>
    <w:link w:val="CommentSubject"/>
    <w:uiPriority w:val="99"/>
    <w:semiHidden/>
    <w:rsid w:val="00175755"/>
    <w:rPr>
      <w:rFonts w:ascii="Times New Roman" w:hAnsi="Times New Roman"/>
      <w:b/>
      <w:bCs/>
      <w:sz w:val="20"/>
      <w:szCs w:val="20"/>
    </w:rPr>
  </w:style>
  <w:style w:type="paragraph" w:styleId="BalloonText">
    <w:name w:val="Balloon Text"/>
    <w:basedOn w:val="Normal"/>
    <w:link w:val="BalloonTextChar"/>
    <w:uiPriority w:val="99"/>
    <w:semiHidden/>
    <w:unhideWhenUsed/>
    <w:rsid w:val="001757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755"/>
    <w:rPr>
      <w:rFonts w:ascii="Segoe UI" w:hAnsi="Segoe UI" w:cs="Segoe UI"/>
      <w:sz w:val="18"/>
      <w:szCs w:val="18"/>
    </w:rPr>
  </w:style>
  <w:style w:type="table" w:styleId="TableGrid">
    <w:name w:val="Table Grid"/>
    <w:basedOn w:val="TableNormal"/>
    <w:uiPriority w:val="39"/>
    <w:rsid w:val="001757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75755"/>
    <w:rPr>
      <w:color w:val="0563C1" w:themeColor="hyperlink"/>
      <w:u w:val="single"/>
    </w:rPr>
  </w:style>
  <w:style w:type="paragraph" w:styleId="FootnoteText">
    <w:name w:val="footnote text"/>
    <w:basedOn w:val="Normal"/>
    <w:link w:val="FootnoteTextChar"/>
    <w:uiPriority w:val="99"/>
    <w:semiHidden/>
    <w:unhideWhenUsed/>
    <w:rsid w:val="009E19D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E19D9"/>
    <w:rPr>
      <w:rFonts w:ascii="Times New Roman" w:hAnsi="Times New Roman"/>
      <w:sz w:val="20"/>
      <w:szCs w:val="20"/>
    </w:rPr>
  </w:style>
  <w:style w:type="character" w:styleId="FootnoteReference">
    <w:name w:val="footnote reference"/>
    <w:basedOn w:val="DefaultParagraphFont"/>
    <w:uiPriority w:val="99"/>
    <w:semiHidden/>
    <w:unhideWhenUsed/>
    <w:rsid w:val="009E19D9"/>
    <w:rPr>
      <w:vertAlign w:val="superscript"/>
    </w:rPr>
  </w:style>
  <w:style w:type="character" w:customStyle="1" w:styleId="apple-converted-space">
    <w:name w:val="apple-converted-space"/>
    <w:basedOn w:val="DefaultParagraphFont"/>
    <w:rsid w:val="00FA478F"/>
  </w:style>
  <w:style w:type="paragraph" w:customStyle="1" w:styleId="Standard1">
    <w:name w:val="Standard1"/>
    <w:uiPriority w:val="99"/>
    <w:rsid w:val="00204D47"/>
    <w:pPr>
      <w:widowControl w:val="0"/>
      <w:suppressAutoHyphens/>
      <w:autoSpaceDN w:val="0"/>
      <w:spacing w:after="0" w:line="240" w:lineRule="auto"/>
      <w:textAlignment w:val="baseline"/>
    </w:pPr>
    <w:rPr>
      <w:rFonts w:ascii="Times New Roman" w:eastAsia="DejaVu Sans" w:hAnsi="Times New Roman" w:cs="DejaVu Sans"/>
      <w:kern w:val="3"/>
      <w:sz w:val="24"/>
      <w:szCs w:val="24"/>
      <w:lang w:val="en-US" w:eastAsia="en-IE"/>
    </w:rPr>
  </w:style>
  <w:style w:type="paragraph" w:styleId="Header">
    <w:name w:val="header"/>
    <w:basedOn w:val="Normal"/>
    <w:link w:val="HeaderChar"/>
    <w:uiPriority w:val="99"/>
    <w:unhideWhenUsed/>
    <w:rsid w:val="006B45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455E"/>
    <w:rPr>
      <w:rFonts w:ascii="Times New Roman" w:hAnsi="Times New Roman"/>
    </w:rPr>
  </w:style>
  <w:style w:type="paragraph" w:styleId="Footer">
    <w:name w:val="footer"/>
    <w:basedOn w:val="Normal"/>
    <w:link w:val="FooterChar"/>
    <w:uiPriority w:val="99"/>
    <w:unhideWhenUsed/>
    <w:rsid w:val="006B45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455E"/>
    <w:rPr>
      <w:rFonts w:ascii="Times New Roman" w:hAnsi="Times New Roman"/>
    </w:rPr>
  </w:style>
  <w:style w:type="paragraph" w:styleId="Revision">
    <w:name w:val="Revision"/>
    <w:hidden/>
    <w:uiPriority w:val="99"/>
    <w:semiHidden/>
    <w:rsid w:val="006B455E"/>
    <w:pPr>
      <w:spacing w:after="0"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665838">
      <w:bodyDiv w:val="1"/>
      <w:marLeft w:val="0"/>
      <w:marRight w:val="0"/>
      <w:marTop w:val="0"/>
      <w:marBottom w:val="0"/>
      <w:divBdr>
        <w:top w:val="none" w:sz="0" w:space="0" w:color="auto"/>
        <w:left w:val="none" w:sz="0" w:space="0" w:color="auto"/>
        <w:bottom w:val="none" w:sz="0" w:space="0" w:color="auto"/>
        <w:right w:val="none" w:sz="0" w:space="0" w:color="auto"/>
      </w:divBdr>
    </w:div>
    <w:div w:id="364984990">
      <w:bodyDiv w:val="1"/>
      <w:marLeft w:val="0"/>
      <w:marRight w:val="0"/>
      <w:marTop w:val="0"/>
      <w:marBottom w:val="0"/>
      <w:divBdr>
        <w:top w:val="none" w:sz="0" w:space="0" w:color="auto"/>
        <w:left w:val="none" w:sz="0" w:space="0" w:color="auto"/>
        <w:bottom w:val="none" w:sz="0" w:space="0" w:color="auto"/>
        <w:right w:val="none" w:sz="0" w:space="0" w:color="auto"/>
      </w:divBdr>
    </w:div>
    <w:div w:id="416440807">
      <w:bodyDiv w:val="1"/>
      <w:marLeft w:val="0"/>
      <w:marRight w:val="0"/>
      <w:marTop w:val="0"/>
      <w:marBottom w:val="0"/>
      <w:divBdr>
        <w:top w:val="none" w:sz="0" w:space="0" w:color="auto"/>
        <w:left w:val="none" w:sz="0" w:space="0" w:color="auto"/>
        <w:bottom w:val="none" w:sz="0" w:space="0" w:color="auto"/>
        <w:right w:val="none" w:sz="0" w:space="0" w:color="auto"/>
      </w:divBdr>
    </w:div>
    <w:div w:id="441725840">
      <w:bodyDiv w:val="1"/>
      <w:marLeft w:val="0"/>
      <w:marRight w:val="0"/>
      <w:marTop w:val="0"/>
      <w:marBottom w:val="0"/>
      <w:divBdr>
        <w:top w:val="none" w:sz="0" w:space="0" w:color="auto"/>
        <w:left w:val="none" w:sz="0" w:space="0" w:color="auto"/>
        <w:bottom w:val="none" w:sz="0" w:space="0" w:color="auto"/>
        <w:right w:val="none" w:sz="0" w:space="0" w:color="auto"/>
      </w:divBdr>
    </w:div>
    <w:div w:id="614867750">
      <w:bodyDiv w:val="1"/>
      <w:marLeft w:val="0"/>
      <w:marRight w:val="0"/>
      <w:marTop w:val="0"/>
      <w:marBottom w:val="0"/>
      <w:divBdr>
        <w:top w:val="none" w:sz="0" w:space="0" w:color="auto"/>
        <w:left w:val="none" w:sz="0" w:space="0" w:color="auto"/>
        <w:bottom w:val="none" w:sz="0" w:space="0" w:color="auto"/>
        <w:right w:val="none" w:sz="0" w:space="0" w:color="auto"/>
      </w:divBdr>
    </w:div>
    <w:div w:id="836385436">
      <w:bodyDiv w:val="1"/>
      <w:marLeft w:val="0"/>
      <w:marRight w:val="0"/>
      <w:marTop w:val="0"/>
      <w:marBottom w:val="0"/>
      <w:divBdr>
        <w:top w:val="none" w:sz="0" w:space="0" w:color="auto"/>
        <w:left w:val="none" w:sz="0" w:space="0" w:color="auto"/>
        <w:bottom w:val="none" w:sz="0" w:space="0" w:color="auto"/>
        <w:right w:val="none" w:sz="0" w:space="0" w:color="auto"/>
      </w:divBdr>
    </w:div>
    <w:div w:id="1002857599">
      <w:bodyDiv w:val="1"/>
      <w:marLeft w:val="0"/>
      <w:marRight w:val="0"/>
      <w:marTop w:val="0"/>
      <w:marBottom w:val="0"/>
      <w:divBdr>
        <w:top w:val="none" w:sz="0" w:space="0" w:color="auto"/>
        <w:left w:val="none" w:sz="0" w:space="0" w:color="auto"/>
        <w:bottom w:val="none" w:sz="0" w:space="0" w:color="auto"/>
        <w:right w:val="none" w:sz="0" w:space="0" w:color="auto"/>
      </w:divBdr>
    </w:div>
    <w:div w:id="1189102243">
      <w:bodyDiv w:val="1"/>
      <w:marLeft w:val="0"/>
      <w:marRight w:val="0"/>
      <w:marTop w:val="0"/>
      <w:marBottom w:val="0"/>
      <w:divBdr>
        <w:top w:val="none" w:sz="0" w:space="0" w:color="auto"/>
        <w:left w:val="none" w:sz="0" w:space="0" w:color="auto"/>
        <w:bottom w:val="none" w:sz="0" w:space="0" w:color="auto"/>
        <w:right w:val="none" w:sz="0" w:space="0" w:color="auto"/>
      </w:divBdr>
    </w:div>
    <w:div w:id="1864317423">
      <w:bodyDiv w:val="1"/>
      <w:marLeft w:val="0"/>
      <w:marRight w:val="0"/>
      <w:marTop w:val="0"/>
      <w:marBottom w:val="0"/>
      <w:divBdr>
        <w:top w:val="none" w:sz="0" w:space="0" w:color="auto"/>
        <w:left w:val="none" w:sz="0" w:space="0" w:color="auto"/>
        <w:bottom w:val="none" w:sz="0" w:space="0" w:color="auto"/>
        <w:right w:val="none" w:sz="0" w:space="0" w:color="auto"/>
      </w:divBdr>
    </w:div>
    <w:div w:id="2036880983">
      <w:bodyDiv w:val="1"/>
      <w:marLeft w:val="0"/>
      <w:marRight w:val="0"/>
      <w:marTop w:val="0"/>
      <w:marBottom w:val="0"/>
      <w:divBdr>
        <w:top w:val="none" w:sz="0" w:space="0" w:color="auto"/>
        <w:left w:val="none" w:sz="0" w:space="0" w:color="auto"/>
        <w:bottom w:val="none" w:sz="0" w:space="0" w:color="auto"/>
        <w:right w:val="none" w:sz="0" w:space="0" w:color="auto"/>
      </w:divBdr>
    </w:div>
    <w:div w:id="2129666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openxmlformats.org/officeDocument/2006/relationships/oleObject" Target="file:///\\campus\home\home2015\b5062767\PhD\UKPIN%20Report%20Article\Data\UKPID-publication-queries-2017-UPDATED%2029.8.17.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ampus\home\home2015\b5062767\PhD\UKPIN%20Report%20Article\Data\ukpinexcelresult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ampus\home\home2015\b5062767\PhD\UKPIN%20Report%20Article\Data\UKPIN%20Incidence%20Data.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ampus\home\home2015\b5062767\PhD\UKPIN%20Report%20Article\Data\UKPID-publication-queries-2017-UPDATED%2029.8.17.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7293547148069912E-2"/>
          <c:y val="2.5150730330894069E-2"/>
          <c:w val="0.8966088918763202"/>
          <c:h val="0.77013436234377985"/>
        </c:manualLayout>
      </c:layout>
      <c:lineChart>
        <c:grouping val="standard"/>
        <c:varyColors val="0"/>
        <c:ser>
          <c:idx val="0"/>
          <c:order val="0"/>
          <c:tx>
            <c:strRef>
              <c:f>'Q5'!$F$1</c:f>
              <c:strCache>
                <c:ptCount val="1"/>
                <c:pt idx="0">
                  <c:v>recruitment</c:v>
                </c:pt>
              </c:strCache>
            </c:strRef>
          </c:tx>
          <c:spPr>
            <a:ln w="28575" cap="rnd">
              <a:solidFill>
                <a:schemeClr val="accent1"/>
              </a:solidFill>
              <a:round/>
            </a:ln>
            <a:effectLst/>
          </c:spPr>
          <c:marker>
            <c:symbol val="none"/>
          </c:marker>
          <c:dLbls>
            <c:dLbl>
              <c:idx val="1"/>
              <c:delete val="1"/>
              <c:extLst>
                <c:ext xmlns:c15="http://schemas.microsoft.com/office/drawing/2012/chart" uri="{CE6537A1-D6FC-4f65-9D91-7224C49458BB}"/>
                <c:ext xmlns:c16="http://schemas.microsoft.com/office/drawing/2014/chart" uri="{C3380CC4-5D6E-409C-BE32-E72D297353CC}">
                  <c16:uniqueId val="{00000000-D718-40BF-8693-760F8025F4B4}"/>
                </c:ext>
              </c:extLst>
            </c:dLbl>
            <c:dLbl>
              <c:idx val="2"/>
              <c:delete val="1"/>
              <c:extLst>
                <c:ext xmlns:c15="http://schemas.microsoft.com/office/drawing/2012/chart" uri="{CE6537A1-D6FC-4f65-9D91-7224C49458BB}"/>
                <c:ext xmlns:c16="http://schemas.microsoft.com/office/drawing/2014/chart" uri="{C3380CC4-5D6E-409C-BE32-E72D297353CC}">
                  <c16:uniqueId val="{00000001-D718-40BF-8693-760F8025F4B4}"/>
                </c:ext>
              </c:extLst>
            </c:dLbl>
            <c:dLbl>
              <c:idx val="3"/>
              <c:delete val="1"/>
              <c:extLst>
                <c:ext xmlns:c15="http://schemas.microsoft.com/office/drawing/2012/chart" uri="{CE6537A1-D6FC-4f65-9D91-7224C49458BB}"/>
                <c:ext xmlns:c16="http://schemas.microsoft.com/office/drawing/2014/chart" uri="{C3380CC4-5D6E-409C-BE32-E72D297353CC}">
                  <c16:uniqueId val="{00000002-D718-40BF-8693-760F8025F4B4}"/>
                </c:ext>
              </c:extLst>
            </c:dLbl>
            <c:dLbl>
              <c:idx val="4"/>
              <c:delete val="1"/>
              <c:extLst>
                <c:ext xmlns:c15="http://schemas.microsoft.com/office/drawing/2012/chart" uri="{CE6537A1-D6FC-4f65-9D91-7224C49458BB}"/>
                <c:ext xmlns:c16="http://schemas.microsoft.com/office/drawing/2014/chart" uri="{C3380CC4-5D6E-409C-BE32-E72D297353CC}">
                  <c16:uniqueId val="{00000003-D718-40BF-8693-760F8025F4B4}"/>
                </c:ext>
              </c:extLst>
            </c:dLbl>
            <c:dLbl>
              <c:idx val="5"/>
              <c:delete val="1"/>
              <c:extLst>
                <c:ext xmlns:c15="http://schemas.microsoft.com/office/drawing/2012/chart" uri="{CE6537A1-D6FC-4f65-9D91-7224C49458BB}"/>
                <c:ext xmlns:c16="http://schemas.microsoft.com/office/drawing/2014/chart" uri="{C3380CC4-5D6E-409C-BE32-E72D297353CC}">
                  <c16:uniqueId val="{00000004-D718-40BF-8693-760F8025F4B4}"/>
                </c:ext>
              </c:extLst>
            </c:dLbl>
            <c:dLbl>
              <c:idx val="7"/>
              <c:delete val="1"/>
              <c:extLst>
                <c:ext xmlns:c15="http://schemas.microsoft.com/office/drawing/2012/chart" uri="{CE6537A1-D6FC-4f65-9D91-7224C49458BB}"/>
                <c:ext xmlns:c16="http://schemas.microsoft.com/office/drawing/2014/chart" uri="{C3380CC4-5D6E-409C-BE32-E72D297353CC}">
                  <c16:uniqueId val="{00000005-D718-40BF-8693-760F8025F4B4}"/>
                </c:ext>
              </c:extLst>
            </c:dLbl>
            <c:dLbl>
              <c:idx val="8"/>
              <c:delete val="1"/>
              <c:extLst>
                <c:ext xmlns:c15="http://schemas.microsoft.com/office/drawing/2012/chart" uri="{CE6537A1-D6FC-4f65-9D91-7224C49458BB}"/>
                <c:ext xmlns:c16="http://schemas.microsoft.com/office/drawing/2014/chart" uri="{C3380CC4-5D6E-409C-BE32-E72D297353CC}">
                  <c16:uniqueId val="{00000006-D718-40BF-8693-760F8025F4B4}"/>
                </c:ext>
              </c:extLst>
            </c:dLbl>
            <c:dLbl>
              <c:idx val="9"/>
              <c:delete val="1"/>
              <c:extLst>
                <c:ext xmlns:c15="http://schemas.microsoft.com/office/drawing/2012/chart" uri="{CE6537A1-D6FC-4f65-9D91-7224C49458BB}"/>
                <c:ext xmlns:c16="http://schemas.microsoft.com/office/drawing/2014/chart" uri="{C3380CC4-5D6E-409C-BE32-E72D297353CC}">
                  <c16:uniqueId val="{00000007-D718-40BF-8693-760F8025F4B4}"/>
                </c:ext>
              </c:extLst>
            </c:dLbl>
            <c:dLbl>
              <c:idx val="10"/>
              <c:delete val="1"/>
              <c:extLst>
                <c:ext xmlns:c15="http://schemas.microsoft.com/office/drawing/2012/chart" uri="{CE6537A1-D6FC-4f65-9D91-7224C49458BB}"/>
                <c:ext xmlns:c16="http://schemas.microsoft.com/office/drawing/2014/chart" uri="{C3380CC4-5D6E-409C-BE32-E72D297353CC}">
                  <c16:uniqueId val="{00000008-D718-40BF-8693-760F8025F4B4}"/>
                </c:ext>
              </c:extLst>
            </c:dLbl>
            <c:dLbl>
              <c:idx val="11"/>
              <c:delete val="1"/>
              <c:extLst>
                <c:ext xmlns:c15="http://schemas.microsoft.com/office/drawing/2012/chart" uri="{CE6537A1-D6FC-4f65-9D91-7224C49458BB}"/>
                <c:ext xmlns:c16="http://schemas.microsoft.com/office/drawing/2014/chart" uri="{C3380CC4-5D6E-409C-BE32-E72D297353CC}">
                  <c16:uniqueId val="{00000009-D718-40BF-8693-760F8025F4B4}"/>
                </c:ext>
              </c:extLst>
            </c:dLbl>
            <c:dLbl>
              <c:idx val="13"/>
              <c:delete val="1"/>
              <c:extLst>
                <c:ext xmlns:c15="http://schemas.microsoft.com/office/drawing/2012/chart" uri="{CE6537A1-D6FC-4f65-9D91-7224C49458BB}"/>
                <c:ext xmlns:c16="http://schemas.microsoft.com/office/drawing/2014/chart" uri="{C3380CC4-5D6E-409C-BE32-E72D297353CC}">
                  <c16:uniqueId val="{0000000A-D718-40BF-8693-760F8025F4B4}"/>
                </c:ext>
              </c:extLst>
            </c:dLbl>
            <c:dLbl>
              <c:idx val="14"/>
              <c:delete val="1"/>
              <c:extLst>
                <c:ext xmlns:c15="http://schemas.microsoft.com/office/drawing/2012/chart" uri="{CE6537A1-D6FC-4f65-9D91-7224C49458BB}"/>
                <c:ext xmlns:c16="http://schemas.microsoft.com/office/drawing/2014/chart" uri="{C3380CC4-5D6E-409C-BE32-E72D297353CC}">
                  <c16:uniqueId val="{0000000B-D718-40BF-8693-760F8025F4B4}"/>
                </c:ext>
              </c:extLst>
            </c:dLbl>
            <c:dLbl>
              <c:idx val="15"/>
              <c:delete val="1"/>
              <c:extLst>
                <c:ext xmlns:c15="http://schemas.microsoft.com/office/drawing/2012/chart" uri="{CE6537A1-D6FC-4f65-9D91-7224C49458BB}"/>
                <c:ext xmlns:c16="http://schemas.microsoft.com/office/drawing/2014/chart" uri="{C3380CC4-5D6E-409C-BE32-E72D297353CC}">
                  <c16:uniqueId val="{0000000C-D718-40BF-8693-760F8025F4B4}"/>
                </c:ext>
              </c:extLst>
            </c:dLbl>
            <c:dLbl>
              <c:idx val="16"/>
              <c:delete val="1"/>
              <c:extLst>
                <c:ext xmlns:c15="http://schemas.microsoft.com/office/drawing/2012/chart" uri="{CE6537A1-D6FC-4f65-9D91-7224C49458BB}"/>
                <c:ext xmlns:c16="http://schemas.microsoft.com/office/drawing/2014/chart" uri="{C3380CC4-5D6E-409C-BE32-E72D297353CC}">
                  <c16:uniqueId val="{0000000D-D718-40BF-8693-760F8025F4B4}"/>
                </c:ext>
              </c:extLst>
            </c:dLbl>
            <c:dLbl>
              <c:idx val="17"/>
              <c:delete val="1"/>
              <c:extLst>
                <c:ext xmlns:c15="http://schemas.microsoft.com/office/drawing/2012/chart" uri="{CE6537A1-D6FC-4f65-9D91-7224C49458BB}"/>
                <c:ext xmlns:c16="http://schemas.microsoft.com/office/drawing/2014/chart" uri="{C3380CC4-5D6E-409C-BE32-E72D297353CC}">
                  <c16:uniqueId val="{0000000E-D718-40BF-8693-760F8025F4B4}"/>
                </c:ext>
              </c:extLst>
            </c:dLbl>
            <c:dLbl>
              <c:idx val="19"/>
              <c:delete val="1"/>
              <c:extLst>
                <c:ext xmlns:c15="http://schemas.microsoft.com/office/drawing/2012/chart" uri="{CE6537A1-D6FC-4f65-9D91-7224C49458BB}"/>
                <c:ext xmlns:c16="http://schemas.microsoft.com/office/drawing/2014/chart" uri="{C3380CC4-5D6E-409C-BE32-E72D297353CC}">
                  <c16:uniqueId val="{0000000F-D718-40BF-8693-760F8025F4B4}"/>
                </c:ext>
              </c:extLst>
            </c:dLbl>
            <c:dLbl>
              <c:idx val="20"/>
              <c:delete val="1"/>
              <c:extLst>
                <c:ext xmlns:c15="http://schemas.microsoft.com/office/drawing/2012/chart" uri="{CE6537A1-D6FC-4f65-9D91-7224C49458BB}"/>
                <c:ext xmlns:c16="http://schemas.microsoft.com/office/drawing/2014/chart" uri="{C3380CC4-5D6E-409C-BE32-E72D297353CC}">
                  <c16:uniqueId val="{00000010-D718-40BF-8693-760F8025F4B4}"/>
                </c:ext>
              </c:extLst>
            </c:dLbl>
            <c:dLbl>
              <c:idx val="21"/>
              <c:delete val="1"/>
              <c:extLst>
                <c:ext xmlns:c15="http://schemas.microsoft.com/office/drawing/2012/chart" uri="{CE6537A1-D6FC-4f65-9D91-7224C49458BB}"/>
                <c:ext xmlns:c16="http://schemas.microsoft.com/office/drawing/2014/chart" uri="{C3380CC4-5D6E-409C-BE32-E72D297353CC}">
                  <c16:uniqueId val="{00000011-D718-40BF-8693-760F8025F4B4}"/>
                </c:ext>
              </c:extLst>
            </c:dLbl>
            <c:dLbl>
              <c:idx val="22"/>
              <c:delete val="1"/>
              <c:extLst>
                <c:ext xmlns:c15="http://schemas.microsoft.com/office/drawing/2012/chart" uri="{CE6537A1-D6FC-4f65-9D91-7224C49458BB}"/>
                <c:ext xmlns:c16="http://schemas.microsoft.com/office/drawing/2014/chart" uri="{C3380CC4-5D6E-409C-BE32-E72D297353CC}">
                  <c16:uniqueId val="{00000012-D718-40BF-8693-760F8025F4B4}"/>
                </c:ext>
              </c:extLst>
            </c:dLbl>
            <c:dLbl>
              <c:idx val="23"/>
              <c:delete val="1"/>
              <c:extLst>
                <c:ext xmlns:c15="http://schemas.microsoft.com/office/drawing/2012/chart" uri="{CE6537A1-D6FC-4f65-9D91-7224C49458BB}"/>
                <c:ext xmlns:c16="http://schemas.microsoft.com/office/drawing/2014/chart" uri="{C3380CC4-5D6E-409C-BE32-E72D297353CC}">
                  <c16:uniqueId val="{00000013-D718-40BF-8693-760F8025F4B4}"/>
                </c:ext>
              </c:extLst>
            </c:dLbl>
            <c:dLbl>
              <c:idx val="25"/>
              <c:delete val="1"/>
              <c:extLst>
                <c:ext xmlns:c15="http://schemas.microsoft.com/office/drawing/2012/chart" uri="{CE6537A1-D6FC-4f65-9D91-7224C49458BB}"/>
                <c:ext xmlns:c16="http://schemas.microsoft.com/office/drawing/2014/chart" uri="{C3380CC4-5D6E-409C-BE32-E72D297353CC}">
                  <c16:uniqueId val="{00000014-D718-40BF-8693-760F8025F4B4}"/>
                </c:ext>
              </c:extLst>
            </c:dLbl>
            <c:dLbl>
              <c:idx val="26"/>
              <c:delete val="1"/>
              <c:extLst>
                <c:ext xmlns:c15="http://schemas.microsoft.com/office/drawing/2012/chart" uri="{CE6537A1-D6FC-4f65-9D91-7224C49458BB}"/>
                <c:ext xmlns:c16="http://schemas.microsoft.com/office/drawing/2014/chart" uri="{C3380CC4-5D6E-409C-BE32-E72D297353CC}">
                  <c16:uniqueId val="{00000015-D718-40BF-8693-760F8025F4B4}"/>
                </c:ext>
              </c:extLst>
            </c:dLbl>
            <c:dLbl>
              <c:idx val="27"/>
              <c:delete val="1"/>
              <c:extLst>
                <c:ext xmlns:c15="http://schemas.microsoft.com/office/drawing/2012/chart" uri="{CE6537A1-D6FC-4f65-9D91-7224C49458BB}"/>
                <c:ext xmlns:c16="http://schemas.microsoft.com/office/drawing/2014/chart" uri="{C3380CC4-5D6E-409C-BE32-E72D297353CC}">
                  <c16:uniqueId val="{00000016-D718-40BF-8693-760F8025F4B4}"/>
                </c:ext>
              </c:extLst>
            </c:dLbl>
            <c:dLbl>
              <c:idx val="28"/>
              <c:delete val="1"/>
              <c:extLst>
                <c:ext xmlns:c15="http://schemas.microsoft.com/office/drawing/2012/chart" uri="{CE6537A1-D6FC-4f65-9D91-7224C49458BB}"/>
                <c:ext xmlns:c16="http://schemas.microsoft.com/office/drawing/2014/chart" uri="{C3380CC4-5D6E-409C-BE32-E72D297353CC}">
                  <c16:uniqueId val="{00000017-D718-40BF-8693-760F8025F4B4}"/>
                </c:ext>
              </c:extLst>
            </c:dLbl>
            <c:dLbl>
              <c:idx val="29"/>
              <c:delete val="1"/>
              <c:extLst>
                <c:ext xmlns:c15="http://schemas.microsoft.com/office/drawing/2012/chart" uri="{CE6537A1-D6FC-4f65-9D91-7224C49458BB}"/>
                <c:ext xmlns:c16="http://schemas.microsoft.com/office/drawing/2014/chart" uri="{C3380CC4-5D6E-409C-BE32-E72D297353CC}">
                  <c16:uniqueId val="{00000018-D718-40BF-8693-760F8025F4B4}"/>
                </c:ext>
              </c:extLst>
            </c:dLbl>
            <c:dLbl>
              <c:idx val="30"/>
              <c:delete val="1"/>
              <c:extLst>
                <c:ext xmlns:c15="http://schemas.microsoft.com/office/drawing/2012/chart" uri="{CE6537A1-D6FC-4f65-9D91-7224C49458BB}"/>
                <c:ext xmlns:c16="http://schemas.microsoft.com/office/drawing/2014/chart" uri="{C3380CC4-5D6E-409C-BE32-E72D297353CC}">
                  <c16:uniqueId val="{00000019-D718-40BF-8693-760F8025F4B4}"/>
                </c:ext>
              </c:extLst>
            </c:dLbl>
            <c:dLbl>
              <c:idx val="32"/>
              <c:delete val="1"/>
              <c:extLst>
                <c:ext xmlns:c15="http://schemas.microsoft.com/office/drawing/2012/chart" uri="{CE6537A1-D6FC-4f65-9D91-7224C49458BB}"/>
                <c:ext xmlns:c16="http://schemas.microsoft.com/office/drawing/2014/chart" uri="{C3380CC4-5D6E-409C-BE32-E72D297353CC}">
                  <c16:uniqueId val="{0000001A-D718-40BF-8693-760F8025F4B4}"/>
                </c:ext>
              </c:extLst>
            </c:dLbl>
            <c:dLbl>
              <c:idx val="33"/>
              <c:delete val="1"/>
              <c:extLst>
                <c:ext xmlns:c15="http://schemas.microsoft.com/office/drawing/2012/chart" uri="{CE6537A1-D6FC-4f65-9D91-7224C49458BB}"/>
                <c:ext xmlns:c16="http://schemas.microsoft.com/office/drawing/2014/chart" uri="{C3380CC4-5D6E-409C-BE32-E72D297353CC}">
                  <c16:uniqueId val="{0000001B-D718-40BF-8693-760F8025F4B4}"/>
                </c:ext>
              </c:extLst>
            </c:dLbl>
            <c:dLbl>
              <c:idx val="34"/>
              <c:delete val="1"/>
              <c:extLst>
                <c:ext xmlns:c15="http://schemas.microsoft.com/office/drawing/2012/chart" uri="{CE6537A1-D6FC-4f65-9D91-7224C49458BB}"/>
                <c:ext xmlns:c16="http://schemas.microsoft.com/office/drawing/2014/chart" uri="{C3380CC4-5D6E-409C-BE32-E72D297353CC}">
                  <c16:uniqueId val="{0000001C-D718-40BF-8693-760F8025F4B4}"/>
                </c:ext>
              </c:extLst>
            </c:dLbl>
            <c:dLbl>
              <c:idx val="35"/>
              <c:delete val="1"/>
              <c:extLst>
                <c:ext xmlns:c15="http://schemas.microsoft.com/office/drawing/2012/chart" uri="{CE6537A1-D6FC-4f65-9D91-7224C49458BB}"/>
                <c:ext xmlns:c16="http://schemas.microsoft.com/office/drawing/2014/chart" uri="{C3380CC4-5D6E-409C-BE32-E72D297353CC}">
                  <c16:uniqueId val="{0000001D-D718-40BF-8693-760F8025F4B4}"/>
                </c:ext>
              </c:extLst>
            </c:dLbl>
            <c:dLbl>
              <c:idx val="36"/>
              <c:delete val="1"/>
              <c:extLst>
                <c:ext xmlns:c15="http://schemas.microsoft.com/office/drawing/2012/chart" uri="{CE6537A1-D6FC-4f65-9D91-7224C49458BB}"/>
                <c:ext xmlns:c16="http://schemas.microsoft.com/office/drawing/2014/chart" uri="{C3380CC4-5D6E-409C-BE32-E72D297353CC}">
                  <c16:uniqueId val="{0000001E-D718-40BF-8693-760F8025F4B4}"/>
                </c:ext>
              </c:extLst>
            </c:dLbl>
            <c:dLbl>
              <c:idx val="37"/>
              <c:delete val="1"/>
              <c:extLst>
                <c:ext xmlns:c15="http://schemas.microsoft.com/office/drawing/2012/chart" uri="{CE6537A1-D6FC-4f65-9D91-7224C49458BB}"/>
                <c:ext xmlns:c16="http://schemas.microsoft.com/office/drawing/2014/chart" uri="{C3380CC4-5D6E-409C-BE32-E72D297353CC}">
                  <c16:uniqueId val="{00000063-D718-40BF-8693-760F8025F4B4}"/>
                </c:ext>
              </c:extLst>
            </c:dLbl>
            <c:dLbl>
              <c:idx val="38"/>
              <c:delete val="1"/>
              <c:extLst>
                <c:ext xmlns:c15="http://schemas.microsoft.com/office/drawing/2012/chart" uri="{CE6537A1-D6FC-4f65-9D91-7224C49458BB}"/>
                <c:ext xmlns:c16="http://schemas.microsoft.com/office/drawing/2014/chart" uri="{C3380CC4-5D6E-409C-BE32-E72D297353CC}">
                  <c16:uniqueId val="{0000001F-D718-40BF-8693-760F8025F4B4}"/>
                </c:ext>
              </c:extLst>
            </c:dLbl>
            <c:dLbl>
              <c:idx val="39"/>
              <c:delete val="1"/>
              <c:extLst>
                <c:ext xmlns:c15="http://schemas.microsoft.com/office/drawing/2012/chart" uri="{CE6537A1-D6FC-4f65-9D91-7224C49458BB}"/>
                <c:ext xmlns:c16="http://schemas.microsoft.com/office/drawing/2014/chart" uri="{C3380CC4-5D6E-409C-BE32-E72D297353CC}">
                  <c16:uniqueId val="{00000020-D718-40BF-8693-760F8025F4B4}"/>
                </c:ext>
              </c:extLst>
            </c:dLbl>
            <c:dLbl>
              <c:idx val="40"/>
              <c:delete val="1"/>
              <c:extLst>
                <c:ext xmlns:c15="http://schemas.microsoft.com/office/drawing/2012/chart" uri="{CE6537A1-D6FC-4f65-9D91-7224C49458BB}"/>
                <c:ext xmlns:c16="http://schemas.microsoft.com/office/drawing/2014/chart" uri="{C3380CC4-5D6E-409C-BE32-E72D297353CC}">
                  <c16:uniqueId val="{00000021-D718-40BF-8693-760F8025F4B4}"/>
                </c:ext>
              </c:extLst>
            </c:dLbl>
            <c:dLbl>
              <c:idx val="41"/>
              <c:delete val="1"/>
              <c:extLst>
                <c:ext xmlns:c15="http://schemas.microsoft.com/office/drawing/2012/chart" uri="{CE6537A1-D6FC-4f65-9D91-7224C49458BB}"/>
                <c:ext xmlns:c16="http://schemas.microsoft.com/office/drawing/2014/chart" uri="{C3380CC4-5D6E-409C-BE32-E72D297353CC}">
                  <c16:uniqueId val="{00000022-D718-40BF-8693-760F8025F4B4}"/>
                </c:ext>
              </c:extLst>
            </c:dLbl>
            <c:dLbl>
              <c:idx val="42"/>
              <c:delete val="1"/>
              <c:extLst>
                <c:ext xmlns:c15="http://schemas.microsoft.com/office/drawing/2012/chart" uri="{CE6537A1-D6FC-4f65-9D91-7224C49458BB}"/>
                <c:ext xmlns:c16="http://schemas.microsoft.com/office/drawing/2014/chart" uri="{C3380CC4-5D6E-409C-BE32-E72D297353CC}">
                  <c16:uniqueId val="{00000023-D718-40BF-8693-760F8025F4B4}"/>
                </c:ext>
              </c:extLst>
            </c:dLbl>
            <c:dLbl>
              <c:idx val="44"/>
              <c:delete val="1"/>
              <c:extLst>
                <c:ext xmlns:c15="http://schemas.microsoft.com/office/drawing/2012/chart" uri="{CE6537A1-D6FC-4f65-9D91-7224C49458BB}"/>
                <c:ext xmlns:c16="http://schemas.microsoft.com/office/drawing/2014/chart" uri="{C3380CC4-5D6E-409C-BE32-E72D297353CC}">
                  <c16:uniqueId val="{00000024-D718-40BF-8693-760F8025F4B4}"/>
                </c:ext>
              </c:extLst>
            </c:dLbl>
            <c:dLbl>
              <c:idx val="45"/>
              <c:delete val="1"/>
              <c:extLst>
                <c:ext xmlns:c15="http://schemas.microsoft.com/office/drawing/2012/chart" uri="{CE6537A1-D6FC-4f65-9D91-7224C49458BB}"/>
                <c:ext xmlns:c16="http://schemas.microsoft.com/office/drawing/2014/chart" uri="{C3380CC4-5D6E-409C-BE32-E72D297353CC}">
                  <c16:uniqueId val="{00000025-D718-40BF-8693-760F8025F4B4}"/>
                </c:ext>
              </c:extLst>
            </c:dLbl>
            <c:dLbl>
              <c:idx val="46"/>
              <c:delete val="1"/>
              <c:extLst>
                <c:ext xmlns:c15="http://schemas.microsoft.com/office/drawing/2012/chart" uri="{CE6537A1-D6FC-4f65-9D91-7224C49458BB}"/>
                <c:ext xmlns:c16="http://schemas.microsoft.com/office/drawing/2014/chart" uri="{C3380CC4-5D6E-409C-BE32-E72D297353CC}">
                  <c16:uniqueId val="{00000026-D718-40BF-8693-760F8025F4B4}"/>
                </c:ext>
              </c:extLst>
            </c:dLbl>
            <c:dLbl>
              <c:idx val="47"/>
              <c:delete val="1"/>
              <c:extLst>
                <c:ext xmlns:c15="http://schemas.microsoft.com/office/drawing/2012/chart" uri="{CE6537A1-D6FC-4f65-9D91-7224C49458BB}"/>
                <c:ext xmlns:c16="http://schemas.microsoft.com/office/drawing/2014/chart" uri="{C3380CC4-5D6E-409C-BE32-E72D297353CC}">
                  <c16:uniqueId val="{00000027-D718-40BF-8693-760F8025F4B4}"/>
                </c:ext>
              </c:extLst>
            </c:dLbl>
            <c:dLbl>
              <c:idx val="48"/>
              <c:delete val="1"/>
              <c:extLst>
                <c:ext xmlns:c15="http://schemas.microsoft.com/office/drawing/2012/chart" uri="{CE6537A1-D6FC-4f65-9D91-7224C49458BB}"/>
                <c:ext xmlns:c16="http://schemas.microsoft.com/office/drawing/2014/chart" uri="{C3380CC4-5D6E-409C-BE32-E72D297353CC}">
                  <c16:uniqueId val="{00000028-D718-40BF-8693-760F8025F4B4}"/>
                </c:ext>
              </c:extLst>
            </c:dLbl>
            <c:dLbl>
              <c:idx val="50"/>
              <c:delete val="1"/>
              <c:extLst>
                <c:ext xmlns:c15="http://schemas.microsoft.com/office/drawing/2012/chart" uri="{CE6537A1-D6FC-4f65-9D91-7224C49458BB}"/>
                <c:ext xmlns:c16="http://schemas.microsoft.com/office/drawing/2014/chart" uri="{C3380CC4-5D6E-409C-BE32-E72D297353CC}">
                  <c16:uniqueId val="{00000029-D718-40BF-8693-760F8025F4B4}"/>
                </c:ext>
              </c:extLst>
            </c:dLbl>
            <c:dLbl>
              <c:idx val="51"/>
              <c:delete val="1"/>
              <c:extLst>
                <c:ext xmlns:c15="http://schemas.microsoft.com/office/drawing/2012/chart" uri="{CE6537A1-D6FC-4f65-9D91-7224C49458BB}"/>
                <c:ext xmlns:c16="http://schemas.microsoft.com/office/drawing/2014/chart" uri="{C3380CC4-5D6E-409C-BE32-E72D297353CC}">
                  <c16:uniqueId val="{0000002A-D718-40BF-8693-760F8025F4B4}"/>
                </c:ext>
              </c:extLst>
            </c:dLbl>
            <c:dLbl>
              <c:idx val="52"/>
              <c:delete val="1"/>
              <c:extLst>
                <c:ext xmlns:c15="http://schemas.microsoft.com/office/drawing/2012/chart" uri="{CE6537A1-D6FC-4f65-9D91-7224C49458BB}"/>
                <c:ext xmlns:c16="http://schemas.microsoft.com/office/drawing/2014/chart" uri="{C3380CC4-5D6E-409C-BE32-E72D297353CC}">
                  <c16:uniqueId val="{0000002B-D718-40BF-8693-760F8025F4B4}"/>
                </c:ext>
              </c:extLst>
            </c:dLbl>
            <c:dLbl>
              <c:idx val="53"/>
              <c:delete val="1"/>
              <c:extLst>
                <c:ext xmlns:c15="http://schemas.microsoft.com/office/drawing/2012/chart" uri="{CE6537A1-D6FC-4f65-9D91-7224C49458BB}"/>
                <c:ext xmlns:c16="http://schemas.microsoft.com/office/drawing/2014/chart" uri="{C3380CC4-5D6E-409C-BE32-E72D297353CC}">
                  <c16:uniqueId val="{0000002C-D718-40BF-8693-760F8025F4B4}"/>
                </c:ext>
              </c:extLst>
            </c:dLbl>
            <c:dLbl>
              <c:idx val="54"/>
              <c:delete val="1"/>
              <c:extLst>
                <c:ext xmlns:c15="http://schemas.microsoft.com/office/drawing/2012/chart" uri="{CE6537A1-D6FC-4f65-9D91-7224C49458BB}"/>
                <c:ext xmlns:c16="http://schemas.microsoft.com/office/drawing/2014/chart" uri="{C3380CC4-5D6E-409C-BE32-E72D297353CC}">
                  <c16:uniqueId val="{0000002D-D718-40BF-8693-760F8025F4B4}"/>
                </c:ext>
              </c:extLst>
            </c:dLbl>
            <c:dLbl>
              <c:idx val="56"/>
              <c:delete val="1"/>
              <c:extLst>
                <c:ext xmlns:c15="http://schemas.microsoft.com/office/drawing/2012/chart" uri="{CE6537A1-D6FC-4f65-9D91-7224C49458BB}"/>
                <c:ext xmlns:c16="http://schemas.microsoft.com/office/drawing/2014/chart" uri="{C3380CC4-5D6E-409C-BE32-E72D297353CC}">
                  <c16:uniqueId val="{0000002E-D718-40BF-8693-760F8025F4B4}"/>
                </c:ext>
              </c:extLst>
            </c:dLbl>
            <c:dLbl>
              <c:idx val="57"/>
              <c:delete val="1"/>
              <c:extLst>
                <c:ext xmlns:c15="http://schemas.microsoft.com/office/drawing/2012/chart" uri="{CE6537A1-D6FC-4f65-9D91-7224C49458BB}"/>
                <c:ext xmlns:c16="http://schemas.microsoft.com/office/drawing/2014/chart" uri="{C3380CC4-5D6E-409C-BE32-E72D297353CC}">
                  <c16:uniqueId val="{0000002F-D718-40BF-8693-760F8025F4B4}"/>
                </c:ext>
              </c:extLst>
            </c:dLbl>
            <c:dLbl>
              <c:idx val="58"/>
              <c:delete val="1"/>
              <c:extLst>
                <c:ext xmlns:c15="http://schemas.microsoft.com/office/drawing/2012/chart" uri="{CE6537A1-D6FC-4f65-9D91-7224C49458BB}"/>
                <c:ext xmlns:c16="http://schemas.microsoft.com/office/drawing/2014/chart" uri="{C3380CC4-5D6E-409C-BE32-E72D297353CC}">
                  <c16:uniqueId val="{00000030-D718-40BF-8693-760F8025F4B4}"/>
                </c:ext>
              </c:extLst>
            </c:dLbl>
            <c:dLbl>
              <c:idx val="59"/>
              <c:delete val="1"/>
              <c:extLst>
                <c:ext xmlns:c15="http://schemas.microsoft.com/office/drawing/2012/chart" uri="{CE6537A1-D6FC-4f65-9D91-7224C49458BB}"/>
                <c:ext xmlns:c16="http://schemas.microsoft.com/office/drawing/2014/chart" uri="{C3380CC4-5D6E-409C-BE32-E72D297353CC}">
                  <c16:uniqueId val="{00000031-D718-40BF-8693-760F8025F4B4}"/>
                </c:ext>
              </c:extLst>
            </c:dLbl>
            <c:dLbl>
              <c:idx val="60"/>
              <c:delete val="1"/>
              <c:extLst>
                <c:ext xmlns:c15="http://schemas.microsoft.com/office/drawing/2012/chart" uri="{CE6537A1-D6FC-4f65-9D91-7224C49458BB}"/>
                <c:ext xmlns:c16="http://schemas.microsoft.com/office/drawing/2014/chart" uri="{C3380CC4-5D6E-409C-BE32-E72D297353CC}">
                  <c16:uniqueId val="{00000032-D718-40BF-8693-760F8025F4B4}"/>
                </c:ext>
              </c:extLst>
            </c:dLbl>
            <c:dLbl>
              <c:idx val="62"/>
              <c:delete val="1"/>
              <c:extLst>
                <c:ext xmlns:c15="http://schemas.microsoft.com/office/drawing/2012/chart" uri="{CE6537A1-D6FC-4f65-9D91-7224C49458BB}"/>
                <c:ext xmlns:c16="http://schemas.microsoft.com/office/drawing/2014/chart" uri="{C3380CC4-5D6E-409C-BE32-E72D297353CC}">
                  <c16:uniqueId val="{00000033-D718-40BF-8693-760F8025F4B4}"/>
                </c:ext>
              </c:extLst>
            </c:dLbl>
            <c:dLbl>
              <c:idx val="63"/>
              <c:delete val="1"/>
              <c:extLst>
                <c:ext xmlns:c15="http://schemas.microsoft.com/office/drawing/2012/chart" uri="{CE6537A1-D6FC-4f65-9D91-7224C49458BB}"/>
                <c:ext xmlns:c16="http://schemas.microsoft.com/office/drawing/2014/chart" uri="{C3380CC4-5D6E-409C-BE32-E72D297353CC}">
                  <c16:uniqueId val="{00000034-D718-40BF-8693-760F8025F4B4}"/>
                </c:ext>
              </c:extLst>
            </c:dLbl>
            <c:dLbl>
              <c:idx val="64"/>
              <c:delete val="1"/>
              <c:extLst>
                <c:ext xmlns:c15="http://schemas.microsoft.com/office/drawing/2012/chart" uri="{CE6537A1-D6FC-4f65-9D91-7224C49458BB}"/>
                <c:ext xmlns:c16="http://schemas.microsoft.com/office/drawing/2014/chart" uri="{C3380CC4-5D6E-409C-BE32-E72D297353CC}">
                  <c16:uniqueId val="{00000035-D718-40BF-8693-760F8025F4B4}"/>
                </c:ext>
              </c:extLst>
            </c:dLbl>
            <c:dLbl>
              <c:idx val="65"/>
              <c:delete val="1"/>
              <c:extLst>
                <c:ext xmlns:c15="http://schemas.microsoft.com/office/drawing/2012/chart" uri="{CE6537A1-D6FC-4f65-9D91-7224C49458BB}"/>
                <c:ext xmlns:c16="http://schemas.microsoft.com/office/drawing/2014/chart" uri="{C3380CC4-5D6E-409C-BE32-E72D297353CC}">
                  <c16:uniqueId val="{00000036-D718-40BF-8693-760F8025F4B4}"/>
                </c:ext>
              </c:extLst>
            </c:dLbl>
            <c:dLbl>
              <c:idx val="66"/>
              <c:delete val="1"/>
              <c:extLst>
                <c:ext xmlns:c15="http://schemas.microsoft.com/office/drawing/2012/chart" uri="{CE6537A1-D6FC-4f65-9D91-7224C49458BB}"/>
                <c:ext xmlns:c16="http://schemas.microsoft.com/office/drawing/2014/chart" uri="{C3380CC4-5D6E-409C-BE32-E72D297353CC}">
                  <c16:uniqueId val="{00000037-D718-40BF-8693-760F8025F4B4}"/>
                </c:ext>
              </c:extLst>
            </c:dLbl>
            <c:dLbl>
              <c:idx val="68"/>
              <c:delete val="1"/>
              <c:extLst>
                <c:ext xmlns:c15="http://schemas.microsoft.com/office/drawing/2012/chart" uri="{CE6537A1-D6FC-4f65-9D91-7224C49458BB}"/>
                <c:ext xmlns:c16="http://schemas.microsoft.com/office/drawing/2014/chart" uri="{C3380CC4-5D6E-409C-BE32-E72D297353CC}">
                  <c16:uniqueId val="{00000038-D718-40BF-8693-760F8025F4B4}"/>
                </c:ext>
              </c:extLst>
            </c:dLbl>
            <c:dLbl>
              <c:idx val="69"/>
              <c:delete val="1"/>
              <c:extLst>
                <c:ext xmlns:c15="http://schemas.microsoft.com/office/drawing/2012/chart" uri="{CE6537A1-D6FC-4f65-9D91-7224C49458BB}"/>
                <c:ext xmlns:c16="http://schemas.microsoft.com/office/drawing/2014/chart" uri="{C3380CC4-5D6E-409C-BE32-E72D297353CC}">
                  <c16:uniqueId val="{00000039-D718-40BF-8693-760F8025F4B4}"/>
                </c:ext>
              </c:extLst>
            </c:dLbl>
            <c:dLbl>
              <c:idx val="70"/>
              <c:delete val="1"/>
              <c:extLst>
                <c:ext xmlns:c15="http://schemas.microsoft.com/office/drawing/2012/chart" uri="{CE6537A1-D6FC-4f65-9D91-7224C49458BB}"/>
                <c:ext xmlns:c16="http://schemas.microsoft.com/office/drawing/2014/chart" uri="{C3380CC4-5D6E-409C-BE32-E72D297353CC}">
                  <c16:uniqueId val="{0000003A-D718-40BF-8693-760F8025F4B4}"/>
                </c:ext>
              </c:extLst>
            </c:dLbl>
            <c:dLbl>
              <c:idx val="71"/>
              <c:delete val="1"/>
              <c:extLst>
                <c:ext xmlns:c15="http://schemas.microsoft.com/office/drawing/2012/chart" uri="{CE6537A1-D6FC-4f65-9D91-7224C49458BB}"/>
                <c:ext xmlns:c16="http://schemas.microsoft.com/office/drawing/2014/chart" uri="{C3380CC4-5D6E-409C-BE32-E72D297353CC}">
                  <c16:uniqueId val="{0000003B-D718-40BF-8693-760F8025F4B4}"/>
                </c:ext>
              </c:extLst>
            </c:dLbl>
            <c:dLbl>
              <c:idx val="72"/>
              <c:delete val="1"/>
              <c:extLst>
                <c:ext xmlns:c15="http://schemas.microsoft.com/office/drawing/2012/chart" uri="{CE6537A1-D6FC-4f65-9D91-7224C49458BB}"/>
                <c:ext xmlns:c16="http://schemas.microsoft.com/office/drawing/2014/chart" uri="{C3380CC4-5D6E-409C-BE32-E72D297353CC}">
                  <c16:uniqueId val="{0000003C-D718-40BF-8693-760F8025F4B4}"/>
                </c:ext>
              </c:extLst>
            </c:dLbl>
            <c:dLbl>
              <c:idx val="73"/>
              <c:delete val="1"/>
              <c:extLst>
                <c:ext xmlns:c15="http://schemas.microsoft.com/office/drawing/2012/chart" uri="{CE6537A1-D6FC-4f65-9D91-7224C49458BB}"/>
                <c:ext xmlns:c16="http://schemas.microsoft.com/office/drawing/2014/chart" uri="{C3380CC4-5D6E-409C-BE32-E72D297353CC}">
                  <c16:uniqueId val="{0000003D-D718-40BF-8693-760F8025F4B4}"/>
                </c:ext>
              </c:extLst>
            </c:dLbl>
            <c:dLbl>
              <c:idx val="74"/>
              <c:delete val="1"/>
              <c:extLst>
                <c:ext xmlns:c15="http://schemas.microsoft.com/office/drawing/2012/chart" uri="{CE6537A1-D6FC-4f65-9D91-7224C49458BB}"/>
                <c:ext xmlns:c16="http://schemas.microsoft.com/office/drawing/2014/chart" uri="{C3380CC4-5D6E-409C-BE32-E72D297353CC}">
                  <c16:uniqueId val="{0000003E-D718-40BF-8693-760F8025F4B4}"/>
                </c:ext>
              </c:extLst>
            </c:dLbl>
            <c:dLbl>
              <c:idx val="75"/>
              <c:delete val="1"/>
              <c:extLst>
                <c:ext xmlns:c15="http://schemas.microsoft.com/office/drawing/2012/chart" uri="{CE6537A1-D6FC-4f65-9D91-7224C49458BB}"/>
                <c:ext xmlns:c16="http://schemas.microsoft.com/office/drawing/2014/chart" uri="{C3380CC4-5D6E-409C-BE32-E72D297353CC}">
                  <c16:uniqueId val="{0000003F-D718-40BF-8693-760F8025F4B4}"/>
                </c:ext>
              </c:extLst>
            </c:dLbl>
            <c:dLbl>
              <c:idx val="76"/>
              <c:delete val="1"/>
              <c:extLst>
                <c:ext xmlns:c15="http://schemas.microsoft.com/office/drawing/2012/chart" uri="{CE6537A1-D6FC-4f65-9D91-7224C49458BB}"/>
                <c:ext xmlns:c16="http://schemas.microsoft.com/office/drawing/2014/chart" uri="{C3380CC4-5D6E-409C-BE32-E72D297353CC}">
                  <c16:uniqueId val="{00000040-D718-40BF-8693-760F8025F4B4}"/>
                </c:ext>
              </c:extLst>
            </c:dLbl>
            <c:dLbl>
              <c:idx val="77"/>
              <c:delete val="1"/>
              <c:extLst>
                <c:ext xmlns:c15="http://schemas.microsoft.com/office/drawing/2012/chart" uri="{CE6537A1-D6FC-4f65-9D91-7224C49458BB}"/>
                <c:ext xmlns:c16="http://schemas.microsoft.com/office/drawing/2014/chart" uri="{C3380CC4-5D6E-409C-BE32-E72D297353CC}">
                  <c16:uniqueId val="{00000041-D718-40BF-8693-760F8025F4B4}"/>
                </c:ext>
              </c:extLst>
            </c:dLbl>
            <c:dLbl>
              <c:idx val="78"/>
              <c:delete val="1"/>
              <c:extLst>
                <c:ext xmlns:c15="http://schemas.microsoft.com/office/drawing/2012/chart" uri="{CE6537A1-D6FC-4f65-9D91-7224C49458BB}"/>
                <c:ext xmlns:c16="http://schemas.microsoft.com/office/drawing/2014/chart" uri="{C3380CC4-5D6E-409C-BE32-E72D297353CC}">
                  <c16:uniqueId val="{00000042-D718-40BF-8693-760F8025F4B4}"/>
                </c:ext>
              </c:extLst>
            </c:dLbl>
            <c:dLbl>
              <c:idx val="80"/>
              <c:delete val="1"/>
              <c:extLst>
                <c:ext xmlns:c15="http://schemas.microsoft.com/office/drawing/2012/chart" uri="{CE6537A1-D6FC-4f65-9D91-7224C49458BB}"/>
                <c:ext xmlns:c16="http://schemas.microsoft.com/office/drawing/2014/chart" uri="{C3380CC4-5D6E-409C-BE32-E72D297353CC}">
                  <c16:uniqueId val="{00000043-D718-40BF-8693-760F8025F4B4}"/>
                </c:ext>
              </c:extLst>
            </c:dLbl>
            <c:dLbl>
              <c:idx val="81"/>
              <c:delete val="1"/>
              <c:extLst>
                <c:ext xmlns:c15="http://schemas.microsoft.com/office/drawing/2012/chart" uri="{CE6537A1-D6FC-4f65-9D91-7224C49458BB}"/>
                <c:ext xmlns:c16="http://schemas.microsoft.com/office/drawing/2014/chart" uri="{C3380CC4-5D6E-409C-BE32-E72D297353CC}">
                  <c16:uniqueId val="{00000044-D718-40BF-8693-760F8025F4B4}"/>
                </c:ext>
              </c:extLst>
            </c:dLbl>
            <c:dLbl>
              <c:idx val="82"/>
              <c:delete val="1"/>
              <c:extLst>
                <c:ext xmlns:c15="http://schemas.microsoft.com/office/drawing/2012/chart" uri="{CE6537A1-D6FC-4f65-9D91-7224C49458BB}"/>
                <c:ext xmlns:c16="http://schemas.microsoft.com/office/drawing/2014/chart" uri="{C3380CC4-5D6E-409C-BE32-E72D297353CC}">
                  <c16:uniqueId val="{00000045-D718-40BF-8693-760F8025F4B4}"/>
                </c:ext>
              </c:extLst>
            </c:dLbl>
            <c:dLbl>
              <c:idx val="83"/>
              <c:delete val="1"/>
              <c:extLst>
                <c:ext xmlns:c15="http://schemas.microsoft.com/office/drawing/2012/chart" uri="{CE6537A1-D6FC-4f65-9D91-7224C49458BB}"/>
                <c:ext xmlns:c16="http://schemas.microsoft.com/office/drawing/2014/chart" uri="{C3380CC4-5D6E-409C-BE32-E72D297353CC}">
                  <c16:uniqueId val="{00000046-D718-40BF-8693-760F8025F4B4}"/>
                </c:ext>
              </c:extLst>
            </c:dLbl>
            <c:dLbl>
              <c:idx val="84"/>
              <c:delete val="1"/>
              <c:extLst>
                <c:ext xmlns:c15="http://schemas.microsoft.com/office/drawing/2012/chart" uri="{CE6537A1-D6FC-4f65-9D91-7224C49458BB}"/>
                <c:ext xmlns:c16="http://schemas.microsoft.com/office/drawing/2014/chart" uri="{C3380CC4-5D6E-409C-BE32-E72D297353CC}">
                  <c16:uniqueId val="{00000047-D718-40BF-8693-760F8025F4B4}"/>
                </c:ext>
              </c:extLst>
            </c:dLbl>
            <c:dLbl>
              <c:idx val="85"/>
              <c:delete val="1"/>
              <c:extLst>
                <c:ext xmlns:c15="http://schemas.microsoft.com/office/drawing/2012/chart" uri="{CE6537A1-D6FC-4f65-9D91-7224C49458BB}"/>
                <c:ext xmlns:c16="http://schemas.microsoft.com/office/drawing/2014/chart" uri="{C3380CC4-5D6E-409C-BE32-E72D297353CC}">
                  <c16:uniqueId val="{00000064-D718-40BF-8693-760F8025F4B4}"/>
                </c:ext>
              </c:extLst>
            </c:dLbl>
            <c:dLbl>
              <c:idx val="86"/>
              <c:delete val="1"/>
              <c:extLst>
                <c:ext xmlns:c15="http://schemas.microsoft.com/office/drawing/2012/chart" uri="{CE6537A1-D6FC-4f65-9D91-7224C49458BB}"/>
                <c:ext xmlns:c16="http://schemas.microsoft.com/office/drawing/2014/chart" uri="{C3380CC4-5D6E-409C-BE32-E72D297353CC}">
                  <c16:uniqueId val="{00000048-D718-40BF-8693-760F8025F4B4}"/>
                </c:ext>
              </c:extLst>
            </c:dLbl>
            <c:dLbl>
              <c:idx val="87"/>
              <c:delete val="1"/>
              <c:extLst>
                <c:ext xmlns:c15="http://schemas.microsoft.com/office/drawing/2012/chart" uri="{CE6537A1-D6FC-4f65-9D91-7224C49458BB}"/>
                <c:ext xmlns:c16="http://schemas.microsoft.com/office/drawing/2014/chart" uri="{C3380CC4-5D6E-409C-BE32-E72D297353CC}">
                  <c16:uniqueId val="{00000049-D718-40BF-8693-760F8025F4B4}"/>
                </c:ext>
              </c:extLst>
            </c:dLbl>
            <c:dLbl>
              <c:idx val="88"/>
              <c:delete val="1"/>
              <c:extLst>
                <c:ext xmlns:c15="http://schemas.microsoft.com/office/drawing/2012/chart" uri="{CE6537A1-D6FC-4f65-9D91-7224C49458BB}"/>
                <c:ext xmlns:c16="http://schemas.microsoft.com/office/drawing/2014/chart" uri="{C3380CC4-5D6E-409C-BE32-E72D297353CC}">
                  <c16:uniqueId val="{0000004A-D718-40BF-8693-760F8025F4B4}"/>
                </c:ext>
              </c:extLst>
            </c:dLbl>
            <c:dLbl>
              <c:idx val="89"/>
              <c:delete val="1"/>
              <c:extLst>
                <c:ext xmlns:c15="http://schemas.microsoft.com/office/drawing/2012/chart" uri="{CE6537A1-D6FC-4f65-9D91-7224C49458BB}"/>
                <c:ext xmlns:c16="http://schemas.microsoft.com/office/drawing/2014/chart" uri="{C3380CC4-5D6E-409C-BE32-E72D297353CC}">
                  <c16:uniqueId val="{0000004B-D718-40BF-8693-760F8025F4B4}"/>
                </c:ext>
              </c:extLst>
            </c:dLbl>
            <c:dLbl>
              <c:idx val="90"/>
              <c:delete val="1"/>
              <c:extLst>
                <c:ext xmlns:c15="http://schemas.microsoft.com/office/drawing/2012/chart" uri="{CE6537A1-D6FC-4f65-9D91-7224C49458BB}"/>
                <c:ext xmlns:c16="http://schemas.microsoft.com/office/drawing/2014/chart" uri="{C3380CC4-5D6E-409C-BE32-E72D297353CC}">
                  <c16:uniqueId val="{0000004C-D718-40BF-8693-760F8025F4B4}"/>
                </c:ext>
              </c:extLst>
            </c:dLbl>
            <c:dLbl>
              <c:idx val="92"/>
              <c:delete val="1"/>
              <c:extLst>
                <c:ext xmlns:c15="http://schemas.microsoft.com/office/drawing/2012/chart" uri="{CE6537A1-D6FC-4f65-9D91-7224C49458BB}"/>
                <c:ext xmlns:c16="http://schemas.microsoft.com/office/drawing/2014/chart" uri="{C3380CC4-5D6E-409C-BE32-E72D297353CC}">
                  <c16:uniqueId val="{0000004D-D718-40BF-8693-760F8025F4B4}"/>
                </c:ext>
              </c:extLst>
            </c:dLbl>
            <c:dLbl>
              <c:idx val="93"/>
              <c:delete val="1"/>
              <c:extLst>
                <c:ext xmlns:c15="http://schemas.microsoft.com/office/drawing/2012/chart" uri="{CE6537A1-D6FC-4f65-9D91-7224C49458BB}"/>
                <c:ext xmlns:c16="http://schemas.microsoft.com/office/drawing/2014/chart" uri="{C3380CC4-5D6E-409C-BE32-E72D297353CC}">
                  <c16:uniqueId val="{0000004E-D718-40BF-8693-760F8025F4B4}"/>
                </c:ext>
              </c:extLst>
            </c:dLbl>
            <c:dLbl>
              <c:idx val="94"/>
              <c:delete val="1"/>
              <c:extLst>
                <c:ext xmlns:c15="http://schemas.microsoft.com/office/drawing/2012/chart" uri="{CE6537A1-D6FC-4f65-9D91-7224C49458BB}"/>
                <c:ext xmlns:c16="http://schemas.microsoft.com/office/drawing/2014/chart" uri="{C3380CC4-5D6E-409C-BE32-E72D297353CC}">
                  <c16:uniqueId val="{0000004F-D718-40BF-8693-760F8025F4B4}"/>
                </c:ext>
              </c:extLst>
            </c:dLbl>
            <c:dLbl>
              <c:idx val="95"/>
              <c:delete val="1"/>
              <c:extLst>
                <c:ext xmlns:c15="http://schemas.microsoft.com/office/drawing/2012/chart" uri="{CE6537A1-D6FC-4f65-9D91-7224C49458BB}"/>
                <c:ext xmlns:c16="http://schemas.microsoft.com/office/drawing/2014/chart" uri="{C3380CC4-5D6E-409C-BE32-E72D297353CC}">
                  <c16:uniqueId val="{00000050-D718-40BF-8693-760F8025F4B4}"/>
                </c:ext>
              </c:extLst>
            </c:dLbl>
            <c:dLbl>
              <c:idx val="96"/>
              <c:delete val="1"/>
              <c:extLst>
                <c:ext xmlns:c15="http://schemas.microsoft.com/office/drawing/2012/chart" uri="{CE6537A1-D6FC-4f65-9D91-7224C49458BB}"/>
                <c:ext xmlns:c16="http://schemas.microsoft.com/office/drawing/2014/chart" uri="{C3380CC4-5D6E-409C-BE32-E72D297353CC}">
                  <c16:uniqueId val="{00000051-D718-40BF-8693-760F8025F4B4}"/>
                </c:ext>
              </c:extLst>
            </c:dLbl>
            <c:dLbl>
              <c:idx val="98"/>
              <c:delete val="1"/>
              <c:extLst>
                <c:ext xmlns:c15="http://schemas.microsoft.com/office/drawing/2012/chart" uri="{CE6537A1-D6FC-4f65-9D91-7224C49458BB}"/>
                <c:ext xmlns:c16="http://schemas.microsoft.com/office/drawing/2014/chart" uri="{C3380CC4-5D6E-409C-BE32-E72D297353CC}">
                  <c16:uniqueId val="{00000052-D718-40BF-8693-760F8025F4B4}"/>
                </c:ext>
              </c:extLst>
            </c:dLbl>
            <c:dLbl>
              <c:idx val="99"/>
              <c:delete val="1"/>
              <c:extLst>
                <c:ext xmlns:c15="http://schemas.microsoft.com/office/drawing/2012/chart" uri="{CE6537A1-D6FC-4f65-9D91-7224C49458BB}"/>
                <c:ext xmlns:c16="http://schemas.microsoft.com/office/drawing/2014/chart" uri="{C3380CC4-5D6E-409C-BE32-E72D297353CC}">
                  <c16:uniqueId val="{00000053-D718-40BF-8693-760F8025F4B4}"/>
                </c:ext>
              </c:extLst>
            </c:dLbl>
            <c:dLbl>
              <c:idx val="100"/>
              <c:delete val="1"/>
              <c:extLst>
                <c:ext xmlns:c15="http://schemas.microsoft.com/office/drawing/2012/chart" uri="{CE6537A1-D6FC-4f65-9D91-7224C49458BB}"/>
                <c:ext xmlns:c16="http://schemas.microsoft.com/office/drawing/2014/chart" uri="{C3380CC4-5D6E-409C-BE32-E72D297353CC}">
                  <c16:uniqueId val="{00000054-D718-40BF-8693-760F8025F4B4}"/>
                </c:ext>
              </c:extLst>
            </c:dLbl>
            <c:dLbl>
              <c:idx val="101"/>
              <c:delete val="1"/>
              <c:extLst>
                <c:ext xmlns:c15="http://schemas.microsoft.com/office/drawing/2012/chart" uri="{CE6537A1-D6FC-4f65-9D91-7224C49458BB}"/>
                <c:ext xmlns:c16="http://schemas.microsoft.com/office/drawing/2014/chart" uri="{C3380CC4-5D6E-409C-BE32-E72D297353CC}">
                  <c16:uniqueId val="{00000055-D718-40BF-8693-760F8025F4B4}"/>
                </c:ext>
              </c:extLst>
            </c:dLbl>
            <c:dLbl>
              <c:idx val="102"/>
              <c:delete val="1"/>
              <c:extLst>
                <c:ext xmlns:c15="http://schemas.microsoft.com/office/drawing/2012/chart" uri="{CE6537A1-D6FC-4f65-9D91-7224C49458BB}"/>
                <c:ext xmlns:c16="http://schemas.microsoft.com/office/drawing/2014/chart" uri="{C3380CC4-5D6E-409C-BE32-E72D297353CC}">
                  <c16:uniqueId val="{00000056-D718-40BF-8693-760F8025F4B4}"/>
                </c:ext>
              </c:extLst>
            </c:dLbl>
            <c:dLbl>
              <c:idx val="104"/>
              <c:delete val="1"/>
              <c:extLst>
                <c:ext xmlns:c15="http://schemas.microsoft.com/office/drawing/2012/chart" uri="{CE6537A1-D6FC-4f65-9D91-7224C49458BB}"/>
                <c:ext xmlns:c16="http://schemas.microsoft.com/office/drawing/2014/chart" uri="{C3380CC4-5D6E-409C-BE32-E72D297353CC}">
                  <c16:uniqueId val="{00000057-D718-40BF-8693-760F8025F4B4}"/>
                </c:ext>
              </c:extLst>
            </c:dLbl>
            <c:dLbl>
              <c:idx val="105"/>
              <c:delete val="1"/>
              <c:extLst>
                <c:ext xmlns:c15="http://schemas.microsoft.com/office/drawing/2012/chart" uri="{CE6537A1-D6FC-4f65-9D91-7224C49458BB}"/>
                <c:ext xmlns:c16="http://schemas.microsoft.com/office/drawing/2014/chart" uri="{C3380CC4-5D6E-409C-BE32-E72D297353CC}">
                  <c16:uniqueId val="{00000058-D718-40BF-8693-760F8025F4B4}"/>
                </c:ext>
              </c:extLst>
            </c:dLbl>
            <c:dLbl>
              <c:idx val="106"/>
              <c:delete val="1"/>
              <c:extLst>
                <c:ext xmlns:c15="http://schemas.microsoft.com/office/drawing/2012/chart" uri="{CE6537A1-D6FC-4f65-9D91-7224C49458BB}"/>
                <c:ext xmlns:c16="http://schemas.microsoft.com/office/drawing/2014/chart" uri="{C3380CC4-5D6E-409C-BE32-E72D297353CC}">
                  <c16:uniqueId val="{00000059-D718-40BF-8693-760F8025F4B4}"/>
                </c:ext>
              </c:extLst>
            </c:dLbl>
            <c:dLbl>
              <c:idx val="107"/>
              <c:delete val="1"/>
              <c:extLst>
                <c:ext xmlns:c15="http://schemas.microsoft.com/office/drawing/2012/chart" uri="{CE6537A1-D6FC-4f65-9D91-7224C49458BB}"/>
                <c:ext xmlns:c16="http://schemas.microsoft.com/office/drawing/2014/chart" uri="{C3380CC4-5D6E-409C-BE32-E72D297353CC}">
                  <c16:uniqueId val="{0000005A-D718-40BF-8693-760F8025F4B4}"/>
                </c:ext>
              </c:extLst>
            </c:dLbl>
            <c:dLbl>
              <c:idx val="108"/>
              <c:delete val="1"/>
              <c:extLst>
                <c:ext xmlns:c15="http://schemas.microsoft.com/office/drawing/2012/chart" uri="{CE6537A1-D6FC-4f65-9D91-7224C49458BB}"/>
                <c:ext xmlns:c16="http://schemas.microsoft.com/office/drawing/2014/chart" uri="{C3380CC4-5D6E-409C-BE32-E72D297353CC}">
                  <c16:uniqueId val="{0000005B-D718-40BF-8693-760F8025F4B4}"/>
                </c:ext>
              </c:extLst>
            </c:dLbl>
            <c:dLbl>
              <c:idx val="109"/>
              <c:layout/>
              <c:tx>
                <c:rich>
                  <a:bodyPr/>
                  <a:lstStyle/>
                  <a:p>
                    <a:r>
                      <a:rPr lang="en-US"/>
                      <a:t>4758</a:t>
                    </a:r>
                  </a:p>
                </c:rich>
              </c:tx>
              <c:dLblPos val="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5C-D718-40BF-8693-760F8025F4B4}"/>
                </c:ext>
              </c:extLst>
            </c:dLbl>
            <c:dLbl>
              <c:idx val="110"/>
              <c:delete val="1"/>
              <c:extLst>
                <c:ext xmlns:c15="http://schemas.microsoft.com/office/drawing/2012/chart" uri="{CE6537A1-D6FC-4f65-9D91-7224C49458BB}"/>
                <c:ext xmlns:c16="http://schemas.microsoft.com/office/drawing/2014/chart" uri="{C3380CC4-5D6E-409C-BE32-E72D297353CC}">
                  <c16:uniqueId val="{0000005D-D718-40BF-8693-760F8025F4B4}"/>
                </c:ext>
              </c:extLst>
            </c:dLbl>
            <c:dLbl>
              <c:idx val="111"/>
              <c:delete val="1"/>
              <c:extLst>
                <c:ext xmlns:c15="http://schemas.microsoft.com/office/drawing/2012/chart" uri="{CE6537A1-D6FC-4f65-9D91-7224C49458BB}"/>
                <c:ext xmlns:c16="http://schemas.microsoft.com/office/drawing/2014/chart" uri="{C3380CC4-5D6E-409C-BE32-E72D297353CC}">
                  <c16:uniqueId val="{0000005E-D718-40BF-8693-760F8025F4B4}"/>
                </c:ext>
              </c:extLst>
            </c:dLbl>
            <c:dLbl>
              <c:idx val="112"/>
              <c:delete val="1"/>
              <c:extLst>
                <c:ext xmlns:c15="http://schemas.microsoft.com/office/drawing/2012/chart" uri="{CE6537A1-D6FC-4f65-9D91-7224C49458BB}"/>
                <c:ext xmlns:c16="http://schemas.microsoft.com/office/drawing/2014/chart" uri="{C3380CC4-5D6E-409C-BE32-E72D297353CC}">
                  <c16:uniqueId val="{0000005F-D718-40BF-8693-760F8025F4B4}"/>
                </c:ext>
              </c:extLst>
            </c:dLbl>
            <c:dLbl>
              <c:idx val="113"/>
              <c:delete val="1"/>
              <c:extLst>
                <c:ext xmlns:c15="http://schemas.microsoft.com/office/drawing/2012/chart" uri="{CE6537A1-D6FC-4f65-9D91-7224C49458BB}"/>
                <c:ext xmlns:c16="http://schemas.microsoft.com/office/drawing/2014/chart" uri="{C3380CC4-5D6E-409C-BE32-E72D297353CC}">
                  <c16:uniqueId val="{00000060-D718-40BF-8693-760F8025F4B4}"/>
                </c:ext>
              </c:extLst>
            </c:dLbl>
            <c:dLbl>
              <c:idx val="114"/>
              <c:delete val="1"/>
              <c:extLst>
                <c:ext xmlns:c15="http://schemas.microsoft.com/office/drawing/2012/chart" uri="{CE6537A1-D6FC-4f65-9D91-7224C49458BB}"/>
                <c:ext xmlns:c16="http://schemas.microsoft.com/office/drawing/2014/chart" uri="{C3380CC4-5D6E-409C-BE32-E72D297353CC}">
                  <c16:uniqueId val="{00000061-D718-40BF-8693-760F8025F4B4}"/>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'Q5'!$C$2:$C$117</c:f>
              <c:numCache>
                <c:formatCode>mmm\-yyyy</c:formatCode>
                <c:ptCount val="116"/>
                <c:pt idx="0">
                  <c:v>42948</c:v>
                </c:pt>
                <c:pt idx="1">
                  <c:v>42917</c:v>
                </c:pt>
                <c:pt idx="2">
                  <c:v>42887</c:v>
                </c:pt>
                <c:pt idx="3">
                  <c:v>42856</c:v>
                </c:pt>
                <c:pt idx="4">
                  <c:v>42826</c:v>
                </c:pt>
                <c:pt idx="5">
                  <c:v>42795</c:v>
                </c:pt>
                <c:pt idx="6">
                  <c:v>42767</c:v>
                </c:pt>
                <c:pt idx="7">
                  <c:v>42736</c:v>
                </c:pt>
                <c:pt idx="8">
                  <c:v>42705</c:v>
                </c:pt>
                <c:pt idx="9">
                  <c:v>42675</c:v>
                </c:pt>
                <c:pt idx="10">
                  <c:v>42644</c:v>
                </c:pt>
                <c:pt idx="11">
                  <c:v>42614</c:v>
                </c:pt>
                <c:pt idx="12">
                  <c:v>42583</c:v>
                </c:pt>
                <c:pt idx="13">
                  <c:v>42552</c:v>
                </c:pt>
                <c:pt idx="14">
                  <c:v>42522</c:v>
                </c:pt>
                <c:pt idx="15">
                  <c:v>42491</c:v>
                </c:pt>
                <c:pt idx="16">
                  <c:v>42461</c:v>
                </c:pt>
                <c:pt idx="17">
                  <c:v>42430</c:v>
                </c:pt>
                <c:pt idx="18">
                  <c:v>42401</c:v>
                </c:pt>
                <c:pt idx="19">
                  <c:v>42370</c:v>
                </c:pt>
                <c:pt idx="20">
                  <c:v>42339</c:v>
                </c:pt>
                <c:pt idx="21">
                  <c:v>42309</c:v>
                </c:pt>
                <c:pt idx="22">
                  <c:v>42278</c:v>
                </c:pt>
                <c:pt idx="23">
                  <c:v>42248</c:v>
                </c:pt>
                <c:pt idx="24">
                  <c:v>42217</c:v>
                </c:pt>
                <c:pt idx="25">
                  <c:v>42186</c:v>
                </c:pt>
                <c:pt idx="26">
                  <c:v>42156</c:v>
                </c:pt>
                <c:pt idx="27">
                  <c:v>42125</c:v>
                </c:pt>
                <c:pt idx="28">
                  <c:v>42095</c:v>
                </c:pt>
                <c:pt idx="29">
                  <c:v>42064</c:v>
                </c:pt>
                <c:pt idx="30">
                  <c:v>42036</c:v>
                </c:pt>
                <c:pt idx="31">
                  <c:v>42005</c:v>
                </c:pt>
                <c:pt idx="32">
                  <c:v>41974</c:v>
                </c:pt>
                <c:pt idx="33">
                  <c:v>41944</c:v>
                </c:pt>
                <c:pt idx="34">
                  <c:v>41913</c:v>
                </c:pt>
                <c:pt idx="35">
                  <c:v>41883</c:v>
                </c:pt>
                <c:pt idx="36">
                  <c:v>41852</c:v>
                </c:pt>
                <c:pt idx="37">
                  <c:v>41821</c:v>
                </c:pt>
                <c:pt idx="38">
                  <c:v>41791</c:v>
                </c:pt>
                <c:pt idx="39">
                  <c:v>41760</c:v>
                </c:pt>
                <c:pt idx="40">
                  <c:v>41730</c:v>
                </c:pt>
                <c:pt idx="41">
                  <c:v>41699</c:v>
                </c:pt>
                <c:pt idx="42">
                  <c:v>41671</c:v>
                </c:pt>
                <c:pt idx="43">
                  <c:v>41640</c:v>
                </c:pt>
                <c:pt idx="44">
                  <c:v>41609</c:v>
                </c:pt>
                <c:pt idx="45">
                  <c:v>41579</c:v>
                </c:pt>
                <c:pt idx="46">
                  <c:v>41548</c:v>
                </c:pt>
                <c:pt idx="47">
                  <c:v>41518</c:v>
                </c:pt>
                <c:pt idx="48">
                  <c:v>41487</c:v>
                </c:pt>
                <c:pt idx="49">
                  <c:v>41456</c:v>
                </c:pt>
                <c:pt idx="50">
                  <c:v>41426</c:v>
                </c:pt>
                <c:pt idx="51">
                  <c:v>41395</c:v>
                </c:pt>
                <c:pt idx="52">
                  <c:v>41365</c:v>
                </c:pt>
                <c:pt idx="53">
                  <c:v>41334</c:v>
                </c:pt>
                <c:pt idx="54">
                  <c:v>41306</c:v>
                </c:pt>
                <c:pt idx="55">
                  <c:v>41275</c:v>
                </c:pt>
                <c:pt idx="56">
                  <c:v>41244</c:v>
                </c:pt>
                <c:pt idx="57">
                  <c:v>41214</c:v>
                </c:pt>
                <c:pt idx="58">
                  <c:v>41183</c:v>
                </c:pt>
                <c:pt idx="59">
                  <c:v>41153</c:v>
                </c:pt>
                <c:pt idx="60">
                  <c:v>41122</c:v>
                </c:pt>
                <c:pt idx="61">
                  <c:v>41091</c:v>
                </c:pt>
                <c:pt idx="62">
                  <c:v>41061</c:v>
                </c:pt>
                <c:pt idx="63">
                  <c:v>41030</c:v>
                </c:pt>
                <c:pt idx="64">
                  <c:v>41000</c:v>
                </c:pt>
                <c:pt idx="65">
                  <c:v>40969</c:v>
                </c:pt>
                <c:pt idx="66">
                  <c:v>40940</c:v>
                </c:pt>
                <c:pt idx="67">
                  <c:v>40909</c:v>
                </c:pt>
                <c:pt idx="68">
                  <c:v>40878</c:v>
                </c:pt>
                <c:pt idx="69">
                  <c:v>40848</c:v>
                </c:pt>
                <c:pt idx="70">
                  <c:v>40817</c:v>
                </c:pt>
                <c:pt idx="71">
                  <c:v>40787</c:v>
                </c:pt>
                <c:pt idx="72">
                  <c:v>40756</c:v>
                </c:pt>
                <c:pt idx="73">
                  <c:v>40725</c:v>
                </c:pt>
                <c:pt idx="74">
                  <c:v>40695</c:v>
                </c:pt>
                <c:pt idx="75">
                  <c:v>40664</c:v>
                </c:pt>
                <c:pt idx="76">
                  <c:v>40634</c:v>
                </c:pt>
                <c:pt idx="77">
                  <c:v>40603</c:v>
                </c:pt>
                <c:pt idx="78">
                  <c:v>40575</c:v>
                </c:pt>
                <c:pt idx="79">
                  <c:v>40544</c:v>
                </c:pt>
                <c:pt idx="80">
                  <c:v>40513</c:v>
                </c:pt>
                <c:pt idx="81">
                  <c:v>40483</c:v>
                </c:pt>
                <c:pt idx="82">
                  <c:v>40452</c:v>
                </c:pt>
                <c:pt idx="83">
                  <c:v>40422</c:v>
                </c:pt>
                <c:pt idx="84">
                  <c:v>40391</c:v>
                </c:pt>
                <c:pt idx="85">
                  <c:v>40360</c:v>
                </c:pt>
                <c:pt idx="86">
                  <c:v>40330</c:v>
                </c:pt>
                <c:pt idx="87">
                  <c:v>40269</c:v>
                </c:pt>
                <c:pt idx="88">
                  <c:v>40238</c:v>
                </c:pt>
                <c:pt idx="89">
                  <c:v>40210</c:v>
                </c:pt>
                <c:pt idx="90">
                  <c:v>40179</c:v>
                </c:pt>
                <c:pt idx="91">
                  <c:v>40057</c:v>
                </c:pt>
                <c:pt idx="92">
                  <c:v>40026</c:v>
                </c:pt>
                <c:pt idx="93">
                  <c:v>39995</c:v>
                </c:pt>
                <c:pt idx="94">
                  <c:v>39965</c:v>
                </c:pt>
                <c:pt idx="95">
                  <c:v>39934</c:v>
                </c:pt>
                <c:pt idx="96">
                  <c:v>39873</c:v>
                </c:pt>
                <c:pt idx="97">
                  <c:v>39845</c:v>
                </c:pt>
                <c:pt idx="98">
                  <c:v>39783</c:v>
                </c:pt>
                <c:pt idx="99">
                  <c:v>39753</c:v>
                </c:pt>
                <c:pt idx="100">
                  <c:v>39722</c:v>
                </c:pt>
                <c:pt idx="101">
                  <c:v>39692</c:v>
                </c:pt>
                <c:pt idx="102">
                  <c:v>39661</c:v>
                </c:pt>
                <c:pt idx="103">
                  <c:v>39630</c:v>
                </c:pt>
                <c:pt idx="104">
                  <c:v>39600</c:v>
                </c:pt>
                <c:pt idx="105">
                  <c:v>39569</c:v>
                </c:pt>
                <c:pt idx="106">
                  <c:v>39539</c:v>
                </c:pt>
                <c:pt idx="107">
                  <c:v>39448</c:v>
                </c:pt>
                <c:pt idx="108">
                  <c:v>39417</c:v>
                </c:pt>
                <c:pt idx="109">
                  <c:v>39326</c:v>
                </c:pt>
                <c:pt idx="110">
                  <c:v>39264</c:v>
                </c:pt>
                <c:pt idx="111">
                  <c:v>39234</c:v>
                </c:pt>
              </c:numCache>
            </c:numRef>
          </c:cat>
          <c:val>
            <c:numRef>
              <c:f>'Q5'!$F$2:$F$117</c:f>
              <c:numCache>
                <c:formatCode>General</c:formatCode>
                <c:ptCount val="116"/>
                <c:pt idx="0">
                  <c:v>4758</c:v>
                </c:pt>
                <c:pt idx="1">
                  <c:v>4642</c:v>
                </c:pt>
                <c:pt idx="2">
                  <c:v>4634</c:v>
                </c:pt>
                <c:pt idx="3">
                  <c:v>4624</c:v>
                </c:pt>
                <c:pt idx="4">
                  <c:v>4621</c:v>
                </c:pt>
                <c:pt idx="5">
                  <c:v>4585</c:v>
                </c:pt>
                <c:pt idx="6">
                  <c:v>4537</c:v>
                </c:pt>
                <c:pt idx="7">
                  <c:v>4518</c:v>
                </c:pt>
                <c:pt idx="8">
                  <c:v>4475</c:v>
                </c:pt>
                <c:pt idx="9">
                  <c:v>4457</c:v>
                </c:pt>
                <c:pt idx="10">
                  <c:v>4397</c:v>
                </c:pt>
                <c:pt idx="11">
                  <c:v>4372</c:v>
                </c:pt>
                <c:pt idx="12">
                  <c:v>4314</c:v>
                </c:pt>
                <c:pt idx="13">
                  <c:v>4275</c:v>
                </c:pt>
                <c:pt idx="14">
                  <c:v>4245</c:v>
                </c:pt>
                <c:pt idx="15">
                  <c:v>4154</c:v>
                </c:pt>
                <c:pt idx="16">
                  <c:v>4145</c:v>
                </c:pt>
                <c:pt idx="17">
                  <c:v>4135</c:v>
                </c:pt>
                <c:pt idx="18">
                  <c:v>4070</c:v>
                </c:pt>
                <c:pt idx="19">
                  <c:v>3985</c:v>
                </c:pt>
                <c:pt idx="20">
                  <c:v>3976</c:v>
                </c:pt>
                <c:pt idx="21">
                  <c:v>3960</c:v>
                </c:pt>
                <c:pt idx="22">
                  <c:v>3915</c:v>
                </c:pt>
                <c:pt idx="23">
                  <c:v>3895</c:v>
                </c:pt>
                <c:pt idx="24">
                  <c:v>3751</c:v>
                </c:pt>
                <c:pt idx="25">
                  <c:v>3646</c:v>
                </c:pt>
                <c:pt idx="26">
                  <c:v>3619</c:v>
                </c:pt>
                <c:pt idx="27">
                  <c:v>3530</c:v>
                </c:pt>
                <c:pt idx="28">
                  <c:v>3491</c:v>
                </c:pt>
                <c:pt idx="29">
                  <c:v>3485</c:v>
                </c:pt>
                <c:pt idx="30">
                  <c:v>3442</c:v>
                </c:pt>
                <c:pt idx="31">
                  <c:v>3361</c:v>
                </c:pt>
                <c:pt idx="32">
                  <c:v>3301</c:v>
                </c:pt>
                <c:pt idx="33">
                  <c:v>3247</c:v>
                </c:pt>
                <c:pt idx="34">
                  <c:v>3188</c:v>
                </c:pt>
                <c:pt idx="35">
                  <c:v>3095</c:v>
                </c:pt>
                <c:pt idx="36">
                  <c:v>2872</c:v>
                </c:pt>
                <c:pt idx="37">
                  <c:v>2785</c:v>
                </c:pt>
                <c:pt idx="38">
                  <c:v>2707</c:v>
                </c:pt>
                <c:pt idx="39">
                  <c:v>2642</c:v>
                </c:pt>
                <c:pt idx="40">
                  <c:v>2599</c:v>
                </c:pt>
                <c:pt idx="41">
                  <c:v>2538</c:v>
                </c:pt>
                <c:pt idx="42">
                  <c:v>2485</c:v>
                </c:pt>
                <c:pt idx="43">
                  <c:v>2407</c:v>
                </c:pt>
                <c:pt idx="44">
                  <c:v>2295</c:v>
                </c:pt>
                <c:pt idx="45">
                  <c:v>2259</c:v>
                </c:pt>
                <c:pt idx="46">
                  <c:v>2104</c:v>
                </c:pt>
                <c:pt idx="47">
                  <c:v>2007</c:v>
                </c:pt>
                <c:pt idx="48">
                  <c:v>1945</c:v>
                </c:pt>
                <c:pt idx="49">
                  <c:v>1935</c:v>
                </c:pt>
                <c:pt idx="50">
                  <c:v>1832</c:v>
                </c:pt>
                <c:pt idx="51">
                  <c:v>1769</c:v>
                </c:pt>
                <c:pt idx="52">
                  <c:v>1733</c:v>
                </c:pt>
                <c:pt idx="53">
                  <c:v>1715</c:v>
                </c:pt>
                <c:pt idx="54">
                  <c:v>1676</c:v>
                </c:pt>
                <c:pt idx="55">
                  <c:v>1658</c:v>
                </c:pt>
                <c:pt idx="56">
                  <c:v>1631</c:v>
                </c:pt>
                <c:pt idx="57">
                  <c:v>1623</c:v>
                </c:pt>
                <c:pt idx="58">
                  <c:v>1581</c:v>
                </c:pt>
                <c:pt idx="59">
                  <c:v>1572</c:v>
                </c:pt>
                <c:pt idx="60">
                  <c:v>1470</c:v>
                </c:pt>
                <c:pt idx="61">
                  <c:v>1455</c:v>
                </c:pt>
                <c:pt idx="62">
                  <c:v>1438</c:v>
                </c:pt>
                <c:pt idx="63">
                  <c:v>1407</c:v>
                </c:pt>
                <c:pt idx="64">
                  <c:v>1344</c:v>
                </c:pt>
                <c:pt idx="65">
                  <c:v>1320</c:v>
                </c:pt>
                <c:pt idx="66">
                  <c:v>1283</c:v>
                </c:pt>
                <c:pt idx="67">
                  <c:v>1265</c:v>
                </c:pt>
                <c:pt idx="68">
                  <c:v>1241</c:v>
                </c:pt>
                <c:pt idx="69">
                  <c:v>1237</c:v>
                </c:pt>
                <c:pt idx="70">
                  <c:v>1220</c:v>
                </c:pt>
                <c:pt idx="71">
                  <c:v>1216</c:v>
                </c:pt>
                <c:pt idx="72">
                  <c:v>1212</c:v>
                </c:pt>
                <c:pt idx="73">
                  <c:v>1209</c:v>
                </c:pt>
                <c:pt idx="74">
                  <c:v>1057</c:v>
                </c:pt>
                <c:pt idx="75">
                  <c:v>1041</c:v>
                </c:pt>
                <c:pt idx="76">
                  <c:v>1038</c:v>
                </c:pt>
                <c:pt idx="77">
                  <c:v>1036</c:v>
                </c:pt>
                <c:pt idx="78">
                  <c:v>1026</c:v>
                </c:pt>
                <c:pt idx="79">
                  <c:v>1020</c:v>
                </c:pt>
                <c:pt idx="80">
                  <c:v>1014</c:v>
                </c:pt>
                <c:pt idx="81">
                  <c:v>1013</c:v>
                </c:pt>
                <c:pt idx="82">
                  <c:v>1009</c:v>
                </c:pt>
                <c:pt idx="83">
                  <c:v>1001</c:v>
                </c:pt>
                <c:pt idx="84">
                  <c:v>992</c:v>
                </c:pt>
                <c:pt idx="85">
                  <c:v>987</c:v>
                </c:pt>
                <c:pt idx="86">
                  <c:v>980</c:v>
                </c:pt>
                <c:pt idx="87">
                  <c:v>851</c:v>
                </c:pt>
                <c:pt idx="88">
                  <c:v>634</c:v>
                </c:pt>
                <c:pt idx="89">
                  <c:v>630</c:v>
                </c:pt>
                <c:pt idx="90">
                  <c:v>629</c:v>
                </c:pt>
                <c:pt idx="91">
                  <c:v>628</c:v>
                </c:pt>
                <c:pt idx="92">
                  <c:v>626</c:v>
                </c:pt>
                <c:pt idx="93">
                  <c:v>622</c:v>
                </c:pt>
                <c:pt idx="94">
                  <c:v>614</c:v>
                </c:pt>
                <c:pt idx="95">
                  <c:v>611</c:v>
                </c:pt>
                <c:pt idx="96">
                  <c:v>610</c:v>
                </c:pt>
                <c:pt idx="97">
                  <c:v>609</c:v>
                </c:pt>
                <c:pt idx="98">
                  <c:v>607</c:v>
                </c:pt>
                <c:pt idx="99">
                  <c:v>606</c:v>
                </c:pt>
                <c:pt idx="100">
                  <c:v>604</c:v>
                </c:pt>
                <c:pt idx="101">
                  <c:v>602</c:v>
                </c:pt>
                <c:pt idx="102">
                  <c:v>600</c:v>
                </c:pt>
                <c:pt idx="103">
                  <c:v>593</c:v>
                </c:pt>
                <c:pt idx="104">
                  <c:v>585</c:v>
                </c:pt>
                <c:pt idx="105">
                  <c:v>576</c:v>
                </c:pt>
                <c:pt idx="106">
                  <c:v>572</c:v>
                </c:pt>
                <c:pt idx="107">
                  <c:v>568</c:v>
                </c:pt>
                <c:pt idx="108">
                  <c:v>567</c:v>
                </c:pt>
                <c:pt idx="109">
                  <c:v>564</c:v>
                </c:pt>
                <c:pt idx="110">
                  <c:v>563</c:v>
                </c:pt>
                <c:pt idx="111">
                  <c:v>544</c:v>
                </c:pt>
              </c:numCache>
            </c:numRef>
          </c:val>
          <c:smooth val="0"/>
          <c:extLst>
            <c:ext xmlns:c16="http://schemas.microsoft.com/office/drawing/2014/chart" uri="{C3380CC4-5D6E-409C-BE32-E72D297353CC}">
              <c16:uniqueId val="{00000062-D718-40BF-8693-760F8025F4B4}"/>
            </c:ext>
          </c:extLst>
        </c:ser>
        <c:dLbls>
          <c:showLegendKey val="0"/>
          <c:showVal val="0"/>
          <c:showCatName val="0"/>
          <c:showSerName val="0"/>
          <c:showPercent val="0"/>
          <c:showBubbleSize val="0"/>
        </c:dLbls>
        <c:smooth val="0"/>
        <c:axId val="83479936"/>
        <c:axId val="83485824"/>
      </c:lineChart>
      <c:dateAx>
        <c:axId val="83479936"/>
        <c:scaling>
          <c:orientation val="minMax"/>
        </c:scaling>
        <c:delete val="0"/>
        <c:axPos val="b"/>
        <c:numFmt formatCode="mmm\-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crossAx val="83485824"/>
        <c:crosses val="autoZero"/>
        <c:auto val="1"/>
        <c:lblOffset val="100"/>
        <c:baseTimeUnit val="months"/>
      </c:dateAx>
      <c:valAx>
        <c:axId val="834858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crossAx val="83479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C6C-4F83-B4BC-F1619B87BE2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C6C-4F83-B4BC-F1619B87BE2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C6C-4F83-B4BC-F1619B87BE25}"/>
              </c:ext>
            </c:extLst>
          </c:dPt>
          <c:dPt>
            <c:idx val="3"/>
            <c:bubble3D val="0"/>
            <c:spPr>
              <a:solidFill>
                <a:srgbClr val="FF0000"/>
              </a:solidFill>
              <a:ln w="19050">
                <a:solidFill>
                  <a:schemeClr val="lt1"/>
                </a:solidFill>
              </a:ln>
              <a:effectLst/>
            </c:spPr>
            <c:extLst>
              <c:ext xmlns:c16="http://schemas.microsoft.com/office/drawing/2014/chart" uri="{C3380CC4-5D6E-409C-BE32-E72D297353CC}">
                <c16:uniqueId val="{00000007-FC6C-4F83-B4BC-F1619B87BE25}"/>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FC6C-4F83-B4BC-F1619B87BE25}"/>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FC6C-4F83-B4BC-F1619B87BE25}"/>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FC6C-4F83-B4BC-F1619B87BE25}"/>
              </c:ext>
            </c:extLst>
          </c:dPt>
          <c:dPt>
            <c:idx val="7"/>
            <c:bubble3D val="0"/>
            <c:spPr>
              <a:solidFill>
                <a:schemeClr val="accent4">
                  <a:lumMod val="60000"/>
                  <a:lumOff val="40000"/>
                </a:schemeClr>
              </a:solidFill>
              <a:ln w="19050">
                <a:solidFill>
                  <a:schemeClr val="lt1"/>
                </a:solidFill>
              </a:ln>
              <a:effectLst/>
            </c:spPr>
            <c:extLst>
              <c:ext xmlns:c16="http://schemas.microsoft.com/office/drawing/2014/chart" uri="{C3380CC4-5D6E-409C-BE32-E72D297353CC}">
                <c16:uniqueId val="{0000000F-FC6C-4F83-B4BC-F1619B87BE25}"/>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FC6C-4F83-B4BC-F1619B87BE25}"/>
              </c:ext>
            </c:extLst>
          </c:dPt>
          <c:dLbls>
            <c:spPr>
              <a:noFill/>
              <a:ln>
                <a:noFill/>
              </a:ln>
              <a:effectLst/>
            </c:spPr>
            <c:txPr>
              <a:bodyPr rot="0" spcFirstLastPara="1" vertOverflow="ellipsis" vert="horz" wrap="square" lIns="38100" tIns="19050" rIns="38100" bIns="19050" anchor="ctr" anchorCtr="1">
                <a:spAutoFit/>
              </a:bodyPr>
              <a:lstStyle/>
              <a:p>
                <a:pPr>
                  <a:defRPr sz="20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'Disease Numbers'!$A$2:$A$10</c:f>
              <c:strCache>
                <c:ptCount val="9"/>
                <c:pt idx="0">
                  <c:v>Autoinflammatory disorders</c:v>
                </c:pt>
                <c:pt idx="1">
                  <c:v>Combined immunodeficiencies</c:v>
                </c:pt>
                <c:pt idx="2">
                  <c:v>Complement deficiencies</c:v>
                </c:pt>
                <c:pt idx="3">
                  <c:v>Defects in innate immunity</c:v>
                </c:pt>
                <c:pt idx="4">
                  <c:v>Diseases of immune dysregulation</c:v>
                </c:pt>
                <c:pt idx="5">
                  <c:v>Other well defined PIDs</c:v>
                </c:pt>
                <c:pt idx="6">
                  <c:v>Phagocytic disorders</c:v>
                </c:pt>
                <c:pt idx="7">
                  <c:v>Predominantly antibody disorders</c:v>
                </c:pt>
                <c:pt idx="8">
                  <c:v>Unclassified Immunodeficiencies</c:v>
                </c:pt>
              </c:strCache>
            </c:strRef>
          </c:cat>
          <c:val>
            <c:numRef>
              <c:f>'Disease Numbers'!$B$2:$B$10</c:f>
              <c:numCache>
                <c:formatCode>General</c:formatCode>
                <c:ptCount val="9"/>
                <c:pt idx="0">
                  <c:v>29</c:v>
                </c:pt>
                <c:pt idx="1">
                  <c:v>373</c:v>
                </c:pt>
                <c:pt idx="2">
                  <c:v>597</c:v>
                </c:pt>
                <c:pt idx="3">
                  <c:v>41</c:v>
                </c:pt>
                <c:pt idx="4">
                  <c:v>110</c:v>
                </c:pt>
                <c:pt idx="5">
                  <c:v>362</c:v>
                </c:pt>
                <c:pt idx="6">
                  <c:v>203</c:v>
                </c:pt>
                <c:pt idx="7">
                  <c:v>2821</c:v>
                </c:pt>
                <c:pt idx="8">
                  <c:v>191</c:v>
                </c:pt>
              </c:numCache>
            </c:numRef>
          </c:val>
          <c:extLst>
            <c:ext xmlns:c16="http://schemas.microsoft.com/office/drawing/2014/chart" uri="{C3380CC4-5D6E-409C-BE32-E72D297353CC}">
              <c16:uniqueId val="{00000012-FC6C-4F83-B4BC-F1619B87BE25}"/>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70005853961898645"/>
          <c:y val="9.2608725796067951E-2"/>
          <c:w val="0.29067147084077344"/>
          <c:h val="0.86065232952600301"/>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accent1"/>
              </a:solidFill>
              <a:round/>
            </a:ln>
            <a:effectLst/>
          </c:spPr>
          <c:marker>
            <c:symbol val="none"/>
          </c:marker>
          <c:cat>
            <c:numRef>
              <c:f>Sheet1!$A$22:$A$100</c:f>
              <c:numCache>
                <c:formatCode>General</c:formatCode>
                <c:ptCount val="79"/>
                <c:pt idx="0">
                  <c:v>1938</c:v>
                </c:pt>
                <c:pt idx="1">
                  <c:v>1939</c:v>
                </c:pt>
                <c:pt idx="2">
                  <c:v>1940</c:v>
                </c:pt>
                <c:pt idx="3">
                  <c:v>1941</c:v>
                </c:pt>
                <c:pt idx="4">
                  <c:v>1942</c:v>
                </c:pt>
                <c:pt idx="5">
                  <c:v>1943</c:v>
                </c:pt>
                <c:pt idx="6">
                  <c:v>1944</c:v>
                </c:pt>
                <c:pt idx="7">
                  <c:v>1945</c:v>
                </c:pt>
                <c:pt idx="8">
                  <c:v>1946</c:v>
                </c:pt>
                <c:pt idx="9">
                  <c:v>1947</c:v>
                </c:pt>
                <c:pt idx="10">
                  <c:v>1948</c:v>
                </c:pt>
                <c:pt idx="11">
                  <c:v>1949</c:v>
                </c:pt>
                <c:pt idx="12">
                  <c:v>1950</c:v>
                </c:pt>
                <c:pt idx="13">
                  <c:v>1951</c:v>
                </c:pt>
                <c:pt idx="14">
                  <c:v>1952</c:v>
                </c:pt>
                <c:pt idx="15">
                  <c:v>1953</c:v>
                </c:pt>
                <c:pt idx="16">
                  <c:v>1954</c:v>
                </c:pt>
                <c:pt idx="17">
                  <c:v>1955</c:v>
                </c:pt>
                <c:pt idx="18">
                  <c:v>1956</c:v>
                </c:pt>
                <c:pt idx="19">
                  <c:v>1957</c:v>
                </c:pt>
                <c:pt idx="20">
                  <c:v>1958</c:v>
                </c:pt>
                <c:pt idx="21">
                  <c:v>1959</c:v>
                </c:pt>
                <c:pt idx="22">
                  <c:v>1960</c:v>
                </c:pt>
                <c:pt idx="23">
                  <c:v>1961</c:v>
                </c:pt>
                <c:pt idx="24">
                  <c:v>1962</c:v>
                </c:pt>
                <c:pt idx="25">
                  <c:v>1963</c:v>
                </c:pt>
                <c:pt idx="26">
                  <c:v>1964</c:v>
                </c:pt>
                <c:pt idx="27">
                  <c:v>1965</c:v>
                </c:pt>
                <c:pt idx="28">
                  <c:v>1966</c:v>
                </c:pt>
                <c:pt idx="29">
                  <c:v>1967</c:v>
                </c:pt>
                <c:pt idx="30">
                  <c:v>1968</c:v>
                </c:pt>
                <c:pt idx="31">
                  <c:v>1969</c:v>
                </c:pt>
                <c:pt idx="32">
                  <c:v>1970</c:v>
                </c:pt>
                <c:pt idx="33">
                  <c:v>1971</c:v>
                </c:pt>
                <c:pt idx="34">
                  <c:v>1972</c:v>
                </c:pt>
                <c:pt idx="35">
                  <c:v>1973</c:v>
                </c:pt>
                <c:pt idx="36">
                  <c:v>1974</c:v>
                </c:pt>
                <c:pt idx="37">
                  <c:v>1975</c:v>
                </c:pt>
                <c:pt idx="38">
                  <c:v>1976</c:v>
                </c:pt>
                <c:pt idx="39">
                  <c:v>1977</c:v>
                </c:pt>
                <c:pt idx="40">
                  <c:v>1978</c:v>
                </c:pt>
                <c:pt idx="41">
                  <c:v>1979</c:v>
                </c:pt>
                <c:pt idx="42">
                  <c:v>1980</c:v>
                </c:pt>
                <c:pt idx="43">
                  <c:v>1981</c:v>
                </c:pt>
                <c:pt idx="44">
                  <c:v>1982</c:v>
                </c:pt>
                <c:pt idx="45">
                  <c:v>1983</c:v>
                </c:pt>
                <c:pt idx="46">
                  <c:v>1984</c:v>
                </c:pt>
                <c:pt idx="47">
                  <c:v>1985</c:v>
                </c:pt>
                <c:pt idx="48">
                  <c:v>1986</c:v>
                </c:pt>
                <c:pt idx="49">
                  <c:v>1987</c:v>
                </c:pt>
                <c:pt idx="50">
                  <c:v>1988</c:v>
                </c:pt>
                <c:pt idx="51">
                  <c:v>1989</c:v>
                </c:pt>
                <c:pt idx="52">
                  <c:v>1990</c:v>
                </c:pt>
                <c:pt idx="53">
                  <c:v>1991</c:v>
                </c:pt>
                <c:pt idx="54">
                  <c:v>1992</c:v>
                </c:pt>
                <c:pt idx="55">
                  <c:v>1993</c:v>
                </c:pt>
                <c:pt idx="56">
                  <c:v>1994</c:v>
                </c:pt>
                <c:pt idx="57">
                  <c:v>1995</c:v>
                </c:pt>
                <c:pt idx="58">
                  <c:v>1996</c:v>
                </c:pt>
                <c:pt idx="59">
                  <c:v>1997</c:v>
                </c:pt>
                <c:pt idx="60">
                  <c:v>1998</c:v>
                </c:pt>
                <c:pt idx="61">
                  <c:v>1999</c:v>
                </c:pt>
                <c:pt idx="62">
                  <c:v>2000</c:v>
                </c:pt>
                <c:pt idx="63">
                  <c:v>2001</c:v>
                </c:pt>
                <c:pt idx="64">
                  <c:v>2002</c:v>
                </c:pt>
                <c:pt idx="65">
                  <c:v>2003</c:v>
                </c:pt>
                <c:pt idx="66">
                  <c:v>2004</c:v>
                </c:pt>
                <c:pt idx="67">
                  <c:v>2005</c:v>
                </c:pt>
                <c:pt idx="68">
                  <c:v>2006</c:v>
                </c:pt>
                <c:pt idx="69">
                  <c:v>2007</c:v>
                </c:pt>
                <c:pt idx="70">
                  <c:v>2008</c:v>
                </c:pt>
                <c:pt idx="71">
                  <c:v>2009</c:v>
                </c:pt>
                <c:pt idx="72">
                  <c:v>2010</c:v>
                </c:pt>
                <c:pt idx="73">
                  <c:v>2011</c:v>
                </c:pt>
                <c:pt idx="74">
                  <c:v>2012</c:v>
                </c:pt>
                <c:pt idx="75">
                  <c:v>2013</c:v>
                </c:pt>
                <c:pt idx="76">
                  <c:v>2014</c:v>
                </c:pt>
                <c:pt idx="77">
                  <c:v>2015</c:v>
                </c:pt>
                <c:pt idx="78">
                  <c:v>2016</c:v>
                </c:pt>
              </c:numCache>
            </c:numRef>
          </c:cat>
          <c:val>
            <c:numRef>
              <c:f>Sheet1!$N$22:$N$99</c:f>
              <c:numCache>
                <c:formatCode>General</c:formatCode>
                <c:ptCount val="78"/>
                <c:pt idx="0">
                  <c:v>5.3401225983009155</c:v>
                </c:pt>
                <c:pt idx="1">
                  <c:v>5.5315482940470559</c:v>
                </c:pt>
                <c:pt idx="2">
                  <c:v>3.1236331255565446</c:v>
                </c:pt>
                <c:pt idx="3">
                  <c:v>4.3329557900667783</c:v>
                </c:pt>
                <c:pt idx="4">
                  <c:v>5.2074817548982901</c:v>
                </c:pt>
                <c:pt idx="5">
                  <c:v>5.0717190360803635</c:v>
                </c:pt>
                <c:pt idx="6">
                  <c:v>6.3444867231850699</c:v>
                </c:pt>
                <c:pt idx="7">
                  <c:v>6.6572597465911425</c:v>
                </c:pt>
                <c:pt idx="8">
                  <c:v>7.6502251728837827</c:v>
                </c:pt>
                <c:pt idx="9">
                  <c:v>7.5722113812099741</c:v>
                </c:pt>
                <c:pt idx="10">
                  <c:v>6.2569737356686286</c:v>
                </c:pt>
                <c:pt idx="11">
                  <c:v>7.3695366994895348</c:v>
                </c:pt>
                <c:pt idx="12">
                  <c:v>5.6924858966228866</c:v>
                </c:pt>
                <c:pt idx="13">
                  <c:v>7.3387769960270877</c:v>
                </c:pt>
                <c:pt idx="14">
                  <c:v>6.451621039780961</c:v>
                </c:pt>
                <c:pt idx="15">
                  <c:v>7.4963724823411066</c:v>
                </c:pt>
                <c:pt idx="16">
                  <c:v>6.8963434658372442</c:v>
                </c:pt>
                <c:pt idx="17">
                  <c:v>6.2495961688299344</c:v>
                </c:pt>
                <c:pt idx="18">
                  <c:v>5.3140266404245597</c:v>
                </c:pt>
                <c:pt idx="19">
                  <c:v>5.6861342672520099</c:v>
                </c:pt>
                <c:pt idx="20">
                  <c:v>5.8766428833183806</c:v>
                </c:pt>
                <c:pt idx="21">
                  <c:v>6.4465643250724769</c:v>
                </c:pt>
                <c:pt idx="22">
                  <c:v>7.6598684941292801</c:v>
                </c:pt>
                <c:pt idx="23">
                  <c:v>6.6744849713828875</c:v>
                </c:pt>
                <c:pt idx="24">
                  <c:v>7.2096122012842923</c:v>
                </c:pt>
                <c:pt idx="25">
                  <c:v>5.8122424658641023</c:v>
                </c:pt>
                <c:pt idx="26">
                  <c:v>6.392065613321348</c:v>
                </c:pt>
                <c:pt idx="27">
                  <c:v>6.1371737986011876</c:v>
                </c:pt>
                <c:pt idx="28">
                  <c:v>5.0356936137372177</c:v>
                </c:pt>
                <c:pt idx="29">
                  <c:v>6.0786026200873362</c:v>
                </c:pt>
                <c:pt idx="30">
                  <c:v>5.5934613626454368</c:v>
                </c:pt>
                <c:pt idx="31">
                  <c:v>7.0478758084706854</c:v>
                </c:pt>
                <c:pt idx="32">
                  <c:v>6.6700445952957548</c:v>
                </c:pt>
                <c:pt idx="33">
                  <c:v>5.9775544336592548</c:v>
                </c:pt>
                <c:pt idx="34">
                  <c:v>5.0385858721510246</c:v>
                </c:pt>
                <c:pt idx="35">
                  <c:v>5.507635864510708</c:v>
                </c:pt>
                <c:pt idx="36">
                  <c:v>5.9484112879813553</c:v>
                </c:pt>
                <c:pt idx="37">
                  <c:v>7.0720755593404041</c:v>
                </c:pt>
                <c:pt idx="38">
                  <c:v>7.0318536962307885</c:v>
                </c:pt>
                <c:pt idx="39">
                  <c:v>7.3687518834527079</c:v>
                </c:pt>
                <c:pt idx="40">
                  <c:v>7.5797982679987363</c:v>
                </c:pt>
                <c:pt idx="41">
                  <c:v>7.5858459075488858</c:v>
                </c:pt>
                <c:pt idx="42">
                  <c:v>7.2720662964073526</c:v>
                </c:pt>
                <c:pt idx="43">
                  <c:v>6.2507526905265003</c:v>
                </c:pt>
                <c:pt idx="44">
                  <c:v>6.7337367645852089</c:v>
                </c:pt>
                <c:pt idx="45">
                  <c:v>6.3328609973406831</c:v>
                </c:pt>
                <c:pt idx="46">
                  <c:v>4.8843503093634366</c:v>
                </c:pt>
                <c:pt idx="47">
                  <c:v>6.572642967542504</c:v>
                </c:pt>
                <c:pt idx="48">
                  <c:v>7.0194288591093059</c:v>
                </c:pt>
                <c:pt idx="49">
                  <c:v>8.2466581979739626</c:v>
                </c:pt>
                <c:pt idx="50">
                  <c:v>6.8457125147497209</c:v>
                </c:pt>
                <c:pt idx="51">
                  <c:v>6.230792395719118</c:v>
                </c:pt>
                <c:pt idx="52">
                  <c:v>8.810454880230072</c:v>
                </c:pt>
                <c:pt idx="53">
                  <c:v>9.2241397808067713</c:v>
                </c:pt>
                <c:pt idx="54">
                  <c:v>9.5936342131585715</c:v>
                </c:pt>
                <c:pt idx="55">
                  <c:v>8.6368686033044177</c:v>
                </c:pt>
                <c:pt idx="56">
                  <c:v>7.4250479692996487</c:v>
                </c:pt>
                <c:pt idx="57">
                  <c:v>7.7385425519414328</c:v>
                </c:pt>
                <c:pt idx="58">
                  <c:v>7.6004244622273633</c:v>
                </c:pt>
                <c:pt idx="59">
                  <c:v>9.3031865261442679</c:v>
                </c:pt>
                <c:pt idx="60">
                  <c:v>8.5375260849672472</c:v>
                </c:pt>
                <c:pt idx="61">
                  <c:v>9.7878355829342709</c:v>
                </c:pt>
                <c:pt idx="62">
                  <c:v>8.7444718855895687</c:v>
                </c:pt>
                <c:pt idx="63">
                  <c:v>10.102626871292722</c:v>
                </c:pt>
                <c:pt idx="64">
                  <c:v>7.7857791162076451</c:v>
                </c:pt>
                <c:pt idx="65">
                  <c:v>8.7994519437164023</c:v>
                </c:pt>
                <c:pt idx="66">
                  <c:v>9.5688383733987337</c:v>
                </c:pt>
                <c:pt idx="67">
                  <c:v>9.1027736527211278</c:v>
                </c:pt>
                <c:pt idx="68">
                  <c:v>8.2982995419223222</c:v>
                </c:pt>
                <c:pt idx="69">
                  <c:v>7.6889458656255467</c:v>
                </c:pt>
                <c:pt idx="70">
                  <c:v>7.5896639278534401</c:v>
                </c:pt>
                <c:pt idx="71">
                  <c:v>6.7049774488613068</c:v>
                </c:pt>
                <c:pt idx="72">
                  <c:v>5.3184742174560959</c:v>
                </c:pt>
                <c:pt idx="73">
                  <c:v>5.0889726854969695</c:v>
                </c:pt>
                <c:pt idx="74">
                  <c:v>5.6182884977305427</c:v>
                </c:pt>
                <c:pt idx="75">
                  <c:v>3.7534524135115044</c:v>
                </c:pt>
                <c:pt idx="76">
                  <c:v>2.3533139606776308</c:v>
                </c:pt>
                <c:pt idx="77">
                  <c:v>2.3508521356468703</c:v>
                </c:pt>
              </c:numCache>
            </c:numRef>
          </c:val>
          <c:smooth val="0"/>
          <c:extLst>
            <c:ext xmlns:c16="http://schemas.microsoft.com/office/drawing/2014/chart" uri="{C3380CC4-5D6E-409C-BE32-E72D297353CC}">
              <c16:uniqueId val="{00000000-8CC8-4059-9BB4-9A93CC9A11BE}"/>
            </c:ext>
          </c:extLst>
        </c:ser>
        <c:dLbls>
          <c:showLegendKey val="0"/>
          <c:showVal val="0"/>
          <c:showCatName val="0"/>
          <c:showSerName val="0"/>
          <c:showPercent val="0"/>
          <c:showBubbleSize val="0"/>
        </c:dLbls>
        <c:smooth val="0"/>
        <c:axId val="83809408"/>
        <c:axId val="83810944"/>
      </c:lineChart>
      <c:catAx>
        <c:axId val="83809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810944"/>
        <c:crosses val="autoZero"/>
        <c:auto val="1"/>
        <c:lblAlgn val="ctr"/>
        <c:lblOffset val="100"/>
        <c:noMultiLvlLbl val="0"/>
      </c:catAx>
      <c:valAx>
        <c:axId val="838109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PID Incidence per 100,000 UK Births</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8094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'Q21'!$B$3</c:f>
              <c:strCache>
                <c:ptCount val="1"/>
                <c:pt idx="0">
                  <c:v>HSCT</c:v>
                </c:pt>
              </c:strCache>
            </c:strRef>
          </c:tx>
          <c:spPr>
            <a:solidFill>
              <a:schemeClr val="accent1"/>
            </a:solidFill>
            <a:ln>
              <a:noFill/>
            </a:ln>
            <a:effectLst/>
          </c:spPr>
          <c:invertIfNegative val="0"/>
          <c:cat>
            <c:numRef>
              <c:f>'Q21'!$A$4:$A$36</c:f>
              <c:numCache>
                <c:formatCode>General</c:formatCode>
                <c:ptCount val="33"/>
                <c:pt idx="0">
                  <c:v>1973</c:v>
                </c:pt>
                <c:pt idx="1">
                  <c:v>1980</c:v>
                </c:pt>
                <c:pt idx="2">
                  <c:v>1984</c:v>
                </c:pt>
                <c:pt idx="3">
                  <c:v>1986</c:v>
                </c:pt>
                <c:pt idx="4">
                  <c:v>1987</c:v>
                </c:pt>
                <c:pt idx="5">
                  <c:v>1988</c:v>
                </c:pt>
                <c:pt idx="6">
                  <c:v>1989</c:v>
                </c:pt>
                <c:pt idx="7">
                  <c:v>1992</c:v>
                </c:pt>
                <c:pt idx="8">
                  <c:v>1993</c:v>
                </c:pt>
                <c:pt idx="9">
                  <c:v>1994</c:v>
                </c:pt>
                <c:pt idx="10">
                  <c:v>1995</c:v>
                </c:pt>
                <c:pt idx="11">
                  <c:v>1996</c:v>
                </c:pt>
                <c:pt idx="12">
                  <c:v>1997</c:v>
                </c:pt>
                <c:pt idx="13">
                  <c:v>1998</c:v>
                </c:pt>
                <c:pt idx="14">
                  <c:v>1999</c:v>
                </c:pt>
                <c:pt idx="15">
                  <c:v>2000</c:v>
                </c:pt>
                <c:pt idx="16">
                  <c:v>2001</c:v>
                </c:pt>
                <c:pt idx="17">
                  <c:v>2002</c:v>
                </c:pt>
                <c:pt idx="18">
                  <c:v>2003</c:v>
                </c:pt>
                <c:pt idx="19">
                  <c:v>2004</c:v>
                </c:pt>
                <c:pt idx="20">
                  <c:v>2005</c:v>
                </c:pt>
                <c:pt idx="21">
                  <c:v>2006</c:v>
                </c:pt>
                <c:pt idx="22">
                  <c:v>2007</c:v>
                </c:pt>
                <c:pt idx="23">
                  <c:v>2008</c:v>
                </c:pt>
                <c:pt idx="24">
                  <c:v>2009</c:v>
                </c:pt>
                <c:pt idx="25">
                  <c:v>2010</c:v>
                </c:pt>
                <c:pt idx="26">
                  <c:v>2011</c:v>
                </c:pt>
                <c:pt idx="27">
                  <c:v>2012</c:v>
                </c:pt>
                <c:pt idx="28">
                  <c:v>2013</c:v>
                </c:pt>
                <c:pt idx="29">
                  <c:v>2014</c:v>
                </c:pt>
                <c:pt idx="30">
                  <c:v>2015</c:v>
                </c:pt>
                <c:pt idx="31">
                  <c:v>2016</c:v>
                </c:pt>
                <c:pt idx="32">
                  <c:v>2017</c:v>
                </c:pt>
              </c:numCache>
            </c:numRef>
          </c:cat>
          <c:val>
            <c:numRef>
              <c:f>'Q21'!$B$4:$B$36</c:f>
              <c:numCache>
                <c:formatCode>General</c:formatCode>
                <c:ptCount val="33"/>
                <c:pt idx="0">
                  <c:v>1</c:v>
                </c:pt>
                <c:pt idx="1">
                  <c:v>2</c:v>
                </c:pt>
                <c:pt idx="2">
                  <c:v>1</c:v>
                </c:pt>
                <c:pt idx="3">
                  <c:v>1</c:v>
                </c:pt>
                <c:pt idx="4">
                  <c:v>2</c:v>
                </c:pt>
                <c:pt idx="5">
                  <c:v>1</c:v>
                </c:pt>
                <c:pt idx="6">
                  <c:v>2</c:v>
                </c:pt>
                <c:pt idx="7">
                  <c:v>4</c:v>
                </c:pt>
                <c:pt idx="8">
                  <c:v>3</c:v>
                </c:pt>
                <c:pt idx="9">
                  <c:v>8</c:v>
                </c:pt>
                <c:pt idx="10">
                  <c:v>5</c:v>
                </c:pt>
                <c:pt idx="11">
                  <c:v>6</c:v>
                </c:pt>
                <c:pt idx="12">
                  <c:v>8</c:v>
                </c:pt>
                <c:pt idx="13">
                  <c:v>19</c:v>
                </c:pt>
                <c:pt idx="14">
                  <c:v>21</c:v>
                </c:pt>
                <c:pt idx="15">
                  <c:v>23</c:v>
                </c:pt>
                <c:pt idx="16">
                  <c:v>20</c:v>
                </c:pt>
                <c:pt idx="17">
                  <c:v>29</c:v>
                </c:pt>
                <c:pt idx="18">
                  <c:v>30</c:v>
                </c:pt>
                <c:pt idx="19">
                  <c:v>30</c:v>
                </c:pt>
                <c:pt idx="20">
                  <c:v>22</c:v>
                </c:pt>
                <c:pt idx="21">
                  <c:v>27</c:v>
                </c:pt>
                <c:pt idx="22">
                  <c:v>47</c:v>
                </c:pt>
                <c:pt idx="23">
                  <c:v>56</c:v>
                </c:pt>
                <c:pt idx="24">
                  <c:v>47</c:v>
                </c:pt>
                <c:pt idx="25">
                  <c:v>40</c:v>
                </c:pt>
                <c:pt idx="26">
                  <c:v>38</c:v>
                </c:pt>
                <c:pt idx="27">
                  <c:v>45</c:v>
                </c:pt>
                <c:pt idx="28">
                  <c:v>43</c:v>
                </c:pt>
                <c:pt idx="29">
                  <c:v>34</c:v>
                </c:pt>
                <c:pt idx="30">
                  <c:v>24</c:v>
                </c:pt>
                <c:pt idx="31">
                  <c:v>29</c:v>
                </c:pt>
                <c:pt idx="32">
                  <c:v>8</c:v>
                </c:pt>
              </c:numCache>
            </c:numRef>
          </c:val>
          <c:extLst>
            <c:ext xmlns:c16="http://schemas.microsoft.com/office/drawing/2014/chart" uri="{C3380CC4-5D6E-409C-BE32-E72D297353CC}">
              <c16:uniqueId val="{00000000-503A-4BC9-8C62-7FE36B29ED87}"/>
            </c:ext>
          </c:extLst>
        </c:ser>
        <c:ser>
          <c:idx val="1"/>
          <c:order val="1"/>
          <c:tx>
            <c:strRef>
              <c:f>'Q21'!$C$3</c:f>
              <c:strCache>
                <c:ptCount val="1"/>
                <c:pt idx="0">
                  <c:v>Gene Therapy</c:v>
                </c:pt>
              </c:strCache>
            </c:strRef>
          </c:tx>
          <c:spPr>
            <a:solidFill>
              <a:schemeClr val="accent2"/>
            </a:solidFill>
            <a:ln>
              <a:noFill/>
            </a:ln>
            <a:effectLst/>
          </c:spPr>
          <c:invertIfNegative val="0"/>
          <c:cat>
            <c:numRef>
              <c:f>'Q21'!$A$4:$A$36</c:f>
              <c:numCache>
                <c:formatCode>General</c:formatCode>
                <c:ptCount val="33"/>
                <c:pt idx="0">
                  <c:v>1973</c:v>
                </c:pt>
                <c:pt idx="1">
                  <c:v>1980</c:v>
                </c:pt>
                <c:pt idx="2">
                  <c:v>1984</c:v>
                </c:pt>
                <c:pt idx="3">
                  <c:v>1986</c:v>
                </c:pt>
                <c:pt idx="4">
                  <c:v>1987</c:v>
                </c:pt>
                <c:pt idx="5">
                  <c:v>1988</c:v>
                </c:pt>
                <c:pt idx="6">
                  <c:v>1989</c:v>
                </c:pt>
                <c:pt idx="7">
                  <c:v>1992</c:v>
                </c:pt>
                <c:pt idx="8">
                  <c:v>1993</c:v>
                </c:pt>
                <c:pt idx="9">
                  <c:v>1994</c:v>
                </c:pt>
                <c:pt idx="10">
                  <c:v>1995</c:v>
                </c:pt>
                <c:pt idx="11">
                  <c:v>1996</c:v>
                </c:pt>
                <c:pt idx="12">
                  <c:v>1997</c:v>
                </c:pt>
                <c:pt idx="13">
                  <c:v>1998</c:v>
                </c:pt>
                <c:pt idx="14">
                  <c:v>1999</c:v>
                </c:pt>
                <c:pt idx="15">
                  <c:v>2000</c:v>
                </c:pt>
                <c:pt idx="16">
                  <c:v>2001</c:v>
                </c:pt>
                <c:pt idx="17">
                  <c:v>2002</c:v>
                </c:pt>
                <c:pt idx="18">
                  <c:v>2003</c:v>
                </c:pt>
                <c:pt idx="19">
                  <c:v>2004</c:v>
                </c:pt>
                <c:pt idx="20">
                  <c:v>2005</c:v>
                </c:pt>
                <c:pt idx="21">
                  <c:v>2006</c:v>
                </c:pt>
                <c:pt idx="22">
                  <c:v>2007</c:v>
                </c:pt>
                <c:pt idx="23">
                  <c:v>2008</c:v>
                </c:pt>
                <c:pt idx="24">
                  <c:v>2009</c:v>
                </c:pt>
                <c:pt idx="25">
                  <c:v>2010</c:v>
                </c:pt>
                <c:pt idx="26">
                  <c:v>2011</c:v>
                </c:pt>
                <c:pt idx="27">
                  <c:v>2012</c:v>
                </c:pt>
                <c:pt idx="28">
                  <c:v>2013</c:v>
                </c:pt>
                <c:pt idx="29">
                  <c:v>2014</c:v>
                </c:pt>
                <c:pt idx="30">
                  <c:v>2015</c:v>
                </c:pt>
                <c:pt idx="31">
                  <c:v>2016</c:v>
                </c:pt>
                <c:pt idx="32">
                  <c:v>2017</c:v>
                </c:pt>
              </c:numCache>
            </c:numRef>
          </c:cat>
          <c:val>
            <c:numRef>
              <c:f>'Q21'!$C$4:$C$36</c:f>
              <c:numCache>
                <c:formatCode>General</c:formatCode>
                <c:ptCount val="33"/>
                <c:pt idx="16">
                  <c:v>4</c:v>
                </c:pt>
                <c:pt idx="17">
                  <c:v>1</c:v>
                </c:pt>
                <c:pt idx="18">
                  <c:v>2</c:v>
                </c:pt>
                <c:pt idx="19">
                  <c:v>1</c:v>
                </c:pt>
                <c:pt idx="20">
                  <c:v>2</c:v>
                </c:pt>
                <c:pt idx="21">
                  <c:v>5</c:v>
                </c:pt>
                <c:pt idx="23">
                  <c:v>1</c:v>
                </c:pt>
                <c:pt idx="24">
                  <c:v>1</c:v>
                </c:pt>
                <c:pt idx="25">
                  <c:v>1</c:v>
                </c:pt>
                <c:pt idx="28">
                  <c:v>1</c:v>
                </c:pt>
                <c:pt idx="29">
                  <c:v>3</c:v>
                </c:pt>
                <c:pt idx="30">
                  <c:v>1</c:v>
                </c:pt>
                <c:pt idx="31">
                  <c:v>2</c:v>
                </c:pt>
              </c:numCache>
            </c:numRef>
          </c:val>
          <c:extLst>
            <c:ext xmlns:c16="http://schemas.microsoft.com/office/drawing/2014/chart" uri="{C3380CC4-5D6E-409C-BE32-E72D297353CC}">
              <c16:uniqueId val="{00000001-503A-4BC9-8C62-7FE36B29ED87}"/>
            </c:ext>
          </c:extLst>
        </c:ser>
        <c:dLbls>
          <c:showLegendKey val="0"/>
          <c:showVal val="0"/>
          <c:showCatName val="0"/>
          <c:showSerName val="0"/>
          <c:showPercent val="0"/>
          <c:showBubbleSize val="0"/>
        </c:dLbls>
        <c:gapWidth val="219"/>
        <c:overlap val="-27"/>
        <c:axId val="83709952"/>
        <c:axId val="83711488"/>
      </c:barChart>
      <c:catAx>
        <c:axId val="83709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83711488"/>
        <c:crosses val="autoZero"/>
        <c:auto val="1"/>
        <c:lblAlgn val="ctr"/>
        <c:lblOffset val="100"/>
        <c:noMultiLvlLbl val="0"/>
      </c:catAx>
      <c:valAx>
        <c:axId val="837114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r>
                  <a:rPr lang="en-US" sz="1400"/>
                  <a:t>Number of Patients</a:t>
                </a:r>
              </a:p>
            </c:rich>
          </c:tx>
          <c:overlay val="0"/>
          <c:spPr>
            <a:noFill/>
            <a:ln>
              <a:noFill/>
            </a:ln>
            <a:effectLst/>
          </c:spPr>
          <c:txPr>
            <a:bodyPr rot="-540000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837099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B3D5B3-97D9-453E-8FEF-D490F0894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18922</Words>
  <Characters>107856</Characters>
  <Application>Microsoft Office Word</Application>
  <DocSecurity>4</DocSecurity>
  <Lines>898</Lines>
  <Paragraphs>253</Paragraphs>
  <ScaleCrop>false</ScaleCrop>
  <HeadingPairs>
    <vt:vector size="2" baseType="variant">
      <vt:variant>
        <vt:lpstr>Title</vt:lpstr>
      </vt:variant>
      <vt:variant>
        <vt:i4>1</vt:i4>
      </vt:variant>
    </vt:vector>
  </HeadingPairs>
  <TitlesOfParts>
    <vt:vector size="1" baseType="lpstr">
      <vt:lpstr/>
    </vt:vector>
  </TitlesOfParts>
  <Company>Newcastle University</Company>
  <LinksUpToDate>false</LinksUpToDate>
  <CharactersWithSpaces>126525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 Shillitoe (PGR)</dc:creator>
  <cp:lastModifiedBy>Kelleher, PETER</cp:lastModifiedBy>
  <cp:revision>2</cp:revision>
  <dcterms:created xsi:type="dcterms:W3CDTF">2019-01-08T15:16:00Z</dcterms:created>
  <dcterms:modified xsi:type="dcterms:W3CDTF">2019-01-08T15:16:00Z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http://www.zotero.org/styles/acta-paediatrica</vt:lpwstr>
  </property>
  <property fmtid="{D5CDD505-2E9C-101B-9397-08002B2CF9AE}" pid="3" name="Mendeley Recent Style Name 0_1">
    <vt:lpwstr>Acta Paediatrica</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16th edition (author-date)</vt:lpwstr>
  </property>
  <property fmtid="{D5CDD505-2E9C-101B-9397-08002B2CF9AE}" pid="8" name="Mendeley Recent Style Id 3_1">
    <vt:lpwstr>http://www.zotero.org/styles/harvard1</vt:lpwstr>
  </property>
  <property fmtid="{D5CDD505-2E9C-101B-9397-08002B2CF9AE}" pid="9" name="Mendeley Recent Style Name 3_1">
    <vt:lpwstr>Harvard Reference format 1 (author-date)</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7th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http://www.zotero.org/styles/nature-publishing-group-vancouver</vt:lpwstr>
  </property>
  <property fmtid="{D5CDD505-2E9C-101B-9397-08002B2CF9AE}" pid="19" name="Mendeley Recent Style Name 8_1">
    <vt:lpwstr>Nature Publishing Group - Vancouver</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93eb6f3a-0cdc-3b30-bb27-7da63f090b5c</vt:lpwstr>
  </property>
  <property fmtid="{D5CDD505-2E9C-101B-9397-08002B2CF9AE}" pid="24" name="Mendeley Citation Style_1">
    <vt:lpwstr>http://www.zotero.org/styles/vancouver</vt:lpwstr>
  </property>
</Properties>
</file>